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9B51" w14:textId="77777777" w:rsidR="000D7B20" w:rsidRPr="00B92BF8" w:rsidRDefault="00BD248A" w:rsidP="00B9322F">
      <w:pPr>
        <w:tabs>
          <w:tab w:val="left" w:pos="9360"/>
        </w:tabs>
        <w:ind w:left="1134" w:right="1679"/>
        <w:jc w:val="center"/>
        <w:rPr>
          <w:rFonts w:ascii="Calibri Light" w:hAnsi="Calibri Light" w:cs="Calibri Light"/>
          <w:b/>
          <w:bCs/>
          <w:snapToGrid w:val="0"/>
          <w:color w:val="00679B"/>
          <w:sz w:val="36"/>
          <w:szCs w:val="36"/>
        </w:rPr>
      </w:pPr>
      <w:r w:rsidRPr="00300D47">
        <w:rPr>
          <w:rFonts w:ascii="Calibri Light" w:hAnsi="Calibri Light" w:cs="Calibri Light"/>
          <w:b/>
          <w:bCs/>
          <w:snapToGrid w:val="0"/>
          <w:color w:val="00679B"/>
          <w:sz w:val="36"/>
          <w:szCs w:val="36"/>
        </w:rPr>
        <w:t>Pharming</w:t>
      </w:r>
      <w:r w:rsidRPr="00B92BF8">
        <w:rPr>
          <w:rFonts w:ascii="Calibri Light" w:hAnsi="Calibri Light" w:cs="Calibri Light"/>
          <w:b/>
          <w:bCs/>
          <w:snapToGrid w:val="0"/>
          <w:color w:val="00679B"/>
          <w:sz w:val="36"/>
          <w:szCs w:val="36"/>
        </w:rPr>
        <w:t xml:space="preserve"> </w:t>
      </w:r>
      <w:r w:rsidR="000D7B20" w:rsidRPr="00B92BF8">
        <w:rPr>
          <w:rFonts w:ascii="Calibri Light" w:hAnsi="Calibri Light" w:cs="Calibri Light"/>
          <w:b/>
          <w:bCs/>
          <w:snapToGrid w:val="0"/>
          <w:color w:val="00679B"/>
          <w:sz w:val="36"/>
          <w:szCs w:val="36"/>
        </w:rPr>
        <w:t>Group</w:t>
      </w:r>
      <w:r w:rsidR="00B92BF8" w:rsidRPr="00B92BF8">
        <w:rPr>
          <w:rFonts w:ascii="Calibri Light" w:hAnsi="Calibri Light" w:cs="Calibri Light"/>
          <w:b/>
          <w:bCs/>
          <w:snapToGrid w:val="0"/>
          <w:color w:val="00679B"/>
          <w:sz w:val="36"/>
          <w:szCs w:val="36"/>
        </w:rPr>
        <w:t xml:space="preserve"> reports </w:t>
      </w:r>
      <w:r w:rsidR="007A55B0">
        <w:rPr>
          <w:rFonts w:ascii="Calibri Light" w:hAnsi="Calibri Light" w:cs="Calibri Light"/>
          <w:b/>
          <w:bCs/>
          <w:snapToGrid w:val="0"/>
          <w:color w:val="00679B"/>
          <w:sz w:val="36"/>
          <w:szCs w:val="36"/>
        </w:rPr>
        <w:t>f</w:t>
      </w:r>
      <w:r w:rsidR="000D7B20" w:rsidRPr="00B92BF8">
        <w:rPr>
          <w:rFonts w:ascii="Calibri Light" w:hAnsi="Calibri Light" w:cs="Calibri Light"/>
          <w:b/>
          <w:bCs/>
          <w:snapToGrid w:val="0"/>
          <w:color w:val="00679B"/>
          <w:sz w:val="36"/>
          <w:szCs w:val="36"/>
        </w:rPr>
        <w:t xml:space="preserve">inancial </w:t>
      </w:r>
      <w:r w:rsidR="007A55B0">
        <w:rPr>
          <w:rFonts w:ascii="Calibri Light" w:hAnsi="Calibri Light" w:cs="Calibri Light"/>
          <w:b/>
          <w:bCs/>
          <w:snapToGrid w:val="0"/>
          <w:color w:val="00679B"/>
          <w:sz w:val="36"/>
          <w:szCs w:val="36"/>
        </w:rPr>
        <w:t>r</w:t>
      </w:r>
      <w:r w:rsidR="000D7B20" w:rsidRPr="00B92BF8">
        <w:rPr>
          <w:rFonts w:ascii="Calibri Light" w:hAnsi="Calibri Light" w:cs="Calibri Light"/>
          <w:b/>
          <w:bCs/>
          <w:snapToGrid w:val="0"/>
          <w:color w:val="00679B"/>
          <w:sz w:val="36"/>
          <w:szCs w:val="36"/>
        </w:rPr>
        <w:t xml:space="preserve">esults </w:t>
      </w:r>
      <w:r w:rsidR="00902085" w:rsidRPr="00B92BF8">
        <w:rPr>
          <w:rFonts w:ascii="Calibri Light" w:hAnsi="Calibri Light" w:cs="Calibri Light"/>
          <w:b/>
          <w:bCs/>
          <w:snapToGrid w:val="0"/>
          <w:color w:val="00679B"/>
          <w:sz w:val="36"/>
          <w:szCs w:val="36"/>
        </w:rPr>
        <w:t xml:space="preserve">for </w:t>
      </w:r>
      <w:r w:rsidR="00066948" w:rsidRPr="00B92BF8">
        <w:rPr>
          <w:rFonts w:ascii="Calibri Light" w:hAnsi="Calibri Light" w:cs="Calibri Light"/>
          <w:b/>
          <w:bCs/>
          <w:snapToGrid w:val="0"/>
          <w:color w:val="00679B"/>
          <w:sz w:val="36"/>
          <w:szCs w:val="36"/>
        </w:rPr>
        <w:t xml:space="preserve">the </w:t>
      </w:r>
      <w:r w:rsidR="00B92BF8" w:rsidRPr="00B92BF8">
        <w:rPr>
          <w:rFonts w:ascii="Calibri Light" w:hAnsi="Calibri Light" w:cs="Calibri Light"/>
          <w:b/>
          <w:bCs/>
          <w:snapToGrid w:val="0"/>
          <w:color w:val="00679B"/>
          <w:sz w:val="36"/>
          <w:szCs w:val="36"/>
        </w:rPr>
        <w:t>first nine months of</w:t>
      </w:r>
      <w:r w:rsidR="00066948" w:rsidRPr="00B92BF8">
        <w:rPr>
          <w:rFonts w:ascii="Calibri Light" w:hAnsi="Calibri Light" w:cs="Calibri Light"/>
          <w:b/>
          <w:bCs/>
          <w:snapToGrid w:val="0"/>
          <w:color w:val="00679B"/>
          <w:sz w:val="36"/>
          <w:szCs w:val="36"/>
        </w:rPr>
        <w:t xml:space="preserve"> </w:t>
      </w:r>
      <w:r w:rsidR="000D7B20" w:rsidRPr="00B92BF8">
        <w:rPr>
          <w:rFonts w:ascii="Calibri Light" w:hAnsi="Calibri Light" w:cs="Calibri Light"/>
          <w:b/>
          <w:bCs/>
          <w:snapToGrid w:val="0"/>
          <w:color w:val="00679B"/>
          <w:sz w:val="36"/>
          <w:szCs w:val="36"/>
        </w:rPr>
        <w:t>201</w:t>
      </w:r>
      <w:r w:rsidR="00066948" w:rsidRPr="00B92BF8">
        <w:rPr>
          <w:rFonts w:ascii="Calibri Light" w:hAnsi="Calibri Light" w:cs="Calibri Light"/>
          <w:b/>
          <w:bCs/>
          <w:snapToGrid w:val="0"/>
          <w:color w:val="00679B"/>
          <w:sz w:val="36"/>
          <w:szCs w:val="36"/>
        </w:rPr>
        <w:t>7</w:t>
      </w:r>
    </w:p>
    <w:p w14:paraId="537361B2" w14:textId="77777777" w:rsidR="00E91F44" w:rsidRDefault="00E91F44" w:rsidP="004E3066">
      <w:pPr>
        <w:rPr>
          <w:rFonts w:ascii="Calibri Light" w:hAnsi="Calibri Light" w:cs="Calibri Light"/>
          <w:color w:val="276E8B" w:themeColor="accent1" w:themeShade="BF"/>
        </w:rPr>
      </w:pPr>
    </w:p>
    <w:p w14:paraId="0C77B964" w14:textId="72A10FA6" w:rsidR="00B63F98" w:rsidRPr="00300D47" w:rsidRDefault="001F32EF" w:rsidP="001F32EF">
      <w:pPr>
        <w:spacing w:line="276" w:lineRule="auto"/>
        <w:ind w:left="426" w:right="545"/>
        <w:jc w:val="center"/>
        <w:rPr>
          <w:rFonts w:ascii="Calibri Light" w:hAnsi="Calibri Light" w:cs="Calibri Light"/>
          <w:b/>
          <w:color w:val="00679B"/>
          <w:sz w:val="24"/>
        </w:rPr>
      </w:pPr>
      <w:r w:rsidRPr="00300D47">
        <w:rPr>
          <w:rFonts w:ascii="Calibri Light" w:hAnsi="Calibri Light" w:cs="Calibri Light"/>
          <w:b/>
          <w:color w:val="00679B"/>
          <w:sz w:val="24"/>
        </w:rPr>
        <w:t>Strong increase in revenues boosts o</w:t>
      </w:r>
      <w:r w:rsidR="00AC3AAD" w:rsidRPr="00300D47">
        <w:rPr>
          <w:rFonts w:ascii="Calibri Light" w:hAnsi="Calibri Light" w:cs="Calibri Light"/>
          <w:b/>
          <w:color w:val="00679B"/>
          <w:sz w:val="24"/>
        </w:rPr>
        <w:t xml:space="preserve">perating profitability </w:t>
      </w:r>
      <w:r w:rsidR="00B92BF8" w:rsidRPr="00300D47">
        <w:rPr>
          <w:rFonts w:ascii="Calibri Light" w:hAnsi="Calibri Light" w:cs="Calibri Light"/>
          <w:b/>
          <w:color w:val="00679B"/>
          <w:sz w:val="24"/>
        </w:rPr>
        <w:t>and positive cash</w:t>
      </w:r>
      <w:r w:rsidR="00B9322F" w:rsidRPr="00300D47">
        <w:rPr>
          <w:rFonts w:ascii="Calibri Light" w:hAnsi="Calibri Light" w:cs="Calibri Light"/>
          <w:b/>
          <w:color w:val="00679B"/>
          <w:sz w:val="24"/>
        </w:rPr>
        <w:t xml:space="preserve"> </w:t>
      </w:r>
      <w:r w:rsidR="00B92BF8" w:rsidRPr="00300D47">
        <w:rPr>
          <w:rFonts w:ascii="Calibri Light" w:hAnsi="Calibri Light" w:cs="Calibri Light"/>
          <w:b/>
          <w:color w:val="00679B"/>
          <w:sz w:val="24"/>
        </w:rPr>
        <w:t>flow</w:t>
      </w:r>
    </w:p>
    <w:p w14:paraId="680FEEFE" w14:textId="27E24F76" w:rsidR="00AC3AAD" w:rsidRPr="00300D47" w:rsidRDefault="001F32EF" w:rsidP="007B5C28">
      <w:pPr>
        <w:spacing w:line="276" w:lineRule="auto"/>
        <w:jc w:val="center"/>
        <w:rPr>
          <w:rFonts w:ascii="Calibri Light" w:hAnsi="Calibri Light" w:cs="Calibri Light"/>
          <w:b/>
          <w:color w:val="00679B"/>
          <w:sz w:val="24"/>
        </w:rPr>
      </w:pPr>
      <w:r w:rsidRPr="00300D47">
        <w:rPr>
          <w:rFonts w:ascii="Calibri Light" w:hAnsi="Calibri Light" w:cs="Calibri Light"/>
          <w:b/>
          <w:color w:val="00679B"/>
          <w:sz w:val="24"/>
        </w:rPr>
        <w:t xml:space="preserve">Strong </w:t>
      </w:r>
      <w:r w:rsidR="00B63F98" w:rsidRPr="00300D47">
        <w:rPr>
          <w:rFonts w:ascii="Calibri Light" w:hAnsi="Calibri Light" w:cs="Calibri Light"/>
          <w:b/>
          <w:color w:val="00679B"/>
          <w:sz w:val="24"/>
        </w:rPr>
        <w:t xml:space="preserve">outlook </w:t>
      </w:r>
      <w:r w:rsidR="009677A2" w:rsidRPr="00300D47">
        <w:rPr>
          <w:rFonts w:ascii="Calibri Light" w:hAnsi="Calibri Light" w:cs="Calibri Light"/>
          <w:b/>
          <w:color w:val="00679B"/>
          <w:sz w:val="24"/>
        </w:rPr>
        <w:t>with increasing revenues</w:t>
      </w:r>
      <w:r w:rsidR="009F026C" w:rsidRPr="00300D47">
        <w:rPr>
          <w:rFonts w:ascii="Calibri Light" w:hAnsi="Calibri Light" w:cs="Calibri Light"/>
          <w:b/>
          <w:color w:val="00679B"/>
          <w:sz w:val="24"/>
        </w:rPr>
        <w:t xml:space="preserve"> expected</w:t>
      </w:r>
      <w:r w:rsidR="009677A2" w:rsidRPr="00300D47">
        <w:rPr>
          <w:rFonts w:ascii="Calibri Light" w:hAnsi="Calibri Light" w:cs="Calibri Light"/>
          <w:b/>
          <w:color w:val="00679B"/>
          <w:sz w:val="24"/>
        </w:rPr>
        <w:t xml:space="preserve"> </w:t>
      </w:r>
      <w:r w:rsidR="00B63F98" w:rsidRPr="00300D47">
        <w:rPr>
          <w:rFonts w:ascii="Calibri Light" w:hAnsi="Calibri Light" w:cs="Calibri Light"/>
          <w:b/>
          <w:color w:val="00679B"/>
          <w:sz w:val="24"/>
        </w:rPr>
        <w:t>for remainder of 2017</w:t>
      </w:r>
      <w:r w:rsidR="00B92BF8" w:rsidRPr="00300D47">
        <w:rPr>
          <w:rFonts w:ascii="Calibri Light" w:hAnsi="Calibri Light" w:cs="Calibri Light"/>
          <w:b/>
          <w:color w:val="00679B"/>
          <w:sz w:val="24"/>
        </w:rPr>
        <w:t xml:space="preserve"> </w:t>
      </w:r>
    </w:p>
    <w:p w14:paraId="465072EB" w14:textId="77777777" w:rsidR="00AC3AAD" w:rsidRPr="004E3066" w:rsidRDefault="00B92BF8" w:rsidP="007B5C28">
      <w:pPr>
        <w:spacing w:line="276" w:lineRule="auto"/>
        <w:jc w:val="center"/>
        <w:rPr>
          <w:rFonts w:ascii="Calibri Light" w:hAnsi="Calibri Light" w:cs="Calibri Light"/>
          <w:color w:val="276E8B" w:themeColor="accent1" w:themeShade="BF"/>
        </w:rPr>
      </w:pPr>
      <w:r>
        <w:rPr>
          <w:rFonts w:ascii="Calibri Light" w:hAnsi="Calibri Light" w:cs="Calibri Light"/>
          <w:b/>
          <w:color w:val="276E8B" w:themeColor="accent1" w:themeShade="BF"/>
        </w:rPr>
        <w:t xml:space="preserve"> </w:t>
      </w:r>
    </w:p>
    <w:p w14:paraId="175589C0" w14:textId="742134FB" w:rsidR="00754BFC" w:rsidRPr="00340700" w:rsidRDefault="000D7B20" w:rsidP="007B5C28">
      <w:pPr>
        <w:spacing w:before="120" w:line="276" w:lineRule="auto"/>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812ED7">
        <w:rPr>
          <w:rStyle w:val="Emphasis"/>
          <w:rFonts w:ascii="Calibri Light" w:hAnsi="Calibri Light" w:cs="Calibri Light"/>
          <w:color w:val="00679B"/>
          <w:szCs w:val="22"/>
          <w:shd w:val="clear" w:color="auto" w:fill="FFFFFF"/>
        </w:rPr>
        <w:t>26 October</w:t>
      </w:r>
      <w:r w:rsidRPr="00340700">
        <w:rPr>
          <w:rStyle w:val="Emphasis"/>
          <w:rFonts w:ascii="Calibri Light" w:hAnsi="Calibri Light" w:cs="Calibri Light"/>
          <w:color w:val="00679B"/>
          <w:szCs w:val="22"/>
          <w:shd w:val="clear" w:color="auto" w:fill="FFFFFF"/>
        </w:rPr>
        <w:t xml:space="preserve"> 2017:</w:t>
      </w:r>
      <w:r w:rsidRPr="00340700">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Pharming Group N.V. (“Pharming” or “the Company”) (Euronext Amsterdam: PHARM)</w:t>
      </w:r>
      <w:r w:rsidR="001F32EF">
        <w:rPr>
          <w:rFonts w:ascii="Calibri Light" w:eastAsia="Calibri" w:hAnsi="Calibri Light" w:cs="Calibri Light"/>
          <w:color w:val="59595B"/>
          <w:szCs w:val="22"/>
        </w:rPr>
        <w:t>,</w:t>
      </w:r>
      <w:r w:rsidRPr="00340700">
        <w:rPr>
          <w:rFonts w:ascii="Calibri Light" w:eastAsia="Calibri" w:hAnsi="Calibri Light" w:cs="Calibri Light"/>
          <w:color w:val="59595B"/>
          <w:szCs w:val="22"/>
        </w:rPr>
        <w:t xml:space="preserve"> </w:t>
      </w:r>
      <w:r w:rsidR="001F32EF">
        <w:rPr>
          <w:rFonts w:ascii="Calibri Light" w:eastAsia="Calibri" w:hAnsi="Calibri Light" w:cs="Calibri Light"/>
          <w:color w:val="59595B"/>
          <w:szCs w:val="22"/>
        </w:rPr>
        <w:t xml:space="preserve">the Dutch </w:t>
      </w:r>
      <w:r w:rsidR="001F32EF">
        <w:rPr>
          <w:rFonts w:ascii="Calibri Light" w:eastAsia="MS Mincho" w:hAnsi="Calibri Light" w:cs="Calibri Light"/>
          <w:color w:val="59595B"/>
          <w:lang w:val="en-GB"/>
        </w:rPr>
        <w:t xml:space="preserve">specialty pharmaceutical company developing innovative products for the safe, effective treatment of rare diseases and unmet medical needs, </w:t>
      </w:r>
      <w:r w:rsidRPr="00340700">
        <w:rPr>
          <w:rFonts w:ascii="Calibri Light" w:eastAsia="Calibri" w:hAnsi="Calibri Light" w:cs="Calibri Light"/>
          <w:color w:val="59595B"/>
          <w:szCs w:val="22"/>
        </w:rPr>
        <w:t xml:space="preserve">presents its (unaudited) financial report for the </w:t>
      </w:r>
      <w:r w:rsidR="00B92BF8">
        <w:rPr>
          <w:rFonts w:ascii="Calibri Light" w:eastAsia="Calibri" w:hAnsi="Calibri Light" w:cs="Calibri Light"/>
          <w:color w:val="59595B"/>
          <w:szCs w:val="22"/>
        </w:rPr>
        <w:t xml:space="preserve">first nine months and </w:t>
      </w:r>
      <w:r w:rsidR="009677A2">
        <w:rPr>
          <w:rFonts w:ascii="Calibri Light" w:eastAsia="Calibri" w:hAnsi="Calibri Light" w:cs="Calibri Light"/>
          <w:color w:val="59595B"/>
          <w:szCs w:val="22"/>
        </w:rPr>
        <w:t xml:space="preserve">the third </w:t>
      </w:r>
      <w:r w:rsidR="00066948">
        <w:rPr>
          <w:rFonts w:ascii="Calibri Light" w:eastAsia="Calibri" w:hAnsi="Calibri Light" w:cs="Calibri Light"/>
          <w:color w:val="59595B"/>
          <w:szCs w:val="22"/>
        </w:rPr>
        <w:t>quarter</w:t>
      </w:r>
      <w:r w:rsidRPr="00340700">
        <w:rPr>
          <w:rFonts w:ascii="Calibri Light" w:eastAsia="Calibri" w:hAnsi="Calibri Light" w:cs="Calibri Light"/>
          <w:color w:val="59595B"/>
          <w:szCs w:val="22"/>
        </w:rPr>
        <w:t xml:space="preserve"> ended 3</w:t>
      </w:r>
      <w:r w:rsidR="00812ED7">
        <w:rPr>
          <w:rFonts w:ascii="Calibri Light" w:eastAsia="Calibri" w:hAnsi="Calibri Light" w:cs="Calibri Light"/>
          <w:color w:val="59595B"/>
          <w:szCs w:val="22"/>
        </w:rPr>
        <w:t>0</w:t>
      </w:r>
      <w:r w:rsidRPr="00340700">
        <w:rPr>
          <w:rFonts w:ascii="Calibri Light" w:eastAsia="Calibri" w:hAnsi="Calibri Light" w:cs="Calibri Light"/>
          <w:color w:val="59595B"/>
          <w:szCs w:val="22"/>
        </w:rPr>
        <w:t xml:space="preserve"> </w:t>
      </w:r>
      <w:r w:rsidR="009677A2">
        <w:rPr>
          <w:rFonts w:ascii="Calibri Light" w:eastAsia="Calibri" w:hAnsi="Calibri Light" w:cs="Calibri Light"/>
          <w:color w:val="59595B"/>
          <w:szCs w:val="22"/>
        </w:rPr>
        <w:t>September</w:t>
      </w:r>
      <w:r w:rsidR="00066948">
        <w:rPr>
          <w:rFonts w:ascii="Calibri Light" w:eastAsia="Calibri" w:hAnsi="Calibri Light" w:cs="Calibri Light"/>
          <w:color w:val="59595B"/>
          <w:szCs w:val="22"/>
        </w:rPr>
        <w:t xml:space="preserve"> 2017</w:t>
      </w:r>
      <w:r w:rsidRPr="00340700">
        <w:rPr>
          <w:rFonts w:ascii="Calibri Light" w:eastAsia="Calibri" w:hAnsi="Calibri Light" w:cs="Calibri Light"/>
          <w:color w:val="59595B"/>
          <w:szCs w:val="22"/>
        </w:rPr>
        <w:t>.</w:t>
      </w:r>
    </w:p>
    <w:p w14:paraId="2953D55F" w14:textId="77777777" w:rsidR="00EE1947" w:rsidRPr="00DF4CB3" w:rsidRDefault="00EE1947" w:rsidP="00842B78">
      <w:pPr>
        <w:pStyle w:val="ListParagraph"/>
        <w:spacing w:line="276" w:lineRule="auto"/>
        <w:ind w:left="714"/>
        <w:contextualSpacing w:val="0"/>
        <w:rPr>
          <w:rFonts w:ascii="Calibri Light" w:eastAsia="Calibri" w:hAnsi="Calibri Light" w:cs="Calibri Light"/>
          <w:color w:val="auto"/>
          <w:szCs w:val="22"/>
        </w:rPr>
      </w:pPr>
    </w:p>
    <w:p w14:paraId="102D61D9" w14:textId="77777777" w:rsidR="008A49C2" w:rsidRPr="00340700" w:rsidRDefault="008A49C2" w:rsidP="007B5C28">
      <w:pPr>
        <w:tabs>
          <w:tab w:val="left" w:pos="9360"/>
        </w:tabs>
        <w:spacing w:line="276" w:lineRule="auto"/>
        <w:rPr>
          <w:rFonts w:ascii="Calibri Light" w:hAnsi="Calibri Light" w:cs="Calibri Light"/>
          <w:color w:val="00679B"/>
        </w:rPr>
      </w:pPr>
      <w:r w:rsidRPr="00340700">
        <w:rPr>
          <w:rFonts w:ascii="Calibri Light" w:hAnsi="Calibri Light" w:cs="Calibri Light"/>
          <w:b/>
          <w:color w:val="00679B"/>
          <w:sz w:val="24"/>
        </w:rPr>
        <w:t>Financial highlights</w:t>
      </w:r>
    </w:p>
    <w:p w14:paraId="380F8E7C" w14:textId="24FC3842" w:rsidR="009A6C52" w:rsidRPr="0060131B" w:rsidRDefault="007D78B7" w:rsidP="00F34B29">
      <w:pPr>
        <w:pStyle w:val="ListParagraph"/>
        <w:numPr>
          <w:ilvl w:val="0"/>
          <w:numId w:val="5"/>
        </w:numPr>
        <w:spacing w:line="276" w:lineRule="auto"/>
        <w:contextualSpacing w:val="0"/>
        <w:rPr>
          <w:rFonts w:ascii="Calibri Light" w:hAnsi="Calibri Light" w:cs="Calibri Light"/>
          <w:color w:val="59595B"/>
        </w:rPr>
      </w:pPr>
      <w:r>
        <w:rPr>
          <w:rFonts w:ascii="Calibri Light" w:hAnsi="Calibri Light" w:cs="Calibri Light"/>
          <w:color w:val="59595B"/>
        </w:rPr>
        <w:t>Revenues</w:t>
      </w:r>
      <w:r w:rsidR="00115B5F">
        <w:rPr>
          <w:rFonts w:ascii="Calibri Light" w:hAnsi="Calibri Light" w:cs="Calibri Light"/>
          <w:color w:val="59595B"/>
        </w:rPr>
        <w:t xml:space="preserve"> for the nine months to </w:t>
      </w:r>
      <w:r w:rsidR="00C77A59">
        <w:rPr>
          <w:rFonts w:ascii="Calibri Light" w:hAnsi="Calibri Light" w:cs="Calibri Light"/>
          <w:color w:val="59595B"/>
        </w:rPr>
        <w:t xml:space="preserve">30 </w:t>
      </w:r>
      <w:r w:rsidR="00115B5F">
        <w:rPr>
          <w:rFonts w:ascii="Calibri Light" w:hAnsi="Calibri Light" w:cs="Calibri Light"/>
          <w:color w:val="59595B"/>
        </w:rPr>
        <w:t>September</w:t>
      </w:r>
      <w:r w:rsidR="009A6C52" w:rsidRPr="0060131B">
        <w:rPr>
          <w:rFonts w:ascii="Calibri Light" w:hAnsi="Calibri Light" w:cs="Calibri Light"/>
          <w:color w:val="59595B"/>
        </w:rPr>
        <w:t xml:space="preserve"> </w:t>
      </w:r>
      <w:r w:rsidR="00BD6234">
        <w:rPr>
          <w:rFonts w:ascii="Calibri Light" w:hAnsi="Calibri Light" w:cs="Calibri Light"/>
          <w:color w:val="59595B"/>
        </w:rPr>
        <w:t>in</w:t>
      </w:r>
      <w:r w:rsidR="00B92BF8">
        <w:rPr>
          <w:rFonts w:ascii="Calibri Light" w:hAnsi="Calibri Light" w:cs="Calibri Light"/>
          <w:color w:val="59595B"/>
        </w:rPr>
        <w:t>creased to</w:t>
      </w:r>
      <w:r w:rsidR="00BD6234">
        <w:rPr>
          <w:rFonts w:ascii="Calibri Light" w:hAnsi="Calibri Light" w:cs="Calibri Light"/>
          <w:color w:val="59595B"/>
        </w:rPr>
        <w:t xml:space="preserve"> </w:t>
      </w:r>
      <w:r w:rsidR="00B92BF8" w:rsidRPr="0060131B">
        <w:rPr>
          <w:rFonts w:ascii="Calibri Light" w:hAnsi="Calibri Light" w:cs="Calibri Light"/>
          <w:color w:val="59595B"/>
        </w:rPr>
        <w:t>€</w:t>
      </w:r>
      <w:r w:rsidR="00523617">
        <w:rPr>
          <w:rFonts w:ascii="Calibri Light" w:hAnsi="Calibri Light" w:cs="Calibri Light"/>
          <w:color w:val="59595B"/>
        </w:rPr>
        <w:t>56.7</w:t>
      </w:r>
      <w:r w:rsidR="00B92BF8">
        <w:rPr>
          <w:rFonts w:ascii="Calibri Light" w:hAnsi="Calibri Light" w:cs="Calibri Light"/>
          <w:color w:val="59595B"/>
        </w:rPr>
        <w:t xml:space="preserve"> million</w:t>
      </w:r>
      <w:r w:rsidR="0053161C">
        <w:rPr>
          <w:rFonts w:ascii="Calibri Light" w:hAnsi="Calibri Light" w:cs="Calibri Light"/>
          <w:color w:val="59595B"/>
        </w:rPr>
        <w:t xml:space="preserve"> (2016</w:t>
      </w:r>
      <w:r w:rsidR="0053161C" w:rsidRPr="0060131B">
        <w:rPr>
          <w:rFonts w:ascii="Calibri Light" w:hAnsi="Calibri Light" w:cs="Calibri Light"/>
          <w:color w:val="59595B"/>
        </w:rPr>
        <w:t xml:space="preserve"> €</w:t>
      </w:r>
      <w:r w:rsidR="0053161C">
        <w:rPr>
          <w:rFonts w:ascii="Calibri Light" w:hAnsi="Calibri Light" w:cs="Calibri Light"/>
          <w:color w:val="59595B"/>
        </w:rPr>
        <w:t>8.7</w:t>
      </w:r>
      <w:r w:rsidR="0053161C" w:rsidRPr="0060131B">
        <w:rPr>
          <w:rFonts w:ascii="Calibri Light" w:hAnsi="Calibri Light" w:cs="Calibri Light"/>
          <w:color w:val="59595B"/>
        </w:rPr>
        <w:t xml:space="preserve"> million</w:t>
      </w:r>
      <w:r w:rsidR="0053161C">
        <w:rPr>
          <w:rFonts w:ascii="Calibri Light" w:hAnsi="Calibri Light" w:cs="Calibri Light"/>
          <w:color w:val="59595B"/>
        </w:rPr>
        <w:t>)</w:t>
      </w:r>
      <w:r>
        <w:rPr>
          <w:rFonts w:ascii="Calibri Light" w:hAnsi="Calibri Light" w:cs="Calibri Light"/>
          <w:color w:val="59595B"/>
        </w:rPr>
        <w:t xml:space="preserve">, with </w:t>
      </w:r>
      <w:r w:rsidR="008A0A7A">
        <w:rPr>
          <w:rFonts w:ascii="Calibri Light" w:hAnsi="Calibri Light" w:cs="Calibri Light"/>
          <w:color w:val="59595B"/>
        </w:rPr>
        <w:t>Q3</w:t>
      </w:r>
      <w:r w:rsidR="00A4192E">
        <w:rPr>
          <w:rFonts w:ascii="Calibri Light" w:hAnsi="Calibri Light" w:cs="Calibri Light"/>
          <w:color w:val="59595B"/>
        </w:rPr>
        <w:t xml:space="preserve"> alone</w:t>
      </w:r>
      <w:r w:rsidR="00B92BF8">
        <w:rPr>
          <w:rFonts w:ascii="Calibri Light" w:hAnsi="Calibri Light" w:cs="Calibri Light"/>
          <w:color w:val="59595B"/>
        </w:rPr>
        <w:t xml:space="preserve"> </w:t>
      </w:r>
      <w:r w:rsidR="009A6C52" w:rsidRPr="0060131B">
        <w:rPr>
          <w:rFonts w:ascii="Calibri Light" w:hAnsi="Calibri Light" w:cs="Calibri Light"/>
          <w:color w:val="59595B"/>
        </w:rPr>
        <w:t>€</w:t>
      </w:r>
      <w:r w:rsidR="00523617">
        <w:rPr>
          <w:rFonts w:ascii="Calibri Light" w:hAnsi="Calibri Light" w:cs="Calibri Light"/>
          <w:color w:val="59595B"/>
        </w:rPr>
        <w:t>25.9</w:t>
      </w:r>
      <w:r w:rsidR="00B92BF8">
        <w:rPr>
          <w:rFonts w:ascii="Calibri Light" w:hAnsi="Calibri Light" w:cs="Calibri Light"/>
          <w:color w:val="59595B"/>
        </w:rPr>
        <w:t xml:space="preserve"> million</w:t>
      </w:r>
      <w:r w:rsidR="00B8591A">
        <w:rPr>
          <w:rFonts w:ascii="Calibri Light" w:hAnsi="Calibri Light" w:cs="Calibri Light"/>
          <w:color w:val="59595B"/>
        </w:rPr>
        <w:t xml:space="preserve"> (</w:t>
      </w:r>
      <w:r w:rsidR="005D7CFB">
        <w:rPr>
          <w:rFonts w:ascii="Calibri Light" w:hAnsi="Calibri Light" w:cs="Calibri Light"/>
          <w:color w:val="59595B"/>
        </w:rPr>
        <w:t xml:space="preserve">$30.5 million, </w:t>
      </w:r>
      <w:r w:rsidR="00B8591A">
        <w:rPr>
          <w:rFonts w:ascii="Calibri Light" w:hAnsi="Calibri Light" w:cs="Calibri Light"/>
          <w:color w:val="59595B"/>
        </w:rPr>
        <w:t>up 73% on Q2 2017)</w:t>
      </w:r>
      <w:r>
        <w:rPr>
          <w:rFonts w:ascii="Calibri Light" w:hAnsi="Calibri Light" w:cs="Calibri Light"/>
          <w:color w:val="59595B"/>
        </w:rPr>
        <w:t>, due to strong growth in US and EU sales</w:t>
      </w:r>
    </w:p>
    <w:p w14:paraId="10EEF62B" w14:textId="44A36A77" w:rsidR="00ED449C" w:rsidRDefault="00A4192E" w:rsidP="00842B78">
      <w:pPr>
        <w:pStyle w:val="ListParagraph"/>
        <w:numPr>
          <w:ilvl w:val="0"/>
          <w:numId w:val="5"/>
        </w:numPr>
        <w:spacing w:line="276" w:lineRule="auto"/>
        <w:contextualSpacing w:val="0"/>
        <w:rPr>
          <w:rFonts w:ascii="Calibri Light" w:eastAsia="Calibri" w:hAnsi="Calibri Light" w:cs="Calibri Light"/>
          <w:color w:val="59595B"/>
          <w:szCs w:val="22"/>
        </w:rPr>
      </w:pPr>
      <w:r>
        <w:rPr>
          <w:rFonts w:ascii="Calibri Light" w:hAnsi="Calibri Light" w:cs="Calibri Light"/>
          <w:color w:val="59595B"/>
        </w:rPr>
        <w:t xml:space="preserve">Q3 </w:t>
      </w:r>
      <w:r w:rsidR="007D78B7">
        <w:rPr>
          <w:rFonts w:ascii="Calibri Light" w:hAnsi="Calibri Light" w:cs="Calibri Light"/>
          <w:color w:val="59595B"/>
        </w:rPr>
        <w:t>o</w:t>
      </w:r>
      <w:r w:rsidR="00ED449C">
        <w:rPr>
          <w:rFonts w:ascii="Calibri Light" w:eastAsia="Calibri" w:hAnsi="Calibri Light" w:cs="Calibri Light"/>
          <w:color w:val="59595B"/>
          <w:szCs w:val="22"/>
        </w:rPr>
        <w:t xml:space="preserve">perating </w:t>
      </w:r>
      <w:r w:rsidR="00840EC5">
        <w:rPr>
          <w:rFonts w:ascii="Calibri Light" w:eastAsia="Calibri" w:hAnsi="Calibri Light" w:cs="Calibri Light"/>
          <w:color w:val="59595B"/>
          <w:szCs w:val="22"/>
        </w:rPr>
        <w:t xml:space="preserve">profit </w:t>
      </w:r>
      <w:r w:rsidR="004B487D">
        <w:rPr>
          <w:rFonts w:ascii="Calibri Light" w:eastAsia="Calibri" w:hAnsi="Calibri Light" w:cs="Calibri Light"/>
          <w:color w:val="59595B"/>
          <w:szCs w:val="22"/>
        </w:rPr>
        <w:t xml:space="preserve">up to </w:t>
      </w:r>
      <w:r w:rsidR="00840EC5">
        <w:rPr>
          <w:rFonts w:ascii="Calibri Light" w:eastAsia="Calibri" w:hAnsi="Calibri Light" w:cs="Calibri Light"/>
          <w:color w:val="59595B"/>
          <w:szCs w:val="22"/>
        </w:rPr>
        <w:t>€</w:t>
      </w:r>
      <w:r w:rsidR="00B31524">
        <w:rPr>
          <w:rFonts w:ascii="Calibri Light" w:eastAsia="Calibri" w:hAnsi="Calibri Light" w:cs="Calibri Light"/>
          <w:color w:val="59595B"/>
          <w:szCs w:val="22"/>
        </w:rPr>
        <w:t>8.5</w:t>
      </w:r>
      <w:r w:rsidR="00840EC5">
        <w:rPr>
          <w:rFonts w:ascii="Calibri Light" w:eastAsia="Calibri" w:hAnsi="Calibri Light" w:cs="Calibri Light"/>
          <w:color w:val="59595B"/>
          <w:szCs w:val="22"/>
        </w:rPr>
        <w:t xml:space="preserve"> million</w:t>
      </w:r>
      <w:r w:rsidR="008A49C2" w:rsidRPr="00340700">
        <w:rPr>
          <w:rFonts w:ascii="Calibri Light" w:eastAsia="Calibri" w:hAnsi="Calibri Light" w:cs="Calibri Light"/>
          <w:color w:val="59595B"/>
          <w:szCs w:val="22"/>
        </w:rPr>
        <w:t xml:space="preserve"> </w:t>
      </w:r>
      <w:r w:rsidR="002B6023">
        <w:rPr>
          <w:rFonts w:ascii="Calibri Light" w:eastAsia="Calibri" w:hAnsi="Calibri Light" w:cs="Calibri Light"/>
          <w:color w:val="59595B"/>
          <w:szCs w:val="22"/>
        </w:rPr>
        <w:t xml:space="preserve">compared with </w:t>
      </w:r>
      <w:r>
        <w:rPr>
          <w:rFonts w:ascii="Calibri Light" w:eastAsia="Calibri" w:hAnsi="Calibri Light" w:cs="Calibri Light"/>
          <w:color w:val="59595B"/>
          <w:szCs w:val="22"/>
        </w:rPr>
        <w:t>a</w:t>
      </w:r>
      <w:r w:rsidR="00840EC5">
        <w:rPr>
          <w:rFonts w:ascii="Calibri Light" w:eastAsia="Calibri" w:hAnsi="Calibri Light" w:cs="Calibri Light"/>
          <w:color w:val="59595B"/>
          <w:szCs w:val="22"/>
        </w:rPr>
        <w:t xml:space="preserve"> loss</w:t>
      </w:r>
      <w:r w:rsidR="00B03707">
        <w:rPr>
          <w:rFonts w:ascii="Calibri Light" w:eastAsia="Calibri" w:hAnsi="Calibri Light" w:cs="Calibri Light"/>
          <w:color w:val="59595B"/>
          <w:szCs w:val="22"/>
        </w:rPr>
        <w:t xml:space="preserve"> of €3.2 million in </w:t>
      </w:r>
      <w:r w:rsidR="008A0A7A">
        <w:rPr>
          <w:rFonts w:ascii="Calibri Light" w:eastAsia="Calibri" w:hAnsi="Calibri Light" w:cs="Calibri Light"/>
          <w:color w:val="59595B"/>
          <w:szCs w:val="22"/>
        </w:rPr>
        <w:t>Q3</w:t>
      </w:r>
      <w:r w:rsidR="00C77A59">
        <w:rPr>
          <w:rFonts w:ascii="Calibri Light" w:eastAsia="Calibri" w:hAnsi="Calibri Light" w:cs="Calibri Light"/>
          <w:color w:val="59595B"/>
          <w:szCs w:val="22"/>
        </w:rPr>
        <w:t xml:space="preserve"> </w:t>
      </w:r>
      <w:r w:rsidR="00B03707">
        <w:rPr>
          <w:rFonts w:ascii="Calibri Light" w:eastAsia="Calibri" w:hAnsi="Calibri Light" w:cs="Calibri Light"/>
          <w:color w:val="59595B"/>
          <w:szCs w:val="22"/>
        </w:rPr>
        <w:t>2016</w:t>
      </w:r>
      <w:r w:rsidR="00C77A59">
        <w:rPr>
          <w:rFonts w:ascii="Calibri Light" w:eastAsia="Calibri" w:hAnsi="Calibri Light" w:cs="Calibri Light"/>
          <w:color w:val="59595B"/>
          <w:szCs w:val="22"/>
        </w:rPr>
        <w:t xml:space="preserve"> </w:t>
      </w:r>
    </w:p>
    <w:p w14:paraId="09A0892E" w14:textId="2E96472D" w:rsidR="00282DB8" w:rsidRDefault="004B487D" w:rsidP="00F34B29">
      <w:pPr>
        <w:pStyle w:val="ListParagraph"/>
        <w:numPr>
          <w:ilvl w:val="0"/>
          <w:numId w:val="5"/>
        </w:numPr>
        <w:spacing w:line="276" w:lineRule="auto"/>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Q3 net result improved to </w:t>
      </w:r>
      <w:r w:rsidR="009677A2">
        <w:rPr>
          <w:rFonts w:ascii="Calibri Light" w:eastAsia="Calibri" w:hAnsi="Calibri Light" w:cs="Calibri Light"/>
          <w:color w:val="59595B"/>
          <w:szCs w:val="22"/>
        </w:rPr>
        <w:t>€</w:t>
      </w:r>
      <w:r w:rsidR="00B31524">
        <w:rPr>
          <w:rFonts w:ascii="Calibri Light" w:eastAsia="Calibri" w:hAnsi="Calibri Light" w:cs="Calibri Light"/>
          <w:color w:val="59595B"/>
          <w:szCs w:val="22"/>
        </w:rPr>
        <w:t>7.5</w:t>
      </w:r>
      <w:r w:rsidR="006A7A70">
        <w:rPr>
          <w:rFonts w:ascii="Calibri Light" w:eastAsia="Calibri" w:hAnsi="Calibri Light" w:cs="Calibri Light"/>
          <w:color w:val="59595B"/>
          <w:szCs w:val="22"/>
        </w:rPr>
        <w:t xml:space="preserve"> </w:t>
      </w:r>
      <w:r w:rsidR="009677A2">
        <w:rPr>
          <w:rFonts w:ascii="Calibri Light" w:eastAsia="Calibri" w:hAnsi="Calibri Light" w:cs="Calibri Light"/>
          <w:color w:val="59595B"/>
          <w:szCs w:val="22"/>
        </w:rPr>
        <w:t xml:space="preserve">million loss </w:t>
      </w:r>
      <w:r>
        <w:rPr>
          <w:rFonts w:ascii="Calibri Light" w:eastAsia="Calibri" w:hAnsi="Calibri Light" w:cs="Calibri Light"/>
          <w:color w:val="59595B"/>
          <w:szCs w:val="22"/>
        </w:rPr>
        <w:t xml:space="preserve">compared with a loss of €24.5 million in </w:t>
      </w:r>
      <w:r w:rsidR="00A4192E">
        <w:rPr>
          <w:rFonts w:ascii="Calibri Light" w:eastAsia="Calibri" w:hAnsi="Calibri Light" w:cs="Calibri Light"/>
          <w:color w:val="59595B"/>
          <w:szCs w:val="22"/>
        </w:rPr>
        <w:t>Q2</w:t>
      </w:r>
    </w:p>
    <w:p w14:paraId="0E25AF0D" w14:textId="4719E683" w:rsidR="00BF3D5D" w:rsidRPr="00842B78" w:rsidRDefault="00B92BF8" w:rsidP="00432242">
      <w:pPr>
        <w:pStyle w:val="ListParagraph"/>
        <w:numPr>
          <w:ilvl w:val="0"/>
          <w:numId w:val="6"/>
        </w:numPr>
        <w:spacing w:line="276" w:lineRule="auto"/>
        <w:contextualSpacing w:val="0"/>
        <w:rPr>
          <w:rFonts w:ascii="Calibri Light" w:hAnsi="Calibri Light" w:cs="Calibri Light"/>
          <w:b/>
          <w:color w:val="00679B"/>
          <w:sz w:val="24"/>
        </w:rPr>
      </w:pPr>
      <w:r>
        <w:rPr>
          <w:rFonts w:ascii="Calibri Light" w:eastAsia="Calibri" w:hAnsi="Calibri Light" w:cs="Calibri Light"/>
          <w:color w:val="59595B"/>
          <w:szCs w:val="22"/>
        </w:rPr>
        <w:t xml:space="preserve">Positive cashflows during </w:t>
      </w:r>
      <w:r w:rsidR="00F53789">
        <w:rPr>
          <w:rFonts w:ascii="Calibri Light" w:eastAsia="Calibri" w:hAnsi="Calibri Light" w:cs="Calibri Light"/>
          <w:color w:val="59595B"/>
          <w:szCs w:val="22"/>
        </w:rPr>
        <w:t>Q3</w:t>
      </w:r>
      <w:r w:rsidR="004B487D">
        <w:rPr>
          <w:rFonts w:ascii="Calibri Light" w:eastAsia="Calibri" w:hAnsi="Calibri Light" w:cs="Calibri Light"/>
          <w:color w:val="59595B"/>
          <w:szCs w:val="22"/>
        </w:rPr>
        <w:t xml:space="preserve"> increased</w:t>
      </w:r>
      <w:r>
        <w:rPr>
          <w:rFonts w:ascii="Calibri Light" w:eastAsia="Calibri" w:hAnsi="Calibri Light" w:cs="Calibri Light"/>
          <w:color w:val="59595B"/>
          <w:szCs w:val="22"/>
        </w:rPr>
        <w:t xml:space="preserve"> the cash position to </w:t>
      </w:r>
      <w:r w:rsidRPr="00BF3D5D">
        <w:rPr>
          <w:rFonts w:ascii="Calibri Light" w:eastAsia="Calibri" w:hAnsi="Calibri Light" w:cs="Calibri Light"/>
          <w:color w:val="59595B"/>
          <w:szCs w:val="22"/>
        </w:rPr>
        <w:t>€</w:t>
      </w:r>
      <w:r w:rsidR="004B487D">
        <w:rPr>
          <w:rFonts w:ascii="Calibri Light" w:eastAsia="Calibri" w:hAnsi="Calibri Light" w:cs="Calibri Light"/>
          <w:color w:val="59595B"/>
          <w:szCs w:val="22"/>
        </w:rPr>
        <w:t>38.6</w:t>
      </w:r>
      <w:r w:rsidRPr="00BF3D5D">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from </w:t>
      </w:r>
      <w:r w:rsidR="00B254A2">
        <w:rPr>
          <w:rFonts w:ascii="Calibri Light" w:eastAsia="Calibri" w:hAnsi="Calibri Light" w:cs="Calibri Light"/>
          <w:color w:val="59595B"/>
          <w:szCs w:val="22"/>
        </w:rPr>
        <w:t>€</w:t>
      </w:r>
      <w:r w:rsidR="00BF3D5D" w:rsidRPr="00BF3D5D">
        <w:rPr>
          <w:rFonts w:ascii="Calibri Light" w:eastAsia="Calibri" w:hAnsi="Calibri Light" w:cs="Calibri Light"/>
          <w:color w:val="59595B"/>
          <w:szCs w:val="22"/>
        </w:rPr>
        <w:t>25</w:t>
      </w:r>
      <w:r w:rsidR="00B254A2">
        <w:rPr>
          <w:rFonts w:ascii="Calibri Light" w:eastAsia="Calibri" w:hAnsi="Calibri Light" w:cs="Calibri Light"/>
          <w:color w:val="59595B"/>
          <w:szCs w:val="22"/>
        </w:rPr>
        <w:t>.</w:t>
      </w:r>
      <w:r w:rsidR="006A7A70">
        <w:rPr>
          <w:rFonts w:ascii="Calibri Light" w:eastAsia="Calibri" w:hAnsi="Calibri Light" w:cs="Calibri Light"/>
          <w:color w:val="59595B"/>
          <w:szCs w:val="22"/>
        </w:rPr>
        <w:t xml:space="preserve">2 </w:t>
      </w:r>
      <w:r>
        <w:rPr>
          <w:rFonts w:ascii="Calibri Light" w:eastAsia="Calibri" w:hAnsi="Calibri Light" w:cs="Calibri Light"/>
          <w:color w:val="59595B"/>
          <w:szCs w:val="22"/>
        </w:rPr>
        <w:t xml:space="preserve">million at June 30 2017 </w:t>
      </w:r>
      <w:r w:rsidR="007329B4" w:rsidRPr="00BF3D5D">
        <w:rPr>
          <w:rFonts w:ascii="Calibri Light" w:eastAsia="Calibri" w:hAnsi="Calibri Light" w:cs="Calibri Light"/>
          <w:color w:val="59595B"/>
          <w:szCs w:val="22"/>
        </w:rPr>
        <w:t>(</w:t>
      </w:r>
      <w:r w:rsidR="004B487D">
        <w:rPr>
          <w:rFonts w:ascii="Calibri Light" w:eastAsia="Calibri" w:hAnsi="Calibri Light" w:cs="Calibri Light"/>
          <w:color w:val="59595B"/>
          <w:szCs w:val="22"/>
        </w:rPr>
        <w:t xml:space="preserve">and </w:t>
      </w:r>
      <w:r w:rsidR="007329B4" w:rsidRPr="00BF3D5D">
        <w:rPr>
          <w:rFonts w:ascii="Calibri Light" w:eastAsia="Calibri" w:hAnsi="Calibri Light" w:cs="Calibri Light"/>
          <w:color w:val="59595B"/>
          <w:szCs w:val="22"/>
        </w:rPr>
        <w:t>€</w:t>
      </w:r>
      <w:r w:rsidR="00B254A2">
        <w:rPr>
          <w:rFonts w:ascii="Calibri Light" w:eastAsia="Calibri" w:hAnsi="Calibri Light" w:cs="Calibri Light"/>
          <w:color w:val="59595B"/>
          <w:szCs w:val="22"/>
        </w:rPr>
        <w:t>17.0</w:t>
      </w:r>
      <w:r w:rsidR="007329B4" w:rsidRPr="00BF3D5D">
        <w:rPr>
          <w:rFonts w:ascii="Calibri Light" w:eastAsia="Calibri" w:hAnsi="Calibri Light" w:cs="Calibri Light"/>
          <w:color w:val="59595B"/>
          <w:szCs w:val="22"/>
        </w:rPr>
        <w:t xml:space="preserve"> million at </w:t>
      </w:r>
      <w:r w:rsidR="00BF3D5D" w:rsidRPr="00BF3D5D">
        <w:rPr>
          <w:rFonts w:ascii="Calibri Light" w:eastAsia="Calibri" w:hAnsi="Calibri Light" w:cs="Calibri Light"/>
          <w:color w:val="59595B"/>
          <w:szCs w:val="22"/>
        </w:rPr>
        <w:t>30 September</w:t>
      </w:r>
      <w:r w:rsidR="007329B4" w:rsidRPr="00BF3D5D">
        <w:rPr>
          <w:rFonts w:ascii="Calibri Light" w:eastAsia="Calibri" w:hAnsi="Calibri Light" w:cs="Calibri Light"/>
          <w:color w:val="59595B"/>
          <w:szCs w:val="22"/>
        </w:rPr>
        <w:t xml:space="preserve"> 2016)</w:t>
      </w:r>
    </w:p>
    <w:p w14:paraId="56B94DE1" w14:textId="48CAA01F" w:rsidR="00BF3D5D" w:rsidRDefault="00BF3D5D" w:rsidP="00BF3D5D">
      <w:pPr>
        <w:pStyle w:val="ListParagraph"/>
        <w:spacing w:line="276" w:lineRule="auto"/>
        <w:contextualSpacing w:val="0"/>
        <w:rPr>
          <w:rFonts w:ascii="Calibri Light" w:hAnsi="Calibri Light" w:cs="Calibri Light"/>
          <w:b/>
          <w:color w:val="00679B"/>
          <w:sz w:val="24"/>
        </w:rPr>
      </w:pPr>
    </w:p>
    <w:p w14:paraId="6BCCFD4A" w14:textId="77777777" w:rsidR="001F32EF" w:rsidRPr="00340700" w:rsidRDefault="001F32EF" w:rsidP="00842B78">
      <w:pPr>
        <w:pStyle w:val="Heading1"/>
        <w:spacing w:before="0" w:line="276" w:lineRule="auto"/>
        <w:rPr>
          <w:rFonts w:ascii="Calibri Light" w:hAnsi="Calibri Light" w:cs="Calibri Light"/>
          <w:b/>
          <w:color w:val="00679B"/>
          <w:sz w:val="24"/>
        </w:rPr>
      </w:pPr>
      <w:r w:rsidRPr="00340700">
        <w:rPr>
          <w:rFonts w:ascii="Calibri Light" w:hAnsi="Calibri Light" w:cs="Calibri Light"/>
          <w:b/>
          <w:color w:val="00679B"/>
          <w:sz w:val="24"/>
        </w:rPr>
        <w:t>Operational highlights</w:t>
      </w:r>
      <w:r>
        <w:rPr>
          <w:rFonts w:ascii="Calibri Light" w:hAnsi="Calibri Light" w:cs="Calibri Light"/>
          <w:b/>
          <w:color w:val="00679B"/>
          <w:sz w:val="24"/>
        </w:rPr>
        <w:t xml:space="preserve"> during the third quarter</w:t>
      </w:r>
    </w:p>
    <w:p w14:paraId="321E02EF" w14:textId="143737BA" w:rsidR="001F32EF" w:rsidRPr="00842B78" w:rsidRDefault="001F32EF" w:rsidP="001F32EF">
      <w:pPr>
        <w:pStyle w:val="ListParagraph"/>
        <w:numPr>
          <w:ilvl w:val="0"/>
          <w:numId w:val="4"/>
        </w:numPr>
        <w:spacing w:line="276" w:lineRule="auto"/>
        <w:contextualSpacing w:val="0"/>
        <w:rPr>
          <w:rFonts w:ascii="Calibri Light" w:eastAsia="Calibri" w:hAnsi="Calibri Light" w:cs="Calibri Light"/>
          <w:color w:val="59595B"/>
          <w:szCs w:val="22"/>
        </w:rPr>
      </w:pPr>
      <w:r>
        <w:rPr>
          <w:rFonts w:ascii="Calibri Light" w:hAnsi="Calibri Light" w:cs="Calibri Light"/>
          <w:color w:val="59595B"/>
        </w:rPr>
        <w:t xml:space="preserve">On September 11, following the conclusion of the End-of-Phase 2 interactions with the </w:t>
      </w:r>
      <w:r w:rsidRPr="00BD6234">
        <w:rPr>
          <w:rFonts w:ascii="Calibri Light" w:hAnsi="Calibri Light" w:cs="Calibri Light"/>
          <w:color w:val="59595B"/>
        </w:rPr>
        <w:t xml:space="preserve">US Food </w:t>
      </w:r>
      <w:r>
        <w:rPr>
          <w:rFonts w:ascii="Calibri Light" w:hAnsi="Calibri Light" w:cs="Calibri Light"/>
          <w:color w:val="59595B"/>
        </w:rPr>
        <w:t>and</w:t>
      </w:r>
      <w:r w:rsidRPr="00BD6234">
        <w:rPr>
          <w:rFonts w:ascii="Calibri Light" w:hAnsi="Calibri Light" w:cs="Calibri Light"/>
          <w:color w:val="59595B"/>
        </w:rPr>
        <w:t xml:space="preserve"> Drug Administration </w:t>
      </w:r>
      <w:r>
        <w:rPr>
          <w:rFonts w:ascii="Calibri Light" w:hAnsi="Calibri Light" w:cs="Calibri Light"/>
          <w:color w:val="59595B"/>
        </w:rPr>
        <w:t xml:space="preserve">(FDA), Pharming announced that it will submit a supplemental </w:t>
      </w:r>
      <w:r w:rsidRPr="00BD6234">
        <w:rPr>
          <w:rFonts w:ascii="Calibri Light" w:hAnsi="Calibri Light" w:cs="Calibri Light"/>
          <w:color w:val="59595B"/>
          <w:szCs w:val="20"/>
          <w:lang w:val="en"/>
        </w:rPr>
        <w:t>Biologics License Application</w:t>
      </w:r>
      <w:r w:rsidRPr="00BD6234">
        <w:rPr>
          <w:rFonts w:ascii="Arial" w:hAnsi="Arial" w:cs="Arial"/>
          <w:color w:val="59595B"/>
          <w:szCs w:val="20"/>
          <w:lang w:val="en"/>
        </w:rPr>
        <w:t xml:space="preserve"> </w:t>
      </w:r>
      <w:r w:rsidRPr="00BD6234">
        <w:rPr>
          <w:rFonts w:ascii="Calibri Light" w:hAnsi="Calibri Light" w:cs="Calibri Light"/>
          <w:color w:val="59595B"/>
        </w:rPr>
        <w:t>(</w:t>
      </w:r>
      <w:proofErr w:type="spellStart"/>
      <w:r w:rsidRPr="00BD6234">
        <w:rPr>
          <w:rFonts w:ascii="Calibri Light" w:hAnsi="Calibri Light" w:cs="Calibri Light"/>
          <w:color w:val="59595B"/>
        </w:rPr>
        <w:t>sBLA</w:t>
      </w:r>
      <w:proofErr w:type="spellEnd"/>
      <w:r w:rsidRPr="00BD6234">
        <w:rPr>
          <w:rFonts w:ascii="Calibri Light" w:hAnsi="Calibri Light" w:cs="Calibri Light"/>
          <w:color w:val="59595B"/>
        </w:rPr>
        <w:t>) to the FDA for review in Q4 o</w:t>
      </w:r>
      <w:r>
        <w:rPr>
          <w:rFonts w:ascii="Calibri Light" w:hAnsi="Calibri Light" w:cs="Calibri Light"/>
          <w:color w:val="59595B"/>
        </w:rPr>
        <w:t xml:space="preserve">f this year for </w:t>
      </w:r>
      <w:r w:rsidRPr="00BD6234">
        <w:rPr>
          <w:rFonts w:ascii="Calibri Light" w:hAnsi="Calibri Light" w:cs="Calibri Light"/>
          <w:color w:val="59595B"/>
        </w:rPr>
        <w:t xml:space="preserve">prophylaxis </w:t>
      </w:r>
      <w:r>
        <w:rPr>
          <w:rFonts w:ascii="Calibri Light" w:hAnsi="Calibri Light" w:cs="Calibri Light"/>
          <w:color w:val="59595B"/>
        </w:rPr>
        <w:t>of</w:t>
      </w:r>
      <w:r w:rsidRPr="00BD6234">
        <w:rPr>
          <w:rFonts w:ascii="Calibri Light" w:hAnsi="Calibri Light" w:cs="Calibri Light"/>
          <w:color w:val="59595B"/>
        </w:rPr>
        <w:t xml:space="preserve"> angioedema attacks in adolescent and adult patients with </w:t>
      </w:r>
      <w:r>
        <w:rPr>
          <w:rFonts w:ascii="Calibri Light" w:hAnsi="Calibri Light" w:cs="Calibri Light"/>
          <w:color w:val="59595B"/>
        </w:rPr>
        <w:t>h</w:t>
      </w:r>
      <w:r w:rsidRPr="00BD6234">
        <w:rPr>
          <w:rFonts w:ascii="Calibri Light" w:hAnsi="Calibri Light" w:cs="Calibri Light"/>
          <w:color w:val="59595B"/>
        </w:rPr>
        <w:t xml:space="preserve">ereditary </w:t>
      </w:r>
      <w:r>
        <w:rPr>
          <w:rFonts w:ascii="Calibri Light" w:hAnsi="Calibri Light" w:cs="Calibri Light"/>
          <w:color w:val="59595B"/>
        </w:rPr>
        <w:t>a</w:t>
      </w:r>
      <w:r w:rsidRPr="00BD6234">
        <w:rPr>
          <w:rFonts w:ascii="Calibri Light" w:hAnsi="Calibri Light" w:cs="Calibri Light"/>
          <w:color w:val="59595B"/>
        </w:rPr>
        <w:t>ngioedema (HAE) as an expanded indication for RUCONEST®</w:t>
      </w:r>
      <w:r>
        <w:rPr>
          <w:rFonts w:ascii="Calibri Light" w:hAnsi="Calibri Light" w:cs="Calibri Light"/>
          <w:color w:val="59595B"/>
        </w:rPr>
        <w:t xml:space="preserve"> </w:t>
      </w:r>
      <w:r w:rsidRPr="00F84F74">
        <w:rPr>
          <w:rFonts w:ascii="Calibri Light" w:hAnsi="Calibri Light" w:cs="Calibri Light"/>
          <w:color w:val="59595B"/>
        </w:rPr>
        <w:t>[Recombinant Human C1 Esterase Inhibitor/ conestat alfa]</w:t>
      </w:r>
    </w:p>
    <w:p w14:paraId="124D0CDB" w14:textId="028A9E4F" w:rsidR="001F32EF" w:rsidRPr="00842B78" w:rsidRDefault="001F32EF" w:rsidP="00842B78">
      <w:pPr>
        <w:pStyle w:val="ListParagraph"/>
        <w:numPr>
          <w:ilvl w:val="0"/>
          <w:numId w:val="4"/>
        </w:numPr>
        <w:spacing w:line="276" w:lineRule="auto"/>
        <w:rPr>
          <w:rFonts w:ascii="Calibri Light" w:eastAsia="Calibri" w:hAnsi="Calibri Light" w:cs="Calibri Light"/>
          <w:color w:val="59595B"/>
          <w:szCs w:val="22"/>
        </w:rPr>
      </w:pPr>
      <w:r>
        <w:rPr>
          <w:rFonts w:ascii="Calibri Light" w:eastAsia="Calibri" w:hAnsi="Calibri Light" w:cs="Calibri Light"/>
          <w:color w:val="59595B"/>
          <w:szCs w:val="22"/>
        </w:rPr>
        <w:t xml:space="preserve">On September 26, the Company, in association with HAEi (the international umbrella organization for the world’s HAE patient groups), announced the appointment of </w:t>
      </w:r>
      <w:proofErr w:type="spellStart"/>
      <w:r>
        <w:rPr>
          <w:rFonts w:ascii="Calibri Light" w:eastAsia="Calibri" w:hAnsi="Calibri Light" w:cs="Calibri Light"/>
          <w:color w:val="59595B"/>
          <w:szCs w:val="22"/>
        </w:rPr>
        <w:t>Inceptua</w:t>
      </w:r>
      <w:proofErr w:type="spellEnd"/>
      <w:r>
        <w:rPr>
          <w:rFonts w:ascii="Calibri Light" w:eastAsia="Calibri" w:hAnsi="Calibri Light" w:cs="Calibri Light"/>
          <w:color w:val="59595B"/>
          <w:szCs w:val="22"/>
        </w:rPr>
        <w:t xml:space="preserve"> Medicines Access as their new distribution partner for the “HAEi Global Access Program” (HAEi GAP) enabling patients in all countries where Pharming’s product RUCONEST® is not commercially available to gain access to the drug through an ethical and regulatory-compliant mechanism  </w:t>
      </w:r>
    </w:p>
    <w:p w14:paraId="446358D3" w14:textId="77777777" w:rsidR="001F32EF" w:rsidRPr="00BD6234" w:rsidRDefault="001F32EF" w:rsidP="001F32EF">
      <w:pPr>
        <w:pStyle w:val="ListParagraph"/>
        <w:numPr>
          <w:ilvl w:val="0"/>
          <w:numId w:val="4"/>
        </w:numPr>
        <w:spacing w:line="276" w:lineRule="auto"/>
        <w:contextualSpacing w:val="0"/>
        <w:rPr>
          <w:rFonts w:ascii="Calibri Light" w:eastAsia="Calibri" w:hAnsi="Calibri Light" w:cs="Calibri Light"/>
          <w:color w:val="59595B"/>
          <w:szCs w:val="22"/>
        </w:rPr>
      </w:pPr>
      <w:r w:rsidRPr="00BD6234">
        <w:rPr>
          <w:rFonts w:ascii="Calibri Light" w:eastAsia="Calibri" w:hAnsi="Calibri Light" w:cs="Calibri Light"/>
          <w:color w:val="59595B"/>
          <w:szCs w:val="22"/>
        </w:rPr>
        <w:t xml:space="preserve">Positive </w:t>
      </w:r>
      <w:r>
        <w:rPr>
          <w:rFonts w:ascii="Calibri Light" w:eastAsia="Calibri" w:hAnsi="Calibri Light" w:cs="Calibri Light"/>
          <w:color w:val="59595B"/>
          <w:szCs w:val="22"/>
        </w:rPr>
        <w:t>results</w:t>
      </w:r>
      <w:r>
        <w:rPr>
          <w:rFonts w:ascii="Calibri Light" w:hAnsi="Calibri Light" w:cs="Calibri Light"/>
          <w:color w:val="59595B"/>
        </w:rPr>
        <w:t xml:space="preserve"> were obtained </w:t>
      </w:r>
      <w:r w:rsidRPr="00BD6234">
        <w:rPr>
          <w:rFonts w:ascii="Calibri Light" w:hAnsi="Calibri Light" w:cs="Calibri Light"/>
          <w:color w:val="59595B"/>
        </w:rPr>
        <w:t xml:space="preserve">from a </w:t>
      </w:r>
      <w:r>
        <w:rPr>
          <w:rFonts w:ascii="Calibri Light" w:hAnsi="Calibri Light" w:cs="Calibri Light"/>
          <w:color w:val="59595B"/>
        </w:rPr>
        <w:t xml:space="preserve">Phase II </w:t>
      </w:r>
      <w:r w:rsidRPr="00BD6234">
        <w:rPr>
          <w:rFonts w:ascii="Calibri Light" w:hAnsi="Calibri Light" w:cs="Calibri Light"/>
          <w:color w:val="59595B"/>
        </w:rPr>
        <w:t xml:space="preserve">clinical trial </w:t>
      </w:r>
      <w:r>
        <w:rPr>
          <w:rFonts w:ascii="Calibri Light" w:hAnsi="Calibri Light" w:cs="Calibri Light"/>
          <w:color w:val="59595B"/>
        </w:rPr>
        <w:t>investigating</w:t>
      </w:r>
      <w:r w:rsidRPr="00BD6234">
        <w:rPr>
          <w:rFonts w:ascii="Calibri Light" w:hAnsi="Calibri Light" w:cs="Calibri Light"/>
          <w:bCs/>
          <w:color w:val="59595B"/>
        </w:rPr>
        <w:t xml:space="preserve"> the use of RUCONEST</w:t>
      </w:r>
      <w:r w:rsidRPr="00BD6234">
        <w:rPr>
          <w:rFonts w:ascii="Calibri Light" w:hAnsi="Calibri Light" w:cs="Calibri Light"/>
          <w:color w:val="59595B"/>
        </w:rPr>
        <w:t>®</w:t>
      </w:r>
      <w:r w:rsidRPr="00BD6234">
        <w:rPr>
          <w:rFonts w:ascii="Calibri Light" w:hAnsi="Calibri Light" w:cs="Calibri Light"/>
          <w:bCs/>
          <w:color w:val="59595B"/>
        </w:rPr>
        <w:t xml:space="preserve"> for the treatment of HAE attacks in children</w:t>
      </w:r>
    </w:p>
    <w:p w14:paraId="206DA852" w14:textId="77777777" w:rsidR="001F32EF" w:rsidRPr="00BF3D5D" w:rsidRDefault="001F32EF" w:rsidP="00BF3D5D">
      <w:pPr>
        <w:pStyle w:val="ListParagraph"/>
        <w:spacing w:line="276" w:lineRule="auto"/>
        <w:contextualSpacing w:val="0"/>
        <w:rPr>
          <w:rFonts w:ascii="Calibri Light" w:hAnsi="Calibri Light" w:cs="Calibri Light"/>
          <w:b/>
          <w:color w:val="00679B"/>
          <w:sz w:val="24"/>
        </w:rPr>
      </w:pPr>
    </w:p>
    <w:p w14:paraId="1DED8782" w14:textId="77777777" w:rsidR="00016250" w:rsidRPr="00BF3D5D" w:rsidRDefault="00016250" w:rsidP="00432242">
      <w:pPr>
        <w:spacing w:line="276" w:lineRule="auto"/>
        <w:rPr>
          <w:rFonts w:ascii="Calibri Light" w:hAnsi="Calibri Light" w:cs="Calibri Light"/>
          <w:b/>
          <w:color w:val="00679B"/>
          <w:sz w:val="24"/>
        </w:rPr>
      </w:pPr>
      <w:r w:rsidRPr="00BF3D5D">
        <w:rPr>
          <w:rFonts w:ascii="Calibri Light" w:hAnsi="Calibri Light" w:cs="Calibri Light"/>
          <w:b/>
          <w:color w:val="00679B"/>
          <w:sz w:val="24"/>
        </w:rPr>
        <w:t>Post period highlights</w:t>
      </w:r>
    </w:p>
    <w:p w14:paraId="3C7446BE" w14:textId="77777777" w:rsidR="00864B3C" w:rsidRPr="00BD6234" w:rsidRDefault="00432242" w:rsidP="00432242">
      <w:pPr>
        <w:pStyle w:val="ListParagraph"/>
        <w:numPr>
          <w:ilvl w:val="0"/>
          <w:numId w:val="4"/>
        </w:numPr>
        <w:spacing w:line="276" w:lineRule="auto"/>
        <w:contextualSpacing w:val="0"/>
        <w:rPr>
          <w:rFonts w:ascii="Calibri Light" w:eastAsia="Calibri" w:hAnsi="Calibri Light" w:cs="Calibri Light"/>
          <w:color w:val="59595B"/>
          <w:szCs w:val="22"/>
        </w:rPr>
      </w:pPr>
      <w:r w:rsidRPr="00BD6234">
        <w:rPr>
          <w:rFonts w:ascii="Calibri Light" w:eastAsia="Calibri" w:hAnsi="Calibri Light" w:cs="Calibri Light"/>
          <w:color w:val="59595B"/>
          <w:szCs w:val="22"/>
        </w:rPr>
        <w:t xml:space="preserve">The RUCONEST® </w:t>
      </w:r>
      <w:r w:rsidR="0029557F">
        <w:rPr>
          <w:rFonts w:ascii="Calibri Light" w:eastAsia="Calibri" w:hAnsi="Calibri Light" w:cs="Calibri Light"/>
          <w:color w:val="59595B"/>
          <w:szCs w:val="22"/>
        </w:rPr>
        <w:t xml:space="preserve">US </w:t>
      </w:r>
      <w:r w:rsidRPr="00BD6234">
        <w:rPr>
          <w:rFonts w:ascii="Calibri Light" w:hAnsi="Calibri Light" w:cs="Calibri Light"/>
          <w:color w:val="59595B"/>
          <w:szCs w:val="22"/>
          <w:lang w:val="en"/>
        </w:rPr>
        <w:t>Biologics License Application has been</w:t>
      </w:r>
      <w:r w:rsidRPr="00BD6234">
        <w:rPr>
          <w:rFonts w:ascii="Calibri Light" w:eastAsia="Calibri" w:hAnsi="Calibri Light" w:cs="Calibri Light"/>
          <w:color w:val="59595B"/>
          <w:szCs w:val="22"/>
        </w:rPr>
        <w:t xml:space="preserve"> transferred from Valeant Pharmaceuticals International, Inc. (“Valeant”) (NYSE/TSX: VRX) to Pharming, following the acquisition of </w:t>
      </w:r>
      <w:r w:rsidR="00F53789">
        <w:rPr>
          <w:rFonts w:ascii="Calibri Light" w:eastAsia="Calibri" w:hAnsi="Calibri Light" w:cs="Calibri Light"/>
          <w:color w:val="59595B"/>
          <w:szCs w:val="22"/>
        </w:rPr>
        <w:t xml:space="preserve">the </w:t>
      </w:r>
      <w:r w:rsidRPr="00BD6234">
        <w:rPr>
          <w:rFonts w:ascii="Calibri Light" w:eastAsia="Calibri" w:hAnsi="Calibri Light" w:cs="Calibri Light"/>
          <w:color w:val="59595B"/>
          <w:szCs w:val="22"/>
        </w:rPr>
        <w:t>North American commercial rights to the product in December 2016</w:t>
      </w:r>
    </w:p>
    <w:p w14:paraId="53CAA98F" w14:textId="3EC090B3" w:rsidR="00296FE4" w:rsidRDefault="00296FE4">
      <w:pPr>
        <w:jc w:val="left"/>
        <w:rPr>
          <w:rFonts w:ascii="Calibri Light" w:hAnsi="Calibri Light" w:cs="Calibri Light"/>
          <w:color w:val="7F7F7F" w:themeColor="text1" w:themeTint="80"/>
        </w:rPr>
      </w:pPr>
    </w:p>
    <w:p w14:paraId="7C7BF5E5" w14:textId="77777777" w:rsidR="00296FE4" w:rsidRDefault="00296FE4">
      <w:pPr>
        <w:jc w:val="left"/>
        <w:rPr>
          <w:rFonts w:ascii="Calibri Light" w:hAnsi="Calibri Light" w:cs="Calibri Light"/>
          <w:color w:val="7F7F7F" w:themeColor="text1" w:themeTint="80"/>
        </w:rPr>
      </w:pPr>
    </w:p>
    <w:p w14:paraId="7B9E955D" w14:textId="77777777" w:rsidR="000D7B20" w:rsidRPr="00C1148B" w:rsidRDefault="000D7B20" w:rsidP="007B5C28">
      <w:pPr>
        <w:shd w:val="clear" w:color="auto" w:fill="FFFFFF"/>
        <w:spacing w:line="276" w:lineRule="auto"/>
        <w:rPr>
          <w:rFonts w:ascii="Calibri Light" w:hAnsi="Calibri Light" w:cs="Calibri Light"/>
          <w:color w:val="7F7F7F" w:themeColor="text1" w:themeTint="80"/>
        </w:rPr>
      </w:pPr>
    </w:p>
    <w:p w14:paraId="20D7B82E" w14:textId="77777777" w:rsidR="00115B5F" w:rsidRPr="00340700" w:rsidRDefault="00115B5F" w:rsidP="00115B5F">
      <w:pPr>
        <w:spacing w:line="276" w:lineRule="auto"/>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t>Sijmen de Vries</w:t>
      </w:r>
      <w:r w:rsidR="008C740A">
        <w:rPr>
          <w:rFonts w:ascii="Calibri Light" w:eastAsia="SimSun" w:hAnsi="Calibri Light" w:cs="Calibri Light"/>
          <w:b/>
          <w:color w:val="00679B"/>
          <w:sz w:val="24"/>
          <w:lang w:eastAsia="zh-CN"/>
        </w:rPr>
        <w:t>, Chief Executive Officer,</w:t>
      </w:r>
      <w:r>
        <w:rPr>
          <w:rFonts w:ascii="Calibri Light" w:eastAsia="SimSun" w:hAnsi="Calibri Light" w:cs="Calibri Light"/>
          <w:b/>
          <w:color w:val="00679B"/>
          <w:sz w:val="24"/>
          <w:lang w:eastAsia="zh-CN"/>
        </w:rPr>
        <w:t xml:space="preserve"> </w:t>
      </w:r>
      <w:r w:rsidR="008C740A">
        <w:rPr>
          <w:rFonts w:ascii="Calibri Light" w:eastAsia="SimSun" w:hAnsi="Calibri Light" w:cs="Calibri Light"/>
          <w:b/>
          <w:color w:val="00679B"/>
          <w:sz w:val="24"/>
          <w:lang w:eastAsia="zh-CN"/>
        </w:rPr>
        <w:t>commented</w:t>
      </w:r>
      <w:r>
        <w:rPr>
          <w:rFonts w:ascii="Calibri Light" w:eastAsia="SimSun" w:hAnsi="Calibri Light" w:cs="Calibri Light"/>
          <w:b/>
          <w:color w:val="00679B"/>
          <w:sz w:val="24"/>
          <w:lang w:eastAsia="zh-CN"/>
        </w:rPr>
        <w:t>:</w:t>
      </w:r>
    </w:p>
    <w:p w14:paraId="426BE840" w14:textId="764F61FB" w:rsidR="002C6772" w:rsidRDefault="00115B5F" w:rsidP="00115B5F">
      <w:pPr>
        <w:pStyle w:val="NoSpacing"/>
        <w:spacing w:line="276" w:lineRule="auto"/>
        <w:jc w:val="both"/>
        <w:rPr>
          <w:rFonts w:ascii="Calibri Light" w:hAnsi="Calibri Light" w:cs="Calibri Light"/>
          <w:i/>
          <w:color w:val="59595B"/>
        </w:rPr>
      </w:pPr>
      <w:r w:rsidRPr="00EE1947">
        <w:rPr>
          <w:rFonts w:ascii="Calibri Light" w:hAnsi="Calibri Light" w:cs="Calibri Light"/>
          <w:i/>
          <w:color w:val="59595B"/>
        </w:rPr>
        <w:t xml:space="preserve">“These are excellent </w:t>
      </w:r>
      <w:r w:rsidR="00A4192E">
        <w:rPr>
          <w:rFonts w:ascii="Calibri Light" w:hAnsi="Calibri Light" w:cs="Calibri Light"/>
          <w:i/>
          <w:color w:val="59595B"/>
        </w:rPr>
        <w:t xml:space="preserve">quarterly </w:t>
      </w:r>
      <w:r w:rsidRPr="00EE1947">
        <w:rPr>
          <w:rFonts w:ascii="Calibri Light" w:hAnsi="Calibri Light" w:cs="Calibri Light"/>
          <w:i/>
          <w:color w:val="59595B"/>
        </w:rPr>
        <w:t>results and show th</w:t>
      </w:r>
      <w:r>
        <w:rPr>
          <w:rFonts w:ascii="Calibri Light" w:hAnsi="Calibri Light" w:cs="Calibri Light"/>
          <w:i/>
          <w:color w:val="59595B"/>
        </w:rPr>
        <w:t xml:space="preserve">at we are on the right track with </w:t>
      </w:r>
      <w:r w:rsidRPr="00EE1947">
        <w:rPr>
          <w:rFonts w:ascii="Calibri Light" w:hAnsi="Calibri Light" w:cs="Calibri Light"/>
          <w:i/>
          <w:color w:val="59595B"/>
        </w:rPr>
        <w:t>our strategy</w:t>
      </w:r>
      <w:r>
        <w:rPr>
          <w:rFonts w:ascii="Calibri Light" w:hAnsi="Calibri Light" w:cs="Calibri Light"/>
          <w:i/>
          <w:color w:val="59595B"/>
        </w:rPr>
        <w:t xml:space="preserve"> for RUCONEST® in all markets. </w:t>
      </w:r>
      <w:r w:rsidR="00A4192E">
        <w:rPr>
          <w:rFonts w:ascii="Calibri Light" w:hAnsi="Calibri Light" w:cs="Calibri Light"/>
          <w:i/>
          <w:color w:val="59595B"/>
        </w:rPr>
        <w:t>We now see</w:t>
      </w:r>
      <w:r w:rsidR="00F53789">
        <w:rPr>
          <w:rFonts w:ascii="Calibri Light" w:hAnsi="Calibri Light" w:cs="Calibri Light"/>
          <w:i/>
          <w:color w:val="59595B"/>
        </w:rPr>
        <w:t xml:space="preserve"> real</w:t>
      </w:r>
      <w:r w:rsidR="00A4192E">
        <w:rPr>
          <w:rFonts w:ascii="Calibri Light" w:hAnsi="Calibri Light" w:cs="Calibri Light"/>
          <w:i/>
          <w:color w:val="59595B"/>
        </w:rPr>
        <w:t xml:space="preserve"> </w:t>
      </w:r>
      <w:r w:rsidRPr="00EE1947">
        <w:rPr>
          <w:rFonts w:ascii="Calibri Light" w:hAnsi="Calibri Light" w:cs="Calibri Light"/>
          <w:i/>
          <w:color w:val="59595B"/>
        </w:rPr>
        <w:t xml:space="preserve">growth </w:t>
      </w:r>
      <w:r w:rsidR="002C6772">
        <w:rPr>
          <w:rFonts w:ascii="Calibri Light" w:hAnsi="Calibri Light" w:cs="Calibri Light"/>
          <w:i/>
          <w:color w:val="59595B"/>
        </w:rPr>
        <w:t xml:space="preserve">in terms of both volume and value </w:t>
      </w:r>
      <w:r w:rsidRPr="00EE1947">
        <w:rPr>
          <w:rFonts w:ascii="Calibri Light" w:hAnsi="Calibri Light" w:cs="Calibri Light"/>
          <w:i/>
          <w:color w:val="59595B"/>
        </w:rPr>
        <w:t>for RUCONEST®</w:t>
      </w:r>
      <w:r w:rsidR="00A4192E">
        <w:rPr>
          <w:rFonts w:ascii="Calibri Light" w:hAnsi="Calibri Light" w:cs="Calibri Light"/>
          <w:i/>
          <w:color w:val="59595B"/>
        </w:rPr>
        <w:t>.</w:t>
      </w:r>
      <w:r w:rsidR="002C6772">
        <w:rPr>
          <w:rFonts w:ascii="Calibri Light" w:hAnsi="Calibri Light" w:cs="Calibri Light"/>
          <w:i/>
          <w:color w:val="59595B"/>
        </w:rPr>
        <w:t xml:space="preserve"> In addition, we continue to make good progress with our pipeline</w:t>
      </w:r>
      <w:r w:rsidR="009E5DAE">
        <w:rPr>
          <w:rFonts w:ascii="Calibri Light" w:hAnsi="Calibri Light" w:cs="Calibri Light"/>
          <w:i/>
          <w:color w:val="59595B"/>
        </w:rPr>
        <w:t xml:space="preserve"> </w:t>
      </w:r>
      <w:r w:rsidR="002C6772">
        <w:rPr>
          <w:rFonts w:ascii="Calibri Light" w:hAnsi="Calibri Light" w:cs="Calibri Light"/>
          <w:i/>
          <w:color w:val="59595B"/>
        </w:rPr>
        <w:t>research and development programs.</w:t>
      </w:r>
    </w:p>
    <w:p w14:paraId="0EC17F67" w14:textId="3179E7F5" w:rsidR="00E00696" w:rsidRDefault="00E00696" w:rsidP="00115B5F">
      <w:pPr>
        <w:pStyle w:val="NoSpacing"/>
        <w:spacing w:line="276" w:lineRule="auto"/>
        <w:jc w:val="both"/>
        <w:rPr>
          <w:rFonts w:ascii="Calibri Light" w:hAnsi="Calibri Light" w:cs="Calibri Light"/>
          <w:i/>
          <w:color w:val="59595B"/>
        </w:rPr>
      </w:pPr>
    </w:p>
    <w:p w14:paraId="304138DC" w14:textId="5E6EC8ED" w:rsidR="00115B5F" w:rsidRPr="00EE1947" w:rsidRDefault="00115B5F" w:rsidP="00115B5F">
      <w:pPr>
        <w:pStyle w:val="NoSpacing"/>
        <w:spacing w:line="276" w:lineRule="auto"/>
        <w:jc w:val="both"/>
        <w:rPr>
          <w:rFonts w:ascii="Calibri Light" w:hAnsi="Calibri Light" w:cs="Calibri Light"/>
          <w:i/>
          <w:color w:val="59595B"/>
        </w:rPr>
      </w:pPr>
      <w:r>
        <w:rPr>
          <w:rFonts w:ascii="Calibri Light" w:hAnsi="Calibri Light" w:cs="Calibri Light"/>
          <w:i/>
          <w:color w:val="59595B"/>
        </w:rPr>
        <w:t xml:space="preserve">Towards the end of the quarter we were informed of acute shortages of HAE medication as </w:t>
      </w:r>
      <w:r w:rsidR="00613D5D">
        <w:rPr>
          <w:rFonts w:ascii="Calibri Light" w:hAnsi="Calibri Light" w:cs="Calibri Light"/>
          <w:i/>
          <w:color w:val="59595B"/>
        </w:rPr>
        <w:t xml:space="preserve">a </w:t>
      </w:r>
      <w:r>
        <w:rPr>
          <w:rFonts w:ascii="Calibri Light" w:hAnsi="Calibri Light" w:cs="Calibri Light"/>
          <w:i/>
          <w:color w:val="59595B"/>
        </w:rPr>
        <w:t xml:space="preserve">result of manufacturing issues </w:t>
      </w:r>
      <w:r w:rsidR="00F53789">
        <w:rPr>
          <w:rFonts w:ascii="Calibri Light" w:hAnsi="Calibri Light" w:cs="Calibri Light"/>
          <w:i/>
          <w:color w:val="59595B"/>
        </w:rPr>
        <w:t>for</w:t>
      </w:r>
      <w:r>
        <w:rPr>
          <w:rFonts w:ascii="Calibri Light" w:hAnsi="Calibri Light" w:cs="Calibri Light"/>
          <w:i/>
          <w:color w:val="59595B"/>
        </w:rPr>
        <w:t xml:space="preserve"> certain competitor HAE products, mainly in the US. To help resolve this </w:t>
      </w:r>
      <w:r w:rsidR="002C6772">
        <w:rPr>
          <w:rFonts w:ascii="Calibri Light" w:hAnsi="Calibri Light" w:cs="Calibri Light"/>
          <w:i/>
          <w:color w:val="59595B"/>
        </w:rPr>
        <w:t xml:space="preserve">situation for patients, we </w:t>
      </w:r>
      <w:r>
        <w:rPr>
          <w:rFonts w:ascii="Calibri Light" w:hAnsi="Calibri Light" w:cs="Calibri Light"/>
          <w:i/>
          <w:color w:val="59595B"/>
        </w:rPr>
        <w:t xml:space="preserve">immediately offered instant access to our patient care </w:t>
      </w:r>
      <w:proofErr w:type="spellStart"/>
      <w:r>
        <w:rPr>
          <w:rFonts w:ascii="Calibri Light" w:hAnsi="Calibri Light" w:cs="Calibri Light"/>
          <w:i/>
          <w:color w:val="59595B"/>
        </w:rPr>
        <w:t>programme</w:t>
      </w:r>
      <w:proofErr w:type="spellEnd"/>
      <w:r w:rsidR="00F53789">
        <w:rPr>
          <w:rFonts w:ascii="Calibri Light" w:hAnsi="Calibri Light" w:cs="Calibri Light"/>
          <w:i/>
          <w:color w:val="59595B"/>
        </w:rPr>
        <w:t>,</w:t>
      </w:r>
      <w:r>
        <w:rPr>
          <w:rFonts w:ascii="Calibri Light" w:hAnsi="Calibri Light" w:cs="Calibri Light"/>
          <w:i/>
          <w:color w:val="59595B"/>
        </w:rPr>
        <w:t xml:space="preserve"> RUCONEST</w:t>
      </w:r>
      <w:r w:rsidR="00E00696">
        <w:rPr>
          <w:rFonts w:ascii="Calibri Light" w:hAnsi="Calibri Light" w:cs="Calibri Light"/>
          <w:i/>
          <w:color w:val="59595B"/>
        </w:rPr>
        <w:t>®</w:t>
      </w:r>
      <w:r>
        <w:rPr>
          <w:rFonts w:ascii="Calibri Light" w:hAnsi="Calibri Light" w:cs="Calibri Light"/>
          <w:i/>
          <w:color w:val="59595B"/>
        </w:rPr>
        <w:t xml:space="preserve"> SOLUTIONS</w:t>
      </w:r>
      <w:r w:rsidR="00E00696">
        <w:rPr>
          <w:rFonts w:ascii="Calibri Light" w:hAnsi="Calibri Light" w:cs="Calibri Light"/>
          <w:i/>
          <w:color w:val="59595B"/>
        </w:rPr>
        <w:t>,</w:t>
      </w:r>
      <w:r>
        <w:rPr>
          <w:rFonts w:ascii="Calibri Light" w:hAnsi="Calibri Light" w:cs="Calibri Light"/>
          <w:i/>
          <w:color w:val="59595B"/>
        </w:rPr>
        <w:t xml:space="preserve"> including its free starter medication and bridging support for those patients in acute need of alternative medication to treat their HAE attacks. We have th</w:t>
      </w:r>
      <w:r w:rsidR="00E00696">
        <w:rPr>
          <w:rFonts w:ascii="Calibri Light" w:hAnsi="Calibri Light" w:cs="Calibri Light"/>
          <w:i/>
          <w:color w:val="59595B"/>
        </w:rPr>
        <w:t>erefore</w:t>
      </w:r>
      <w:r>
        <w:rPr>
          <w:rFonts w:ascii="Calibri Light" w:hAnsi="Calibri Light" w:cs="Calibri Light"/>
          <w:i/>
          <w:color w:val="59595B"/>
        </w:rPr>
        <w:t xml:space="preserve"> been supplying considerable amounts of RUCONEST</w:t>
      </w:r>
      <w:r w:rsidR="00E00696">
        <w:rPr>
          <w:rFonts w:ascii="Calibri Light" w:hAnsi="Calibri Light" w:cs="Calibri Light"/>
          <w:i/>
          <w:color w:val="59595B"/>
        </w:rPr>
        <w:t>®</w:t>
      </w:r>
      <w:r>
        <w:rPr>
          <w:rFonts w:ascii="Calibri Light" w:hAnsi="Calibri Light" w:cs="Calibri Light"/>
          <w:i/>
          <w:color w:val="59595B"/>
        </w:rPr>
        <w:t xml:space="preserve"> free-of-charge to cover treatment of attacks for the period during which those patients are being cleared for RUCONEST</w:t>
      </w:r>
      <w:r w:rsidR="00E00696">
        <w:rPr>
          <w:rFonts w:ascii="Calibri Light" w:hAnsi="Calibri Light" w:cs="Calibri Light"/>
          <w:i/>
          <w:color w:val="59595B"/>
        </w:rPr>
        <w:t>®</w:t>
      </w:r>
      <w:r>
        <w:rPr>
          <w:rFonts w:ascii="Calibri Light" w:hAnsi="Calibri Light" w:cs="Calibri Light"/>
          <w:i/>
          <w:color w:val="59595B"/>
        </w:rPr>
        <w:t xml:space="preserve"> reimbursement. </w:t>
      </w:r>
      <w:r w:rsidR="00F53789">
        <w:rPr>
          <w:rFonts w:ascii="Calibri Light" w:hAnsi="Calibri Light" w:cs="Calibri Light"/>
          <w:i/>
          <w:color w:val="59595B"/>
        </w:rPr>
        <w:t xml:space="preserve">Patients are at the very </w:t>
      </w:r>
      <w:proofErr w:type="spellStart"/>
      <w:r w:rsidR="00F53789">
        <w:rPr>
          <w:rFonts w:ascii="Calibri Light" w:hAnsi="Calibri Light" w:cs="Calibri Light"/>
          <w:i/>
          <w:color w:val="59595B"/>
        </w:rPr>
        <w:t>centre</w:t>
      </w:r>
      <w:proofErr w:type="spellEnd"/>
      <w:r w:rsidR="00F53789">
        <w:rPr>
          <w:rFonts w:ascii="Calibri Light" w:hAnsi="Calibri Light" w:cs="Calibri Light"/>
          <w:i/>
          <w:color w:val="59595B"/>
        </w:rPr>
        <w:t xml:space="preserve"> of Pharming’s business and</w:t>
      </w:r>
      <w:r w:rsidR="00C07AC7">
        <w:rPr>
          <w:rFonts w:ascii="Calibri Light" w:hAnsi="Calibri Light" w:cs="Calibri Light"/>
          <w:i/>
          <w:color w:val="59595B"/>
        </w:rPr>
        <w:t xml:space="preserve"> </w:t>
      </w:r>
      <w:r w:rsidR="002C6772">
        <w:rPr>
          <w:rFonts w:ascii="Calibri Light" w:hAnsi="Calibri Light" w:cs="Calibri Light"/>
          <w:i/>
          <w:color w:val="59595B"/>
        </w:rPr>
        <w:t xml:space="preserve">we are doing </w:t>
      </w:r>
      <w:r w:rsidRPr="006D04A8">
        <w:rPr>
          <w:rFonts w:ascii="Calibri Light" w:hAnsi="Calibri Light" w:cs="Calibri Light"/>
          <w:i/>
          <w:color w:val="59595B"/>
        </w:rPr>
        <w:t xml:space="preserve">our best to ensure that </w:t>
      </w:r>
      <w:r w:rsidR="00F53789">
        <w:rPr>
          <w:rFonts w:ascii="Calibri Light" w:hAnsi="Calibri Light" w:cs="Calibri Light"/>
          <w:i/>
          <w:color w:val="59595B"/>
        </w:rPr>
        <w:t xml:space="preserve">HAE </w:t>
      </w:r>
      <w:r w:rsidRPr="006D04A8">
        <w:rPr>
          <w:rFonts w:ascii="Calibri Light" w:hAnsi="Calibri Light" w:cs="Calibri Light"/>
          <w:i/>
          <w:color w:val="59595B"/>
        </w:rPr>
        <w:t>patients get effective treatment</w:t>
      </w:r>
      <w:r w:rsidR="00C07AC7">
        <w:rPr>
          <w:rFonts w:ascii="Calibri Light" w:hAnsi="Calibri Light" w:cs="Calibri Light"/>
          <w:i/>
          <w:color w:val="59595B"/>
        </w:rPr>
        <w:t>. As a result</w:t>
      </w:r>
      <w:r w:rsidR="002C6772">
        <w:rPr>
          <w:rFonts w:ascii="Calibri Light" w:hAnsi="Calibri Light" w:cs="Calibri Light"/>
          <w:i/>
          <w:color w:val="59595B"/>
        </w:rPr>
        <w:t xml:space="preserve"> of this situation</w:t>
      </w:r>
      <w:r w:rsidR="00C07AC7">
        <w:rPr>
          <w:rFonts w:ascii="Calibri Light" w:hAnsi="Calibri Light" w:cs="Calibri Light"/>
          <w:i/>
          <w:color w:val="59595B"/>
        </w:rPr>
        <w:t>, w</w:t>
      </w:r>
      <w:r w:rsidRPr="006D04A8">
        <w:rPr>
          <w:rFonts w:ascii="Calibri Light" w:hAnsi="Calibri Light" w:cs="Calibri Light"/>
          <w:i/>
          <w:color w:val="59595B"/>
        </w:rPr>
        <w:t xml:space="preserve">e </w:t>
      </w:r>
      <w:r w:rsidR="002C6772">
        <w:rPr>
          <w:rFonts w:ascii="Calibri Light" w:hAnsi="Calibri Light" w:cs="Calibri Light"/>
          <w:i/>
          <w:color w:val="59595B"/>
        </w:rPr>
        <w:t>have accelerated planned increases in</w:t>
      </w:r>
      <w:r w:rsidRPr="006D04A8">
        <w:rPr>
          <w:rFonts w:ascii="Calibri Light" w:hAnsi="Calibri Light" w:cs="Calibri Light"/>
          <w:i/>
          <w:color w:val="59595B"/>
        </w:rPr>
        <w:t xml:space="preserve"> capacity across our supply chain</w:t>
      </w:r>
      <w:r w:rsidR="00E00696">
        <w:rPr>
          <w:rFonts w:ascii="Calibri Light" w:hAnsi="Calibri Light" w:cs="Calibri Light"/>
          <w:i/>
          <w:color w:val="59595B"/>
        </w:rPr>
        <w:t>.</w:t>
      </w:r>
      <w:r w:rsidR="002C6772">
        <w:rPr>
          <w:rFonts w:ascii="Calibri Light" w:hAnsi="Calibri Light" w:cs="Calibri Light"/>
          <w:i/>
          <w:color w:val="59595B"/>
        </w:rPr>
        <w:t xml:space="preserve"> </w:t>
      </w:r>
      <w:bookmarkStart w:id="0" w:name="_GoBack"/>
      <w:bookmarkEnd w:id="0"/>
      <w:r w:rsidR="002C6772">
        <w:rPr>
          <w:rFonts w:ascii="Calibri Light" w:hAnsi="Calibri Light" w:cs="Calibri Light"/>
          <w:i/>
          <w:color w:val="59595B"/>
        </w:rPr>
        <w:t>We do not believe this situation has had any real effect on our results for the third quarter, but it is likely to have a positive effect on the company’s performance in the fourth quarter.</w:t>
      </w:r>
      <w:r>
        <w:rPr>
          <w:rFonts w:ascii="Calibri Light" w:hAnsi="Calibri Light" w:cs="Calibri Light"/>
          <w:i/>
          <w:color w:val="59595B"/>
        </w:rPr>
        <w:t>”</w:t>
      </w:r>
    </w:p>
    <w:p w14:paraId="2CE16791" w14:textId="77777777" w:rsidR="00B55281" w:rsidRDefault="00B55281" w:rsidP="007B5C28">
      <w:pPr>
        <w:spacing w:line="276" w:lineRule="auto"/>
        <w:rPr>
          <w:rFonts w:ascii="Calibri Light" w:eastAsia="SimSun" w:hAnsi="Calibri Light" w:cs="Calibri Light"/>
          <w:b/>
          <w:color w:val="00679B"/>
          <w:sz w:val="24"/>
          <w:lang w:eastAsia="zh-CN"/>
        </w:rPr>
      </w:pPr>
    </w:p>
    <w:p w14:paraId="767CA4F8" w14:textId="77777777" w:rsidR="009450B0" w:rsidRDefault="009450B0" w:rsidP="009450B0">
      <w:pPr>
        <w:rPr>
          <w:rFonts w:ascii="Calibri Light" w:eastAsia="SimSun" w:hAnsi="Calibri Light" w:cs="Calibri Light"/>
          <w:b/>
          <w:color w:val="00679B"/>
          <w:sz w:val="24"/>
          <w:lang w:eastAsia="zh-CN"/>
        </w:rPr>
      </w:pPr>
      <w:r w:rsidRPr="00340700">
        <w:rPr>
          <w:rFonts w:ascii="Calibri Light" w:eastAsia="SimSun" w:hAnsi="Calibri Light" w:cs="Calibri Light"/>
          <w:b/>
          <w:color w:val="00679B"/>
          <w:sz w:val="24"/>
          <w:lang w:eastAsia="zh-CN"/>
        </w:rPr>
        <w:t>Financial summary</w:t>
      </w:r>
    </w:p>
    <w:p w14:paraId="26D1A546" w14:textId="77777777" w:rsidR="009450B0" w:rsidRDefault="009450B0" w:rsidP="009450B0">
      <w:pPr>
        <w:rPr>
          <w:rFonts w:ascii="Calibri Light" w:eastAsia="SimSun" w:hAnsi="Calibri Light" w:cs="Calibri Light"/>
          <w:b/>
          <w:color w:val="00679B"/>
          <w:sz w:val="24"/>
          <w:lang w:eastAsia="zh-CN"/>
        </w:rPr>
      </w:pPr>
    </w:p>
    <w:p w14:paraId="53BE268D" w14:textId="77777777" w:rsidR="009450B0" w:rsidRPr="009228B6" w:rsidRDefault="009450B0" w:rsidP="009450B0">
      <w:pPr>
        <w:rPr>
          <w:rFonts w:ascii="Calibri Light" w:eastAsia="SimSun" w:hAnsi="Calibri Light" w:cs="Calibri Light"/>
          <w:b/>
          <w:i/>
          <w:color w:val="808080" w:themeColor="background1" w:themeShade="80"/>
          <w:sz w:val="20"/>
          <w:lang w:eastAsia="zh-CN"/>
        </w:rPr>
      </w:pPr>
      <w:r>
        <w:rPr>
          <w:rFonts w:ascii="Calibri Light" w:eastAsia="SimSun" w:hAnsi="Calibri Light" w:cs="Calibri Light"/>
          <w:b/>
          <w:i/>
          <w:color w:val="808080" w:themeColor="background1" w:themeShade="80"/>
          <w:sz w:val="20"/>
          <w:lang w:eastAsia="zh-CN"/>
        </w:rPr>
        <w:t>3</w:t>
      </w:r>
      <w:r w:rsidRPr="00122E77">
        <w:rPr>
          <w:rFonts w:ascii="Calibri Light" w:eastAsia="SimSun" w:hAnsi="Calibri Light" w:cs="Calibri Light"/>
          <w:b/>
          <w:i/>
          <w:color w:val="808080" w:themeColor="background1" w:themeShade="80"/>
          <w:sz w:val="20"/>
          <w:vertAlign w:val="superscript"/>
          <w:lang w:eastAsia="zh-CN"/>
        </w:rPr>
        <w:t>rd</w:t>
      </w:r>
      <w:r>
        <w:rPr>
          <w:rFonts w:ascii="Calibri Light" w:eastAsia="SimSun" w:hAnsi="Calibri Light" w:cs="Calibri Light"/>
          <w:b/>
          <w:i/>
          <w:color w:val="808080" w:themeColor="background1" w:themeShade="80"/>
          <w:sz w:val="20"/>
          <w:lang w:eastAsia="zh-CN"/>
        </w:rPr>
        <w:t xml:space="preserve"> Quarter and 9</w:t>
      </w:r>
      <w:r w:rsidRPr="009228B6">
        <w:rPr>
          <w:rFonts w:ascii="Calibri Light" w:eastAsia="SimSun" w:hAnsi="Calibri Light" w:cs="Calibri Light"/>
          <w:b/>
          <w:i/>
          <w:color w:val="808080" w:themeColor="background1" w:themeShade="80"/>
          <w:sz w:val="20"/>
          <w:lang w:eastAsia="zh-CN"/>
        </w:rPr>
        <w:t xml:space="preserve"> months to </w:t>
      </w:r>
      <w:r>
        <w:rPr>
          <w:rFonts w:ascii="Calibri Light" w:eastAsia="SimSun" w:hAnsi="Calibri Light" w:cs="Calibri Light"/>
          <w:b/>
          <w:i/>
          <w:color w:val="808080" w:themeColor="background1" w:themeShade="80"/>
          <w:sz w:val="20"/>
          <w:lang w:eastAsia="zh-CN"/>
        </w:rPr>
        <w:t>30 September</w:t>
      </w:r>
    </w:p>
    <w:tbl>
      <w:tblPr>
        <w:tblStyle w:val="PlainTable41"/>
        <w:tblW w:w="9181" w:type="dxa"/>
        <w:tblLook w:val="04A0" w:firstRow="1" w:lastRow="0" w:firstColumn="1" w:lastColumn="0" w:noHBand="0" w:noVBand="1"/>
      </w:tblPr>
      <w:tblGrid>
        <w:gridCol w:w="3794"/>
        <w:gridCol w:w="1417"/>
        <w:gridCol w:w="1418"/>
        <w:gridCol w:w="1418"/>
        <w:gridCol w:w="1134"/>
      </w:tblGrid>
      <w:tr w:rsidR="009450B0" w:rsidRPr="008A49C2" w14:paraId="63447BD9" w14:textId="77777777" w:rsidTr="00F26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top w:val="nil"/>
              <w:left w:val="nil"/>
              <w:bottom w:val="single" w:sz="4" w:space="0" w:color="59595B"/>
              <w:right w:val="single" w:sz="4" w:space="0" w:color="59595B"/>
            </w:tcBorders>
          </w:tcPr>
          <w:p w14:paraId="40D9CAEF" w14:textId="77777777" w:rsidR="009450B0" w:rsidRPr="00E04BE6" w:rsidRDefault="009450B0" w:rsidP="00F263EE">
            <w:pPr>
              <w:rPr>
                <w:rFonts w:ascii="Calibri Light" w:eastAsia="SimSun" w:hAnsi="Calibri Light" w:cs="Calibri Light"/>
                <w:b w:val="0"/>
                <w:i/>
                <w:color w:val="276E8B" w:themeColor="accent1" w:themeShade="BF"/>
                <w:sz w:val="20"/>
                <w:szCs w:val="20"/>
                <w:lang w:eastAsia="zh-CN"/>
              </w:rPr>
            </w:pPr>
          </w:p>
          <w:p w14:paraId="7E4B193F" w14:textId="77777777" w:rsidR="009450B0" w:rsidRPr="00E04BE6" w:rsidRDefault="009450B0" w:rsidP="00F263EE">
            <w:pPr>
              <w:rPr>
                <w:rFonts w:ascii="Calibri Light" w:eastAsia="SimSun" w:hAnsi="Calibri Light" w:cs="Calibri Light"/>
                <w:b w:val="0"/>
                <w:i/>
                <w:color w:val="276E8B" w:themeColor="accent1" w:themeShade="BF"/>
                <w:sz w:val="20"/>
                <w:szCs w:val="20"/>
                <w:lang w:eastAsia="zh-CN"/>
              </w:rPr>
            </w:pPr>
            <w:r w:rsidRPr="00340700">
              <w:rPr>
                <w:rFonts w:ascii="Calibri Light" w:eastAsia="SimSun" w:hAnsi="Calibri Light" w:cs="Calibri Light"/>
                <w:i/>
                <w:color w:val="59595B"/>
                <w:sz w:val="20"/>
                <w:szCs w:val="20"/>
                <w:lang w:eastAsia="zh-CN"/>
              </w:rPr>
              <w:t>Amounts in €m except per share data</w:t>
            </w:r>
          </w:p>
        </w:tc>
        <w:tc>
          <w:tcPr>
            <w:tcW w:w="1417" w:type="dxa"/>
            <w:tcBorders>
              <w:top w:val="nil"/>
              <w:left w:val="single" w:sz="4" w:space="0" w:color="59595B"/>
              <w:bottom w:val="single" w:sz="4" w:space="0" w:color="59595B"/>
              <w:right w:val="single" w:sz="4" w:space="0" w:color="59595B"/>
            </w:tcBorders>
            <w:shd w:val="clear" w:color="auto" w:fill="D4D3DD" w:themeFill="text2" w:themeFillTint="33"/>
          </w:tcPr>
          <w:p w14:paraId="221491B4" w14:textId="77777777" w:rsidR="009450B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2017</w:t>
            </w:r>
          </w:p>
          <w:p w14:paraId="0A267E23" w14:textId="77777777" w:rsidR="009450B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3</w:t>
            </w:r>
            <w:r w:rsidRPr="008D0A55">
              <w:rPr>
                <w:rFonts w:ascii="Calibri Light" w:eastAsia="SimSun" w:hAnsi="Calibri Light" w:cs="Calibri Light"/>
                <w:i/>
                <w:color w:val="00679B"/>
                <w:sz w:val="20"/>
                <w:szCs w:val="20"/>
                <w:vertAlign w:val="superscript"/>
                <w:lang w:eastAsia="zh-CN"/>
              </w:rPr>
              <w:t>rd</w:t>
            </w:r>
            <w:r>
              <w:rPr>
                <w:rFonts w:ascii="Calibri Light" w:eastAsia="SimSun" w:hAnsi="Calibri Light" w:cs="Calibri Light"/>
                <w:i/>
                <w:color w:val="00679B"/>
                <w:sz w:val="20"/>
                <w:szCs w:val="20"/>
                <w:lang w:eastAsia="zh-CN"/>
              </w:rPr>
              <w:t xml:space="preserve"> Quarter</w:t>
            </w:r>
          </w:p>
        </w:tc>
        <w:tc>
          <w:tcPr>
            <w:tcW w:w="1418" w:type="dxa"/>
            <w:tcBorders>
              <w:top w:val="nil"/>
              <w:left w:val="single" w:sz="4" w:space="0" w:color="59595B"/>
              <w:bottom w:val="single" w:sz="4" w:space="0" w:color="59595B"/>
              <w:right w:val="nil"/>
            </w:tcBorders>
            <w:shd w:val="clear" w:color="auto" w:fill="D4D3DD" w:themeFill="text2" w:themeFillTint="33"/>
          </w:tcPr>
          <w:p w14:paraId="01C1ACBB"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2017</w:t>
            </w:r>
          </w:p>
          <w:p w14:paraId="7E0C3542"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1</w:t>
            </w:r>
            <w:r w:rsidRPr="008D0A55">
              <w:rPr>
                <w:rFonts w:ascii="Calibri Light" w:eastAsia="SimSun" w:hAnsi="Calibri Light" w:cs="Calibri Light"/>
                <w:i/>
                <w:color w:val="00679B"/>
                <w:sz w:val="20"/>
                <w:szCs w:val="20"/>
                <w:vertAlign w:val="superscript"/>
                <w:lang w:eastAsia="zh-CN"/>
              </w:rPr>
              <w:t>st</w:t>
            </w:r>
            <w:r>
              <w:rPr>
                <w:rFonts w:ascii="Calibri Light" w:eastAsia="SimSun" w:hAnsi="Calibri Light" w:cs="Calibri Light"/>
                <w:i/>
                <w:color w:val="00679B"/>
                <w:sz w:val="20"/>
                <w:szCs w:val="20"/>
                <w:lang w:eastAsia="zh-CN"/>
              </w:rPr>
              <w:t xml:space="preserve"> 9 months</w:t>
            </w:r>
          </w:p>
        </w:tc>
        <w:tc>
          <w:tcPr>
            <w:tcW w:w="1418" w:type="dxa"/>
            <w:tcBorders>
              <w:top w:val="nil"/>
              <w:left w:val="nil"/>
              <w:bottom w:val="single" w:sz="4" w:space="0" w:color="59595B"/>
              <w:right w:val="nil"/>
            </w:tcBorders>
          </w:tcPr>
          <w:p w14:paraId="35640F14"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2016</w:t>
            </w:r>
          </w:p>
          <w:p w14:paraId="5AA3449C"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Pr>
                <w:rFonts w:ascii="Calibri Light" w:eastAsia="SimSun" w:hAnsi="Calibri Light" w:cs="Calibri Light"/>
                <w:i/>
                <w:color w:val="00679B"/>
                <w:sz w:val="20"/>
                <w:szCs w:val="20"/>
                <w:lang w:eastAsia="zh-CN"/>
              </w:rPr>
              <w:t>1</w:t>
            </w:r>
            <w:r w:rsidRPr="008D0A55">
              <w:rPr>
                <w:rFonts w:ascii="Calibri Light" w:eastAsia="SimSun" w:hAnsi="Calibri Light" w:cs="Calibri Light"/>
                <w:i/>
                <w:color w:val="00679B"/>
                <w:sz w:val="20"/>
                <w:szCs w:val="20"/>
                <w:vertAlign w:val="superscript"/>
                <w:lang w:eastAsia="zh-CN"/>
              </w:rPr>
              <w:t>st</w:t>
            </w:r>
            <w:r>
              <w:rPr>
                <w:rFonts w:ascii="Calibri Light" w:eastAsia="SimSun" w:hAnsi="Calibri Light" w:cs="Calibri Light"/>
                <w:i/>
                <w:color w:val="00679B"/>
                <w:sz w:val="20"/>
                <w:szCs w:val="20"/>
                <w:lang w:eastAsia="zh-CN"/>
              </w:rPr>
              <w:t xml:space="preserve"> 9 months</w:t>
            </w:r>
          </w:p>
        </w:tc>
        <w:tc>
          <w:tcPr>
            <w:tcW w:w="1134" w:type="dxa"/>
            <w:tcBorders>
              <w:top w:val="nil"/>
              <w:left w:val="nil"/>
              <w:bottom w:val="single" w:sz="4" w:space="0" w:color="59595B"/>
              <w:right w:val="nil"/>
            </w:tcBorders>
            <w:shd w:val="clear" w:color="auto" w:fill="D4D3DD" w:themeFill="text2" w:themeFillTint="33"/>
            <w:hideMark/>
          </w:tcPr>
          <w:p w14:paraId="448C066A"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w:t>
            </w:r>
          </w:p>
          <w:p w14:paraId="4ADEE002" w14:textId="77777777" w:rsidR="009450B0" w:rsidRPr="00340700" w:rsidRDefault="009450B0" w:rsidP="00F263EE">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Change</w:t>
            </w:r>
          </w:p>
        </w:tc>
      </w:tr>
      <w:tr w:rsidR="009450B0" w:rsidRPr="008A49C2" w14:paraId="2B92C270" w14:textId="77777777" w:rsidTr="009E5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59595B"/>
              <w:left w:val="nil"/>
              <w:bottom w:val="nil"/>
              <w:right w:val="single" w:sz="4" w:space="0" w:color="59595B"/>
            </w:tcBorders>
            <w:shd w:val="clear" w:color="auto" w:fill="F2F2F2"/>
            <w:hideMark/>
          </w:tcPr>
          <w:p w14:paraId="55502CD7" w14:textId="77777777" w:rsidR="009450B0" w:rsidRPr="00340700" w:rsidRDefault="009450B0" w:rsidP="009E5DAE">
            <w:pPr>
              <w:jc w:val="center"/>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Income Statement</w:t>
            </w:r>
          </w:p>
          <w:p w14:paraId="7FD51B5A" w14:textId="77777777" w:rsidR="009450B0" w:rsidRDefault="009450B0" w:rsidP="009E5DAE">
            <w:pPr>
              <w:jc w:val="center"/>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Revenue from product sales</w:t>
            </w:r>
          </w:p>
          <w:p w14:paraId="2D875770" w14:textId="77777777" w:rsidR="009450B0" w:rsidRDefault="009450B0" w:rsidP="009E5DAE">
            <w:pPr>
              <w:jc w:val="center"/>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Other revenue</w:t>
            </w:r>
          </w:p>
          <w:p w14:paraId="3C323463" w14:textId="77777777" w:rsidR="009450B0" w:rsidRPr="00340700" w:rsidRDefault="009450B0" w:rsidP="009E5DAE">
            <w:pPr>
              <w:jc w:val="center"/>
              <w:rPr>
                <w:rFonts w:ascii="Calibri Light" w:eastAsia="SimSun" w:hAnsi="Calibri Light" w:cs="Calibri Light"/>
                <w:b w:val="0"/>
                <w:color w:val="59595B"/>
                <w:sz w:val="20"/>
                <w:szCs w:val="20"/>
                <w:lang w:eastAsia="zh-CN"/>
              </w:rPr>
            </w:pPr>
            <w:r>
              <w:rPr>
                <w:rFonts w:ascii="Calibri Light" w:eastAsia="SimSun" w:hAnsi="Calibri Light" w:cs="Calibri Light"/>
                <w:color w:val="59595B"/>
                <w:sz w:val="20"/>
                <w:szCs w:val="20"/>
                <w:lang w:eastAsia="zh-CN"/>
              </w:rPr>
              <w:t>Total r</w:t>
            </w:r>
            <w:r w:rsidRPr="00340700">
              <w:rPr>
                <w:rFonts w:ascii="Calibri Light" w:eastAsia="SimSun" w:hAnsi="Calibri Light" w:cs="Calibri Light"/>
                <w:color w:val="59595B"/>
                <w:sz w:val="20"/>
                <w:szCs w:val="20"/>
                <w:lang w:eastAsia="zh-CN"/>
              </w:rPr>
              <w:t>evenue</w:t>
            </w:r>
          </w:p>
          <w:p w14:paraId="6D10857D" w14:textId="77777777" w:rsidR="009450B0" w:rsidRPr="00340700" w:rsidRDefault="009450B0" w:rsidP="009E5DAE">
            <w:pPr>
              <w:jc w:val="center"/>
              <w:rPr>
                <w:rFonts w:ascii="Calibri Light" w:eastAsia="SimSun" w:hAnsi="Calibri Light" w:cs="Calibri Light"/>
                <w:b w:val="0"/>
                <w:color w:val="59595B"/>
                <w:sz w:val="20"/>
                <w:szCs w:val="20"/>
                <w:lang w:eastAsia="zh-CN"/>
              </w:rPr>
            </w:pPr>
            <w:r w:rsidRPr="00340700">
              <w:rPr>
                <w:rFonts w:ascii="Calibri Light" w:eastAsia="SimSun" w:hAnsi="Calibri Light" w:cs="Calibri Light"/>
                <w:color w:val="59595B"/>
                <w:sz w:val="20"/>
                <w:szCs w:val="20"/>
                <w:lang w:eastAsia="zh-CN"/>
              </w:rPr>
              <w:t>Gross profit</w:t>
            </w:r>
          </w:p>
          <w:p w14:paraId="2DDE1036" w14:textId="77777777" w:rsidR="009450B0" w:rsidRPr="00340700" w:rsidRDefault="009450B0" w:rsidP="009E5DAE">
            <w:pPr>
              <w:jc w:val="center"/>
              <w:rPr>
                <w:rFonts w:ascii="Calibri Light" w:eastAsia="SimSun" w:hAnsi="Calibri Light" w:cs="Calibri Light"/>
                <w:b w:val="0"/>
                <w:color w:val="59595B"/>
                <w:sz w:val="20"/>
                <w:szCs w:val="20"/>
                <w:lang w:eastAsia="zh-CN"/>
              </w:rPr>
            </w:pPr>
            <w:r w:rsidRPr="00340700">
              <w:rPr>
                <w:rFonts w:ascii="Calibri Light" w:eastAsia="SimSun" w:hAnsi="Calibri Light" w:cs="Calibri Light"/>
                <w:color w:val="59595B"/>
                <w:sz w:val="20"/>
                <w:szCs w:val="20"/>
                <w:lang w:eastAsia="zh-CN"/>
              </w:rPr>
              <w:t>Operating result</w:t>
            </w:r>
          </w:p>
          <w:p w14:paraId="3B20AE93" w14:textId="77777777" w:rsidR="009450B0" w:rsidRPr="00E04BE6" w:rsidRDefault="009450B0" w:rsidP="009E5DAE">
            <w:pPr>
              <w:jc w:val="center"/>
              <w:rPr>
                <w:rFonts w:ascii="Calibri Light" w:eastAsia="SimSun" w:hAnsi="Calibri Light" w:cs="Calibri Light"/>
                <w:b w:val="0"/>
                <w:color w:val="808080" w:themeColor="background1" w:themeShade="80"/>
                <w:sz w:val="20"/>
                <w:szCs w:val="20"/>
                <w:lang w:eastAsia="zh-CN"/>
              </w:rPr>
            </w:pPr>
            <w:r w:rsidRPr="00340700">
              <w:rPr>
                <w:rFonts w:ascii="Calibri Light" w:eastAsia="SimSun" w:hAnsi="Calibri Light" w:cs="Calibri Light"/>
                <w:color w:val="59595B"/>
                <w:sz w:val="20"/>
                <w:szCs w:val="20"/>
                <w:lang w:eastAsia="zh-CN"/>
              </w:rPr>
              <w:t>Net result</w:t>
            </w:r>
          </w:p>
        </w:tc>
        <w:tc>
          <w:tcPr>
            <w:tcW w:w="1417" w:type="dxa"/>
            <w:tcBorders>
              <w:top w:val="single" w:sz="4" w:space="0" w:color="59595B"/>
              <w:left w:val="single" w:sz="4" w:space="0" w:color="59595B"/>
              <w:bottom w:val="nil"/>
              <w:right w:val="single" w:sz="4" w:space="0" w:color="59595B"/>
            </w:tcBorders>
            <w:shd w:val="clear" w:color="auto" w:fill="D4D3DD" w:themeFill="text2" w:themeFillTint="33"/>
          </w:tcPr>
          <w:p w14:paraId="6FD617C3"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035A964B"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25.9</w:t>
            </w:r>
          </w:p>
          <w:p w14:paraId="454477DD"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0.2</w:t>
            </w:r>
          </w:p>
          <w:p w14:paraId="6EB73119"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26.1</w:t>
            </w:r>
          </w:p>
          <w:p w14:paraId="04E387CB"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21.8</w:t>
            </w:r>
          </w:p>
          <w:p w14:paraId="27DD2607"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8.5</w:t>
            </w:r>
          </w:p>
          <w:p w14:paraId="6A08A59E"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(7.5)</w:t>
            </w:r>
          </w:p>
        </w:tc>
        <w:tc>
          <w:tcPr>
            <w:tcW w:w="1418" w:type="dxa"/>
            <w:tcBorders>
              <w:top w:val="single" w:sz="4" w:space="0" w:color="59595B"/>
              <w:left w:val="single" w:sz="4" w:space="0" w:color="59595B"/>
              <w:bottom w:val="nil"/>
              <w:right w:val="nil"/>
            </w:tcBorders>
            <w:shd w:val="clear" w:color="auto" w:fill="D4D3DD" w:themeFill="text2" w:themeFillTint="33"/>
          </w:tcPr>
          <w:p w14:paraId="68C69EC0"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26C50B5C"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56.0</w:t>
            </w:r>
          </w:p>
          <w:p w14:paraId="70519991"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0.7</w:t>
            </w:r>
          </w:p>
          <w:p w14:paraId="057D4504"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56.7</w:t>
            </w:r>
          </w:p>
          <w:p w14:paraId="31CD6F50"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48.8</w:t>
            </w:r>
          </w:p>
          <w:p w14:paraId="31342721"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12.7</w:t>
            </w:r>
          </w:p>
          <w:p w14:paraId="38CDF960"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(37.7)</w:t>
            </w:r>
          </w:p>
        </w:tc>
        <w:tc>
          <w:tcPr>
            <w:tcW w:w="1418" w:type="dxa"/>
            <w:tcBorders>
              <w:top w:val="single" w:sz="4" w:space="0" w:color="59595B"/>
              <w:left w:val="nil"/>
              <w:bottom w:val="nil"/>
              <w:right w:val="nil"/>
            </w:tcBorders>
          </w:tcPr>
          <w:p w14:paraId="50E4B04A"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704BED9B"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7.0</w:t>
            </w:r>
          </w:p>
          <w:p w14:paraId="2BE754A3" w14:textId="77777777" w:rsidR="009450B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1.7</w:t>
            </w:r>
          </w:p>
          <w:p w14:paraId="64A6B878"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8.7</w:t>
            </w:r>
          </w:p>
          <w:p w14:paraId="6AFFC9D4"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5.5</w:t>
            </w:r>
          </w:p>
          <w:p w14:paraId="71EEBBFB"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w:t>
            </w:r>
            <w:r>
              <w:rPr>
                <w:rFonts w:ascii="Calibri Light" w:eastAsia="SimSun" w:hAnsi="Calibri Light" w:cs="Calibri Light"/>
                <w:color w:val="59595B"/>
                <w:sz w:val="20"/>
                <w:szCs w:val="20"/>
                <w:lang w:eastAsia="zh-CN"/>
              </w:rPr>
              <w:t>9.4</w:t>
            </w:r>
            <w:r w:rsidRPr="00340700">
              <w:rPr>
                <w:rFonts w:ascii="Calibri Light" w:eastAsia="SimSun" w:hAnsi="Calibri Light" w:cs="Calibri Light"/>
                <w:color w:val="59595B"/>
                <w:sz w:val="20"/>
                <w:szCs w:val="20"/>
                <w:lang w:eastAsia="zh-CN"/>
              </w:rPr>
              <w:t>)</w:t>
            </w:r>
          </w:p>
          <w:p w14:paraId="6EAE70A9" w14:textId="77777777" w:rsidR="009450B0" w:rsidRPr="00340700"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(10.4)</w:t>
            </w:r>
          </w:p>
        </w:tc>
        <w:tc>
          <w:tcPr>
            <w:tcW w:w="1134" w:type="dxa"/>
            <w:tcBorders>
              <w:top w:val="single" w:sz="4" w:space="0" w:color="59595B"/>
              <w:left w:val="nil"/>
              <w:bottom w:val="nil"/>
              <w:right w:val="nil"/>
            </w:tcBorders>
            <w:shd w:val="clear" w:color="auto" w:fill="D4D3DD" w:themeFill="text2" w:themeFillTint="33"/>
          </w:tcPr>
          <w:p w14:paraId="3524F390"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65A0B201"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Pr>
                <w:rFonts w:ascii="Calibri Light" w:eastAsia="SimSun" w:hAnsi="Calibri Light" w:cs="Calibri Light"/>
                <w:i/>
                <w:color w:val="59595B"/>
                <w:sz w:val="20"/>
                <w:szCs w:val="20"/>
                <w:lang w:eastAsia="zh-CN"/>
              </w:rPr>
              <w:t>700</w:t>
            </w:r>
            <w:r w:rsidRPr="00122E77">
              <w:rPr>
                <w:rFonts w:ascii="Calibri Light" w:eastAsia="SimSun" w:hAnsi="Calibri Light" w:cs="Calibri Light"/>
                <w:i/>
                <w:color w:val="59595B"/>
                <w:sz w:val="20"/>
                <w:szCs w:val="20"/>
                <w:lang w:eastAsia="zh-CN"/>
              </w:rPr>
              <w:t>%</w:t>
            </w:r>
          </w:p>
          <w:p w14:paraId="60D9B045"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sidRPr="00122E77">
              <w:rPr>
                <w:rFonts w:ascii="Calibri Light" w:eastAsia="SimSun" w:hAnsi="Calibri Light" w:cs="Calibri Light"/>
                <w:i/>
                <w:color w:val="59595B"/>
                <w:sz w:val="20"/>
                <w:szCs w:val="20"/>
                <w:lang w:eastAsia="zh-CN"/>
              </w:rPr>
              <w:t>(59%)</w:t>
            </w:r>
          </w:p>
          <w:p w14:paraId="1A4C3417"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Pr>
                <w:rFonts w:ascii="Calibri Light" w:eastAsia="SimSun" w:hAnsi="Calibri Light" w:cs="Calibri Light"/>
                <w:i/>
                <w:color w:val="59595B"/>
                <w:sz w:val="20"/>
                <w:szCs w:val="20"/>
                <w:lang w:eastAsia="zh-CN"/>
              </w:rPr>
              <w:t>552</w:t>
            </w:r>
            <w:r w:rsidRPr="00122E77">
              <w:rPr>
                <w:rFonts w:ascii="Calibri Light" w:eastAsia="SimSun" w:hAnsi="Calibri Light" w:cs="Calibri Light"/>
                <w:i/>
                <w:color w:val="59595B"/>
                <w:sz w:val="20"/>
                <w:szCs w:val="20"/>
                <w:lang w:eastAsia="zh-CN"/>
              </w:rPr>
              <w:t>%</w:t>
            </w:r>
          </w:p>
          <w:p w14:paraId="787714D8"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Pr>
                <w:rFonts w:ascii="Calibri Light" w:eastAsia="SimSun" w:hAnsi="Calibri Light" w:cs="Calibri Light"/>
                <w:i/>
                <w:color w:val="59595B"/>
                <w:sz w:val="20"/>
                <w:szCs w:val="20"/>
                <w:lang w:eastAsia="zh-CN"/>
              </w:rPr>
              <w:t>78</w:t>
            </w:r>
            <w:r w:rsidRPr="00122E77">
              <w:rPr>
                <w:rFonts w:ascii="Calibri Light" w:eastAsia="SimSun" w:hAnsi="Calibri Light" w:cs="Calibri Light"/>
                <w:i/>
                <w:color w:val="59595B"/>
                <w:sz w:val="20"/>
                <w:szCs w:val="20"/>
                <w:lang w:eastAsia="zh-CN"/>
              </w:rPr>
              <w:t>7%</w:t>
            </w:r>
          </w:p>
          <w:p w14:paraId="0B678F0B"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Pr>
                <w:rFonts w:ascii="Calibri Light" w:eastAsia="SimSun" w:hAnsi="Calibri Light" w:cs="Calibri Light"/>
                <w:i/>
                <w:color w:val="59595B"/>
                <w:sz w:val="20"/>
                <w:szCs w:val="20"/>
                <w:lang w:eastAsia="zh-CN"/>
              </w:rPr>
              <w:t>235</w:t>
            </w:r>
            <w:r w:rsidRPr="00122E77">
              <w:rPr>
                <w:rFonts w:ascii="Calibri Light" w:eastAsia="SimSun" w:hAnsi="Calibri Light" w:cs="Calibri Light"/>
                <w:i/>
                <w:color w:val="59595B"/>
                <w:sz w:val="20"/>
                <w:szCs w:val="20"/>
                <w:lang w:eastAsia="zh-CN"/>
              </w:rPr>
              <w:t>%</w:t>
            </w:r>
          </w:p>
          <w:p w14:paraId="1EE7541E" w14:textId="77777777" w:rsidR="009450B0" w:rsidRPr="00122E77" w:rsidRDefault="009450B0" w:rsidP="009E5DA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122E77">
              <w:rPr>
                <w:rFonts w:ascii="Calibri Light" w:eastAsia="SimSun" w:hAnsi="Calibri Light" w:cs="Calibri Light"/>
                <w:i/>
                <w:color w:val="59595B"/>
                <w:sz w:val="20"/>
                <w:szCs w:val="20"/>
                <w:lang w:eastAsia="zh-CN"/>
              </w:rPr>
              <w:t>(2</w:t>
            </w:r>
            <w:r>
              <w:rPr>
                <w:rFonts w:ascii="Calibri Light" w:eastAsia="SimSun" w:hAnsi="Calibri Light" w:cs="Calibri Light"/>
                <w:i/>
                <w:color w:val="59595B"/>
                <w:sz w:val="20"/>
                <w:szCs w:val="20"/>
                <w:lang w:eastAsia="zh-CN"/>
              </w:rPr>
              <w:t>63</w:t>
            </w:r>
            <w:r w:rsidRPr="00122E77">
              <w:rPr>
                <w:rFonts w:ascii="Calibri Light" w:eastAsia="SimSun" w:hAnsi="Calibri Light" w:cs="Calibri Light"/>
                <w:i/>
                <w:color w:val="59595B"/>
                <w:sz w:val="20"/>
                <w:szCs w:val="20"/>
                <w:lang w:eastAsia="zh-CN"/>
              </w:rPr>
              <w:t>%)</w:t>
            </w:r>
          </w:p>
        </w:tc>
      </w:tr>
      <w:tr w:rsidR="009450B0" w:rsidRPr="008A49C2" w14:paraId="79ED932C" w14:textId="77777777" w:rsidTr="009E5DAE">
        <w:tc>
          <w:tcPr>
            <w:cnfStyle w:val="001000000000" w:firstRow="0" w:lastRow="0" w:firstColumn="1" w:lastColumn="0" w:oddVBand="0" w:evenVBand="0" w:oddHBand="0" w:evenHBand="0" w:firstRowFirstColumn="0" w:firstRowLastColumn="0" w:lastRowFirstColumn="0" w:lastRowLastColumn="0"/>
            <w:tcW w:w="3794" w:type="dxa"/>
            <w:tcBorders>
              <w:top w:val="nil"/>
              <w:left w:val="nil"/>
              <w:bottom w:val="nil"/>
              <w:right w:val="single" w:sz="4" w:space="0" w:color="59595B"/>
            </w:tcBorders>
            <w:shd w:val="clear" w:color="auto" w:fill="F2F2F2"/>
            <w:hideMark/>
          </w:tcPr>
          <w:p w14:paraId="383A1DBA" w14:textId="77777777" w:rsidR="009450B0" w:rsidRPr="00447759" w:rsidRDefault="009450B0" w:rsidP="00F263EE">
            <w:pPr>
              <w:rPr>
                <w:rFonts w:ascii="Calibri Light" w:eastAsia="SimSun" w:hAnsi="Calibri Light" w:cs="Calibri Light"/>
                <w:i/>
                <w:color w:val="00679B"/>
                <w:sz w:val="20"/>
                <w:szCs w:val="20"/>
                <w:lang w:eastAsia="zh-CN"/>
              </w:rPr>
            </w:pPr>
            <w:r w:rsidRPr="00447759">
              <w:rPr>
                <w:rFonts w:ascii="Calibri Light" w:eastAsia="SimSun" w:hAnsi="Calibri Light" w:cs="Calibri Light"/>
                <w:i/>
                <w:color w:val="00679B"/>
                <w:sz w:val="20"/>
                <w:szCs w:val="20"/>
                <w:lang w:eastAsia="zh-CN"/>
              </w:rPr>
              <w:t>Balance Sheet</w:t>
            </w:r>
          </w:p>
          <w:p w14:paraId="289336A6" w14:textId="77777777" w:rsidR="009450B0" w:rsidRPr="00447759" w:rsidRDefault="009450B0" w:rsidP="00F263EE">
            <w:pPr>
              <w:rPr>
                <w:rFonts w:ascii="Calibri Light" w:eastAsia="SimSun" w:hAnsi="Calibri Light" w:cs="Calibri Light"/>
                <w:b w:val="0"/>
                <w:color w:val="808080" w:themeColor="background1" w:themeShade="80"/>
                <w:sz w:val="20"/>
                <w:szCs w:val="20"/>
                <w:lang w:eastAsia="zh-CN"/>
              </w:rPr>
            </w:pPr>
            <w:r w:rsidRPr="00447759">
              <w:rPr>
                <w:rFonts w:ascii="Calibri Light" w:eastAsia="SimSun" w:hAnsi="Calibri Light" w:cs="Calibri Light"/>
                <w:color w:val="59595B"/>
                <w:sz w:val="20"/>
                <w:szCs w:val="20"/>
                <w:lang w:eastAsia="zh-CN"/>
              </w:rPr>
              <w:t>Cash &amp; marketable securities</w:t>
            </w:r>
          </w:p>
        </w:tc>
        <w:tc>
          <w:tcPr>
            <w:tcW w:w="1417" w:type="dxa"/>
            <w:tcBorders>
              <w:top w:val="nil"/>
              <w:left w:val="single" w:sz="4" w:space="0" w:color="59595B"/>
              <w:bottom w:val="nil"/>
              <w:right w:val="single" w:sz="4" w:space="0" w:color="59595B"/>
            </w:tcBorders>
            <w:shd w:val="clear" w:color="auto" w:fill="D4D3DD" w:themeFill="text2" w:themeFillTint="33"/>
          </w:tcPr>
          <w:p w14:paraId="32A43C1F" w14:textId="77777777" w:rsidR="009450B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p>
          <w:p w14:paraId="61A3457B" w14:textId="77777777" w:rsidR="009450B0" w:rsidRPr="0034070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38.6</w:t>
            </w:r>
          </w:p>
        </w:tc>
        <w:tc>
          <w:tcPr>
            <w:tcW w:w="1418" w:type="dxa"/>
            <w:tcBorders>
              <w:top w:val="nil"/>
              <w:left w:val="single" w:sz="4" w:space="0" w:color="59595B"/>
              <w:bottom w:val="nil"/>
              <w:right w:val="nil"/>
            </w:tcBorders>
            <w:shd w:val="clear" w:color="auto" w:fill="D4D3DD" w:themeFill="text2" w:themeFillTint="33"/>
          </w:tcPr>
          <w:p w14:paraId="4FAD5FD1" w14:textId="77777777" w:rsidR="009450B0" w:rsidRPr="0034070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p>
          <w:p w14:paraId="4941B07D" w14:textId="77777777" w:rsidR="009450B0" w:rsidRPr="0034070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38.6</w:t>
            </w:r>
          </w:p>
        </w:tc>
        <w:tc>
          <w:tcPr>
            <w:tcW w:w="1418" w:type="dxa"/>
            <w:shd w:val="clear" w:color="auto" w:fill="F2F2F2"/>
          </w:tcPr>
          <w:p w14:paraId="781C83E6" w14:textId="77777777" w:rsidR="009450B0" w:rsidRPr="0034070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p>
          <w:p w14:paraId="78FCFC3F" w14:textId="77777777" w:rsidR="009450B0" w:rsidRPr="00340700"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r>
              <w:rPr>
                <w:rFonts w:ascii="Calibri Light" w:eastAsia="SimSun" w:hAnsi="Calibri Light" w:cs="Calibri Light"/>
                <w:color w:val="59595B"/>
                <w:sz w:val="20"/>
                <w:szCs w:val="20"/>
                <w:lang w:eastAsia="zh-CN"/>
              </w:rPr>
              <w:t>17.0</w:t>
            </w:r>
          </w:p>
        </w:tc>
        <w:tc>
          <w:tcPr>
            <w:tcW w:w="1134" w:type="dxa"/>
            <w:shd w:val="clear" w:color="auto" w:fill="D4D3DD" w:themeFill="text2" w:themeFillTint="33"/>
          </w:tcPr>
          <w:p w14:paraId="1C65FA18" w14:textId="77777777" w:rsidR="009450B0" w:rsidRPr="00122E77"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p>
          <w:p w14:paraId="0F383247" w14:textId="77777777" w:rsidR="009450B0" w:rsidRPr="00122E77" w:rsidRDefault="009450B0" w:rsidP="00F263EE">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i/>
                <w:color w:val="59595B"/>
                <w:sz w:val="20"/>
                <w:szCs w:val="20"/>
                <w:lang w:eastAsia="zh-CN"/>
              </w:rPr>
            </w:pPr>
            <w:r w:rsidRPr="00122E77">
              <w:rPr>
                <w:rFonts w:ascii="Calibri Light" w:eastAsia="SimSun" w:hAnsi="Calibri Light" w:cs="Calibri Light"/>
                <w:i/>
                <w:color w:val="59595B"/>
                <w:sz w:val="20"/>
                <w:szCs w:val="20"/>
                <w:lang w:eastAsia="zh-CN"/>
              </w:rPr>
              <w:t>127%</w:t>
            </w:r>
          </w:p>
        </w:tc>
      </w:tr>
      <w:tr w:rsidR="009450B0" w:rsidRPr="008A49C2" w14:paraId="1E02C8A1" w14:textId="77777777" w:rsidTr="00F2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top w:val="nil"/>
              <w:left w:val="nil"/>
              <w:bottom w:val="nil"/>
              <w:right w:val="single" w:sz="4" w:space="0" w:color="59595B"/>
            </w:tcBorders>
            <w:hideMark/>
          </w:tcPr>
          <w:p w14:paraId="2A3406D5" w14:textId="77777777" w:rsidR="009450B0" w:rsidRPr="00340700" w:rsidRDefault="009450B0" w:rsidP="00F263EE">
            <w:pPr>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Share Information</w:t>
            </w:r>
          </w:p>
          <w:p w14:paraId="28F6D8FF" w14:textId="77777777" w:rsidR="009450B0" w:rsidRPr="00E04BE6" w:rsidRDefault="009450B0" w:rsidP="00F263EE">
            <w:pPr>
              <w:rPr>
                <w:rFonts w:ascii="Calibri Light" w:eastAsia="SimSun" w:hAnsi="Calibri Light" w:cs="Calibri Light"/>
                <w:b w:val="0"/>
                <w:color w:val="808080" w:themeColor="background1" w:themeShade="80"/>
                <w:sz w:val="20"/>
                <w:szCs w:val="20"/>
                <w:lang w:eastAsia="zh-CN"/>
              </w:rPr>
            </w:pPr>
            <w:r w:rsidRPr="00340700">
              <w:rPr>
                <w:rFonts w:ascii="Calibri Light" w:eastAsia="SimSun" w:hAnsi="Calibri Light" w:cs="Calibri Light"/>
                <w:color w:val="59595B"/>
                <w:sz w:val="20"/>
                <w:szCs w:val="20"/>
                <w:lang w:eastAsia="zh-CN"/>
              </w:rPr>
              <w:t>Earnings per share before dilution (€)</w:t>
            </w:r>
          </w:p>
        </w:tc>
        <w:tc>
          <w:tcPr>
            <w:tcW w:w="1417" w:type="dxa"/>
            <w:tcBorders>
              <w:top w:val="nil"/>
              <w:left w:val="single" w:sz="4" w:space="0" w:color="59595B"/>
              <w:bottom w:val="nil"/>
              <w:right w:val="single" w:sz="4" w:space="0" w:color="59595B"/>
            </w:tcBorders>
            <w:shd w:val="clear" w:color="auto" w:fill="D4D3DD" w:themeFill="text2" w:themeFillTint="33"/>
          </w:tcPr>
          <w:p w14:paraId="20EF6A48" w14:textId="77777777" w:rsidR="009450B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1BCD161D" w14:textId="77777777" w:rsidR="009450B0" w:rsidRPr="0034070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(0.015)</w:t>
            </w:r>
          </w:p>
        </w:tc>
        <w:tc>
          <w:tcPr>
            <w:tcW w:w="1418" w:type="dxa"/>
            <w:tcBorders>
              <w:top w:val="nil"/>
              <w:left w:val="single" w:sz="4" w:space="0" w:color="59595B"/>
              <w:bottom w:val="nil"/>
              <w:right w:val="nil"/>
            </w:tcBorders>
            <w:shd w:val="clear" w:color="auto" w:fill="D4D3DD" w:themeFill="text2" w:themeFillTint="33"/>
          </w:tcPr>
          <w:p w14:paraId="25D614BA" w14:textId="77777777" w:rsidR="009450B0" w:rsidRPr="0034070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20E5F445" w14:textId="77777777" w:rsidR="009450B0" w:rsidRPr="0034070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(0.077)</w:t>
            </w:r>
          </w:p>
        </w:tc>
        <w:tc>
          <w:tcPr>
            <w:tcW w:w="1418" w:type="dxa"/>
          </w:tcPr>
          <w:p w14:paraId="30D8C698" w14:textId="77777777" w:rsidR="009450B0" w:rsidRPr="0034070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074792A8" w14:textId="77777777" w:rsidR="009450B0" w:rsidRPr="00340700"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(0.0</w:t>
            </w:r>
            <w:r>
              <w:rPr>
                <w:rFonts w:ascii="Calibri Light" w:eastAsia="SimSun" w:hAnsi="Calibri Light" w:cs="Calibri Light"/>
                <w:color w:val="59595B"/>
                <w:sz w:val="20"/>
                <w:szCs w:val="20"/>
                <w:lang w:eastAsia="zh-CN"/>
              </w:rPr>
              <w:t>25</w:t>
            </w:r>
            <w:r w:rsidRPr="00340700">
              <w:rPr>
                <w:rFonts w:ascii="Calibri Light" w:eastAsia="SimSun" w:hAnsi="Calibri Light" w:cs="Calibri Light"/>
                <w:color w:val="59595B"/>
                <w:sz w:val="20"/>
                <w:szCs w:val="20"/>
                <w:lang w:eastAsia="zh-CN"/>
              </w:rPr>
              <w:t>)</w:t>
            </w:r>
          </w:p>
        </w:tc>
        <w:tc>
          <w:tcPr>
            <w:tcW w:w="1134" w:type="dxa"/>
            <w:shd w:val="clear" w:color="auto" w:fill="D4D3DD" w:themeFill="text2" w:themeFillTint="33"/>
          </w:tcPr>
          <w:p w14:paraId="5FD1FDE9" w14:textId="77777777" w:rsidR="009450B0" w:rsidRPr="00122E77"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1606CD68" w14:textId="77777777" w:rsidR="009450B0" w:rsidRPr="00122E77" w:rsidRDefault="009450B0" w:rsidP="00F263EE">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122E77">
              <w:rPr>
                <w:rFonts w:ascii="Calibri Light" w:eastAsia="SimSun" w:hAnsi="Calibri Light" w:cs="Calibri Light"/>
                <w:color w:val="59595B"/>
                <w:sz w:val="20"/>
                <w:szCs w:val="20"/>
                <w:lang w:eastAsia="zh-CN"/>
              </w:rPr>
              <w:t>(</w:t>
            </w:r>
            <w:r>
              <w:rPr>
                <w:rFonts w:ascii="Calibri Light" w:eastAsia="SimSun" w:hAnsi="Calibri Light" w:cs="Calibri Light"/>
                <w:color w:val="59595B"/>
                <w:sz w:val="20"/>
                <w:szCs w:val="20"/>
                <w:lang w:eastAsia="zh-CN"/>
              </w:rPr>
              <w:t>208</w:t>
            </w:r>
            <w:r w:rsidRPr="00122E77">
              <w:rPr>
                <w:rFonts w:ascii="Calibri Light" w:eastAsia="SimSun" w:hAnsi="Calibri Light" w:cs="Calibri Light"/>
                <w:color w:val="59595B"/>
                <w:sz w:val="20"/>
                <w:szCs w:val="20"/>
                <w:lang w:eastAsia="zh-CN"/>
              </w:rPr>
              <w:t>)%</w:t>
            </w:r>
          </w:p>
        </w:tc>
      </w:tr>
    </w:tbl>
    <w:p w14:paraId="3F6F30E9" w14:textId="77777777" w:rsidR="009450B0" w:rsidRDefault="009450B0" w:rsidP="007B5C28">
      <w:pPr>
        <w:spacing w:line="276" w:lineRule="auto"/>
        <w:rPr>
          <w:rFonts w:ascii="Calibri Light" w:eastAsia="SimSun" w:hAnsi="Calibri Light" w:cs="Calibri Light"/>
          <w:b/>
          <w:color w:val="00679B"/>
          <w:sz w:val="24"/>
          <w:lang w:eastAsia="zh-CN"/>
        </w:rPr>
      </w:pPr>
    </w:p>
    <w:p w14:paraId="6AC9DC70" w14:textId="77777777" w:rsidR="00B55281" w:rsidRDefault="00B55281" w:rsidP="007B5C28">
      <w:pPr>
        <w:spacing w:line="276" w:lineRule="auto"/>
        <w:rPr>
          <w:rFonts w:ascii="Calibri Light" w:eastAsia="SimSun" w:hAnsi="Calibri Light" w:cs="Calibri Light"/>
          <w:b/>
          <w:color w:val="00679B"/>
          <w:sz w:val="24"/>
          <w:lang w:eastAsia="zh-CN"/>
        </w:rPr>
      </w:pPr>
    </w:p>
    <w:p w14:paraId="14AD85B4" w14:textId="029200FA" w:rsidR="000D7B20" w:rsidRPr="00340700" w:rsidRDefault="000D7B20" w:rsidP="007B5C28">
      <w:pPr>
        <w:spacing w:line="276" w:lineRule="auto"/>
        <w:rPr>
          <w:rFonts w:ascii="Calibri Light" w:eastAsia="SimSun" w:hAnsi="Calibri Light" w:cs="Calibri Light"/>
          <w:b/>
          <w:color w:val="00679B"/>
          <w:sz w:val="24"/>
          <w:lang w:eastAsia="zh-CN"/>
        </w:rPr>
      </w:pPr>
      <w:r w:rsidRPr="00340700">
        <w:rPr>
          <w:rFonts w:ascii="Calibri Light" w:eastAsia="SimSun" w:hAnsi="Calibri Light" w:cs="Calibri Light"/>
          <w:b/>
          <w:color w:val="00679B"/>
          <w:sz w:val="24"/>
          <w:lang w:eastAsia="zh-CN"/>
        </w:rPr>
        <w:t>Commentary</w:t>
      </w:r>
      <w:r w:rsidR="00B55281">
        <w:rPr>
          <w:rFonts w:ascii="Calibri Light" w:eastAsia="SimSun" w:hAnsi="Calibri Light" w:cs="Calibri Light"/>
          <w:b/>
          <w:color w:val="00679B"/>
          <w:sz w:val="24"/>
          <w:lang w:eastAsia="zh-CN"/>
        </w:rPr>
        <w:t xml:space="preserve"> on the Report</w:t>
      </w:r>
    </w:p>
    <w:p w14:paraId="5D1A95D5" w14:textId="77777777" w:rsidR="00B55281" w:rsidRDefault="00B55281" w:rsidP="007B5C28">
      <w:pPr>
        <w:pStyle w:val="NoSpacing"/>
        <w:spacing w:line="276" w:lineRule="auto"/>
        <w:jc w:val="both"/>
        <w:rPr>
          <w:rFonts w:ascii="Calibri Light" w:hAnsi="Calibri Light" w:cs="Calibri Light"/>
          <w:color w:val="59595B"/>
        </w:rPr>
      </w:pPr>
    </w:p>
    <w:p w14:paraId="5FEEFDCA" w14:textId="5213250F" w:rsidR="00A346D3" w:rsidRDefault="00BF3D5D" w:rsidP="007B5C28">
      <w:pPr>
        <w:pStyle w:val="NoSpacing"/>
        <w:spacing w:line="276" w:lineRule="auto"/>
        <w:jc w:val="both"/>
        <w:rPr>
          <w:rFonts w:ascii="Calibri Light" w:hAnsi="Calibri Light" w:cs="Calibri Light"/>
          <w:color w:val="59595B"/>
        </w:rPr>
      </w:pPr>
      <w:r>
        <w:rPr>
          <w:rFonts w:ascii="Calibri Light" w:hAnsi="Calibri Light" w:cs="Calibri Light"/>
          <w:color w:val="59595B"/>
        </w:rPr>
        <w:t>Th</w:t>
      </w:r>
      <w:r w:rsidR="00BD43D5">
        <w:rPr>
          <w:rFonts w:ascii="Calibri Light" w:hAnsi="Calibri Light" w:cs="Calibri Light"/>
          <w:color w:val="59595B"/>
        </w:rPr>
        <w:t xml:space="preserve">e third quarter of 2017 </w:t>
      </w:r>
      <w:r w:rsidR="00F2483A">
        <w:rPr>
          <w:rFonts w:ascii="Calibri Light" w:hAnsi="Calibri Light" w:cs="Calibri Light"/>
          <w:color w:val="59595B"/>
        </w:rPr>
        <w:t xml:space="preserve">demonstrates </w:t>
      </w:r>
      <w:r>
        <w:rPr>
          <w:rFonts w:ascii="Calibri Light" w:hAnsi="Calibri Light" w:cs="Calibri Light"/>
          <w:color w:val="59595B"/>
        </w:rPr>
        <w:t xml:space="preserve">the </w:t>
      </w:r>
      <w:r w:rsidR="001931C6">
        <w:rPr>
          <w:rFonts w:ascii="Calibri Light" w:hAnsi="Calibri Light" w:cs="Calibri Light"/>
          <w:color w:val="59595B"/>
        </w:rPr>
        <w:t>strong growth in</w:t>
      </w:r>
      <w:r>
        <w:rPr>
          <w:rFonts w:ascii="Calibri Light" w:hAnsi="Calibri Light" w:cs="Calibri Light"/>
          <w:color w:val="59595B"/>
        </w:rPr>
        <w:t xml:space="preserve"> Pharming’s R</w:t>
      </w:r>
      <w:r w:rsidR="00F2483A">
        <w:rPr>
          <w:rFonts w:ascii="Calibri Light" w:hAnsi="Calibri Light" w:cs="Calibri Light"/>
          <w:color w:val="59595B"/>
        </w:rPr>
        <w:t>UCONEST</w:t>
      </w:r>
      <w:r w:rsidR="008C740A" w:rsidRPr="00340700">
        <w:rPr>
          <w:rFonts w:ascii="Calibri Light" w:hAnsi="Calibri Light" w:cs="Calibri Light"/>
          <w:color w:val="59595B"/>
        </w:rPr>
        <w:t>®</w:t>
      </w:r>
      <w:r>
        <w:rPr>
          <w:rFonts w:ascii="Calibri Light" w:hAnsi="Calibri Light" w:cs="Calibri Light"/>
          <w:color w:val="59595B"/>
        </w:rPr>
        <w:t xml:space="preserve"> sales </w:t>
      </w:r>
      <w:r w:rsidR="008C740A">
        <w:rPr>
          <w:rFonts w:ascii="Calibri Light" w:hAnsi="Calibri Light" w:cs="Calibri Light"/>
          <w:color w:val="59595B"/>
        </w:rPr>
        <w:t>a</w:t>
      </w:r>
      <w:r w:rsidR="001931C6">
        <w:rPr>
          <w:rFonts w:ascii="Calibri Light" w:hAnsi="Calibri Light" w:cs="Calibri Light"/>
          <w:color w:val="59595B"/>
        </w:rPr>
        <w:t>nd validates</w:t>
      </w:r>
      <w:r w:rsidR="001F32EF">
        <w:rPr>
          <w:rFonts w:ascii="Calibri Light" w:hAnsi="Calibri Light" w:cs="Calibri Light"/>
          <w:color w:val="59595B"/>
        </w:rPr>
        <w:t xml:space="preserve"> </w:t>
      </w:r>
      <w:r w:rsidR="008C740A">
        <w:rPr>
          <w:rFonts w:ascii="Calibri Light" w:hAnsi="Calibri Light" w:cs="Calibri Light"/>
          <w:color w:val="59595B"/>
        </w:rPr>
        <w:t>our</w:t>
      </w:r>
      <w:r w:rsidR="00F2483A">
        <w:rPr>
          <w:rFonts w:ascii="Calibri Light" w:hAnsi="Calibri Light" w:cs="Calibri Light"/>
          <w:color w:val="59595B"/>
        </w:rPr>
        <w:t xml:space="preserve"> </w:t>
      </w:r>
      <w:r w:rsidR="00F2483A" w:rsidRPr="00F2483A">
        <w:rPr>
          <w:rFonts w:ascii="Calibri Light" w:hAnsi="Calibri Light" w:cs="Calibri Light"/>
          <w:color w:val="59595B"/>
        </w:rPr>
        <w:t xml:space="preserve">strategic decision to reacquire </w:t>
      </w:r>
      <w:r w:rsidR="00F263EE">
        <w:rPr>
          <w:rFonts w:ascii="Calibri Light" w:hAnsi="Calibri Light" w:cs="Calibri Light"/>
          <w:color w:val="59595B"/>
        </w:rPr>
        <w:t xml:space="preserve">the </w:t>
      </w:r>
      <w:r w:rsidR="00F2483A" w:rsidRPr="00F2483A">
        <w:rPr>
          <w:rFonts w:ascii="Calibri Light" w:hAnsi="Calibri Light" w:cs="Calibri Light"/>
          <w:color w:val="59595B"/>
        </w:rPr>
        <w:t xml:space="preserve">commercial rights to </w:t>
      </w:r>
      <w:r w:rsidR="00F2483A">
        <w:rPr>
          <w:rFonts w:ascii="Calibri Light" w:hAnsi="Calibri Light" w:cs="Calibri Light"/>
          <w:color w:val="59595B"/>
        </w:rPr>
        <w:t xml:space="preserve">the product </w:t>
      </w:r>
      <w:r w:rsidR="00F2483A" w:rsidRPr="00F2483A">
        <w:rPr>
          <w:rFonts w:ascii="Calibri Light" w:hAnsi="Calibri Light" w:cs="Calibri Light"/>
          <w:color w:val="59595B"/>
        </w:rPr>
        <w:t>in North America</w:t>
      </w:r>
      <w:r w:rsidR="00F2483A">
        <w:rPr>
          <w:rFonts w:ascii="Calibri Light" w:hAnsi="Calibri Light" w:cs="Calibri Light"/>
          <w:color w:val="59595B"/>
        </w:rPr>
        <w:t xml:space="preserve"> last year</w:t>
      </w:r>
      <w:r>
        <w:rPr>
          <w:rFonts w:ascii="Calibri Light" w:hAnsi="Calibri Light" w:cs="Calibri Light"/>
          <w:color w:val="59595B"/>
        </w:rPr>
        <w:t>.  Importantly, it was the first full quarter in which</w:t>
      </w:r>
      <w:r w:rsidR="00BD43D5">
        <w:rPr>
          <w:rFonts w:ascii="Calibri Light" w:hAnsi="Calibri Light" w:cs="Calibri Light"/>
          <w:color w:val="59595B"/>
        </w:rPr>
        <w:t xml:space="preserve"> we saw the</w:t>
      </w:r>
      <w:r w:rsidR="001931C6">
        <w:rPr>
          <w:rFonts w:ascii="Calibri Light" w:hAnsi="Calibri Light" w:cs="Calibri Light"/>
          <w:color w:val="59595B"/>
        </w:rPr>
        <w:t xml:space="preserve"> full potential</w:t>
      </w:r>
      <w:r>
        <w:rPr>
          <w:rFonts w:ascii="Calibri Light" w:hAnsi="Calibri Light" w:cs="Calibri Light"/>
          <w:color w:val="59595B"/>
        </w:rPr>
        <w:t xml:space="preserve"> of the</w:t>
      </w:r>
      <w:r w:rsidRPr="00340700">
        <w:rPr>
          <w:rFonts w:ascii="Calibri Light" w:hAnsi="Calibri Light" w:cs="Calibri Light"/>
          <w:color w:val="59595B"/>
        </w:rPr>
        <w:t xml:space="preserve"> </w:t>
      </w:r>
      <w:r w:rsidR="001931C6">
        <w:rPr>
          <w:rFonts w:ascii="Calibri Light" w:hAnsi="Calibri Light" w:cs="Calibri Light"/>
          <w:color w:val="59595B"/>
        </w:rPr>
        <w:t xml:space="preserve">integrated </w:t>
      </w:r>
      <w:r w:rsidRPr="00340700">
        <w:rPr>
          <w:rFonts w:ascii="Calibri Light" w:hAnsi="Calibri Light" w:cs="Calibri Light"/>
          <w:color w:val="59595B"/>
        </w:rPr>
        <w:t xml:space="preserve">commercialization </w:t>
      </w:r>
      <w:r>
        <w:rPr>
          <w:rFonts w:ascii="Calibri Light" w:hAnsi="Calibri Light" w:cs="Calibri Light"/>
          <w:color w:val="59595B"/>
        </w:rPr>
        <w:t>team</w:t>
      </w:r>
      <w:r w:rsidRPr="00340700">
        <w:rPr>
          <w:rFonts w:ascii="Calibri Light" w:hAnsi="Calibri Light" w:cs="Calibri Light"/>
          <w:color w:val="59595B"/>
        </w:rPr>
        <w:t xml:space="preserve"> </w:t>
      </w:r>
      <w:r w:rsidR="001931C6">
        <w:rPr>
          <w:rFonts w:ascii="Calibri Light" w:hAnsi="Calibri Light" w:cs="Calibri Light"/>
          <w:color w:val="59595B"/>
        </w:rPr>
        <w:t xml:space="preserve">that </w:t>
      </w:r>
      <w:r w:rsidR="00B64BCF">
        <w:rPr>
          <w:rFonts w:ascii="Calibri Light" w:hAnsi="Calibri Light" w:cs="Calibri Light"/>
          <w:color w:val="59595B"/>
        </w:rPr>
        <w:t xml:space="preserve">we have built </w:t>
      </w:r>
      <w:r w:rsidRPr="00340700">
        <w:rPr>
          <w:rFonts w:ascii="Calibri Light" w:hAnsi="Calibri Light" w:cs="Calibri Light"/>
          <w:color w:val="59595B"/>
        </w:rPr>
        <w:t xml:space="preserve">for RUCONEST® in </w:t>
      </w:r>
      <w:r w:rsidR="00BD43D5">
        <w:rPr>
          <w:rFonts w:ascii="Calibri Light" w:hAnsi="Calibri Light" w:cs="Calibri Light"/>
          <w:color w:val="59595B"/>
        </w:rPr>
        <w:t>the US</w:t>
      </w:r>
      <w:r w:rsidR="00B64BCF">
        <w:rPr>
          <w:rFonts w:ascii="Calibri Light" w:hAnsi="Calibri Light" w:cs="Calibri Light"/>
          <w:color w:val="59595B"/>
        </w:rPr>
        <w:t>, as well as the Company’s</w:t>
      </w:r>
      <w:r w:rsidR="00BD43D5">
        <w:rPr>
          <w:rFonts w:ascii="Calibri Light" w:hAnsi="Calibri Light" w:cs="Calibri Light"/>
          <w:color w:val="59595B"/>
        </w:rPr>
        <w:t xml:space="preserve"> careful expansion into western EU markets</w:t>
      </w:r>
      <w:r w:rsidR="00711B0E" w:rsidRPr="00340700">
        <w:rPr>
          <w:rFonts w:ascii="Calibri Light" w:hAnsi="Calibri Light" w:cs="Calibri Light"/>
          <w:color w:val="59595B"/>
        </w:rPr>
        <w:t xml:space="preserve">. </w:t>
      </w:r>
      <w:r w:rsidR="0004526B">
        <w:rPr>
          <w:rFonts w:ascii="Calibri Light" w:hAnsi="Calibri Light" w:cs="Calibri Light"/>
          <w:color w:val="59595B"/>
        </w:rPr>
        <w:t xml:space="preserve"> </w:t>
      </w:r>
      <w:r w:rsidR="00A346D3">
        <w:rPr>
          <w:rFonts w:ascii="Calibri Light" w:hAnsi="Calibri Light" w:cs="Calibri Light"/>
          <w:color w:val="59595B"/>
        </w:rPr>
        <w:t xml:space="preserve">As </w:t>
      </w:r>
      <w:r w:rsidR="00A42E9C">
        <w:rPr>
          <w:rFonts w:ascii="Calibri Light" w:hAnsi="Calibri Light" w:cs="Calibri Light"/>
          <w:color w:val="59595B"/>
        </w:rPr>
        <w:t>a result</w:t>
      </w:r>
      <w:r w:rsidR="00A346D3">
        <w:rPr>
          <w:rFonts w:ascii="Calibri Light" w:hAnsi="Calibri Light" w:cs="Calibri Light"/>
          <w:color w:val="59595B"/>
        </w:rPr>
        <w:t xml:space="preserve">, </w:t>
      </w:r>
      <w:r w:rsidR="008C740A">
        <w:rPr>
          <w:rFonts w:ascii="Calibri Light" w:hAnsi="Calibri Light" w:cs="Calibri Light"/>
          <w:color w:val="59595B"/>
        </w:rPr>
        <w:t xml:space="preserve">Pharming has </w:t>
      </w:r>
      <w:r w:rsidR="00A346D3">
        <w:rPr>
          <w:rFonts w:ascii="Calibri Light" w:hAnsi="Calibri Light" w:cs="Calibri Light"/>
          <w:color w:val="59595B"/>
        </w:rPr>
        <w:t xml:space="preserve">delivered </w:t>
      </w:r>
      <w:r w:rsidR="00BF5B03">
        <w:rPr>
          <w:rFonts w:ascii="Calibri Light" w:hAnsi="Calibri Light" w:cs="Calibri Light"/>
          <w:color w:val="59595B"/>
        </w:rPr>
        <w:t xml:space="preserve">an </w:t>
      </w:r>
      <w:r w:rsidR="00A346D3">
        <w:rPr>
          <w:rFonts w:ascii="Calibri Light" w:hAnsi="Calibri Light" w:cs="Calibri Light"/>
          <w:color w:val="59595B"/>
        </w:rPr>
        <w:t xml:space="preserve">operating profit </w:t>
      </w:r>
      <w:r w:rsidR="008C740A">
        <w:rPr>
          <w:rFonts w:ascii="Calibri Light" w:hAnsi="Calibri Light" w:cs="Calibri Light"/>
          <w:color w:val="59595B"/>
        </w:rPr>
        <w:t xml:space="preserve">and generated positive net cash flow </w:t>
      </w:r>
      <w:r w:rsidR="00A346D3">
        <w:rPr>
          <w:rFonts w:ascii="Calibri Light" w:hAnsi="Calibri Light" w:cs="Calibri Light"/>
          <w:color w:val="59595B"/>
        </w:rPr>
        <w:t xml:space="preserve">during </w:t>
      </w:r>
      <w:r w:rsidR="00B254A2">
        <w:rPr>
          <w:rFonts w:ascii="Calibri Light" w:hAnsi="Calibri Light" w:cs="Calibri Light"/>
          <w:color w:val="59595B"/>
        </w:rPr>
        <w:t xml:space="preserve">each of </w:t>
      </w:r>
      <w:r w:rsidR="00A346D3">
        <w:rPr>
          <w:rFonts w:ascii="Calibri Light" w:hAnsi="Calibri Light" w:cs="Calibri Light"/>
          <w:color w:val="59595B"/>
        </w:rPr>
        <w:t xml:space="preserve">the </w:t>
      </w:r>
      <w:r w:rsidR="001931C6">
        <w:rPr>
          <w:rFonts w:ascii="Calibri Light" w:hAnsi="Calibri Light" w:cs="Calibri Light"/>
          <w:color w:val="59595B"/>
        </w:rPr>
        <w:t>last</w:t>
      </w:r>
      <w:r w:rsidR="00C1148B">
        <w:rPr>
          <w:rFonts w:ascii="Calibri Light" w:hAnsi="Calibri Light" w:cs="Calibri Light"/>
          <w:color w:val="59595B"/>
        </w:rPr>
        <w:t xml:space="preserve"> three</w:t>
      </w:r>
      <w:r w:rsidR="00A346D3">
        <w:rPr>
          <w:rFonts w:ascii="Calibri Light" w:hAnsi="Calibri Light" w:cs="Calibri Light"/>
          <w:color w:val="59595B"/>
        </w:rPr>
        <w:t xml:space="preserve"> full quarter</w:t>
      </w:r>
      <w:r w:rsidR="00C1148B">
        <w:rPr>
          <w:rFonts w:ascii="Calibri Light" w:hAnsi="Calibri Light" w:cs="Calibri Light"/>
          <w:color w:val="59595B"/>
        </w:rPr>
        <w:t>s</w:t>
      </w:r>
      <w:r w:rsidR="00BD43D5">
        <w:rPr>
          <w:rFonts w:ascii="Calibri Light" w:hAnsi="Calibri Light" w:cs="Calibri Light"/>
          <w:color w:val="59595B"/>
        </w:rPr>
        <w:t xml:space="preserve"> since </w:t>
      </w:r>
      <w:r w:rsidR="001931C6">
        <w:rPr>
          <w:rFonts w:ascii="Calibri Light" w:hAnsi="Calibri Light" w:cs="Calibri Light"/>
          <w:color w:val="59595B"/>
        </w:rPr>
        <w:t>we regained</w:t>
      </w:r>
      <w:r w:rsidR="00BD43D5">
        <w:rPr>
          <w:rFonts w:ascii="Calibri Light" w:hAnsi="Calibri Light" w:cs="Calibri Light"/>
          <w:color w:val="59595B"/>
        </w:rPr>
        <w:t xml:space="preserve"> the US rights for RUCONEST</w:t>
      </w:r>
      <w:r w:rsidR="008C740A" w:rsidRPr="008C740A">
        <w:rPr>
          <w:rFonts w:ascii="Calibri Light" w:hAnsi="Calibri Light" w:cs="Calibri Light"/>
          <w:color w:val="59595B"/>
        </w:rPr>
        <w:t>®</w:t>
      </w:r>
      <w:r w:rsidR="008C740A">
        <w:rPr>
          <w:rFonts w:ascii="Calibri Light" w:hAnsi="Calibri Light" w:cs="Calibri Light"/>
          <w:color w:val="59595B"/>
        </w:rPr>
        <w:t xml:space="preserve"> and the Company</w:t>
      </w:r>
      <w:r w:rsidR="008C740A" w:rsidRPr="008C740A">
        <w:rPr>
          <w:rFonts w:ascii="Calibri Light" w:hAnsi="Calibri Light" w:cs="Calibri Light"/>
          <w:color w:val="59595B"/>
        </w:rPr>
        <w:t xml:space="preserve"> </w:t>
      </w:r>
      <w:r w:rsidR="008C740A">
        <w:rPr>
          <w:rFonts w:ascii="Calibri Light" w:hAnsi="Calibri Light" w:cs="Calibri Light"/>
          <w:color w:val="59595B"/>
        </w:rPr>
        <w:t xml:space="preserve">is </w:t>
      </w:r>
      <w:r w:rsidR="00C1148B">
        <w:rPr>
          <w:rFonts w:ascii="Calibri Light" w:hAnsi="Calibri Light" w:cs="Calibri Light"/>
          <w:color w:val="59595B"/>
        </w:rPr>
        <w:t xml:space="preserve">close to achieving </w:t>
      </w:r>
      <w:r w:rsidR="00C1148B" w:rsidRPr="000B421B">
        <w:rPr>
          <w:rFonts w:ascii="Calibri Light" w:hAnsi="Calibri Light" w:cs="Calibri Light"/>
          <w:color w:val="59595B"/>
        </w:rPr>
        <w:t>sustainable net profit</w:t>
      </w:r>
      <w:r w:rsidR="00A346D3" w:rsidRPr="000B421B">
        <w:rPr>
          <w:rFonts w:ascii="Calibri Light" w:hAnsi="Calibri Light" w:cs="Calibri Light"/>
          <w:color w:val="59595B"/>
        </w:rPr>
        <w:t xml:space="preserve">. </w:t>
      </w:r>
      <w:r w:rsidR="00C1148B" w:rsidRPr="000B421B">
        <w:rPr>
          <w:rFonts w:ascii="Calibri Light" w:hAnsi="Calibri Light" w:cs="Calibri Light"/>
          <w:color w:val="59595B"/>
        </w:rPr>
        <w:t xml:space="preserve"> </w:t>
      </w:r>
    </w:p>
    <w:p w14:paraId="0F87A323" w14:textId="77777777" w:rsidR="004B487D" w:rsidRDefault="004B487D" w:rsidP="00842B78">
      <w:pPr>
        <w:spacing w:line="276" w:lineRule="auto"/>
        <w:rPr>
          <w:rFonts w:ascii="Calibri Light" w:hAnsi="Calibri Light" w:cs="Calibri Light"/>
          <w:color w:val="59595B"/>
        </w:rPr>
      </w:pPr>
    </w:p>
    <w:p w14:paraId="449D2AE7" w14:textId="0B440B05" w:rsidR="004B487D" w:rsidRDefault="004B487D" w:rsidP="00842B78">
      <w:pPr>
        <w:spacing w:line="276" w:lineRule="auto"/>
        <w:rPr>
          <w:rFonts w:ascii="Calibri Light" w:hAnsi="Calibri Light" w:cs="Calibri Light"/>
          <w:color w:val="59595B"/>
        </w:rPr>
      </w:pPr>
      <w:r w:rsidRPr="00842B78">
        <w:rPr>
          <w:rFonts w:ascii="Calibri Light" w:hAnsi="Calibri Light" w:cs="Calibri Light"/>
          <w:color w:val="59595B"/>
        </w:rPr>
        <w:t>Net product sales for the nine months to 30 September increased to €</w:t>
      </w:r>
      <w:r w:rsidR="00B31524">
        <w:rPr>
          <w:rFonts w:ascii="Calibri Light" w:hAnsi="Calibri Light" w:cs="Calibri Light"/>
          <w:color w:val="59595B"/>
        </w:rPr>
        <w:t>56.0</w:t>
      </w:r>
      <w:r w:rsidRPr="00842B78">
        <w:rPr>
          <w:rFonts w:ascii="Calibri Light" w:hAnsi="Calibri Light" w:cs="Calibri Light"/>
          <w:color w:val="59595B"/>
        </w:rPr>
        <w:t xml:space="preserve"> million (Q3: €</w:t>
      </w:r>
      <w:r w:rsidR="00B31524">
        <w:rPr>
          <w:rFonts w:ascii="Calibri Light" w:hAnsi="Calibri Light" w:cs="Calibri Light"/>
          <w:color w:val="59595B"/>
        </w:rPr>
        <w:t>25.9</w:t>
      </w:r>
      <w:r w:rsidR="00A233C8">
        <w:rPr>
          <w:rFonts w:ascii="Calibri Light" w:hAnsi="Calibri Light" w:cs="Calibri Light"/>
          <w:color w:val="59595B"/>
        </w:rPr>
        <w:t xml:space="preserve"> million), an increase of 700</w:t>
      </w:r>
      <w:r w:rsidRPr="00842B78">
        <w:rPr>
          <w:rFonts w:ascii="Calibri Light" w:hAnsi="Calibri Light" w:cs="Calibri Light"/>
          <w:color w:val="59595B"/>
        </w:rPr>
        <w:t xml:space="preserve">% compared to the nine months to 30 September 2016 (€7.0 million), mainly as a result of the increase in volumes generated by Pharming’s full commercial team in the US and significant market share gains in European and </w:t>
      </w:r>
      <w:proofErr w:type="spellStart"/>
      <w:r w:rsidRPr="00842B78">
        <w:rPr>
          <w:rFonts w:ascii="Calibri Light" w:hAnsi="Calibri Light" w:cs="Calibri Light"/>
          <w:color w:val="59595B"/>
        </w:rPr>
        <w:t>RoW</w:t>
      </w:r>
      <w:proofErr w:type="spellEnd"/>
      <w:r w:rsidRPr="00842B78">
        <w:rPr>
          <w:rFonts w:ascii="Calibri Light" w:hAnsi="Calibri Light" w:cs="Calibri Light"/>
          <w:color w:val="59595B"/>
        </w:rPr>
        <w:t xml:space="preserve"> sales</w:t>
      </w:r>
      <w:r>
        <w:rPr>
          <w:rFonts w:ascii="Calibri Light" w:hAnsi="Calibri Light" w:cs="Calibri Light"/>
          <w:color w:val="59595B"/>
        </w:rPr>
        <w:t xml:space="preserve">.  </w:t>
      </w:r>
      <w:r w:rsidRPr="00842B78">
        <w:rPr>
          <w:rFonts w:ascii="Calibri Light" w:hAnsi="Calibri Light" w:cs="Calibri Light"/>
          <w:color w:val="59595B"/>
        </w:rPr>
        <w:t>Total revenues for the first nine months of the year increased by 5</w:t>
      </w:r>
      <w:r w:rsidR="00B31524">
        <w:rPr>
          <w:rFonts w:ascii="Calibri Light" w:hAnsi="Calibri Light" w:cs="Calibri Light"/>
          <w:color w:val="59595B"/>
        </w:rPr>
        <w:t>52</w:t>
      </w:r>
      <w:r w:rsidRPr="00842B78">
        <w:rPr>
          <w:rFonts w:ascii="Calibri Light" w:hAnsi="Calibri Light" w:cs="Calibri Light"/>
          <w:color w:val="59595B"/>
        </w:rPr>
        <w:t>% to €</w:t>
      </w:r>
      <w:r w:rsidR="00B31524">
        <w:rPr>
          <w:rFonts w:ascii="Calibri Light" w:hAnsi="Calibri Light" w:cs="Calibri Light"/>
          <w:color w:val="59595B"/>
        </w:rPr>
        <w:t>56.7</w:t>
      </w:r>
      <w:r w:rsidRPr="00842B78">
        <w:rPr>
          <w:rFonts w:ascii="Calibri Light" w:hAnsi="Calibri Light" w:cs="Calibri Light"/>
          <w:color w:val="59595B"/>
        </w:rPr>
        <w:t xml:space="preserve"> million (including €0.7 million of license revenue) from €8.7 million in 2016 (including €1.7 million in license revenue)</w:t>
      </w:r>
      <w:r>
        <w:rPr>
          <w:rFonts w:ascii="Calibri Light" w:hAnsi="Calibri Light" w:cs="Calibri Light"/>
          <w:color w:val="59595B"/>
        </w:rPr>
        <w:t>.</w:t>
      </w:r>
    </w:p>
    <w:p w14:paraId="26CD87D6" w14:textId="77777777" w:rsidR="004B487D" w:rsidRPr="000A6145" w:rsidRDefault="004B487D" w:rsidP="00842B78">
      <w:pPr>
        <w:spacing w:line="276" w:lineRule="auto"/>
        <w:rPr>
          <w:rFonts w:ascii="Calibri Light" w:hAnsi="Calibri Light" w:cs="Calibri Light"/>
          <w:color w:val="59595B"/>
          <w:sz w:val="12"/>
          <w:szCs w:val="16"/>
        </w:rPr>
      </w:pPr>
    </w:p>
    <w:p w14:paraId="4224340C" w14:textId="67AC535E" w:rsidR="004B487D" w:rsidRDefault="004B487D" w:rsidP="00842B78">
      <w:pPr>
        <w:spacing w:line="276" w:lineRule="auto"/>
        <w:rPr>
          <w:rFonts w:ascii="Calibri Light" w:eastAsia="Calibri" w:hAnsi="Calibri Light" w:cs="Calibri Light"/>
          <w:color w:val="59595B"/>
          <w:szCs w:val="22"/>
        </w:rPr>
      </w:pPr>
      <w:r w:rsidRPr="00842B78">
        <w:rPr>
          <w:rFonts w:ascii="Calibri Light" w:eastAsia="Calibri" w:hAnsi="Calibri Light" w:cs="Calibri Light"/>
          <w:color w:val="59595B"/>
          <w:szCs w:val="22"/>
        </w:rPr>
        <w:t>An operating profit of €</w:t>
      </w:r>
      <w:r w:rsidR="00B31524">
        <w:rPr>
          <w:rFonts w:ascii="Calibri Light" w:eastAsia="Calibri" w:hAnsi="Calibri Light" w:cs="Calibri Light"/>
          <w:color w:val="59595B"/>
          <w:szCs w:val="22"/>
        </w:rPr>
        <w:t>8.5</w:t>
      </w:r>
      <w:r w:rsidRPr="00842B78">
        <w:rPr>
          <w:rFonts w:ascii="Calibri Light" w:eastAsia="Calibri" w:hAnsi="Calibri Light" w:cs="Calibri Light"/>
          <w:color w:val="59595B"/>
          <w:szCs w:val="22"/>
        </w:rPr>
        <w:t xml:space="preserve"> million was achieved in Q3 2017</w:t>
      </w:r>
      <w:r>
        <w:rPr>
          <w:rFonts w:ascii="Calibri Light" w:eastAsia="Calibri" w:hAnsi="Calibri Light" w:cs="Calibri Light"/>
          <w:color w:val="59595B"/>
          <w:szCs w:val="22"/>
        </w:rPr>
        <w:t>,</w:t>
      </w:r>
      <w:r w:rsidRPr="00842B78">
        <w:rPr>
          <w:rFonts w:ascii="Calibri Light" w:eastAsia="Calibri" w:hAnsi="Calibri Light" w:cs="Calibri Light"/>
          <w:color w:val="59595B"/>
          <w:szCs w:val="22"/>
        </w:rPr>
        <w:t xml:space="preserve"> compared with an operating loss of €3.2 million in Q3 2016</w:t>
      </w:r>
      <w:r>
        <w:rPr>
          <w:rFonts w:ascii="Calibri Light" w:eastAsia="Calibri" w:hAnsi="Calibri Light" w:cs="Calibri Light"/>
          <w:color w:val="59595B"/>
          <w:szCs w:val="22"/>
        </w:rPr>
        <w:t xml:space="preserve">. </w:t>
      </w:r>
      <w:r w:rsidRPr="00842B78">
        <w:rPr>
          <w:rFonts w:ascii="Calibri Light" w:eastAsia="Calibri" w:hAnsi="Calibri Light" w:cs="Calibri Light"/>
          <w:color w:val="59595B"/>
          <w:szCs w:val="22"/>
        </w:rPr>
        <w:t xml:space="preserve">The nine months’ operating profit </w:t>
      </w:r>
      <w:r>
        <w:rPr>
          <w:rFonts w:ascii="Calibri Light" w:eastAsia="Calibri" w:hAnsi="Calibri Light" w:cs="Calibri Light"/>
          <w:color w:val="59595B"/>
          <w:szCs w:val="22"/>
        </w:rPr>
        <w:t>was</w:t>
      </w:r>
      <w:r w:rsidRPr="00842B78">
        <w:rPr>
          <w:rFonts w:ascii="Calibri Light" w:eastAsia="Calibri" w:hAnsi="Calibri Light" w:cs="Calibri Light"/>
          <w:color w:val="59595B"/>
          <w:szCs w:val="22"/>
        </w:rPr>
        <w:t xml:space="preserve"> €</w:t>
      </w:r>
      <w:r w:rsidR="00B31524">
        <w:rPr>
          <w:rFonts w:ascii="Calibri Light" w:eastAsia="Calibri" w:hAnsi="Calibri Light" w:cs="Calibri Light"/>
          <w:color w:val="59595B"/>
          <w:szCs w:val="22"/>
        </w:rPr>
        <w:t>12.7</w:t>
      </w:r>
      <w:r w:rsidRPr="00842B78">
        <w:rPr>
          <w:rFonts w:ascii="Calibri Light" w:eastAsia="Calibri" w:hAnsi="Calibri Light" w:cs="Calibri Light"/>
          <w:color w:val="59595B"/>
          <w:szCs w:val="22"/>
        </w:rPr>
        <w:t xml:space="preserve"> million in 2017 compared with an operating loss of €9.4 million for the same period in 2016, despite considerable investments in the ramp-up in commercialization activities, especially in the US</w:t>
      </w:r>
      <w:r>
        <w:rPr>
          <w:rFonts w:ascii="Calibri Light" w:eastAsia="Calibri" w:hAnsi="Calibri Light" w:cs="Calibri Light"/>
          <w:color w:val="59595B"/>
          <w:szCs w:val="22"/>
        </w:rPr>
        <w:t>.</w:t>
      </w:r>
    </w:p>
    <w:p w14:paraId="131F4D76" w14:textId="77777777" w:rsidR="004B487D" w:rsidRPr="000A6145" w:rsidRDefault="004B487D" w:rsidP="00842B78">
      <w:pPr>
        <w:spacing w:line="276" w:lineRule="auto"/>
        <w:rPr>
          <w:rFonts w:ascii="Calibri Light" w:eastAsia="Calibri" w:hAnsi="Calibri Light" w:cs="Calibri Light"/>
          <w:color w:val="59595B"/>
          <w:sz w:val="12"/>
          <w:szCs w:val="16"/>
        </w:rPr>
      </w:pPr>
    </w:p>
    <w:p w14:paraId="01ED96F1" w14:textId="626FC21D" w:rsidR="004B487D" w:rsidRDefault="004B487D" w:rsidP="00842B78">
      <w:pPr>
        <w:spacing w:line="276" w:lineRule="auto"/>
        <w:rPr>
          <w:rFonts w:ascii="Calibri Light" w:eastAsia="Calibri" w:hAnsi="Calibri Light" w:cs="Calibri Light"/>
          <w:color w:val="59595B"/>
          <w:szCs w:val="22"/>
        </w:rPr>
      </w:pPr>
      <w:r w:rsidRPr="00842B78">
        <w:rPr>
          <w:rFonts w:ascii="Calibri Light" w:eastAsia="Calibri" w:hAnsi="Calibri Light" w:cs="Calibri Light"/>
          <w:color w:val="59595B"/>
          <w:szCs w:val="22"/>
        </w:rPr>
        <w:t>The nine months’ net result was a loss of €</w:t>
      </w:r>
      <w:r w:rsidR="00B31524">
        <w:rPr>
          <w:rFonts w:ascii="Calibri Light" w:eastAsia="Calibri" w:hAnsi="Calibri Light" w:cs="Calibri Light"/>
          <w:color w:val="59595B"/>
          <w:szCs w:val="22"/>
        </w:rPr>
        <w:t>37.7</w:t>
      </w:r>
      <w:r w:rsidRPr="00842B78">
        <w:rPr>
          <w:rFonts w:ascii="Calibri Light" w:eastAsia="Calibri" w:hAnsi="Calibri Light" w:cs="Calibri Light"/>
          <w:color w:val="59595B"/>
          <w:szCs w:val="22"/>
        </w:rPr>
        <w:t xml:space="preserve"> million (H1 2017: €30.2 million), compared with a loss of €10.4 million in the same period last year. The improvement in the quarter to €</w:t>
      </w:r>
      <w:r w:rsidR="00B31524">
        <w:rPr>
          <w:rFonts w:ascii="Calibri Light" w:eastAsia="Calibri" w:hAnsi="Calibri Light" w:cs="Calibri Light"/>
          <w:color w:val="59595B"/>
          <w:szCs w:val="22"/>
        </w:rPr>
        <w:t>7.5</w:t>
      </w:r>
      <w:r w:rsidRPr="00842B78">
        <w:rPr>
          <w:rFonts w:ascii="Calibri Light" w:eastAsia="Calibri" w:hAnsi="Calibri Light" w:cs="Calibri Light"/>
          <w:color w:val="59595B"/>
          <w:szCs w:val="22"/>
        </w:rPr>
        <w:t xml:space="preserve"> million loss resulted mainly from improved operating profits and the elimination of </w:t>
      </w:r>
      <w:r>
        <w:rPr>
          <w:rFonts w:ascii="Calibri Light" w:eastAsia="Calibri" w:hAnsi="Calibri Light" w:cs="Calibri Light"/>
          <w:color w:val="59595B"/>
          <w:szCs w:val="22"/>
        </w:rPr>
        <w:t xml:space="preserve">regular </w:t>
      </w:r>
      <w:r w:rsidRPr="00842B78">
        <w:rPr>
          <w:rFonts w:ascii="Calibri Light" w:eastAsia="Calibri" w:hAnsi="Calibri Light" w:cs="Calibri Light"/>
          <w:color w:val="59595B"/>
          <w:szCs w:val="22"/>
        </w:rPr>
        <w:t>non-cash financing adjustments required to be shown under IFRS following the refinancing of bonds and debt in May 2017</w:t>
      </w:r>
      <w:r>
        <w:rPr>
          <w:rFonts w:ascii="Calibri Light" w:eastAsia="Calibri" w:hAnsi="Calibri Light" w:cs="Calibri Light"/>
          <w:color w:val="59595B"/>
          <w:szCs w:val="22"/>
        </w:rPr>
        <w:t>.</w:t>
      </w:r>
    </w:p>
    <w:p w14:paraId="7476B271" w14:textId="000A0D60" w:rsidR="00300D47" w:rsidRPr="000A6145" w:rsidRDefault="00300D47" w:rsidP="00842B78">
      <w:pPr>
        <w:spacing w:line="276" w:lineRule="auto"/>
        <w:rPr>
          <w:rFonts w:ascii="Calibri Light" w:eastAsia="Calibri" w:hAnsi="Calibri Light" w:cs="Calibri Light"/>
          <w:color w:val="59595B"/>
          <w:sz w:val="12"/>
          <w:szCs w:val="16"/>
        </w:rPr>
      </w:pPr>
    </w:p>
    <w:p w14:paraId="795C3CCF" w14:textId="384BB212" w:rsidR="00300D47" w:rsidRPr="00BD34D7" w:rsidRDefault="00300D47" w:rsidP="00842B78">
      <w:pPr>
        <w:spacing w:line="276" w:lineRule="auto"/>
        <w:rPr>
          <w:rFonts w:ascii="Calibri Light" w:eastAsia="Calibri" w:hAnsi="Calibri Light" w:cs="Calibri Light"/>
          <w:color w:val="59595B"/>
          <w:szCs w:val="22"/>
        </w:rPr>
      </w:pPr>
      <w:r w:rsidRPr="00BD34D7">
        <w:rPr>
          <w:rFonts w:ascii="Calibri Light" w:eastAsia="Calibri" w:hAnsi="Calibri Light" w:cs="Calibri Light"/>
          <w:color w:val="59595B"/>
          <w:szCs w:val="22"/>
        </w:rPr>
        <w:t xml:space="preserve">The net result includes €14.0 million relating to fair value adjustments for the Ordinary Bonds, arising from the </w:t>
      </w:r>
      <w:r w:rsidR="00296FE4">
        <w:rPr>
          <w:rFonts w:ascii="Calibri Light" w:eastAsia="Calibri" w:hAnsi="Calibri Light" w:cs="Calibri Light"/>
          <w:color w:val="59595B"/>
          <w:szCs w:val="22"/>
        </w:rPr>
        <w:t xml:space="preserve">strong increase in the </w:t>
      </w:r>
      <w:r w:rsidRPr="00BD34D7">
        <w:rPr>
          <w:rFonts w:ascii="Calibri Light" w:eastAsia="Calibri" w:hAnsi="Calibri Light" w:cs="Calibri Light"/>
          <w:color w:val="59595B"/>
          <w:szCs w:val="22"/>
        </w:rPr>
        <w:t>share</w:t>
      </w:r>
      <w:r w:rsidR="00B55281">
        <w:rPr>
          <w:rFonts w:ascii="Calibri Light" w:eastAsia="Calibri" w:hAnsi="Calibri Light" w:cs="Calibri Light"/>
          <w:color w:val="59595B"/>
          <w:szCs w:val="22"/>
        </w:rPr>
        <w:t xml:space="preserve"> price over the third quarter. </w:t>
      </w:r>
      <w:r w:rsidRPr="00BD34D7">
        <w:rPr>
          <w:rFonts w:ascii="Calibri Light" w:eastAsia="Calibri" w:hAnsi="Calibri Light" w:cs="Calibri Light"/>
          <w:color w:val="59595B"/>
          <w:szCs w:val="22"/>
        </w:rPr>
        <w:t>This is an entirely theoretical non-cash accounting adjustment required under IFRS which has no cash effect on the company.  The net result during the third quarter without this adjustment would have been a profit of €6.5 million.</w:t>
      </w:r>
    </w:p>
    <w:p w14:paraId="3272CEFC" w14:textId="77777777" w:rsidR="00300D47" w:rsidRPr="000A6145" w:rsidRDefault="00300D47" w:rsidP="00842B78">
      <w:pPr>
        <w:spacing w:line="276" w:lineRule="auto"/>
        <w:rPr>
          <w:rFonts w:ascii="Calibri Light" w:eastAsia="Calibri" w:hAnsi="Calibri Light" w:cs="Calibri Light"/>
          <w:color w:val="59595B"/>
          <w:sz w:val="12"/>
          <w:szCs w:val="16"/>
        </w:rPr>
      </w:pPr>
    </w:p>
    <w:p w14:paraId="5764FB15" w14:textId="6753A8BC" w:rsidR="004B487D" w:rsidRDefault="00300D47" w:rsidP="00842B78">
      <w:pPr>
        <w:spacing w:line="276" w:lineRule="auto"/>
        <w:rPr>
          <w:rFonts w:ascii="Calibri Light" w:eastAsia="Calibri" w:hAnsi="Calibri Light" w:cs="Calibri Light"/>
          <w:color w:val="59595B"/>
          <w:szCs w:val="22"/>
        </w:rPr>
      </w:pPr>
      <w:r w:rsidRPr="00BD34D7">
        <w:rPr>
          <w:rFonts w:ascii="Calibri Light" w:eastAsia="Calibri" w:hAnsi="Calibri Light" w:cs="Calibri Light"/>
          <w:color w:val="59595B"/>
          <w:szCs w:val="22"/>
        </w:rPr>
        <w:t xml:space="preserve">The increase </w:t>
      </w:r>
      <w:r w:rsidR="009450B0" w:rsidRPr="00BD34D7">
        <w:rPr>
          <w:rFonts w:ascii="Calibri Light" w:eastAsia="Calibri" w:hAnsi="Calibri Light" w:cs="Calibri Light"/>
          <w:color w:val="59595B"/>
          <w:szCs w:val="22"/>
        </w:rPr>
        <w:t xml:space="preserve">of €2.0 million </w:t>
      </w:r>
      <w:r w:rsidRPr="00BD34D7">
        <w:rPr>
          <w:rFonts w:ascii="Calibri Light" w:eastAsia="Calibri" w:hAnsi="Calibri Light" w:cs="Calibri Light"/>
          <w:color w:val="59595B"/>
          <w:szCs w:val="22"/>
        </w:rPr>
        <w:t xml:space="preserve">in other financial expense during the quarter </w:t>
      </w:r>
      <w:r w:rsidR="009450B0" w:rsidRPr="00BD34D7">
        <w:rPr>
          <w:rFonts w:ascii="Calibri Light" w:eastAsia="Calibri" w:hAnsi="Calibri Light" w:cs="Calibri Light"/>
          <w:color w:val="59595B"/>
          <w:szCs w:val="22"/>
        </w:rPr>
        <w:t xml:space="preserve">related to the cash interest on the </w:t>
      </w:r>
      <w:proofErr w:type="spellStart"/>
      <w:r w:rsidR="009450B0" w:rsidRPr="00BD34D7">
        <w:rPr>
          <w:rFonts w:ascii="Calibri Light" w:eastAsia="Calibri" w:hAnsi="Calibri Light" w:cs="Calibri Light"/>
          <w:color w:val="59595B"/>
          <w:szCs w:val="22"/>
        </w:rPr>
        <w:t>Orbimed</w:t>
      </w:r>
      <w:proofErr w:type="spellEnd"/>
      <w:r w:rsidR="009450B0" w:rsidRPr="00BD34D7">
        <w:rPr>
          <w:rFonts w:ascii="Calibri Light" w:eastAsia="Calibri" w:hAnsi="Calibri Light" w:cs="Calibri Light"/>
          <w:color w:val="59595B"/>
          <w:szCs w:val="22"/>
        </w:rPr>
        <w:t xml:space="preserve"> loan and the Ordinary Bonds.  </w:t>
      </w:r>
      <w:r w:rsidR="005F5683" w:rsidRPr="00BD34D7">
        <w:rPr>
          <w:rFonts w:ascii="Calibri Light" w:eastAsia="Calibri" w:hAnsi="Calibri Light" w:cs="Calibri Light"/>
          <w:color w:val="59595B"/>
          <w:szCs w:val="22"/>
        </w:rPr>
        <w:t>The cash element of these expenses was €1.9 m</w:t>
      </w:r>
      <w:r w:rsidR="00296FE4">
        <w:rPr>
          <w:rFonts w:ascii="Calibri Light" w:eastAsia="Calibri" w:hAnsi="Calibri Light" w:cs="Calibri Light"/>
          <w:color w:val="59595B"/>
          <w:szCs w:val="22"/>
        </w:rPr>
        <w:t>illion.</w:t>
      </w:r>
    </w:p>
    <w:p w14:paraId="0F7D1BC7" w14:textId="77777777" w:rsidR="00296FE4" w:rsidRPr="000A6145" w:rsidRDefault="00296FE4" w:rsidP="00842B78">
      <w:pPr>
        <w:spacing w:line="276" w:lineRule="auto"/>
        <w:rPr>
          <w:rFonts w:ascii="Calibri Light" w:eastAsia="Calibri" w:hAnsi="Calibri Light" w:cs="Calibri Light"/>
          <w:color w:val="59595B"/>
          <w:sz w:val="14"/>
          <w:szCs w:val="22"/>
        </w:rPr>
      </w:pPr>
    </w:p>
    <w:p w14:paraId="12C44238" w14:textId="2B640406" w:rsidR="004B487D" w:rsidRDefault="004B487D" w:rsidP="00842B78">
      <w:pPr>
        <w:spacing w:line="276" w:lineRule="auto"/>
        <w:rPr>
          <w:rFonts w:ascii="Calibri Light" w:eastAsia="Calibri" w:hAnsi="Calibri Light" w:cs="Calibri Light"/>
          <w:color w:val="59595B"/>
          <w:szCs w:val="22"/>
        </w:rPr>
      </w:pPr>
      <w:r w:rsidRPr="00842B78">
        <w:rPr>
          <w:rFonts w:ascii="Calibri Light" w:eastAsia="Calibri" w:hAnsi="Calibri Light" w:cs="Calibri Light"/>
          <w:color w:val="59595B"/>
          <w:szCs w:val="22"/>
        </w:rPr>
        <w:t xml:space="preserve">The equity position </w:t>
      </w:r>
      <w:r w:rsidR="000A6145">
        <w:rPr>
          <w:rFonts w:ascii="Calibri Light" w:eastAsia="Calibri" w:hAnsi="Calibri Light" w:cs="Calibri Light"/>
          <w:color w:val="59595B"/>
          <w:szCs w:val="22"/>
        </w:rPr>
        <w:t>reduced slightly</w:t>
      </w:r>
      <w:r w:rsidR="0037297A" w:rsidRPr="00842B78">
        <w:rPr>
          <w:rFonts w:ascii="Calibri Light" w:eastAsia="Calibri" w:hAnsi="Calibri Light" w:cs="Calibri Light"/>
          <w:color w:val="59595B"/>
          <w:szCs w:val="22"/>
        </w:rPr>
        <w:t xml:space="preserve"> </w:t>
      </w:r>
      <w:r w:rsidRPr="00842B78">
        <w:rPr>
          <w:rFonts w:ascii="Calibri Light" w:eastAsia="Calibri" w:hAnsi="Calibri Light" w:cs="Calibri Light"/>
          <w:color w:val="59595B"/>
          <w:szCs w:val="22"/>
        </w:rPr>
        <w:t>to €</w:t>
      </w:r>
      <w:r w:rsidR="00B31524">
        <w:rPr>
          <w:rFonts w:ascii="Calibri Light" w:eastAsia="Calibri" w:hAnsi="Calibri Light" w:cs="Calibri Light"/>
          <w:color w:val="59595B"/>
          <w:szCs w:val="22"/>
        </w:rPr>
        <w:t>6.2</w:t>
      </w:r>
      <w:r w:rsidRPr="00842B78">
        <w:rPr>
          <w:rFonts w:ascii="Calibri Light" w:eastAsia="Calibri" w:hAnsi="Calibri Light" w:cs="Calibri Light"/>
          <w:color w:val="59595B"/>
          <w:szCs w:val="22"/>
        </w:rPr>
        <w:t xml:space="preserve"> million at the end of September 2017</w:t>
      </w:r>
      <w:r w:rsidR="000A6145" w:rsidRPr="000A6145">
        <w:rPr>
          <w:rFonts w:ascii="Calibri Light" w:eastAsia="Calibri" w:hAnsi="Calibri Light" w:cs="Calibri Light"/>
          <w:color w:val="59595B"/>
          <w:szCs w:val="22"/>
        </w:rPr>
        <w:t xml:space="preserve"> </w:t>
      </w:r>
      <w:r w:rsidR="000A6145" w:rsidRPr="00842B78">
        <w:rPr>
          <w:rFonts w:ascii="Calibri Light" w:eastAsia="Calibri" w:hAnsi="Calibri Light" w:cs="Calibri Light"/>
          <w:color w:val="59595B"/>
          <w:szCs w:val="22"/>
        </w:rPr>
        <w:t>from €6.8 million at the end of June 2017</w:t>
      </w:r>
      <w:r w:rsidRPr="00842B78">
        <w:rPr>
          <w:rFonts w:ascii="Calibri Light" w:eastAsia="Calibri" w:hAnsi="Calibri Light" w:cs="Calibri Light"/>
          <w:color w:val="59595B"/>
          <w:szCs w:val="22"/>
        </w:rPr>
        <w:t>, mainly due to the conversion of Convertible Bonds and warrants into shares and the net loss of €</w:t>
      </w:r>
      <w:r w:rsidR="00B31524">
        <w:rPr>
          <w:rFonts w:ascii="Calibri Light" w:eastAsia="Calibri" w:hAnsi="Calibri Light" w:cs="Calibri Light"/>
          <w:color w:val="59595B"/>
          <w:szCs w:val="22"/>
        </w:rPr>
        <w:t>7.5</w:t>
      </w:r>
      <w:r w:rsidRPr="00842B78">
        <w:rPr>
          <w:rFonts w:ascii="Calibri Light" w:eastAsia="Calibri" w:hAnsi="Calibri Light" w:cs="Calibri Light"/>
          <w:color w:val="59595B"/>
          <w:szCs w:val="22"/>
        </w:rPr>
        <w:t xml:space="preserve"> million</w:t>
      </w:r>
      <w:r w:rsidR="00DA5E9A">
        <w:rPr>
          <w:rFonts w:ascii="Calibri Light" w:eastAsia="Calibri" w:hAnsi="Calibri Light" w:cs="Calibri Light"/>
          <w:color w:val="59595B"/>
          <w:szCs w:val="22"/>
        </w:rPr>
        <w:t xml:space="preserve"> caused by the revaluation of the derivative financial liabilities</w:t>
      </w:r>
      <w:r>
        <w:rPr>
          <w:rFonts w:ascii="Calibri Light" w:eastAsia="Calibri" w:hAnsi="Calibri Light" w:cs="Calibri Light"/>
          <w:color w:val="59595B"/>
          <w:szCs w:val="22"/>
        </w:rPr>
        <w:t>.</w:t>
      </w:r>
    </w:p>
    <w:p w14:paraId="2EFFF5B3" w14:textId="77777777" w:rsidR="004B487D" w:rsidRPr="000A6145" w:rsidRDefault="004B487D" w:rsidP="00842B78">
      <w:pPr>
        <w:spacing w:line="276" w:lineRule="auto"/>
        <w:rPr>
          <w:rFonts w:ascii="Calibri Light" w:eastAsia="Calibri" w:hAnsi="Calibri Light" w:cs="Calibri Light"/>
          <w:color w:val="59595B"/>
          <w:sz w:val="12"/>
          <w:szCs w:val="22"/>
        </w:rPr>
      </w:pPr>
    </w:p>
    <w:p w14:paraId="0E2D0756" w14:textId="19EC9DA2" w:rsidR="004B487D" w:rsidRDefault="004B487D" w:rsidP="00842B78">
      <w:pPr>
        <w:spacing w:line="276" w:lineRule="auto"/>
        <w:rPr>
          <w:rFonts w:ascii="Calibri Light" w:eastAsia="Calibri" w:hAnsi="Calibri Light" w:cs="Calibri Light"/>
          <w:color w:val="59595B"/>
          <w:szCs w:val="22"/>
        </w:rPr>
      </w:pPr>
      <w:r w:rsidRPr="00842B78">
        <w:rPr>
          <w:rFonts w:ascii="Calibri Light" w:eastAsia="Calibri" w:hAnsi="Calibri Light" w:cs="Calibri Light"/>
          <w:color w:val="59595B"/>
          <w:szCs w:val="22"/>
        </w:rPr>
        <w:t>Inventories changed from €17.5 mil</w:t>
      </w:r>
      <w:r w:rsidR="00B31524">
        <w:rPr>
          <w:rFonts w:ascii="Calibri Light" w:eastAsia="Calibri" w:hAnsi="Calibri Light" w:cs="Calibri Light"/>
          <w:color w:val="59595B"/>
          <w:szCs w:val="22"/>
        </w:rPr>
        <w:t>lion at the end of June to €18.0</w:t>
      </w:r>
      <w:r w:rsidRPr="00842B78">
        <w:rPr>
          <w:rFonts w:ascii="Calibri Light" w:eastAsia="Calibri" w:hAnsi="Calibri Light" w:cs="Calibri Light"/>
          <w:color w:val="59595B"/>
          <w:szCs w:val="22"/>
        </w:rPr>
        <w:t xml:space="preserve"> million at the end of September, largely due to the increasing manufacturing activities to meet anticipated sales demand in the US resulting in a greater proportion of high value finished goods</w:t>
      </w:r>
      <w:r>
        <w:rPr>
          <w:rFonts w:ascii="Calibri Light" w:eastAsia="Calibri" w:hAnsi="Calibri Light" w:cs="Calibri Light"/>
          <w:color w:val="59595B"/>
          <w:szCs w:val="22"/>
        </w:rPr>
        <w:t>.</w:t>
      </w:r>
    </w:p>
    <w:p w14:paraId="053655CA" w14:textId="77777777" w:rsidR="004B487D" w:rsidRPr="000A6145" w:rsidRDefault="004B487D" w:rsidP="00842B78">
      <w:pPr>
        <w:spacing w:line="276" w:lineRule="auto"/>
        <w:rPr>
          <w:rFonts w:ascii="Calibri Light" w:eastAsia="Calibri" w:hAnsi="Calibri Light" w:cs="Calibri Light"/>
          <w:color w:val="59595B"/>
          <w:sz w:val="12"/>
          <w:szCs w:val="22"/>
        </w:rPr>
      </w:pPr>
    </w:p>
    <w:p w14:paraId="57FE245C" w14:textId="1DC62EC7" w:rsidR="004B487D" w:rsidRDefault="004B487D" w:rsidP="00842B78">
      <w:pPr>
        <w:spacing w:line="276" w:lineRule="auto"/>
        <w:rPr>
          <w:rFonts w:ascii="Calibri Light" w:eastAsia="Calibri" w:hAnsi="Calibri Light" w:cs="Calibri Light"/>
          <w:color w:val="59595B"/>
          <w:szCs w:val="22"/>
        </w:rPr>
      </w:pPr>
      <w:r w:rsidRPr="00842B78">
        <w:rPr>
          <w:rFonts w:ascii="Calibri Light" w:eastAsia="Calibri" w:hAnsi="Calibri Light" w:cs="Calibri Light"/>
          <w:color w:val="59595B"/>
          <w:szCs w:val="22"/>
        </w:rPr>
        <w:t>Positive cashflows during Q3, driven by increasing revenues, together with the proceeds from warrant exercises, resulted in an increase in the cash position to €</w:t>
      </w:r>
      <w:r w:rsidR="00DA5E9A">
        <w:rPr>
          <w:rFonts w:ascii="Calibri Light" w:eastAsia="Calibri" w:hAnsi="Calibri Light" w:cs="Calibri Light"/>
          <w:color w:val="59595B"/>
          <w:szCs w:val="22"/>
        </w:rPr>
        <w:t>3</w:t>
      </w:r>
      <w:r w:rsidRPr="00842B78">
        <w:rPr>
          <w:rFonts w:ascii="Calibri Light" w:eastAsia="Calibri" w:hAnsi="Calibri Light" w:cs="Calibri Light"/>
          <w:color w:val="59595B"/>
          <w:szCs w:val="22"/>
        </w:rPr>
        <w:t>8.6 million from €25.</w:t>
      </w:r>
      <w:r w:rsidR="00CA586A">
        <w:rPr>
          <w:rFonts w:ascii="Calibri Light" w:eastAsia="Calibri" w:hAnsi="Calibri Light" w:cs="Calibri Light"/>
          <w:color w:val="59595B"/>
          <w:szCs w:val="22"/>
        </w:rPr>
        <w:t>2</w:t>
      </w:r>
      <w:r w:rsidRPr="00842B78">
        <w:rPr>
          <w:rFonts w:ascii="Calibri Light" w:eastAsia="Calibri" w:hAnsi="Calibri Light" w:cs="Calibri Light"/>
          <w:color w:val="59595B"/>
          <w:szCs w:val="22"/>
        </w:rPr>
        <w:t xml:space="preserve"> million at June 30 2017 (€17.0 million at 30 September 2016)</w:t>
      </w:r>
      <w:r>
        <w:rPr>
          <w:rFonts w:ascii="Calibri Light" w:eastAsia="Calibri" w:hAnsi="Calibri Light" w:cs="Calibri Light"/>
          <w:color w:val="59595B"/>
          <w:szCs w:val="22"/>
        </w:rPr>
        <w:t>.</w:t>
      </w:r>
    </w:p>
    <w:p w14:paraId="61490730" w14:textId="77777777" w:rsidR="00A4192E" w:rsidRPr="000A6145" w:rsidRDefault="00A4192E" w:rsidP="00842B78">
      <w:pPr>
        <w:spacing w:line="276" w:lineRule="auto"/>
        <w:rPr>
          <w:rFonts w:ascii="Calibri Light" w:eastAsia="Calibri" w:hAnsi="Calibri Light" w:cs="Calibri Light"/>
          <w:color w:val="59595B"/>
          <w:sz w:val="12"/>
          <w:szCs w:val="16"/>
        </w:rPr>
      </w:pPr>
    </w:p>
    <w:p w14:paraId="4BC5C4BF" w14:textId="3BD98C2B" w:rsidR="004B487D" w:rsidRPr="00842B78" w:rsidRDefault="004B487D" w:rsidP="00842B78">
      <w:pPr>
        <w:spacing w:line="276" w:lineRule="auto"/>
        <w:rPr>
          <w:rFonts w:ascii="Calibri Light" w:hAnsi="Calibri Light" w:cs="Calibri Light"/>
          <w:b/>
          <w:color w:val="00679B"/>
          <w:sz w:val="24"/>
        </w:rPr>
      </w:pPr>
      <w:r w:rsidRPr="00842B78">
        <w:rPr>
          <w:rFonts w:ascii="Calibri Light" w:eastAsia="Calibri" w:hAnsi="Calibri Light" w:cs="Calibri Light"/>
          <w:color w:val="59595B"/>
          <w:szCs w:val="22"/>
        </w:rPr>
        <w:t>US revenues continued to be affected by the changing exchange rate between US dollars and Euros during the quarter, but the negative effect on the revenues is largely balanced out by the positive effect on</w:t>
      </w:r>
      <w:r w:rsidR="00A4192E">
        <w:rPr>
          <w:rFonts w:ascii="Calibri Light" w:eastAsia="Calibri" w:hAnsi="Calibri Light" w:cs="Calibri Light"/>
          <w:color w:val="59595B"/>
          <w:szCs w:val="22"/>
        </w:rPr>
        <w:t xml:space="preserve"> costs and on</w:t>
      </w:r>
      <w:r w:rsidRPr="00842B78">
        <w:rPr>
          <w:rFonts w:ascii="Calibri Light" w:eastAsia="Calibri" w:hAnsi="Calibri Light" w:cs="Calibri Light"/>
          <w:color w:val="59595B"/>
          <w:szCs w:val="22"/>
        </w:rPr>
        <w:t xml:space="preserve"> the company’s debt, which is mostly denominated in US dollars for this reason</w:t>
      </w:r>
      <w:r w:rsidR="00F263EE">
        <w:rPr>
          <w:rFonts w:ascii="Calibri Light" w:eastAsia="Calibri" w:hAnsi="Calibri Light" w:cs="Calibri Light"/>
          <w:color w:val="59595B"/>
          <w:szCs w:val="22"/>
        </w:rPr>
        <w:t>.</w:t>
      </w:r>
    </w:p>
    <w:p w14:paraId="6E8B1F72" w14:textId="77777777" w:rsidR="000B421B" w:rsidRPr="000A6145" w:rsidRDefault="000B421B" w:rsidP="007B5C28">
      <w:pPr>
        <w:pStyle w:val="NoSpacing"/>
        <w:spacing w:line="276" w:lineRule="auto"/>
        <w:jc w:val="both"/>
        <w:rPr>
          <w:rFonts w:ascii="Calibri Light" w:hAnsi="Calibri Light" w:cs="Calibri Light"/>
          <w:color w:val="59595B"/>
          <w:sz w:val="12"/>
          <w:szCs w:val="16"/>
        </w:rPr>
      </w:pPr>
    </w:p>
    <w:p w14:paraId="2D3E97FE" w14:textId="77777777" w:rsidR="00D1112E" w:rsidRDefault="00D1112E">
      <w:pPr>
        <w:jc w:val="left"/>
        <w:rPr>
          <w:rFonts w:ascii="Calibri Light" w:eastAsia="Calibri" w:hAnsi="Calibri Light" w:cs="Calibri Light"/>
          <w:color w:val="59595B"/>
          <w:szCs w:val="22"/>
        </w:rPr>
      </w:pPr>
      <w:r>
        <w:rPr>
          <w:rFonts w:ascii="Calibri Light" w:hAnsi="Calibri Light" w:cs="Calibri Light"/>
          <w:color w:val="59595B"/>
        </w:rPr>
        <w:br w:type="page"/>
      </w:r>
    </w:p>
    <w:p w14:paraId="6A425C49" w14:textId="4EC66C89" w:rsidR="00711B0E" w:rsidRDefault="000A6145" w:rsidP="007B5C28">
      <w:pPr>
        <w:pStyle w:val="NoSpacing"/>
        <w:spacing w:line="276" w:lineRule="auto"/>
        <w:jc w:val="both"/>
        <w:rPr>
          <w:rFonts w:ascii="Calibri Light" w:hAnsi="Calibri Light" w:cs="Calibri Light"/>
          <w:color w:val="59595B"/>
        </w:rPr>
      </w:pPr>
      <w:r>
        <w:rPr>
          <w:rFonts w:ascii="Calibri Light" w:hAnsi="Calibri Light" w:cs="Calibri Light"/>
          <w:color w:val="59595B"/>
        </w:rPr>
        <w:lastRenderedPageBreak/>
        <w:t xml:space="preserve">We look </w:t>
      </w:r>
      <w:r w:rsidR="00711B0E" w:rsidRPr="00340700">
        <w:rPr>
          <w:rFonts w:ascii="Calibri Light" w:hAnsi="Calibri Light" w:cs="Calibri Light"/>
          <w:color w:val="59595B"/>
        </w:rPr>
        <w:t>forward</w:t>
      </w:r>
      <w:r w:rsidR="00F265D6">
        <w:rPr>
          <w:rFonts w:ascii="Calibri Light" w:hAnsi="Calibri Light" w:cs="Calibri Light"/>
          <w:color w:val="59595B"/>
        </w:rPr>
        <w:t xml:space="preserve"> to the remainder of 2017</w:t>
      </w:r>
      <w:r>
        <w:rPr>
          <w:rFonts w:ascii="Calibri Light" w:hAnsi="Calibri Light" w:cs="Calibri Light"/>
          <w:color w:val="59595B"/>
        </w:rPr>
        <w:t xml:space="preserve"> and expect an</w:t>
      </w:r>
      <w:r w:rsidR="00F86135">
        <w:rPr>
          <w:rFonts w:ascii="Calibri Light" w:hAnsi="Calibri Light" w:cs="Calibri Light"/>
          <w:color w:val="59595B"/>
        </w:rPr>
        <w:t xml:space="preserve"> increase in patients treated with RUCONEST</w:t>
      </w:r>
      <w:r w:rsidR="008C740A" w:rsidRPr="00340700">
        <w:rPr>
          <w:rFonts w:ascii="Calibri Light" w:hAnsi="Calibri Light" w:cs="Calibri Light"/>
          <w:color w:val="59595B"/>
        </w:rPr>
        <w:t>®</w:t>
      </w:r>
      <w:r w:rsidR="00B55281">
        <w:rPr>
          <w:rFonts w:ascii="Calibri Light" w:hAnsi="Calibri Light" w:cs="Calibri Light"/>
          <w:color w:val="59595B"/>
        </w:rPr>
        <w:t xml:space="preserve">, </w:t>
      </w:r>
      <w:r w:rsidR="00F86135">
        <w:rPr>
          <w:rFonts w:ascii="Calibri Light" w:hAnsi="Calibri Light" w:cs="Calibri Light"/>
          <w:color w:val="59595B"/>
        </w:rPr>
        <w:t xml:space="preserve">as </w:t>
      </w:r>
      <w:r w:rsidR="0029557F">
        <w:rPr>
          <w:rFonts w:ascii="Calibri Light" w:hAnsi="Calibri Light" w:cs="Calibri Light"/>
          <w:color w:val="59595B"/>
        </w:rPr>
        <w:t xml:space="preserve">a </w:t>
      </w:r>
      <w:r w:rsidR="00F86135">
        <w:rPr>
          <w:rFonts w:ascii="Calibri Light" w:hAnsi="Calibri Light" w:cs="Calibri Light"/>
          <w:color w:val="59595B"/>
        </w:rPr>
        <w:t>res</w:t>
      </w:r>
      <w:r>
        <w:rPr>
          <w:rFonts w:ascii="Calibri Light" w:hAnsi="Calibri Light" w:cs="Calibri Light"/>
          <w:color w:val="59595B"/>
        </w:rPr>
        <w:t>ult of the underlying</w:t>
      </w:r>
      <w:r w:rsidR="00F86135">
        <w:rPr>
          <w:rFonts w:ascii="Calibri Light" w:hAnsi="Calibri Light" w:cs="Calibri Light"/>
          <w:color w:val="59595B"/>
        </w:rPr>
        <w:t xml:space="preserve"> demand</w:t>
      </w:r>
      <w:r w:rsidR="002877B8">
        <w:rPr>
          <w:rFonts w:ascii="Calibri Light" w:hAnsi="Calibri Light" w:cs="Calibri Light"/>
          <w:color w:val="59595B"/>
        </w:rPr>
        <w:t>.</w:t>
      </w:r>
      <w:r w:rsidR="00C07AC7">
        <w:rPr>
          <w:rFonts w:ascii="Calibri Light" w:hAnsi="Calibri Light" w:cs="Calibri Light"/>
          <w:color w:val="59595B"/>
        </w:rPr>
        <w:t xml:space="preserve">  </w:t>
      </w:r>
      <w:r w:rsidR="00F265D6">
        <w:rPr>
          <w:rFonts w:ascii="Calibri Light" w:hAnsi="Calibri Light" w:cs="Calibri Light"/>
          <w:color w:val="59595B"/>
        </w:rPr>
        <w:t xml:space="preserve">We therefore </w:t>
      </w:r>
      <w:r>
        <w:rPr>
          <w:rFonts w:ascii="Calibri Light" w:hAnsi="Calibri Light" w:cs="Calibri Light"/>
          <w:color w:val="59595B"/>
        </w:rPr>
        <w:t xml:space="preserve">remain </w:t>
      </w:r>
      <w:r w:rsidR="00F265D6">
        <w:rPr>
          <w:rFonts w:ascii="Calibri Light" w:hAnsi="Calibri Light" w:cs="Calibri Light"/>
          <w:color w:val="59595B"/>
        </w:rPr>
        <w:t>confident that sales in the last quart</w:t>
      </w:r>
      <w:r>
        <w:rPr>
          <w:rFonts w:ascii="Calibri Light" w:hAnsi="Calibri Light" w:cs="Calibri Light"/>
          <w:color w:val="59595B"/>
        </w:rPr>
        <w:t>er of this year will</w:t>
      </w:r>
      <w:r w:rsidR="00F265D6">
        <w:rPr>
          <w:rFonts w:ascii="Calibri Light" w:hAnsi="Calibri Light" w:cs="Calibri Light"/>
          <w:color w:val="59595B"/>
        </w:rPr>
        <w:t xml:space="preserve"> increase and </w:t>
      </w:r>
      <w:r>
        <w:rPr>
          <w:rFonts w:ascii="Calibri Light" w:hAnsi="Calibri Light" w:cs="Calibri Light"/>
          <w:color w:val="59595B"/>
        </w:rPr>
        <w:t xml:space="preserve">that </w:t>
      </w:r>
      <w:r w:rsidR="00F265D6">
        <w:rPr>
          <w:rFonts w:ascii="Calibri Light" w:hAnsi="Calibri Light" w:cs="Calibri Light"/>
          <w:color w:val="59595B"/>
        </w:rPr>
        <w:t xml:space="preserve">2017 </w:t>
      </w:r>
      <w:r w:rsidR="002877B8">
        <w:rPr>
          <w:rFonts w:ascii="Calibri Light" w:hAnsi="Calibri Light" w:cs="Calibri Light"/>
          <w:color w:val="59595B"/>
        </w:rPr>
        <w:t>will be</w:t>
      </w:r>
      <w:r w:rsidR="00F265D6">
        <w:rPr>
          <w:rFonts w:ascii="Calibri Light" w:hAnsi="Calibri Light" w:cs="Calibri Light"/>
          <w:color w:val="59595B"/>
        </w:rPr>
        <w:t xml:space="preserve"> the first operationally profitable year for Pharming</w:t>
      </w:r>
      <w:r w:rsidR="002877B8">
        <w:rPr>
          <w:rFonts w:ascii="Calibri Light" w:hAnsi="Calibri Light" w:cs="Calibri Light"/>
          <w:color w:val="59595B"/>
        </w:rPr>
        <w:t>.  We should</w:t>
      </w:r>
      <w:r w:rsidR="00C07AC7">
        <w:rPr>
          <w:rFonts w:ascii="Calibri Light" w:hAnsi="Calibri Light" w:cs="Calibri Light"/>
          <w:color w:val="59595B"/>
        </w:rPr>
        <w:t xml:space="preserve"> </w:t>
      </w:r>
      <w:r w:rsidR="00F265D6">
        <w:rPr>
          <w:rFonts w:ascii="Calibri Light" w:hAnsi="Calibri Light" w:cs="Calibri Light"/>
          <w:color w:val="59595B"/>
        </w:rPr>
        <w:t xml:space="preserve">start </w:t>
      </w:r>
      <w:r w:rsidR="002877B8">
        <w:rPr>
          <w:rFonts w:ascii="Calibri Light" w:hAnsi="Calibri Light" w:cs="Calibri Light"/>
          <w:color w:val="59595B"/>
        </w:rPr>
        <w:t>2018</w:t>
      </w:r>
      <w:r w:rsidR="00F265D6">
        <w:rPr>
          <w:rFonts w:ascii="Calibri Light" w:hAnsi="Calibri Light" w:cs="Calibri Light"/>
          <w:color w:val="59595B"/>
        </w:rPr>
        <w:t xml:space="preserve"> on a very strong footing with </w:t>
      </w:r>
      <w:r w:rsidR="00711B0E" w:rsidRPr="00340700">
        <w:rPr>
          <w:rFonts w:ascii="Calibri Light" w:hAnsi="Calibri Light" w:cs="Calibri Light"/>
          <w:color w:val="59595B"/>
        </w:rPr>
        <w:t xml:space="preserve">new opportunities </w:t>
      </w:r>
      <w:r w:rsidR="009B28D9" w:rsidRPr="00340700">
        <w:rPr>
          <w:rFonts w:ascii="Calibri Light" w:hAnsi="Calibri Light" w:cs="Calibri Light"/>
          <w:color w:val="59595B"/>
        </w:rPr>
        <w:t>to</w:t>
      </w:r>
      <w:r w:rsidR="00711B0E" w:rsidRPr="00340700">
        <w:rPr>
          <w:rFonts w:ascii="Calibri Light" w:hAnsi="Calibri Light" w:cs="Calibri Light"/>
          <w:color w:val="59595B"/>
        </w:rPr>
        <w:t xml:space="preserve"> enhance shareholder value</w:t>
      </w:r>
      <w:r w:rsidR="00C07AC7">
        <w:rPr>
          <w:rFonts w:ascii="Calibri Light" w:hAnsi="Calibri Light" w:cs="Calibri Light"/>
          <w:color w:val="59595B"/>
        </w:rPr>
        <w:t xml:space="preserve"> further</w:t>
      </w:r>
      <w:r w:rsidR="00711B0E" w:rsidRPr="00340700">
        <w:rPr>
          <w:rFonts w:ascii="Calibri Light" w:hAnsi="Calibri Light" w:cs="Calibri Light"/>
          <w:color w:val="59595B"/>
        </w:rPr>
        <w:t>.</w:t>
      </w:r>
    </w:p>
    <w:p w14:paraId="0EB50B93" w14:textId="264972E7" w:rsidR="00B7672F" w:rsidRPr="000A6145" w:rsidRDefault="00B7672F" w:rsidP="007B5C28">
      <w:pPr>
        <w:pStyle w:val="NoSpacing"/>
        <w:spacing w:line="276" w:lineRule="auto"/>
        <w:jc w:val="both"/>
        <w:rPr>
          <w:rFonts w:ascii="Calibri Light" w:hAnsi="Calibri Light" w:cs="Calibri Light"/>
          <w:b/>
          <w:i/>
          <w:color w:val="0070C0"/>
          <w:sz w:val="14"/>
        </w:rPr>
      </w:pPr>
    </w:p>
    <w:p w14:paraId="5289C09F" w14:textId="61A5508F" w:rsidR="00B7672F" w:rsidRPr="00B7672F" w:rsidRDefault="00B55281" w:rsidP="007B5C28">
      <w:pPr>
        <w:pStyle w:val="NoSpacing"/>
        <w:spacing w:line="276" w:lineRule="auto"/>
        <w:jc w:val="both"/>
        <w:rPr>
          <w:rFonts w:ascii="Calibri Light" w:hAnsi="Calibri Light" w:cs="Calibri Light"/>
          <w:b/>
          <w:i/>
          <w:color w:val="0070C0"/>
        </w:rPr>
      </w:pPr>
      <w:r>
        <w:rPr>
          <w:rFonts w:ascii="Calibri Light" w:hAnsi="Calibri Light" w:cs="Calibri Light"/>
          <w:b/>
          <w:i/>
          <w:color w:val="0070C0"/>
        </w:rPr>
        <w:t>The Board of Management</w:t>
      </w:r>
    </w:p>
    <w:p w14:paraId="09AF72C6" w14:textId="77777777" w:rsidR="00B7672F" w:rsidRPr="00B7672F" w:rsidRDefault="00B7672F" w:rsidP="007B5C28">
      <w:pPr>
        <w:pStyle w:val="NoSpacing"/>
        <w:spacing w:line="276" w:lineRule="auto"/>
        <w:jc w:val="both"/>
        <w:rPr>
          <w:rFonts w:ascii="Calibri Light" w:hAnsi="Calibri Light" w:cs="Calibri Light"/>
          <w:b/>
          <w:i/>
          <w:color w:val="0070C0"/>
        </w:rPr>
      </w:pPr>
      <w:r w:rsidRPr="00B7672F">
        <w:rPr>
          <w:rFonts w:ascii="Calibri Light" w:hAnsi="Calibri Light" w:cs="Calibri Light"/>
          <w:b/>
          <w:i/>
          <w:color w:val="0070C0"/>
        </w:rPr>
        <w:t>Pharming Group N.V.</w:t>
      </w:r>
    </w:p>
    <w:p w14:paraId="5559A50B" w14:textId="77777777" w:rsidR="00D1112E" w:rsidRDefault="00D1112E" w:rsidP="007B5C28">
      <w:pPr>
        <w:spacing w:line="276" w:lineRule="auto"/>
        <w:rPr>
          <w:rFonts w:ascii="Calibri Light" w:hAnsi="Calibri Light" w:cs="Calibri Light"/>
          <w:b/>
          <w:color w:val="00679B"/>
          <w:sz w:val="24"/>
        </w:rPr>
      </w:pPr>
    </w:p>
    <w:p w14:paraId="6B1D728E" w14:textId="77777777" w:rsidR="00D1112E" w:rsidRDefault="00D1112E" w:rsidP="007B5C28">
      <w:pPr>
        <w:spacing w:line="276" w:lineRule="auto"/>
        <w:rPr>
          <w:rFonts w:ascii="Calibri Light" w:hAnsi="Calibri Light" w:cs="Calibri Light"/>
          <w:b/>
          <w:color w:val="00679B"/>
          <w:sz w:val="24"/>
        </w:rPr>
      </w:pPr>
    </w:p>
    <w:p w14:paraId="785A41B4" w14:textId="77777777" w:rsidR="00A36ECA" w:rsidRPr="0092621C" w:rsidRDefault="00340700" w:rsidP="007B5C28">
      <w:pPr>
        <w:spacing w:line="276" w:lineRule="auto"/>
        <w:rPr>
          <w:rFonts w:ascii="Calibri Light" w:hAnsi="Calibri Light" w:cs="Calibri Light"/>
          <w:b/>
          <w:color w:val="00679B"/>
          <w:sz w:val="24"/>
        </w:rPr>
      </w:pPr>
      <w:r w:rsidRPr="0092621C">
        <w:rPr>
          <w:rFonts w:ascii="Calibri Light" w:hAnsi="Calibri Light" w:cs="Calibri Light"/>
          <w:b/>
          <w:color w:val="00679B"/>
          <w:sz w:val="24"/>
        </w:rPr>
        <w:t>Outlook</w:t>
      </w:r>
    </w:p>
    <w:p w14:paraId="39979E50" w14:textId="77777777" w:rsidR="00A36ECA" w:rsidRPr="00340700" w:rsidRDefault="00A36ECA" w:rsidP="007B5C28">
      <w:pPr>
        <w:autoSpaceDE w:val="0"/>
        <w:autoSpaceDN w:val="0"/>
        <w:adjustRightInd w:val="0"/>
        <w:spacing w:line="276" w:lineRule="auto"/>
        <w:rPr>
          <w:rFonts w:ascii="Calibri Light" w:hAnsi="Calibri Light" w:cs="Arial"/>
          <w:color w:val="59595B"/>
        </w:rPr>
      </w:pPr>
      <w:r w:rsidRPr="00340700">
        <w:rPr>
          <w:rFonts w:ascii="Calibri Light" w:hAnsi="Calibri Light" w:cs="Arial"/>
          <w:color w:val="59595B"/>
        </w:rPr>
        <w:t xml:space="preserve">For the remainder of 2017, the Company expects: </w:t>
      </w:r>
    </w:p>
    <w:p w14:paraId="08A1351D" w14:textId="77777777" w:rsidR="00A36ECA" w:rsidRPr="00340700" w:rsidRDefault="00A36ECA" w:rsidP="007B5C28">
      <w:pPr>
        <w:autoSpaceDE w:val="0"/>
        <w:autoSpaceDN w:val="0"/>
        <w:adjustRightInd w:val="0"/>
        <w:spacing w:line="276" w:lineRule="auto"/>
        <w:rPr>
          <w:rFonts w:ascii="Calibri Light" w:hAnsi="Calibri Light" w:cs="Arial"/>
          <w:color w:val="59595B"/>
        </w:rPr>
      </w:pPr>
    </w:p>
    <w:p w14:paraId="2B7F490B" w14:textId="77777777" w:rsidR="00A36ECA" w:rsidRPr="00340700" w:rsidRDefault="00B63F98" w:rsidP="007B5C28">
      <w:pPr>
        <w:pStyle w:val="NoSpacing"/>
        <w:numPr>
          <w:ilvl w:val="0"/>
          <w:numId w:val="11"/>
        </w:numPr>
        <w:spacing w:after="120" w:line="276" w:lineRule="auto"/>
        <w:ind w:right="142"/>
        <w:rPr>
          <w:rFonts w:ascii="Calibri Light" w:hAnsi="Calibri Light"/>
          <w:color w:val="59595B"/>
        </w:rPr>
      </w:pPr>
      <w:r w:rsidRPr="000B421B">
        <w:rPr>
          <w:rFonts w:ascii="Calibri Light" w:hAnsi="Calibri Light"/>
          <w:color w:val="59595B"/>
        </w:rPr>
        <w:t>FY 2017 revenues from product sales</w:t>
      </w:r>
      <w:r w:rsidR="004678E6" w:rsidRPr="000B421B">
        <w:rPr>
          <w:rFonts w:ascii="Calibri Light" w:hAnsi="Calibri Light"/>
          <w:color w:val="59595B"/>
        </w:rPr>
        <w:t xml:space="preserve"> to </w:t>
      </w:r>
      <w:r w:rsidR="006A790B" w:rsidRPr="000B421B">
        <w:rPr>
          <w:rFonts w:ascii="Calibri Light" w:hAnsi="Calibri Light"/>
          <w:color w:val="59595B"/>
        </w:rPr>
        <w:t>exceed analysts’</w:t>
      </w:r>
      <w:r w:rsidR="00F265D6" w:rsidRPr="000B421B">
        <w:rPr>
          <w:rFonts w:ascii="Calibri Light" w:hAnsi="Calibri Light"/>
          <w:color w:val="59595B"/>
        </w:rPr>
        <w:t xml:space="preserve"> </w:t>
      </w:r>
      <w:r w:rsidR="006A790B" w:rsidRPr="000B421B">
        <w:rPr>
          <w:rFonts w:ascii="Calibri Light" w:hAnsi="Calibri Light"/>
          <w:color w:val="59595B"/>
        </w:rPr>
        <w:t xml:space="preserve">forecasts and for the fourth quarter </w:t>
      </w:r>
      <w:r w:rsidR="002877B8">
        <w:rPr>
          <w:rFonts w:ascii="Calibri Light" w:hAnsi="Calibri Light"/>
          <w:color w:val="59595B"/>
        </w:rPr>
        <w:t>results</w:t>
      </w:r>
      <w:r w:rsidR="00133900">
        <w:rPr>
          <w:rFonts w:ascii="Calibri Light" w:hAnsi="Calibri Light"/>
          <w:color w:val="59595B"/>
        </w:rPr>
        <w:t xml:space="preserve"> </w:t>
      </w:r>
      <w:r w:rsidR="006A790B" w:rsidRPr="000B421B">
        <w:rPr>
          <w:rFonts w:ascii="Calibri Light" w:hAnsi="Calibri Light"/>
          <w:color w:val="59595B"/>
        </w:rPr>
        <w:t>to exceed the third quarter</w:t>
      </w:r>
      <w:r w:rsidR="000B421B" w:rsidRPr="000B421B">
        <w:rPr>
          <w:rFonts w:ascii="Calibri Light" w:hAnsi="Calibri Light"/>
          <w:color w:val="59595B"/>
        </w:rPr>
        <w:t xml:space="preserve"> significantly</w:t>
      </w:r>
      <w:r w:rsidRPr="000B421B">
        <w:rPr>
          <w:rFonts w:ascii="Calibri Light" w:hAnsi="Calibri Light"/>
          <w:color w:val="59595B"/>
        </w:rPr>
        <w:t xml:space="preserve">, </w:t>
      </w:r>
      <w:r w:rsidR="00A36ECA" w:rsidRPr="000B421B">
        <w:rPr>
          <w:rFonts w:ascii="Calibri Light" w:hAnsi="Calibri Light"/>
          <w:color w:val="59595B"/>
        </w:rPr>
        <w:t>driven</w:t>
      </w:r>
      <w:r w:rsidR="00A36ECA" w:rsidRPr="00340700">
        <w:rPr>
          <w:rFonts w:ascii="Calibri Light" w:hAnsi="Calibri Light"/>
          <w:color w:val="59595B"/>
        </w:rPr>
        <w:t xml:space="preserve"> by </w:t>
      </w:r>
      <w:r>
        <w:rPr>
          <w:rFonts w:ascii="Calibri Light" w:hAnsi="Calibri Light"/>
          <w:color w:val="59595B"/>
        </w:rPr>
        <w:t xml:space="preserve">underlying increasing demand </w:t>
      </w:r>
    </w:p>
    <w:p w14:paraId="4D21E49E" w14:textId="27291186" w:rsidR="0052705E" w:rsidRPr="00340700" w:rsidRDefault="00B63F98" w:rsidP="007B5C28">
      <w:pPr>
        <w:pStyle w:val="NoSpacing"/>
        <w:numPr>
          <w:ilvl w:val="0"/>
          <w:numId w:val="11"/>
        </w:numPr>
        <w:spacing w:after="120" w:line="276" w:lineRule="auto"/>
        <w:ind w:right="142"/>
        <w:rPr>
          <w:rFonts w:ascii="Calibri Light" w:hAnsi="Calibri Light"/>
          <w:color w:val="59595B"/>
        </w:rPr>
      </w:pPr>
      <w:r>
        <w:rPr>
          <w:rFonts w:ascii="Calibri Light" w:hAnsi="Calibri Light"/>
          <w:color w:val="59595B"/>
        </w:rPr>
        <w:t xml:space="preserve">Achievement of continued </w:t>
      </w:r>
      <w:r w:rsidR="00723F18">
        <w:rPr>
          <w:rFonts w:ascii="Calibri Light" w:hAnsi="Calibri Light"/>
          <w:color w:val="59595B"/>
        </w:rPr>
        <w:t>o</w:t>
      </w:r>
      <w:r>
        <w:rPr>
          <w:rFonts w:ascii="Calibri Light" w:hAnsi="Calibri Light"/>
          <w:color w:val="59595B"/>
        </w:rPr>
        <w:t xml:space="preserve">perating </w:t>
      </w:r>
      <w:r w:rsidR="00723F18">
        <w:rPr>
          <w:rFonts w:ascii="Calibri Light" w:hAnsi="Calibri Light"/>
          <w:color w:val="59595B"/>
        </w:rPr>
        <w:t>p</w:t>
      </w:r>
      <w:r>
        <w:rPr>
          <w:rFonts w:ascii="Calibri Light" w:hAnsi="Calibri Light"/>
          <w:color w:val="59595B"/>
        </w:rPr>
        <w:t xml:space="preserve">rofit </w:t>
      </w:r>
      <w:r w:rsidR="00DE5323">
        <w:rPr>
          <w:rFonts w:ascii="Calibri Light" w:hAnsi="Calibri Light"/>
          <w:color w:val="59595B"/>
        </w:rPr>
        <w:t xml:space="preserve">and positive cashflows </w:t>
      </w:r>
      <w:r>
        <w:rPr>
          <w:rFonts w:ascii="Calibri Light" w:hAnsi="Calibri Light"/>
          <w:color w:val="59595B"/>
        </w:rPr>
        <w:t>for the remaining quarter</w:t>
      </w:r>
      <w:r w:rsidR="0052705E" w:rsidRPr="00340700">
        <w:rPr>
          <w:rFonts w:ascii="Calibri Light" w:hAnsi="Calibri Light"/>
          <w:color w:val="59595B"/>
        </w:rPr>
        <w:t xml:space="preserve"> </w:t>
      </w:r>
    </w:p>
    <w:p w14:paraId="284C4F07" w14:textId="77777777" w:rsidR="00A36ECA" w:rsidRPr="00340700" w:rsidRDefault="00A36ECA" w:rsidP="007B5C28">
      <w:pPr>
        <w:pStyle w:val="NoSpacing"/>
        <w:numPr>
          <w:ilvl w:val="0"/>
          <w:numId w:val="11"/>
        </w:numPr>
        <w:spacing w:after="120" w:line="276" w:lineRule="auto"/>
        <w:ind w:right="142"/>
        <w:rPr>
          <w:rFonts w:ascii="Calibri Light" w:hAnsi="Calibri Light"/>
          <w:color w:val="59595B"/>
        </w:rPr>
      </w:pPr>
      <w:r w:rsidRPr="00340700">
        <w:rPr>
          <w:rFonts w:ascii="Calibri Light" w:hAnsi="Calibri Light"/>
          <w:color w:val="59595B"/>
        </w:rPr>
        <w:t xml:space="preserve">Continued investment in the production of RUCONEST® in order to ensure continuity of supply to the growing markets in the US, Europe and the </w:t>
      </w:r>
      <w:proofErr w:type="spellStart"/>
      <w:r w:rsidR="00E763F8">
        <w:rPr>
          <w:rFonts w:ascii="Calibri Light" w:hAnsi="Calibri Light"/>
          <w:color w:val="59595B"/>
        </w:rPr>
        <w:t>RoW</w:t>
      </w:r>
      <w:proofErr w:type="spellEnd"/>
    </w:p>
    <w:p w14:paraId="128079EA" w14:textId="77777777" w:rsidR="00A36ECA" w:rsidRDefault="00A36ECA" w:rsidP="007B5C28">
      <w:pPr>
        <w:pStyle w:val="NoSpacing"/>
        <w:numPr>
          <w:ilvl w:val="0"/>
          <w:numId w:val="11"/>
        </w:numPr>
        <w:spacing w:after="120" w:line="276" w:lineRule="auto"/>
        <w:ind w:right="142"/>
        <w:rPr>
          <w:rFonts w:ascii="Calibri Light" w:hAnsi="Calibri Light"/>
          <w:color w:val="59595B"/>
        </w:rPr>
      </w:pPr>
      <w:r w:rsidRPr="00340700">
        <w:rPr>
          <w:rFonts w:ascii="Calibri Light" w:hAnsi="Calibri Light"/>
          <w:color w:val="59595B"/>
        </w:rPr>
        <w:t xml:space="preserve">Investment in the approval for RUCONEST® in prophylaxis of HAE and </w:t>
      </w:r>
      <w:r w:rsidR="006B5025">
        <w:rPr>
          <w:rFonts w:ascii="Calibri Light" w:hAnsi="Calibri Light"/>
          <w:color w:val="59595B"/>
        </w:rPr>
        <w:t>in</w:t>
      </w:r>
      <w:r w:rsidR="006B5025" w:rsidRPr="00340700">
        <w:rPr>
          <w:rFonts w:ascii="Calibri Light" w:hAnsi="Calibri Light"/>
          <w:color w:val="59595B"/>
        </w:rPr>
        <w:t xml:space="preserve"> further clinical trial </w:t>
      </w:r>
      <w:r w:rsidR="006B5025">
        <w:rPr>
          <w:rFonts w:ascii="Calibri Light" w:hAnsi="Calibri Light"/>
          <w:color w:val="59595B"/>
        </w:rPr>
        <w:t>development</w:t>
      </w:r>
      <w:r w:rsidR="006B5025" w:rsidRPr="00340700">
        <w:rPr>
          <w:rFonts w:ascii="Calibri Light" w:hAnsi="Calibri Light"/>
          <w:color w:val="59595B"/>
        </w:rPr>
        <w:t xml:space="preserve"> </w:t>
      </w:r>
      <w:r w:rsidRPr="00340700">
        <w:rPr>
          <w:rFonts w:ascii="Calibri Light" w:hAnsi="Calibri Light"/>
          <w:color w:val="59595B"/>
        </w:rPr>
        <w:t>of a small</w:t>
      </w:r>
      <w:r w:rsidR="00137B21">
        <w:rPr>
          <w:rFonts w:ascii="Calibri Light" w:hAnsi="Calibri Light"/>
          <w:color w:val="59595B"/>
        </w:rPr>
        <w:t>,</w:t>
      </w:r>
      <w:r w:rsidRPr="00340700">
        <w:rPr>
          <w:rFonts w:ascii="Calibri Light" w:hAnsi="Calibri Light"/>
          <w:color w:val="59595B"/>
        </w:rPr>
        <w:t xml:space="preserve"> </w:t>
      </w:r>
      <w:r w:rsidR="00697051">
        <w:rPr>
          <w:rFonts w:ascii="Calibri Light" w:hAnsi="Calibri Light"/>
          <w:color w:val="59595B"/>
        </w:rPr>
        <w:t xml:space="preserve">fast </w:t>
      </w:r>
      <w:r w:rsidRPr="00340700">
        <w:rPr>
          <w:rFonts w:ascii="Calibri Light" w:hAnsi="Calibri Light"/>
          <w:color w:val="59595B"/>
        </w:rPr>
        <w:t>I</w:t>
      </w:r>
      <w:r w:rsidR="006B5025">
        <w:rPr>
          <w:rFonts w:ascii="Calibri Light" w:hAnsi="Calibri Light"/>
          <w:color w:val="59595B"/>
        </w:rPr>
        <w:t xml:space="preserve">V version and new intramuscular, </w:t>
      </w:r>
      <w:r w:rsidRPr="00340700">
        <w:rPr>
          <w:rFonts w:ascii="Calibri Light" w:hAnsi="Calibri Light"/>
          <w:color w:val="59595B"/>
        </w:rPr>
        <w:t xml:space="preserve">subcutaneous </w:t>
      </w:r>
      <w:r w:rsidR="006B5025">
        <w:rPr>
          <w:rFonts w:ascii="Calibri Light" w:hAnsi="Calibri Light"/>
          <w:color w:val="59595B"/>
        </w:rPr>
        <w:t xml:space="preserve">and other </w:t>
      </w:r>
      <w:r w:rsidR="00133900">
        <w:rPr>
          <w:rFonts w:ascii="Calibri Light" w:hAnsi="Calibri Light"/>
          <w:color w:val="59595B"/>
        </w:rPr>
        <w:t>delivery options for</w:t>
      </w:r>
      <w:r w:rsidRPr="00340700">
        <w:rPr>
          <w:rFonts w:ascii="Calibri Light" w:hAnsi="Calibri Light"/>
          <w:color w:val="59595B"/>
        </w:rPr>
        <w:t xml:space="preserve"> RUCONEST®</w:t>
      </w:r>
    </w:p>
    <w:p w14:paraId="65D1CC97" w14:textId="0EA775DB" w:rsidR="00133900" w:rsidRPr="00133900" w:rsidRDefault="00133900" w:rsidP="00133900">
      <w:pPr>
        <w:pStyle w:val="NoSpacing"/>
        <w:numPr>
          <w:ilvl w:val="0"/>
          <w:numId w:val="11"/>
        </w:numPr>
        <w:spacing w:after="120" w:line="276" w:lineRule="auto"/>
        <w:ind w:right="142"/>
        <w:rPr>
          <w:rFonts w:ascii="Calibri Light" w:hAnsi="Calibri Light"/>
          <w:color w:val="59595B"/>
        </w:rPr>
      </w:pPr>
      <w:r>
        <w:rPr>
          <w:rFonts w:ascii="Calibri Light" w:hAnsi="Calibri Light"/>
          <w:color w:val="59595B"/>
        </w:rPr>
        <w:t>Continued and enhanced</w:t>
      </w:r>
      <w:r w:rsidRPr="00340700">
        <w:rPr>
          <w:rFonts w:ascii="Calibri Light" w:hAnsi="Calibri Light"/>
          <w:color w:val="59595B"/>
        </w:rPr>
        <w:t xml:space="preserve"> support</w:t>
      </w:r>
      <w:r>
        <w:rPr>
          <w:rFonts w:ascii="Calibri Light" w:hAnsi="Calibri Light"/>
          <w:color w:val="59595B"/>
        </w:rPr>
        <w:t xml:space="preserve"> for</w:t>
      </w:r>
      <w:r w:rsidRPr="00340700">
        <w:rPr>
          <w:rFonts w:ascii="Calibri Light" w:hAnsi="Calibri Light"/>
          <w:color w:val="59595B"/>
        </w:rPr>
        <w:t xml:space="preserve"> patients in all territories, as we continue to believe that RUCONEST® represents </w:t>
      </w:r>
      <w:r w:rsidR="0053161C">
        <w:rPr>
          <w:rFonts w:ascii="Calibri Light" w:hAnsi="Calibri Light"/>
          <w:color w:val="59595B"/>
        </w:rPr>
        <w:t>a</w:t>
      </w:r>
      <w:r w:rsidRPr="00340700">
        <w:rPr>
          <w:rFonts w:ascii="Calibri Light" w:hAnsi="Calibri Light"/>
          <w:color w:val="59595B"/>
        </w:rPr>
        <w:t xml:space="preserve"> fast, effective, reliable and safe therapy </w:t>
      </w:r>
      <w:r>
        <w:rPr>
          <w:rFonts w:ascii="Calibri Light" w:hAnsi="Calibri Light"/>
          <w:color w:val="59595B"/>
        </w:rPr>
        <w:t>option available to HAE patients</w:t>
      </w:r>
    </w:p>
    <w:p w14:paraId="3CA29ABE" w14:textId="77777777" w:rsidR="00A36ECA" w:rsidRPr="00340700" w:rsidRDefault="00B7672F" w:rsidP="007B5C28">
      <w:pPr>
        <w:pStyle w:val="NoSpacing"/>
        <w:numPr>
          <w:ilvl w:val="0"/>
          <w:numId w:val="11"/>
        </w:numPr>
        <w:spacing w:after="120" w:line="276" w:lineRule="auto"/>
        <w:ind w:right="142"/>
        <w:rPr>
          <w:rFonts w:ascii="Calibri Light" w:hAnsi="Calibri Light"/>
          <w:color w:val="59595B"/>
        </w:rPr>
      </w:pPr>
      <w:r>
        <w:rPr>
          <w:rFonts w:ascii="Calibri Light" w:hAnsi="Calibri Light"/>
          <w:color w:val="59595B"/>
        </w:rPr>
        <w:t>Continued progress</w:t>
      </w:r>
      <w:r w:rsidR="00A36ECA" w:rsidRPr="00340700">
        <w:rPr>
          <w:rFonts w:ascii="Calibri Light" w:hAnsi="Calibri Light"/>
          <w:color w:val="59595B"/>
        </w:rPr>
        <w:t xml:space="preserve"> in the new pipeline programs in Pompe disease and Fabry’s disease, and </w:t>
      </w:r>
      <w:r w:rsidR="00137B21">
        <w:rPr>
          <w:rFonts w:ascii="Calibri Light" w:hAnsi="Calibri Light"/>
          <w:color w:val="59595B"/>
        </w:rPr>
        <w:t>additional</w:t>
      </w:r>
      <w:r w:rsidR="00A36ECA" w:rsidRPr="00340700">
        <w:rPr>
          <w:rFonts w:ascii="Calibri Light" w:hAnsi="Calibri Light"/>
          <w:color w:val="59595B"/>
        </w:rPr>
        <w:t xml:space="preserve"> development opportunities and assets as the</w:t>
      </w:r>
      <w:r w:rsidR="00137B21">
        <w:rPr>
          <w:rFonts w:ascii="Calibri Light" w:hAnsi="Calibri Light"/>
          <w:color w:val="59595B"/>
        </w:rPr>
        <w:t>y</w:t>
      </w:r>
      <w:r w:rsidR="00A36ECA" w:rsidRPr="00340700">
        <w:rPr>
          <w:rFonts w:ascii="Calibri Light" w:hAnsi="Calibri Light"/>
          <w:color w:val="59595B"/>
        </w:rPr>
        <w:t xml:space="preserve"> occur </w:t>
      </w:r>
    </w:p>
    <w:p w14:paraId="4517355A" w14:textId="77777777" w:rsidR="00340700" w:rsidRDefault="00340700">
      <w:pPr>
        <w:jc w:val="left"/>
        <w:rPr>
          <w:rStyle w:val="Strong"/>
          <w:rFonts w:ascii="Calibri Light" w:hAnsi="Calibri Light" w:cs="Calibri Light"/>
          <w:color w:val="0070C0"/>
          <w:szCs w:val="22"/>
          <w:shd w:val="clear" w:color="auto" w:fill="FFFFFF"/>
        </w:rPr>
      </w:pPr>
    </w:p>
    <w:p w14:paraId="26669EBB" w14:textId="77777777" w:rsidR="00A36ECA" w:rsidRPr="0092621C" w:rsidRDefault="00340700" w:rsidP="00A36ECA">
      <w:pPr>
        <w:rPr>
          <w:rStyle w:val="Strong"/>
          <w:rFonts w:ascii="Calibri Light" w:hAnsi="Calibri Light" w:cs="Calibri Light"/>
          <w:color w:val="00679B"/>
          <w:sz w:val="24"/>
          <w:szCs w:val="22"/>
          <w:shd w:val="clear" w:color="auto" w:fill="FFFFFF"/>
        </w:rPr>
      </w:pPr>
      <w:r w:rsidRPr="0092621C">
        <w:rPr>
          <w:rStyle w:val="Strong"/>
          <w:rFonts w:ascii="Calibri Light" w:hAnsi="Calibri Light" w:cs="Calibri Light"/>
          <w:color w:val="00679B"/>
          <w:sz w:val="24"/>
          <w:szCs w:val="22"/>
          <w:shd w:val="clear" w:color="auto" w:fill="FFFFFF"/>
        </w:rPr>
        <w:t>About Pharming Group N.V.</w:t>
      </w:r>
    </w:p>
    <w:p w14:paraId="49E42807"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50E061F1"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commercialized by Pharming in </w:t>
      </w:r>
      <w:r w:rsidRPr="000B6E26">
        <w:rPr>
          <w:rFonts w:ascii="Calibri Light" w:hAnsi="Calibri Light" w:cs="Calibri Light"/>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0B6E26">
        <w:rPr>
          <w:rFonts w:ascii="Calibri Light" w:eastAsia="MS Mincho" w:hAnsi="Calibri Light" w:cs="Calibri Light"/>
          <w:color w:val="59595B"/>
          <w:lang w:val="en-GB"/>
        </w:rPr>
        <w:t xml:space="preserve"> </w:t>
      </w:r>
    </w:p>
    <w:p w14:paraId="4B1A4CBE"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lastRenderedPageBreak/>
        <w:t>RUCONEST® is distributed by Swedish Orphan Biovitrum AB (publ) (SS: SOBI) in the other EU countries, and in Azerbaijan, Belarus, Georgia, Iceland, Kazakhstan, Liechtenstein, Norway, Russia, Serbia and Ukraine.</w:t>
      </w:r>
    </w:p>
    <w:p w14:paraId="4AFEE7F8"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 is distributed in Argentina, Colombia, Costa Rica, the Dominican Republic, Panama, and Venezuela by Cytobioteck, in South Korea by HyupJin Corporation and in Israel by Megapharm.</w:t>
      </w:r>
    </w:p>
    <w:p w14:paraId="3015F1DB"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 xml:space="preserve">is also </w:t>
      </w:r>
      <w:r w:rsidRPr="000B6E26">
        <w:rPr>
          <w:rFonts w:ascii="Calibri Light" w:eastAsia="MS Mincho" w:hAnsi="Calibri Light" w:cs="Calibri Light"/>
          <w:color w:val="59595B"/>
          <w:lang w:val="en-GB"/>
        </w:rPr>
        <w:t>evaluated for various additional follow-on indications.</w:t>
      </w:r>
    </w:p>
    <w:p w14:paraId="54EC3374"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w:t>
      </w:r>
      <w:r>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Fabry’s diseases are being optimized at present, with additional programs not involving ERT also being explored at an early stage at present. </w:t>
      </w:r>
    </w:p>
    <w:p w14:paraId="047EBB44"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CE2D62E" w14:textId="0CEB856D"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r w:rsidR="00296FE4">
        <w:rPr>
          <w:rFonts w:ascii="Calibri Light" w:eastAsia="MS Mincho" w:hAnsi="Calibri Light" w:cs="Calibri Light"/>
          <w:color w:val="59595B"/>
          <w:lang w:val="en-GB"/>
        </w:rPr>
        <w:t xml:space="preserve">  </w:t>
      </w:r>
    </w:p>
    <w:p w14:paraId="753F5835" w14:textId="77777777" w:rsidR="00C13B7B" w:rsidRPr="000B6E26" w:rsidRDefault="00C13B7B" w:rsidP="00C13B7B">
      <w:pPr>
        <w:spacing w:line="276"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12" w:history="1">
        <w:r w:rsidRPr="000B6E26">
          <w:rPr>
            <w:rStyle w:val="Hyperlink"/>
            <w:rFonts w:ascii="Calibri Light" w:eastAsia="MS Mincho" w:hAnsi="Calibri Light" w:cs="Calibri Light"/>
            <w:b/>
            <w:color w:val="59595B"/>
            <w:lang w:val="en-GB"/>
          </w:rPr>
          <w:t>www.pharming.com</w:t>
        </w:r>
      </w:hyperlink>
    </w:p>
    <w:p w14:paraId="1A27DD9F"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066DD3B0"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3E5EBFE2"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53F41CBD" w14:textId="77777777" w:rsidR="00A36ECA" w:rsidRPr="00C07AC7" w:rsidRDefault="00A36ECA" w:rsidP="00A36ECA">
      <w:pPr>
        <w:spacing w:after="120" w:line="276" w:lineRule="auto"/>
        <w:rPr>
          <w:rFonts w:asciiTheme="minorHAnsi" w:eastAsia="SimSun" w:hAnsiTheme="minorHAnsi" w:cs="Arial"/>
          <w:i/>
          <w:color w:val="59595B"/>
          <w:szCs w:val="20"/>
          <w:lang w:eastAsia="zh-CN"/>
        </w:rPr>
      </w:pPr>
      <w:r w:rsidRPr="00C07AC7">
        <w:rPr>
          <w:rFonts w:asciiTheme="minorHAnsi" w:eastAsia="SimSun" w:hAnsiTheme="minorHAnsi" w:cs="Arial"/>
          <w:i/>
          <w:color w:val="59595B"/>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6FF5E1E" w14:textId="77777777" w:rsidR="00A36ECA" w:rsidRPr="00C07AC7" w:rsidRDefault="00A36ECA" w:rsidP="00A36ECA">
      <w:pPr>
        <w:spacing w:after="120" w:line="276" w:lineRule="auto"/>
        <w:rPr>
          <w:rFonts w:asciiTheme="minorHAnsi" w:eastAsia="SimSun" w:hAnsiTheme="minorHAnsi" w:cs="Arial"/>
          <w:i/>
          <w:color w:val="59595B"/>
          <w:szCs w:val="20"/>
          <w:lang w:eastAsia="zh-CN"/>
        </w:rPr>
      </w:pPr>
      <w:r w:rsidRPr="00C07AC7">
        <w:rPr>
          <w:rFonts w:asciiTheme="minorHAnsi" w:eastAsia="SimSun" w:hAnsiTheme="minorHAnsi" w:cs="Arial"/>
          <w:i/>
          <w:color w:val="59595B"/>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1DCA8E7A" w14:textId="77777777" w:rsidR="00A36ECA" w:rsidRPr="00C07AC7" w:rsidRDefault="00A36ECA" w:rsidP="00A36ECA">
      <w:pPr>
        <w:spacing w:after="120" w:line="276" w:lineRule="auto"/>
        <w:rPr>
          <w:rFonts w:asciiTheme="minorHAnsi" w:eastAsia="SimSun" w:hAnsiTheme="minorHAnsi" w:cs="Arial"/>
          <w:i/>
          <w:color w:val="59595B"/>
          <w:szCs w:val="20"/>
          <w:highlight w:val="yellow"/>
          <w:lang w:eastAsia="zh-CN"/>
        </w:rPr>
      </w:pPr>
      <w:r w:rsidRPr="00C07AC7">
        <w:rPr>
          <w:rFonts w:asciiTheme="minorHAnsi" w:eastAsia="SimSun" w:hAnsiTheme="minorHAnsi" w:cs="Arial"/>
          <w:i/>
          <w:color w:val="59595B"/>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EC88F2C" w14:textId="77777777" w:rsidR="00A36ECA" w:rsidRPr="00340700" w:rsidRDefault="00A36ECA" w:rsidP="00A36ECA">
      <w:pPr>
        <w:rPr>
          <w:rFonts w:ascii="Calibri Light" w:hAnsi="Calibri Light"/>
          <w:i/>
          <w:color w:val="59595B"/>
          <w:szCs w:val="22"/>
        </w:rPr>
      </w:pPr>
    </w:p>
    <w:p w14:paraId="6F29754E" w14:textId="77777777" w:rsidR="00A36ECA" w:rsidRPr="00340700" w:rsidRDefault="00A36ECA" w:rsidP="00A36ECA">
      <w:pPr>
        <w:spacing w:line="276" w:lineRule="auto"/>
        <w:jc w:val="left"/>
        <w:rPr>
          <w:rFonts w:ascii="Calibri Light" w:hAnsi="Calibri Light"/>
          <w:b/>
          <w:bCs/>
          <w:color w:val="59595B"/>
        </w:rPr>
      </w:pPr>
      <w:r w:rsidRPr="00340700">
        <w:rPr>
          <w:rFonts w:ascii="Calibri Light" w:hAnsi="Calibri Light"/>
          <w:b/>
          <w:bCs/>
          <w:color w:val="59595B"/>
        </w:rPr>
        <w:lastRenderedPageBreak/>
        <w:t>Contacts:</w:t>
      </w:r>
    </w:p>
    <w:p w14:paraId="248627F3" w14:textId="77777777" w:rsidR="00A36ECA" w:rsidRPr="00340700" w:rsidRDefault="00A36ECA" w:rsidP="00A36ECA">
      <w:pPr>
        <w:spacing w:line="276" w:lineRule="auto"/>
        <w:jc w:val="left"/>
        <w:rPr>
          <w:rFonts w:ascii="Calibri Light" w:hAnsi="Calibri Light"/>
          <w:b/>
          <w:bCs/>
          <w:color w:val="59595B"/>
        </w:rPr>
      </w:pPr>
    </w:p>
    <w:p w14:paraId="49B75D6F" w14:textId="77777777" w:rsidR="00A36ECA" w:rsidRPr="00340700" w:rsidRDefault="00A36ECA" w:rsidP="00A36ECA">
      <w:pPr>
        <w:spacing w:line="276" w:lineRule="auto"/>
        <w:jc w:val="left"/>
        <w:rPr>
          <w:rFonts w:ascii="Calibri Light" w:hAnsi="Calibri Light"/>
          <w:color w:val="59595B"/>
        </w:rPr>
      </w:pPr>
      <w:r w:rsidRPr="00340700">
        <w:rPr>
          <w:rFonts w:ascii="Calibri Light" w:hAnsi="Calibri Light"/>
          <w:b/>
          <w:bCs/>
          <w:color w:val="59595B"/>
        </w:rPr>
        <w:t>Pharming Group N.V.</w:t>
      </w:r>
    </w:p>
    <w:p w14:paraId="1A884218" w14:textId="77777777" w:rsidR="00A36ECA" w:rsidRPr="00340700" w:rsidRDefault="00A36ECA" w:rsidP="00A36ECA">
      <w:pPr>
        <w:spacing w:line="276" w:lineRule="auto"/>
        <w:rPr>
          <w:rFonts w:ascii="Calibri Light" w:hAnsi="Calibri Light"/>
          <w:color w:val="59595B"/>
          <w:lang w:val="nl-NL"/>
        </w:rPr>
      </w:pPr>
      <w:r w:rsidRPr="00340700">
        <w:rPr>
          <w:rFonts w:ascii="Calibri Light" w:hAnsi="Calibri Light"/>
          <w:color w:val="59595B"/>
          <w:lang w:val="nl-NL"/>
        </w:rPr>
        <w:t>Sijmen de Vries, CEO, Tel: +31 71 524 7400</w:t>
      </w:r>
    </w:p>
    <w:p w14:paraId="785C533B" w14:textId="77777777" w:rsidR="00A36ECA" w:rsidRPr="00340700" w:rsidRDefault="00A36ECA" w:rsidP="00A36ECA">
      <w:pPr>
        <w:spacing w:line="276" w:lineRule="auto"/>
        <w:rPr>
          <w:rFonts w:ascii="Calibri Light" w:hAnsi="Calibri Light"/>
          <w:color w:val="59595B"/>
        </w:rPr>
      </w:pPr>
      <w:r w:rsidRPr="00340700">
        <w:rPr>
          <w:rFonts w:ascii="Calibri Light" w:hAnsi="Calibri Light"/>
          <w:color w:val="59595B"/>
        </w:rPr>
        <w:t>Robin Wright, CFO</w:t>
      </w:r>
      <w:proofErr w:type="gramStart"/>
      <w:r w:rsidRPr="00340700">
        <w:rPr>
          <w:rFonts w:ascii="Calibri Light" w:hAnsi="Calibri Light"/>
          <w:color w:val="59595B"/>
        </w:rPr>
        <w:t>,  Tel</w:t>
      </w:r>
      <w:proofErr w:type="gramEnd"/>
      <w:r w:rsidRPr="00340700">
        <w:rPr>
          <w:rFonts w:ascii="Calibri Light" w:hAnsi="Calibri Light"/>
          <w:color w:val="59595B"/>
        </w:rPr>
        <w:t>: +31 71 524 74</w:t>
      </w:r>
      <w:r w:rsidR="00697051">
        <w:rPr>
          <w:rFonts w:ascii="Calibri Light" w:hAnsi="Calibri Light"/>
          <w:color w:val="59595B"/>
        </w:rPr>
        <w:t>32</w:t>
      </w:r>
    </w:p>
    <w:p w14:paraId="08F1E756" w14:textId="77777777" w:rsidR="00A36ECA" w:rsidRPr="00340700" w:rsidRDefault="00A36ECA" w:rsidP="00A36ECA">
      <w:pPr>
        <w:spacing w:line="276" w:lineRule="auto"/>
        <w:rPr>
          <w:rFonts w:ascii="Calibri Light" w:hAnsi="Calibri Light"/>
          <w:color w:val="59595B"/>
        </w:rPr>
      </w:pPr>
    </w:p>
    <w:p w14:paraId="43448D1B" w14:textId="77777777" w:rsidR="00A36ECA" w:rsidRPr="00340700" w:rsidRDefault="00A36ECA" w:rsidP="00A36ECA">
      <w:pPr>
        <w:spacing w:line="276" w:lineRule="auto"/>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p>
    <w:p w14:paraId="37E62DDC" w14:textId="77777777" w:rsidR="00A36ECA" w:rsidRPr="00340700" w:rsidRDefault="00A36ECA" w:rsidP="00A36ECA">
      <w:pPr>
        <w:spacing w:line="276" w:lineRule="auto"/>
        <w:rPr>
          <w:rFonts w:ascii="Calibri Light" w:hAnsi="Calibri Light"/>
          <w:color w:val="59595B"/>
        </w:rPr>
      </w:pPr>
      <w:r w:rsidRPr="00340700">
        <w:rPr>
          <w:rFonts w:ascii="Calibri Light" w:eastAsia="SimSun" w:hAnsi="Calibri Light" w:cs="Arial"/>
          <w:color w:val="59595B"/>
          <w:lang w:eastAsia="zh-CN"/>
        </w:rPr>
        <w:t xml:space="preserve">Julia Phillips/ Victoria Foster Mitchell, Tel: +44 </w:t>
      </w:r>
      <w:r w:rsidRPr="00340700">
        <w:rPr>
          <w:rFonts w:ascii="Calibri Light" w:hAnsi="Calibri Light"/>
          <w:color w:val="59595B"/>
        </w:rPr>
        <w:t>203 727 1136</w:t>
      </w:r>
    </w:p>
    <w:p w14:paraId="147A1DBA" w14:textId="77777777" w:rsidR="00A36ECA" w:rsidRPr="00340700" w:rsidRDefault="00A36ECA" w:rsidP="00A36ECA">
      <w:pPr>
        <w:spacing w:line="276" w:lineRule="auto"/>
        <w:jc w:val="left"/>
        <w:rPr>
          <w:rFonts w:asciiTheme="minorHAnsi" w:eastAsia="MS Mincho" w:hAnsiTheme="minorHAnsi" w:cstheme="minorHAnsi"/>
          <w:color w:val="59595B"/>
          <w:szCs w:val="22"/>
          <w:lang w:val="en-GB"/>
        </w:rPr>
      </w:pPr>
    </w:p>
    <w:p w14:paraId="2BD32304" w14:textId="77777777" w:rsidR="00A36ECA" w:rsidRPr="00340700" w:rsidRDefault="00A36ECA" w:rsidP="00A36ECA">
      <w:pPr>
        <w:spacing w:line="276" w:lineRule="auto"/>
        <w:jc w:val="left"/>
        <w:rPr>
          <w:rFonts w:asciiTheme="minorHAnsi" w:eastAsia="MS Mincho" w:hAnsiTheme="minorHAnsi" w:cstheme="minorHAnsi"/>
          <w:b/>
          <w:color w:val="59595B"/>
          <w:szCs w:val="22"/>
          <w:lang w:val="en-GB"/>
        </w:rPr>
      </w:pPr>
      <w:proofErr w:type="spellStart"/>
      <w:r w:rsidRPr="00340700">
        <w:rPr>
          <w:rFonts w:asciiTheme="minorHAnsi" w:eastAsia="MS Mincho" w:hAnsiTheme="minorHAnsi" w:cstheme="minorHAnsi"/>
          <w:b/>
          <w:color w:val="59595B"/>
          <w:szCs w:val="22"/>
          <w:lang w:val="en-GB"/>
        </w:rPr>
        <w:t>Lifespring</w:t>
      </w:r>
      <w:proofErr w:type="spellEnd"/>
      <w:r w:rsidRPr="00340700">
        <w:rPr>
          <w:rFonts w:asciiTheme="minorHAnsi" w:eastAsia="MS Mincho" w:hAnsiTheme="minorHAnsi" w:cstheme="minorHAnsi"/>
          <w:b/>
          <w:color w:val="59595B"/>
          <w:szCs w:val="22"/>
          <w:lang w:val="en-GB"/>
        </w:rPr>
        <w:t xml:space="preserve"> Life Sciences Communication</w:t>
      </w:r>
    </w:p>
    <w:p w14:paraId="7FD34AB0" w14:textId="6405296D" w:rsidR="00C07AC7" w:rsidRDefault="00A36ECA" w:rsidP="00296FE4">
      <w:pPr>
        <w:autoSpaceDE w:val="0"/>
        <w:autoSpaceDN w:val="0"/>
        <w:adjustRightInd w:val="0"/>
        <w:rPr>
          <w:rFonts w:ascii="Calibri Light" w:hAnsi="Calibri Light" w:cs="Arial"/>
          <w:color w:val="59595B"/>
        </w:rPr>
      </w:pPr>
      <w:r w:rsidRPr="00340700">
        <w:rPr>
          <w:rFonts w:asciiTheme="minorHAnsi" w:eastAsia="MS Mincho" w:hAnsiTheme="minorHAnsi" w:cstheme="minorHAnsi"/>
          <w:color w:val="59595B"/>
          <w:lang w:val="en-GB"/>
        </w:rPr>
        <w:t xml:space="preserve">Leon Melens,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r w:rsidR="00C07AC7">
        <w:rPr>
          <w:rFonts w:ascii="Calibri Light" w:hAnsi="Calibri Light" w:cs="Arial"/>
          <w:color w:val="59595B"/>
        </w:rPr>
        <w:br w:type="page"/>
      </w:r>
    </w:p>
    <w:p w14:paraId="67E545CF" w14:textId="77777777" w:rsidR="00C07AC7" w:rsidRPr="00A96D90" w:rsidRDefault="00C07AC7" w:rsidP="00C07AC7">
      <w:pPr>
        <w:ind w:left="540" w:hanging="540"/>
        <w:rPr>
          <w:rFonts w:ascii="Calibri" w:hAnsi="Calibri" w:cstheme="minorHAnsi"/>
          <w:b/>
          <w:szCs w:val="22"/>
          <w:lang w:val="en-GB"/>
        </w:rPr>
      </w:pPr>
    </w:p>
    <w:p w14:paraId="61B40A69" w14:textId="77777777" w:rsidR="00C07AC7" w:rsidRPr="00A96D90" w:rsidRDefault="00C07AC7" w:rsidP="00C07AC7">
      <w:pPr>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t>Consolidated Statement of Income</w:t>
      </w:r>
    </w:p>
    <w:p w14:paraId="530053C8" w14:textId="3C0A80BA" w:rsidR="00C07AC7" w:rsidRPr="00A96D90" w:rsidRDefault="00C07AC7" w:rsidP="00C07AC7">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lang w:val="en-GB"/>
        </w:rPr>
        <w:t>nine</w:t>
      </w:r>
      <w:r w:rsidRPr="00A96D90">
        <w:rPr>
          <w:rFonts w:asciiTheme="minorHAnsi" w:hAnsiTheme="minorHAnsi"/>
          <w:color w:val="00679B"/>
          <w:sz w:val="24"/>
          <w:lang w:val="en-GB"/>
        </w:rPr>
        <w:t xml:space="preserve"> months ended 30 </w:t>
      </w:r>
      <w:r>
        <w:rPr>
          <w:rFonts w:asciiTheme="minorHAnsi" w:hAnsiTheme="minorHAnsi"/>
          <w:color w:val="00679B"/>
          <w:sz w:val="24"/>
          <w:lang w:val="en-GB"/>
        </w:rPr>
        <w:t>September</w:t>
      </w:r>
      <w:r w:rsidR="00C47B06">
        <w:rPr>
          <w:rFonts w:asciiTheme="minorHAnsi" w:hAnsiTheme="minorHAnsi"/>
          <w:color w:val="00679B"/>
          <w:sz w:val="24"/>
          <w:lang w:val="en-GB"/>
        </w:rPr>
        <w:t xml:space="preserve"> compared </w:t>
      </w:r>
      <w:r w:rsidR="00E505B3">
        <w:rPr>
          <w:rFonts w:asciiTheme="minorHAnsi" w:hAnsiTheme="minorHAnsi"/>
          <w:color w:val="00679B"/>
          <w:sz w:val="24"/>
          <w:lang w:val="en-GB"/>
        </w:rPr>
        <w:t xml:space="preserve">to the </w:t>
      </w:r>
      <w:r w:rsidR="00C47B06">
        <w:rPr>
          <w:rFonts w:asciiTheme="minorHAnsi" w:hAnsiTheme="minorHAnsi"/>
          <w:color w:val="00679B"/>
          <w:sz w:val="24"/>
          <w:lang w:val="en-GB"/>
        </w:rPr>
        <w:t>half year results</w:t>
      </w:r>
    </w:p>
    <w:p w14:paraId="4E9B003D" w14:textId="77777777" w:rsidR="00C07AC7" w:rsidRPr="00A96D90" w:rsidRDefault="00C07AC7" w:rsidP="00C07AC7">
      <w:pPr>
        <w:rPr>
          <w:rFonts w:ascii="Calibri" w:hAnsi="Calibri" w:cstheme="minorHAnsi"/>
          <w:b/>
          <w:color w:val="276E8B" w:themeColor="accent1" w:themeShade="BF"/>
          <w:szCs w:val="22"/>
          <w:lang w:val="en-GB"/>
        </w:rPr>
      </w:pPr>
    </w:p>
    <w:tbl>
      <w:tblPr>
        <w:tblW w:w="9262" w:type="dxa"/>
        <w:tblInd w:w="-5" w:type="dxa"/>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07"/>
        <w:gridCol w:w="1606"/>
        <w:gridCol w:w="1749"/>
      </w:tblGrid>
      <w:tr w:rsidR="001F6E58" w:rsidRPr="00A96D90" w14:paraId="5BF3238C" w14:textId="77777777" w:rsidTr="00370792">
        <w:trPr>
          <w:trHeight w:val="148"/>
        </w:trPr>
        <w:tc>
          <w:tcPr>
            <w:tcW w:w="5907" w:type="dxa"/>
            <w:tcBorders>
              <w:bottom w:val="single" w:sz="4" w:space="0" w:color="BFBFBF" w:themeColor="background1" w:themeShade="BF"/>
            </w:tcBorders>
            <w:shd w:val="clear" w:color="auto" w:fill="auto"/>
            <w:tcMar>
              <w:top w:w="28" w:type="dxa"/>
            </w:tcMar>
          </w:tcPr>
          <w:p w14:paraId="2B65032C" w14:textId="77777777" w:rsidR="001F6E58" w:rsidRPr="00A96D90" w:rsidRDefault="001F6E58" w:rsidP="00C47B06">
            <w:pPr>
              <w:ind w:left="1095" w:hanging="1095"/>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Amounts in €’000, except per share data</w:t>
            </w:r>
          </w:p>
        </w:tc>
        <w:tc>
          <w:tcPr>
            <w:tcW w:w="1606" w:type="dxa"/>
            <w:tcBorders>
              <w:bottom w:val="single" w:sz="4" w:space="0" w:color="BFBFBF" w:themeColor="background1" w:themeShade="BF"/>
            </w:tcBorders>
            <w:shd w:val="clear" w:color="auto" w:fill="F2F2F2" w:themeFill="background1" w:themeFillShade="F2"/>
          </w:tcPr>
          <w:p w14:paraId="5D376EBF" w14:textId="77777777" w:rsidR="001F6E58" w:rsidRPr="00A96D90" w:rsidRDefault="001F6E58" w:rsidP="00C07AC7">
            <w:pPr>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Y</w:t>
            </w:r>
            <w:r>
              <w:rPr>
                <w:rFonts w:asciiTheme="minorHAnsi" w:hAnsiTheme="minorHAnsi" w:cstheme="minorHAnsi"/>
                <w:b/>
                <w:color w:val="00679B"/>
                <w:sz w:val="20"/>
                <w:szCs w:val="20"/>
                <w:lang w:val="en-GB"/>
              </w:rPr>
              <w:t>TD</w:t>
            </w:r>
            <w:r w:rsidRPr="00A96D90">
              <w:rPr>
                <w:rFonts w:asciiTheme="minorHAnsi" w:hAnsiTheme="minorHAnsi" w:cstheme="minorHAnsi"/>
                <w:b/>
                <w:color w:val="00679B"/>
                <w:sz w:val="20"/>
                <w:szCs w:val="20"/>
                <w:lang w:val="en-GB"/>
              </w:rPr>
              <w:t xml:space="preserve"> 2017</w:t>
            </w:r>
          </w:p>
        </w:tc>
        <w:tc>
          <w:tcPr>
            <w:tcW w:w="1749" w:type="dxa"/>
            <w:tcBorders>
              <w:bottom w:val="single" w:sz="4" w:space="0" w:color="BFBFBF" w:themeColor="background1" w:themeShade="BF"/>
            </w:tcBorders>
          </w:tcPr>
          <w:p w14:paraId="5327CF97" w14:textId="77777777" w:rsidR="001F6E58" w:rsidRPr="00A96D90" w:rsidRDefault="001F6E58" w:rsidP="00C07AC7">
            <w:pPr>
              <w:jc w:val="right"/>
              <w:rPr>
                <w:rFonts w:asciiTheme="minorHAnsi" w:hAnsiTheme="minorHAnsi" w:cstheme="minorHAnsi"/>
                <w:b/>
                <w:color w:val="00679B"/>
                <w:sz w:val="20"/>
                <w:szCs w:val="20"/>
                <w:lang w:val="en-GB"/>
              </w:rPr>
            </w:pPr>
            <w:r w:rsidRPr="00476085">
              <w:rPr>
                <w:rFonts w:asciiTheme="minorHAnsi" w:hAnsiTheme="minorHAnsi" w:cstheme="minorHAnsi"/>
                <w:b/>
                <w:color w:val="00679B"/>
                <w:sz w:val="20"/>
                <w:szCs w:val="20"/>
                <w:lang w:val="en-GB"/>
              </w:rPr>
              <w:t>YTD 2016</w:t>
            </w:r>
          </w:p>
        </w:tc>
      </w:tr>
      <w:tr w:rsidR="001F6E58" w:rsidRPr="00A96D90" w14:paraId="17C5B43F" w14:textId="77777777" w:rsidTr="00370792">
        <w:trPr>
          <w:trHeight w:val="148"/>
        </w:trPr>
        <w:tc>
          <w:tcPr>
            <w:tcW w:w="5907" w:type="dxa"/>
            <w:tcBorders>
              <w:top w:val="single" w:sz="4" w:space="0" w:color="BFBFBF" w:themeColor="background1" w:themeShade="BF"/>
              <w:left w:val="single" w:sz="4" w:space="0" w:color="BFBFBF" w:themeColor="background1" w:themeShade="BF"/>
              <w:bottom w:val="nil"/>
            </w:tcBorders>
            <w:tcMar>
              <w:top w:w="28" w:type="dxa"/>
            </w:tcMar>
          </w:tcPr>
          <w:p w14:paraId="19A7A0E8" w14:textId="77777777" w:rsidR="001F6E58" w:rsidRPr="00A96D90" w:rsidRDefault="001F6E58" w:rsidP="00C47B06">
            <w:pPr>
              <w:ind w:left="1095" w:hanging="1095"/>
              <w:rPr>
                <w:rFonts w:asciiTheme="minorHAnsi" w:hAnsiTheme="minorHAnsi" w:cstheme="minorHAnsi"/>
                <w:color w:val="59595B"/>
                <w:sz w:val="20"/>
                <w:szCs w:val="20"/>
                <w:lang w:val="en-GB"/>
              </w:rPr>
            </w:pPr>
          </w:p>
        </w:tc>
        <w:tc>
          <w:tcPr>
            <w:tcW w:w="1606" w:type="dxa"/>
            <w:tcBorders>
              <w:top w:val="single" w:sz="4" w:space="0" w:color="BFBFBF" w:themeColor="background1" w:themeShade="BF"/>
              <w:bottom w:val="nil"/>
            </w:tcBorders>
            <w:shd w:val="clear" w:color="auto" w:fill="F2F2F2" w:themeFill="background1" w:themeFillShade="F2"/>
          </w:tcPr>
          <w:p w14:paraId="4ED49F19"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top w:val="single" w:sz="4" w:space="0" w:color="BFBFBF" w:themeColor="background1" w:themeShade="BF"/>
              <w:bottom w:val="nil"/>
            </w:tcBorders>
          </w:tcPr>
          <w:p w14:paraId="697C777A" w14:textId="77777777" w:rsidR="001F6E58" w:rsidRPr="00A96D90" w:rsidRDefault="001F6E58" w:rsidP="00C07AC7">
            <w:pPr>
              <w:jc w:val="right"/>
              <w:rPr>
                <w:rFonts w:asciiTheme="minorHAnsi" w:hAnsiTheme="minorHAnsi" w:cstheme="minorHAnsi"/>
                <w:color w:val="59595B"/>
                <w:sz w:val="20"/>
                <w:szCs w:val="20"/>
                <w:lang w:val="en-GB"/>
              </w:rPr>
            </w:pPr>
          </w:p>
        </w:tc>
      </w:tr>
      <w:tr w:rsidR="001F6E58" w:rsidRPr="009450B0" w14:paraId="48BAC202" w14:textId="77777777" w:rsidTr="00370792">
        <w:trPr>
          <w:trHeight w:val="148"/>
        </w:trPr>
        <w:tc>
          <w:tcPr>
            <w:tcW w:w="5907" w:type="dxa"/>
            <w:tcBorders>
              <w:top w:val="nil"/>
              <w:left w:val="single" w:sz="4" w:space="0" w:color="BFBFBF" w:themeColor="background1" w:themeShade="BF"/>
              <w:bottom w:val="nil"/>
            </w:tcBorders>
            <w:tcMar>
              <w:top w:w="28" w:type="dxa"/>
            </w:tcMar>
          </w:tcPr>
          <w:p w14:paraId="16A08871"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1606" w:type="dxa"/>
            <w:tcBorders>
              <w:top w:val="nil"/>
              <w:bottom w:val="nil"/>
            </w:tcBorders>
            <w:shd w:val="clear" w:color="auto" w:fill="F2F2F2" w:themeFill="background1" w:themeFillShade="F2"/>
          </w:tcPr>
          <w:p w14:paraId="279F0954" w14:textId="7E4071B4" w:rsidR="001F6E58" w:rsidRPr="00A96D90" w:rsidRDefault="00906DF9"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55,987</w:t>
            </w:r>
          </w:p>
        </w:tc>
        <w:tc>
          <w:tcPr>
            <w:tcW w:w="1749" w:type="dxa"/>
            <w:tcBorders>
              <w:top w:val="nil"/>
              <w:bottom w:val="nil"/>
            </w:tcBorders>
          </w:tcPr>
          <w:p w14:paraId="75CBDD9E"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7,034</w:t>
            </w:r>
          </w:p>
        </w:tc>
      </w:tr>
      <w:tr w:rsidR="001F6E58" w:rsidRPr="009450B0" w14:paraId="61CF311C" w14:textId="77777777" w:rsidTr="00370792">
        <w:trPr>
          <w:trHeight w:val="148"/>
        </w:trPr>
        <w:tc>
          <w:tcPr>
            <w:tcW w:w="5907" w:type="dxa"/>
            <w:tcBorders>
              <w:top w:val="nil"/>
              <w:left w:val="single" w:sz="4" w:space="0" w:color="BFBFBF" w:themeColor="background1" w:themeShade="BF"/>
              <w:bottom w:val="single" w:sz="4" w:space="0" w:color="BFBFBF" w:themeColor="background1" w:themeShade="BF"/>
            </w:tcBorders>
            <w:tcMar>
              <w:top w:w="28" w:type="dxa"/>
            </w:tcMar>
          </w:tcPr>
          <w:p w14:paraId="3FB1A97B"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Release of deferred license fee income</w:t>
            </w:r>
          </w:p>
        </w:tc>
        <w:tc>
          <w:tcPr>
            <w:tcW w:w="1606" w:type="dxa"/>
            <w:tcBorders>
              <w:top w:val="nil"/>
              <w:bottom w:val="single" w:sz="4" w:space="0" w:color="BFBFBF" w:themeColor="background1" w:themeShade="BF"/>
            </w:tcBorders>
            <w:shd w:val="clear" w:color="auto" w:fill="F2F2F2" w:themeFill="background1" w:themeFillShade="F2"/>
          </w:tcPr>
          <w:p w14:paraId="1DBFBCF6" w14:textId="77777777" w:rsidR="001F6E58" w:rsidRPr="00A96D90" w:rsidRDefault="001F6E58"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741</w:t>
            </w:r>
          </w:p>
        </w:tc>
        <w:tc>
          <w:tcPr>
            <w:tcW w:w="1749" w:type="dxa"/>
            <w:tcBorders>
              <w:top w:val="nil"/>
              <w:bottom w:val="single" w:sz="4" w:space="0" w:color="BFBFBF" w:themeColor="background1" w:themeShade="BF"/>
            </w:tcBorders>
          </w:tcPr>
          <w:p w14:paraId="0612EE91"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1,656</w:t>
            </w:r>
          </w:p>
        </w:tc>
      </w:tr>
      <w:tr w:rsidR="001F6E58" w:rsidRPr="009450B0" w14:paraId="5ED94810" w14:textId="77777777" w:rsidTr="00370792">
        <w:trPr>
          <w:trHeight w:val="148"/>
        </w:trPr>
        <w:tc>
          <w:tcPr>
            <w:tcW w:w="5907" w:type="dxa"/>
            <w:tcBorders>
              <w:top w:val="single" w:sz="4" w:space="0" w:color="BFBFBF" w:themeColor="background1" w:themeShade="BF"/>
              <w:bottom w:val="single" w:sz="4" w:space="0" w:color="BFBFBF" w:themeColor="background1" w:themeShade="BF"/>
            </w:tcBorders>
            <w:tcMar>
              <w:top w:w="28" w:type="dxa"/>
            </w:tcMar>
          </w:tcPr>
          <w:p w14:paraId="649BD8C9"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Revenues</w:t>
            </w:r>
          </w:p>
        </w:tc>
        <w:tc>
          <w:tcPr>
            <w:tcW w:w="160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9D87A26" w14:textId="09212BB1" w:rsidR="001F6E58" w:rsidRPr="00A96D90" w:rsidRDefault="00906DF9" w:rsidP="00C07AC7">
            <w:pPr>
              <w:jc w:val="right"/>
              <w:rPr>
                <w:rFonts w:asciiTheme="minorHAnsi" w:hAnsiTheme="minorHAnsi" w:cs="Arial"/>
                <w:b/>
                <w:color w:val="59595B"/>
                <w:sz w:val="20"/>
                <w:szCs w:val="20"/>
                <w:lang w:val="en-GB"/>
              </w:rPr>
            </w:pPr>
            <w:r>
              <w:rPr>
                <w:rFonts w:asciiTheme="minorHAnsi" w:hAnsiTheme="minorHAnsi" w:cs="Arial"/>
                <w:b/>
                <w:color w:val="59595B"/>
                <w:sz w:val="20"/>
                <w:szCs w:val="20"/>
                <w:lang w:val="en-GB"/>
              </w:rPr>
              <w:t>56,728</w:t>
            </w:r>
          </w:p>
        </w:tc>
        <w:tc>
          <w:tcPr>
            <w:tcW w:w="1749" w:type="dxa"/>
            <w:tcBorders>
              <w:top w:val="single" w:sz="4" w:space="0" w:color="BFBFBF" w:themeColor="background1" w:themeShade="BF"/>
              <w:bottom w:val="single" w:sz="4" w:space="0" w:color="BFBFBF" w:themeColor="background1" w:themeShade="BF"/>
            </w:tcBorders>
          </w:tcPr>
          <w:p w14:paraId="0656E00E"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8,690</w:t>
            </w:r>
          </w:p>
        </w:tc>
      </w:tr>
      <w:tr w:rsidR="001F6E58" w:rsidRPr="009450B0" w14:paraId="5D0985D5" w14:textId="77777777" w:rsidTr="00370792">
        <w:trPr>
          <w:trHeight w:val="148"/>
        </w:trPr>
        <w:tc>
          <w:tcPr>
            <w:tcW w:w="5907" w:type="dxa"/>
            <w:tcBorders>
              <w:bottom w:val="nil"/>
            </w:tcBorders>
            <w:tcMar>
              <w:top w:w="28" w:type="dxa"/>
            </w:tcMar>
          </w:tcPr>
          <w:p w14:paraId="50AE6913"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tcBorders>
              <w:bottom w:val="nil"/>
            </w:tcBorders>
            <w:shd w:val="clear" w:color="auto" w:fill="F2F2F2" w:themeFill="background1" w:themeFillShade="F2"/>
          </w:tcPr>
          <w:p w14:paraId="4E01E0E2"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bottom w:val="nil"/>
            </w:tcBorders>
          </w:tcPr>
          <w:p w14:paraId="2BDEADB7"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1103604D" w14:textId="77777777" w:rsidTr="00370792">
        <w:trPr>
          <w:trHeight w:val="148"/>
        </w:trPr>
        <w:tc>
          <w:tcPr>
            <w:tcW w:w="5907" w:type="dxa"/>
            <w:tcBorders>
              <w:top w:val="nil"/>
              <w:bottom w:val="nil"/>
            </w:tcBorders>
            <w:tcMar>
              <w:top w:w="28" w:type="dxa"/>
            </w:tcMar>
          </w:tcPr>
          <w:p w14:paraId="51601A7D"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Costs of product sales</w:t>
            </w:r>
          </w:p>
        </w:tc>
        <w:tc>
          <w:tcPr>
            <w:tcW w:w="1606" w:type="dxa"/>
            <w:tcBorders>
              <w:top w:val="nil"/>
              <w:bottom w:val="nil"/>
            </w:tcBorders>
            <w:shd w:val="clear" w:color="auto" w:fill="F2F2F2" w:themeFill="background1" w:themeFillShade="F2"/>
          </w:tcPr>
          <w:p w14:paraId="6EE50CA4" w14:textId="47984273" w:rsidR="001F6E58" w:rsidRPr="00A96D90" w:rsidRDefault="001F6E58"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w:t>
            </w:r>
            <w:r w:rsidR="00906DF9">
              <w:rPr>
                <w:rFonts w:asciiTheme="minorHAnsi" w:hAnsiTheme="minorHAnsi" w:cs="Arial"/>
                <w:color w:val="59595B"/>
                <w:sz w:val="20"/>
                <w:szCs w:val="20"/>
                <w:lang w:val="en-GB"/>
              </w:rPr>
              <w:t>8,007</w:t>
            </w:r>
            <w:r>
              <w:rPr>
                <w:rFonts w:asciiTheme="minorHAnsi" w:hAnsiTheme="minorHAnsi" w:cs="Arial"/>
                <w:color w:val="59595B"/>
                <w:sz w:val="20"/>
                <w:szCs w:val="20"/>
                <w:lang w:val="en-GB"/>
              </w:rPr>
              <w:t>)</w:t>
            </w:r>
          </w:p>
        </w:tc>
        <w:tc>
          <w:tcPr>
            <w:tcW w:w="1749" w:type="dxa"/>
            <w:tcBorders>
              <w:top w:val="nil"/>
              <w:bottom w:val="nil"/>
            </w:tcBorders>
          </w:tcPr>
          <w:p w14:paraId="2A8F4667"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(3,022)</w:t>
            </w:r>
          </w:p>
        </w:tc>
      </w:tr>
      <w:tr w:rsidR="001F6E58" w:rsidRPr="009450B0" w14:paraId="039FD821" w14:textId="77777777" w:rsidTr="00370792">
        <w:trPr>
          <w:trHeight w:val="148"/>
        </w:trPr>
        <w:tc>
          <w:tcPr>
            <w:tcW w:w="5907" w:type="dxa"/>
            <w:tcBorders>
              <w:top w:val="nil"/>
              <w:bottom w:val="single" w:sz="4" w:space="0" w:color="BFBFBF" w:themeColor="background1" w:themeShade="BF"/>
            </w:tcBorders>
            <w:tcMar>
              <w:top w:w="28" w:type="dxa"/>
            </w:tcMar>
          </w:tcPr>
          <w:p w14:paraId="49921CEC"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Inventory impairments</w:t>
            </w:r>
          </w:p>
        </w:tc>
        <w:tc>
          <w:tcPr>
            <w:tcW w:w="1606" w:type="dxa"/>
            <w:tcBorders>
              <w:top w:val="nil"/>
              <w:bottom w:val="single" w:sz="4" w:space="0" w:color="BFBFBF" w:themeColor="background1" w:themeShade="BF"/>
            </w:tcBorders>
            <w:shd w:val="clear" w:color="auto" w:fill="F2F2F2" w:themeFill="background1" w:themeFillShade="F2"/>
          </w:tcPr>
          <w:p w14:paraId="056C775C" w14:textId="77777777" w:rsidR="001F6E58" w:rsidRPr="00A96D90" w:rsidRDefault="001F6E58" w:rsidP="00C07AC7">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88</w:t>
            </w:r>
          </w:p>
        </w:tc>
        <w:tc>
          <w:tcPr>
            <w:tcW w:w="1749" w:type="dxa"/>
            <w:tcBorders>
              <w:top w:val="nil"/>
              <w:bottom w:val="single" w:sz="4" w:space="0" w:color="BFBFBF" w:themeColor="background1" w:themeShade="BF"/>
            </w:tcBorders>
          </w:tcPr>
          <w:p w14:paraId="7FBC756C"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 xml:space="preserve">(209) </w:t>
            </w:r>
          </w:p>
        </w:tc>
      </w:tr>
      <w:tr w:rsidR="001F6E58" w:rsidRPr="009450B0" w14:paraId="623EB7A8" w14:textId="77777777" w:rsidTr="00370792">
        <w:trPr>
          <w:trHeight w:val="148"/>
        </w:trPr>
        <w:tc>
          <w:tcPr>
            <w:tcW w:w="5907" w:type="dxa"/>
            <w:tcBorders>
              <w:top w:val="single" w:sz="4" w:space="0" w:color="BFBFBF" w:themeColor="background1" w:themeShade="BF"/>
              <w:bottom w:val="single" w:sz="4" w:space="0" w:color="BFBFBF" w:themeColor="background1" w:themeShade="BF"/>
            </w:tcBorders>
            <w:tcMar>
              <w:top w:w="28" w:type="dxa"/>
            </w:tcMar>
          </w:tcPr>
          <w:p w14:paraId="26331779"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Costs of sales</w:t>
            </w:r>
          </w:p>
        </w:tc>
        <w:tc>
          <w:tcPr>
            <w:tcW w:w="160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183A40" w14:textId="058241FA"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r w:rsidR="00906DF9">
              <w:rPr>
                <w:rFonts w:asciiTheme="minorHAnsi" w:hAnsiTheme="minorHAnsi" w:cstheme="minorHAnsi"/>
                <w:b/>
                <w:color w:val="59595B"/>
                <w:sz w:val="20"/>
                <w:szCs w:val="20"/>
                <w:lang w:val="en-GB"/>
              </w:rPr>
              <w:t>7,919</w:t>
            </w:r>
            <w:r>
              <w:rPr>
                <w:rFonts w:asciiTheme="minorHAnsi" w:hAnsiTheme="minorHAnsi" w:cstheme="minorHAnsi"/>
                <w:b/>
                <w:color w:val="59595B"/>
                <w:sz w:val="20"/>
                <w:szCs w:val="20"/>
                <w:lang w:val="en-GB"/>
              </w:rPr>
              <w:t>)</w:t>
            </w:r>
          </w:p>
        </w:tc>
        <w:tc>
          <w:tcPr>
            <w:tcW w:w="1749" w:type="dxa"/>
            <w:tcBorders>
              <w:top w:val="single" w:sz="4" w:space="0" w:color="BFBFBF" w:themeColor="background1" w:themeShade="BF"/>
              <w:bottom w:val="single" w:sz="4" w:space="0" w:color="BFBFBF" w:themeColor="background1" w:themeShade="BF"/>
            </w:tcBorders>
          </w:tcPr>
          <w:p w14:paraId="596DB6B4"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(3,231)</w:t>
            </w:r>
          </w:p>
        </w:tc>
      </w:tr>
      <w:tr w:rsidR="001F6E58" w:rsidRPr="009450B0" w14:paraId="7FB7112A" w14:textId="77777777" w:rsidTr="00370792">
        <w:trPr>
          <w:trHeight w:val="148"/>
        </w:trPr>
        <w:tc>
          <w:tcPr>
            <w:tcW w:w="5907" w:type="dxa"/>
            <w:tcBorders>
              <w:bottom w:val="single" w:sz="4" w:space="0" w:color="BFBFBF" w:themeColor="background1" w:themeShade="BF"/>
            </w:tcBorders>
            <w:tcMar>
              <w:top w:w="28" w:type="dxa"/>
            </w:tcMar>
          </w:tcPr>
          <w:p w14:paraId="1B188C83"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tcBorders>
              <w:bottom w:val="single" w:sz="4" w:space="0" w:color="BFBFBF" w:themeColor="background1" w:themeShade="BF"/>
            </w:tcBorders>
            <w:shd w:val="clear" w:color="auto" w:fill="F2F2F2" w:themeFill="background1" w:themeFillShade="F2"/>
          </w:tcPr>
          <w:p w14:paraId="17D34752"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bottom w:val="single" w:sz="4" w:space="0" w:color="BFBFBF" w:themeColor="background1" w:themeShade="BF"/>
            </w:tcBorders>
          </w:tcPr>
          <w:p w14:paraId="563F79BF"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40AD7BEF" w14:textId="77777777" w:rsidTr="00370792">
        <w:trPr>
          <w:trHeight w:val="148"/>
        </w:trPr>
        <w:tc>
          <w:tcPr>
            <w:tcW w:w="5907" w:type="dxa"/>
            <w:tcBorders>
              <w:top w:val="single" w:sz="4" w:space="0" w:color="BFBFBF" w:themeColor="background1" w:themeShade="BF"/>
            </w:tcBorders>
            <w:tcMar>
              <w:top w:w="28" w:type="dxa"/>
            </w:tcMar>
          </w:tcPr>
          <w:p w14:paraId="2D1A7CF5"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Gross profit</w:t>
            </w:r>
          </w:p>
        </w:tc>
        <w:tc>
          <w:tcPr>
            <w:tcW w:w="1606" w:type="dxa"/>
            <w:tcBorders>
              <w:top w:val="single" w:sz="4" w:space="0" w:color="BFBFBF" w:themeColor="background1" w:themeShade="BF"/>
            </w:tcBorders>
            <w:shd w:val="clear" w:color="auto" w:fill="F2F2F2" w:themeFill="background1" w:themeFillShade="F2"/>
          </w:tcPr>
          <w:p w14:paraId="6C3890DA" w14:textId="47AA3FB9" w:rsidR="001F6E58" w:rsidRPr="00A96D90" w:rsidRDefault="00906DF9"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48,809</w:t>
            </w:r>
          </w:p>
        </w:tc>
        <w:tc>
          <w:tcPr>
            <w:tcW w:w="1749" w:type="dxa"/>
            <w:tcBorders>
              <w:top w:val="single" w:sz="4" w:space="0" w:color="BFBFBF" w:themeColor="background1" w:themeShade="BF"/>
            </w:tcBorders>
          </w:tcPr>
          <w:p w14:paraId="6B38FC1C"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5,459</w:t>
            </w:r>
          </w:p>
        </w:tc>
      </w:tr>
      <w:tr w:rsidR="001F6E58" w:rsidRPr="009450B0" w14:paraId="2BC8525B" w14:textId="77777777" w:rsidTr="00370792">
        <w:trPr>
          <w:trHeight w:val="148"/>
        </w:trPr>
        <w:tc>
          <w:tcPr>
            <w:tcW w:w="5907" w:type="dxa"/>
            <w:tcMar>
              <w:top w:w="28" w:type="dxa"/>
            </w:tcMar>
          </w:tcPr>
          <w:p w14:paraId="5A785817"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shd w:val="clear" w:color="auto" w:fill="F2F2F2" w:themeFill="background1" w:themeFillShade="F2"/>
          </w:tcPr>
          <w:p w14:paraId="55D84325"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Pr>
          <w:p w14:paraId="3A6F37AA"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71F3DB41" w14:textId="77777777" w:rsidTr="00370792">
        <w:trPr>
          <w:trHeight w:val="148"/>
        </w:trPr>
        <w:tc>
          <w:tcPr>
            <w:tcW w:w="5907" w:type="dxa"/>
            <w:tcBorders>
              <w:bottom w:val="single" w:sz="4" w:space="0" w:color="BFBFBF" w:themeColor="background1" w:themeShade="BF"/>
            </w:tcBorders>
            <w:tcMar>
              <w:top w:w="28" w:type="dxa"/>
            </w:tcMar>
          </w:tcPr>
          <w:p w14:paraId="3F0C269B"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606" w:type="dxa"/>
            <w:tcBorders>
              <w:bottom w:val="single" w:sz="4" w:space="0" w:color="BFBFBF" w:themeColor="background1" w:themeShade="BF"/>
            </w:tcBorders>
            <w:shd w:val="clear" w:color="auto" w:fill="F2F2F2" w:themeFill="background1" w:themeFillShade="F2"/>
          </w:tcPr>
          <w:p w14:paraId="5031CEF7" w14:textId="77777777"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607</w:t>
            </w:r>
          </w:p>
        </w:tc>
        <w:tc>
          <w:tcPr>
            <w:tcW w:w="1749" w:type="dxa"/>
            <w:tcBorders>
              <w:bottom w:val="single" w:sz="4" w:space="0" w:color="BFBFBF" w:themeColor="background1" w:themeShade="BF"/>
            </w:tcBorders>
          </w:tcPr>
          <w:p w14:paraId="52E546B3"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265</w:t>
            </w:r>
          </w:p>
        </w:tc>
      </w:tr>
      <w:tr w:rsidR="001F6E58" w:rsidRPr="009450B0" w14:paraId="653EAB75" w14:textId="77777777" w:rsidTr="00370792">
        <w:trPr>
          <w:trHeight w:val="148"/>
        </w:trPr>
        <w:tc>
          <w:tcPr>
            <w:tcW w:w="5907" w:type="dxa"/>
            <w:tcBorders>
              <w:bottom w:val="nil"/>
            </w:tcBorders>
            <w:tcMar>
              <w:top w:w="28" w:type="dxa"/>
            </w:tcMar>
          </w:tcPr>
          <w:p w14:paraId="332F5223" w14:textId="77777777" w:rsidR="001F6E58" w:rsidRPr="00A96D90" w:rsidRDefault="001F6E58" w:rsidP="00C47B06">
            <w:pPr>
              <w:ind w:left="1095" w:hanging="1095"/>
              <w:rPr>
                <w:rFonts w:asciiTheme="minorHAnsi" w:hAnsiTheme="minorHAnsi" w:cstheme="minorHAnsi"/>
                <w:color w:val="59595B"/>
                <w:sz w:val="20"/>
                <w:szCs w:val="20"/>
                <w:lang w:val="en-GB"/>
              </w:rPr>
            </w:pPr>
          </w:p>
        </w:tc>
        <w:tc>
          <w:tcPr>
            <w:tcW w:w="1606" w:type="dxa"/>
            <w:tcBorders>
              <w:bottom w:val="nil"/>
            </w:tcBorders>
            <w:shd w:val="clear" w:color="auto" w:fill="F2F2F2" w:themeFill="background1" w:themeFillShade="F2"/>
          </w:tcPr>
          <w:p w14:paraId="396ED691"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bottom w:val="nil"/>
            </w:tcBorders>
          </w:tcPr>
          <w:p w14:paraId="2D1715DD"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7D730D04" w14:textId="77777777" w:rsidTr="00370792">
        <w:trPr>
          <w:trHeight w:val="148"/>
        </w:trPr>
        <w:tc>
          <w:tcPr>
            <w:tcW w:w="5907" w:type="dxa"/>
            <w:tcBorders>
              <w:top w:val="nil"/>
              <w:bottom w:val="nil"/>
            </w:tcBorders>
            <w:tcMar>
              <w:top w:w="28" w:type="dxa"/>
            </w:tcMar>
          </w:tcPr>
          <w:p w14:paraId="30449354"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606" w:type="dxa"/>
            <w:tcBorders>
              <w:top w:val="nil"/>
              <w:bottom w:val="nil"/>
            </w:tcBorders>
            <w:shd w:val="clear" w:color="auto" w:fill="F2F2F2" w:themeFill="background1" w:themeFillShade="F2"/>
          </w:tcPr>
          <w:p w14:paraId="51D4BF9A" w14:textId="038B1D04" w:rsidR="001F6E58" w:rsidRPr="00A96D90" w:rsidRDefault="00B55281"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w:t>
            </w:r>
            <w:r w:rsidR="00AF14BD">
              <w:rPr>
                <w:rFonts w:asciiTheme="minorHAnsi" w:hAnsiTheme="minorHAnsi" w:cs="Arial"/>
                <w:color w:val="59595B"/>
                <w:sz w:val="20"/>
                <w:szCs w:val="20"/>
                <w:lang w:val="en-GB"/>
              </w:rPr>
              <w:t>13,068</w:t>
            </w:r>
            <w:r w:rsidR="001F6E58">
              <w:rPr>
                <w:rFonts w:asciiTheme="minorHAnsi" w:hAnsiTheme="minorHAnsi" w:cs="Arial"/>
                <w:color w:val="59595B"/>
                <w:sz w:val="20"/>
                <w:szCs w:val="20"/>
                <w:lang w:val="en-GB"/>
              </w:rPr>
              <w:t>)</w:t>
            </w:r>
          </w:p>
        </w:tc>
        <w:tc>
          <w:tcPr>
            <w:tcW w:w="1749" w:type="dxa"/>
            <w:tcBorders>
              <w:top w:val="nil"/>
              <w:bottom w:val="nil"/>
            </w:tcBorders>
          </w:tcPr>
          <w:p w14:paraId="1FA3B2FC"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(11,080)</w:t>
            </w:r>
          </w:p>
        </w:tc>
      </w:tr>
      <w:tr w:rsidR="001F6E58" w:rsidRPr="009450B0" w14:paraId="326E13EA" w14:textId="77777777" w:rsidTr="00370792">
        <w:trPr>
          <w:trHeight w:val="148"/>
        </w:trPr>
        <w:tc>
          <w:tcPr>
            <w:tcW w:w="5907" w:type="dxa"/>
            <w:tcBorders>
              <w:top w:val="nil"/>
              <w:bottom w:val="single" w:sz="4" w:space="0" w:color="BFBFBF" w:themeColor="background1" w:themeShade="BF"/>
            </w:tcBorders>
            <w:tcMar>
              <w:top w:w="28" w:type="dxa"/>
            </w:tcMar>
          </w:tcPr>
          <w:p w14:paraId="41C74EE9"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162B0F3F"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606" w:type="dxa"/>
            <w:tcBorders>
              <w:top w:val="nil"/>
              <w:bottom w:val="single" w:sz="4" w:space="0" w:color="BFBFBF" w:themeColor="background1" w:themeShade="BF"/>
            </w:tcBorders>
            <w:shd w:val="clear" w:color="auto" w:fill="F2F2F2" w:themeFill="background1" w:themeFillShade="F2"/>
          </w:tcPr>
          <w:p w14:paraId="0CF4AC1F" w14:textId="0AE4CE4A" w:rsidR="001F6E58" w:rsidRDefault="001F6E58"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w:t>
            </w:r>
            <w:r w:rsidR="00AF14BD">
              <w:rPr>
                <w:rFonts w:asciiTheme="minorHAnsi" w:hAnsiTheme="minorHAnsi" w:cs="Arial"/>
                <w:color w:val="59595B"/>
                <w:sz w:val="20"/>
                <w:szCs w:val="20"/>
                <w:lang w:val="en-GB"/>
              </w:rPr>
              <w:t>4,308</w:t>
            </w:r>
            <w:r>
              <w:rPr>
                <w:rFonts w:asciiTheme="minorHAnsi" w:hAnsiTheme="minorHAnsi" w:cs="Arial"/>
                <w:color w:val="59595B"/>
                <w:sz w:val="20"/>
                <w:szCs w:val="20"/>
                <w:lang w:val="en-GB"/>
              </w:rPr>
              <w:t>)</w:t>
            </w:r>
          </w:p>
          <w:p w14:paraId="217BD8A3" w14:textId="06CAAA54" w:rsidR="001F6E58" w:rsidRPr="00A96D90" w:rsidRDefault="001F6E58" w:rsidP="00C07AC7">
            <w:pPr>
              <w:jc w:val="right"/>
              <w:rPr>
                <w:rFonts w:asciiTheme="minorHAnsi" w:hAnsiTheme="minorHAnsi" w:cs="Arial"/>
                <w:color w:val="59595B"/>
                <w:sz w:val="20"/>
                <w:szCs w:val="20"/>
                <w:lang w:val="en-GB"/>
              </w:rPr>
            </w:pPr>
            <w:r>
              <w:rPr>
                <w:rFonts w:asciiTheme="minorHAnsi" w:hAnsiTheme="minorHAnsi" w:cs="Arial"/>
                <w:color w:val="59595B"/>
                <w:sz w:val="20"/>
                <w:szCs w:val="20"/>
                <w:lang w:val="en-GB"/>
              </w:rPr>
              <w:t>(</w:t>
            </w:r>
            <w:r w:rsidR="00AF14BD">
              <w:rPr>
                <w:rFonts w:asciiTheme="minorHAnsi" w:hAnsiTheme="minorHAnsi" w:cs="Arial"/>
                <w:color w:val="59595B"/>
                <w:sz w:val="20"/>
                <w:szCs w:val="20"/>
                <w:lang w:val="en-GB"/>
              </w:rPr>
              <w:t>19,315</w:t>
            </w:r>
            <w:r>
              <w:rPr>
                <w:rFonts w:asciiTheme="minorHAnsi" w:hAnsiTheme="minorHAnsi" w:cs="Arial"/>
                <w:color w:val="59595B"/>
                <w:sz w:val="20"/>
                <w:szCs w:val="20"/>
                <w:lang w:val="en-GB"/>
              </w:rPr>
              <w:t>)</w:t>
            </w:r>
          </w:p>
        </w:tc>
        <w:tc>
          <w:tcPr>
            <w:tcW w:w="1749" w:type="dxa"/>
            <w:tcBorders>
              <w:top w:val="nil"/>
              <w:bottom w:val="single" w:sz="4" w:space="0" w:color="BFBFBF" w:themeColor="background1" w:themeShade="BF"/>
            </w:tcBorders>
          </w:tcPr>
          <w:p w14:paraId="1B1355D7"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(3,120)</w:t>
            </w:r>
          </w:p>
          <w:p w14:paraId="4FD0C730"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(911)</w:t>
            </w:r>
          </w:p>
        </w:tc>
      </w:tr>
      <w:tr w:rsidR="001F6E58" w:rsidRPr="009450B0" w14:paraId="71E02F33" w14:textId="77777777" w:rsidTr="00370792">
        <w:trPr>
          <w:trHeight w:val="148"/>
        </w:trPr>
        <w:tc>
          <w:tcPr>
            <w:tcW w:w="5907" w:type="dxa"/>
            <w:tcBorders>
              <w:top w:val="single" w:sz="4" w:space="0" w:color="BFBFBF" w:themeColor="background1" w:themeShade="BF"/>
            </w:tcBorders>
            <w:tcMar>
              <w:top w:w="28" w:type="dxa"/>
            </w:tcMar>
          </w:tcPr>
          <w:p w14:paraId="43FEB4C6"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Costs</w:t>
            </w:r>
          </w:p>
        </w:tc>
        <w:tc>
          <w:tcPr>
            <w:tcW w:w="1606" w:type="dxa"/>
            <w:tcBorders>
              <w:top w:val="single" w:sz="4" w:space="0" w:color="BFBFBF" w:themeColor="background1" w:themeShade="BF"/>
            </w:tcBorders>
            <w:shd w:val="clear" w:color="auto" w:fill="F2F2F2" w:themeFill="background1" w:themeFillShade="F2"/>
          </w:tcPr>
          <w:p w14:paraId="1D69F5AF" w14:textId="0DE6EF5D"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(36,691)</w:t>
            </w:r>
          </w:p>
        </w:tc>
        <w:tc>
          <w:tcPr>
            <w:tcW w:w="1749" w:type="dxa"/>
            <w:tcBorders>
              <w:top w:val="single" w:sz="4" w:space="0" w:color="BFBFBF" w:themeColor="background1" w:themeShade="BF"/>
            </w:tcBorders>
          </w:tcPr>
          <w:p w14:paraId="604A4E2A"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(15,111)</w:t>
            </w:r>
          </w:p>
        </w:tc>
      </w:tr>
      <w:tr w:rsidR="001F6E58" w:rsidRPr="009450B0" w14:paraId="75775685" w14:textId="77777777" w:rsidTr="00370792">
        <w:trPr>
          <w:trHeight w:val="148"/>
        </w:trPr>
        <w:tc>
          <w:tcPr>
            <w:tcW w:w="5907" w:type="dxa"/>
            <w:tcMar>
              <w:top w:w="28" w:type="dxa"/>
            </w:tcMar>
          </w:tcPr>
          <w:p w14:paraId="407F9A82"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shd w:val="clear" w:color="auto" w:fill="F2F2F2" w:themeFill="background1" w:themeFillShade="F2"/>
          </w:tcPr>
          <w:p w14:paraId="7A57451D"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Pr>
          <w:p w14:paraId="7B5B2510"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1D948BEB" w14:textId="77777777" w:rsidTr="00370792">
        <w:trPr>
          <w:trHeight w:val="148"/>
        </w:trPr>
        <w:tc>
          <w:tcPr>
            <w:tcW w:w="5907" w:type="dxa"/>
            <w:tcBorders>
              <w:bottom w:val="single" w:sz="4" w:space="0" w:color="BFBFBF" w:themeColor="background1" w:themeShade="BF"/>
            </w:tcBorders>
            <w:tcMar>
              <w:top w:w="28" w:type="dxa"/>
            </w:tcMar>
          </w:tcPr>
          <w:p w14:paraId="7E3F1C55"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Operating result</w:t>
            </w:r>
          </w:p>
        </w:tc>
        <w:tc>
          <w:tcPr>
            <w:tcW w:w="1606" w:type="dxa"/>
            <w:tcBorders>
              <w:bottom w:val="single" w:sz="4" w:space="0" w:color="BFBFBF" w:themeColor="background1" w:themeShade="BF"/>
            </w:tcBorders>
            <w:shd w:val="clear" w:color="auto" w:fill="F2F2F2" w:themeFill="background1" w:themeFillShade="F2"/>
          </w:tcPr>
          <w:p w14:paraId="562ED7FF" w14:textId="2A7577A9" w:rsidR="001F6E58" w:rsidRPr="00A96D90" w:rsidRDefault="00906DF9"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12,725</w:t>
            </w:r>
          </w:p>
        </w:tc>
        <w:tc>
          <w:tcPr>
            <w:tcW w:w="1749" w:type="dxa"/>
            <w:tcBorders>
              <w:bottom w:val="single" w:sz="4" w:space="0" w:color="BFBFBF" w:themeColor="background1" w:themeShade="BF"/>
            </w:tcBorders>
          </w:tcPr>
          <w:p w14:paraId="3BB5A02A"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(9,387)</w:t>
            </w:r>
          </w:p>
        </w:tc>
      </w:tr>
      <w:tr w:rsidR="001F6E58" w:rsidRPr="009450B0" w14:paraId="5EB85A86" w14:textId="77777777" w:rsidTr="00370792">
        <w:trPr>
          <w:trHeight w:val="148"/>
        </w:trPr>
        <w:tc>
          <w:tcPr>
            <w:tcW w:w="5907" w:type="dxa"/>
            <w:tcBorders>
              <w:bottom w:val="nil"/>
            </w:tcBorders>
            <w:tcMar>
              <w:top w:w="28" w:type="dxa"/>
            </w:tcMar>
          </w:tcPr>
          <w:p w14:paraId="66C86A25" w14:textId="77777777" w:rsidR="001F6E58" w:rsidRPr="00A96D90" w:rsidRDefault="001F6E58" w:rsidP="00C47B06">
            <w:pPr>
              <w:ind w:left="1095" w:hanging="1095"/>
              <w:rPr>
                <w:rFonts w:asciiTheme="minorHAnsi" w:hAnsiTheme="minorHAnsi" w:cs="Arial"/>
                <w:b/>
                <w:bCs/>
                <w:color w:val="59595B"/>
                <w:sz w:val="20"/>
                <w:szCs w:val="20"/>
                <w:lang w:val="en-GB"/>
              </w:rPr>
            </w:pPr>
          </w:p>
        </w:tc>
        <w:tc>
          <w:tcPr>
            <w:tcW w:w="1606" w:type="dxa"/>
            <w:tcBorders>
              <w:bottom w:val="nil"/>
            </w:tcBorders>
            <w:shd w:val="clear" w:color="auto" w:fill="F2F2F2" w:themeFill="background1" w:themeFillShade="F2"/>
          </w:tcPr>
          <w:p w14:paraId="319CFAFD"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bottom w:val="nil"/>
            </w:tcBorders>
          </w:tcPr>
          <w:p w14:paraId="61D515A6"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244E59E0" w14:textId="77777777" w:rsidTr="00370792">
        <w:trPr>
          <w:trHeight w:val="148"/>
        </w:trPr>
        <w:tc>
          <w:tcPr>
            <w:tcW w:w="5907" w:type="dxa"/>
            <w:tcBorders>
              <w:top w:val="nil"/>
              <w:bottom w:val="nil"/>
            </w:tcBorders>
            <w:tcMar>
              <w:top w:w="28" w:type="dxa"/>
            </w:tcMar>
          </w:tcPr>
          <w:p w14:paraId="6175AF0E"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Arial"/>
                <w:bCs/>
                <w:color w:val="59595B"/>
                <w:sz w:val="20"/>
                <w:szCs w:val="20"/>
                <w:lang w:val="en-GB"/>
              </w:rPr>
              <w:t>Fair value gain/(loss) on revaluation derivatives</w:t>
            </w:r>
          </w:p>
        </w:tc>
        <w:tc>
          <w:tcPr>
            <w:tcW w:w="1606" w:type="dxa"/>
            <w:tcBorders>
              <w:top w:val="nil"/>
              <w:bottom w:val="nil"/>
            </w:tcBorders>
            <w:shd w:val="clear" w:color="auto" w:fill="F2F2F2" w:themeFill="background1" w:themeFillShade="F2"/>
          </w:tcPr>
          <w:p w14:paraId="7AC986E5" w14:textId="208CE798" w:rsidR="001F6E58" w:rsidRPr="00A96D90" w:rsidRDefault="001F6E58" w:rsidP="00C07AC7">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(15,186)</w:t>
            </w:r>
          </w:p>
        </w:tc>
        <w:tc>
          <w:tcPr>
            <w:tcW w:w="1749" w:type="dxa"/>
            <w:tcBorders>
              <w:top w:val="nil"/>
              <w:bottom w:val="nil"/>
            </w:tcBorders>
          </w:tcPr>
          <w:p w14:paraId="2C550D9C"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411</w:t>
            </w:r>
          </w:p>
        </w:tc>
      </w:tr>
      <w:tr w:rsidR="001F6E58" w:rsidRPr="009450B0" w14:paraId="0C67EB21" w14:textId="77777777" w:rsidTr="00370792">
        <w:trPr>
          <w:trHeight w:val="148"/>
        </w:trPr>
        <w:tc>
          <w:tcPr>
            <w:tcW w:w="5907" w:type="dxa"/>
            <w:tcBorders>
              <w:top w:val="nil"/>
              <w:bottom w:val="single" w:sz="4" w:space="0" w:color="BFBFBF" w:themeColor="background1" w:themeShade="BF"/>
            </w:tcBorders>
            <w:tcMar>
              <w:top w:w="28" w:type="dxa"/>
            </w:tcMar>
          </w:tcPr>
          <w:p w14:paraId="6CDAB366" w14:textId="77777777" w:rsidR="001F6E58" w:rsidRPr="00A96D90" w:rsidRDefault="001F6E58" w:rsidP="00C47B06">
            <w:pPr>
              <w:ind w:left="1095" w:hanging="1095"/>
              <w:rPr>
                <w:rFonts w:asciiTheme="minorHAnsi" w:hAnsiTheme="minorHAnsi" w:cstheme="minorHAnsi"/>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1606" w:type="dxa"/>
            <w:tcBorders>
              <w:top w:val="nil"/>
              <w:bottom w:val="single" w:sz="4" w:space="0" w:color="BFBFBF" w:themeColor="background1" w:themeShade="BF"/>
            </w:tcBorders>
            <w:shd w:val="clear" w:color="auto" w:fill="F2F2F2" w:themeFill="background1" w:themeFillShade="F2"/>
          </w:tcPr>
          <w:p w14:paraId="1D2145C5" w14:textId="79937F31" w:rsidR="001F6E58" w:rsidRPr="00A96D90" w:rsidRDefault="001F6E58" w:rsidP="00C07AC7">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w:t>
            </w:r>
            <w:r w:rsidR="00CE2DB3">
              <w:rPr>
                <w:rFonts w:asciiTheme="minorHAnsi" w:hAnsiTheme="minorHAnsi" w:cstheme="minorHAnsi"/>
                <w:color w:val="59595B"/>
                <w:sz w:val="20"/>
                <w:szCs w:val="20"/>
                <w:lang w:val="en-GB"/>
              </w:rPr>
              <w:t>35,248</w:t>
            </w:r>
            <w:r>
              <w:rPr>
                <w:rFonts w:asciiTheme="minorHAnsi" w:hAnsiTheme="minorHAnsi" w:cstheme="minorHAnsi"/>
                <w:color w:val="59595B"/>
                <w:sz w:val="20"/>
                <w:szCs w:val="20"/>
                <w:lang w:val="en-GB"/>
              </w:rPr>
              <w:t>)</w:t>
            </w:r>
          </w:p>
        </w:tc>
        <w:tc>
          <w:tcPr>
            <w:tcW w:w="1749" w:type="dxa"/>
            <w:tcBorders>
              <w:top w:val="nil"/>
              <w:bottom w:val="single" w:sz="4" w:space="0" w:color="BFBFBF" w:themeColor="background1" w:themeShade="BF"/>
            </w:tcBorders>
          </w:tcPr>
          <w:p w14:paraId="29FC41E0"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(1,463)</w:t>
            </w:r>
          </w:p>
        </w:tc>
      </w:tr>
      <w:tr w:rsidR="001F6E58" w:rsidRPr="009450B0" w14:paraId="7772FB85" w14:textId="77777777" w:rsidTr="00370792">
        <w:trPr>
          <w:trHeight w:val="148"/>
        </w:trPr>
        <w:tc>
          <w:tcPr>
            <w:tcW w:w="5907" w:type="dxa"/>
            <w:tcBorders>
              <w:top w:val="single" w:sz="4" w:space="0" w:color="BFBFBF" w:themeColor="background1" w:themeShade="BF"/>
            </w:tcBorders>
            <w:tcMar>
              <w:top w:w="28" w:type="dxa"/>
            </w:tcMar>
          </w:tcPr>
          <w:p w14:paraId="09B3FA94"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606" w:type="dxa"/>
            <w:tcBorders>
              <w:top w:val="single" w:sz="4" w:space="0" w:color="BFBFBF" w:themeColor="background1" w:themeShade="BF"/>
            </w:tcBorders>
            <w:shd w:val="clear" w:color="auto" w:fill="F2F2F2" w:themeFill="background1" w:themeFillShade="F2"/>
          </w:tcPr>
          <w:p w14:paraId="58A0ABF9" w14:textId="2C148ECA"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r w:rsidR="00CE2DB3">
              <w:rPr>
                <w:rFonts w:asciiTheme="minorHAnsi" w:hAnsiTheme="minorHAnsi" w:cstheme="minorHAnsi"/>
                <w:b/>
                <w:color w:val="59595B"/>
                <w:sz w:val="20"/>
                <w:szCs w:val="20"/>
                <w:lang w:val="en-GB"/>
              </w:rPr>
              <w:t>50,434</w:t>
            </w:r>
            <w:r>
              <w:rPr>
                <w:rFonts w:asciiTheme="minorHAnsi" w:hAnsiTheme="minorHAnsi" w:cstheme="minorHAnsi"/>
                <w:b/>
                <w:color w:val="59595B"/>
                <w:sz w:val="20"/>
                <w:szCs w:val="20"/>
                <w:lang w:val="en-GB"/>
              </w:rPr>
              <w:t>)</w:t>
            </w:r>
          </w:p>
        </w:tc>
        <w:tc>
          <w:tcPr>
            <w:tcW w:w="1749" w:type="dxa"/>
            <w:tcBorders>
              <w:top w:val="single" w:sz="4" w:space="0" w:color="BFBFBF" w:themeColor="background1" w:themeShade="BF"/>
            </w:tcBorders>
          </w:tcPr>
          <w:p w14:paraId="38E9EF29"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(1,052)</w:t>
            </w:r>
          </w:p>
        </w:tc>
      </w:tr>
      <w:tr w:rsidR="001F6E58" w:rsidRPr="009450B0" w14:paraId="286E55DE" w14:textId="77777777" w:rsidTr="00370792">
        <w:trPr>
          <w:trHeight w:val="148"/>
        </w:trPr>
        <w:tc>
          <w:tcPr>
            <w:tcW w:w="5907" w:type="dxa"/>
            <w:tcMar>
              <w:top w:w="28" w:type="dxa"/>
            </w:tcMar>
          </w:tcPr>
          <w:p w14:paraId="1128137C"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shd w:val="clear" w:color="auto" w:fill="F2F2F2" w:themeFill="background1" w:themeFillShade="F2"/>
          </w:tcPr>
          <w:p w14:paraId="498025EE"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Pr>
          <w:p w14:paraId="1E54D915"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17367A04" w14:textId="77777777" w:rsidTr="00370792">
        <w:trPr>
          <w:trHeight w:val="148"/>
        </w:trPr>
        <w:tc>
          <w:tcPr>
            <w:tcW w:w="5907" w:type="dxa"/>
            <w:tcBorders>
              <w:bottom w:val="single" w:sz="4" w:space="0" w:color="BFBFBF" w:themeColor="background1" w:themeShade="BF"/>
            </w:tcBorders>
            <w:tcMar>
              <w:top w:w="28" w:type="dxa"/>
            </w:tcMar>
          </w:tcPr>
          <w:p w14:paraId="2BE0E809"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Result before income tax</w:t>
            </w:r>
          </w:p>
        </w:tc>
        <w:tc>
          <w:tcPr>
            <w:tcW w:w="1606" w:type="dxa"/>
            <w:tcBorders>
              <w:bottom w:val="single" w:sz="4" w:space="0" w:color="BFBFBF" w:themeColor="background1" w:themeShade="BF"/>
            </w:tcBorders>
            <w:shd w:val="clear" w:color="auto" w:fill="F2F2F2" w:themeFill="background1" w:themeFillShade="F2"/>
          </w:tcPr>
          <w:p w14:paraId="6E32788F" w14:textId="047C0D3D"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r w:rsidR="00906DF9">
              <w:rPr>
                <w:rFonts w:asciiTheme="minorHAnsi" w:hAnsiTheme="minorHAnsi" w:cstheme="minorHAnsi"/>
                <w:b/>
                <w:color w:val="59595B"/>
                <w:sz w:val="20"/>
                <w:szCs w:val="20"/>
                <w:lang w:val="en-GB"/>
              </w:rPr>
              <w:t>37,709</w:t>
            </w:r>
            <w:r>
              <w:rPr>
                <w:rFonts w:asciiTheme="minorHAnsi" w:hAnsiTheme="minorHAnsi" w:cstheme="minorHAnsi"/>
                <w:b/>
                <w:color w:val="59595B"/>
                <w:sz w:val="20"/>
                <w:szCs w:val="20"/>
                <w:lang w:val="en-GB"/>
              </w:rPr>
              <w:t>)</w:t>
            </w:r>
          </w:p>
        </w:tc>
        <w:tc>
          <w:tcPr>
            <w:tcW w:w="1749" w:type="dxa"/>
            <w:tcBorders>
              <w:bottom w:val="single" w:sz="4" w:space="0" w:color="BFBFBF" w:themeColor="background1" w:themeShade="BF"/>
            </w:tcBorders>
          </w:tcPr>
          <w:p w14:paraId="60E4D193"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(10,439)</w:t>
            </w:r>
          </w:p>
        </w:tc>
      </w:tr>
      <w:tr w:rsidR="001F6E58" w:rsidRPr="009450B0" w14:paraId="62018B1C" w14:textId="77777777" w:rsidTr="00370792">
        <w:trPr>
          <w:trHeight w:val="148"/>
        </w:trPr>
        <w:tc>
          <w:tcPr>
            <w:tcW w:w="5907" w:type="dxa"/>
            <w:tcBorders>
              <w:bottom w:val="nil"/>
            </w:tcBorders>
            <w:tcMar>
              <w:top w:w="28" w:type="dxa"/>
            </w:tcMar>
          </w:tcPr>
          <w:p w14:paraId="1FF39B1C" w14:textId="77777777" w:rsidR="001F6E58" w:rsidRPr="00A96D90" w:rsidRDefault="001F6E58" w:rsidP="00C47B06">
            <w:pPr>
              <w:ind w:left="1095" w:hanging="1095"/>
              <w:rPr>
                <w:rFonts w:asciiTheme="minorHAnsi" w:hAnsiTheme="minorHAnsi" w:cstheme="minorHAnsi"/>
                <w:color w:val="59595B"/>
                <w:sz w:val="20"/>
                <w:szCs w:val="20"/>
                <w:lang w:val="en-GB"/>
              </w:rPr>
            </w:pPr>
            <w:bookmarkStart w:id="1" w:name="_Hlk488737661"/>
            <w:r w:rsidRPr="00A96D90">
              <w:rPr>
                <w:rFonts w:asciiTheme="minorHAnsi" w:hAnsiTheme="minorHAnsi" w:cstheme="minorHAnsi"/>
                <w:color w:val="59595B"/>
                <w:sz w:val="20"/>
                <w:szCs w:val="20"/>
                <w:lang w:val="en-GB"/>
              </w:rPr>
              <w:t>Income tax expense</w:t>
            </w:r>
          </w:p>
        </w:tc>
        <w:tc>
          <w:tcPr>
            <w:tcW w:w="1606" w:type="dxa"/>
            <w:tcBorders>
              <w:bottom w:val="nil"/>
            </w:tcBorders>
            <w:shd w:val="clear" w:color="auto" w:fill="F2F2F2" w:themeFill="background1" w:themeFillShade="F2"/>
          </w:tcPr>
          <w:p w14:paraId="5F9248BA" w14:textId="77777777"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p>
        </w:tc>
        <w:tc>
          <w:tcPr>
            <w:tcW w:w="1749" w:type="dxa"/>
            <w:tcBorders>
              <w:bottom w:val="nil"/>
            </w:tcBorders>
          </w:tcPr>
          <w:p w14:paraId="480F4BE8"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w:t>
            </w:r>
          </w:p>
        </w:tc>
      </w:tr>
      <w:bookmarkEnd w:id="1"/>
      <w:tr w:rsidR="001F6E58" w:rsidRPr="009450B0" w14:paraId="5131F2C5" w14:textId="77777777" w:rsidTr="00370792">
        <w:trPr>
          <w:trHeight w:val="148"/>
        </w:trPr>
        <w:tc>
          <w:tcPr>
            <w:tcW w:w="5907" w:type="dxa"/>
            <w:tcBorders>
              <w:top w:val="nil"/>
              <w:bottom w:val="single" w:sz="4" w:space="0" w:color="BFBFBF" w:themeColor="background1" w:themeShade="BF"/>
            </w:tcBorders>
            <w:tcMar>
              <w:top w:w="28" w:type="dxa"/>
            </w:tcMar>
          </w:tcPr>
          <w:p w14:paraId="7042A59C"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tcBorders>
              <w:top w:val="nil"/>
              <w:bottom w:val="single" w:sz="4" w:space="0" w:color="BFBFBF" w:themeColor="background1" w:themeShade="BF"/>
            </w:tcBorders>
            <w:shd w:val="clear" w:color="auto" w:fill="F2F2F2" w:themeFill="background1" w:themeFillShade="F2"/>
          </w:tcPr>
          <w:p w14:paraId="47D835DA"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top w:val="nil"/>
              <w:bottom w:val="single" w:sz="4" w:space="0" w:color="BFBFBF" w:themeColor="background1" w:themeShade="BF"/>
            </w:tcBorders>
          </w:tcPr>
          <w:p w14:paraId="4E636283" w14:textId="77777777" w:rsidR="001F6E58" w:rsidRPr="009450B0" w:rsidRDefault="001F6E58" w:rsidP="00C07AC7">
            <w:pPr>
              <w:jc w:val="right"/>
              <w:rPr>
                <w:rFonts w:asciiTheme="minorHAnsi" w:hAnsiTheme="minorHAnsi" w:cstheme="minorHAnsi"/>
                <w:sz w:val="20"/>
                <w:szCs w:val="20"/>
                <w:lang w:val="en-GB"/>
              </w:rPr>
            </w:pPr>
          </w:p>
        </w:tc>
      </w:tr>
      <w:tr w:rsidR="00CE2DB3" w:rsidRPr="009450B0" w14:paraId="3432ADEE" w14:textId="77777777" w:rsidTr="00370792">
        <w:trPr>
          <w:trHeight w:val="148"/>
        </w:trPr>
        <w:tc>
          <w:tcPr>
            <w:tcW w:w="5907" w:type="dxa"/>
            <w:tcBorders>
              <w:top w:val="single" w:sz="4" w:space="0" w:color="BFBFBF" w:themeColor="background1" w:themeShade="BF"/>
            </w:tcBorders>
            <w:tcMar>
              <w:top w:w="28" w:type="dxa"/>
            </w:tcMar>
          </w:tcPr>
          <w:p w14:paraId="043B59BE" w14:textId="77777777" w:rsidR="00CE2DB3" w:rsidRPr="00A96D90" w:rsidRDefault="00CE2DB3" w:rsidP="00CE2DB3">
            <w:pPr>
              <w:ind w:left="1095" w:right="-517"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Net result for the period</w:t>
            </w:r>
          </w:p>
        </w:tc>
        <w:tc>
          <w:tcPr>
            <w:tcW w:w="1606" w:type="dxa"/>
            <w:tcBorders>
              <w:top w:val="single" w:sz="4" w:space="0" w:color="BFBFBF" w:themeColor="background1" w:themeShade="BF"/>
            </w:tcBorders>
            <w:shd w:val="clear" w:color="auto" w:fill="F2F2F2" w:themeFill="background1" w:themeFillShade="F2"/>
          </w:tcPr>
          <w:p w14:paraId="73EE9042" w14:textId="67B0FB4F" w:rsidR="00CE2DB3" w:rsidRPr="00A96D90" w:rsidRDefault="00CE2DB3" w:rsidP="00CE2DB3">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(37,709)</w:t>
            </w:r>
          </w:p>
        </w:tc>
        <w:tc>
          <w:tcPr>
            <w:tcW w:w="1749" w:type="dxa"/>
            <w:tcBorders>
              <w:top w:val="single" w:sz="4" w:space="0" w:color="BFBFBF" w:themeColor="background1" w:themeShade="BF"/>
            </w:tcBorders>
          </w:tcPr>
          <w:p w14:paraId="6C6336E8" w14:textId="77777777" w:rsidR="00CE2DB3" w:rsidRPr="009450B0" w:rsidRDefault="00CE2DB3" w:rsidP="00CE2DB3">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(10,439)</w:t>
            </w:r>
          </w:p>
        </w:tc>
      </w:tr>
      <w:tr w:rsidR="001F6E58" w:rsidRPr="009450B0" w14:paraId="6B6CCCA7" w14:textId="77777777" w:rsidTr="00370792">
        <w:trPr>
          <w:trHeight w:val="148"/>
        </w:trPr>
        <w:tc>
          <w:tcPr>
            <w:tcW w:w="5907" w:type="dxa"/>
            <w:tcMar>
              <w:top w:w="28" w:type="dxa"/>
            </w:tcMar>
          </w:tcPr>
          <w:p w14:paraId="17476505"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shd w:val="clear" w:color="auto" w:fill="F2F2F2" w:themeFill="background1" w:themeFillShade="F2"/>
          </w:tcPr>
          <w:p w14:paraId="28FB3753"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Pr>
          <w:p w14:paraId="61A17AFD"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7A1F8216" w14:textId="77777777" w:rsidTr="00370792">
        <w:trPr>
          <w:trHeight w:val="148"/>
        </w:trPr>
        <w:tc>
          <w:tcPr>
            <w:tcW w:w="5907" w:type="dxa"/>
            <w:tcBorders>
              <w:bottom w:val="single" w:sz="4" w:space="0" w:color="BFBFBF" w:themeColor="background1" w:themeShade="BF"/>
            </w:tcBorders>
            <w:tcMar>
              <w:top w:w="28" w:type="dxa"/>
            </w:tcMar>
          </w:tcPr>
          <w:p w14:paraId="47F404AD" w14:textId="77777777" w:rsidR="001F6E58" w:rsidRPr="00A96D90" w:rsidRDefault="001F6E58" w:rsidP="00C47B06">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606" w:type="dxa"/>
            <w:tcBorders>
              <w:bottom w:val="single" w:sz="4" w:space="0" w:color="BFBFBF" w:themeColor="background1" w:themeShade="BF"/>
            </w:tcBorders>
            <w:shd w:val="clear" w:color="auto" w:fill="F2F2F2" w:themeFill="background1" w:themeFillShade="F2"/>
          </w:tcPr>
          <w:p w14:paraId="77642ACC"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bottom w:val="single" w:sz="4" w:space="0" w:color="BFBFBF" w:themeColor="background1" w:themeShade="BF"/>
            </w:tcBorders>
          </w:tcPr>
          <w:p w14:paraId="79DAE063"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3B20864C" w14:textId="77777777" w:rsidTr="00370792">
        <w:trPr>
          <w:trHeight w:val="148"/>
        </w:trPr>
        <w:tc>
          <w:tcPr>
            <w:tcW w:w="5907" w:type="dxa"/>
            <w:tcBorders>
              <w:bottom w:val="nil"/>
            </w:tcBorders>
            <w:tcMar>
              <w:top w:w="28" w:type="dxa"/>
            </w:tcMar>
          </w:tcPr>
          <w:p w14:paraId="25CE81ED" w14:textId="77777777" w:rsidR="001F6E58" w:rsidRPr="00A96D90" w:rsidRDefault="001F6E58" w:rsidP="001F6E58">
            <w:pPr>
              <w:ind w:left="1095" w:hanging="1095"/>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1606" w:type="dxa"/>
            <w:tcBorders>
              <w:bottom w:val="nil"/>
            </w:tcBorders>
            <w:shd w:val="clear" w:color="auto" w:fill="F2F2F2" w:themeFill="background1" w:themeFillShade="F2"/>
          </w:tcPr>
          <w:p w14:paraId="7E5B255B" w14:textId="4F7BEDAB" w:rsidR="001F6E58" w:rsidRPr="001F6E58" w:rsidRDefault="001F6E58" w:rsidP="001F6E58">
            <w:pPr>
              <w:jc w:val="right"/>
              <w:rPr>
                <w:rFonts w:asciiTheme="minorHAnsi" w:hAnsiTheme="minorHAnsi" w:cstheme="minorHAnsi"/>
                <w:color w:val="59595B"/>
                <w:sz w:val="20"/>
                <w:szCs w:val="20"/>
                <w:lang w:val="en-GB"/>
              </w:rPr>
            </w:pPr>
            <w:r w:rsidRPr="00B949F6">
              <w:rPr>
                <w:rFonts w:asciiTheme="minorHAnsi" w:hAnsiTheme="minorHAnsi" w:cstheme="minorHAnsi"/>
                <w:color w:val="59595B"/>
                <w:sz w:val="20"/>
                <w:szCs w:val="20"/>
                <w:lang w:val="en-GB"/>
              </w:rPr>
              <w:t>(</w:t>
            </w:r>
            <w:r w:rsidR="00CE2DB3">
              <w:rPr>
                <w:rFonts w:asciiTheme="minorHAnsi" w:hAnsiTheme="minorHAnsi" w:cstheme="minorHAnsi"/>
                <w:color w:val="59595B"/>
                <w:sz w:val="20"/>
                <w:szCs w:val="20"/>
                <w:lang w:val="en-GB"/>
              </w:rPr>
              <w:t>37,709</w:t>
            </w:r>
            <w:r w:rsidRPr="00B949F6">
              <w:rPr>
                <w:rFonts w:asciiTheme="minorHAnsi" w:hAnsiTheme="minorHAnsi" w:cstheme="minorHAnsi"/>
                <w:color w:val="59595B"/>
                <w:sz w:val="20"/>
                <w:szCs w:val="20"/>
                <w:lang w:val="en-GB"/>
              </w:rPr>
              <w:t>)</w:t>
            </w:r>
          </w:p>
        </w:tc>
        <w:tc>
          <w:tcPr>
            <w:tcW w:w="1749" w:type="dxa"/>
            <w:tcBorders>
              <w:bottom w:val="nil"/>
            </w:tcBorders>
          </w:tcPr>
          <w:p w14:paraId="7FD1E2F2" w14:textId="77777777" w:rsidR="001F6E58" w:rsidRPr="009450B0" w:rsidRDefault="001F6E58" w:rsidP="001F6E58">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(10,439)</w:t>
            </w:r>
          </w:p>
        </w:tc>
      </w:tr>
      <w:tr w:rsidR="001F6E58" w:rsidRPr="009450B0" w14:paraId="64A25147" w14:textId="77777777" w:rsidTr="00370792">
        <w:trPr>
          <w:trHeight w:val="148"/>
        </w:trPr>
        <w:tc>
          <w:tcPr>
            <w:tcW w:w="5907" w:type="dxa"/>
            <w:tcBorders>
              <w:top w:val="nil"/>
              <w:bottom w:val="single" w:sz="4" w:space="0" w:color="BFBFBF" w:themeColor="background1" w:themeShade="BF"/>
            </w:tcBorders>
            <w:tcMar>
              <w:top w:w="28" w:type="dxa"/>
            </w:tcMar>
          </w:tcPr>
          <w:p w14:paraId="69CCE048"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tcBorders>
              <w:top w:val="nil"/>
              <w:bottom w:val="single" w:sz="4" w:space="0" w:color="BFBFBF" w:themeColor="background1" w:themeShade="BF"/>
            </w:tcBorders>
            <w:shd w:val="clear" w:color="auto" w:fill="F2F2F2" w:themeFill="background1" w:themeFillShade="F2"/>
          </w:tcPr>
          <w:p w14:paraId="73C51FB7" w14:textId="77777777" w:rsidR="001F6E58" w:rsidRPr="00A96D90" w:rsidRDefault="001F6E58" w:rsidP="00C07AC7">
            <w:pPr>
              <w:jc w:val="right"/>
              <w:rPr>
                <w:rFonts w:asciiTheme="minorHAnsi" w:hAnsiTheme="minorHAnsi" w:cstheme="minorHAnsi"/>
                <w:color w:val="59595B"/>
                <w:sz w:val="20"/>
                <w:szCs w:val="20"/>
                <w:lang w:val="en-GB"/>
              </w:rPr>
            </w:pPr>
          </w:p>
        </w:tc>
        <w:tc>
          <w:tcPr>
            <w:tcW w:w="1749" w:type="dxa"/>
            <w:tcBorders>
              <w:top w:val="nil"/>
              <w:bottom w:val="single" w:sz="4" w:space="0" w:color="BFBFBF" w:themeColor="background1" w:themeShade="BF"/>
            </w:tcBorders>
          </w:tcPr>
          <w:p w14:paraId="077DFEA3" w14:textId="77777777" w:rsidR="001F6E58" w:rsidRPr="009450B0" w:rsidRDefault="001F6E58" w:rsidP="00C07AC7">
            <w:pPr>
              <w:jc w:val="right"/>
              <w:rPr>
                <w:rFonts w:asciiTheme="minorHAnsi" w:hAnsiTheme="minorHAnsi" w:cstheme="minorHAnsi"/>
                <w:sz w:val="20"/>
                <w:szCs w:val="20"/>
                <w:lang w:val="en-GB"/>
              </w:rPr>
            </w:pPr>
          </w:p>
        </w:tc>
      </w:tr>
      <w:tr w:rsidR="00CE2DB3" w:rsidRPr="009450B0" w14:paraId="76F10C5C" w14:textId="77777777" w:rsidTr="00370792">
        <w:trPr>
          <w:trHeight w:val="148"/>
        </w:trPr>
        <w:tc>
          <w:tcPr>
            <w:tcW w:w="5907" w:type="dxa"/>
            <w:tcBorders>
              <w:top w:val="single" w:sz="4" w:space="0" w:color="BFBFBF" w:themeColor="background1" w:themeShade="BF"/>
              <w:bottom w:val="nil"/>
            </w:tcBorders>
            <w:tcMar>
              <w:top w:w="28" w:type="dxa"/>
            </w:tcMar>
          </w:tcPr>
          <w:p w14:paraId="4215095A" w14:textId="77777777" w:rsidR="00CE2DB3" w:rsidRPr="00A96D90" w:rsidRDefault="00CE2DB3" w:rsidP="00CE2DB3">
            <w:pPr>
              <w:ind w:left="1095"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Total net result</w:t>
            </w:r>
          </w:p>
        </w:tc>
        <w:tc>
          <w:tcPr>
            <w:tcW w:w="1606" w:type="dxa"/>
            <w:tcBorders>
              <w:top w:val="single" w:sz="4" w:space="0" w:color="BFBFBF" w:themeColor="background1" w:themeShade="BF"/>
              <w:bottom w:val="nil"/>
            </w:tcBorders>
            <w:shd w:val="clear" w:color="auto" w:fill="F2F2F2" w:themeFill="background1" w:themeFillShade="F2"/>
          </w:tcPr>
          <w:p w14:paraId="3C14A580" w14:textId="6ECC700D" w:rsidR="00CE2DB3" w:rsidRPr="00A96D90" w:rsidRDefault="00CE2DB3" w:rsidP="00CE2DB3">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(37,709)</w:t>
            </w:r>
          </w:p>
        </w:tc>
        <w:tc>
          <w:tcPr>
            <w:tcW w:w="1749" w:type="dxa"/>
            <w:tcBorders>
              <w:top w:val="single" w:sz="4" w:space="0" w:color="BFBFBF" w:themeColor="background1" w:themeShade="BF"/>
              <w:bottom w:val="nil"/>
            </w:tcBorders>
          </w:tcPr>
          <w:p w14:paraId="3BA2D3E6" w14:textId="77777777" w:rsidR="00CE2DB3" w:rsidRPr="009450B0" w:rsidRDefault="00CE2DB3" w:rsidP="00CE2DB3">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(10,439)</w:t>
            </w:r>
          </w:p>
        </w:tc>
      </w:tr>
      <w:tr w:rsidR="001F6E58" w:rsidRPr="009450B0" w14:paraId="644C15DF" w14:textId="77777777" w:rsidTr="00370792">
        <w:trPr>
          <w:trHeight w:val="148"/>
        </w:trPr>
        <w:tc>
          <w:tcPr>
            <w:tcW w:w="5907" w:type="dxa"/>
            <w:tcBorders>
              <w:top w:val="nil"/>
              <w:bottom w:val="single" w:sz="4" w:space="0" w:color="BFBFBF" w:themeColor="background1" w:themeShade="BF"/>
            </w:tcBorders>
            <w:tcMar>
              <w:top w:w="28" w:type="dxa"/>
            </w:tcMar>
          </w:tcPr>
          <w:p w14:paraId="18742554" w14:textId="77777777" w:rsidR="001F6E58" w:rsidRPr="00A96D90" w:rsidRDefault="001F6E58" w:rsidP="00C47B06">
            <w:pPr>
              <w:ind w:left="1095" w:hanging="1095"/>
              <w:rPr>
                <w:rFonts w:asciiTheme="minorHAnsi" w:hAnsiTheme="minorHAnsi" w:cstheme="minorHAnsi"/>
                <w:b/>
                <w:color w:val="59595B"/>
                <w:sz w:val="20"/>
                <w:szCs w:val="20"/>
                <w:lang w:val="en-GB"/>
              </w:rPr>
            </w:pPr>
          </w:p>
        </w:tc>
        <w:tc>
          <w:tcPr>
            <w:tcW w:w="1606" w:type="dxa"/>
            <w:tcBorders>
              <w:top w:val="nil"/>
              <w:bottom w:val="single" w:sz="4" w:space="0" w:color="BFBFBF" w:themeColor="background1" w:themeShade="BF"/>
            </w:tcBorders>
            <w:shd w:val="clear" w:color="auto" w:fill="F2F2F2" w:themeFill="background1" w:themeFillShade="F2"/>
          </w:tcPr>
          <w:p w14:paraId="3AC8BD64" w14:textId="77777777" w:rsidR="001F6E58" w:rsidRPr="00A96D90" w:rsidRDefault="001F6E58" w:rsidP="00C07AC7">
            <w:pPr>
              <w:jc w:val="right"/>
              <w:rPr>
                <w:rFonts w:asciiTheme="minorHAnsi" w:hAnsiTheme="minorHAnsi" w:cstheme="minorHAnsi"/>
                <w:b/>
                <w:color w:val="59595B"/>
                <w:sz w:val="20"/>
                <w:szCs w:val="20"/>
                <w:highlight w:val="yellow"/>
                <w:lang w:val="en-GB"/>
              </w:rPr>
            </w:pPr>
          </w:p>
        </w:tc>
        <w:tc>
          <w:tcPr>
            <w:tcW w:w="1749" w:type="dxa"/>
            <w:tcBorders>
              <w:top w:val="nil"/>
              <w:bottom w:val="single" w:sz="4" w:space="0" w:color="BFBFBF" w:themeColor="background1" w:themeShade="BF"/>
            </w:tcBorders>
          </w:tcPr>
          <w:p w14:paraId="71CC20CD" w14:textId="77777777" w:rsidR="001F6E58" w:rsidRPr="009450B0" w:rsidRDefault="001F6E58" w:rsidP="00C07AC7">
            <w:pPr>
              <w:jc w:val="right"/>
              <w:rPr>
                <w:rFonts w:asciiTheme="minorHAnsi" w:hAnsiTheme="minorHAnsi" w:cstheme="minorHAnsi"/>
                <w:b/>
                <w:sz w:val="20"/>
                <w:szCs w:val="20"/>
                <w:lang w:val="en-GB"/>
              </w:rPr>
            </w:pPr>
          </w:p>
        </w:tc>
      </w:tr>
      <w:tr w:rsidR="001F6E58" w:rsidRPr="009450B0" w14:paraId="01B23738" w14:textId="77777777" w:rsidTr="00370792">
        <w:trPr>
          <w:trHeight w:val="148"/>
        </w:trPr>
        <w:tc>
          <w:tcPr>
            <w:tcW w:w="5907" w:type="dxa"/>
            <w:tcBorders>
              <w:top w:val="single" w:sz="4" w:space="0" w:color="BFBFBF" w:themeColor="background1" w:themeShade="BF"/>
              <w:bottom w:val="single" w:sz="4" w:space="0" w:color="7F7F7F"/>
            </w:tcBorders>
            <w:tcMar>
              <w:top w:w="28" w:type="dxa"/>
            </w:tcMar>
          </w:tcPr>
          <w:p w14:paraId="55EFF728" w14:textId="77777777" w:rsidR="001F6E58" w:rsidRPr="00A96D90" w:rsidRDefault="001F6E58" w:rsidP="00C47B06">
            <w:pPr>
              <w:ind w:left="1095" w:right="-517" w:hanging="1095"/>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Basic earnings per share (€) </w:t>
            </w:r>
          </w:p>
        </w:tc>
        <w:tc>
          <w:tcPr>
            <w:tcW w:w="1606" w:type="dxa"/>
            <w:tcBorders>
              <w:bottom w:val="single" w:sz="4" w:space="0" w:color="7F7F7F"/>
            </w:tcBorders>
            <w:shd w:val="clear" w:color="auto" w:fill="F2F2F2" w:themeFill="background1" w:themeFillShade="F2"/>
          </w:tcPr>
          <w:p w14:paraId="71E9AFFD" w14:textId="2E435575" w:rsidR="001F6E58" w:rsidRPr="00A96D90" w:rsidRDefault="001F6E58" w:rsidP="00C07A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(0.0</w:t>
            </w:r>
            <w:r w:rsidR="004C2F71">
              <w:rPr>
                <w:rFonts w:asciiTheme="minorHAnsi" w:hAnsiTheme="minorHAnsi" w:cstheme="minorHAnsi"/>
                <w:b/>
                <w:color w:val="59595B"/>
                <w:sz w:val="20"/>
                <w:szCs w:val="20"/>
                <w:lang w:val="en-GB"/>
              </w:rPr>
              <w:t>77</w:t>
            </w:r>
            <w:r>
              <w:rPr>
                <w:rFonts w:asciiTheme="minorHAnsi" w:hAnsiTheme="minorHAnsi" w:cstheme="minorHAnsi"/>
                <w:b/>
                <w:color w:val="59595B"/>
                <w:sz w:val="20"/>
                <w:szCs w:val="20"/>
                <w:lang w:val="en-GB"/>
              </w:rPr>
              <w:t>)</w:t>
            </w:r>
          </w:p>
        </w:tc>
        <w:tc>
          <w:tcPr>
            <w:tcW w:w="1749" w:type="dxa"/>
            <w:tcBorders>
              <w:bottom w:val="single" w:sz="4" w:space="0" w:color="7F7F7F"/>
            </w:tcBorders>
          </w:tcPr>
          <w:p w14:paraId="13F967B3"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sz w:val="20"/>
                <w:szCs w:val="20"/>
                <w:lang w:val="en-GB"/>
              </w:rPr>
              <w:t>(0.025)</w:t>
            </w:r>
          </w:p>
        </w:tc>
      </w:tr>
    </w:tbl>
    <w:p w14:paraId="2CFCFE37" w14:textId="77777777" w:rsidR="00C47B06" w:rsidRDefault="00C47B06" w:rsidP="00C07AC7">
      <w:pPr>
        <w:rPr>
          <w:rFonts w:ascii="Calibri" w:hAnsi="Calibri" w:cstheme="minorHAnsi"/>
          <w:szCs w:val="22"/>
          <w:lang w:val="en-GB"/>
        </w:rPr>
      </w:pPr>
    </w:p>
    <w:p w14:paraId="00B15788" w14:textId="77777777" w:rsidR="00C07AC7" w:rsidRPr="00A96D90" w:rsidRDefault="00C07AC7" w:rsidP="00C07AC7">
      <w:pPr>
        <w:rPr>
          <w:rFonts w:ascii="Calibri" w:hAnsi="Calibri" w:cstheme="minorHAnsi"/>
          <w:b/>
          <w:color w:val="276E8B" w:themeColor="accent1" w:themeShade="BF"/>
          <w:szCs w:val="22"/>
          <w:lang w:val="en-GB"/>
        </w:rPr>
      </w:pPr>
      <w:r w:rsidRPr="00A96D90">
        <w:rPr>
          <w:rFonts w:ascii="Calibri" w:hAnsi="Calibri" w:cstheme="minorHAnsi"/>
          <w:szCs w:val="22"/>
          <w:lang w:val="en-GB"/>
        </w:rPr>
        <w:br w:type="page"/>
      </w:r>
      <w:r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Pr="00A96D90">
        <w:rPr>
          <w:rFonts w:ascii="Calibri" w:hAnsi="Calibri" w:cstheme="minorHAnsi"/>
          <w:b/>
          <w:color w:val="276E8B" w:themeColor="accent1" w:themeShade="BF"/>
          <w:szCs w:val="22"/>
          <w:lang w:val="en-GB"/>
        </w:rPr>
        <w:t xml:space="preserve"> </w:t>
      </w:r>
    </w:p>
    <w:p w14:paraId="2E77B4D4" w14:textId="77777777" w:rsidR="00C07AC7" w:rsidRPr="00A96D90" w:rsidRDefault="00C07AC7" w:rsidP="00C07AC7">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C47B06">
        <w:rPr>
          <w:rFonts w:asciiTheme="minorHAnsi" w:hAnsiTheme="minorHAnsi"/>
          <w:color w:val="00679B"/>
          <w:sz w:val="24"/>
          <w:lang w:val="en-GB"/>
        </w:rPr>
        <w:t>nine</w:t>
      </w:r>
      <w:r w:rsidR="00C47B06" w:rsidRPr="00A96D90">
        <w:rPr>
          <w:rFonts w:asciiTheme="minorHAnsi" w:hAnsiTheme="minorHAnsi"/>
          <w:color w:val="00679B"/>
          <w:sz w:val="24"/>
          <w:lang w:val="en-GB"/>
        </w:rPr>
        <w:t xml:space="preserve"> </w:t>
      </w:r>
      <w:r w:rsidRPr="00A96D90">
        <w:rPr>
          <w:rFonts w:asciiTheme="minorHAnsi" w:hAnsiTheme="minorHAnsi"/>
          <w:color w:val="00679B"/>
          <w:sz w:val="24"/>
          <w:lang w:val="en-GB"/>
        </w:rPr>
        <w:t xml:space="preserve">months ended 30 </w:t>
      </w:r>
      <w:r>
        <w:rPr>
          <w:rFonts w:asciiTheme="minorHAnsi" w:hAnsiTheme="minorHAnsi"/>
          <w:color w:val="00679B"/>
          <w:sz w:val="24"/>
          <w:lang w:val="en-GB"/>
        </w:rPr>
        <w:t>September</w:t>
      </w:r>
      <w:r w:rsidR="00C47B06">
        <w:rPr>
          <w:rFonts w:asciiTheme="minorHAnsi" w:hAnsiTheme="minorHAnsi"/>
          <w:color w:val="00679B"/>
          <w:sz w:val="24"/>
          <w:lang w:val="en-GB"/>
        </w:rPr>
        <w:t xml:space="preserve"> compared to the half year results</w:t>
      </w:r>
    </w:p>
    <w:p w14:paraId="4160FA3D" w14:textId="77777777" w:rsidR="00C07AC7" w:rsidRPr="00A96D90" w:rsidRDefault="00C07AC7" w:rsidP="00C07AC7">
      <w:pPr>
        <w:rPr>
          <w:rFonts w:ascii="Calibri" w:hAnsi="Calibri" w:cstheme="minorHAnsi"/>
          <w:b/>
          <w:szCs w:val="22"/>
          <w:lang w:val="en-GB"/>
        </w:rPr>
      </w:pPr>
    </w:p>
    <w:tbl>
      <w:tblPr>
        <w:tblW w:w="9170" w:type="dxa"/>
        <w:tblInd w:w="-5" w:type="dxa"/>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1"/>
        <w:gridCol w:w="1611"/>
        <w:gridCol w:w="1608"/>
      </w:tblGrid>
      <w:tr w:rsidR="001F6E58" w:rsidRPr="00A96D90" w14:paraId="02B477B2" w14:textId="77777777" w:rsidTr="00B949F6">
        <w:trPr>
          <w:trHeight w:val="278"/>
        </w:trPr>
        <w:tc>
          <w:tcPr>
            <w:tcW w:w="5951" w:type="dxa"/>
            <w:tcBorders>
              <w:bottom w:val="single" w:sz="4" w:space="0" w:color="BFBFBF" w:themeColor="background1" w:themeShade="BF"/>
            </w:tcBorders>
          </w:tcPr>
          <w:p w14:paraId="406CD79B" w14:textId="77777777" w:rsidR="001F6E58" w:rsidRPr="00A96D90" w:rsidRDefault="001F6E58" w:rsidP="00C07AC7">
            <w:pPr>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Amounts in €’000</w:t>
            </w:r>
          </w:p>
        </w:tc>
        <w:tc>
          <w:tcPr>
            <w:tcW w:w="1611" w:type="dxa"/>
            <w:tcBorders>
              <w:bottom w:val="single" w:sz="4" w:space="0" w:color="BFBFBF" w:themeColor="background1" w:themeShade="BF"/>
            </w:tcBorders>
            <w:shd w:val="clear" w:color="auto" w:fill="F2F2F2" w:themeFill="background1" w:themeFillShade="F2"/>
          </w:tcPr>
          <w:p w14:paraId="2A982496" w14:textId="77777777" w:rsidR="001F6E58" w:rsidRPr="00A96D90" w:rsidRDefault="001F6E58" w:rsidP="00C07AC7">
            <w:pPr>
              <w:ind w:left="104" w:right="69"/>
              <w:jc w:val="right"/>
              <w:rPr>
                <w:rFonts w:asciiTheme="minorHAnsi" w:hAnsiTheme="minorHAnsi" w:cstheme="minorHAnsi"/>
                <w:b/>
                <w:color w:val="00679B"/>
                <w:sz w:val="20"/>
                <w:szCs w:val="20"/>
                <w:lang w:val="en-GB"/>
              </w:rPr>
            </w:pPr>
            <w:r>
              <w:rPr>
                <w:rFonts w:asciiTheme="minorHAnsi" w:hAnsiTheme="minorHAnsi" w:cstheme="minorHAnsi"/>
                <w:b/>
                <w:color w:val="00679B"/>
                <w:sz w:val="20"/>
                <w:szCs w:val="20"/>
                <w:lang w:val="en-GB"/>
              </w:rPr>
              <w:t>YTD 2017</w:t>
            </w:r>
          </w:p>
        </w:tc>
        <w:tc>
          <w:tcPr>
            <w:tcW w:w="1608" w:type="dxa"/>
            <w:tcBorders>
              <w:bottom w:val="single" w:sz="4" w:space="0" w:color="BFBFBF" w:themeColor="background1" w:themeShade="BF"/>
            </w:tcBorders>
          </w:tcPr>
          <w:p w14:paraId="50B24D20" w14:textId="77777777" w:rsidR="001F6E58" w:rsidRPr="00A96D90" w:rsidRDefault="001F6E58" w:rsidP="00C07AC7">
            <w:pPr>
              <w:jc w:val="right"/>
              <w:rPr>
                <w:rFonts w:asciiTheme="minorHAnsi" w:hAnsiTheme="minorHAnsi" w:cstheme="minorHAnsi"/>
                <w:b/>
                <w:color w:val="00679B"/>
                <w:sz w:val="20"/>
                <w:szCs w:val="20"/>
                <w:lang w:val="en-GB"/>
              </w:rPr>
            </w:pPr>
            <w:r w:rsidRPr="00476085">
              <w:rPr>
                <w:rFonts w:asciiTheme="minorHAnsi" w:hAnsiTheme="minorHAnsi" w:cstheme="minorHAnsi"/>
                <w:b/>
                <w:color w:val="00679B"/>
                <w:sz w:val="20"/>
                <w:szCs w:val="20"/>
                <w:lang w:val="en-GB"/>
              </w:rPr>
              <w:t>YTD 2016</w:t>
            </w:r>
          </w:p>
        </w:tc>
      </w:tr>
      <w:tr w:rsidR="00CE2DB3" w:rsidRPr="009450B0" w14:paraId="568ED54A" w14:textId="77777777" w:rsidTr="00B949F6">
        <w:trPr>
          <w:trHeight w:val="570"/>
        </w:trPr>
        <w:tc>
          <w:tcPr>
            <w:tcW w:w="5951" w:type="dxa"/>
            <w:tcBorders>
              <w:bottom w:val="nil"/>
            </w:tcBorders>
          </w:tcPr>
          <w:p w14:paraId="6060A960" w14:textId="77777777" w:rsidR="00CE2DB3" w:rsidRPr="00A96D90" w:rsidRDefault="00CE2DB3" w:rsidP="00CE2DB3">
            <w:pPr>
              <w:rPr>
                <w:rFonts w:asciiTheme="minorHAnsi" w:hAnsiTheme="minorHAnsi" w:cstheme="minorHAnsi"/>
                <w:color w:val="59595B"/>
                <w:sz w:val="20"/>
                <w:szCs w:val="20"/>
                <w:lang w:val="en-GB"/>
              </w:rPr>
            </w:pPr>
          </w:p>
          <w:p w14:paraId="774EAD2D" w14:textId="77777777" w:rsidR="00CE2DB3" w:rsidRPr="00A96D90" w:rsidRDefault="00CE2DB3" w:rsidP="00CE2DB3">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Net result for the period</w:t>
            </w:r>
          </w:p>
        </w:tc>
        <w:tc>
          <w:tcPr>
            <w:tcW w:w="1611" w:type="dxa"/>
            <w:tcBorders>
              <w:bottom w:val="nil"/>
            </w:tcBorders>
            <w:shd w:val="clear" w:color="auto" w:fill="F2F2F2" w:themeFill="background1" w:themeFillShade="F2"/>
          </w:tcPr>
          <w:p w14:paraId="42AF2D75" w14:textId="77777777" w:rsidR="00CE2DB3" w:rsidRDefault="00CE2DB3" w:rsidP="00CE2DB3">
            <w:pPr>
              <w:ind w:left="104" w:right="69"/>
              <w:jc w:val="right"/>
              <w:rPr>
                <w:rFonts w:asciiTheme="minorHAnsi" w:hAnsiTheme="minorHAnsi" w:cstheme="minorHAnsi"/>
                <w:b/>
                <w:color w:val="59595B"/>
                <w:sz w:val="20"/>
                <w:szCs w:val="20"/>
                <w:lang w:val="en-GB"/>
              </w:rPr>
            </w:pPr>
          </w:p>
          <w:p w14:paraId="36066247" w14:textId="5AD89A95" w:rsidR="00CE2DB3" w:rsidRPr="00A96D90" w:rsidRDefault="00CE2DB3" w:rsidP="00CE2DB3">
            <w:pPr>
              <w:ind w:left="104" w:right="69"/>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(37,709)</w:t>
            </w:r>
          </w:p>
        </w:tc>
        <w:tc>
          <w:tcPr>
            <w:tcW w:w="1608" w:type="dxa"/>
            <w:tcBorders>
              <w:bottom w:val="nil"/>
            </w:tcBorders>
          </w:tcPr>
          <w:p w14:paraId="2FE4F2CC" w14:textId="77777777" w:rsidR="00CE2DB3" w:rsidRPr="009450B0" w:rsidRDefault="00CE2DB3" w:rsidP="00CE2DB3">
            <w:pPr>
              <w:jc w:val="right"/>
              <w:rPr>
                <w:rFonts w:asciiTheme="minorHAnsi" w:hAnsiTheme="minorHAnsi" w:cstheme="minorHAnsi"/>
                <w:b/>
                <w:sz w:val="20"/>
                <w:szCs w:val="20"/>
                <w:lang w:val="en-GB"/>
              </w:rPr>
            </w:pPr>
          </w:p>
          <w:p w14:paraId="7D4345C3" w14:textId="77777777" w:rsidR="00CE2DB3" w:rsidRPr="009450B0" w:rsidRDefault="00CE2DB3" w:rsidP="00CE2DB3">
            <w:pPr>
              <w:jc w:val="right"/>
              <w:rPr>
                <w:rFonts w:asciiTheme="minorHAnsi" w:hAnsiTheme="minorHAnsi" w:cstheme="minorHAnsi"/>
                <w:sz w:val="20"/>
                <w:szCs w:val="20"/>
                <w:lang w:val="en-GB"/>
              </w:rPr>
            </w:pPr>
            <w:r w:rsidRPr="009450B0">
              <w:rPr>
                <w:rFonts w:asciiTheme="minorHAnsi" w:hAnsiTheme="minorHAnsi" w:cstheme="minorHAnsi"/>
                <w:b/>
                <w:sz w:val="20"/>
                <w:szCs w:val="20"/>
                <w:lang w:val="en-GB"/>
              </w:rPr>
              <w:t>(10,439)</w:t>
            </w:r>
          </w:p>
        </w:tc>
      </w:tr>
      <w:tr w:rsidR="001F6E58" w:rsidRPr="009450B0" w14:paraId="6A63677C" w14:textId="77777777" w:rsidTr="00B949F6">
        <w:trPr>
          <w:trHeight w:val="278"/>
        </w:trPr>
        <w:tc>
          <w:tcPr>
            <w:tcW w:w="5951" w:type="dxa"/>
            <w:tcBorders>
              <w:top w:val="nil"/>
              <w:bottom w:val="nil"/>
            </w:tcBorders>
          </w:tcPr>
          <w:p w14:paraId="40995B2A" w14:textId="77777777" w:rsidR="001F6E58" w:rsidRPr="00A96D90" w:rsidRDefault="001F6E58" w:rsidP="00C07AC7">
            <w:pPr>
              <w:rPr>
                <w:rFonts w:asciiTheme="minorHAnsi" w:hAnsiTheme="minorHAnsi" w:cstheme="minorHAnsi"/>
                <w:color w:val="59595B"/>
                <w:sz w:val="20"/>
                <w:szCs w:val="20"/>
                <w:lang w:val="en-GB"/>
              </w:rPr>
            </w:pPr>
          </w:p>
        </w:tc>
        <w:tc>
          <w:tcPr>
            <w:tcW w:w="1611" w:type="dxa"/>
            <w:tcBorders>
              <w:top w:val="nil"/>
              <w:bottom w:val="nil"/>
            </w:tcBorders>
            <w:shd w:val="clear" w:color="auto" w:fill="F2F2F2" w:themeFill="background1" w:themeFillShade="F2"/>
          </w:tcPr>
          <w:p w14:paraId="564B2795" w14:textId="77777777" w:rsidR="001F6E58" w:rsidRPr="00A96D90" w:rsidRDefault="001F6E58" w:rsidP="00C07AC7">
            <w:pPr>
              <w:ind w:right="69"/>
              <w:jc w:val="right"/>
              <w:rPr>
                <w:rFonts w:asciiTheme="minorHAnsi" w:hAnsiTheme="minorHAnsi" w:cstheme="minorHAnsi"/>
                <w:color w:val="59595B"/>
                <w:sz w:val="20"/>
                <w:szCs w:val="20"/>
                <w:lang w:val="en-GB"/>
              </w:rPr>
            </w:pPr>
          </w:p>
        </w:tc>
        <w:tc>
          <w:tcPr>
            <w:tcW w:w="1608" w:type="dxa"/>
            <w:tcBorders>
              <w:top w:val="nil"/>
              <w:bottom w:val="nil"/>
            </w:tcBorders>
          </w:tcPr>
          <w:p w14:paraId="080ED5C4"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1DB95080" w14:textId="77777777" w:rsidTr="00B949F6">
        <w:trPr>
          <w:trHeight w:val="278"/>
        </w:trPr>
        <w:tc>
          <w:tcPr>
            <w:tcW w:w="5951" w:type="dxa"/>
            <w:tcBorders>
              <w:top w:val="nil"/>
              <w:bottom w:val="nil"/>
            </w:tcBorders>
          </w:tcPr>
          <w:p w14:paraId="0285E6C7" w14:textId="77777777" w:rsidR="001F6E58" w:rsidRPr="00A96D90" w:rsidRDefault="001F6E58" w:rsidP="00C07A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Currency translation differences</w:t>
            </w:r>
          </w:p>
        </w:tc>
        <w:tc>
          <w:tcPr>
            <w:tcW w:w="1611" w:type="dxa"/>
            <w:tcBorders>
              <w:top w:val="nil"/>
              <w:bottom w:val="nil"/>
            </w:tcBorders>
            <w:shd w:val="clear" w:color="auto" w:fill="F2F2F2" w:themeFill="background1" w:themeFillShade="F2"/>
          </w:tcPr>
          <w:p w14:paraId="65F314E4" w14:textId="77777777" w:rsidR="001F6E58" w:rsidRPr="00A96D90" w:rsidRDefault="001F6E58" w:rsidP="00C07AC7">
            <w:pPr>
              <w:ind w:right="69"/>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(482)</w:t>
            </w:r>
          </w:p>
        </w:tc>
        <w:tc>
          <w:tcPr>
            <w:tcW w:w="1608" w:type="dxa"/>
            <w:tcBorders>
              <w:top w:val="nil"/>
              <w:bottom w:val="nil"/>
            </w:tcBorders>
          </w:tcPr>
          <w:p w14:paraId="6662CEE9"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(2)</w:t>
            </w:r>
          </w:p>
        </w:tc>
      </w:tr>
      <w:tr w:rsidR="001F6E58" w:rsidRPr="009450B0" w14:paraId="44E27392" w14:textId="77777777" w:rsidTr="00B949F6">
        <w:trPr>
          <w:trHeight w:val="292"/>
        </w:trPr>
        <w:tc>
          <w:tcPr>
            <w:tcW w:w="5951" w:type="dxa"/>
            <w:tcBorders>
              <w:top w:val="nil"/>
              <w:bottom w:val="nil"/>
            </w:tcBorders>
          </w:tcPr>
          <w:p w14:paraId="6952084D" w14:textId="77777777" w:rsidR="001F6E58" w:rsidRPr="00A96D90" w:rsidRDefault="001F6E58" w:rsidP="00C07AC7">
            <w:pPr>
              <w:rPr>
                <w:rFonts w:asciiTheme="minorHAnsi" w:hAnsiTheme="minorHAnsi" w:cstheme="minorHAnsi"/>
                <w:color w:val="59595B"/>
                <w:sz w:val="20"/>
                <w:szCs w:val="20"/>
                <w:lang w:val="en-GB"/>
              </w:rPr>
            </w:pPr>
          </w:p>
        </w:tc>
        <w:tc>
          <w:tcPr>
            <w:tcW w:w="1611" w:type="dxa"/>
            <w:tcBorders>
              <w:top w:val="nil"/>
              <w:bottom w:val="nil"/>
            </w:tcBorders>
            <w:shd w:val="clear" w:color="auto" w:fill="F2F2F2" w:themeFill="background1" w:themeFillShade="F2"/>
          </w:tcPr>
          <w:p w14:paraId="0B156EF5" w14:textId="77777777" w:rsidR="001F6E58" w:rsidRPr="00A96D90" w:rsidRDefault="001F6E58" w:rsidP="00C07AC7">
            <w:pPr>
              <w:ind w:right="69"/>
              <w:jc w:val="right"/>
              <w:rPr>
                <w:rFonts w:asciiTheme="minorHAnsi" w:hAnsiTheme="minorHAnsi" w:cstheme="minorHAnsi"/>
                <w:color w:val="59595B"/>
                <w:sz w:val="20"/>
                <w:szCs w:val="20"/>
                <w:lang w:val="en-GB"/>
              </w:rPr>
            </w:pPr>
          </w:p>
        </w:tc>
        <w:tc>
          <w:tcPr>
            <w:tcW w:w="1608" w:type="dxa"/>
            <w:tcBorders>
              <w:top w:val="nil"/>
              <w:bottom w:val="nil"/>
            </w:tcBorders>
          </w:tcPr>
          <w:p w14:paraId="69B5A1E8"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23E7E308" w14:textId="77777777" w:rsidTr="00B949F6">
        <w:trPr>
          <w:trHeight w:val="278"/>
        </w:trPr>
        <w:tc>
          <w:tcPr>
            <w:tcW w:w="5951" w:type="dxa"/>
            <w:tcBorders>
              <w:top w:val="nil"/>
              <w:bottom w:val="nil"/>
            </w:tcBorders>
          </w:tcPr>
          <w:p w14:paraId="3E7877B0" w14:textId="77777777" w:rsidR="001F6E58" w:rsidRPr="00A96D90" w:rsidRDefault="001F6E58" w:rsidP="00C07A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Items that may b</w:t>
            </w:r>
            <w:r>
              <w:rPr>
                <w:rFonts w:asciiTheme="minorHAnsi" w:hAnsiTheme="minorHAnsi" w:cstheme="minorHAnsi"/>
                <w:b/>
                <w:color w:val="59595B"/>
                <w:sz w:val="20"/>
                <w:szCs w:val="20"/>
                <w:lang w:val="en-GB"/>
              </w:rPr>
              <w:t>e</w:t>
            </w:r>
            <w:r w:rsidRPr="00A96D90">
              <w:rPr>
                <w:rFonts w:asciiTheme="minorHAnsi" w:hAnsiTheme="minorHAnsi" w:cstheme="minorHAnsi"/>
                <w:b/>
                <w:color w:val="59595B"/>
                <w:sz w:val="20"/>
                <w:szCs w:val="20"/>
                <w:lang w:val="en-GB"/>
              </w:rPr>
              <w:t xml:space="preserve"> reclassified to profit or loss</w:t>
            </w:r>
          </w:p>
        </w:tc>
        <w:tc>
          <w:tcPr>
            <w:tcW w:w="1611" w:type="dxa"/>
            <w:tcBorders>
              <w:top w:val="nil"/>
              <w:bottom w:val="nil"/>
            </w:tcBorders>
            <w:shd w:val="clear" w:color="auto" w:fill="F2F2F2" w:themeFill="background1" w:themeFillShade="F2"/>
          </w:tcPr>
          <w:p w14:paraId="2E947800" w14:textId="77777777" w:rsidR="001F6E58" w:rsidRPr="00A96D90" w:rsidRDefault="001F6E58" w:rsidP="00C07AC7">
            <w:pPr>
              <w:ind w:right="69"/>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(482)</w:t>
            </w:r>
          </w:p>
        </w:tc>
        <w:tc>
          <w:tcPr>
            <w:tcW w:w="1608" w:type="dxa"/>
            <w:tcBorders>
              <w:top w:val="nil"/>
              <w:bottom w:val="nil"/>
            </w:tcBorders>
          </w:tcPr>
          <w:p w14:paraId="0BE7F16C"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(2)</w:t>
            </w:r>
          </w:p>
        </w:tc>
      </w:tr>
      <w:tr w:rsidR="001F6E58" w:rsidRPr="009450B0" w14:paraId="0F2808BA" w14:textId="77777777" w:rsidTr="00B949F6">
        <w:trPr>
          <w:trHeight w:val="278"/>
        </w:trPr>
        <w:tc>
          <w:tcPr>
            <w:tcW w:w="5951" w:type="dxa"/>
            <w:tcBorders>
              <w:top w:val="nil"/>
              <w:bottom w:val="nil"/>
            </w:tcBorders>
          </w:tcPr>
          <w:p w14:paraId="11FD7237" w14:textId="77777777" w:rsidR="001F6E58" w:rsidRPr="00A96D90" w:rsidRDefault="001F6E58" w:rsidP="00C07AC7">
            <w:pPr>
              <w:rPr>
                <w:rFonts w:asciiTheme="minorHAnsi" w:hAnsiTheme="minorHAnsi" w:cstheme="minorHAnsi"/>
                <w:b/>
                <w:color w:val="59595B"/>
                <w:sz w:val="20"/>
                <w:szCs w:val="20"/>
                <w:lang w:val="en-GB"/>
              </w:rPr>
            </w:pPr>
          </w:p>
        </w:tc>
        <w:tc>
          <w:tcPr>
            <w:tcW w:w="1611" w:type="dxa"/>
            <w:tcBorders>
              <w:top w:val="nil"/>
              <w:bottom w:val="nil"/>
            </w:tcBorders>
            <w:shd w:val="clear" w:color="auto" w:fill="F2F2F2" w:themeFill="background1" w:themeFillShade="F2"/>
          </w:tcPr>
          <w:p w14:paraId="43136652" w14:textId="77777777" w:rsidR="001F6E58" w:rsidRPr="00A96D90" w:rsidRDefault="001F6E58" w:rsidP="00C07AC7">
            <w:pPr>
              <w:ind w:right="69"/>
              <w:jc w:val="right"/>
              <w:rPr>
                <w:rFonts w:asciiTheme="minorHAnsi" w:hAnsiTheme="minorHAnsi" w:cstheme="minorHAnsi"/>
                <w:color w:val="59595B"/>
                <w:sz w:val="20"/>
                <w:szCs w:val="20"/>
                <w:lang w:val="en-GB"/>
              </w:rPr>
            </w:pPr>
          </w:p>
        </w:tc>
        <w:tc>
          <w:tcPr>
            <w:tcW w:w="1608" w:type="dxa"/>
            <w:tcBorders>
              <w:top w:val="nil"/>
              <w:bottom w:val="nil"/>
            </w:tcBorders>
          </w:tcPr>
          <w:p w14:paraId="45B9B6E2"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14859ECE" w14:textId="77777777" w:rsidTr="00B949F6">
        <w:trPr>
          <w:trHeight w:val="292"/>
        </w:trPr>
        <w:tc>
          <w:tcPr>
            <w:tcW w:w="5951" w:type="dxa"/>
            <w:tcBorders>
              <w:top w:val="nil"/>
              <w:bottom w:val="nil"/>
            </w:tcBorders>
          </w:tcPr>
          <w:p w14:paraId="0DE371C2" w14:textId="77777777" w:rsidR="001F6E58" w:rsidRPr="00A96D90" w:rsidRDefault="001F6E58" w:rsidP="00C07A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comprehensive income, net of tax</w:t>
            </w:r>
          </w:p>
        </w:tc>
        <w:tc>
          <w:tcPr>
            <w:tcW w:w="1611" w:type="dxa"/>
            <w:tcBorders>
              <w:top w:val="nil"/>
              <w:bottom w:val="nil"/>
            </w:tcBorders>
            <w:shd w:val="clear" w:color="auto" w:fill="F2F2F2" w:themeFill="background1" w:themeFillShade="F2"/>
          </w:tcPr>
          <w:p w14:paraId="698FE891" w14:textId="77777777" w:rsidR="001F6E58" w:rsidRPr="00A96D90" w:rsidRDefault="001F6E58" w:rsidP="00C07AC7">
            <w:pPr>
              <w:ind w:right="69"/>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(482)</w:t>
            </w:r>
          </w:p>
        </w:tc>
        <w:tc>
          <w:tcPr>
            <w:tcW w:w="1608" w:type="dxa"/>
            <w:tcBorders>
              <w:top w:val="nil"/>
              <w:bottom w:val="nil"/>
            </w:tcBorders>
          </w:tcPr>
          <w:p w14:paraId="54E5A7F2"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(2)</w:t>
            </w:r>
          </w:p>
        </w:tc>
      </w:tr>
      <w:tr w:rsidR="001F6E58" w:rsidRPr="009450B0" w14:paraId="144AAE17" w14:textId="77777777" w:rsidTr="00B949F6">
        <w:trPr>
          <w:trHeight w:val="278"/>
        </w:trPr>
        <w:tc>
          <w:tcPr>
            <w:tcW w:w="5951" w:type="dxa"/>
            <w:tcBorders>
              <w:top w:val="nil"/>
              <w:bottom w:val="nil"/>
            </w:tcBorders>
          </w:tcPr>
          <w:p w14:paraId="6529FF81" w14:textId="77777777" w:rsidR="001F6E58" w:rsidRPr="00A96D90" w:rsidRDefault="001F6E58" w:rsidP="00C07AC7">
            <w:pPr>
              <w:rPr>
                <w:rFonts w:asciiTheme="minorHAnsi" w:hAnsiTheme="minorHAnsi" w:cstheme="minorHAnsi"/>
                <w:b/>
                <w:color w:val="59595B"/>
                <w:sz w:val="20"/>
                <w:szCs w:val="20"/>
                <w:lang w:val="en-GB"/>
              </w:rPr>
            </w:pPr>
          </w:p>
        </w:tc>
        <w:tc>
          <w:tcPr>
            <w:tcW w:w="1611" w:type="dxa"/>
            <w:tcBorders>
              <w:top w:val="nil"/>
              <w:bottom w:val="nil"/>
            </w:tcBorders>
            <w:shd w:val="clear" w:color="auto" w:fill="F2F2F2" w:themeFill="background1" w:themeFillShade="F2"/>
          </w:tcPr>
          <w:p w14:paraId="173BDA52" w14:textId="77777777" w:rsidR="001F6E58" w:rsidRPr="00A96D90" w:rsidRDefault="001F6E58" w:rsidP="00C07AC7">
            <w:pPr>
              <w:ind w:right="69"/>
              <w:jc w:val="right"/>
              <w:rPr>
                <w:rFonts w:asciiTheme="minorHAnsi" w:hAnsiTheme="minorHAnsi" w:cstheme="minorHAnsi"/>
                <w:b/>
                <w:color w:val="59595B"/>
                <w:sz w:val="20"/>
                <w:szCs w:val="20"/>
                <w:lang w:val="en-GB"/>
              </w:rPr>
            </w:pPr>
          </w:p>
        </w:tc>
        <w:tc>
          <w:tcPr>
            <w:tcW w:w="1608" w:type="dxa"/>
            <w:tcBorders>
              <w:top w:val="nil"/>
              <w:bottom w:val="nil"/>
            </w:tcBorders>
          </w:tcPr>
          <w:p w14:paraId="408BA8A1" w14:textId="77777777" w:rsidR="001F6E58" w:rsidRPr="009450B0" w:rsidRDefault="001F6E58" w:rsidP="00C07AC7">
            <w:pPr>
              <w:jc w:val="right"/>
              <w:rPr>
                <w:rFonts w:asciiTheme="minorHAnsi" w:hAnsiTheme="minorHAnsi" w:cstheme="minorHAnsi"/>
                <w:b/>
                <w:sz w:val="20"/>
                <w:szCs w:val="20"/>
                <w:lang w:val="en-GB"/>
              </w:rPr>
            </w:pPr>
          </w:p>
        </w:tc>
      </w:tr>
      <w:tr w:rsidR="001F6E58" w:rsidRPr="009450B0" w14:paraId="772B255E" w14:textId="77777777" w:rsidTr="00B949F6">
        <w:trPr>
          <w:trHeight w:val="278"/>
        </w:trPr>
        <w:tc>
          <w:tcPr>
            <w:tcW w:w="5951" w:type="dxa"/>
            <w:tcBorders>
              <w:top w:val="nil"/>
              <w:bottom w:val="nil"/>
            </w:tcBorders>
          </w:tcPr>
          <w:p w14:paraId="100556E4" w14:textId="77777777" w:rsidR="001F6E58" w:rsidRPr="00A96D90" w:rsidRDefault="001F6E58" w:rsidP="00C07A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Total comprehensive income for the period</w:t>
            </w:r>
          </w:p>
        </w:tc>
        <w:tc>
          <w:tcPr>
            <w:tcW w:w="1611" w:type="dxa"/>
            <w:tcBorders>
              <w:top w:val="nil"/>
              <w:bottom w:val="nil"/>
            </w:tcBorders>
            <w:shd w:val="clear" w:color="auto" w:fill="F2F2F2" w:themeFill="background1" w:themeFillShade="F2"/>
          </w:tcPr>
          <w:p w14:paraId="37E31496" w14:textId="6D4BA4B1" w:rsidR="001F6E58" w:rsidRPr="00A96D90" w:rsidRDefault="001F6E58" w:rsidP="00C07AC7">
            <w:pPr>
              <w:ind w:right="69"/>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r w:rsidR="00CE2DB3">
              <w:rPr>
                <w:rFonts w:asciiTheme="minorHAnsi" w:hAnsiTheme="minorHAnsi" w:cstheme="minorHAnsi"/>
                <w:b/>
                <w:color w:val="59595B"/>
                <w:sz w:val="20"/>
                <w:szCs w:val="20"/>
                <w:lang w:val="en-GB"/>
              </w:rPr>
              <w:t>38,191</w:t>
            </w:r>
            <w:r>
              <w:rPr>
                <w:rFonts w:asciiTheme="minorHAnsi" w:hAnsiTheme="minorHAnsi" w:cstheme="minorHAnsi"/>
                <w:b/>
                <w:color w:val="59595B"/>
                <w:sz w:val="20"/>
                <w:szCs w:val="20"/>
                <w:lang w:val="en-GB"/>
              </w:rPr>
              <w:t>)</w:t>
            </w:r>
          </w:p>
        </w:tc>
        <w:tc>
          <w:tcPr>
            <w:tcW w:w="1608" w:type="dxa"/>
            <w:tcBorders>
              <w:top w:val="nil"/>
              <w:bottom w:val="nil"/>
            </w:tcBorders>
          </w:tcPr>
          <w:p w14:paraId="28E8C161" w14:textId="77777777" w:rsidR="001F6E58" w:rsidRPr="009450B0" w:rsidRDefault="001F6E58" w:rsidP="00C07AC7">
            <w:pPr>
              <w:jc w:val="right"/>
              <w:rPr>
                <w:rFonts w:asciiTheme="minorHAnsi" w:hAnsiTheme="minorHAnsi" w:cstheme="minorHAnsi"/>
                <w:b/>
                <w:sz w:val="20"/>
                <w:szCs w:val="20"/>
                <w:lang w:val="en-GB"/>
              </w:rPr>
            </w:pPr>
            <w:r w:rsidRPr="009450B0">
              <w:rPr>
                <w:rFonts w:asciiTheme="minorHAnsi" w:hAnsiTheme="minorHAnsi" w:cstheme="minorHAnsi"/>
                <w:b/>
                <w:sz w:val="20"/>
                <w:szCs w:val="20"/>
                <w:lang w:val="en-GB"/>
              </w:rPr>
              <w:t>(10,441)</w:t>
            </w:r>
          </w:p>
        </w:tc>
      </w:tr>
      <w:tr w:rsidR="001F6E58" w:rsidRPr="009450B0" w14:paraId="0A7FAC39" w14:textId="77777777" w:rsidTr="00B949F6">
        <w:trPr>
          <w:trHeight w:val="292"/>
        </w:trPr>
        <w:tc>
          <w:tcPr>
            <w:tcW w:w="5951" w:type="dxa"/>
            <w:tcBorders>
              <w:top w:val="nil"/>
              <w:bottom w:val="nil"/>
            </w:tcBorders>
          </w:tcPr>
          <w:p w14:paraId="4D4585DA" w14:textId="77777777" w:rsidR="001F6E58" w:rsidRPr="00A96D90" w:rsidRDefault="001F6E58" w:rsidP="00C07AC7">
            <w:pPr>
              <w:rPr>
                <w:rFonts w:asciiTheme="minorHAnsi" w:hAnsiTheme="minorHAnsi" w:cstheme="minorHAnsi"/>
                <w:b/>
                <w:color w:val="59595B"/>
                <w:sz w:val="20"/>
                <w:szCs w:val="20"/>
                <w:lang w:val="en-GB"/>
              </w:rPr>
            </w:pPr>
          </w:p>
        </w:tc>
        <w:tc>
          <w:tcPr>
            <w:tcW w:w="1611" w:type="dxa"/>
            <w:tcBorders>
              <w:top w:val="nil"/>
              <w:bottom w:val="nil"/>
            </w:tcBorders>
            <w:shd w:val="clear" w:color="auto" w:fill="F2F2F2" w:themeFill="background1" w:themeFillShade="F2"/>
          </w:tcPr>
          <w:p w14:paraId="7F2CDC06" w14:textId="77777777" w:rsidR="001F6E58" w:rsidRPr="00A96D90" w:rsidRDefault="001F6E58" w:rsidP="00C07AC7">
            <w:pPr>
              <w:ind w:right="69"/>
              <w:jc w:val="right"/>
              <w:rPr>
                <w:rFonts w:asciiTheme="minorHAnsi" w:hAnsiTheme="minorHAnsi" w:cstheme="minorHAnsi"/>
                <w:color w:val="59595B"/>
                <w:sz w:val="20"/>
                <w:szCs w:val="20"/>
                <w:lang w:val="en-GB"/>
              </w:rPr>
            </w:pPr>
          </w:p>
        </w:tc>
        <w:tc>
          <w:tcPr>
            <w:tcW w:w="1608" w:type="dxa"/>
            <w:tcBorders>
              <w:top w:val="nil"/>
              <w:bottom w:val="nil"/>
            </w:tcBorders>
          </w:tcPr>
          <w:p w14:paraId="1DC55658" w14:textId="77777777" w:rsidR="001F6E58" w:rsidRPr="009450B0" w:rsidRDefault="001F6E58" w:rsidP="00C07AC7">
            <w:pPr>
              <w:jc w:val="right"/>
              <w:rPr>
                <w:rFonts w:asciiTheme="minorHAnsi" w:hAnsiTheme="minorHAnsi" w:cstheme="minorHAnsi"/>
                <w:sz w:val="20"/>
                <w:szCs w:val="20"/>
                <w:lang w:val="en-GB"/>
              </w:rPr>
            </w:pPr>
          </w:p>
        </w:tc>
      </w:tr>
      <w:tr w:rsidR="001F6E58" w:rsidRPr="009450B0" w14:paraId="43A5526E" w14:textId="77777777" w:rsidTr="00B949F6">
        <w:trPr>
          <w:trHeight w:val="278"/>
        </w:trPr>
        <w:tc>
          <w:tcPr>
            <w:tcW w:w="5951" w:type="dxa"/>
            <w:tcBorders>
              <w:top w:val="nil"/>
              <w:bottom w:val="single" w:sz="4" w:space="0" w:color="BFBFBF" w:themeColor="background1" w:themeShade="BF"/>
            </w:tcBorders>
          </w:tcPr>
          <w:p w14:paraId="5EFEAA26" w14:textId="77777777" w:rsidR="001F6E58" w:rsidRPr="00A96D90" w:rsidRDefault="001F6E58" w:rsidP="00C07A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611" w:type="dxa"/>
            <w:tcBorders>
              <w:top w:val="nil"/>
              <w:bottom w:val="single" w:sz="4" w:space="0" w:color="BFBFBF" w:themeColor="background1" w:themeShade="BF"/>
            </w:tcBorders>
            <w:shd w:val="clear" w:color="auto" w:fill="F2F2F2" w:themeFill="background1" w:themeFillShade="F2"/>
          </w:tcPr>
          <w:p w14:paraId="6AD24A6B" w14:textId="77777777" w:rsidR="001F6E58" w:rsidRPr="00A96D90" w:rsidRDefault="001F6E58" w:rsidP="00C07AC7">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608" w:type="dxa"/>
            <w:tcBorders>
              <w:top w:val="nil"/>
              <w:bottom w:val="single" w:sz="4" w:space="0" w:color="BFBFBF" w:themeColor="background1" w:themeShade="BF"/>
            </w:tcBorders>
          </w:tcPr>
          <w:p w14:paraId="198D8B34" w14:textId="77777777" w:rsidR="001F6E58" w:rsidRPr="009450B0" w:rsidRDefault="001F6E58" w:rsidP="00C07AC7">
            <w:pPr>
              <w:tabs>
                <w:tab w:val="left" w:pos="3686"/>
                <w:tab w:val="right" w:pos="7200"/>
                <w:tab w:val="right" w:pos="8820"/>
              </w:tabs>
              <w:autoSpaceDE w:val="0"/>
              <w:autoSpaceDN w:val="0"/>
              <w:adjustRightInd w:val="0"/>
              <w:jc w:val="right"/>
              <w:rPr>
                <w:rFonts w:asciiTheme="minorHAnsi" w:hAnsiTheme="minorHAnsi" w:cstheme="minorHAnsi"/>
                <w:sz w:val="20"/>
                <w:szCs w:val="20"/>
                <w:lang w:val="en-GB"/>
              </w:rPr>
            </w:pPr>
          </w:p>
        </w:tc>
      </w:tr>
      <w:tr w:rsidR="001F6E58" w:rsidRPr="009450B0" w14:paraId="5C5094EA" w14:textId="77777777" w:rsidTr="00B949F6">
        <w:trPr>
          <w:trHeight w:val="278"/>
        </w:trPr>
        <w:tc>
          <w:tcPr>
            <w:tcW w:w="5951" w:type="dxa"/>
            <w:tcBorders>
              <w:bottom w:val="single" w:sz="4" w:space="0" w:color="BFBFBF"/>
            </w:tcBorders>
          </w:tcPr>
          <w:p w14:paraId="385815FC" w14:textId="77777777" w:rsidR="001F6E58" w:rsidRPr="00A96D90" w:rsidRDefault="001F6E58" w:rsidP="00C07A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1611" w:type="dxa"/>
            <w:tcBorders>
              <w:bottom w:val="single" w:sz="4" w:space="0" w:color="BFBFBF"/>
            </w:tcBorders>
            <w:shd w:val="clear" w:color="auto" w:fill="F2F2F2" w:themeFill="background1" w:themeFillShade="F2"/>
          </w:tcPr>
          <w:p w14:paraId="26503E17" w14:textId="610E4F53" w:rsidR="001F6E58" w:rsidRPr="00A96D90" w:rsidRDefault="001F6E58" w:rsidP="00C07AC7">
            <w:pPr>
              <w:ind w:right="69"/>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w:t>
            </w:r>
            <w:r w:rsidR="00CE2DB3">
              <w:rPr>
                <w:rFonts w:asciiTheme="minorHAnsi" w:hAnsiTheme="minorHAnsi" w:cstheme="minorHAnsi"/>
                <w:color w:val="59595B"/>
                <w:sz w:val="20"/>
                <w:szCs w:val="20"/>
                <w:lang w:val="en-GB"/>
              </w:rPr>
              <w:t>38,191</w:t>
            </w:r>
            <w:r>
              <w:rPr>
                <w:rFonts w:asciiTheme="minorHAnsi" w:hAnsiTheme="minorHAnsi" w:cstheme="minorHAnsi"/>
                <w:color w:val="59595B"/>
                <w:sz w:val="20"/>
                <w:szCs w:val="20"/>
                <w:lang w:val="en-GB"/>
              </w:rPr>
              <w:t>)</w:t>
            </w:r>
          </w:p>
        </w:tc>
        <w:tc>
          <w:tcPr>
            <w:tcW w:w="1608" w:type="dxa"/>
            <w:tcBorders>
              <w:top w:val="single" w:sz="4" w:space="0" w:color="BFBFBF" w:themeColor="background1" w:themeShade="BF"/>
              <w:bottom w:val="single" w:sz="4" w:space="0" w:color="BFBFBF"/>
            </w:tcBorders>
          </w:tcPr>
          <w:p w14:paraId="6AA7F80A" w14:textId="77777777" w:rsidR="001F6E58" w:rsidRPr="009450B0" w:rsidRDefault="001F6E58" w:rsidP="00C07AC7">
            <w:pPr>
              <w:jc w:val="right"/>
              <w:rPr>
                <w:rFonts w:asciiTheme="minorHAnsi" w:hAnsiTheme="minorHAnsi" w:cstheme="minorHAnsi"/>
                <w:sz w:val="20"/>
                <w:szCs w:val="20"/>
                <w:lang w:val="en-GB"/>
              </w:rPr>
            </w:pPr>
            <w:r w:rsidRPr="009450B0">
              <w:rPr>
                <w:rFonts w:asciiTheme="minorHAnsi" w:hAnsiTheme="minorHAnsi" w:cstheme="minorHAnsi"/>
                <w:sz w:val="20"/>
                <w:szCs w:val="20"/>
                <w:lang w:val="en-GB"/>
              </w:rPr>
              <w:t>(10,441)</w:t>
            </w:r>
          </w:p>
        </w:tc>
      </w:tr>
    </w:tbl>
    <w:p w14:paraId="1A6DC8ED" w14:textId="77777777" w:rsidR="00C07AC7" w:rsidRPr="00A96D90" w:rsidRDefault="00C07AC7" w:rsidP="00C07AC7">
      <w:pPr>
        <w:rPr>
          <w:rFonts w:ascii="Calibri" w:hAnsi="Calibri" w:cstheme="minorHAnsi"/>
          <w:szCs w:val="22"/>
          <w:lang w:val="en-GB"/>
        </w:rPr>
      </w:pPr>
    </w:p>
    <w:p w14:paraId="00C1DF81" w14:textId="77777777" w:rsidR="00C07AC7" w:rsidRPr="00A96D90" w:rsidRDefault="00C07AC7" w:rsidP="00C07AC7">
      <w:pPr>
        <w:rPr>
          <w:rFonts w:ascii="Calibri" w:hAnsi="Calibri" w:cstheme="minorHAnsi"/>
          <w:szCs w:val="22"/>
          <w:lang w:val="en-GB"/>
        </w:rPr>
      </w:pPr>
    </w:p>
    <w:p w14:paraId="28A7FC35" w14:textId="77777777" w:rsidR="00C07AC7" w:rsidRPr="00A96D90" w:rsidRDefault="00C07AC7" w:rsidP="00C07AC7">
      <w:pPr>
        <w:jc w:val="left"/>
        <w:rPr>
          <w:rFonts w:ascii="Calibri" w:hAnsi="Calibri" w:cstheme="minorHAnsi"/>
          <w:b/>
          <w:color w:val="276E8B" w:themeColor="accent1" w:themeShade="BF"/>
          <w:szCs w:val="22"/>
          <w:lang w:val="en-GB"/>
        </w:rPr>
      </w:pPr>
      <w:r w:rsidRPr="00A96D90">
        <w:rPr>
          <w:rFonts w:ascii="Calibri" w:hAnsi="Calibri" w:cstheme="minorHAnsi"/>
          <w:b/>
          <w:color w:val="276E8B" w:themeColor="accent1" w:themeShade="BF"/>
          <w:szCs w:val="22"/>
          <w:lang w:val="en-GB"/>
        </w:rPr>
        <w:br w:type="page"/>
      </w:r>
    </w:p>
    <w:p w14:paraId="4F833467" w14:textId="77777777" w:rsidR="00C07AC7" w:rsidRPr="00A96D90" w:rsidRDefault="00C07AC7" w:rsidP="00C07AC7">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777E2CC4" w14:textId="77777777" w:rsidR="00C07AC7" w:rsidRPr="00A96D90" w:rsidRDefault="00C07AC7" w:rsidP="00C07AC7">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3E885F87" w14:textId="77777777" w:rsidR="00C07AC7" w:rsidRPr="00A96D90" w:rsidRDefault="00C07AC7" w:rsidP="00C07AC7">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9158"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76"/>
        <w:gridCol w:w="1747"/>
        <w:gridCol w:w="1635"/>
      </w:tblGrid>
      <w:tr w:rsidR="001F6E58" w:rsidRPr="00A96D90" w14:paraId="6951BDB8" w14:textId="77777777" w:rsidTr="00370792">
        <w:trPr>
          <w:trHeight w:val="524"/>
          <w:jc w:val="center"/>
        </w:trPr>
        <w:tc>
          <w:tcPr>
            <w:tcW w:w="5776" w:type="dxa"/>
            <w:tcBorders>
              <w:bottom w:val="single" w:sz="4" w:space="0" w:color="BFBFBF" w:themeColor="background1" w:themeShade="BF"/>
            </w:tcBorders>
            <w:shd w:val="clear" w:color="auto" w:fill="auto"/>
          </w:tcPr>
          <w:p w14:paraId="10C58F7E"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Amounts in €’000</w:t>
            </w:r>
          </w:p>
          <w:p w14:paraId="061E9943"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i/>
                <w:color w:val="00679B"/>
                <w:sz w:val="20"/>
                <w:szCs w:val="20"/>
                <w:lang w:val="en-GB"/>
              </w:rPr>
            </w:pPr>
          </w:p>
        </w:tc>
        <w:tc>
          <w:tcPr>
            <w:tcW w:w="1747" w:type="dxa"/>
            <w:tcBorders>
              <w:bottom w:val="single" w:sz="4" w:space="0" w:color="BFBFBF" w:themeColor="background1" w:themeShade="BF"/>
            </w:tcBorders>
            <w:shd w:val="clear" w:color="auto" w:fill="F2F2F2" w:themeFill="background1" w:themeFillShade="F2"/>
          </w:tcPr>
          <w:p w14:paraId="5EEA5390"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 xml:space="preserve">30 </w:t>
            </w:r>
            <w:r>
              <w:rPr>
                <w:rFonts w:asciiTheme="minorHAnsi" w:hAnsiTheme="minorHAnsi" w:cs="Arial"/>
                <w:b/>
                <w:bCs/>
                <w:color w:val="00679B"/>
                <w:sz w:val="20"/>
                <w:szCs w:val="20"/>
                <w:lang w:val="en-GB"/>
              </w:rPr>
              <w:t>Sept</w:t>
            </w:r>
          </w:p>
          <w:p w14:paraId="5E94AC4E"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2017</w:t>
            </w:r>
          </w:p>
        </w:tc>
        <w:tc>
          <w:tcPr>
            <w:tcW w:w="1635" w:type="dxa"/>
            <w:tcBorders>
              <w:bottom w:val="single" w:sz="4" w:space="0" w:color="BFBFBF" w:themeColor="background1" w:themeShade="BF"/>
            </w:tcBorders>
            <w:shd w:val="clear" w:color="auto" w:fill="auto"/>
          </w:tcPr>
          <w:p w14:paraId="01DC6C05"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31 Dec</w:t>
            </w:r>
          </w:p>
          <w:p w14:paraId="0028B9A3"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2016</w:t>
            </w:r>
          </w:p>
        </w:tc>
      </w:tr>
      <w:tr w:rsidR="001F6E58" w:rsidRPr="00A96D90" w14:paraId="7E593CEA" w14:textId="77777777" w:rsidTr="00370792">
        <w:trPr>
          <w:trHeight w:val="255"/>
          <w:jc w:val="center"/>
        </w:trPr>
        <w:tc>
          <w:tcPr>
            <w:tcW w:w="5776" w:type="dxa"/>
            <w:tcBorders>
              <w:bottom w:val="nil"/>
            </w:tcBorders>
          </w:tcPr>
          <w:p w14:paraId="7FE82B8F"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747" w:type="dxa"/>
            <w:tcBorders>
              <w:bottom w:val="nil"/>
            </w:tcBorders>
            <w:shd w:val="clear" w:color="auto" w:fill="F2F2F2" w:themeFill="background1" w:themeFillShade="F2"/>
          </w:tcPr>
          <w:p w14:paraId="08DC067D"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bottom w:val="nil"/>
            </w:tcBorders>
          </w:tcPr>
          <w:p w14:paraId="7CF49AF7"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9450B0" w:rsidRPr="009450B0" w14:paraId="3168F8C2" w14:textId="77777777" w:rsidTr="00370792">
        <w:trPr>
          <w:trHeight w:val="255"/>
          <w:jc w:val="center"/>
        </w:trPr>
        <w:tc>
          <w:tcPr>
            <w:tcW w:w="5776" w:type="dxa"/>
            <w:tcBorders>
              <w:top w:val="nil"/>
              <w:bottom w:val="nil"/>
            </w:tcBorders>
          </w:tcPr>
          <w:p w14:paraId="4082E5D4"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747" w:type="dxa"/>
            <w:tcBorders>
              <w:top w:val="nil"/>
              <w:bottom w:val="nil"/>
            </w:tcBorders>
            <w:shd w:val="clear" w:color="auto" w:fill="F2F2F2" w:themeFill="background1" w:themeFillShade="F2"/>
          </w:tcPr>
          <w:p w14:paraId="78B7C390"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56,735</w:t>
            </w:r>
          </w:p>
        </w:tc>
        <w:tc>
          <w:tcPr>
            <w:tcW w:w="1635" w:type="dxa"/>
            <w:tcBorders>
              <w:top w:val="nil"/>
              <w:bottom w:val="nil"/>
            </w:tcBorders>
          </w:tcPr>
          <w:p w14:paraId="08E498E8"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56,680</w:t>
            </w:r>
          </w:p>
        </w:tc>
      </w:tr>
      <w:tr w:rsidR="009450B0" w:rsidRPr="009450B0" w14:paraId="6534131E" w14:textId="77777777" w:rsidTr="00370792">
        <w:trPr>
          <w:trHeight w:val="255"/>
          <w:jc w:val="center"/>
        </w:trPr>
        <w:tc>
          <w:tcPr>
            <w:tcW w:w="5776" w:type="dxa"/>
            <w:tcBorders>
              <w:top w:val="nil"/>
              <w:bottom w:val="nil"/>
            </w:tcBorders>
          </w:tcPr>
          <w:p w14:paraId="231BFA8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747" w:type="dxa"/>
            <w:tcBorders>
              <w:top w:val="nil"/>
              <w:bottom w:val="nil"/>
            </w:tcBorders>
            <w:shd w:val="clear" w:color="auto" w:fill="F2F2F2" w:themeFill="background1" w:themeFillShade="F2"/>
          </w:tcPr>
          <w:p w14:paraId="0365DA0B"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7,815</w:t>
            </w:r>
          </w:p>
        </w:tc>
        <w:tc>
          <w:tcPr>
            <w:tcW w:w="1635" w:type="dxa"/>
            <w:tcBorders>
              <w:top w:val="nil"/>
              <w:bottom w:val="nil"/>
            </w:tcBorders>
          </w:tcPr>
          <w:p w14:paraId="13CE8E9F"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6,043</w:t>
            </w:r>
          </w:p>
        </w:tc>
      </w:tr>
      <w:tr w:rsidR="009450B0" w:rsidRPr="009450B0" w14:paraId="7294B66A" w14:textId="77777777" w:rsidTr="00370792">
        <w:trPr>
          <w:trHeight w:val="268"/>
          <w:jc w:val="center"/>
        </w:trPr>
        <w:tc>
          <w:tcPr>
            <w:tcW w:w="5776" w:type="dxa"/>
            <w:tcBorders>
              <w:top w:val="nil"/>
              <w:bottom w:val="nil"/>
            </w:tcBorders>
          </w:tcPr>
          <w:p w14:paraId="19CE59D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1747" w:type="dxa"/>
            <w:tcBorders>
              <w:top w:val="nil"/>
              <w:bottom w:val="nil"/>
            </w:tcBorders>
            <w:shd w:val="clear" w:color="auto" w:fill="F2F2F2" w:themeFill="background1" w:themeFillShade="F2"/>
          </w:tcPr>
          <w:p w14:paraId="1C585A54"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1,500</w:t>
            </w:r>
          </w:p>
        </w:tc>
        <w:tc>
          <w:tcPr>
            <w:tcW w:w="1635" w:type="dxa"/>
            <w:tcBorders>
              <w:top w:val="nil"/>
              <w:bottom w:val="nil"/>
            </w:tcBorders>
          </w:tcPr>
          <w:p w14:paraId="598428DA"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Cs/>
                <w:sz w:val="20"/>
                <w:szCs w:val="20"/>
                <w:lang w:val="en-GB"/>
              </w:rPr>
              <w:t>1,622</w:t>
            </w:r>
          </w:p>
        </w:tc>
      </w:tr>
      <w:tr w:rsidR="009450B0" w:rsidRPr="009450B0" w14:paraId="0845A273" w14:textId="77777777" w:rsidTr="00370792">
        <w:trPr>
          <w:trHeight w:val="255"/>
          <w:jc w:val="center"/>
        </w:trPr>
        <w:tc>
          <w:tcPr>
            <w:tcW w:w="5776" w:type="dxa"/>
            <w:tcBorders>
              <w:top w:val="nil"/>
              <w:bottom w:val="nil"/>
            </w:tcBorders>
          </w:tcPr>
          <w:p w14:paraId="4E270774"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747" w:type="dxa"/>
            <w:tcBorders>
              <w:top w:val="nil"/>
              <w:bottom w:val="nil"/>
            </w:tcBorders>
            <w:shd w:val="clear" w:color="auto" w:fill="F2F2F2" w:themeFill="background1" w:themeFillShade="F2"/>
          </w:tcPr>
          <w:p w14:paraId="4A55CC39"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248</w:t>
            </w:r>
          </w:p>
        </w:tc>
        <w:tc>
          <w:tcPr>
            <w:tcW w:w="1635" w:type="dxa"/>
            <w:tcBorders>
              <w:top w:val="nil"/>
              <w:bottom w:val="nil"/>
            </w:tcBorders>
          </w:tcPr>
          <w:p w14:paraId="0A9B0B4C"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248</w:t>
            </w:r>
          </w:p>
        </w:tc>
      </w:tr>
      <w:tr w:rsidR="009450B0" w:rsidRPr="009450B0" w14:paraId="582AC21F" w14:textId="77777777" w:rsidTr="00370792">
        <w:trPr>
          <w:trHeight w:val="255"/>
          <w:jc w:val="center"/>
        </w:trPr>
        <w:tc>
          <w:tcPr>
            <w:tcW w:w="5776" w:type="dxa"/>
            <w:tcBorders>
              <w:top w:val="nil"/>
              <w:bottom w:val="nil"/>
            </w:tcBorders>
          </w:tcPr>
          <w:p w14:paraId="7275CAE6"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747" w:type="dxa"/>
            <w:tcBorders>
              <w:top w:val="nil"/>
              <w:bottom w:val="nil"/>
            </w:tcBorders>
            <w:shd w:val="clear" w:color="auto" w:fill="F2F2F2" w:themeFill="background1" w:themeFillShade="F2"/>
          </w:tcPr>
          <w:p w14:paraId="2BF5D171"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lang w:val="en-GB"/>
              </w:rPr>
              <w:t>66,298</w:t>
            </w:r>
          </w:p>
        </w:tc>
        <w:tc>
          <w:tcPr>
            <w:tcW w:w="1635" w:type="dxa"/>
            <w:tcBorders>
              <w:top w:val="nil"/>
              <w:bottom w:val="nil"/>
            </w:tcBorders>
          </w:tcPr>
          <w:p w14:paraId="4CD6D654"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szCs w:val="20"/>
                <w:lang w:val="en-GB"/>
              </w:rPr>
              <w:t>64,593</w:t>
            </w:r>
          </w:p>
        </w:tc>
      </w:tr>
      <w:tr w:rsidR="009450B0" w:rsidRPr="009450B0" w14:paraId="42B1CA21" w14:textId="77777777" w:rsidTr="00370792">
        <w:trPr>
          <w:trHeight w:val="268"/>
          <w:jc w:val="center"/>
        </w:trPr>
        <w:tc>
          <w:tcPr>
            <w:tcW w:w="5776" w:type="dxa"/>
            <w:tcBorders>
              <w:top w:val="nil"/>
              <w:bottom w:val="nil"/>
            </w:tcBorders>
          </w:tcPr>
          <w:p w14:paraId="7B6602FD"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top w:val="nil"/>
              <w:bottom w:val="nil"/>
            </w:tcBorders>
            <w:shd w:val="clear" w:color="auto" w:fill="F2F2F2" w:themeFill="background1" w:themeFillShade="F2"/>
          </w:tcPr>
          <w:p w14:paraId="138D9B0D"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top w:val="nil"/>
              <w:bottom w:val="nil"/>
            </w:tcBorders>
          </w:tcPr>
          <w:p w14:paraId="2594839E"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2F7412D5" w14:textId="77777777" w:rsidTr="00370792">
        <w:trPr>
          <w:trHeight w:val="255"/>
          <w:jc w:val="center"/>
        </w:trPr>
        <w:tc>
          <w:tcPr>
            <w:tcW w:w="5776" w:type="dxa"/>
            <w:tcBorders>
              <w:top w:val="nil"/>
              <w:bottom w:val="nil"/>
            </w:tcBorders>
          </w:tcPr>
          <w:p w14:paraId="39A43EE9"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747" w:type="dxa"/>
            <w:tcBorders>
              <w:top w:val="nil"/>
              <w:bottom w:val="nil"/>
            </w:tcBorders>
            <w:shd w:val="clear" w:color="auto" w:fill="F2F2F2" w:themeFill="background1" w:themeFillShade="F2"/>
          </w:tcPr>
          <w:p w14:paraId="6D0E5233" w14:textId="5BC7CFC6" w:rsidR="001F6E58" w:rsidRPr="00A96D90" w:rsidRDefault="00CE2DB3"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17,995</w:t>
            </w:r>
          </w:p>
        </w:tc>
        <w:tc>
          <w:tcPr>
            <w:tcW w:w="1635" w:type="dxa"/>
            <w:tcBorders>
              <w:top w:val="nil"/>
              <w:bottom w:val="nil"/>
            </w:tcBorders>
          </w:tcPr>
          <w:p w14:paraId="5FE32F0B"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17,941</w:t>
            </w:r>
          </w:p>
        </w:tc>
      </w:tr>
      <w:tr w:rsidR="009450B0" w:rsidRPr="009450B0" w14:paraId="63D94120" w14:textId="77777777" w:rsidTr="00370792">
        <w:trPr>
          <w:trHeight w:val="255"/>
          <w:jc w:val="center"/>
        </w:trPr>
        <w:tc>
          <w:tcPr>
            <w:tcW w:w="5776" w:type="dxa"/>
            <w:tcBorders>
              <w:top w:val="nil"/>
              <w:bottom w:val="nil"/>
            </w:tcBorders>
          </w:tcPr>
          <w:p w14:paraId="1303355F"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747" w:type="dxa"/>
            <w:tcBorders>
              <w:top w:val="nil"/>
              <w:bottom w:val="nil"/>
            </w:tcBorders>
            <w:shd w:val="clear" w:color="auto" w:fill="F2F2F2" w:themeFill="background1" w:themeFillShade="F2"/>
          </w:tcPr>
          <w:p w14:paraId="7D2335A1" w14:textId="58C96AD8"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w:t>
            </w:r>
            <w:r w:rsidR="00CE2DB3">
              <w:rPr>
                <w:rFonts w:asciiTheme="minorHAnsi" w:hAnsiTheme="minorHAnsi" w:cs="Arial"/>
                <w:bCs/>
                <w:color w:val="59595B"/>
                <w:sz w:val="20"/>
                <w:szCs w:val="20"/>
                <w:lang w:val="en-GB"/>
              </w:rPr>
              <w:t>7,27</w:t>
            </w:r>
            <w:r w:rsidR="00523617">
              <w:rPr>
                <w:rFonts w:asciiTheme="minorHAnsi" w:hAnsiTheme="minorHAnsi" w:cs="Arial"/>
                <w:bCs/>
                <w:color w:val="59595B"/>
                <w:sz w:val="20"/>
                <w:szCs w:val="20"/>
                <w:lang w:val="en-GB"/>
              </w:rPr>
              <w:t>4</w:t>
            </w:r>
          </w:p>
        </w:tc>
        <w:tc>
          <w:tcPr>
            <w:tcW w:w="1635" w:type="dxa"/>
            <w:tcBorders>
              <w:top w:val="nil"/>
              <w:bottom w:val="nil"/>
            </w:tcBorders>
          </w:tcPr>
          <w:p w14:paraId="447171BD" w14:textId="2D03AF2F"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12,360</w:t>
            </w:r>
          </w:p>
        </w:tc>
      </w:tr>
      <w:tr w:rsidR="009450B0" w:rsidRPr="009450B0" w14:paraId="073A17FE" w14:textId="77777777" w:rsidTr="00370792">
        <w:trPr>
          <w:trHeight w:val="268"/>
          <w:jc w:val="center"/>
        </w:trPr>
        <w:tc>
          <w:tcPr>
            <w:tcW w:w="5776" w:type="dxa"/>
            <w:tcBorders>
              <w:top w:val="nil"/>
              <w:bottom w:val="nil"/>
            </w:tcBorders>
          </w:tcPr>
          <w:p w14:paraId="20A44F6E"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747" w:type="dxa"/>
            <w:tcBorders>
              <w:top w:val="nil"/>
              <w:bottom w:val="nil"/>
            </w:tcBorders>
            <w:shd w:val="clear" w:color="auto" w:fill="F2F2F2" w:themeFill="background1" w:themeFillShade="F2"/>
          </w:tcPr>
          <w:p w14:paraId="5A87EA87"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38,389</w:t>
            </w:r>
          </w:p>
        </w:tc>
        <w:tc>
          <w:tcPr>
            <w:tcW w:w="1635" w:type="dxa"/>
            <w:tcBorders>
              <w:top w:val="nil"/>
              <w:bottom w:val="nil"/>
            </w:tcBorders>
          </w:tcPr>
          <w:p w14:paraId="63F6B300"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31,889</w:t>
            </w:r>
          </w:p>
        </w:tc>
      </w:tr>
      <w:tr w:rsidR="009450B0" w:rsidRPr="009450B0" w14:paraId="06790771" w14:textId="77777777" w:rsidTr="00370792">
        <w:trPr>
          <w:trHeight w:val="255"/>
          <w:jc w:val="center"/>
        </w:trPr>
        <w:tc>
          <w:tcPr>
            <w:tcW w:w="5776" w:type="dxa"/>
            <w:tcBorders>
              <w:top w:val="nil"/>
              <w:bottom w:val="nil"/>
            </w:tcBorders>
          </w:tcPr>
          <w:p w14:paraId="5AB71096"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747" w:type="dxa"/>
            <w:tcBorders>
              <w:top w:val="nil"/>
              <w:bottom w:val="nil"/>
            </w:tcBorders>
            <w:shd w:val="clear" w:color="auto" w:fill="F2F2F2" w:themeFill="background1" w:themeFillShade="F2"/>
          </w:tcPr>
          <w:p w14:paraId="3C0435DD" w14:textId="466CBBD4" w:rsidR="001F6E58" w:rsidRPr="00A96D90" w:rsidRDefault="00523617"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lang w:val="en-GB"/>
              </w:rPr>
              <w:t>73,658</w:t>
            </w:r>
          </w:p>
        </w:tc>
        <w:tc>
          <w:tcPr>
            <w:tcW w:w="1635" w:type="dxa"/>
            <w:tcBorders>
              <w:top w:val="nil"/>
              <w:bottom w:val="nil"/>
            </w:tcBorders>
          </w:tcPr>
          <w:p w14:paraId="14AF9F08"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szCs w:val="20"/>
                <w:lang w:val="en-GB"/>
              </w:rPr>
              <w:t>62,190</w:t>
            </w:r>
          </w:p>
        </w:tc>
      </w:tr>
      <w:tr w:rsidR="009450B0" w:rsidRPr="009450B0" w14:paraId="19FBE483" w14:textId="77777777" w:rsidTr="00370792">
        <w:trPr>
          <w:trHeight w:val="255"/>
          <w:jc w:val="center"/>
        </w:trPr>
        <w:tc>
          <w:tcPr>
            <w:tcW w:w="5776" w:type="dxa"/>
            <w:tcBorders>
              <w:top w:val="nil"/>
              <w:bottom w:val="single" w:sz="4" w:space="0" w:color="BFBFBF" w:themeColor="background1" w:themeShade="BF"/>
            </w:tcBorders>
          </w:tcPr>
          <w:p w14:paraId="6C1F2BCD"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top w:val="nil"/>
              <w:bottom w:val="single" w:sz="4" w:space="0" w:color="BFBFBF" w:themeColor="background1" w:themeShade="BF"/>
            </w:tcBorders>
            <w:shd w:val="clear" w:color="auto" w:fill="F2F2F2" w:themeFill="background1" w:themeFillShade="F2"/>
          </w:tcPr>
          <w:p w14:paraId="02E048B2"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top w:val="nil"/>
              <w:bottom w:val="single" w:sz="4" w:space="0" w:color="BFBFBF" w:themeColor="background1" w:themeShade="BF"/>
            </w:tcBorders>
          </w:tcPr>
          <w:p w14:paraId="5CC74272"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10CB67C4" w14:textId="77777777" w:rsidTr="00370792">
        <w:trPr>
          <w:trHeight w:val="268"/>
          <w:jc w:val="center"/>
        </w:trPr>
        <w:tc>
          <w:tcPr>
            <w:tcW w:w="5776" w:type="dxa"/>
            <w:tcBorders>
              <w:top w:val="single" w:sz="4" w:space="0" w:color="BFBFBF" w:themeColor="background1" w:themeShade="BF"/>
              <w:bottom w:val="single" w:sz="4" w:space="0" w:color="BFBFBF" w:themeColor="background1" w:themeShade="BF"/>
            </w:tcBorders>
          </w:tcPr>
          <w:p w14:paraId="6F7A249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assets</w:t>
            </w:r>
          </w:p>
        </w:tc>
        <w:tc>
          <w:tcPr>
            <w:tcW w:w="174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BD9CA9C" w14:textId="261A8150" w:rsidR="001F6E58" w:rsidRPr="00A96D90" w:rsidRDefault="00523617"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lang w:val="en-GB"/>
              </w:rPr>
              <w:t>139,956</w:t>
            </w:r>
          </w:p>
        </w:tc>
        <w:tc>
          <w:tcPr>
            <w:tcW w:w="1635" w:type="dxa"/>
            <w:tcBorders>
              <w:top w:val="single" w:sz="4" w:space="0" w:color="BFBFBF" w:themeColor="background1" w:themeShade="BF"/>
              <w:bottom w:val="single" w:sz="4" w:space="0" w:color="BFBFBF" w:themeColor="background1" w:themeShade="BF"/>
            </w:tcBorders>
          </w:tcPr>
          <w:p w14:paraId="52CB4482"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szCs w:val="20"/>
                <w:lang w:val="en-GB"/>
              </w:rPr>
              <w:t>126.783</w:t>
            </w:r>
          </w:p>
        </w:tc>
      </w:tr>
      <w:tr w:rsidR="009450B0" w:rsidRPr="009450B0" w14:paraId="507FE99D" w14:textId="77777777" w:rsidTr="00370792">
        <w:trPr>
          <w:trHeight w:val="255"/>
          <w:jc w:val="center"/>
        </w:trPr>
        <w:tc>
          <w:tcPr>
            <w:tcW w:w="5776" w:type="dxa"/>
            <w:tcBorders>
              <w:bottom w:val="nil"/>
            </w:tcBorders>
          </w:tcPr>
          <w:p w14:paraId="66588060"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bottom w:val="nil"/>
            </w:tcBorders>
            <w:shd w:val="clear" w:color="auto" w:fill="F2F2F2" w:themeFill="background1" w:themeFillShade="F2"/>
          </w:tcPr>
          <w:p w14:paraId="6C41C93A"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bottom w:val="nil"/>
            </w:tcBorders>
          </w:tcPr>
          <w:p w14:paraId="2D3CE760"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32423C97" w14:textId="77777777" w:rsidTr="00370792">
        <w:trPr>
          <w:trHeight w:val="255"/>
          <w:jc w:val="center"/>
        </w:trPr>
        <w:tc>
          <w:tcPr>
            <w:tcW w:w="5776" w:type="dxa"/>
            <w:tcBorders>
              <w:top w:val="nil"/>
              <w:bottom w:val="nil"/>
            </w:tcBorders>
          </w:tcPr>
          <w:p w14:paraId="56320400"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747" w:type="dxa"/>
            <w:tcBorders>
              <w:top w:val="nil"/>
              <w:bottom w:val="nil"/>
            </w:tcBorders>
            <w:shd w:val="clear" w:color="auto" w:fill="F2F2F2" w:themeFill="background1" w:themeFillShade="F2"/>
          </w:tcPr>
          <w:p w14:paraId="57D05747"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5,201</w:t>
            </w:r>
          </w:p>
        </w:tc>
        <w:tc>
          <w:tcPr>
            <w:tcW w:w="1635" w:type="dxa"/>
            <w:tcBorders>
              <w:top w:val="nil"/>
              <w:bottom w:val="nil"/>
            </w:tcBorders>
          </w:tcPr>
          <w:p w14:paraId="1EEA83E9"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4,556</w:t>
            </w:r>
          </w:p>
        </w:tc>
      </w:tr>
      <w:tr w:rsidR="009450B0" w:rsidRPr="009450B0" w14:paraId="19F3C8B8" w14:textId="77777777" w:rsidTr="00370792">
        <w:trPr>
          <w:trHeight w:val="268"/>
          <w:jc w:val="center"/>
        </w:trPr>
        <w:tc>
          <w:tcPr>
            <w:tcW w:w="5776" w:type="dxa"/>
            <w:tcBorders>
              <w:top w:val="nil"/>
              <w:bottom w:val="nil"/>
            </w:tcBorders>
          </w:tcPr>
          <w:p w14:paraId="321B4127"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747" w:type="dxa"/>
            <w:tcBorders>
              <w:top w:val="nil"/>
              <w:bottom w:val="nil"/>
            </w:tcBorders>
            <w:shd w:val="clear" w:color="auto" w:fill="F2F2F2" w:themeFill="background1" w:themeFillShade="F2"/>
          </w:tcPr>
          <w:p w14:paraId="5A9F35E8" w14:textId="59205509"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316,858</w:t>
            </w:r>
          </w:p>
        </w:tc>
        <w:tc>
          <w:tcPr>
            <w:tcW w:w="1635" w:type="dxa"/>
            <w:tcBorders>
              <w:top w:val="nil"/>
              <w:bottom w:val="nil"/>
            </w:tcBorders>
          </w:tcPr>
          <w:p w14:paraId="48977E12"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301,876</w:t>
            </w:r>
          </w:p>
        </w:tc>
      </w:tr>
      <w:tr w:rsidR="009450B0" w:rsidRPr="009450B0" w14:paraId="4AF81F99" w14:textId="77777777" w:rsidTr="00370792">
        <w:trPr>
          <w:trHeight w:val="255"/>
          <w:jc w:val="center"/>
        </w:trPr>
        <w:tc>
          <w:tcPr>
            <w:tcW w:w="5776" w:type="dxa"/>
            <w:tcBorders>
              <w:top w:val="nil"/>
              <w:bottom w:val="nil"/>
            </w:tcBorders>
          </w:tcPr>
          <w:p w14:paraId="38680433"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747" w:type="dxa"/>
            <w:tcBorders>
              <w:top w:val="nil"/>
              <w:bottom w:val="nil"/>
            </w:tcBorders>
            <w:shd w:val="clear" w:color="auto" w:fill="F2F2F2" w:themeFill="background1" w:themeFillShade="F2"/>
          </w:tcPr>
          <w:p w14:paraId="0975EBB4"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(421)</w:t>
            </w:r>
          </w:p>
        </w:tc>
        <w:tc>
          <w:tcPr>
            <w:tcW w:w="1635" w:type="dxa"/>
            <w:tcBorders>
              <w:top w:val="nil"/>
              <w:bottom w:val="nil"/>
            </w:tcBorders>
          </w:tcPr>
          <w:p w14:paraId="2B066E69"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60</w:t>
            </w:r>
          </w:p>
        </w:tc>
      </w:tr>
      <w:tr w:rsidR="009450B0" w:rsidRPr="009450B0" w14:paraId="1A4F65BD" w14:textId="77777777" w:rsidTr="00370792">
        <w:trPr>
          <w:trHeight w:val="255"/>
          <w:jc w:val="center"/>
        </w:trPr>
        <w:tc>
          <w:tcPr>
            <w:tcW w:w="5776" w:type="dxa"/>
            <w:tcBorders>
              <w:top w:val="nil"/>
              <w:bottom w:val="nil"/>
            </w:tcBorders>
          </w:tcPr>
          <w:p w14:paraId="2BE11B5B"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747" w:type="dxa"/>
            <w:tcBorders>
              <w:top w:val="nil"/>
              <w:bottom w:val="nil"/>
            </w:tcBorders>
            <w:shd w:val="clear" w:color="auto" w:fill="F2F2F2" w:themeFill="background1" w:themeFillShade="F2"/>
          </w:tcPr>
          <w:p w14:paraId="75E345AD" w14:textId="3BAD53D3"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w:t>
            </w:r>
            <w:r w:rsidR="00523617">
              <w:rPr>
                <w:rFonts w:asciiTheme="minorHAnsi" w:hAnsiTheme="minorHAnsi" w:cs="Arial"/>
                <w:bCs/>
                <w:color w:val="59595B"/>
                <w:sz w:val="20"/>
                <w:szCs w:val="20"/>
                <w:lang w:val="en-GB"/>
              </w:rPr>
              <w:t>315,426</w:t>
            </w:r>
            <w:r>
              <w:rPr>
                <w:rFonts w:asciiTheme="minorHAnsi" w:hAnsiTheme="minorHAnsi" w:cs="Arial"/>
                <w:bCs/>
                <w:color w:val="59595B"/>
                <w:sz w:val="20"/>
                <w:szCs w:val="20"/>
                <w:lang w:val="en-GB"/>
              </w:rPr>
              <w:t>)</w:t>
            </w:r>
          </w:p>
        </w:tc>
        <w:tc>
          <w:tcPr>
            <w:tcW w:w="1635" w:type="dxa"/>
            <w:tcBorders>
              <w:top w:val="nil"/>
              <w:bottom w:val="nil"/>
            </w:tcBorders>
          </w:tcPr>
          <w:p w14:paraId="12199D9D"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(279,025)</w:t>
            </w:r>
          </w:p>
        </w:tc>
      </w:tr>
      <w:tr w:rsidR="009450B0" w:rsidRPr="009450B0" w14:paraId="1D960B5F" w14:textId="77777777" w:rsidTr="00370792">
        <w:trPr>
          <w:trHeight w:val="268"/>
          <w:jc w:val="center"/>
        </w:trPr>
        <w:tc>
          <w:tcPr>
            <w:tcW w:w="5776" w:type="dxa"/>
            <w:tcBorders>
              <w:top w:val="nil"/>
              <w:bottom w:val="nil"/>
            </w:tcBorders>
          </w:tcPr>
          <w:p w14:paraId="72FEBFFA"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747" w:type="dxa"/>
            <w:tcBorders>
              <w:top w:val="nil"/>
              <w:bottom w:val="nil"/>
            </w:tcBorders>
            <w:shd w:val="clear" w:color="auto" w:fill="F2F2F2" w:themeFill="background1" w:themeFillShade="F2"/>
          </w:tcPr>
          <w:p w14:paraId="3217BC21" w14:textId="44F79399" w:rsidR="001F6E58" w:rsidRPr="00A96D90" w:rsidRDefault="00523617"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lang w:val="en-GB"/>
              </w:rPr>
              <w:t>6,212</w:t>
            </w:r>
          </w:p>
        </w:tc>
        <w:tc>
          <w:tcPr>
            <w:tcW w:w="1635" w:type="dxa"/>
            <w:tcBorders>
              <w:top w:val="nil"/>
              <w:bottom w:val="nil"/>
            </w:tcBorders>
          </w:tcPr>
          <w:p w14:paraId="2F401F36"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szCs w:val="20"/>
                <w:lang w:val="en-GB"/>
              </w:rPr>
              <w:t>27,467</w:t>
            </w:r>
          </w:p>
        </w:tc>
      </w:tr>
      <w:tr w:rsidR="009450B0" w:rsidRPr="009450B0" w14:paraId="30E7AFD9" w14:textId="77777777" w:rsidTr="00370792">
        <w:trPr>
          <w:trHeight w:val="255"/>
          <w:jc w:val="center"/>
        </w:trPr>
        <w:tc>
          <w:tcPr>
            <w:tcW w:w="5776" w:type="dxa"/>
            <w:tcBorders>
              <w:top w:val="nil"/>
              <w:bottom w:val="nil"/>
            </w:tcBorders>
          </w:tcPr>
          <w:p w14:paraId="203EECE4"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top w:val="nil"/>
              <w:bottom w:val="nil"/>
            </w:tcBorders>
            <w:shd w:val="clear" w:color="auto" w:fill="F2F2F2" w:themeFill="background1" w:themeFillShade="F2"/>
          </w:tcPr>
          <w:p w14:paraId="2912B534"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top w:val="nil"/>
              <w:bottom w:val="nil"/>
            </w:tcBorders>
          </w:tcPr>
          <w:p w14:paraId="1C4BC8DE"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370E7009" w14:textId="77777777" w:rsidTr="00370792">
        <w:trPr>
          <w:trHeight w:val="255"/>
          <w:jc w:val="center"/>
        </w:trPr>
        <w:tc>
          <w:tcPr>
            <w:tcW w:w="5776" w:type="dxa"/>
            <w:tcBorders>
              <w:top w:val="nil"/>
              <w:bottom w:val="nil"/>
            </w:tcBorders>
          </w:tcPr>
          <w:p w14:paraId="4351EAA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 (more than one year)</w:t>
            </w:r>
          </w:p>
        </w:tc>
        <w:tc>
          <w:tcPr>
            <w:tcW w:w="1747" w:type="dxa"/>
            <w:tcBorders>
              <w:top w:val="nil"/>
              <w:bottom w:val="nil"/>
            </w:tcBorders>
            <w:shd w:val="clear" w:color="auto" w:fill="F2F2F2" w:themeFill="background1" w:themeFillShade="F2"/>
          </w:tcPr>
          <w:p w14:paraId="38A2F150" w14:textId="37A6088F"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70,800</w:t>
            </w:r>
          </w:p>
        </w:tc>
        <w:tc>
          <w:tcPr>
            <w:tcW w:w="1635" w:type="dxa"/>
            <w:tcBorders>
              <w:top w:val="nil"/>
              <w:bottom w:val="nil"/>
            </w:tcBorders>
          </w:tcPr>
          <w:p w14:paraId="3653E0E6"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40,395</w:t>
            </w:r>
          </w:p>
        </w:tc>
      </w:tr>
      <w:tr w:rsidR="009450B0" w:rsidRPr="009450B0" w14:paraId="16AAD348" w14:textId="77777777" w:rsidTr="00370792">
        <w:trPr>
          <w:trHeight w:val="268"/>
          <w:jc w:val="center"/>
        </w:trPr>
        <w:tc>
          <w:tcPr>
            <w:tcW w:w="5776" w:type="dxa"/>
            <w:tcBorders>
              <w:top w:val="nil"/>
              <w:bottom w:val="nil"/>
            </w:tcBorders>
          </w:tcPr>
          <w:p w14:paraId="3FECD386"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1747" w:type="dxa"/>
            <w:tcBorders>
              <w:top w:val="nil"/>
              <w:bottom w:val="nil"/>
            </w:tcBorders>
            <w:shd w:val="clear" w:color="auto" w:fill="F2F2F2" w:themeFill="background1" w:themeFillShade="F2"/>
          </w:tcPr>
          <w:p w14:paraId="7B7B95BD"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1,667</w:t>
            </w:r>
          </w:p>
        </w:tc>
        <w:tc>
          <w:tcPr>
            <w:tcW w:w="1635" w:type="dxa"/>
            <w:tcBorders>
              <w:top w:val="nil"/>
              <w:bottom w:val="nil"/>
            </w:tcBorders>
          </w:tcPr>
          <w:p w14:paraId="794E610B"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2,270</w:t>
            </w:r>
          </w:p>
        </w:tc>
      </w:tr>
      <w:tr w:rsidR="009450B0" w:rsidRPr="009450B0" w14:paraId="392FCE34" w14:textId="77777777" w:rsidTr="00370792">
        <w:trPr>
          <w:trHeight w:val="255"/>
          <w:jc w:val="center"/>
        </w:trPr>
        <w:tc>
          <w:tcPr>
            <w:tcW w:w="5776" w:type="dxa"/>
            <w:tcBorders>
              <w:top w:val="nil"/>
              <w:bottom w:val="nil"/>
            </w:tcBorders>
          </w:tcPr>
          <w:p w14:paraId="3278260F"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747" w:type="dxa"/>
            <w:tcBorders>
              <w:top w:val="nil"/>
              <w:bottom w:val="nil"/>
            </w:tcBorders>
            <w:shd w:val="clear" w:color="auto" w:fill="F2F2F2" w:themeFill="background1" w:themeFillShade="F2"/>
          </w:tcPr>
          <w:p w14:paraId="4658CA11"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471</w:t>
            </w:r>
          </w:p>
        </w:tc>
        <w:tc>
          <w:tcPr>
            <w:tcW w:w="1635" w:type="dxa"/>
            <w:tcBorders>
              <w:top w:val="nil"/>
              <w:bottom w:val="nil"/>
            </w:tcBorders>
          </w:tcPr>
          <w:p w14:paraId="3754769E"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599</w:t>
            </w:r>
          </w:p>
        </w:tc>
      </w:tr>
      <w:tr w:rsidR="009450B0" w:rsidRPr="009450B0" w14:paraId="1FA81E13" w14:textId="77777777" w:rsidTr="00370792">
        <w:trPr>
          <w:trHeight w:val="255"/>
          <w:jc w:val="center"/>
        </w:trPr>
        <w:tc>
          <w:tcPr>
            <w:tcW w:w="5776" w:type="dxa"/>
            <w:tcBorders>
              <w:top w:val="nil"/>
              <w:bottom w:val="nil"/>
            </w:tcBorders>
          </w:tcPr>
          <w:p w14:paraId="7A067EFF"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Other provisions</w:t>
            </w:r>
          </w:p>
        </w:tc>
        <w:tc>
          <w:tcPr>
            <w:tcW w:w="1747" w:type="dxa"/>
            <w:tcBorders>
              <w:top w:val="nil"/>
              <w:bottom w:val="nil"/>
            </w:tcBorders>
            <w:shd w:val="clear" w:color="auto" w:fill="F2F2F2" w:themeFill="background1" w:themeFillShade="F2"/>
          </w:tcPr>
          <w:p w14:paraId="6643023B"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4,674</w:t>
            </w:r>
          </w:p>
        </w:tc>
        <w:tc>
          <w:tcPr>
            <w:tcW w:w="1635" w:type="dxa"/>
            <w:tcBorders>
              <w:top w:val="nil"/>
              <w:bottom w:val="nil"/>
            </w:tcBorders>
          </w:tcPr>
          <w:p w14:paraId="705174AE"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lang w:val="en-GB"/>
              </w:rPr>
            </w:pPr>
            <w:r w:rsidRPr="009450B0">
              <w:rPr>
                <w:rFonts w:asciiTheme="minorHAnsi" w:hAnsiTheme="minorHAnsi" w:cs="Arial"/>
                <w:bCs/>
                <w:sz w:val="20"/>
                <w:lang w:val="en-GB"/>
              </w:rPr>
              <w:t>4,674</w:t>
            </w:r>
          </w:p>
        </w:tc>
      </w:tr>
      <w:tr w:rsidR="009450B0" w:rsidRPr="009450B0" w14:paraId="228CEC00" w14:textId="77777777" w:rsidTr="00370792">
        <w:trPr>
          <w:trHeight w:val="268"/>
          <w:jc w:val="center"/>
        </w:trPr>
        <w:tc>
          <w:tcPr>
            <w:tcW w:w="5776" w:type="dxa"/>
            <w:tcBorders>
              <w:top w:val="nil"/>
              <w:bottom w:val="nil"/>
            </w:tcBorders>
          </w:tcPr>
          <w:p w14:paraId="0F9674A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747" w:type="dxa"/>
            <w:tcBorders>
              <w:top w:val="nil"/>
              <w:bottom w:val="nil"/>
            </w:tcBorders>
            <w:shd w:val="clear" w:color="auto" w:fill="F2F2F2" w:themeFill="background1" w:themeFillShade="F2"/>
          </w:tcPr>
          <w:p w14:paraId="1A050108" w14:textId="77A326CB"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lang w:val="en-GB"/>
              </w:rPr>
            </w:pPr>
            <w:r>
              <w:rPr>
                <w:rFonts w:asciiTheme="minorHAnsi" w:hAnsiTheme="minorHAnsi" w:cs="Arial"/>
                <w:b/>
                <w:bCs/>
                <w:color w:val="59595B"/>
                <w:sz w:val="20"/>
                <w:lang w:val="en-GB"/>
              </w:rPr>
              <w:t>77,612</w:t>
            </w:r>
          </w:p>
        </w:tc>
        <w:tc>
          <w:tcPr>
            <w:tcW w:w="1635" w:type="dxa"/>
            <w:tcBorders>
              <w:top w:val="nil"/>
              <w:bottom w:val="nil"/>
            </w:tcBorders>
          </w:tcPr>
          <w:p w14:paraId="625DA593"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lang w:val="en-GB"/>
              </w:rPr>
              <w:t>47,938</w:t>
            </w:r>
          </w:p>
        </w:tc>
      </w:tr>
      <w:tr w:rsidR="009450B0" w:rsidRPr="009450B0" w14:paraId="12F985E4" w14:textId="77777777" w:rsidTr="00370792">
        <w:trPr>
          <w:trHeight w:val="255"/>
          <w:jc w:val="center"/>
        </w:trPr>
        <w:tc>
          <w:tcPr>
            <w:tcW w:w="5776" w:type="dxa"/>
            <w:tcBorders>
              <w:top w:val="nil"/>
              <w:bottom w:val="nil"/>
            </w:tcBorders>
          </w:tcPr>
          <w:p w14:paraId="1346885B"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top w:val="nil"/>
              <w:bottom w:val="nil"/>
            </w:tcBorders>
            <w:shd w:val="clear" w:color="auto" w:fill="F2F2F2" w:themeFill="background1" w:themeFillShade="F2"/>
          </w:tcPr>
          <w:p w14:paraId="13E9C20F"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top w:val="nil"/>
              <w:bottom w:val="nil"/>
            </w:tcBorders>
          </w:tcPr>
          <w:p w14:paraId="1E2ABC4E"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2A23D365" w14:textId="77777777" w:rsidTr="00370792">
        <w:trPr>
          <w:trHeight w:val="255"/>
          <w:jc w:val="center"/>
        </w:trPr>
        <w:tc>
          <w:tcPr>
            <w:tcW w:w="5776" w:type="dxa"/>
            <w:tcBorders>
              <w:top w:val="nil"/>
              <w:bottom w:val="nil"/>
            </w:tcBorders>
          </w:tcPr>
          <w:p w14:paraId="09923E71"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 (less than one year)</w:t>
            </w:r>
          </w:p>
        </w:tc>
        <w:tc>
          <w:tcPr>
            <w:tcW w:w="1747" w:type="dxa"/>
            <w:tcBorders>
              <w:top w:val="nil"/>
              <w:bottom w:val="nil"/>
            </w:tcBorders>
            <w:shd w:val="clear" w:color="auto" w:fill="F2F2F2" w:themeFill="background1" w:themeFillShade="F2"/>
          </w:tcPr>
          <w:p w14:paraId="4A723AE2" w14:textId="49143993"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16,908</w:t>
            </w:r>
          </w:p>
        </w:tc>
        <w:tc>
          <w:tcPr>
            <w:tcW w:w="1635" w:type="dxa"/>
            <w:tcBorders>
              <w:top w:val="nil"/>
              <w:bottom w:val="nil"/>
            </w:tcBorders>
          </w:tcPr>
          <w:p w14:paraId="7A7E6114"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26,136</w:t>
            </w:r>
          </w:p>
        </w:tc>
      </w:tr>
      <w:tr w:rsidR="009450B0" w:rsidRPr="009450B0" w14:paraId="5251DDBD" w14:textId="77777777" w:rsidTr="00370792">
        <w:trPr>
          <w:trHeight w:val="268"/>
          <w:jc w:val="center"/>
        </w:trPr>
        <w:tc>
          <w:tcPr>
            <w:tcW w:w="5776" w:type="dxa"/>
            <w:tcBorders>
              <w:top w:val="nil"/>
              <w:bottom w:val="nil"/>
            </w:tcBorders>
          </w:tcPr>
          <w:p w14:paraId="3B7185EF"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1747" w:type="dxa"/>
            <w:tcBorders>
              <w:top w:val="nil"/>
              <w:bottom w:val="nil"/>
            </w:tcBorders>
            <w:shd w:val="clear" w:color="auto" w:fill="F2F2F2" w:themeFill="background1" w:themeFillShade="F2"/>
          </w:tcPr>
          <w:p w14:paraId="0D2BFD2A" w14:textId="79F92FD1"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80</w:t>
            </w:r>
            <w:r w:rsidR="00F00AF7">
              <w:rPr>
                <w:rFonts w:asciiTheme="minorHAnsi" w:hAnsiTheme="minorHAnsi" w:cs="Arial"/>
                <w:bCs/>
                <w:color w:val="59595B"/>
                <w:sz w:val="20"/>
                <w:lang w:val="en-GB"/>
              </w:rPr>
              <w:t>6</w:t>
            </w:r>
          </w:p>
        </w:tc>
        <w:tc>
          <w:tcPr>
            <w:tcW w:w="1635" w:type="dxa"/>
            <w:tcBorders>
              <w:top w:val="nil"/>
              <w:bottom w:val="nil"/>
            </w:tcBorders>
          </w:tcPr>
          <w:p w14:paraId="597FED2A"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943</w:t>
            </w:r>
          </w:p>
        </w:tc>
      </w:tr>
      <w:tr w:rsidR="009450B0" w:rsidRPr="009450B0" w14:paraId="5192829C" w14:textId="77777777" w:rsidTr="00370792">
        <w:trPr>
          <w:trHeight w:val="255"/>
          <w:jc w:val="center"/>
        </w:trPr>
        <w:tc>
          <w:tcPr>
            <w:tcW w:w="5776" w:type="dxa"/>
            <w:tcBorders>
              <w:top w:val="nil"/>
              <w:bottom w:val="nil"/>
            </w:tcBorders>
          </w:tcPr>
          <w:p w14:paraId="29B46D69"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747" w:type="dxa"/>
            <w:tcBorders>
              <w:top w:val="nil"/>
              <w:bottom w:val="nil"/>
            </w:tcBorders>
            <w:shd w:val="clear" w:color="auto" w:fill="F2F2F2" w:themeFill="background1" w:themeFillShade="F2"/>
          </w:tcPr>
          <w:p w14:paraId="09D60F25" w14:textId="27F191BF"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21,121</w:t>
            </w:r>
          </w:p>
        </w:tc>
        <w:tc>
          <w:tcPr>
            <w:tcW w:w="1635" w:type="dxa"/>
            <w:tcBorders>
              <w:top w:val="nil"/>
              <w:bottom w:val="nil"/>
            </w:tcBorders>
          </w:tcPr>
          <w:p w14:paraId="16CDB134"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szCs w:val="20"/>
                <w:lang w:val="en-GB"/>
              </w:rPr>
              <w:t>9,982</w:t>
            </w:r>
          </w:p>
        </w:tc>
      </w:tr>
      <w:tr w:rsidR="009450B0" w:rsidRPr="009450B0" w14:paraId="40DC26CE" w14:textId="77777777" w:rsidTr="00370792">
        <w:trPr>
          <w:trHeight w:val="255"/>
          <w:jc w:val="center"/>
        </w:trPr>
        <w:tc>
          <w:tcPr>
            <w:tcW w:w="5776" w:type="dxa"/>
            <w:tcBorders>
              <w:top w:val="nil"/>
              <w:bottom w:val="nil"/>
            </w:tcBorders>
          </w:tcPr>
          <w:p w14:paraId="7CA97136"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747" w:type="dxa"/>
            <w:tcBorders>
              <w:top w:val="nil"/>
              <w:bottom w:val="nil"/>
            </w:tcBorders>
            <w:shd w:val="clear" w:color="auto" w:fill="F2F2F2" w:themeFill="background1" w:themeFillShade="F2"/>
          </w:tcPr>
          <w:p w14:paraId="0B691CF5" w14:textId="263101B8"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17,03</w:t>
            </w:r>
            <w:r w:rsidR="00523617">
              <w:rPr>
                <w:rFonts w:asciiTheme="minorHAnsi" w:hAnsiTheme="minorHAnsi" w:cs="Arial"/>
                <w:bCs/>
                <w:color w:val="59595B"/>
                <w:sz w:val="20"/>
                <w:lang w:val="en-GB"/>
              </w:rPr>
              <w:t>1</w:t>
            </w:r>
          </w:p>
        </w:tc>
        <w:tc>
          <w:tcPr>
            <w:tcW w:w="1635" w:type="dxa"/>
            <w:tcBorders>
              <w:top w:val="nil"/>
              <w:bottom w:val="nil"/>
            </w:tcBorders>
          </w:tcPr>
          <w:p w14:paraId="4363D0FA"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14,054</w:t>
            </w:r>
          </w:p>
        </w:tc>
      </w:tr>
      <w:tr w:rsidR="009450B0" w:rsidRPr="009450B0" w14:paraId="070ED247" w14:textId="77777777" w:rsidTr="00370792">
        <w:trPr>
          <w:trHeight w:val="268"/>
          <w:jc w:val="center"/>
        </w:trPr>
        <w:tc>
          <w:tcPr>
            <w:tcW w:w="5776" w:type="dxa"/>
            <w:tcBorders>
              <w:top w:val="nil"/>
              <w:bottom w:val="nil"/>
            </w:tcBorders>
          </w:tcPr>
          <w:p w14:paraId="58C980FB"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747" w:type="dxa"/>
            <w:tcBorders>
              <w:top w:val="nil"/>
              <w:bottom w:val="nil"/>
            </w:tcBorders>
            <w:shd w:val="clear" w:color="auto" w:fill="F2F2F2" w:themeFill="background1" w:themeFillShade="F2"/>
          </w:tcPr>
          <w:p w14:paraId="4565F659"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lang w:val="en-GB"/>
              </w:rPr>
              <w:t>266</w:t>
            </w:r>
          </w:p>
        </w:tc>
        <w:tc>
          <w:tcPr>
            <w:tcW w:w="1635" w:type="dxa"/>
            <w:tcBorders>
              <w:top w:val="nil"/>
              <w:bottom w:val="nil"/>
            </w:tcBorders>
          </w:tcPr>
          <w:p w14:paraId="25433592"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r w:rsidRPr="009450B0">
              <w:rPr>
                <w:rFonts w:asciiTheme="minorHAnsi" w:hAnsiTheme="minorHAnsi" w:cs="Arial"/>
                <w:bCs/>
                <w:sz w:val="20"/>
                <w:lang w:val="en-GB"/>
              </w:rPr>
              <w:t>263</w:t>
            </w:r>
          </w:p>
        </w:tc>
      </w:tr>
      <w:tr w:rsidR="009450B0" w:rsidRPr="009450B0" w14:paraId="31B22D3E" w14:textId="77777777" w:rsidTr="00370792">
        <w:trPr>
          <w:trHeight w:val="255"/>
          <w:jc w:val="center"/>
        </w:trPr>
        <w:tc>
          <w:tcPr>
            <w:tcW w:w="5776" w:type="dxa"/>
            <w:tcBorders>
              <w:top w:val="nil"/>
              <w:bottom w:val="nil"/>
            </w:tcBorders>
          </w:tcPr>
          <w:p w14:paraId="5EA5B366"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747" w:type="dxa"/>
            <w:tcBorders>
              <w:top w:val="nil"/>
              <w:bottom w:val="nil"/>
            </w:tcBorders>
            <w:shd w:val="clear" w:color="auto" w:fill="F2F2F2" w:themeFill="background1" w:themeFillShade="F2"/>
          </w:tcPr>
          <w:p w14:paraId="15E04672" w14:textId="118561E5"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lang w:val="en-GB"/>
              </w:rPr>
            </w:pPr>
            <w:r>
              <w:rPr>
                <w:rFonts w:asciiTheme="minorHAnsi" w:hAnsiTheme="minorHAnsi" w:cs="Arial"/>
                <w:b/>
                <w:bCs/>
                <w:color w:val="59595B"/>
                <w:sz w:val="20"/>
                <w:lang w:val="en-GB"/>
              </w:rPr>
              <w:t>56,13</w:t>
            </w:r>
            <w:r w:rsidR="00523617">
              <w:rPr>
                <w:rFonts w:asciiTheme="minorHAnsi" w:hAnsiTheme="minorHAnsi" w:cs="Arial"/>
                <w:b/>
                <w:bCs/>
                <w:color w:val="59595B"/>
                <w:sz w:val="20"/>
                <w:lang w:val="en-GB"/>
              </w:rPr>
              <w:t>2</w:t>
            </w:r>
          </w:p>
        </w:tc>
        <w:tc>
          <w:tcPr>
            <w:tcW w:w="1635" w:type="dxa"/>
            <w:tcBorders>
              <w:top w:val="nil"/>
              <w:bottom w:val="nil"/>
            </w:tcBorders>
          </w:tcPr>
          <w:p w14:paraId="5B6A1B04"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lang w:val="en-GB"/>
              </w:rPr>
              <w:t>51,378</w:t>
            </w:r>
          </w:p>
        </w:tc>
      </w:tr>
      <w:tr w:rsidR="009450B0" w:rsidRPr="009450B0" w14:paraId="07BC501B" w14:textId="77777777" w:rsidTr="00370792">
        <w:trPr>
          <w:trHeight w:val="255"/>
          <w:jc w:val="center"/>
        </w:trPr>
        <w:tc>
          <w:tcPr>
            <w:tcW w:w="5776" w:type="dxa"/>
            <w:tcBorders>
              <w:top w:val="nil"/>
              <w:bottom w:val="single" w:sz="4" w:space="0" w:color="BFBFBF" w:themeColor="background1" w:themeShade="BF"/>
            </w:tcBorders>
          </w:tcPr>
          <w:p w14:paraId="1B7E7D5D"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747" w:type="dxa"/>
            <w:tcBorders>
              <w:top w:val="nil"/>
              <w:bottom w:val="single" w:sz="4" w:space="0" w:color="BFBFBF" w:themeColor="background1" w:themeShade="BF"/>
            </w:tcBorders>
            <w:shd w:val="clear" w:color="auto" w:fill="F2F2F2" w:themeFill="background1" w:themeFillShade="F2"/>
          </w:tcPr>
          <w:p w14:paraId="5E9C2A75" w14:textId="77777777" w:rsidR="001F6E58" w:rsidRPr="00A96D9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635" w:type="dxa"/>
            <w:tcBorders>
              <w:top w:val="nil"/>
              <w:bottom w:val="single" w:sz="4" w:space="0" w:color="BFBFBF" w:themeColor="background1" w:themeShade="BF"/>
            </w:tcBorders>
          </w:tcPr>
          <w:p w14:paraId="613D566A"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Cs/>
                <w:sz w:val="20"/>
                <w:szCs w:val="20"/>
                <w:lang w:val="en-GB"/>
              </w:rPr>
            </w:pPr>
          </w:p>
        </w:tc>
      </w:tr>
      <w:tr w:rsidR="009450B0" w:rsidRPr="009450B0" w14:paraId="2CE508CB" w14:textId="77777777" w:rsidTr="00370792">
        <w:trPr>
          <w:trHeight w:val="255"/>
          <w:jc w:val="center"/>
        </w:trPr>
        <w:tc>
          <w:tcPr>
            <w:tcW w:w="5776" w:type="dxa"/>
            <w:tcBorders>
              <w:top w:val="single" w:sz="4" w:space="0" w:color="BFBFBF" w:themeColor="background1" w:themeShade="BF"/>
              <w:bottom w:val="single" w:sz="4" w:space="0" w:color="BFBFBF"/>
            </w:tcBorders>
          </w:tcPr>
          <w:p w14:paraId="5E59D653" w14:textId="77777777" w:rsidR="001F6E58" w:rsidRPr="00A96D90" w:rsidRDefault="001F6E58" w:rsidP="00C07A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equity and liabilities</w:t>
            </w:r>
          </w:p>
        </w:tc>
        <w:tc>
          <w:tcPr>
            <w:tcW w:w="1747" w:type="dxa"/>
            <w:tcBorders>
              <w:top w:val="single" w:sz="4" w:space="0" w:color="BFBFBF" w:themeColor="background1" w:themeShade="BF"/>
              <w:bottom w:val="single" w:sz="4" w:space="0" w:color="BFBFBF"/>
            </w:tcBorders>
            <w:shd w:val="clear" w:color="auto" w:fill="F2F2F2" w:themeFill="background1" w:themeFillShade="F2"/>
          </w:tcPr>
          <w:p w14:paraId="37802909" w14:textId="2A66EE86" w:rsidR="001F6E58" w:rsidRPr="00A96D90" w:rsidRDefault="00523617" w:rsidP="00C07A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lang w:val="en-GB"/>
              </w:rPr>
            </w:pPr>
            <w:r>
              <w:rPr>
                <w:rFonts w:asciiTheme="minorHAnsi" w:hAnsiTheme="minorHAnsi" w:cs="Arial"/>
                <w:b/>
                <w:bCs/>
                <w:color w:val="59595B"/>
                <w:sz w:val="20"/>
                <w:lang w:val="en-GB"/>
              </w:rPr>
              <w:t>139,956</w:t>
            </w:r>
          </w:p>
        </w:tc>
        <w:tc>
          <w:tcPr>
            <w:tcW w:w="1635" w:type="dxa"/>
            <w:tcBorders>
              <w:top w:val="single" w:sz="4" w:space="0" w:color="BFBFBF" w:themeColor="background1" w:themeShade="BF"/>
              <w:bottom w:val="single" w:sz="4" w:space="0" w:color="BFBFBF"/>
            </w:tcBorders>
          </w:tcPr>
          <w:p w14:paraId="530FC316" w14:textId="77777777" w:rsidR="001F6E58" w:rsidRPr="009450B0" w:rsidRDefault="001F6E58" w:rsidP="00C07AC7">
            <w:pPr>
              <w:tabs>
                <w:tab w:val="left" w:pos="3686"/>
                <w:tab w:val="right" w:pos="7200"/>
                <w:tab w:val="right" w:pos="8789"/>
                <w:tab w:val="right" w:pos="8820"/>
              </w:tabs>
              <w:autoSpaceDE w:val="0"/>
              <w:autoSpaceDN w:val="0"/>
              <w:adjustRightInd w:val="0"/>
              <w:jc w:val="right"/>
              <w:rPr>
                <w:rFonts w:asciiTheme="minorHAnsi" w:hAnsiTheme="minorHAnsi" w:cs="Arial"/>
                <w:b/>
                <w:bCs/>
                <w:sz w:val="20"/>
                <w:szCs w:val="20"/>
                <w:lang w:val="en-GB"/>
              </w:rPr>
            </w:pPr>
            <w:r w:rsidRPr="009450B0">
              <w:rPr>
                <w:rFonts w:asciiTheme="minorHAnsi" w:hAnsiTheme="minorHAnsi" w:cs="Arial"/>
                <w:b/>
                <w:bCs/>
                <w:sz w:val="20"/>
                <w:lang w:val="en-GB"/>
              </w:rPr>
              <w:t>126.783</w:t>
            </w:r>
          </w:p>
        </w:tc>
      </w:tr>
    </w:tbl>
    <w:p w14:paraId="698F24E4" w14:textId="77777777" w:rsidR="00C07AC7" w:rsidRPr="00A96D90" w:rsidRDefault="00C07AC7" w:rsidP="00C07AC7">
      <w:pPr>
        <w:rPr>
          <w:rFonts w:ascii="Calibri" w:hAnsi="Calibri" w:cstheme="minorHAnsi"/>
          <w:szCs w:val="22"/>
          <w:lang w:val="en-GB"/>
        </w:rPr>
      </w:pPr>
    </w:p>
    <w:p w14:paraId="2FC5779D" w14:textId="77777777" w:rsidR="00165AAA" w:rsidRDefault="00165AAA" w:rsidP="00165AAA">
      <w:pPr>
        <w:rPr>
          <w:rFonts w:asciiTheme="minorHAnsi" w:eastAsiaTheme="majorEastAsia" w:hAnsiTheme="minorHAnsi" w:cstheme="minorHAnsi"/>
          <w:b/>
          <w:color w:val="59595B"/>
          <w:sz w:val="24"/>
          <w:szCs w:val="28"/>
          <w:lang w:val="en-GB" w:eastAsia="zh-CN"/>
        </w:rPr>
      </w:pPr>
    </w:p>
    <w:p w14:paraId="2FD0F574" w14:textId="77777777" w:rsidR="00165AAA" w:rsidRDefault="00165AAA" w:rsidP="00165AAA">
      <w:pPr>
        <w:rPr>
          <w:rFonts w:asciiTheme="minorHAnsi" w:eastAsiaTheme="majorEastAsia" w:hAnsiTheme="minorHAnsi" w:cstheme="minorHAnsi"/>
          <w:b/>
          <w:color w:val="59595B"/>
          <w:sz w:val="24"/>
          <w:szCs w:val="28"/>
          <w:lang w:val="en-GB" w:eastAsia="zh-CN"/>
        </w:rPr>
      </w:pPr>
    </w:p>
    <w:p w14:paraId="4F6F962B" w14:textId="77777777" w:rsidR="00165AAA" w:rsidRDefault="00165AAA" w:rsidP="00165AAA">
      <w:pPr>
        <w:rPr>
          <w:rFonts w:asciiTheme="minorHAnsi" w:eastAsiaTheme="majorEastAsia" w:hAnsiTheme="minorHAnsi" w:cstheme="minorHAnsi"/>
          <w:b/>
          <w:color w:val="59595B"/>
          <w:sz w:val="24"/>
          <w:szCs w:val="28"/>
          <w:lang w:val="en-GB" w:eastAsia="zh-CN"/>
        </w:rPr>
      </w:pPr>
    </w:p>
    <w:p w14:paraId="3958B7E1" w14:textId="77777777" w:rsidR="00165AAA" w:rsidRDefault="00165AAA" w:rsidP="00165AAA">
      <w:pPr>
        <w:rPr>
          <w:rFonts w:asciiTheme="minorHAnsi" w:eastAsiaTheme="majorEastAsia" w:hAnsiTheme="minorHAnsi" w:cstheme="minorHAnsi"/>
          <w:b/>
          <w:color w:val="59595B"/>
          <w:sz w:val="24"/>
          <w:szCs w:val="28"/>
          <w:lang w:val="en-GB" w:eastAsia="zh-CN"/>
        </w:rPr>
      </w:pPr>
    </w:p>
    <w:p w14:paraId="04C3F415" w14:textId="77777777" w:rsidR="00165AAA" w:rsidRDefault="00165AAA" w:rsidP="00165AAA">
      <w:pPr>
        <w:rPr>
          <w:rFonts w:asciiTheme="minorHAnsi" w:eastAsiaTheme="majorEastAsia" w:hAnsiTheme="minorHAnsi" w:cstheme="minorHAnsi"/>
          <w:b/>
          <w:color w:val="59595B"/>
          <w:sz w:val="24"/>
          <w:szCs w:val="28"/>
          <w:lang w:val="en-GB" w:eastAsia="zh-CN"/>
        </w:rPr>
      </w:pPr>
    </w:p>
    <w:p w14:paraId="714DB89C" w14:textId="77777777" w:rsidR="00165AAA" w:rsidRDefault="00165AAA" w:rsidP="00165AAA">
      <w:pPr>
        <w:rPr>
          <w:rFonts w:asciiTheme="minorHAnsi" w:eastAsiaTheme="majorEastAsia" w:hAnsiTheme="minorHAnsi" w:cstheme="minorHAnsi"/>
          <w:b/>
          <w:color w:val="59595B"/>
          <w:sz w:val="24"/>
          <w:szCs w:val="28"/>
          <w:lang w:val="en-GB" w:eastAsia="zh-CN"/>
        </w:rPr>
      </w:pPr>
    </w:p>
    <w:p w14:paraId="1028D1C1" w14:textId="77777777" w:rsidR="00165AAA" w:rsidRDefault="00165AAA" w:rsidP="00165AAA">
      <w:pPr>
        <w:rPr>
          <w:rFonts w:asciiTheme="minorHAnsi" w:eastAsiaTheme="majorEastAsia" w:hAnsiTheme="minorHAnsi" w:cstheme="minorHAnsi"/>
          <w:b/>
          <w:color w:val="59595B"/>
          <w:sz w:val="24"/>
          <w:szCs w:val="28"/>
          <w:lang w:val="en-GB" w:eastAsia="zh-CN"/>
        </w:rPr>
      </w:pPr>
    </w:p>
    <w:p w14:paraId="4662377E" w14:textId="77777777" w:rsidR="00165AAA" w:rsidRDefault="00165AAA" w:rsidP="00165AAA">
      <w:pPr>
        <w:rPr>
          <w:rFonts w:asciiTheme="minorHAnsi" w:eastAsiaTheme="majorEastAsia" w:hAnsiTheme="minorHAnsi" w:cstheme="minorHAnsi"/>
          <w:b/>
          <w:color w:val="59595B"/>
          <w:sz w:val="24"/>
          <w:szCs w:val="28"/>
          <w:lang w:val="en-GB" w:eastAsia="zh-CN"/>
        </w:rPr>
      </w:pPr>
    </w:p>
    <w:p w14:paraId="3A35A9F7" w14:textId="77777777" w:rsidR="00165AAA" w:rsidRDefault="00165AAA" w:rsidP="00165AAA">
      <w:pPr>
        <w:rPr>
          <w:rFonts w:asciiTheme="minorHAnsi" w:eastAsiaTheme="majorEastAsia" w:hAnsiTheme="minorHAnsi" w:cstheme="minorHAnsi"/>
          <w:b/>
          <w:color w:val="59595B"/>
          <w:sz w:val="24"/>
          <w:szCs w:val="28"/>
          <w:lang w:val="en-GB" w:eastAsia="zh-CN"/>
        </w:rPr>
      </w:pPr>
    </w:p>
    <w:p w14:paraId="5243FC8E" w14:textId="77777777" w:rsidR="00165AAA" w:rsidRDefault="00165AAA" w:rsidP="00165AAA">
      <w:pPr>
        <w:rPr>
          <w:rFonts w:asciiTheme="minorHAnsi" w:eastAsiaTheme="majorEastAsia" w:hAnsiTheme="minorHAnsi" w:cstheme="minorHAnsi"/>
          <w:b/>
          <w:color w:val="59595B"/>
          <w:sz w:val="24"/>
          <w:szCs w:val="28"/>
          <w:lang w:val="en-GB" w:eastAsia="zh-CN"/>
        </w:rPr>
      </w:pPr>
    </w:p>
    <w:p w14:paraId="043E650B" w14:textId="646A04B8" w:rsidR="00165AAA" w:rsidRPr="00476085" w:rsidRDefault="00165AAA" w:rsidP="00165AAA">
      <w:pPr>
        <w:rPr>
          <w:rFonts w:asciiTheme="minorHAnsi" w:eastAsiaTheme="majorEastAsia" w:hAnsiTheme="minorHAnsi" w:cstheme="minorHAnsi"/>
          <w:b/>
          <w:color w:val="59595B"/>
          <w:sz w:val="24"/>
          <w:szCs w:val="28"/>
          <w:lang w:val="en-GB" w:eastAsia="zh-CN"/>
        </w:rPr>
      </w:pPr>
      <w:r w:rsidRPr="00476085">
        <w:rPr>
          <w:rFonts w:asciiTheme="minorHAnsi" w:eastAsiaTheme="majorEastAsia" w:hAnsiTheme="minorHAnsi" w:cstheme="minorHAnsi"/>
          <w:b/>
          <w:color w:val="59595B"/>
          <w:sz w:val="24"/>
          <w:szCs w:val="28"/>
          <w:lang w:val="en-GB" w:eastAsia="zh-CN"/>
        </w:rPr>
        <w:lastRenderedPageBreak/>
        <w:t>Consolidated Statement of Cash Flows</w:t>
      </w:r>
    </w:p>
    <w:p w14:paraId="68B70E5E" w14:textId="77777777" w:rsidR="00165AAA" w:rsidRPr="00476085" w:rsidRDefault="00165AAA" w:rsidP="00165AAA">
      <w:pPr>
        <w:pStyle w:val="NoSpacing"/>
        <w:rPr>
          <w:rFonts w:asciiTheme="minorHAnsi" w:hAnsiTheme="minorHAnsi" w:cstheme="minorHAnsi"/>
          <w:color w:val="00679B"/>
          <w:sz w:val="24"/>
          <w:lang w:val="en-GB"/>
        </w:rPr>
      </w:pPr>
      <w:r w:rsidRPr="00476085">
        <w:rPr>
          <w:rFonts w:asciiTheme="minorHAnsi" w:hAnsiTheme="minorHAnsi" w:cstheme="minorHAnsi"/>
          <w:color w:val="00679B"/>
          <w:sz w:val="24"/>
          <w:lang w:val="en-GB"/>
        </w:rPr>
        <w:t xml:space="preserve">For the first </w:t>
      </w:r>
      <w:r>
        <w:rPr>
          <w:rFonts w:asciiTheme="minorHAnsi" w:hAnsiTheme="minorHAnsi" w:cstheme="minorHAnsi"/>
          <w:color w:val="00679B"/>
          <w:sz w:val="24"/>
          <w:lang w:val="en-GB"/>
        </w:rPr>
        <w:t>nine</w:t>
      </w:r>
      <w:r w:rsidRPr="00476085">
        <w:rPr>
          <w:rFonts w:asciiTheme="minorHAnsi" w:hAnsiTheme="minorHAnsi" w:cstheme="minorHAnsi"/>
          <w:color w:val="00679B"/>
          <w:sz w:val="24"/>
          <w:lang w:val="en-GB"/>
        </w:rPr>
        <w:t xml:space="preserve"> months ended 3</w:t>
      </w:r>
      <w:r>
        <w:rPr>
          <w:rFonts w:asciiTheme="minorHAnsi" w:hAnsiTheme="minorHAnsi" w:cstheme="minorHAnsi"/>
          <w:color w:val="00679B"/>
          <w:sz w:val="24"/>
          <w:lang w:val="en-GB"/>
        </w:rPr>
        <w:t>0</w:t>
      </w:r>
      <w:r w:rsidRPr="00476085">
        <w:rPr>
          <w:rFonts w:asciiTheme="minorHAnsi" w:hAnsiTheme="minorHAnsi" w:cstheme="minorHAnsi"/>
          <w:color w:val="00679B"/>
          <w:sz w:val="24"/>
          <w:lang w:val="en-GB"/>
        </w:rPr>
        <w:t xml:space="preserve"> </w:t>
      </w:r>
      <w:r>
        <w:rPr>
          <w:rFonts w:asciiTheme="minorHAnsi" w:hAnsiTheme="minorHAnsi" w:cstheme="minorHAnsi"/>
          <w:color w:val="00679B"/>
          <w:sz w:val="24"/>
          <w:lang w:val="en-GB"/>
        </w:rPr>
        <w:t>September</w:t>
      </w:r>
    </w:p>
    <w:p w14:paraId="51AF0EE7" w14:textId="77777777" w:rsidR="00165AAA" w:rsidRPr="00476085" w:rsidRDefault="00165AAA" w:rsidP="00165AAA">
      <w:pPr>
        <w:rPr>
          <w:rFonts w:asciiTheme="minorHAnsi" w:hAnsiTheme="minorHAnsi" w:cstheme="minorHAnsi"/>
          <w:b/>
          <w:color w:val="276E8B" w:themeColor="accent1" w:themeShade="BF"/>
          <w:szCs w:val="22"/>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165AAA" w:rsidRPr="009450B0" w14:paraId="46851A29" w14:textId="77777777" w:rsidTr="00165AAA">
        <w:trPr>
          <w:jc w:val="center"/>
        </w:trPr>
        <w:tc>
          <w:tcPr>
            <w:tcW w:w="5920" w:type="dxa"/>
            <w:tcBorders>
              <w:bottom w:val="nil"/>
            </w:tcBorders>
            <w:shd w:val="clear" w:color="auto" w:fill="auto"/>
          </w:tcPr>
          <w:p w14:paraId="43DB9D31" w14:textId="77777777" w:rsidR="00165AAA" w:rsidRPr="00476085" w:rsidRDefault="00165AAA" w:rsidP="00165AAA">
            <w:pPr>
              <w:tabs>
                <w:tab w:val="left" w:pos="3686"/>
                <w:tab w:val="right" w:pos="7200"/>
                <w:tab w:val="right" w:pos="8789"/>
                <w:tab w:val="right" w:pos="8820"/>
              </w:tabs>
              <w:autoSpaceDE w:val="0"/>
              <w:autoSpaceDN w:val="0"/>
              <w:adjustRightInd w:val="0"/>
              <w:rPr>
                <w:rFonts w:asciiTheme="minorHAnsi" w:hAnsiTheme="minorHAnsi" w:cstheme="minorHAnsi"/>
                <w:i/>
                <w:color w:val="276E8B" w:themeColor="accent1" w:themeShade="BF"/>
                <w:sz w:val="20"/>
                <w:szCs w:val="20"/>
                <w:lang w:val="en-GB"/>
              </w:rPr>
            </w:pPr>
            <w:r w:rsidRPr="00476085">
              <w:rPr>
                <w:rFonts w:asciiTheme="minorHAnsi" w:hAnsiTheme="minorHAnsi" w:cstheme="minorHAnsi"/>
                <w:b/>
                <w:bCs/>
                <w:color w:val="00679B"/>
                <w:sz w:val="20"/>
                <w:szCs w:val="20"/>
                <w:lang w:val="en-GB"/>
              </w:rPr>
              <w:t>Amounts in €’000</w:t>
            </w:r>
          </w:p>
        </w:tc>
        <w:tc>
          <w:tcPr>
            <w:tcW w:w="1559" w:type="dxa"/>
            <w:tcBorders>
              <w:bottom w:val="nil"/>
            </w:tcBorders>
            <w:shd w:val="clear" w:color="auto" w:fill="F2F2F2" w:themeFill="background1" w:themeFillShade="F2"/>
            <w:tcMar>
              <w:top w:w="28" w:type="dxa"/>
            </w:tcMar>
          </w:tcPr>
          <w:p w14:paraId="5B2A4282" w14:textId="77777777" w:rsidR="00165AAA" w:rsidRPr="00476085" w:rsidRDefault="00165AAA" w:rsidP="00165AAA">
            <w:pPr>
              <w:jc w:val="right"/>
              <w:rPr>
                <w:rFonts w:asciiTheme="minorHAnsi" w:hAnsiTheme="minorHAnsi" w:cstheme="minorHAnsi"/>
                <w:b/>
                <w:color w:val="00679B"/>
                <w:sz w:val="20"/>
                <w:szCs w:val="20"/>
                <w:lang w:val="en-GB"/>
              </w:rPr>
            </w:pPr>
            <w:r>
              <w:rPr>
                <w:rFonts w:asciiTheme="minorHAnsi" w:hAnsiTheme="minorHAnsi" w:cstheme="minorHAnsi"/>
                <w:b/>
                <w:color w:val="00679B"/>
                <w:sz w:val="20"/>
                <w:szCs w:val="20"/>
                <w:lang w:val="en-GB"/>
              </w:rPr>
              <w:t>YTD 2017</w:t>
            </w:r>
          </w:p>
        </w:tc>
        <w:tc>
          <w:tcPr>
            <w:tcW w:w="1473" w:type="dxa"/>
            <w:tcBorders>
              <w:bottom w:val="nil"/>
            </w:tcBorders>
            <w:shd w:val="clear" w:color="auto" w:fill="auto"/>
            <w:tcMar>
              <w:top w:w="28" w:type="dxa"/>
            </w:tcMar>
          </w:tcPr>
          <w:p w14:paraId="7F4649AB" w14:textId="77777777" w:rsidR="00165AAA" w:rsidRPr="009450B0" w:rsidRDefault="00165AAA" w:rsidP="00165AAA">
            <w:pPr>
              <w:jc w:val="right"/>
              <w:rPr>
                <w:rFonts w:ascii="Calibri Light" w:hAnsi="Calibri Light" w:cs="Calibri Light"/>
                <w:b/>
                <w:color w:val="00679B"/>
                <w:sz w:val="20"/>
                <w:szCs w:val="20"/>
                <w:lang w:val="en-GB"/>
              </w:rPr>
            </w:pPr>
            <w:r w:rsidRPr="009450B0">
              <w:rPr>
                <w:rFonts w:ascii="Calibri Light" w:hAnsi="Calibri Light" w:cs="Calibri Light"/>
                <w:b/>
                <w:sz w:val="20"/>
                <w:szCs w:val="20"/>
              </w:rPr>
              <w:t>YTD 2016</w:t>
            </w:r>
          </w:p>
        </w:tc>
      </w:tr>
      <w:tr w:rsidR="00165AAA" w:rsidRPr="009450B0" w14:paraId="0BED32A1" w14:textId="77777777" w:rsidTr="00165AAA">
        <w:trPr>
          <w:jc w:val="center"/>
        </w:trPr>
        <w:tc>
          <w:tcPr>
            <w:tcW w:w="5920" w:type="dxa"/>
            <w:tcBorders>
              <w:top w:val="nil"/>
              <w:bottom w:val="single" w:sz="4" w:space="0" w:color="BFBFBF" w:themeColor="background1" w:themeShade="BF"/>
            </w:tcBorders>
            <w:shd w:val="clear" w:color="auto" w:fill="auto"/>
          </w:tcPr>
          <w:p w14:paraId="7B49663E" w14:textId="77777777" w:rsidR="00165AAA" w:rsidRPr="00476085" w:rsidRDefault="00165AAA" w:rsidP="00165AAA">
            <w:pPr>
              <w:tabs>
                <w:tab w:val="left" w:pos="3686"/>
                <w:tab w:val="right" w:pos="7200"/>
                <w:tab w:val="right" w:pos="8789"/>
                <w:tab w:val="right" w:pos="8820"/>
              </w:tabs>
              <w:autoSpaceDE w:val="0"/>
              <w:autoSpaceDN w:val="0"/>
              <w:adjustRightInd w:val="0"/>
              <w:rPr>
                <w:rFonts w:asciiTheme="minorHAnsi" w:hAnsiTheme="minorHAnsi" w:cstheme="minorHAnsi"/>
                <w:b/>
                <w:bCs/>
                <w:color w:val="00679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49E44013" w14:textId="77777777" w:rsidR="00165AAA" w:rsidRPr="00476085" w:rsidRDefault="00165AAA" w:rsidP="00165AAA">
            <w:pPr>
              <w:jc w:val="right"/>
              <w:rPr>
                <w:rFonts w:asciiTheme="minorHAnsi" w:hAnsiTheme="minorHAnsi" w:cstheme="minorHAnsi"/>
                <w:b/>
                <w:color w:val="276E8B" w:themeColor="accent1" w:themeShade="BF"/>
                <w:sz w:val="20"/>
                <w:szCs w:val="20"/>
                <w:lang w:val="en-GB"/>
              </w:rPr>
            </w:pPr>
          </w:p>
        </w:tc>
        <w:tc>
          <w:tcPr>
            <w:tcW w:w="1473" w:type="dxa"/>
            <w:tcBorders>
              <w:top w:val="nil"/>
              <w:bottom w:val="single" w:sz="4" w:space="0" w:color="BFBFBF" w:themeColor="background1" w:themeShade="BF"/>
            </w:tcBorders>
            <w:shd w:val="clear" w:color="auto" w:fill="auto"/>
            <w:tcMar>
              <w:top w:w="28" w:type="dxa"/>
            </w:tcMar>
          </w:tcPr>
          <w:p w14:paraId="547AF3F0" w14:textId="77777777" w:rsidR="00165AAA" w:rsidRPr="009450B0" w:rsidRDefault="00165AAA" w:rsidP="00165AAA">
            <w:pPr>
              <w:jc w:val="right"/>
              <w:rPr>
                <w:rFonts w:ascii="Calibri Light" w:hAnsi="Calibri Light" w:cs="Calibri Light"/>
                <w:b/>
                <w:color w:val="276E8B" w:themeColor="accent1" w:themeShade="BF"/>
                <w:sz w:val="20"/>
                <w:szCs w:val="20"/>
                <w:lang w:val="en-GB"/>
              </w:rPr>
            </w:pPr>
          </w:p>
        </w:tc>
      </w:tr>
      <w:tr w:rsidR="00165AAA" w:rsidRPr="009450B0" w14:paraId="1EFA6569" w14:textId="77777777" w:rsidTr="00165AAA">
        <w:trPr>
          <w:jc w:val="center"/>
        </w:trPr>
        <w:tc>
          <w:tcPr>
            <w:tcW w:w="5920" w:type="dxa"/>
            <w:tcBorders>
              <w:top w:val="single" w:sz="4" w:space="0" w:color="BFBFBF" w:themeColor="background1" w:themeShade="BF"/>
              <w:bottom w:val="single" w:sz="4" w:space="0" w:color="BFBFBF" w:themeColor="background1" w:themeShade="BF"/>
            </w:tcBorders>
          </w:tcPr>
          <w:p w14:paraId="25BC084E"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b/>
                <w:bCs/>
                <w:color w:val="59595B"/>
                <w:sz w:val="20"/>
                <w:szCs w:val="20"/>
                <w:lang w:val="en-GB"/>
              </w:rPr>
              <w:t>Operating result</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39976C8E" w14:textId="2D39D84F" w:rsidR="00165AAA" w:rsidRPr="00476085" w:rsidRDefault="00523617"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12,725</w:t>
            </w:r>
          </w:p>
        </w:tc>
        <w:tc>
          <w:tcPr>
            <w:tcW w:w="1473" w:type="dxa"/>
            <w:tcBorders>
              <w:top w:val="single" w:sz="4" w:space="0" w:color="BFBFBF" w:themeColor="background1" w:themeShade="BF"/>
              <w:bottom w:val="single" w:sz="4" w:space="0" w:color="BFBFBF" w:themeColor="background1" w:themeShade="BF"/>
            </w:tcBorders>
            <w:tcMar>
              <w:top w:w="28" w:type="dxa"/>
            </w:tcMar>
          </w:tcPr>
          <w:p w14:paraId="012C63B9"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(9,387)</w:t>
            </w:r>
          </w:p>
        </w:tc>
      </w:tr>
      <w:tr w:rsidR="00165AAA" w:rsidRPr="009450B0" w14:paraId="15E6F150" w14:textId="77777777" w:rsidTr="00165AAA">
        <w:trPr>
          <w:jc w:val="center"/>
        </w:trPr>
        <w:tc>
          <w:tcPr>
            <w:tcW w:w="5920" w:type="dxa"/>
            <w:tcBorders>
              <w:bottom w:val="nil"/>
            </w:tcBorders>
          </w:tcPr>
          <w:p w14:paraId="07111F47"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36E99344"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39C356D5"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0710663B" w14:textId="77777777" w:rsidTr="00165AAA">
        <w:trPr>
          <w:jc w:val="center"/>
        </w:trPr>
        <w:tc>
          <w:tcPr>
            <w:tcW w:w="5920" w:type="dxa"/>
            <w:tcBorders>
              <w:top w:val="nil"/>
              <w:bottom w:val="nil"/>
            </w:tcBorders>
          </w:tcPr>
          <w:p w14:paraId="57C44BEC"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20A18FFA"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11D2B3B"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46C880F6" w14:textId="77777777" w:rsidTr="00165AAA">
        <w:trPr>
          <w:jc w:val="center"/>
        </w:trPr>
        <w:tc>
          <w:tcPr>
            <w:tcW w:w="5920" w:type="dxa"/>
            <w:tcBorders>
              <w:top w:val="nil"/>
              <w:bottom w:val="nil"/>
            </w:tcBorders>
          </w:tcPr>
          <w:p w14:paraId="1B2E9936"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65B873CC"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2,543</w:t>
            </w:r>
          </w:p>
        </w:tc>
        <w:tc>
          <w:tcPr>
            <w:tcW w:w="1473" w:type="dxa"/>
            <w:tcBorders>
              <w:top w:val="nil"/>
              <w:bottom w:val="nil"/>
            </w:tcBorders>
            <w:tcMar>
              <w:top w:w="28" w:type="dxa"/>
            </w:tcMar>
          </w:tcPr>
          <w:p w14:paraId="703F4860"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447</w:t>
            </w:r>
          </w:p>
        </w:tc>
      </w:tr>
      <w:tr w:rsidR="00165AAA" w:rsidRPr="009450B0" w14:paraId="67B15349" w14:textId="77777777" w:rsidTr="00165AAA">
        <w:trPr>
          <w:jc w:val="center"/>
        </w:trPr>
        <w:tc>
          <w:tcPr>
            <w:tcW w:w="5920" w:type="dxa"/>
            <w:tcBorders>
              <w:top w:val="nil"/>
              <w:bottom w:val="nil"/>
            </w:tcBorders>
          </w:tcPr>
          <w:p w14:paraId="15084166"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78C1AC56"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1,308</w:t>
            </w:r>
          </w:p>
        </w:tc>
        <w:tc>
          <w:tcPr>
            <w:tcW w:w="1473" w:type="dxa"/>
            <w:tcBorders>
              <w:top w:val="nil"/>
              <w:bottom w:val="nil"/>
            </w:tcBorders>
            <w:tcMar>
              <w:top w:w="28" w:type="dxa"/>
            </w:tcMar>
          </w:tcPr>
          <w:p w14:paraId="38FD479E"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1,435</w:t>
            </w:r>
          </w:p>
        </w:tc>
      </w:tr>
      <w:tr w:rsidR="00165AAA" w:rsidRPr="009450B0" w14:paraId="1B1AC4AB" w14:textId="77777777" w:rsidTr="00165AAA">
        <w:trPr>
          <w:jc w:val="center"/>
        </w:trPr>
        <w:tc>
          <w:tcPr>
            <w:tcW w:w="5920" w:type="dxa"/>
            <w:tcBorders>
              <w:top w:val="nil"/>
              <w:bottom w:val="nil"/>
            </w:tcBorders>
          </w:tcPr>
          <w:p w14:paraId="18D4FE06"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Deferred license fees</w:t>
            </w:r>
          </w:p>
        </w:tc>
        <w:tc>
          <w:tcPr>
            <w:tcW w:w="1559" w:type="dxa"/>
            <w:tcBorders>
              <w:top w:val="nil"/>
              <w:bottom w:val="nil"/>
            </w:tcBorders>
            <w:shd w:val="clear" w:color="auto" w:fill="F2F2F2" w:themeFill="background1" w:themeFillShade="F2"/>
            <w:tcMar>
              <w:top w:w="28" w:type="dxa"/>
            </w:tcMar>
          </w:tcPr>
          <w:p w14:paraId="3E21F23D"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(741</w:t>
            </w:r>
            <w:r w:rsidRPr="00476085">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3756E1A2"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(1,656)</w:t>
            </w:r>
          </w:p>
        </w:tc>
      </w:tr>
      <w:tr w:rsidR="00165AAA" w:rsidRPr="009450B0" w14:paraId="113F65E8" w14:textId="77777777" w:rsidTr="00165AAA">
        <w:trPr>
          <w:jc w:val="center"/>
        </w:trPr>
        <w:tc>
          <w:tcPr>
            <w:tcW w:w="5920" w:type="dxa"/>
            <w:tcBorders>
              <w:top w:val="nil"/>
              <w:bottom w:val="nil"/>
            </w:tcBorders>
          </w:tcPr>
          <w:p w14:paraId="6CF78C2A"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6FC9225D" w14:textId="05B3BBAC" w:rsidR="00165AAA" w:rsidRPr="00476085" w:rsidRDefault="00523617"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15,835</w:t>
            </w:r>
          </w:p>
        </w:tc>
        <w:tc>
          <w:tcPr>
            <w:tcW w:w="1473" w:type="dxa"/>
            <w:tcBorders>
              <w:top w:val="nil"/>
              <w:bottom w:val="nil"/>
            </w:tcBorders>
            <w:tcMar>
              <w:top w:w="28" w:type="dxa"/>
            </w:tcMar>
          </w:tcPr>
          <w:p w14:paraId="12383469"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(9,161)</w:t>
            </w:r>
          </w:p>
        </w:tc>
      </w:tr>
      <w:tr w:rsidR="00165AAA" w:rsidRPr="009450B0" w14:paraId="2C59D28B" w14:textId="77777777" w:rsidTr="00165AAA">
        <w:trPr>
          <w:jc w:val="center"/>
        </w:trPr>
        <w:tc>
          <w:tcPr>
            <w:tcW w:w="5920" w:type="dxa"/>
            <w:tcBorders>
              <w:top w:val="nil"/>
              <w:bottom w:val="nil"/>
            </w:tcBorders>
          </w:tcPr>
          <w:p w14:paraId="48352CE1"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3B078509"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2A87872F"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413E8A17" w14:textId="77777777" w:rsidTr="00165AAA">
        <w:trPr>
          <w:jc w:val="center"/>
        </w:trPr>
        <w:tc>
          <w:tcPr>
            <w:tcW w:w="5920" w:type="dxa"/>
            <w:tcBorders>
              <w:top w:val="nil"/>
              <w:bottom w:val="nil"/>
            </w:tcBorders>
          </w:tcPr>
          <w:p w14:paraId="0CEEE861"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44558876"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2060EBB0"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252235D7" w14:textId="77777777" w:rsidTr="00165AAA">
        <w:trPr>
          <w:jc w:val="center"/>
        </w:trPr>
        <w:tc>
          <w:tcPr>
            <w:tcW w:w="5920" w:type="dxa"/>
            <w:tcBorders>
              <w:top w:val="nil"/>
              <w:bottom w:val="nil"/>
            </w:tcBorders>
          </w:tcPr>
          <w:p w14:paraId="17447551"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3855598D" w14:textId="5F97CCC9"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w:t>
            </w:r>
            <w:r w:rsidR="00523617">
              <w:rPr>
                <w:rFonts w:asciiTheme="minorHAnsi" w:hAnsiTheme="minorHAnsi" w:cstheme="minorHAnsi"/>
                <w:color w:val="59595B"/>
                <w:sz w:val="20"/>
                <w:szCs w:val="20"/>
                <w:lang w:val="en-GB"/>
              </w:rPr>
              <w:t>54</w:t>
            </w:r>
            <w:r w:rsidRPr="00476085">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3D5947BF"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(2,150)</w:t>
            </w:r>
          </w:p>
        </w:tc>
      </w:tr>
      <w:tr w:rsidR="00165AAA" w:rsidRPr="009450B0" w14:paraId="565FD134" w14:textId="77777777" w:rsidTr="00165AAA">
        <w:trPr>
          <w:jc w:val="center"/>
        </w:trPr>
        <w:tc>
          <w:tcPr>
            <w:tcW w:w="5920" w:type="dxa"/>
            <w:tcBorders>
              <w:top w:val="nil"/>
              <w:bottom w:val="nil"/>
            </w:tcBorders>
          </w:tcPr>
          <w:p w14:paraId="2C784F93"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1E918568" w14:textId="3F565A0E" w:rsidR="00165AAA" w:rsidRPr="00476085" w:rsidRDefault="00165AAA" w:rsidP="00165AAA">
            <w:pPr>
              <w:jc w:val="right"/>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w:t>
            </w:r>
            <w:r w:rsidR="00523617">
              <w:rPr>
                <w:rFonts w:asciiTheme="minorHAnsi" w:hAnsiTheme="minorHAnsi" w:cstheme="minorHAnsi"/>
                <w:color w:val="59595B"/>
                <w:sz w:val="20"/>
                <w:szCs w:val="20"/>
                <w:lang w:val="en-GB"/>
              </w:rPr>
              <w:t>9,358</w:t>
            </w:r>
            <w:r w:rsidRPr="00476085">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4FB7B9CD"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(2,652)</w:t>
            </w:r>
          </w:p>
        </w:tc>
      </w:tr>
      <w:tr w:rsidR="00165AAA" w:rsidRPr="009450B0" w14:paraId="2AA643B8" w14:textId="77777777" w:rsidTr="00165AAA">
        <w:trPr>
          <w:jc w:val="center"/>
        </w:trPr>
        <w:tc>
          <w:tcPr>
            <w:tcW w:w="5920" w:type="dxa"/>
            <w:tcBorders>
              <w:top w:val="nil"/>
              <w:bottom w:val="nil"/>
            </w:tcBorders>
          </w:tcPr>
          <w:p w14:paraId="34E988AA"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7E2CB440" w14:textId="2772C9B4"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2,97</w:t>
            </w:r>
            <w:r w:rsidR="00523617">
              <w:rPr>
                <w:rFonts w:asciiTheme="minorHAnsi" w:hAnsiTheme="minorHAnsi" w:cstheme="minorHAnsi"/>
                <w:color w:val="59595B"/>
                <w:sz w:val="20"/>
                <w:szCs w:val="20"/>
                <w:lang w:val="en-GB"/>
              </w:rPr>
              <w:t>7</w:t>
            </w:r>
          </w:p>
        </w:tc>
        <w:tc>
          <w:tcPr>
            <w:tcW w:w="1473" w:type="dxa"/>
            <w:tcBorders>
              <w:top w:val="nil"/>
              <w:bottom w:val="nil"/>
            </w:tcBorders>
            <w:tcMar>
              <w:top w:w="28" w:type="dxa"/>
            </w:tcMar>
          </w:tcPr>
          <w:p w14:paraId="140BFAEE"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2,709</w:t>
            </w:r>
          </w:p>
        </w:tc>
      </w:tr>
      <w:tr w:rsidR="00165AAA" w:rsidRPr="009450B0" w14:paraId="12FF957F" w14:textId="77777777" w:rsidTr="00165AAA">
        <w:trPr>
          <w:jc w:val="center"/>
        </w:trPr>
        <w:tc>
          <w:tcPr>
            <w:tcW w:w="5920" w:type="dxa"/>
            <w:tcBorders>
              <w:top w:val="nil"/>
              <w:bottom w:val="nil"/>
            </w:tcBorders>
          </w:tcPr>
          <w:p w14:paraId="4780B9B8" w14:textId="77777777" w:rsidR="00165AAA" w:rsidRPr="00476085" w:rsidRDefault="00165AAA" w:rsidP="00165AAA">
            <w:pPr>
              <w:rPr>
                <w:rFonts w:asciiTheme="minorHAnsi" w:hAnsiTheme="minorHAnsi" w:cstheme="minorHAnsi"/>
                <w:b/>
                <w:bCs/>
                <w:color w:val="59595B"/>
                <w:sz w:val="20"/>
                <w:szCs w:val="20"/>
                <w:lang w:val="en-GB"/>
              </w:rPr>
            </w:pPr>
            <w:r w:rsidRPr="00476085">
              <w:rPr>
                <w:rFonts w:asciiTheme="minorHAnsi" w:hAnsiTheme="minorHAnsi" w:cstheme="minorHAnsi"/>
                <w:b/>
                <w:bCs/>
                <w:color w:val="59595B"/>
                <w:sz w:val="20"/>
                <w:szCs w:val="20"/>
                <w:lang w:val="en-GB"/>
              </w:rPr>
              <w:t>Total changes in working capital</w:t>
            </w:r>
          </w:p>
          <w:p w14:paraId="30619373"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2A6260D2" w14:textId="19B1B244"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w:t>
            </w:r>
            <w:r w:rsidR="00523617">
              <w:rPr>
                <w:rFonts w:asciiTheme="minorHAnsi" w:hAnsiTheme="minorHAnsi" w:cstheme="minorHAnsi"/>
                <w:b/>
                <w:color w:val="59595B"/>
                <w:sz w:val="20"/>
                <w:szCs w:val="20"/>
                <w:lang w:val="en-GB"/>
              </w:rPr>
              <w:t>6,435</w:t>
            </w:r>
            <w:r>
              <w:rPr>
                <w:rFonts w:asciiTheme="minorHAnsi" w:hAnsiTheme="minorHAnsi" w:cstheme="minorHAnsi"/>
                <w:b/>
                <w:color w:val="59595B"/>
                <w:sz w:val="20"/>
                <w:szCs w:val="20"/>
                <w:lang w:val="en-GB"/>
              </w:rPr>
              <w:t>)</w:t>
            </w:r>
          </w:p>
        </w:tc>
        <w:tc>
          <w:tcPr>
            <w:tcW w:w="1473" w:type="dxa"/>
            <w:tcBorders>
              <w:top w:val="nil"/>
              <w:bottom w:val="nil"/>
            </w:tcBorders>
            <w:tcMar>
              <w:top w:w="28" w:type="dxa"/>
            </w:tcMar>
          </w:tcPr>
          <w:p w14:paraId="1B291B0E"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(2,093)</w:t>
            </w:r>
          </w:p>
        </w:tc>
      </w:tr>
      <w:tr w:rsidR="00165AAA" w:rsidRPr="009450B0" w14:paraId="1BB51A73" w14:textId="77777777" w:rsidTr="00165AAA">
        <w:trPr>
          <w:jc w:val="center"/>
        </w:trPr>
        <w:tc>
          <w:tcPr>
            <w:tcW w:w="5920" w:type="dxa"/>
            <w:tcBorders>
              <w:top w:val="nil"/>
              <w:bottom w:val="nil"/>
            </w:tcBorders>
          </w:tcPr>
          <w:p w14:paraId="7216DF75" w14:textId="77777777" w:rsidR="00165AAA" w:rsidRPr="00476085" w:rsidRDefault="00165AAA" w:rsidP="00165AAA">
            <w:pPr>
              <w:rPr>
                <w:rFonts w:asciiTheme="minorHAnsi" w:hAnsiTheme="minorHAnsi" w:cstheme="minorHAnsi"/>
                <w:b/>
                <w:bCs/>
                <w:color w:val="59595B"/>
                <w:sz w:val="20"/>
                <w:szCs w:val="20"/>
                <w:lang w:val="en-GB"/>
              </w:rPr>
            </w:pPr>
            <w:r w:rsidRPr="00476085">
              <w:rPr>
                <w:rFonts w:asciiTheme="minorHAnsi" w:hAnsiTheme="minorHAnsi" w:cstheme="minorHAnsi"/>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72877FCA" w14:textId="77777777" w:rsidR="00165AAA" w:rsidRPr="00B54B0C" w:rsidRDefault="00165AAA" w:rsidP="00165AAA">
            <w:pPr>
              <w:jc w:val="right"/>
              <w:rPr>
                <w:rFonts w:asciiTheme="minorHAnsi" w:hAnsiTheme="minorHAnsi" w:cstheme="minorHAnsi"/>
                <w:b/>
                <w:color w:val="59595B"/>
                <w:sz w:val="20"/>
                <w:szCs w:val="20"/>
                <w:highlight w:val="red"/>
                <w:lang w:val="en-GB"/>
              </w:rPr>
            </w:pPr>
            <w:r w:rsidRPr="00284539">
              <w:rPr>
                <w:rFonts w:asciiTheme="minorHAnsi" w:hAnsiTheme="minorHAnsi" w:cstheme="minorHAnsi"/>
                <w:b/>
                <w:color w:val="59595B"/>
                <w:sz w:val="20"/>
                <w:szCs w:val="20"/>
                <w:lang w:val="en-GB"/>
              </w:rPr>
              <w:t>524</w:t>
            </w:r>
          </w:p>
        </w:tc>
        <w:tc>
          <w:tcPr>
            <w:tcW w:w="1473" w:type="dxa"/>
            <w:tcBorders>
              <w:top w:val="nil"/>
              <w:bottom w:val="nil"/>
            </w:tcBorders>
            <w:tcMar>
              <w:top w:w="28" w:type="dxa"/>
            </w:tcMar>
          </w:tcPr>
          <w:p w14:paraId="533E64FD"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(764)</w:t>
            </w:r>
          </w:p>
        </w:tc>
      </w:tr>
      <w:tr w:rsidR="00165AAA" w:rsidRPr="009450B0" w14:paraId="62593BBB" w14:textId="77777777" w:rsidTr="00165AAA">
        <w:trPr>
          <w:jc w:val="center"/>
        </w:trPr>
        <w:tc>
          <w:tcPr>
            <w:tcW w:w="5920" w:type="dxa"/>
            <w:tcBorders>
              <w:top w:val="nil"/>
              <w:bottom w:val="single" w:sz="4" w:space="0" w:color="BFBFBF" w:themeColor="background1" w:themeShade="BF"/>
            </w:tcBorders>
          </w:tcPr>
          <w:p w14:paraId="0DC46DC5" w14:textId="77777777" w:rsidR="00165AAA" w:rsidRPr="00476085" w:rsidRDefault="00165AAA" w:rsidP="00165AAA">
            <w:pPr>
              <w:rPr>
                <w:rFonts w:asciiTheme="minorHAnsi" w:hAnsiTheme="minorHAnsi" w:cstheme="minorHAnsi"/>
                <w:b/>
                <w:bCs/>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43B3D6B0"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653FF9A6"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15C904E6" w14:textId="77777777" w:rsidTr="00165AAA">
        <w:trPr>
          <w:jc w:val="center"/>
        </w:trPr>
        <w:tc>
          <w:tcPr>
            <w:tcW w:w="5920" w:type="dxa"/>
            <w:tcBorders>
              <w:top w:val="single" w:sz="4" w:space="0" w:color="BFBFBF" w:themeColor="background1" w:themeShade="BF"/>
              <w:bottom w:val="single" w:sz="4" w:space="0" w:color="BFBFBF" w:themeColor="background1" w:themeShade="BF"/>
            </w:tcBorders>
          </w:tcPr>
          <w:p w14:paraId="14555A64" w14:textId="3A2BCAA6"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 xml:space="preserve">Net cash flows </w:t>
            </w:r>
            <w:r w:rsidR="00B55281">
              <w:rPr>
                <w:rFonts w:asciiTheme="minorHAnsi" w:hAnsiTheme="minorHAnsi" w:cstheme="minorHAnsi"/>
                <w:b/>
                <w:color w:val="59595B"/>
                <w:sz w:val="20"/>
                <w:szCs w:val="20"/>
                <w:lang w:val="en-GB"/>
              </w:rPr>
              <w:t xml:space="preserve">from </w:t>
            </w:r>
            <w:r w:rsidRPr="00476085">
              <w:rPr>
                <w:rFonts w:asciiTheme="minorHAnsi" w:hAnsiTheme="minorHAnsi" w:cstheme="minorHAnsi"/>
                <w:b/>
                <w:color w:val="59595B"/>
                <w:sz w:val="20"/>
                <w:szCs w:val="20"/>
                <w:lang w:val="en-GB"/>
              </w:rPr>
              <w:t>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29795F8F" w14:textId="77777777"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9,924</w:t>
            </w:r>
          </w:p>
        </w:tc>
        <w:tc>
          <w:tcPr>
            <w:tcW w:w="1473" w:type="dxa"/>
            <w:tcBorders>
              <w:top w:val="single" w:sz="4" w:space="0" w:color="BFBFBF" w:themeColor="background1" w:themeShade="BF"/>
              <w:bottom w:val="single" w:sz="4" w:space="0" w:color="BFBFBF" w:themeColor="background1" w:themeShade="BF"/>
            </w:tcBorders>
            <w:tcMar>
              <w:top w:w="28" w:type="dxa"/>
            </w:tcMar>
          </w:tcPr>
          <w:p w14:paraId="3053B164"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(12,018)</w:t>
            </w:r>
          </w:p>
        </w:tc>
      </w:tr>
      <w:tr w:rsidR="00165AAA" w:rsidRPr="009450B0" w14:paraId="63BC70BA" w14:textId="77777777" w:rsidTr="00165AAA">
        <w:trPr>
          <w:jc w:val="center"/>
        </w:trPr>
        <w:tc>
          <w:tcPr>
            <w:tcW w:w="5920" w:type="dxa"/>
            <w:tcBorders>
              <w:top w:val="nil"/>
              <w:bottom w:val="nil"/>
            </w:tcBorders>
          </w:tcPr>
          <w:p w14:paraId="5BCDAE8A"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7CADCCCE"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(2,518)</w:t>
            </w:r>
          </w:p>
        </w:tc>
        <w:tc>
          <w:tcPr>
            <w:tcW w:w="1473" w:type="dxa"/>
            <w:tcBorders>
              <w:top w:val="nil"/>
              <w:bottom w:val="nil"/>
            </w:tcBorders>
            <w:tcMar>
              <w:top w:w="28" w:type="dxa"/>
            </w:tcMar>
          </w:tcPr>
          <w:p w14:paraId="3296F186"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(922)</w:t>
            </w:r>
          </w:p>
        </w:tc>
      </w:tr>
      <w:tr w:rsidR="00165AAA" w:rsidRPr="009450B0" w14:paraId="538E8425" w14:textId="77777777" w:rsidTr="00165AAA">
        <w:trPr>
          <w:jc w:val="center"/>
        </w:trPr>
        <w:tc>
          <w:tcPr>
            <w:tcW w:w="5920" w:type="dxa"/>
            <w:tcBorders>
              <w:top w:val="nil"/>
              <w:bottom w:val="nil"/>
            </w:tcBorders>
          </w:tcPr>
          <w:p w14:paraId="4F3D819C" w14:textId="027B1BA2" w:rsidR="00165AAA" w:rsidRPr="00476085" w:rsidRDefault="009E5DAE" w:rsidP="00165AAA">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Investment</w:t>
            </w:r>
            <w:r w:rsidR="00DC5C40">
              <w:rPr>
                <w:rFonts w:asciiTheme="minorHAnsi" w:hAnsiTheme="minorHAnsi" w:cstheme="minorHAnsi"/>
                <w:color w:val="59595B"/>
                <w:sz w:val="20"/>
                <w:szCs w:val="20"/>
                <w:lang w:val="en-GB"/>
              </w:rPr>
              <w:t>s</w:t>
            </w:r>
            <w:r>
              <w:rPr>
                <w:rFonts w:asciiTheme="minorHAnsi" w:hAnsiTheme="minorHAnsi" w:cstheme="minorHAnsi"/>
                <w:color w:val="59595B"/>
                <w:sz w:val="20"/>
                <w:szCs w:val="20"/>
                <w:lang w:val="en-GB"/>
              </w:rPr>
              <w:t xml:space="preserve"> in intangible assets</w:t>
            </w:r>
          </w:p>
        </w:tc>
        <w:tc>
          <w:tcPr>
            <w:tcW w:w="1559" w:type="dxa"/>
            <w:tcBorders>
              <w:top w:val="nil"/>
              <w:bottom w:val="nil"/>
            </w:tcBorders>
            <w:shd w:val="clear" w:color="auto" w:fill="F2F2F2" w:themeFill="background1" w:themeFillShade="F2"/>
            <w:tcMar>
              <w:top w:w="28" w:type="dxa"/>
            </w:tcMar>
          </w:tcPr>
          <w:p w14:paraId="05A2290C" w14:textId="77777777" w:rsidR="00165AAA" w:rsidRPr="00476085" w:rsidRDefault="00165AAA" w:rsidP="00165AAA">
            <w:pPr>
              <w:jc w:val="right"/>
              <w:rPr>
                <w:rFonts w:asciiTheme="minorHAnsi" w:hAnsiTheme="minorHAnsi" w:cstheme="minorHAnsi"/>
                <w:bCs/>
                <w:color w:val="59595B"/>
                <w:sz w:val="20"/>
                <w:lang w:val="en-GB"/>
              </w:rPr>
            </w:pPr>
            <w:r>
              <w:rPr>
                <w:rFonts w:asciiTheme="minorHAnsi" w:hAnsiTheme="minorHAnsi" w:cstheme="minorHAnsi"/>
                <w:bCs/>
                <w:color w:val="59595B"/>
                <w:sz w:val="20"/>
                <w:lang w:val="en-GB"/>
              </w:rPr>
              <w:t>(2,189)</w:t>
            </w:r>
          </w:p>
        </w:tc>
        <w:tc>
          <w:tcPr>
            <w:tcW w:w="1473" w:type="dxa"/>
            <w:tcBorders>
              <w:top w:val="nil"/>
              <w:bottom w:val="nil"/>
            </w:tcBorders>
            <w:tcMar>
              <w:top w:w="28" w:type="dxa"/>
            </w:tcMar>
          </w:tcPr>
          <w:p w14:paraId="390D7000"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w:t>
            </w:r>
          </w:p>
        </w:tc>
      </w:tr>
      <w:tr w:rsidR="00165AAA" w:rsidRPr="009450B0" w14:paraId="07C8682F" w14:textId="77777777" w:rsidTr="00165AAA">
        <w:trPr>
          <w:jc w:val="center"/>
        </w:trPr>
        <w:tc>
          <w:tcPr>
            <w:tcW w:w="5920" w:type="dxa"/>
            <w:tcBorders>
              <w:top w:val="nil"/>
              <w:bottom w:val="single" w:sz="4" w:space="0" w:color="BFBFBF" w:themeColor="background1" w:themeShade="BF"/>
            </w:tcBorders>
          </w:tcPr>
          <w:p w14:paraId="1D70589C"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A0411FD" w14:textId="77777777" w:rsidR="00165AAA" w:rsidRPr="00476085" w:rsidRDefault="00165AAA" w:rsidP="00165AAA">
            <w:pPr>
              <w:jc w:val="right"/>
              <w:rPr>
                <w:rFonts w:asciiTheme="minorHAnsi" w:hAnsiTheme="minorHAnsi" w:cstheme="minorHAnsi"/>
                <w:bCs/>
                <w:color w:val="59595B"/>
                <w:sz w:val="20"/>
                <w:lang w:val="en-GB"/>
              </w:rPr>
            </w:pPr>
          </w:p>
        </w:tc>
        <w:tc>
          <w:tcPr>
            <w:tcW w:w="1473" w:type="dxa"/>
            <w:tcBorders>
              <w:top w:val="nil"/>
              <w:bottom w:val="single" w:sz="4" w:space="0" w:color="BFBFBF" w:themeColor="background1" w:themeShade="BF"/>
            </w:tcBorders>
            <w:tcMar>
              <w:top w:w="28" w:type="dxa"/>
            </w:tcMar>
          </w:tcPr>
          <w:p w14:paraId="09331565"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7827A400" w14:textId="77777777" w:rsidTr="00165AAA">
        <w:trPr>
          <w:jc w:val="center"/>
        </w:trPr>
        <w:tc>
          <w:tcPr>
            <w:tcW w:w="5920" w:type="dxa"/>
            <w:tcBorders>
              <w:top w:val="single" w:sz="4" w:space="0" w:color="BFBFBF" w:themeColor="background1" w:themeShade="BF"/>
              <w:bottom w:val="single" w:sz="4" w:space="0" w:color="BFBFBF" w:themeColor="background1" w:themeShade="BF"/>
            </w:tcBorders>
          </w:tcPr>
          <w:p w14:paraId="2E519829"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B472282" w14:textId="77777777" w:rsidR="00165AAA" w:rsidRPr="00476085" w:rsidRDefault="00165AAA" w:rsidP="00165AAA">
            <w:pPr>
              <w:jc w:val="right"/>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w:t>
            </w:r>
            <w:r>
              <w:rPr>
                <w:rFonts w:asciiTheme="minorHAnsi" w:hAnsiTheme="minorHAnsi" w:cstheme="minorHAnsi"/>
                <w:b/>
                <w:color w:val="59595B"/>
                <w:sz w:val="20"/>
                <w:szCs w:val="20"/>
                <w:lang w:val="en-GB"/>
              </w:rPr>
              <w:t>4,707</w:t>
            </w:r>
            <w:r w:rsidRPr="00476085">
              <w:rPr>
                <w:rFonts w:asciiTheme="minorHAnsi" w:hAnsiTheme="minorHAnsi" w:cstheme="minorHAnsi"/>
                <w:b/>
                <w:color w:val="59595B"/>
                <w:sz w:val="20"/>
                <w:szCs w:val="20"/>
                <w:lang w:val="en-GB"/>
              </w:rPr>
              <w:t>)</w:t>
            </w:r>
          </w:p>
        </w:tc>
        <w:tc>
          <w:tcPr>
            <w:tcW w:w="1473" w:type="dxa"/>
            <w:tcBorders>
              <w:top w:val="single" w:sz="4" w:space="0" w:color="BFBFBF" w:themeColor="background1" w:themeShade="BF"/>
              <w:bottom w:val="single" w:sz="4" w:space="0" w:color="BFBFBF" w:themeColor="background1" w:themeShade="BF"/>
            </w:tcBorders>
            <w:tcMar>
              <w:top w:w="28" w:type="dxa"/>
            </w:tcMar>
          </w:tcPr>
          <w:p w14:paraId="43037EE3"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(922)</w:t>
            </w:r>
          </w:p>
        </w:tc>
      </w:tr>
      <w:tr w:rsidR="00165AAA" w:rsidRPr="009450B0" w14:paraId="6E964AAE" w14:textId="77777777" w:rsidTr="00165AAA">
        <w:trPr>
          <w:jc w:val="center"/>
        </w:trPr>
        <w:tc>
          <w:tcPr>
            <w:tcW w:w="5920" w:type="dxa"/>
            <w:tcBorders>
              <w:top w:val="nil"/>
              <w:bottom w:val="nil"/>
            </w:tcBorders>
          </w:tcPr>
          <w:p w14:paraId="23CB9687"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Proceeds of debt loans</w:t>
            </w:r>
          </w:p>
        </w:tc>
        <w:tc>
          <w:tcPr>
            <w:tcW w:w="1559" w:type="dxa"/>
            <w:tcBorders>
              <w:top w:val="nil"/>
              <w:bottom w:val="nil"/>
            </w:tcBorders>
            <w:shd w:val="clear" w:color="auto" w:fill="F2F2F2" w:themeFill="background1" w:themeFillShade="F2"/>
            <w:tcMar>
              <w:top w:w="28" w:type="dxa"/>
            </w:tcMar>
          </w:tcPr>
          <w:p w14:paraId="545A7CB4" w14:textId="77777777" w:rsidR="00165AAA" w:rsidRPr="00476085" w:rsidRDefault="00165AAA" w:rsidP="00165AAA">
            <w:pPr>
              <w:jc w:val="right"/>
              <w:rPr>
                <w:rFonts w:asciiTheme="minorHAnsi" w:hAnsiTheme="minorHAnsi" w:cstheme="minorHAnsi"/>
                <w:bCs/>
                <w:color w:val="59595B"/>
                <w:sz w:val="20"/>
                <w:lang w:val="en-GB"/>
              </w:rPr>
            </w:pPr>
            <w:r>
              <w:rPr>
                <w:rFonts w:asciiTheme="minorHAnsi" w:hAnsiTheme="minorHAnsi" w:cstheme="minorHAnsi"/>
                <w:bCs/>
                <w:color w:val="59595B"/>
                <w:sz w:val="20"/>
                <w:lang w:val="en-GB"/>
              </w:rPr>
              <w:t>89,181</w:t>
            </w:r>
          </w:p>
        </w:tc>
        <w:tc>
          <w:tcPr>
            <w:tcW w:w="1473" w:type="dxa"/>
            <w:tcBorders>
              <w:top w:val="nil"/>
              <w:bottom w:val="nil"/>
            </w:tcBorders>
            <w:tcMar>
              <w:top w:w="28" w:type="dxa"/>
            </w:tcMar>
          </w:tcPr>
          <w:p w14:paraId="2E6EE00E"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w:t>
            </w:r>
          </w:p>
        </w:tc>
      </w:tr>
      <w:tr w:rsidR="00165AAA" w:rsidRPr="009450B0" w14:paraId="176ED299" w14:textId="77777777" w:rsidTr="00165AAA">
        <w:trPr>
          <w:jc w:val="center"/>
        </w:trPr>
        <w:tc>
          <w:tcPr>
            <w:tcW w:w="5920" w:type="dxa"/>
            <w:tcBorders>
              <w:top w:val="nil"/>
              <w:bottom w:val="nil"/>
            </w:tcBorders>
          </w:tcPr>
          <w:p w14:paraId="16BBEE00"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Payments of transaction fees and expenses</w:t>
            </w:r>
          </w:p>
        </w:tc>
        <w:tc>
          <w:tcPr>
            <w:tcW w:w="1559" w:type="dxa"/>
            <w:tcBorders>
              <w:top w:val="nil"/>
              <w:bottom w:val="nil"/>
            </w:tcBorders>
            <w:shd w:val="clear" w:color="auto" w:fill="F2F2F2" w:themeFill="background1" w:themeFillShade="F2"/>
            <w:tcMar>
              <w:top w:w="28" w:type="dxa"/>
            </w:tcMar>
          </w:tcPr>
          <w:p w14:paraId="42A621FC" w14:textId="77777777" w:rsidR="00165AAA" w:rsidRPr="00476085" w:rsidRDefault="00165AAA" w:rsidP="00165AAA">
            <w:pPr>
              <w:jc w:val="right"/>
              <w:rPr>
                <w:rFonts w:asciiTheme="minorHAnsi" w:hAnsiTheme="minorHAnsi" w:cstheme="minorHAnsi"/>
                <w:bCs/>
                <w:color w:val="59595B"/>
                <w:sz w:val="20"/>
                <w:lang w:val="en-GB"/>
              </w:rPr>
            </w:pPr>
            <w:r>
              <w:rPr>
                <w:rFonts w:asciiTheme="minorHAnsi" w:hAnsiTheme="minorHAnsi" w:cstheme="minorHAnsi"/>
                <w:bCs/>
                <w:color w:val="59595B"/>
                <w:sz w:val="20"/>
                <w:lang w:val="en-GB"/>
              </w:rPr>
              <w:t>(16,051)</w:t>
            </w:r>
          </w:p>
        </w:tc>
        <w:tc>
          <w:tcPr>
            <w:tcW w:w="1473" w:type="dxa"/>
            <w:tcBorders>
              <w:top w:val="nil"/>
              <w:bottom w:val="nil"/>
            </w:tcBorders>
            <w:tcMar>
              <w:top w:w="28" w:type="dxa"/>
            </w:tcMar>
          </w:tcPr>
          <w:p w14:paraId="7A728BEC"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w:t>
            </w:r>
          </w:p>
        </w:tc>
      </w:tr>
      <w:tr w:rsidR="00165AAA" w:rsidRPr="009450B0" w14:paraId="635375EA" w14:textId="77777777" w:rsidTr="00165AAA">
        <w:trPr>
          <w:jc w:val="center"/>
        </w:trPr>
        <w:tc>
          <w:tcPr>
            <w:tcW w:w="5920" w:type="dxa"/>
            <w:tcBorders>
              <w:top w:val="nil"/>
              <w:bottom w:val="nil"/>
            </w:tcBorders>
          </w:tcPr>
          <w:p w14:paraId="119206C9"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Repayment</w:t>
            </w:r>
            <w:r>
              <w:rPr>
                <w:rFonts w:asciiTheme="minorHAnsi" w:hAnsiTheme="minorHAnsi" w:cstheme="minorHAnsi"/>
                <w:color w:val="59595B"/>
                <w:sz w:val="20"/>
                <w:szCs w:val="20"/>
                <w:lang w:val="en-GB"/>
              </w:rPr>
              <w:t xml:space="preserve"> and interest on</w:t>
            </w:r>
            <w:r w:rsidRPr="00476085">
              <w:rPr>
                <w:rFonts w:asciiTheme="minorHAnsi" w:hAnsiTheme="minorHAnsi" w:cstheme="minorHAnsi"/>
                <w:color w:val="59595B"/>
                <w:sz w:val="20"/>
                <w:szCs w:val="20"/>
                <w:lang w:val="en-GB"/>
              </w:rPr>
              <w:t xml:space="preserve"> loans</w:t>
            </w:r>
          </w:p>
        </w:tc>
        <w:tc>
          <w:tcPr>
            <w:tcW w:w="1559" w:type="dxa"/>
            <w:tcBorders>
              <w:top w:val="nil"/>
              <w:bottom w:val="nil"/>
            </w:tcBorders>
            <w:shd w:val="clear" w:color="auto" w:fill="F2F2F2" w:themeFill="background1" w:themeFillShade="F2"/>
            <w:tcMar>
              <w:top w:w="28" w:type="dxa"/>
            </w:tcMar>
          </w:tcPr>
          <w:p w14:paraId="2A1B0046"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(76,984</w:t>
            </w:r>
            <w:r w:rsidRPr="00476085">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68E63A32"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(1,567)</w:t>
            </w:r>
          </w:p>
        </w:tc>
      </w:tr>
      <w:tr w:rsidR="00165AAA" w:rsidRPr="009450B0" w14:paraId="3D9A0430" w14:textId="77777777" w:rsidTr="00165AAA">
        <w:trPr>
          <w:jc w:val="center"/>
        </w:trPr>
        <w:tc>
          <w:tcPr>
            <w:tcW w:w="5920" w:type="dxa"/>
            <w:tcBorders>
              <w:top w:val="nil"/>
              <w:bottom w:val="nil"/>
            </w:tcBorders>
          </w:tcPr>
          <w:p w14:paraId="13DF857A" w14:textId="77777777" w:rsidR="00165AAA" w:rsidRPr="00476085" w:rsidRDefault="00165AAA" w:rsidP="00165AAA">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01104947"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6,110</w:t>
            </w:r>
          </w:p>
        </w:tc>
        <w:tc>
          <w:tcPr>
            <w:tcW w:w="1473" w:type="dxa"/>
            <w:tcBorders>
              <w:top w:val="nil"/>
              <w:bottom w:val="nil"/>
            </w:tcBorders>
            <w:tcMar>
              <w:top w:w="28" w:type="dxa"/>
            </w:tcMar>
          </w:tcPr>
          <w:p w14:paraId="68D7E5DB"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14</w:t>
            </w:r>
          </w:p>
        </w:tc>
      </w:tr>
      <w:tr w:rsidR="00165AAA" w:rsidRPr="009450B0" w14:paraId="38396649" w14:textId="77777777" w:rsidTr="00165AAA">
        <w:trPr>
          <w:jc w:val="center"/>
        </w:trPr>
        <w:tc>
          <w:tcPr>
            <w:tcW w:w="5920" w:type="dxa"/>
            <w:tcBorders>
              <w:top w:val="nil"/>
              <w:bottom w:val="single" w:sz="4" w:space="0" w:color="BFBFBF" w:themeColor="background1" w:themeShade="BF"/>
            </w:tcBorders>
          </w:tcPr>
          <w:p w14:paraId="589F6D84" w14:textId="77777777" w:rsidR="00165AAA" w:rsidRDefault="00165AAA" w:rsidP="00165AAA">
            <w:pPr>
              <w:rPr>
                <w:rFonts w:asciiTheme="minorHAnsi" w:hAnsiTheme="minorHAnsi" w:cstheme="minorHAnsi"/>
                <w:color w:val="59595B"/>
                <w:sz w:val="20"/>
                <w:szCs w:val="20"/>
                <w:lang w:val="en-GB"/>
              </w:rPr>
            </w:pPr>
            <w:r w:rsidRPr="00D06786">
              <w:rPr>
                <w:rFonts w:asciiTheme="minorHAnsi" w:hAnsiTheme="minorHAnsi" w:cstheme="minorHAnsi"/>
                <w:color w:val="59595B"/>
                <w:sz w:val="20"/>
                <w:szCs w:val="20"/>
                <w:lang w:val="en-GB"/>
              </w:rPr>
              <w:t>Interest received</w:t>
            </w:r>
          </w:p>
          <w:p w14:paraId="7739571D" w14:textId="77777777" w:rsidR="00165AAA" w:rsidRPr="00D06786" w:rsidRDefault="00165AAA" w:rsidP="00165AAA">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6DCFDE88" w14:textId="77777777" w:rsidR="00165AAA" w:rsidRPr="00D06786"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w:t>
            </w:r>
          </w:p>
        </w:tc>
        <w:tc>
          <w:tcPr>
            <w:tcW w:w="1473" w:type="dxa"/>
            <w:tcBorders>
              <w:top w:val="nil"/>
              <w:bottom w:val="single" w:sz="4" w:space="0" w:color="BFBFBF" w:themeColor="background1" w:themeShade="BF"/>
            </w:tcBorders>
            <w:tcMar>
              <w:top w:w="28" w:type="dxa"/>
            </w:tcMar>
          </w:tcPr>
          <w:p w14:paraId="5A98EFEE"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5</w:t>
            </w:r>
          </w:p>
        </w:tc>
      </w:tr>
      <w:tr w:rsidR="00165AAA" w:rsidRPr="009450B0" w14:paraId="0F0CD15D" w14:textId="77777777" w:rsidTr="00165AAA">
        <w:trPr>
          <w:jc w:val="center"/>
        </w:trPr>
        <w:tc>
          <w:tcPr>
            <w:tcW w:w="5920" w:type="dxa"/>
            <w:tcBorders>
              <w:top w:val="single" w:sz="4" w:space="0" w:color="BFBFBF" w:themeColor="background1" w:themeShade="BF"/>
              <w:bottom w:val="single" w:sz="4" w:space="0" w:color="BFBFBF" w:themeColor="background1" w:themeShade="BF"/>
            </w:tcBorders>
          </w:tcPr>
          <w:p w14:paraId="0D15DCC8"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Net cash flows from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1AC3AB77" w14:textId="77777777"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2,256</w:t>
            </w:r>
          </w:p>
        </w:tc>
        <w:tc>
          <w:tcPr>
            <w:tcW w:w="1473" w:type="dxa"/>
            <w:tcBorders>
              <w:top w:val="single" w:sz="4" w:space="0" w:color="BFBFBF" w:themeColor="background1" w:themeShade="BF"/>
              <w:bottom w:val="single" w:sz="4" w:space="0" w:color="BFBFBF" w:themeColor="background1" w:themeShade="BF"/>
            </w:tcBorders>
            <w:tcMar>
              <w:top w:w="28" w:type="dxa"/>
            </w:tcMar>
          </w:tcPr>
          <w:p w14:paraId="5F95C0A8"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(1,549)</w:t>
            </w:r>
          </w:p>
        </w:tc>
      </w:tr>
      <w:tr w:rsidR="00165AAA" w:rsidRPr="009450B0" w14:paraId="611F0B49" w14:textId="77777777" w:rsidTr="00165AAA">
        <w:trPr>
          <w:jc w:val="center"/>
        </w:trPr>
        <w:tc>
          <w:tcPr>
            <w:tcW w:w="5920" w:type="dxa"/>
            <w:tcBorders>
              <w:bottom w:val="nil"/>
            </w:tcBorders>
          </w:tcPr>
          <w:p w14:paraId="79C89893"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1F923DA9"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4854326B"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6CA0AD03" w14:textId="77777777" w:rsidTr="00165AAA">
        <w:trPr>
          <w:jc w:val="center"/>
        </w:trPr>
        <w:tc>
          <w:tcPr>
            <w:tcW w:w="5920" w:type="dxa"/>
            <w:tcBorders>
              <w:top w:val="nil"/>
              <w:bottom w:val="nil"/>
            </w:tcBorders>
          </w:tcPr>
          <w:p w14:paraId="7F00D63E"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5E2809D9" w14:textId="77777777"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7,473</w:t>
            </w:r>
          </w:p>
        </w:tc>
        <w:tc>
          <w:tcPr>
            <w:tcW w:w="1473" w:type="dxa"/>
            <w:tcBorders>
              <w:top w:val="nil"/>
              <w:bottom w:val="nil"/>
            </w:tcBorders>
            <w:tcMar>
              <w:top w:w="28" w:type="dxa"/>
            </w:tcMar>
          </w:tcPr>
          <w:p w14:paraId="410EB774"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(14,489)</w:t>
            </w:r>
          </w:p>
        </w:tc>
      </w:tr>
      <w:tr w:rsidR="00165AAA" w:rsidRPr="009450B0" w14:paraId="5AC2144D" w14:textId="77777777" w:rsidTr="00165AAA">
        <w:trPr>
          <w:jc w:val="center"/>
        </w:trPr>
        <w:tc>
          <w:tcPr>
            <w:tcW w:w="5920" w:type="dxa"/>
            <w:tcBorders>
              <w:top w:val="nil"/>
              <w:bottom w:val="nil"/>
            </w:tcBorders>
          </w:tcPr>
          <w:p w14:paraId="6B1A3E0E"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68CB8390"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(973</w:t>
            </w:r>
            <w:r w:rsidRPr="00476085">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62831B7A"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(343)</w:t>
            </w:r>
          </w:p>
        </w:tc>
      </w:tr>
      <w:tr w:rsidR="00165AAA" w:rsidRPr="009450B0" w14:paraId="76FC403A" w14:textId="77777777" w:rsidTr="00165AAA">
        <w:trPr>
          <w:jc w:val="center"/>
        </w:trPr>
        <w:tc>
          <w:tcPr>
            <w:tcW w:w="5920" w:type="dxa"/>
            <w:tcBorders>
              <w:top w:val="nil"/>
              <w:bottom w:val="nil"/>
            </w:tcBorders>
          </w:tcPr>
          <w:p w14:paraId="6291A6E9"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08BD29CA" w14:textId="77777777" w:rsidR="00165AAA" w:rsidRPr="00476085" w:rsidRDefault="00165AAA" w:rsidP="00165AAA">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32,137</w:t>
            </w:r>
          </w:p>
        </w:tc>
        <w:tc>
          <w:tcPr>
            <w:tcW w:w="1473" w:type="dxa"/>
            <w:tcBorders>
              <w:top w:val="nil"/>
              <w:bottom w:val="nil"/>
            </w:tcBorders>
            <w:tcMar>
              <w:top w:w="28" w:type="dxa"/>
            </w:tcMar>
          </w:tcPr>
          <w:p w14:paraId="5BF8E87F"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31,843</w:t>
            </w:r>
          </w:p>
        </w:tc>
      </w:tr>
      <w:tr w:rsidR="00165AAA" w:rsidRPr="009450B0" w14:paraId="04367049" w14:textId="77777777" w:rsidTr="00165AAA">
        <w:trPr>
          <w:jc w:val="center"/>
        </w:trPr>
        <w:tc>
          <w:tcPr>
            <w:tcW w:w="5920" w:type="dxa"/>
            <w:tcBorders>
              <w:top w:val="nil"/>
              <w:bottom w:val="nil"/>
            </w:tcBorders>
          </w:tcPr>
          <w:p w14:paraId="4638E715"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005EDC5"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E7F4993"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22D174C3" w14:textId="77777777" w:rsidTr="00165AAA">
        <w:trPr>
          <w:jc w:val="center"/>
        </w:trPr>
        <w:tc>
          <w:tcPr>
            <w:tcW w:w="5920" w:type="dxa"/>
            <w:tcBorders>
              <w:top w:val="nil"/>
              <w:bottom w:val="nil"/>
            </w:tcBorders>
          </w:tcPr>
          <w:p w14:paraId="377E58DE"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Total cash at 3</w:t>
            </w:r>
            <w:r>
              <w:rPr>
                <w:rFonts w:asciiTheme="minorHAnsi" w:hAnsiTheme="minorHAnsi" w:cstheme="minorHAnsi"/>
                <w:b/>
                <w:color w:val="59595B"/>
                <w:sz w:val="20"/>
                <w:szCs w:val="20"/>
                <w:lang w:val="en-GB"/>
              </w:rPr>
              <w:t>0 September</w:t>
            </w:r>
          </w:p>
        </w:tc>
        <w:tc>
          <w:tcPr>
            <w:tcW w:w="1559" w:type="dxa"/>
            <w:tcBorders>
              <w:top w:val="nil"/>
              <w:bottom w:val="nil"/>
            </w:tcBorders>
            <w:shd w:val="clear" w:color="auto" w:fill="F2F2F2" w:themeFill="background1" w:themeFillShade="F2"/>
            <w:tcMar>
              <w:top w:w="28" w:type="dxa"/>
            </w:tcMar>
          </w:tcPr>
          <w:p w14:paraId="052406E8" w14:textId="77777777"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38,637</w:t>
            </w:r>
          </w:p>
        </w:tc>
        <w:tc>
          <w:tcPr>
            <w:tcW w:w="1473" w:type="dxa"/>
            <w:tcBorders>
              <w:top w:val="nil"/>
              <w:bottom w:val="nil"/>
            </w:tcBorders>
            <w:tcMar>
              <w:top w:w="28" w:type="dxa"/>
            </w:tcMar>
          </w:tcPr>
          <w:p w14:paraId="5229A5FB"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17,012</w:t>
            </w:r>
          </w:p>
        </w:tc>
      </w:tr>
      <w:tr w:rsidR="00165AAA" w:rsidRPr="009450B0" w14:paraId="48B3AA53" w14:textId="77777777" w:rsidTr="00165AAA">
        <w:trPr>
          <w:jc w:val="center"/>
        </w:trPr>
        <w:tc>
          <w:tcPr>
            <w:tcW w:w="5920" w:type="dxa"/>
            <w:tcBorders>
              <w:top w:val="nil"/>
              <w:bottom w:val="nil"/>
            </w:tcBorders>
          </w:tcPr>
          <w:p w14:paraId="587929DD" w14:textId="77777777" w:rsidR="00165AAA" w:rsidRPr="00476085" w:rsidRDefault="00165AAA" w:rsidP="00165AAA">
            <w:pPr>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Of which restricted cash</w:t>
            </w:r>
          </w:p>
        </w:tc>
        <w:tc>
          <w:tcPr>
            <w:tcW w:w="1559" w:type="dxa"/>
            <w:tcBorders>
              <w:top w:val="nil"/>
              <w:bottom w:val="nil"/>
            </w:tcBorders>
            <w:shd w:val="clear" w:color="auto" w:fill="F2F2F2" w:themeFill="background1" w:themeFillShade="F2"/>
            <w:tcMar>
              <w:top w:w="28" w:type="dxa"/>
            </w:tcMar>
          </w:tcPr>
          <w:p w14:paraId="3B47F900" w14:textId="77777777" w:rsidR="00165AAA" w:rsidRPr="00476085" w:rsidRDefault="00165AAA" w:rsidP="00165AAA">
            <w:pPr>
              <w:jc w:val="right"/>
              <w:rPr>
                <w:rFonts w:asciiTheme="minorHAnsi" w:hAnsiTheme="minorHAnsi" w:cstheme="minorHAnsi"/>
                <w:color w:val="59595B"/>
                <w:sz w:val="20"/>
                <w:szCs w:val="20"/>
                <w:lang w:val="en-GB"/>
              </w:rPr>
            </w:pPr>
            <w:r w:rsidRPr="00476085">
              <w:rPr>
                <w:rFonts w:asciiTheme="minorHAnsi" w:hAnsiTheme="minorHAnsi" w:cstheme="minorHAnsi"/>
                <w:color w:val="59595B"/>
                <w:sz w:val="20"/>
                <w:szCs w:val="20"/>
                <w:lang w:val="en-GB"/>
              </w:rPr>
              <w:t>2</w:t>
            </w:r>
            <w:r>
              <w:rPr>
                <w:rFonts w:asciiTheme="minorHAnsi" w:hAnsiTheme="minorHAnsi" w:cstheme="minorHAnsi"/>
                <w:color w:val="59595B"/>
                <w:sz w:val="20"/>
                <w:szCs w:val="20"/>
                <w:lang w:val="en-GB"/>
              </w:rPr>
              <w:t>48</w:t>
            </w:r>
          </w:p>
        </w:tc>
        <w:tc>
          <w:tcPr>
            <w:tcW w:w="1473" w:type="dxa"/>
            <w:tcBorders>
              <w:top w:val="nil"/>
              <w:bottom w:val="nil"/>
            </w:tcBorders>
            <w:tcMar>
              <w:top w:w="28" w:type="dxa"/>
            </w:tcMar>
          </w:tcPr>
          <w:p w14:paraId="53283630" w14:textId="77777777" w:rsidR="00165AAA" w:rsidRPr="009450B0" w:rsidRDefault="00165AAA" w:rsidP="00165AAA">
            <w:pPr>
              <w:jc w:val="right"/>
              <w:rPr>
                <w:rFonts w:ascii="Calibri Light" w:hAnsi="Calibri Light" w:cs="Calibri Light"/>
                <w:color w:val="59595B"/>
                <w:sz w:val="20"/>
                <w:szCs w:val="20"/>
                <w:lang w:val="en-GB"/>
              </w:rPr>
            </w:pPr>
            <w:r w:rsidRPr="009450B0">
              <w:rPr>
                <w:rFonts w:ascii="Calibri Light" w:hAnsi="Calibri Light" w:cs="Calibri Light"/>
                <w:sz w:val="20"/>
                <w:szCs w:val="20"/>
              </w:rPr>
              <w:t>248</w:t>
            </w:r>
          </w:p>
        </w:tc>
      </w:tr>
      <w:tr w:rsidR="00165AAA" w:rsidRPr="009450B0" w14:paraId="1548D9D5" w14:textId="77777777" w:rsidTr="00165AAA">
        <w:trPr>
          <w:jc w:val="center"/>
        </w:trPr>
        <w:tc>
          <w:tcPr>
            <w:tcW w:w="5920" w:type="dxa"/>
            <w:tcBorders>
              <w:top w:val="nil"/>
              <w:bottom w:val="single" w:sz="4" w:space="0" w:color="BFBFBF" w:themeColor="background1" w:themeShade="BF"/>
            </w:tcBorders>
          </w:tcPr>
          <w:p w14:paraId="2F9A18A8" w14:textId="77777777" w:rsidR="00165AAA" w:rsidRPr="00476085" w:rsidRDefault="00165AAA" w:rsidP="00165AAA">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45B0AB17" w14:textId="77777777" w:rsidR="00165AAA" w:rsidRPr="00476085" w:rsidRDefault="00165AAA" w:rsidP="00165AAA">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25A064D4" w14:textId="77777777" w:rsidR="00165AAA" w:rsidRPr="009450B0" w:rsidRDefault="00165AAA" w:rsidP="00165AAA">
            <w:pPr>
              <w:jc w:val="right"/>
              <w:rPr>
                <w:rFonts w:ascii="Calibri Light" w:hAnsi="Calibri Light" w:cs="Calibri Light"/>
                <w:color w:val="59595B"/>
                <w:sz w:val="20"/>
                <w:szCs w:val="20"/>
                <w:lang w:val="en-GB"/>
              </w:rPr>
            </w:pPr>
          </w:p>
        </w:tc>
      </w:tr>
      <w:tr w:rsidR="00165AAA" w:rsidRPr="009450B0" w14:paraId="059FB366" w14:textId="77777777" w:rsidTr="00165AAA">
        <w:trPr>
          <w:jc w:val="center"/>
        </w:trPr>
        <w:tc>
          <w:tcPr>
            <w:tcW w:w="5920" w:type="dxa"/>
            <w:tcBorders>
              <w:top w:val="single" w:sz="4" w:space="0" w:color="BFBFBF" w:themeColor="background1" w:themeShade="BF"/>
            </w:tcBorders>
          </w:tcPr>
          <w:p w14:paraId="26D9786D" w14:textId="77777777" w:rsidR="00165AAA" w:rsidRPr="00476085" w:rsidRDefault="00165AAA" w:rsidP="00165AAA">
            <w:pPr>
              <w:rPr>
                <w:rFonts w:asciiTheme="minorHAnsi" w:hAnsiTheme="minorHAnsi" w:cstheme="minorHAnsi"/>
                <w:b/>
                <w:color w:val="59595B"/>
                <w:sz w:val="20"/>
                <w:szCs w:val="20"/>
                <w:lang w:val="en-GB"/>
              </w:rPr>
            </w:pPr>
            <w:r w:rsidRPr="00476085">
              <w:rPr>
                <w:rFonts w:asciiTheme="minorHAnsi" w:hAnsiTheme="minorHAnsi" w:cstheme="minorHAnsi"/>
                <w:b/>
                <w:color w:val="59595B"/>
                <w:sz w:val="20"/>
                <w:szCs w:val="20"/>
                <w:lang w:val="en-GB"/>
              </w:rPr>
              <w:t xml:space="preserve">Cash and cash equivalents at </w:t>
            </w:r>
            <w:r>
              <w:rPr>
                <w:rFonts w:asciiTheme="minorHAnsi" w:hAnsiTheme="minorHAnsi" w:cstheme="minorHAnsi"/>
                <w:b/>
                <w:color w:val="59595B"/>
                <w:sz w:val="20"/>
                <w:szCs w:val="20"/>
                <w:lang w:val="en-GB"/>
              </w:rPr>
              <w:t>30 September</w:t>
            </w:r>
          </w:p>
        </w:tc>
        <w:tc>
          <w:tcPr>
            <w:tcW w:w="1559" w:type="dxa"/>
            <w:tcBorders>
              <w:top w:val="single" w:sz="4" w:space="0" w:color="BFBFBF" w:themeColor="background1" w:themeShade="BF"/>
            </w:tcBorders>
            <w:shd w:val="clear" w:color="auto" w:fill="F2F2F2" w:themeFill="background1" w:themeFillShade="F2"/>
            <w:tcMar>
              <w:top w:w="28" w:type="dxa"/>
            </w:tcMar>
          </w:tcPr>
          <w:p w14:paraId="7FEDC257" w14:textId="77777777" w:rsidR="00165AAA" w:rsidRPr="00476085" w:rsidRDefault="00165AAA" w:rsidP="00165AAA">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38,389</w:t>
            </w:r>
          </w:p>
        </w:tc>
        <w:tc>
          <w:tcPr>
            <w:tcW w:w="1473" w:type="dxa"/>
            <w:tcBorders>
              <w:top w:val="single" w:sz="4" w:space="0" w:color="BFBFBF" w:themeColor="background1" w:themeShade="BF"/>
            </w:tcBorders>
            <w:tcMar>
              <w:top w:w="28" w:type="dxa"/>
            </w:tcMar>
          </w:tcPr>
          <w:p w14:paraId="5F456E27" w14:textId="77777777" w:rsidR="00165AAA" w:rsidRPr="009450B0" w:rsidRDefault="00165AAA" w:rsidP="00165AAA">
            <w:pPr>
              <w:jc w:val="right"/>
              <w:rPr>
                <w:rFonts w:ascii="Calibri Light" w:hAnsi="Calibri Light" w:cs="Calibri Light"/>
                <w:b/>
                <w:color w:val="59595B"/>
                <w:sz w:val="20"/>
                <w:szCs w:val="20"/>
                <w:lang w:val="en-GB"/>
              </w:rPr>
            </w:pPr>
            <w:r w:rsidRPr="009450B0">
              <w:rPr>
                <w:rFonts w:ascii="Calibri Light" w:hAnsi="Calibri Light" w:cs="Calibri Light"/>
                <w:sz w:val="20"/>
                <w:szCs w:val="20"/>
              </w:rPr>
              <w:t>16,764</w:t>
            </w:r>
          </w:p>
        </w:tc>
      </w:tr>
    </w:tbl>
    <w:p w14:paraId="5AB212BD" w14:textId="77777777" w:rsidR="00165AAA" w:rsidRPr="00476085" w:rsidRDefault="00165AAA" w:rsidP="00165AAA">
      <w:pPr>
        <w:autoSpaceDE w:val="0"/>
        <w:autoSpaceDN w:val="0"/>
        <w:adjustRightInd w:val="0"/>
        <w:rPr>
          <w:rFonts w:asciiTheme="minorHAnsi" w:hAnsiTheme="minorHAnsi" w:cstheme="minorHAnsi"/>
          <w:szCs w:val="22"/>
          <w:lang w:val="en-GB"/>
        </w:rPr>
      </w:pPr>
    </w:p>
    <w:p w14:paraId="7C85CFD2" w14:textId="77777777" w:rsidR="00165AAA" w:rsidRPr="00476085" w:rsidRDefault="00165AAA" w:rsidP="00165AAA">
      <w:pPr>
        <w:autoSpaceDE w:val="0"/>
        <w:autoSpaceDN w:val="0"/>
        <w:adjustRightInd w:val="0"/>
        <w:rPr>
          <w:rFonts w:asciiTheme="minorHAnsi" w:hAnsiTheme="minorHAnsi" w:cstheme="minorHAnsi"/>
          <w:szCs w:val="22"/>
          <w:lang w:val="en-GB"/>
        </w:rPr>
      </w:pPr>
    </w:p>
    <w:p w14:paraId="5DA3F802" w14:textId="59C698CC" w:rsidR="00C07AC7" w:rsidRDefault="005C44AD" w:rsidP="005C44AD">
      <w:pPr>
        <w:tabs>
          <w:tab w:val="left" w:pos="5244"/>
        </w:tabs>
        <w:autoSpaceDE w:val="0"/>
        <w:autoSpaceDN w:val="0"/>
        <w:adjustRightInd w:val="0"/>
        <w:rPr>
          <w:rFonts w:ascii="Calibri Light" w:hAnsi="Calibri Light" w:cs="Calibri Light"/>
          <w:b/>
          <w:bCs/>
          <w:color w:val="00679B"/>
          <w:szCs w:val="22"/>
          <w:lang w:val="en-GB"/>
        </w:rPr>
      </w:pPr>
      <w:r>
        <w:rPr>
          <w:rFonts w:ascii="Calibri Light" w:hAnsi="Calibri Light" w:cs="Calibri Light"/>
          <w:b/>
          <w:bCs/>
          <w:color w:val="00679B"/>
          <w:szCs w:val="22"/>
          <w:lang w:val="en-GB"/>
        </w:rPr>
        <w:tab/>
      </w:r>
    </w:p>
    <w:sectPr w:rsidR="00C07AC7" w:rsidSect="00B9322F">
      <w:headerReference w:type="default" r:id="rId13"/>
      <w:footerReference w:type="default" r:id="rId14"/>
      <w:pgSz w:w="11907" w:h="16840" w:code="9"/>
      <w:pgMar w:top="1814" w:right="1417"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4F912" w14:textId="77777777" w:rsidR="00D45A6E" w:rsidRDefault="00D45A6E">
      <w:r>
        <w:separator/>
      </w:r>
    </w:p>
  </w:endnote>
  <w:endnote w:type="continuationSeparator" w:id="0">
    <w:p w14:paraId="5DDD43CE" w14:textId="77777777" w:rsidR="00D45A6E" w:rsidRDefault="00D45A6E">
      <w:r>
        <w:continuationSeparator/>
      </w:r>
    </w:p>
  </w:endnote>
  <w:endnote w:type="continuationNotice" w:id="1">
    <w:p w14:paraId="068B37D8" w14:textId="77777777" w:rsidR="00D45A6E" w:rsidRDefault="00D45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00012126" w14:textId="33D6B4DC" w:rsidR="002C6772" w:rsidRPr="008C2FCA" w:rsidRDefault="002C6772">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FD1C5E">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6614DE6" w14:textId="77777777" w:rsidR="002C6772" w:rsidRDefault="002C6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1C1E6" w14:textId="77777777" w:rsidR="00D45A6E" w:rsidRDefault="00D45A6E">
      <w:r>
        <w:separator/>
      </w:r>
    </w:p>
  </w:footnote>
  <w:footnote w:type="continuationSeparator" w:id="0">
    <w:p w14:paraId="3DA443C6" w14:textId="77777777" w:rsidR="00D45A6E" w:rsidRDefault="00D45A6E">
      <w:r>
        <w:continuationSeparator/>
      </w:r>
    </w:p>
  </w:footnote>
  <w:footnote w:type="continuationNotice" w:id="1">
    <w:p w14:paraId="6F717E44" w14:textId="77777777" w:rsidR="00D45A6E" w:rsidRDefault="00D45A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07C1C" w14:textId="3955AEF6" w:rsidR="002C6772" w:rsidRPr="00022C90" w:rsidRDefault="002C6772"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4F9E9C78" wp14:editId="12E57A8B">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265AE3"/>
    <w:multiLevelType w:val="hybridMultilevel"/>
    <w:tmpl w:val="DA4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4"/>
  </w:num>
  <w:num w:numId="6">
    <w:abstractNumId w:val="11"/>
  </w:num>
  <w:num w:numId="7">
    <w:abstractNumId w:val="1"/>
  </w:num>
  <w:num w:numId="8">
    <w:abstractNumId w:val="6"/>
  </w:num>
  <w:num w:numId="9">
    <w:abstractNumId w:val="8"/>
  </w:num>
  <w:num w:numId="10">
    <w:abstractNumId w:val="10"/>
  </w:num>
  <w:num w:numId="11">
    <w:abstractNumId w:val="5"/>
  </w:num>
  <w:num w:numId="12">
    <w:abstractNumId w:val="3"/>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2E3A"/>
    <w:rsid w:val="0006349D"/>
    <w:rsid w:val="00063697"/>
    <w:rsid w:val="0006386F"/>
    <w:rsid w:val="00063A83"/>
    <w:rsid w:val="00064603"/>
    <w:rsid w:val="00064D2B"/>
    <w:rsid w:val="00065334"/>
    <w:rsid w:val="000660F4"/>
    <w:rsid w:val="00066382"/>
    <w:rsid w:val="000666B5"/>
    <w:rsid w:val="00066948"/>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54EE"/>
    <w:rsid w:val="00085775"/>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145"/>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C16"/>
    <w:rsid w:val="000E21D2"/>
    <w:rsid w:val="000E29F0"/>
    <w:rsid w:val="000E2E61"/>
    <w:rsid w:val="000E363E"/>
    <w:rsid w:val="000E38A4"/>
    <w:rsid w:val="000E4012"/>
    <w:rsid w:val="000E4B21"/>
    <w:rsid w:val="000E4C0D"/>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2E77"/>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4699"/>
    <w:rsid w:val="001461AA"/>
    <w:rsid w:val="00147884"/>
    <w:rsid w:val="00147925"/>
    <w:rsid w:val="001479E7"/>
    <w:rsid w:val="00147F64"/>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4FB2"/>
    <w:rsid w:val="00165069"/>
    <w:rsid w:val="00165AAA"/>
    <w:rsid w:val="00165CCF"/>
    <w:rsid w:val="00166BC6"/>
    <w:rsid w:val="00166BE6"/>
    <w:rsid w:val="00166BE7"/>
    <w:rsid w:val="0016790A"/>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09E9"/>
    <w:rsid w:val="001B1697"/>
    <w:rsid w:val="001B20C7"/>
    <w:rsid w:val="001B22D4"/>
    <w:rsid w:val="001B288F"/>
    <w:rsid w:val="001B2AF2"/>
    <w:rsid w:val="001B3223"/>
    <w:rsid w:val="001B32EE"/>
    <w:rsid w:val="001B37D3"/>
    <w:rsid w:val="001B41EA"/>
    <w:rsid w:val="001B5BC5"/>
    <w:rsid w:val="001B5D56"/>
    <w:rsid w:val="001B66ED"/>
    <w:rsid w:val="001B7949"/>
    <w:rsid w:val="001B7FC1"/>
    <w:rsid w:val="001C15AE"/>
    <w:rsid w:val="001C1AE6"/>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8E5"/>
    <w:rsid w:val="001F1B78"/>
    <w:rsid w:val="001F1E19"/>
    <w:rsid w:val="001F31B2"/>
    <w:rsid w:val="001F32EF"/>
    <w:rsid w:val="001F3816"/>
    <w:rsid w:val="001F3F3F"/>
    <w:rsid w:val="001F410F"/>
    <w:rsid w:val="001F4494"/>
    <w:rsid w:val="001F49FC"/>
    <w:rsid w:val="001F4A8A"/>
    <w:rsid w:val="001F5AFB"/>
    <w:rsid w:val="001F5EA1"/>
    <w:rsid w:val="001F6E58"/>
    <w:rsid w:val="001F75CF"/>
    <w:rsid w:val="001F7F2C"/>
    <w:rsid w:val="00200C28"/>
    <w:rsid w:val="00201A32"/>
    <w:rsid w:val="00202298"/>
    <w:rsid w:val="00202BC5"/>
    <w:rsid w:val="00202E24"/>
    <w:rsid w:val="002034CC"/>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05D"/>
    <w:rsid w:val="0021440D"/>
    <w:rsid w:val="00214D70"/>
    <w:rsid w:val="00214FEC"/>
    <w:rsid w:val="002158F9"/>
    <w:rsid w:val="00215B13"/>
    <w:rsid w:val="00215B2D"/>
    <w:rsid w:val="0021648D"/>
    <w:rsid w:val="002166DF"/>
    <w:rsid w:val="00216A53"/>
    <w:rsid w:val="002205B8"/>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581"/>
    <w:rsid w:val="00246B84"/>
    <w:rsid w:val="00250509"/>
    <w:rsid w:val="002505C2"/>
    <w:rsid w:val="00250E2C"/>
    <w:rsid w:val="0025114F"/>
    <w:rsid w:val="00251D49"/>
    <w:rsid w:val="002523AF"/>
    <w:rsid w:val="002528FD"/>
    <w:rsid w:val="0025324D"/>
    <w:rsid w:val="00253518"/>
    <w:rsid w:val="00253E5D"/>
    <w:rsid w:val="0025524C"/>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618"/>
    <w:rsid w:val="00294A3F"/>
    <w:rsid w:val="0029557F"/>
    <w:rsid w:val="00295B86"/>
    <w:rsid w:val="002963B8"/>
    <w:rsid w:val="002965C5"/>
    <w:rsid w:val="002965C7"/>
    <w:rsid w:val="00296C98"/>
    <w:rsid w:val="00296CC9"/>
    <w:rsid w:val="00296FE4"/>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7B5"/>
    <w:rsid w:val="002A78ED"/>
    <w:rsid w:val="002B06ED"/>
    <w:rsid w:val="002B087D"/>
    <w:rsid w:val="002B0C39"/>
    <w:rsid w:val="002B0F3F"/>
    <w:rsid w:val="002B11D4"/>
    <w:rsid w:val="002B1530"/>
    <w:rsid w:val="002B187A"/>
    <w:rsid w:val="002B1E73"/>
    <w:rsid w:val="002B1E80"/>
    <w:rsid w:val="002B25D2"/>
    <w:rsid w:val="002B2DBE"/>
    <w:rsid w:val="002B4F0D"/>
    <w:rsid w:val="002B6023"/>
    <w:rsid w:val="002B744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6772"/>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044"/>
    <w:rsid w:val="002E388D"/>
    <w:rsid w:val="002E3BE7"/>
    <w:rsid w:val="002E3F2C"/>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5B4"/>
    <w:rsid w:val="002F663D"/>
    <w:rsid w:val="00300080"/>
    <w:rsid w:val="003001DE"/>
    <w:rsid w:val="0030052E"/>
    <w:rsid w:val="0030060E"/>
    <w:rsid w:val="00300D47"/>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51F3"/>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3643"/>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792"/>
    <w:rsid w:val="00370E49"/>
    <w:rsid w:val="00371311"/>
    <w:rsid w:val="00372333"/>
    <w:rsid w:val="00372450"/>
    <w:rsid w:val="0037264D"/>
    <w:rsid w:val="00372657"/>
    <w:rsid w:val="0037297A"/>
    <w:rsid w:val="00372A78"/>
    <w:rsid w:val="00372AAC"/>
    <w:rsid w:val="00372AB0"/>
    <w:rsid w:val="00372E89"/>
    <w:rsid w:val="003735E2"/>
    <w:rsid w:val="003736AC"/>
    <w:rsid w:val="0037395F"/>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14C"/>
    <w:rsid w:val="004037B9"/>
    <w:rsid w:val="004038DD"/>
    <w:rsid w:val="00403D57"/>
    <w:rsid w:val="00405110"/>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18E"/>
    <w:rsid w:val="0042394F"/>
    <w:rsid w:val="004239E9"/>
    <w:rsid w:val="00424060"/>
    <w:rsid w:val="00424BDE"/>
    <w:rsid w:val="00425F20"/>
    <w:rsid w:val="004261BF"/>
    <w:rsid w:val="00430133"/>
    <w:rsid w:val="004301DB"/>
    <w:rsid w:val="0043051C"/>
    <w:rsid w:val="00430E46"/>
    <w:rsid w:val="00432242"/>
    <w:rsid w:val="00432ED3"/>
    <w:rsid w:val="00433C93"/>
    <w:rsid w:val="00434084"/>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75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487D"/>
    <w:rsid w:val="004B546B"/>
    <w:rsid w:val="004B5526"/>
    <w:rsid w:val="004B6090"/>
    <w:rsid w:val="004B60E7"/>
    <w:rsid w:val="004B65CF"/>
    <w:rsid w:val="004B67F4"/>
    <w:rsid w:val="004B6B1C"/>
    <w:rsid w:val="004B702C"/>
    <w:rsid w:val="004B77FB"/>
    <w:rsid w:val="004C081C"/>
    <w:rsid w:val="004C138D"/>
    <w:rsid w:val="004C20C8"/>
    <w:rsid w:val="004C221B"/>
    <w:rsid w:val="004C2815"/>
    <w:rsid w:val="004C2ADF"/>
    <w:rsid w:val="004C2F71"/>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6FE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617"/>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61C"/>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0701"/>
    <w:rsid w:val="005A1980"/>
    <w:rsid w:val="005A269E"/>
    <w:rsid w:val="005A38FC"/>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D8F"/>
    <w:rsid w:val="005B2E6D"/>
    <w:rsid w:val="005B3227"/>
    <w:rsid w:val="005B62CD"/>
    <w:rsid w:val="005B6975"/>
    <w:rsid w:val="005B77BE"/>
    <w:rsid w:val="005B7C7F"/>
    <w:rsid w:val="005B7DC1"/>
    <w:rsid w:val="005C04B7"/>
    <w:rsid w:val="005C1C93"/>
    <w:rsid w:val="005C37F8"/>
    <w:rsid w:val="005C3AE7"/>
    <w:rsid w:val="005C3DC7"/>
    <w:rsid w:val="005C44AD"/>
    <w:rsid w:val="005C489D"/>
    <w:rsid w:val="005C494C"/>
    <w:rsid w:val="005C54ED"/>
    <w:rsid w:val="005C58D8"/>
    <w:rsid w:val="005C5D57"/>
    <w:rsid w:val="005D0F57"/>
    <w:rsid w:val="005D0FE6"/>
    <w:rsid w:val="005D3804"/>
    <w:rsid w:val="005D3877"/>
    <w:rsid w:val="005D3C54"/>
    <w:rsid w:val="005D4124"/>
    <w:rsid w:val="005D4FBC"/>
    <w:rsid w:val="005D5125"/>
    <w:rsid w:val="005D5B44"/>
    <w:rsid w:val="005D654D"/>
    <w:rsid w:val="005D686E"/>
    <w:rsid w:val="005D7635"/>
    <w:rsid w:val="005D78AE"/>
    <w:rsid w:val="005D7CFB"/>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840"/>
    <w:rsid w:val="005F1B2B"/>
    <w:rsid w:val="005F1E9B"/>
    <w:rsid w:val="005F2404"/>
    <w:rsid w:val="005F27A2"/>
    <w:rsid w:val="005F32B9"/>
    <w:rsid w:val="005F33DE"/>
    <w:rsid w:val="005F4607"/>
    <w:rsid w:val="005F4AD6"/>
    <w:rsid w:val="005F50C8"/>
    <w:rsid w:val="005F533A"/>
    <w:rsid w:val="005F5567"/>
    <w:rsid w:val="005F5683"/>
    <w:rsid w:val="005F6222"/>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74B3"/>
    <w:rsid w:val="006203B4"/>
    <w:rsid w:val="006203EB"/>
    <w:rsid w:val="006206ED"/>
    <w:rsid w:val="006214CE"/>
    <w:rsid w:val="00621B1A"/>
    <w:rsid w:val="006228FF"/>
    <w:rsid w:val="00622A8B"/>
    <w:rsid w:val="0062375C"/>
    <w:rsid w:val="006243B7"/>
    <w:rsid w:val="00624CE7"/>
    <w:rsid w:val="00624E3F"/>
    <w:rsid w:val="00624EF5"/>
    <w:rsid w:val="00625775"/>
    <w:rsid w:val="0062645C"/>
    <w:rsid w:val="00626548"/>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58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EC"/>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90B"/>
    <w:rsid w:val="006A7A70"/>
    <w:rsid w:val="006A7EEB"/>
    <w:rsid w:val="006B05FB"/>
    <w:rsid w:val="006B0B35"/>
    <w:rsid w:val="006B0EBD"/>
    <w:rsid w:val="006B13EA"/>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0D8D"/>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2EA1"/>
    <w:rsid w:val="00713E8A"/>
    <w:rsid w:val="00713F5C"/>
    <w:rsid w:val="00714608"/>
    <w:rsid w:val="00714BB4"/>
    <w:rsid w:val="00714C10"/>
    <w:rsid w:val="00714DF9"/>
    <w:rsid w:val="00715073"/>
    <w:rsid w:val="007157F6"/>
    <w:rsid w:val="007158C2"/>
    <w:rsid w:val="00715D23"/>
    <w:rsid w:val="00715EDF"/>
    <w:rsid w:val="00720BDC"/>
    <w:rsid w:val="00721AB1"/>
    <w:rsid w:val="00721EE1"/>
    <w:rsid w:val="00722D04"/>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47EB3"/>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A34"/>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8B7"/>
    <w:rsid w:val="007D796F"/>
    <w:rsid w:val="007D7B97"/>
    <w:rsid w:val="007E0EE9"/>
    <w:rsid w:val="007E1BF7"/>
    <w:rsid w:val="007E221C"/>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92B"/>
    <w:rsid w:val="00800BDB"/>
    <w:rsid w:val="00801A84"/>
    <w:rsid w:val="00801FFF"/>
    <w:rsid w:val="0080287F"/>
    <w:rsid w:val="00805482"/>
    <w:rsid w:val="00806094"/>
    <w:rsid w:val="00806B7A"/>
    <w:rsid w:val="00806F8E"/>
    <w:rsid w:val="00807140"/>
    <w:rsid w:val="00807DE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602"/>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B78"/>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D1D"/>
    <w:rsid w:val="00853E94"/>
    <w:rsid w:val="00854D9D"/>
    <w:rsid w:val="0085553B"/>
    <w:rsid w:val="00855613"/>
    <w:rsid w:val="00855E6E"/>
    <w:rsid w:val="0085628F"/>
    <w:rsid w:val="008569B2"/>
    <w:rsid w:val="00856C2D"/>
    <w:rsid w:val="00856FFF"/>
    <w:rsid w:val="008573CC"/>
    <w:rsid w:val="008611B8"/>
    <w:rsid w:val="008611DC"/>
    <w:rsid w:val="00863A17"/>
    <w:rsid w:val="00864B3C"/>
    <w:rsid w:val="00865683"/>
    <w:rsid w:val="008673DC"/>
    <w:rsid w:val="00867590"/>
    <w:rsid w:val="00867641"/>
    <w:rsid w:val="00870627"/>
    <w:rsid w:val="00871733"/>
    <w:rsid w:val="008718C0"/>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759"/>
    <w:rsid w:val="00886BD2"/>
    <w:rsid w:val="00886F26"/>
    <w:rsid w:val="00887491"/>
    <w:rsid w:val="0088762D"/>
    <w:rsid w:val="00891E08"/>
    <w:rsid w:val="00891E41"/>
    <w:rsid w:val="00891FDF"/>
    <w:rsid w:val="00893FB8"/>
    <w:rsid w:val="00894429"/>
    <w:rsid w:val="008945E7"/>
    <w:rsid w:val="008947B9"/>
    <w:rsid w:val="00894DCD"/>
    <w:rsid w:val="008951B6"/>
    <w:rsid w:val="0089532B"/>
    <w:rsid w:val="008957F1"/>
    <w:rsid w:val="008959F7"/>
    <w:rsid w:val="00896675"/>
    <w:rsid w:val="008968E3"/>
    <w:rsid w:val="00897898"/>
    <w:rsid w:val="00897951"/>
    <w:rsid w:val="00897E4E"/>
    <w:rsid w:val="008A0A7A"/>
    <w:rsid w:val="008A141A"/>
    <w:rsid w:val="008A2339"/>
    <w:rsid w:val="008A240D"/>
    <w:rsid w:val="008A27FC"/>
    <w:rsid w:val="008A3BA3"/>
    <w:rsid w:val="008A3D61"/>
    <w:rsid w:val="008A49C2"/>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3A5E"/>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DF9"/>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28B6"/>
    <w:rsid w:val="00923EFB"/>
    <w:rsid w:val="009245CA"/>
    <w:rsid w:val="00924B14"/>
    <w:rsid w:val="0092621C"/>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50B0"/>
    <w:rsid w:val="0094649B"/>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7EB"/>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8C0"/>
    <w:rsid w:val="009A58DF"/>
    <w:rsid w:val="009A5CED"/>
    <w:rsid w:val="009A5ED2"/>
    <w:rsid w:val="009A6B3E"/>
    <w:rsid w:val="009A6C52"/>
    <w:rsid w:val="009B0948"/>
    <w:rsid w:val="009B1C9A"/>
    <w:rsid w:val="009B1D34"/>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5DAE"/>
    <w:rsid w:val="009E6D23"/>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5223"/>
    <w:rsid w:val="00A06587"/>
    <w:rsid w:val="00A066B6"/>
    <w:rsid w:val="00A072A0"/>
    <w:rsid w:val="00A0756B"/>
    <w:rsid w:val="00A10A8E"/>
    <w:rsid w:val="00A10B02"/>
    <w:rsid w:val="00A10E27"/>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74E"/>
    <w:rsid w:val="00A20E09"/>
    <w:rsid w:val="00A21132"/>
    <w:rsid w:val="00A214C8"/>
    <w:rsid w:val="00A21A29"/>
    <w:rsid w:val="00A21ACB"/>
    <w:rsid w:val="00A221FF"/>
    <w:rsid w:val="00A22542"/>
    <w:rsid w:val="00A22BE8"/>
    <w:rsid w:val="00A233C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CDF"/>
    <w:rsid w:val="00A34F0B"/>
    <w:rsid w:val="00A35F45"/>
    <w:rsid w:val="00A36A73"/>
    <w:rsid w:val="00A36ECA"/>
    <w:rsid w:val="00A414A0"/>
    <w:rsid w:val="00A4192E"/>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640"/>
    <w:rsid w:val="00A71A1C"/>
    <w:rsid w:val="00A721FA"/>
    <w:rsid w:val="00A72AC6"/>
    <w:rsid w:val="00A72CE8"/>
    <w:rsid w:val="00A72F90"/>
    <w:rsid w:val="00A7369A"/>
    <w:rsid w:val="00A737CB"/>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A29"/>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BD"/>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34"/>
    <w:rsid w:val="00B31524"/>
    <w:rsid w:val="00B3164D"/>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619"/>
    <w:rsid w:val="00B53836"/>
    <w:rsid w:val="00B5425F"/>
    <w:rsid w:val="00B544F1"/>
    <w:rsid w:val="00B55075"/>
    <w:rsid w:val="00B55281"/>
    <w:rsid w:val="00B5570E"/>
    <w:rsid w:val="00B55A4C"/>
    <w:rsid w:val="00B5637B"/>
    <w:rsid w:val="00B56E21"/>
    <w:rsid w:val="00B606C7"/>
    <w:rsid w:val="00B61091"/>
    <w:rsid w:val="00B6342C"/>
    <w:rsid w:val="00B63EDF"/>
    <w:rsid w:val="00B63F98"/>
    <w:rsid w:val="00B64BC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1A"/>
    <w:rsid w:val="00B859DF"/>
    <w:rsid w:val="00B85D52"/>
    <w:rsid w:val="00B86252"/>
    <w:rsid w:val="00B86426"/>
    <w:rsid w:val="00B8654C"/>
    <w:rsid w:val="00B8682C"/>
    <w:rsid w:val="00B869A3"/>
    <w:rsid w:val="00B8700C"/>
    <w:rsid w:val="00B8763A"/>
    <w:rsid w:val="00B87AA1"/>
    <w:rsid w:val="00B87AD3"/>
    <w:rsid w:val="00B9037B"/>
    <w:rsid w:val="00B90EFE"/>
    <w:rsid w:val="00B91D8C"/>
    <w:rsid w:val="00B9216E"/>
    <w:rsid w:val="00B921CA"/>
    <w:rsid w:val="00B923BE"/>
    <w:rsid w:val="00B92405"/>
    <w:rsid w:val="00B92BF8"/>
    <w:rsid w:val="00B9322F"/>
    <w:rsid w:val="00B93597"/>
    <w:rsid w:val="00B945B8"/>
    <w:rsid w:val="00B949F6"/>
    <w:rsid w:val="00B95444"/>
    <w:rsid w:val="00B95C17"/>
    <w:rsid w:val="00B95C3B"/>
    <w:rsid w:val="00B96945"/>
    <w:rsid w:val="00B97A3B"/>
    <w:rsid w:val="00B97AA1"/>
    <w:rsid w:val="00BA037E"/>
    <w:rsid w:val="00BA1CEE"/>
    <w:rsid w:val="00BA2089"/>
    <w:rsid w:val="00BA2A5E"/>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34D7"/>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1472"/>
    <w:rsid w:val="00BF15FB"/>
    <w:rsid w:val="00BF189F"/>
    <w:rsid w:val="00BF1A58"/>
    <w:rsid w:val="00BF1B47"/>
    <w:rsid w:val="00BF222A"/>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8B8"/>
    <w:rsid w:val="00C06915"/>
    <w:rsid w:val="00C06C31"/>
    <w:rsid w:val="00C07046"/>
    <w:rsid w:val="00C070B1"/>
    <w:rsid w:val="00C07408"/>
    <w:rsid w:val="00C07AC7"/>
    <w:rsid w:val="00C07CED"/>
    <w:rsid w:val="00C10E43"/>
    <w:rsid w:val="00C10F32"/>
    <w:rsid w:val="00C1148B"/>
    <w:rsid w:val="00C117FA"/>
    <w:rsid w:val="00C1213F"/>
    <w:rsid w:val="00C121D8"/>
    <w:rsid w:val="00C124D9"/>
    <w:rsid w:val="00C13070"/>
    <w:rsid w:val="00C139FB"/>
    <w:rsid w:val="00C13B7B"/>
    <w:rsid w:val="00C14198"/>
    <w:rsid w:val="00C14A25"/>
    <w:rsid w:val="00C14D62"/>
    <w:rsid w:val="00C1550C"/>
    <w:rsid w:val="00C15BFF"/>
    <w:rsid w:val="00C15CBC"/>
    <w:rsid w:val="00C15E0C"/>
    <w:rsid w:val="00C16638"/>
    <w:rsid w:val="00C1666E"/>
    <w:rsid w:val="00C17657"/>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2C3B"/>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B06"/>
    <w:rsid w:val="00C47EB6"/>
    <w:rsid w:val="00C50912"/>
    <w:rsid w:val="00C512BA"/>
    <w:rsid w:val="00C51C7D"/>
    <w:rsid w:val="00C52148"/>
    <w:rsid w:val="00C52651"/>
    <w:rsid w:val="00C52A9B"/>
    <w:rsid w:val="00C54DC7"/>
    <w:rsid w:val="00C555AC"/>
    <w:rsid w:val="00C55879"/>
    <w:rsid w:val="00C5721D"/>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67F6F"/>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0DB"/>
    <w:rsid w:val="00C923C6"/>
    <w:rsid w:val="00C92525"/>
    <w:rsid w:val="00C92746"/>
    <w:rsid w:val="00C9317D"/>
    <w:rsid w:val="00C9329C"/>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86A"/>
    <w:rsid w:val="00CA5D66"/>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454"/>
    <w:rsid w:val="00CD167D"/>
    <w:rsid w:val="00CD1999"/>
    <w:rsid w:val="00CD23B4"/>
    <w:rsid w:val="00CD3A9C"/>
    <w:rsid w:val="00CD3C0F"/>
    <w:rsid w:val="00CD3EDA"/>
    <w:rsid w:val="00CD3FD9"/>
    <w:rsid w:val="00CD41F0"/>
    <w:rsid w:val="00CD44D7"/>
    <w:rsid w:val="00CD4B81"/>
    <w:rsid w:val="00CD5654"/>
    <w:rsid w:val="00CD5C48"/>
    <w:rsid w:val="00CD6075"/>
    <w:rsid w:val="00CD6808"/>
    <w:rsid w:val="00CD6886"/>
    <w:rsid w:val="00CD6EC2"/>
    <w:rsid w:val="00CD7818"/>
    <w:rsid w:val="00CE020D"/>
    <w:rsid w:val="00CE0BE7"/>
    <w:rsid w:val="00CE27A1"/>
    <w:rsid w:val="00CE2DB3"/>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83"/>
    <w:rsid w:val="00CF2E90"/>
    <w:rsid w:val="00CF342B"/>
    <w:rsid w:val="00CF3B93"/>
    <w:rsid w:val="00CF4665"/>
    <w:rsid w:val="00CF5ACB"/>
    <w:rsid w:val="00CF670D"/>
    <w:rsid w:val="00CF6A46"/>
    <w:rsid w:val="00CF6E11"/>
    <w:rsid w:val="00CF6F87"/>
    <w:rsid w:val="00CF7016"/>
    <w:rsid w:val="00CF7C58"/>
    <w:rsid w:val="00CF7E8C"/>
    <w:rsid w:val="00D015A1"/>
    <w:rsid w:val="00D01BF1"/>
    <w:rsid w:val="00D01CE3"/>
    <w:rsid w:val="00D0266B"/>
    <w:rsid w:val="00D02923"/>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112E"/>
    <w:rsid w:val="00D12435"/>
    <w:rsid w:val="00D13FED"/>
    <w:rsid w:val="00D157AB"/>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A6E"/>
    <w:rsid w:val="00D45CEA"/>
    <w:rsid w:val="00D46A5D"/>
    <w:rsid w:val="00D47243"/>
    <w:rsid w:val="00D50089"/>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65A0"/>
    <w:rsid w:val="00D965C3"/>
    <w:rsid w:val="00D975BD"/>
    <w:rsid w:val="00D977BB"/>
    <w:rsid w:val="00DA12E2"/>
    <w:rsid w:val="00DA16C1"/>
    <w:rsid w:val="00DA185A"/>
    <w:rsid w:val="00DA1E8E"/>
    <w:rsid w:val="00DA32F2"/>
    <w:rsid w:val="00DA3CDA"/>
    <w:rsid w:val="00DA4B28"/>
    <w:rsid w:val="00DA592B"/>
    <w:rsid w:val="00DA5E9A"/>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5C4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B3"/>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DEE"/>
    <w:rsid w:val="00EA6E2D"/>
    <w:rsid w:val="00EA711D"/>
    <w:rsid w:val="00EA78D6"/>
    <w:rsid w:val="00EA7EC5"/>
    <w:rsid w:val="00EB03C6"/>
    <w:rsid w:val="00EB06F1"/>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521"/>
    <w:rsid w:val="00EC5F50"/>
    <w:rsid w:val="00EC6049"/>
    <w:rsid w:val="00EC7F6F"/>
    <w:rsid w:val="00ED07E6"/>
    <w:rsid w:val="00ED0BB0"/>
    <w:rsid w:val="00ED19CC"/>
    <w:rsid w:val="00ED2394"/>
    <w:rsid w:val="00ED2727"/>
    <w:rsid w:val="00ED3731"/>
    <w:rsid w:val="00ED449C"/>
    <w:rsid w:val="00ED4770"/>
    <w:rsid w:val="00ED50E7"/>
    <w:rsid w:val="00ED5367"/>
    <w:rsid w:val="00ED53D1"/>
    <w:rsid w:val="00ED7193"/>
    <w:rsid w:val="00ED768E"/>
    <w:rsid w:val="00EE0021"/>
    <w:rsid w:val="00EE0E72"/>
    <w:rsid w:val="00EE1947"/>
    <w:rsid w:val="00EE2609"/>
    <w:rsid w:val="00EE30FF"/>
    <w:rsid w:val="00EE3517"/>
    <w:rsid w:val="00EE38E2"/>
    <w:rsid w:val="00EE413C"/>
    <w:rsid w:val="00EE49FE"/>
    <w:rsid w:val="00EE5497"/>
    <w:rsid w:val="00EE587C"/>
    <w:rsid w:val="00EE6E0E"/>
    <w:rsid w:val="00EE78D2"/>
    <w:rsid w:val="00EE7E99"/>
    <w:rsid w:val="00EF0649"/>
    <w:rsid w:val="00EF525D"/>
    <w:rsid w:val="00EF52D7"/>
    <w:rsid w:val="00EF6221"/>
    <w:rsid w:val="00EF6EA6"/>
    <w:rsid w:val="00EF7F3D"/>
    <w:rsid w:val="00F00AF7"/>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83A"/>
    <w:rsid w:val="00F24BE7"/>
    <w:rsid w:val="00F24C44"/>
    <w:rsid w:val="00F263EE"/>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6ED6"/>
    <w:rsid w:val="00FC7A48"/>
    <w:rsid w:val="00FC7CC8"/>
    <w:rsid w:val="00FD0C71"/>
    <w:rsid w:val="00FD126E"/>
    <w:rsid w:val="00FD1B83"/>
    <w:rsid w:val="00FD1C5E"/>
    <w:rsid w:val="00FD1C88"/>
    <w:rsid w:val="00FD1E57"/>
    <w:rsid w:val="00FD2274"/>
    <w:rsid w:val="00FD22DA"/>
    <w:rsid w:val="00FD2618"/>
    <w:rsid w:val="00FD2EEB"/>
    <w:rsid w:val="00FD3140"/>
    <w:rsid w:val="00FD31E5"/>
    <w:rsid w:val="00FD352D"/>
    <w:rsid w:val="00FD3719"/>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5EB6"/>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9A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89347203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harm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EDB23C11C334C8A07512BCD9F1E42" ma:contentTypeVersion="5" ma:contentTypeDescription="Create a new document." ma:contentTypeScope="" ma:versionID="36762c8c69ad0762adb85fd300c344aa">
  <xsd:schema xmlns:xsd="http://www.w3.org/2001/XMLSchema" xmlns:xs="http://www.w3.org/2001/XMLSchema" xmlns:p="http://schemas.microsoft.com/office/2006/metadata/properties" xmlns:ns2="8039ce92-df0d-49cd-ab1a-4fe3edf1ca97" xmlns:ns3="f6b31d40-b04e-4fd2-a689-7c44d88a5bce" targetNamespace="http://schemas.microsoft.com/office/2006/metadata/properties" ma:root="true" ma:fieldsID="fc29eff8c2036849e8af8e7caddd7415" ns2:_="" ns3:_="">
    <xsd:import namespace="8039ce92-df0d-49cd-ab1a-4fe3edf1ca97"/>
    <xsd:import namespace="f6b31d40-b04e-4fd2-a689-7c44d88a5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ce92-df0d-49cd-ab1a-4fe3edf1ca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31d40-b04e-4fd2-a689-7c44d88a5b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2.xml><?xml version="1.0" encoding="utf-8"?>
<ds:datastoreItem xmlns:ds="http://schemas.openxmlformats.org/officeDocument/2006/customXml" ds:itemID="{965D0673-3D74-4A23-949E-2F615757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9ce92-df0d-49cd-ab1a-4fe3edf1ca97"/>
    <ds:schemaRef ds:uri="f6b31d40-b04e-4fd2-a689-7c44d88a5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8DBFF9-D962-4DF3-BF43-DAD51905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2017-10-20T14:08:00Z</cp:lastPrinted>
  <dcterms:created xsi:type="dcterms:W3CDTF">2017-10-25T21:21:00Z</dcterms:created>
  <dcterms:modified xsi:type="dcterms:W3CDTF">2017-10-25T21:21:00Z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0x0101007BDEDB23C11C334C8A07512BCD9F1E42</vt:lpwstr>
  </property>
</Properties>
</file>