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0E2F4" w14:textId="77777777" w:rsidR="005365CE" w:rsidRPr="00032C26" w:rsidRDefault="005365CE" w:rsidP="005365CE">
      <w:pPr>
        <w:pStyle w:val="NormalWeb"/>
        <w:spacing w:afterLines="120" w:after="288"/>
        <w:jc w:val="center"/>
        <w:rPr>
          <w:rFonts w:asciiTheme="minorHAnsi" w:hAnsiTheme="minorHAnsi"/>
          <w:b/>
          <w:color w:val="0070C0"/>
          <w:sz w:val="32"/>
          <w:lang w:val="en-GB"/>
        </w:rPr>
      </w:pPr>
      <w:r w:rsidRPr="00032C26">
        <w:rPr>
          <w:rFonts w:asciiTheme="minorHAnsi" w:hAnsiTheme="minorHAnsi"/>
          <w:b/>
          <w:color w:val="0070C0"/>
          <w:sz w:val="32"/>
          <w:lang w:val="en-GB"/>
        </w:rPr>
        <w:t xml:space="preserve">Pharming Reports on Financial Results </w:t>
      </w:r>
      <w:r w:rsidRPr="00032C26">
        <w:rPr>
          <w:rFonts w:asciiTheme="minorHAnsi" w:hAnsiTheme="minorHAnsi"/>
          <w:b/>
          <w:color w:val="0070C0"/>
          <w:sz w:val="32"/>
          <w:lang w:val="en-GB"/>
        </w:rPr>
        <w:br/>
        <w:t>for the First Half of 201</w:t>
      </w:r>
      <w:r w:rsidR="004A470C" w:rsidRPr="00032C26">
        <w:rPr>
          <w:rFonts w:asciiTheme="minorHAnsi" w:hAnsiTheme="minorHAnsi"/>
          <w:b/>
          <w:color w:val="0070C0"/>
          <w:sz w:val="32"/>
          <w:lang w:val="en-GB"/>
        </w:rPr>
        <w:t>8</w:t>
      </w:r>
    </w:p>
    <w:p w14:paraId="2D8CE169" w14:textId="161E21E8" w:rsidR="005470BC" w:rsidRPr="005470BC" w:rsidRDefault="005365CE" w:rsidP="00D30CC9">
      <w:pPr>
        <w:spacing w:line="276" w:lineRule="auto"/>
        <w:ind w:left="1276" w:right="1656"/>
        <w:jc w:val="center"/>
        <w:rPr>
          <w:rFonts w:ascii="Calibri Light" w:hAnsi="Calibri Light" w:cs="Calibri Light"/>
          <w:b/>
          <w:color w:val="0070C0"/>
          <w:lang w:val="en-GB"/>
        </w:rPr>
      </w:pPr>
      <w:r w:rsidRPr="00032C26">
        <w:rPr>
          <w:rFonts w:ascii="Calibri Light" w:hAnsi="Calibri Light"/>
          <w:b/>
          <w:color w:val="0070C0"/>
          <w:lang w:val="en-GB"/>
        </w:rPr>
        <w:t>Record revenue from product sales</w:t>
      </w:r>
      <w:r w:rsidR="005470BC" w:rsidRPr="005470BC">
        <w:rPr>
          <w:rFonts w:ascii="Calibri Light" w:hAnsi="Calibri Light" w:cs="Calibri Light"/>
          <w:b/>
          <w:color w:val="0070C0"/>
        </w:rPr>
        <w:t>,</w:t>
      </w:r>
      <w:r w:rsidRPr="00032C26">
        <w:rPr>
          <w:rFonts w:ascii="Calibri Light" w:hAnsi="Calibri Light"/>
          <w:b/>
          <w:color w:val="0070C0"/>
          <w:lang w:val="en-GB"/>
        </w:rPr>
        <w:t xml:space="preserve"> up </w:t>
      </w:r>
      <w:r w:rsidR="00191E44" w:rsidRPr="00032C26">
        <w:rPr>
          <w:rFonts w:ascii="Calibri Light" w:hAnsi="Calibri Light"/>
          <w:b/>
          <w:color w:val="0070C0"/>
        </w:rPr>
        <w:t>96</w:t>
      </w:r>
      <w:r w:rsidRPr="00032C26">
        <w:rPr>
          <w:rFonts w:ascii="Calibri Light" w:hAnsi="Calibri Light"/>
          <w:b/>
          <w:color w:val="0070C0"/>
          <w:lang w:val="en-GB"/>
        </w:rPr>
        <w:t>%</w:t>
      </w:r>
      <w:r w:rsidR="00775951" w:rsidRPr="00032C26">
        <w:rPr>
          <w:rFonts w:ascii="Calibri Light" w:hAnsi="Calibri Light"/>
          <w:b/>
          <w:color w:val="0070C0"/>
          <w:lang w:val="en-GB"/>
        </w:rPr>
        <w:t xml:space="preserve"> on 201</w:t>
      </w:r>
      <w:r w:rsidR="004A470C" w:rsidRPr="00032C26">
        <w:rPr>
          <w:rFonts w:ascii="Calibri Light" w:hAnsi="Calibri Light"/>
          <w:b/>
          <w:color w:val="0070C0"/>
          <w:lang w:val="en-GB"/>
        </w:rPr>
        <w:t>7</w:t>
      </w:r>
    </w:p>
    <w:p w14:paraId="4F7F9DCE" w14:textId="10B042F4" w:rsidR="001200BD" w:rsidRPr="00032C26" w:rsidRDefault="00775951" w:rsidP="00D30CC9">
      <w:pPr>
        <w:spacing w:line="276" w:lineRule="auto"/>
        <w:ind w:left="1276" w:right="1656"/>
        <w:jc w:val="center"/>
        <w:rPr>
          <w:rFonts w:ascii="Calibri Light" w:hAnsi="Calibri Light"/>
          <w:b/>
          <w:color w:val="0070C0"/>
          <w:lang w:val="en-GB"/>
        </w:rPr>
      </w:pPr>
      <w:r w:rsidRPr="00032C26">
        <w:rPr>
          <w:rFonts w:ascii="Calibri Light" w:hAnsi="Calibri Light"/>
          <w:b/>
          <w:color w:val="0070C0"/>
          <w:lang w:val="en-GB"/>
        </w:rPr>
        <w:t xml:space="preserve">Pharming’s first </w:t>
      </w:r>
      <w:r w:rsidR="005365CE" w:rsidRPr="00032C26">
        <w:rPr>
          <w:rFonts w:ascii="Calibri Light" w:hAnsi="Calibri Light"/>
          <w:b/>
          <w:color w:val="0070C0"/>
          <w:lang w:val="en-GB"/>
        </w:rPr>
        <w:t xml:space="preserve">half year </w:t>
      </w:r>
      <w:r w:rsidRPr="00032C26">
        <w:rPr>
          <w:rFonts w:ascii="Calibri Light" w:hAnsi="Calibri Light"/>
          <w:b/>
          <w:color w:val="0070C0"/>
          <w:lang w:val="en-GB"/>
        </w:rPr>
        <w:t xml:space="preserve">of </w:t>
      </w:r>
      <w:r w:rsidR="004A470C" w:rsidRPr="00032C26">
        <w:rPr>
          <w:rFonts w:ascii="Calibri Light" w:hAnsi="Calibri Light"/>
          <w:b/>
          <w:color w:val="0070C0"/>
          <w:lang w:val="en-GB"/>
        </w:rPr>
        <w:t>net</w:t>
      </w:r>
      <w:r w:rsidR="005365CE" w:rsidRPr="00032C26">
        <w:rPr>
          <w:rFonts w:ascii="Calibri Light" w:hAnsi="Calibri Light"/>
          <w:b/>
          <w:color w:val="0070C0"/>
          <w:lang w:val="en-GB"/>
        </w:rPr>
        <w:t xml:space="preserve"> profitability </w:t>
      </w:r>
    </w:p>
    <w:p w14:paraId="6DD5C8A4" w14:textId="2596D51C" w:rsidR="005365CE" w:rsidRPr="00032C26" w:rsidRDefault="00A37949" w:rsidP="005365CE">
      <w:pPr>
        <w:spacing w:line="276" w:lineRule="auto"/>
        <w:jc w:val="center"/>
        <w:rPr>
          <w:rFonts w:ascii="Calibri Light" w:hAnsi="Calibri Light"/>
          <w:b/>
          <w:color w:val="0070C0"/>
          <w:lang w:val="en-GB"/>
        </w:rPr>
      </w:pPr>
      <w:r w:rsidRPr="00032C26">
        <w:rPr>
          <w:rFonts w:ascii="Calibri Light" w:hAnsi="Calibri Light"/>
          <w:b/>
          <w:color w:val="0070C0"/>
          <w:lang w:val="en-GB"/>
        </w:rPr>
        <w:t>E</w:t>
      </w:r>
      <w:r w:rsidR="004A470C" w:rsidRPr="00032C26">
        <w:rPr>
          <w:rFonts w:ascii="Calibri Light" w:hAnsi="Calibri Light"/>
          <w:b/>
          <w:color w:val="0070C0"/>
          <w:lang w:val="en-GB"/>
        </w:rPr>
        <w:t xml:space="preserve">xpanding pipeline of </w:t>
      </w:r>
      <w:r w:rsidRPr="00032C26">
        <w:rPr>
          <w:rFonts w:ascii="Calibri Light" w:hAnsi="Calibri Light"/>
          <w:b/>
          <w:color w:val="0070C0"/>
        </w:rPr>
        <w:t>new</w:t>
      </w:r>
      <w:r w:rsidR="004A470C" w:rsidRPr="00032C26">
        <w:rPr>
          <w:rFonts w:ascii="Calibri Light" w:hAnsi="Calibri Light"/>
          <w:b/>
          <w:color w:val="0070C0"/>
          <w:lang w:val="en-GB"/>
        </w:rPr>
        <w:t xml:space="preserve"> </w:t>
      </w:r>
      <w:r w:rsidRPr="00032C26">
        <w:rPr>
          <w:rFonts w:ascii="Calibri Light" w:hAnsi="Calibri Light"/>
          <w:b/>
          <w:color w:val="0070C0"/>
        </w:rPr>
        <w:t xml:space="preserve">products plus new </w:t>
      </w:r>
      <w:r w:rsidR="004A470C" w:rsidRPr="00032C26">
        <w:rPr>
          <w:rFonts w:ascii="Calibri Light" w:hAnsi="Calibri Light"/>
          <w:b/>
          <w:color w:val="0070C0"/>
          <w:lang w:val="en-GB"/>
        </w:rPr>
        <w:t>large indication</w:t>
      </w:r>
      <w:r w:rsidRPr="00032C26">
        <w:rPr>
          <w:rFonts w:ascii="Calibri Light" w:hAnsi="Calibri Light"/>
          <w:b/>
          <w:color w:val="0070C0"/>
        </w:rPr>
        <w:t>s and dosage forms for RUCONEST®</w:t>
      </w:r>
    </w:p>
    <w:p w14:paraId="3D7F2F7E" w14:textId="55499663" w:rsidR="005365CE" w:rsidRPr="00A96D90" w:rsidRDefault="005365CE" w:rsidP="005365CE">
      <w:pPr>
        <w:spacing w:before="120"/>
        <w:rPr>
          <w:rFonts w:ascii="Calibri Light" w:hAnsi="Calibri Light"/>
          <w:color w:val="59595B"/>
          <w:lang w:val="en-GB"/>
        </w:rPr>
      </w:pPr>
      <w:r w:rsidRPr="00032C26">
        <w:rPr>
          <w:rStyle w:val="Emphasis"/>
          <w:rFonts w:ascii="Calibri Light" w:hAnsi="Calibri Light"/>
          <w:i/>
          <w:color w:val="0070C0"/>
          <w:shd w:val="clear" w:color="auto" w:fill="FFFFFF"/>
          <w:lang w:val="en-GB"/>
        </w:rPr>
        <w:t>Leiden, The Netherlands</w:t>
      </w:r>
      <w:r w:rsidRPr="00032C26">
        <w:rPr>
          <w:rStyle w:val="Emphasis"/>
          <w:rFonts w:ascii="Calibri Light" w:hAnsi="Calibri Light"/>
          <w:color w:val="0070C0"/>
          <w:shd w:val="clear" w:color="auto" w:fill="FFFFFF"/>
          <w:lang w:val="en-GB"/>
        </w:rPr>
        <w:t>, 2</w:t>
      </w:r>
      <w:r w:rsidR="004A470C" w:rsidRPr="00032C26">
        <w:rPr>
          <w:rStyle w:val="Emphasis"/>
          <w:rFonts w:ascii="Calibri Light" w:hAnsi="Calibri Light"/>
          <w:color w:val="0070C0"/>
          <w:shd w:val="clear" w:color="auto" w:fill="FFFFFF"/>
          <w:lang w:val="en-GB"/>
        </w:rPr>
        <w:t>6</w:t>
      </w:r>
      <w:r w:rsidRPr="00032C26">
        <w:rPr>
          <w:rStyle w:val="Emphasis"/>
          <w:rFonts w:ascii="Calibri Light" w:hAnsi="Calibri Light"/>
          <w:color w:val="0070C0"/>
          <w:shd w:val="clear" w:color="auto" w:fill="FFFFFF"/>
          <w:lang w:val="en-GB"/>
        </w:rPr>
        <w:t xml:space="preserve"> July 201</w:t>
      </w:r>
      <w:r w:rsidR="004A470C" w:rsidRPr="00032C26">
        <w:rPr>
          <w:rStyle w:val="Emphasis"/>
          <w:rFonts w:ascii="Calibri Light" w:hAnsi="Calibri Light"/>
          <w:color w:val="0070C0"/>
          <w:shd w:val="clear" w:color="auto" w:fill="FFFFFF"/>
          <w:lang w:val="en-GB"/>
        </w:rPr>
        <w:t>8</w:t>
      </w:r>
      <w:r w:rsidRPr="00032C26">
        <w:rPr>
          <w:rStyle w:val="Emphasis"/>
          <w:rFonts w:ascii="Calibri Light" w:hAnsi="Calibri Light"/>
          <w:color w:val="0070C0"/>
          <w:shd w:val="clear" w:color="auto" w:fill="FFFFFF"/>
          <w:lang w:val="en-GB"/>
        </w:rPr>
        <w:t>:</w:t>
      </w:r>
      <w:r w:rsidRPr="00032C26">
        <w:rPr>
          <w:rStyle w:val="apple-converted-space"/>
          <w:rFonts w:ascii="Calibri Light" w:hAnsi="Calibri Light"/>
          <w:color w:val="0070C0"/>
          <w:shd w:val="clear" w:color="auto" w:fill="FFFFFF"/>
          <w:lang w:val="en-GB"/>
        </w:rPr>
        <w:t xml:space="preserve"> </w:t>
      </w:r>
      <w:r w:rsidRPr="00A96D90">
        <w:rPr>
          <w:rFonts w:ascii="Calibri Light" w:hAnsi="Calibri Light"/>
          <w:color w:val="59595B"/>
          <w:lang w:val="en-GB"/>
        </w:rPr>
        <w:t>Pharming Group N.V. (“Pharming” or “the Company”) (Euronext Amsterdam: PHARM) presents its (unaudited) financial report for the six months ended 30 June 201</w:t>
      </w:r>
      <w:r w:rsidR="004A470C">
        <w:rPr>
          <w:rFonts w:ascii="Calibri Light" w:hAnsi="Calibri Light"/>
          <w:color w:val="59595B"/>
          <w:lang w:val="en-GB"/>
        </w:rPr>
        <w:t>8</w:t>
      </w:r>
      <w:r w:rsidRPr="00A96D90">
        <w:rPr>
          <w:rFonts w:ascii="Calibri Light" w:hAnsi="Calibri Light"/>
          <w:color w:val="59595B"/>
          <w:lang w:val="en-GB"/>
        </w:rPr>
        <w:t>.</w:t>
      </w:r>
    </w:p>
    <w:p w14:paraId="534DCE9D" w14:textId="77777777" w:rsidR="005365CE" w:rsidRPr="00A96D90" w:rsidRDefault="005365CE" w:rsidP="005365CE">
      <w:pPr>
        <w:spacing w:before="120"/>
        <w:rPr>
          <w:rFonts w:ascii="Calibri Light" w:hAnsi="Calibri Light"/>
          <w:color w:val="59595B"/>
          <w:lang w:val="en-GB"/>
        </w:rPr>
      </w:pPr>
      <w:r w:rsidRPr="00A96D90">
        <w:rPr>
          <w:rFonts w:ascii="Calibri Light" w:hAnsi="Calibri Light"/>
          <w:color w:val="59595B"/>
          <w:lang w:val="en-GB"/>
        </w:rPr>
        <w:t>The Company will hold a conference call at 13:00 CEDT/ 07:00 EDT today</w:t>
      </w:r>
      <w:r w:rsidR="00775951" w:rsidRPr="00A96D90">
        <w:rPr>
          <w:rFonts w:ascii="Calibri Light" w:hAnsi="Calibri Light"/>
          <w:color w:val="59595B"/>
          <w:lang w:val="en-GB"/>
        </w:rPr>
        <w:t>:</w:t>
      </w:r>
      <w:r w:rsidRPr="00A96D90">
        <w:rPr>
          <w:rFonts w:ascii="Calibri Light" w:hAnsi="Calibri Light"/>
          <w:color w:val="59595B"/>
          <w:lang w:val="en-GB"/>
        </w:rPr>
        <w:t xml:space="preserve"> dial-in details can be found on page </w:t>
      </w:r>
      <w:r w:rsidR="005F394C" w:rsidRPr="00A37949">
        <w:rPr>
          <w:rFonts w:ascii="Calibri Light" w:hAnsi="Calibri Light"/>
          <w:color w:val="59595B"/>
        </w:rPr>
        <w:t>8</w:t>
      </w:r>
      <w:r w:rsidR="00D30CC9" w:rsidRPr="00A37949">
        <w:rPr>
          <w:rFonts w:ascii="Calibri Light" w:hAnsi="Calibri Light"/>
          <w:color w:val="59595B"/>
          <w:lang w:val="en-GB"/>
        </w:rPr>
        <w:t>.</w:t>
      </w:r>
      <w:r w:rsidRPr="00A96D90">
        <w:rPr>
          <w:rFonts w:ascii="Calibri Light" w:hAnsi="Calibri Light"/>
          <w:color w:val="59595B"/>
          <w:lang w:val="en-GB"/>
        </w:rPr>
        <w:t xml:space="preserve"> </w:t>
      </w:r>
    </w:p>
    <w:p w14:paraId="6AFC2EB4" w14:textId="77777777" w:rsidR="005365CE" w:rsidRPr="00032C26" w:rsidRDefault="00552A0D" w:rsidP="005365CE">
      <w:pPr>
        <w:pStyle w:val="Heading1"/>
        <w:rPr>
          <w:rFonts w:ascii="Calibri Light" w:hAnsi="Calibri Light"/>
          <w:b/>
          <w:color w:val="0070C0"/>
          <w:sz w:val="24"/>
          <w:lang w:val="en-GB"/>
        </w:rPr>
      </w:pPr>
      <w:r w:rsidRPr="00032C26">
        <w:rPr>
          <w:rFonts w:ascii="Calibri Light" w:hAnsi="Calibri Light"/>
          <w:b/>
          <w:color w:val="0070C0"/>
          <w:sz w:val="24"/>
          <w:lang w:val="en-GB"/>
        </w:rPr>
        <w:t>Operational Highlights</w:t>
      </w:r>
    </w:p>
    <w:p w14:paraId="6798AF24" w14:textId="40C368A0" w:rsidR="004A470C" w:rsidRPr="004A470C" w:rsidRDefault="006B722E" w:rsidP="00032C26">
      <w:pPr>
        <w:numPr>
          <w:ilvl w:val="0"/>
          <w:numId w:val="12"/>
        </w:numPr>
        <w:shd w:val="clear" w:color="auto" w:fill="FFFFFF"/>
        <w:spacing w:before="100" w:beforeAutospacing="1" w:after="100" w:afterAutospacing="1"/>
        <w:rPr>
          <w:rFonts w:ascii="Calibri Light" w:hAnsi="Calibri Light" w:cs="Calibri Light"/>
          <w:color w:val="595959" w:themeColor="text1" w:themeTint="A6"/>
          <w:lang w:val="en-GB" w:eastAsia="en-GB"/>
        </w:rPr>
      </w:pPr>
      <w:r>
        <w:rPr>
          <w:rFonts w:ascii="Calibri Light" w:hAnsi="Calibri Light" w:cs="Calibri Light"/>
          <w:color w:val="595959" w:themeColor="text1" w:themeTint="A6"/>
          <w:lang w:val="en-GB" w:eastAsia="en-GB"/>
        </w:rPr>
        <w:t xml:space="preserve">Invested </w:t>
      </w:r>
      <w:r w:rsidR="004A470C" w:rsidRPr="004A470C">
        <w:rPr>
          <w:rFonts w:ascii="Calibri Light" w:hAnsi="Calibri Light" w:cs="Calibri Light"/>
          <w:color w:val="595959" w:themeColor="text1" w:themeTint="A6"/>
          <w:lang w:val="en-GB" w:eastAsia="en-GB"/>
        </w:rPr>
        <w:t xml:space="preserve">in commercial teams </w:t>
      </w:r>
      <w:r>
        <w:rPr>
          <w:rFonts w:ascii="Calibri Light" w:hAnsi="Calibri Light" w:cs="Calibri Light"/>
          <w:color w:val="595959" w:themeColor="text1" w:themeTint="A6"/>
          <w:lang w:eastAsia="en-GB"/>
        </w:rPr>
        <w:t>to meet</w:t>
      </w:r>
      <w:r w:rsidR="004A470C" w:rsidRPr="004A470C">
        <w:rPr>
          <w:rFonts w:ascii="Calibri Light" w:hAnsi="Calibri Light" w:cs="Calibri Light"/>
          <w:color w:val="595959" w:themeColor="text1" w:themeTint="A6"/>
          <w:lang w:val="en-GB" w:eastAsia="en-GB"/>
        </w:rPr>
        <w:t xml:space="preserve"> continued underlying demand for RUCONEST® in the USA, driving growth and good patient retention rates</w:t>
      </w:r>
    </w:p>
    <w:p w14:paraId="6783ECBD" w14:textId="662A98FB" w:rsidR="004A470C" w:rsidRPr="004A470C" w:rsidRDefault="00957FA7" w:rsidP="00032C26">
      <w:pPr>
        <w:numPr>
          <w:ilvl w:val="0"/>
          <w:numId w:val="12"/>
        </w:numPr>
        <w:shd w:val="clear" w:color="auto" w:fill="FFFFFF"/>
        <w:spacing w:before="120" w:after="100" w:afterAutospacing="1"/>
        <w:ind w:hanging="357"/>
        <w:rPr>
          <w:rFonts w:ascii="Calibri Light" w:hAnsi="Calibri Light" w:cs="Calibri Light"/>
          <w:color w:val="595959" w:themeColor="text1" w:themeTint="A6"/>
          <w:lang w:val="en-GB" w:eastAsia="en-GB"/>
        </w:rPr>
      </w:pPr>
      <w:r>
        <w:rPr>
          <w:rFonts w:ascii="Calibri Light" w:hAnsi="Calibri Light" w:cs="Calibri Light"/>
          <w:color w:val="595959" w:themeColor="text1" w:themeTint="A6"/>
          <w:lang w:val="en-GB" w:eastAsia="en-GB"/>
        </w:rPr>
        <w:t>FDA acceptance of supplemental</w:t>
      </w:r>
      <w:r w:rsidR="004A470C" w:rsidRPr="004A470C">
        <w:rPr>
          <w:rFonts w:ascii="Calibri Light" w:hAnsi="Calibri Light" w:cs="Calibri Light"/>
          <w:color w:val="595959" w:themeColor="text1" w:themeTint="A6"/>
          <w:lang w:val="en-GB" w:eastAsia="en-GB"/>
        </w:rPr>
        <w:t xml:space="preserve"> Biologics License Application file for RUCONEST® for prophylaxis of HAE, with an action</w:t>
      </w:r>
      <w:r w:rsidR="00A37949">
        <w:rPr>
          <w:rFonts w:ascii="Calibri Light" w:hAnsi="Calibri Light" w:cs="Calibri Light"/>
          <w:color w:val="595959" w:themeColor="text1" w:themeTint="A6"/>
          <w:lang w:val="en-GB" w:eastAsia="en-GB"/>
        </w:rPr>
        <w:t xml:space="preserve"> date set for 21 September 2018</w:t>
      </w:r>
    </w:p>
    <w:p w14:paraId="4B1E07BE" w14:textId="7995A5E1" w:rsidR="006B722E" w:rsidRDefault="006B722E" w:rsidP="00032C26">
      <w:pPr>
        <w:pStyle w:val="ListParagraph"/>
        <w:numPr>
          <w:ilvl w:val="0"/>
          <w:numId w:val="12"/>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rPr>
        <w:t xml:space="preserve">Announced new versions of small vial liquid and fast-dissolving dose forms for RUCONEST® in subcutaneous, intramuscular and </w:t>
      </w:r>
      <w:r w:rsidR="00A37949">
        <w:rPr>
          <w:rFonts w:ascii="Calibri Light" w:eastAsia="Calibri" w:hAnsi="Calibri Light"/>
          <w:color w:val="59595B"/>
          <w:szCs w:val="22"/>
        </w:rPr>
        <w:t>‘</w:t>
      </w:r>
      <w:r>
        <w:rPr>
          <w:rFonts w:ascii="Calibri Light" w:eastAsia="Calibri" w:hAnsi="Calibri Light"/>
          <w:color w:val="59595B"/>
          <w:szCs w:val="22"/>
        </w:rPr>
        <w:t>virtually painless</w:t>
      </w:r>
      <w:r w:rsidR="00A37949">
        <w:rPr>
          <w:rFonts w:ascii="Calibri Light" w:eastAsia="Calibri" w:hAnsi="Calibri Light"/>
          <w:color w:val="59595B"/>
          <w:szCs w:val="22"/>
        </w:rPr>
        <w:t>’</w:t>
      </w:r>
      <w:r>
        <w:rPr>
          <w:rFonts w:ascii="Calibri Light" w:eastAsia="Calibri" w:hAnsi="Calibri Light"/>
          <w:color w:val="59595B"/>
          <w:szCs w:val="22"/>
        </w:rPr>
        <w:t xml:space="preserve"> intradermal versions for use in clinical studies starting later in 2018</w:t>
      </w:r>
      <w:r>
        <w:rPr>
          <w:rFonts w:ascii="Calibri Light" w:eastAsia="Calibri" w:hAnsi="Calibri Light"/>
          <w:color w:val="59595B"/>
          <w:szCs w:val="22"/>
          <w:lang w:val="en-GB"/>
        </w:rPr>
        <w:t>/early 2019</w:t>
      </w:r>
    </w:p>
    <w:p w14:paraId="5A1BF23E" w14:textId="77777777" w:rsidR="006B722E" w:rsidRPr="006B722E" w:rsidRDefault="004A470C" w:rsidP="00A37949">
      <w:pPr>
        <w:pStyle w:val="ListParagraph"/>
        <w:numPr>
          <w:ilvl w:val="0"/>
          <w:numId w:val="12"/>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lang w:val="en-GB"/>
        </w:rPr>
        <w:t xml:space="preserve">Announced </w:t>
      </w:r>
      <w:r w:rsidR="006B722E">
        <w:rPr>
          <w:rFonts w:ascii="Calibri Light" w:eastAsia="Calibri" w:hAnsi="Calibri Light"/>
          <w:color w:val="59595B"/>
          <w:szCs w:val="22"/>
        </w:rPr>
        <w:t>five studies ongoing or starting to expand the pipeline strongly:</w:t>
      </w:r>
    </w:p>
    <w:p w14:paraId="7D2915C7" w14:textId="45DA2D76" w:rsidR="004A470C" w:rsidRPr="006B722E" w:rsidRDefault="006B722E" w:rsidP="00A37949">
      <w:pPr>
        <w:pStyle w:val="ListParagraph"/>
        <w:numPr>
          <w:ilvl w:val="1"/>
          <w:numId w:val="18"/>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rPr>
        <w:t xml:space="preserve">An </w:t>
      </w:r>
      <w:r w:rsidR="004A470C" w:rsidRPr="006B722E">
        <w:rPr>
          <w:rFonts w:ascii="Calibri Light" w:eastAsia="Calibri" w:hAnsi="Calibri Light"/>
          <w:color w:val="59595B"/>
          <w:szCs w:val="22"/>
          <w:lang w:val="en-GB"/>
        </w:rPr>
        <w:t>ongoing investigator-sponsored study of RUCONEST® in Basel, Switzerland in a double-blind, placebo-controlled trial in contras</w:t>
      </w:r>
      <w:r w:rsidR="00A37949">
        <w:rPr>
          <w:rFonts w:ascii="Calibri Light" w:eastAsia="Calibri" w:hAnsi="Calibri Light"/>
          <w:color w:val="59595B"/>
          <w:szCs w:val="22"/>
          <w:lang w:val="en-GB"/>
        </w:rPr>
        <w:t>t-induced nephropathy, with top-</w:t>
      </w:r>
      <w:r w:rsidR="004A470C" w:rsidRPr="006B722E">
        <w:rPr>
          <w:rFonts w:ascii="Calibri Light" w:eastAsia="Calibri" w:hAnsi="Calibri Light"/>
          <w:color w:val="59595B"/>
          <w:szCs w:val="22"/>
          <w:lang w:val="en-GB"/>
        </w:rPr>
        <w:t>line data expected in Q3 2018</w:t>
      </w:r>
    </w:p>
    <w:p w14:paraId="2C356AA8" w14:textId="24FA4E30" w:rsidR="00625F57" w:rsidRPr="006B722E" w:rsidRDefault="006B722E" w:rsidP="00A37949">
      <w:pPr>
        <w:pStyle w:val="ListParagraph"/>
        <w:numPr>
          <w:ilvl w:val="1"/>
          <w:numId w:val="18"/>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rPr>
        <w:t>A</w:t>
      </w:r>
      <w:r w:rsidR="00625F57" w:rsidRPr="006B722E">
        <w:rPr>
          <w:rFonts w:ascii="Calibri Light" w:eastAsia="Calibri" w:hAnsi="Calibri Light"/>
          <w:color w:val="59595B"/>
          <w:szCs w:val="22"/>
        </w:rPr>
        <w:t xml:space="preserve"> new Phase I/II study of rhC1INH in pre-eclampsia </w:t>
      </w:r>
      <w:r>
        <w:rPr>
          <w:rFonts w:ascii="Calibri Light" w:eastAsia="Calibri" w:hAnsi="Calibri Light"/>
          <w:color w:val="59595B"/>
          <w:szCs w:val="22"/>
        </w:rPr>
        <w:t>to be filed by Pharming shortly to start in</w:t>
      </w:r>
      <w:r w:rsidR="00625F57" w:rsidRPr="006B722E">
        <w:rPr>
          <w:rFonts w:ascii="Calibri Light" w:eastAsia="Calibri" w:hAnsi="Calibri Light"/>
          <w:color w:val="59595B"/>
          <w:szCs w:val="22"/>
        </w:rPr>
        <w:t xml:space="preserve"> Q4 2018</w:t>
      </w:r>
    </w:p>
    <w:p w14:paraId="18497026" w14:textId="3ED517BB" w:rsidR="005365CE" w:rsidRPr="006B722E" w:rsidRDefault="006B722E" w:rsidP="00A37949">
      <w:pPr>
        <w:pStyle w:val="ListParagraph"/>
        <w:numPr>
          <w:ilvl w:val="1"/>
          <w:numId w:val="18"/>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lang w:val="en-GB"/>
        </w:rPr>
        <w:t>A</w:t>
      </w:r>
      <w:r w:rsidR="004A470C" w:rsidRPr="006B722E">
        <w:rPr>
          <w:rFonts w:ascii="Calibri Light" w:eastAsia="Calibri" w:hAnsi="Calibri Light"/>
          <w:color w:val="59595B"/>
          <w:szCs w:val="22"/>
          <w:lang w:val="en-GB"/>
        </w:rPr>
        <w:t xml:space="preserve">n ongoing investigator-sponsored study of RUCONEST® head-to-head against </w:t>
      </w:r>
      <w:r>
        <w:rPr>
          <w:rFonts w:ascii="Calibri Light" w:eastAsia="Calibri" w:hAnsi="Calibri Light"/>
          <w:color w:val="59595B"/>
          <w:szCs w:val="22"/>
        </w:rPr>
        <w:t>a competitor</w:t>
      </w:r>
      <w:r w:rsidR="004A470C" w:rsidRPr="006B722E">
        <w:rPr>
          <w:rFonts w:ascii="Calibri Light" w:eastAsia="Calibri" w:hAnsi="Calibri Light"/>
          <w:color w:val="59595B"/>
          <w:szCs w:val="22"/>
          <w:lang w:val="en-GB"/>
        </w:rPr>
        <w:t xml:space="preserve"> in a trial testing therapy failure rates in </w:t>
      </w:r>
      <w:r w:rsidR="00480736" w:rsidRPr="006B722E">
        <w:rPr>
          <w:rFonts w:ascii="Calibri Light" w:eastAsia="Calibri" w:hAnsi="Calibri Light"/>
          <w:color w:val="59595B"/>
          <w:szCs w:val="22"/>
          <w:lang w:val="en-GB"/>
        </w:rPr>
        <w:t xml:space="preserve">treating acute attacks of </w:t>
      </w:r>
      <w:r w:rsidR="004A470C" w:rsidRPr="006B722E">
        <w:rPr>
          <w:rFonts w:ascii="Calibri Light" w:eastAsia="Calibri" w:hAnsi="Calibri Light"/>
          <w:color w:val="59595B"/>
          <w:szCs w:val="22"/>
          <w:lang w:val="en-GB"/>
        </w:rPr>
        <w:t>hered</w:t>
      </w:r>
      <w:r>
        <w:rPr>
          <w:rFonts w:ascii="Calibri Light" w:eastAsia="Calibri" w:hAnsi="Calibri Light"/>
          <w:color w:val="59595B"/>
          <w:szCs w:val="22"/>
          <w:lang w:val="en-GB"/>
        </w:rPr>
        <w:t>itary angioedema (“HAE”)</w:t>
      </w:r>
      <w:r w:rsidR="00A37949">
        <w:rPr>
          <w:rFonts w:ascii="Calibri Light" w:eastAsia="Calibri" w:hAnsi="Calibri Light"/>
          <w:color w:val="59595B"/>
          <w:szCs w:val="22"/>
          <w:lang w:val="en-GB"/>
        </w:rPr>
        <w:t>, with top-</w:t>
      </w:r>
      <w:r w:rsidR="004A470C" w:rsidRPr="006B722E">
        <w:rPr>
          <w:rFonts w:ascii="Calibri Light" w:eastAsia="Calibri" w:hAnsi="Calibri Light"/>
          <w:color w:val="59595B"/>
          <w:szCs w:val="22"/>
          <w:lang w:val="en-GB"/>
        </w:rPr>
        <w:t>line data expected in Q4 2018</w:t>
      </w:r>
    </w:p>
    <w:p w14:paraId="54600F5C" w14:textId="0FFC2CB0" w:rsidR="00625F57" w:rsidRPr="006B722E" w:rsidRDefault="006B722E" w:rsidP="00A37949">
      <w:pPr>
        <w:pStyle w:val="ListParagraph"/>
        <w:numPr>
          <w:ilvl w:val="1"/>
          <w:numId w:val="18"/>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lang w:val="en-GB"/>
        </w:rPr>
        <w:t>I</w:t>
      </w:r>
      <w:r w:rsidR="00625F57" w:rsidRPr="006B722E">
        <w:rPr>
          <w:rFonts w:ascii="Calibri Light" w:eastAsia="Calibri" w:hAnsi="Calibri Light"/>
          <w:color w:val="59595B"/>
          <w:szCs w:val="22"/>
        </w:rPr>
        <w:t>nitiation of an</w:t>
      </w:r>
      <w:r w:rsidR="00625F57" w:rsidRPr="006B722E">
        <w:rPr>
          <w:rFonts w:ascii="Calibri Light" w:eastAsia="Calibri" w:hAnsi="Calibri Light"/>
          <w:color w:val="59595B"/>
          <w:szCs w:val="22"/>
          <w:lang w:val="en-GB"/>
        </w:rPr>
        <w:t xml:space="preserve"> investigator-sponsored study of RUCONEST® </w:t>
      </w:r>
      <w:r w:rsidR="00625F57" w:rsidRPr="006B722E">
        <w:rPr>
          <w:rFonts w:ascii="Calibri Light" w:eastAsia="Calibri" w:hAnsi="Calibri Light"/>
          <w:color w:val="59595B"/>
          <w:szCs w:val="22"/>
        </w:rPr>
        <w:t>to treat delayed graft function, a form of ischemic reperfusion injury, at the University of Wisconsin</w:t>
      </w:r>
    </w:p>
    <w:p w14:paraId="043A270C" w14:textId="04547C1B" w:rsidR="006B722E" w:rsidRPr="006B722E" w:rsidRDefault="003B65B9" w:rsidP="00A37949">
      <w:pPr>
        <w:pStyle w:val="ListParagraph"/>
        <w:numPr>
          <w:ilvl w:val="1"/>
          <w:numId w:val="18"/>
        </w:numPr>
        <w:spacing w:before="120"/>
        <w:ind w:hanging="357"/>
        <w:contextualSpacing w:val="0"/>
        <w:rPr>
          <w:rFonts w:ascii="Calibri Light" w:eastAsia="Calibri" w:hAnsi="Calibri Light"/>
          <w:color w:val="59595B"/>
          <w:szCs w:val="22"/>
          <w:lang w:val="en-GB"/>
        </w:rPr>
      </w:pPr>
      <w:r>
        <w:rPr>
          <w:rFonts w:ascii="Calibri Light" w:eastAsia="Calibri" w:hAnsi="Calibri Light"/>
          <w:color w:val="59595B"/>
          <w:szCs w:val="22"/>
        </w:rPr>
        <w:t>A new in-house clinical trial</w:t>
      </w:r>
      <w:r w:rsidR="006B722E">
        <w:rPr>
          <w:rFonts w:ascii="Calibri Light" w:eastAsia="Calibri" w:hAnsi="Calibri Light"/>
          <w:color w:val="59595B"/>
          <w:szCs w:val="22"/>
        </w:rPr>
        <w:t xml:space="preserve"> of Pharming’s proprietary recombinant human alphaglucosidase in Pompe disease to be filed</w:t>
      </w:r>
      <w:r w:rsidR="004010C2">
        <w:rPr>
          <w:rFonts w:ascii="Calibri Light" w:eastAsia="Calibri" w:hAnsi="Calibri Light"/>
          <w:color w:val="59595B"/>
          <w:szCs w:val="22"/>
          <w:lang w:val="en-GB"/>
        </w:rPr>
        <w:t xml:space="preserve"> early 2019</w:t>
      </w:r>
    </w:p>
    <w:p w14:paraId="45F8BD0B" w14:textId="77777777" w:rsidR="005365CE" w:rsidRPr="00032C26" w:rsidRDefault="00552A0D" w:rsidP="005365CE">
      <w:pPr>
        <w:pStyle w:val="Heading1"/>
        <w:rPr>
          <w:rFonts w:ascii="Calibri Light" w:hAnsi="Calibri Light"/>
          <w:b/>
          <w:color w:val="0070C0"/>
          <w:sz w:val="24"/>
          <w:lang w:val="en-GB"/>
        </w:rPr>
      </w:pPr>
      <w:r w:rsidRPr="00032C26">
        <w:rPr>
          <w:rFonts w:ascii="Calibri Light" w:hAnsi="Calibri Light"/>
          <w:b/>
          <w:color w:val="0070C0"/>
          <w:sz w:val="24"/>
          <w:lang w:val="en-GB"/>
        </w:rPr>
        <w:t>Financial Highlights</w:t>
      </w:r>
    </w:p>
    <w:p w14:paraId="727925FC" w14:textId="77777777" w:rsidR="001B0F98" w:rsidRPr="00A96D90" w:rsidRDefault="001B0F98" w:rsidP="001B0F98">
      <w:pPr>
        <w:rPr>
          <w:lang w:val="en-GB" w:eastAsia="zh-CN"/>
        </w:rPr>
      </w:pPr>
    </w:p>
    <w:p w14:paraId="2CB33054" w14:textId="63BF7F3E" w:rsidR="006B722E" w:rsidRPr="00A96D90" w:rsidRDefault="006B722E" w:rsidP="00BB4E7E">
      <w:pPr>
        <w:pStyle w:val="ListParagraph"/>
        <w:numPr>
          <w:ilvl w:val="0"/>
          <w:numId w:val="8"/>
        </w:numPr>
        <w:spacing w:line="276" w:lineRule="auto"/>
        <w:contextualSpacing w:val="0"/>
        <w:rPr>
          <w:rFonts w:ascii="Calibri Light" w:eastAsia="Calibri" w:hAnsi="Calibri Light" w:cs="Calibri Light"/>
          <w:color w:val="59595B"/>
          <w:szCs w:val="22"/>
          <w:lang w:val="en-GB"/>
        </w:rPr>
      </w:pPr>
      <w:r>
        <w:rPr>
          <w:rFonts w:ascii="Calibri Light" w:eastAsia="Calibri" w:hAnsi="Calibri Light" w:cs="Calibri Light"/>
          <w:color w:val="59595B"/>
          <w:szCs w:val="22"/>
          <w:lang w:val="en-GB"/>
        </w:rPr>
        <w:t xml:space="preserve">Delivered net profitability </w:t>
      </w:r>
      <w:r>
        <w:rPr>
          <w:rFonts w:ascii="Calibri Light" w:eastAsia="Calibri" w:hAnsi="Calibri Light" w:cs="Calibri Light"/>
          <w:color w:val="59595B"/>
          <w:szCs w:val="22"/>
        </w:rPr>
        <w:t>for the half year</w:t>
      </w:r>
    </w:p>
    <w:p w14:paraId="7151E30D" w14:textId="44814E7B" w:rsidR="005365CE" w:rsidRPr="00A96D90" w:rsidRDefault="005365CE" w:rsidP="00BB4E7E">
      <w:pPr>
        <w:pStyle w:val="ListParagraph"/>
        <w:numPr>
          <w:ilvl w:val="0"/>
          <w:numId w:val="8"/>
        </w:numPr>
        <w:spacing w:before="120"/>
        <w:ind w:hanging="357"/>
        <w:contextualSpacing w:val="0"/>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Revenues from product sales for the half year increased by </w:t>
      </w:r>
      <w:r w:rsidR="00191E44">
        <w:rPr>
          <w:rFonts w:ascii="Calibri Light" w:eastAsia="Calibri" w:hAnsi="Calibri Light"/>
          <w:color w:val="59595B"/>
          <w:szCs w:val="22"/>
        </w:rPr>
        <w:t>96</w:t>
      </w:r>
      <w:r w:rsidRPr="00A96D90">
        <w:rPr>
          <w:rFonts w:ascii="Calibri Light" w:eastAsia="Calibri" w:hAnsi="Calibri Light"/>
          <w:color w:val="59595B"/>
          <w:szCs w:val="22"/>
          <w:lang w:val="en-GB"/>
        </w:rPr>
        <w:t>% to €</w:t>
      </w:r>
      <w:r w:rsidR="00041E4C">
        <w:rPr>
          <w:rFonts w:ascii="Calibri Light" w:eastAsia="Calibri" w:hAnsi="Calibri Light"/>
          <w:color w:val="59595B"/>
          <w:szCs w:val="22"/>
        </w:rPr>
        <w:t>59.</w:t>
      </w:r>
      <w:r w:rsidR="00191E44">
        <w:rPr>
          <w:rFonts w:ascii="Calibri Light" w:eastAsia="Calibri" w:hAnsi="Calibri Light"/>
          <w:color w:val="59595B"/>
          <w:szCs w:val="22"/>
        </w:rPr>
        <w:t>1</w:t>
      </w:r>
      <w:r w:rsidRPr="00A96D90">
        <w:rPr>
          <w:rFonts w:ascii="Calibri Light" w:eastAsia="Calibri" w:hAnsi="Calibri Light"/>
          <w:color w:val="59595B"/>
          <w:szCs w:val="22"/>
          <w:lang w:val="en-GB"/>
        </w:rPr>
        <w:t xml:space="preserve"> million (HY 201</w:t>
      </w:r>
      <w:r w:rsidR="004A470C">
        <w:rPr>
          <w:rFonts w:ascii="Calibri Light" w:eastAsia="Calibri" w:hAnsi="Calibri Light"/>
          <w:color w:val="59595B"/>
          <w:szCs w:val="22"/>
          <w:lang w:val="en-GB"/>
        </w:rPr>
        <w:t>7</w:t>
      </w:r>
      <w:r w:rsidRPr="00A96D90">
        <w:rPr>
          <w:rFonts w:ascii="Calibri Light" w:eastAsia="Calibri" w:hAnsi="Calibri Light"/>
          <w:color w:val="59595B"/>
          <w:szCs w:val="22"/>
          <w:lang w:val="en-GB"/>
        </w:rPr>
        <w:t>: €</w:t>
      </w:r>
      <w:r w:rsidR="00625F57">
        <w:rPr>
          <w:rFonts w:ascii="Calibri Light" w:eastAsia="Calibri" w:hAnsi="Calibri Light"/>
          <w:color w:val="59595B"/>
          <w:szCs w:val="22"/>
        </w:rPr>
        <w:t>30.1</w:t>
      </w:r>
      <w:r w:rsidRPr="00A96D90">
        <w:rPr>
          <w:rFonts w:ascii="Calibri Light" w:eastAsia="Calibri" w:hAnsi="Calibri Light"/>
          <w:color w:val="59595B"/>
          <w:szCs w:val="22"/>
          <w:lang w:val="en-GB"/>
        </w:rPr>
        <w:t xml:space="preserve"> million</w:t>
      </w:r>
      <w:r w:rsidR="00625F57">
        <w:rPr>
          <w:rFonts w:ascii="Calibri Light" w:eastAsia="Calibri" w:hAnsi="Calibri Light"/>
          <w:color w:val="59595B"/>
          <w:szCs w:val="22"/>
        </w:rPr>
        <w:t>, and Q2 2018 €29.</w:t>
      </w:r>
      <w:r w:rsidR="00191E44">
        <w:rPr>
          <w:rFonts w:ascii="Calibri Light" w:eastAsia="Calibri" w:hAnsi="Calibri Light"/>
          <w:color w:val="59595B"/>
          <w:szCs w:val="22"/>
        </w:rPr>
        <w:t>8</w:t>
      </w:r>
      <w:r w:rsidR="00041E4C">
        <w:rPr>
          <w:rFonts w:ascii="Calibri Light" w:eastAsia="Calibri" w:hAnsi="Calibri Light"/>
          <w:color w:val="59595B"/>
          <w:szCs w:val="22"/>
        </w:rPr>
        <w:t xml:space="preserve"> </w:t>
      </w:r>
      <w:r w:rsidR="00625F57">
        <w:rPr>
          <w:rFonts w:ascii="Calibri Light" w:eastAsia="Calibri" w:hAnsi="Calibri Light"/>
          <w:color w:val="59595B"/>
          <w:szCs w:val="22"/>
        </w:rPr>
        <w:t>million</w:t>
      </w:r>
      <w:r w:rsidRPr="00A96D90">
        <w:rPr>
          <w:rFonts w:ascii="Calibri Light" w:eastAsia="Calibri" w:hAnsi="Calibri Light"/>
          <w:color w:val="59595B"/>
          <w:szCs w:val="22"/>
          <w:lang w:val="en-GB"/>
        </w:rPr>
        <w:t xml:space="preserve">), </w:t>
      </w:r>
      <w:r w:rsidRPr="00A96D90">
        <w:rPr>
          <w:rFonts w:ascii="Calibri Light" w:hAnsi="Calibri Light" w:cs="Calibri Light"/>
          <w:color w:val="59595B"/>
          <w:lang w:val="en-GB"/>
        </w:rPr>
        <w:t xml:space="preserve">as a result of </w:t>
      </w:r>
      <w:r w:rsidR="004A470C">
        <w:rPr>
          <w:rFonts w:ascii="Calibri Light" w:hAnsi="Calibri Light" w:cs="Calibri Light"/>
          <w:color w:val="59595B"/>
          <w:lang w:val="en-GB"/>
        </w:rPr>
        <w:t>continuing growth in</w:t>
      </w:r>
      <w:r w:rsidRPr="00A96D90">
        <w:rPr>
          <w:rFonts w:ascii="Calibri Light" w:hAnsi="Calibri Light" w:cs="Calibri Light"/>
          <w:color w:val="59595B"/>
          <w:lang w:val="en-GB"/>
        </w:rPr>
        <w:t xml:space="preserve"> revenue from US</w:t>
      </w:r>
      <w:r w:rsidR="00625F57">
        <w:rPr>
          <w:rFonts w:ascii="Calibri Light" w:hAnsi="Calibri Light" w:cs="Calibri Light"/>
          <w:color w:val="59595B"/>
        </w:rPr>
        <w:t xml:space="preserve"> and EU</w:t>
      </w:r>
      <w:r w:rsidRPr="00A96D90">
        <w:rPr>
          <w:rFonts w:ascii="Calibri Light" w:hAnsi="Calibri Light" w:cs="Calibri Light"/>
          <w:color w:val="59595B"/>
          <w:lang w:val="en-GB"/>
        </w:rPr>
        <w:t xml:space="preserve"> product sales </w:t>
      </w:r>
      <w:r w:rsidR="003B65B9">
        <w:rPr>
          <w:rFonts w:ascii="Calibri Light" w:hAnsi="Calibri Light" w:cs="Calibri Light"/>
          <w:color w:val="59595B"/>
          <w:lang w:val="en-GB"/>
        </w:rPr>
        <w:t>from</w:t>
      </w:r>
      <w:r w:rsidR="00775951" w:rsidRPr="00A96D90">
        <w:rPr>
          <w:rFonts w:ascii="Calibri Light" w:hAnsi="Calibri Light" w:cs="Calibri Light"/>
          <w:color w:val="59595B"/>
          <w:lang w:val="en-GB"/>
        </w:rPr>
        <w:t xml:space="preserve"> increasing patient numbers </w:t>
      </w:r>
    </w:p>
    <w:p w14:paraId="6D805012" w14:textId="2FACA02C" w:rsidR="005365CE" w:rsidRPr="00A96D90" w:rsidRDefault="005365CE" w:rsidP="00BB4E7E">
      <w:pPr>
        <w:pStyle w:val="ListParagraph"/>
        <w:numPr>
          <w:ilvl w:val="0"/>
          <w:numId w:val="8"/>
        </w:numPr>
        <w:spacing w:before="120"/>
        <w:ind w:hanging="357"/>
        <w:contextualSpacing w:val="0"/>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Total revenues increased by </w:t>
      </w:r>
      <w:r w:rsidR="00191E44">
        <w:rPr>
          <w:rFonts w:ascii="Calibri Light" w:eastAsia="Calibri" w:hAnsi="Calibri Light"/>
          <w:color w:val="59595B"/>
          <w:szCs w:val="22"/>
        </w:rPr>
        <w:t>94</w:t>
      </w:r>
      <w:r w:rsidRPr="00A96D90">
        <w:rPr>
          <w:rFonts w:ascii="Calibri Light" w:eastAsia="Calibri" w:hAnsi="Calibri Light"/>
          <w:color w:val="59595B"/>
          <w:szCs w:val="22"/>
          <w:lang w:val="en-GB"/>
        </w:rPr>
        <w:t>% to €</w:t>
      </w:r>
      <w:r w:rsidR="00625F57">
        <w:rPr>
          <w:rFonts w:ascii="Calibri Light" w:eastAsia="Calibri" w:hAnsi="Calibri Light"/>
          <w:color w:val="59595B"/>
          <w:szCs w:val="22"/>
        </w:rPr>
        <w:t>59.</w:t>
      </w:r>
      <w:r w:rsidR="00191E44">
        <w:rPr>
          <w:rFonts w:ascii="Calibri Light" w:eastAsia="Calibri" w:hAnsi="Calibri Light"/>
          <w:color w:val="59595B"/>
          <w:szCs w:val="22"/>
        </w:rPr>
        <w:t>5</w:t>
      </w:r>
      <w:r w:rsidR="00191E44" w:rsidRPr="00A96D90">
        <w:rPr>
          <w:rFonts w:ascii="Calibri Light" w:eastAsia="Calibri" w:hAnsi="Calibri Light"/>
          <w:color w:val="59595B"/>
          <w:szCs w:val="22"/>
          <w:lang w:val="en-GB"/>
        </w:rPr>
        <w:t xml:space="preserve"> </w:t>
      </w:r>
      <w:r w:rsidRPr="00A96D90">
        <w:rPr>
          <w:rFonts w:ascii="Calibri Light" w:eastAsia="Calibri" w:hAnsi="Calibri Light"/>
          <w:color w:val="59595B"/>
          <w:szCs w:val="22"/>
          <w:lang w:val="en-GB"/>
        </w:rPr>
        <w:t>million (including €</w:t>
      </w:r>
      <w:r w:rsidR="00625F57">
        <w:rPr>
          <w:rFonts w:ascii="Calibri Light" w:eastAsia="Calibri" w:hAnsi="Calibri Light"/>
          <w:color w:val="59595B"/>
          <w:szCs w:val="22"/>
        </w:rPr>
        <w:t>0.4</w:t>
      </w:r>
      <w:r w:rsidRPr="00A96D90">
        <w:rPr>
          <w:rFonts w:ascii="Calibri Light" w:eastAsia="Calibri" w:hAnsi="Calibri Light"/>
          <w:color w:val="59595B"/>
          <w:szCs w:val="22"/>
          <w:lang w:val="en-GB"/>
        </w:rPr>
        <w:t xml:space="preserve"> million of license revenue) from €</w:t>
      </w:r>
      <w:r w:rsidR="001E70B6">
        <w:rPr>
          <w:rFonts w:ascii="Calibri Light" w:eastAsia="Calibri" w:hAnsi="Calibri Light"/>
          <w:color w:val="59595B"/>
          <w:szCs w:val="22"/>
          <w:lang w:val="en-GB"/>
        </w:rPr>
        <w:t>30.6</w:t>
      </w:r>
      <w:r w:rsidRPr="00A96D90">
        <w:rPr>
          <w:rFonts w:ascii="Calibri Light" w:eastAsia="Calibri" w:hAnsi="Calibri Light"/>
          <w:color w:val="59595B"/>
          <w:szCs w:val="22"/>
          <w:lang w:val="en-GB"/>
        </w:rPr>
        <w:t xml:space="preserve"> million (including €</w:t>
      </w:r>
      <w:r w:rsidR="001E70B6">
        <w:rPr>
          <w:rFonts w:ascii="Calibri Light" w:eastAsia="Calibri" w:hAnsi="Calibri Light"/>
          <w:color w:val="59595B"/>
          <w:szCs w:val="22"/>
          <w:lang w:val="en-GB"/>
        </w:rPr>
        <w:t>0.5</w:t>
      </w:r>
      <w:r w:rsidRPr="00A96D90">
        <w:rPr>
          <w:rFonts w:ascii="Calibri Light" w:eastAsia="Calibri" w:hAnsi="Calibri Light"/>
          <w:color w:val="59595B"/>
          <w:szCs w:val="22"/>
          <w:lang w:val="en-GB"/>
        </w:rPr>
        <w:t xml:space="preserve"> million in license revenue) </w:t>
      </w:r>
      <w:r w:rsidR="00775951" w:rsidRPr="00A96D90">
        <w:rPr>
          <w:rFonts w:ascii="Calibri Light" w:eastAsia="Calibri" w:hAnsi="Calibri Light"/>
          <w:color w:val="59595B"/>
          <w:szCs w:val="22"/>
          <w:lang w:val="en-GB"/>
        </w:rPr>
        <w:t>in HY 201</w:t>
      </w:r>
      <w:r w:rsidR="001E70B6">
        <w:rPr>
          <w:rFonts w:ascii="Calibri Light" w:eastAsia="Calibri" w:hAnsi="Calibri Light"/>
          <w:color w:val="59595B"/>
          <w:szCs w:val="22"/>
          <w:lang w:val="en-GB"/>
        </w:rPr>
        <w:t>7</w:t>
      </w:r>
    </w:p>
    <w:p w14:paraId="6E8CC789" w14:textId="2C3F5BE5" w:rsidR="005365CE" w:rsidRPr="00E6270E" w:rsidRDefault="005365CE" w:rsidP="00BB4E7E">
      <w:pPr>
        <w:pStyle w:val="ListParagraph"/>
        <w:numPr>
          <w:ilvl w:val="0"/>
          <w:numId w:val="8"/>
        </w:numPr>
        <w:spacing w:before="120"/>
        <w:ind w:hanging="357"/>
        <w:contextualSpacing w:val="0"/>
        <w:rPr>
          <w:rFonts w:ascii="Calibri Light" w:eastAsia="Calibri" w:hAnsi="Calibri Light"/>
          <w:color w:val="59595B"/>
          <w:szCs w:val="22"/>
          <w:lang w:val="en-GB"/>
        </w:rPr>
      </w:pPr>
      <w:r w:rsidRPr="00A96D90">
        <w:rPr>
          <w:rFonts w:ascii="Calibri Light" w:eastAsia="Calibri" w:hAnsi="Calibri Light"/>
          <w:color w:val="59595B"/>
          <w:szCs w:val="22"/>
          <w:lang w:val="en-GB"/>
        </w:rPr>
        <w:lastRenderedPageBreak/>
        <w:t xml:space="preserve">Operating results improved </w:t>
      </w:r>
      <w:r w:rsidR="00CF7B84">
        <w:rPr>
          <w:rFonts w:ascii="Calibri Light" w:eastAsia="Calibri" w:hAnsi="Calibri Light"/>
          <w:color w:val="59595B"/>
          <w:szCs w:val="22"/>
        </w:rPr>
        <w:t>288</w:t>
      </w:r>
      <w:r w:rsidR="00625F57">
        <w:rPr>
          <w:rFonts w:ascii="Calibri Light" w:eastAsia="Calibri" w:hAnsi="Calibri Light"/>
          <w:color w:val="59595B"/>
          <w:szCs w:val="22"/>
        </w:rPr>
        <w:t xml:space="preserve">% </w:t>
      </w:r>
      <w:r w:rsidRPr="00A96D90">
        <w:rPr>
          <w:rFonts w:ascii="Calibri Light" w:eastAsia="Calibri" w:hAnsi="Calibri Light"/>
          <w:color w:val="59595B"/>
          <w:szCs w:val="22"/>
          <w:lang w:val="en-GB"/>
        </w:rPr>
        <w:t>to a profit of €</w:t>
      </w:r>
      <w:r w:rsidR="00CF7B84">
        <w:rPr>
          <w:rFonts w:ascii="Calibri Light" w:eastAsia="Calibri" w:hAnsi="Calibri Light"/>
          <w:color w:val="59595B"/>
          <w:szCs w:val="22"/>
        </w:rPr>
        <w:t>16.3</w:t>
      </w:r>
      <w:r w:rsidR="00191E44" w:rsidRPr="00A96D90">
        <w:rPr>
          <w:rFonts w:ascii="Calibri Light" w:eastAsia="Calibri" w:hAnsi="Calibri Light"/>
          <w:color w:val="59595B"/>
          <w:szCs w:val="22"/>
          <w:lang w:val="en-GB"/>
        </w:rPr>
        <w:t xml:space="preserve"> </w:t>
      </w:r>
      <w:r w:rsidRPr="00A96D90">
        <w:rPr>
          <w:rFonts w:ascii="Calibri Light" w:eastAsia="Calibri" w:hAnsi="Calibri Light"/>
          <w:color w:val="59595B"/>
          <w:szCs w:val="22"/>
          <w:lang w:val="en-GB"/>
        </w:rPr>
        <w:t>million from €</w:t>
      </w:r>
      <w:r w:rsidR="001E70B6">
        <w:rPr>
          <w:rFonts w:ascii="Calibri Light" w:eastAsia="Calibri" w:hAnsi="Calibri Light"/>
          <w:color w:val="59595B"/>
          <w:szCs w:val="22"/>
          <w:lang w:val="en-GB"/>
        </w:rPr>
        <w:t>4</w:t>
      </w:r>
      <w:r w:rsidRPr="00A96D90">
        <w:rPr>
          <w:rFonts w:ascii="Calibri Light" w:eastAsia="Calibri" w:hAnsi="Calibri Light"/>
          <w:color w:val="59595B"/>
          <w:szCs w:val="22"/>
          <w:lang w:val="en-GB"/>
        </w:rPr>
        <w:t>.2 million in HY 201</w:t>
      </w:r>
      <w:r w:rsidR="001E70B6">
        <w:rPr>
          <w:rFonts w:ascii="Calibri Light" w:eastAsia="Calibri" w:hAnsi="Calibri Light"/>
          <w:color w:val="59595B"/>
          <w:szCs w:val="22"/>
          <w:lang w:val="en-GB"/>
        </w:rPr>
        <w:t>7</w:t>
      </w:r>
      <w:r w:rsidRPr="00A96D90">
        <w:rPr>
          <w:rFonts w:ascii="Calibri Light" w:eastAsia="Calibri" w:hAnsi="Calibri Light"/>
          <w:color w:val="59595B"/>
          <w:szCs w:val="22"/>
          <w:lang w:val="en-GB"/>
        </w:rPr>
        <w:t xml:space="preserve">, despite a considerable increase </w:t>
      </w:r>
      <w:r w:rsidRPr="004D5DC0">
        <w:rPr>
          <w:rFonts w:ascii="Calibri Light" w:eastAsia="Calibri" w:hAnsi="Calibri Light"/>
          <w:color w:val="59595B"/>
          <w:szCs w:val="22"/>
          <w:lang w:val="en-GB"/>
        </w:rPr>
        <w:t xml:space="preserve">in </w:t>
      </w:r>
      <w:r w:rsidR="001E70B6" w:rsidRPr="004D5DC0">
        <w:rPr>
          <w:rFonts w:ascii="Calibri Light" w:eastAsia="Calibri" w:hAnsi="Calibri Light"/>
          <w:color w:val="59595B"/>
          <w:szCs w:val="22"/>
          <w:lang w:val="en-GB"/>
        </w:rPr>
        <w:t>manufacturing and clinical</w:t>
      </w:r>
      <w:r w:rsidRPr="003526F1">
        <w:rPr>
          <w:rFonts w:ascii="Calibri Light" w:eastAsia="Calibri" w:hAnsi="Calibri Light"/>
          <w:color w:val="59595B"/>
          <w:szCs w:val="22"/>
          <w:lang w:val="en-GB"/>
        </w:rPr>
        <w:t xml:space="preserve"> activities</w:t>
      </w:r>
    </w:p>
    <w:p w14:paraId="29CFBC7F" w14:textId="77777777" w:rsidR="005365CE" w:rsidRPr="00A96D90" w:rsidRDefault="005365CE" w:rsidP="00BB4E7E">
      <w:pPr>
        <w:pStyle w:val="ListParagraph"/>
        <w:numPr>
          <w:ilvl w:val="0"/>
          <w:numId w:val="8"/>
        </w:numPr>
        <w:spacing w:before="120"/>
        <w:ind w:hanging="357"/>
        <w:contextualSpacing w:val="0"/>
        <w:rPr>
          <w:rFonts w:ascii="Calibri Light" w:eastAsia="Calibri" w:hAnsi="Calibri Light"/>
          <w:color w:val="59595B"/>
          <w:szCs w:val="22"/>
          <w:lang w:val="en-GB"/>
        </w:rPr>
      </w:pPr>
      <w:r w:rsidRPr="00E6270E">
        <w:rPr>
          <w:rFonts w:ascii="Calibri Light" w:eastAsia="Calibri" w:hAnsi="Calibri Light"/>
          <w:color w:val="59595B"/>
          <w:szCs w:val="22"/>
          <w:lang w:val="en-GB"/>
        </w:rPr>
        <w:t xml:space="preserve">The net result was a </w:t>
      </w:r>
      <w:r w:rsidR="001E70B6" w:rsidRPr="00E6270E">
        <w:rPr>
          <w:rFonts w:ascii="Calibri Light" w:eastAsia="Calibri" w:hAnsi="Calibri Light"/>
          <w:color w:val="59595B"/>
          <w:szCs w:val="22"/>
          <w:lang w:val="en-GB"/>
        </w:rPr>
        <w:t>profit</w:t>
      </w:r>
      <w:r w:rsidRPr="00E6270E">
        <w:rPr>
          <w:rFonts w:ascii="Calibri Light" w:eastAsia="Calibri" w:hAnsi="Calibri Light"/>
          <w:color w:val="59595B"/>
          <w:szCs w:val="22"/>
          <w:lang w:val="en-GB"/>
        </w:rPr>
        <w:t xml:space="preserve"> of €</w:t>
      </w:r>
      <w:r w:rsidR="00CF7B84" w:rsidRPr="00DE4EB9">
        <w:rPr>
          <w:rFonts w:ascii="Calibri Light" w:eastAsia="Calibri" w:hAnsi="Calibri Light"/>
          <w:color w:val="59595B"/>
          <w:szCs w:val="22"/>
          <w:lang w:val="en-GB"/>
        </w:rPr>
        <w:t>6.4</w:t>
      </w:r>
      <w:r w:rsidR="00CF7B84" w:rsidRPr="00A96D90">
        <w:rPr>
          <w:rFonts w:ascii="Calibri Light" w:eastAsia="Calibri" w:hAnsi="Calibri Light"/>
          <w:color w:val="59595B"/>
          <w:szCs w:val="22"/>
          <w:lang w:val="en-GB"/>
        </w:rPr>
        <w:t xml:space="preserve"> </w:t>
      </w:r>
      <w:r w:rsidRPr="00A96D90">
        <w:rPr>
          <w:rFonts w:ascii="Calibri Light" w:eastAsia="Calibri" w:hAnsi="Calibri Light"/>
          <w:color w:val="59595B"/>
          <w:szCs w:val="22"/>
          <w:lang w:val="en-GB"/>
        </w:rPr>
        <w:t>million (HY 201</w:t>
      </w:r>
      <w:r w:rsidR="001E70B6">
        <w:rPr>
          <w:rFonts w:ascii="Calibri Light" w:eastAsia="Calibri" w:hAnsi="Calibri Light"/>
          <w:color w:val="59595B"/>
          <w:szCs w:val="22"/>
          <w:lang w:val="en-GB"/>
        </w:rPr>
        <w:t>7</w:t>
      </w:r>
      <w:r w:rsidRPr="00A96D90">
        <w:rPr>
          <w:rFonts w:ascii="Calibri Light" w:eastAsia="Calibri" w:hAnsi="Calibri Light"/>
          <w:color w:val="59595B"/>
          <w:szCs w:val="22"/>
          <w:lang w:val="en-GB"/>
        </w:rPr>
        <w:t>: loss of €</w:t>
      </w:r>
      <w:r w:rsidR="001E70B6">
        <w:rPr>
          <w:rFonts w:ascii="Calibri Light" w:eastAsia="Calibri" w:hAnsi="Calibri Light"/>
          <w:color w:val="59595B"/>
          <w:szCs w:val="22"/>
          <w:lang w:val="en-GB"/>
        </w:rPr>
        <w:t>30.2</w:t>
      </w:r>
      <w:r w:rsidRPr="00A96D90">
        <w:rPr>
          <w:rFonts w:ascii="Calibri Light" w:eastAsia="Calibri" w:hAnsi="Calibri Light"/>
          <w:color w:val="59595B"/>
          <w:szCs w:val="22"/>
          <w:lang w:val="en-GB"/>
        </w:rPr>
        <w:t xml:space="preserve"> million</w:t>
      </w:r>
      <w:r w:rsidR="00F50F86">
        <w:rPr>
          <w:rFonts w:ascii="Calibri Light" w:eastAsia="Calibri" w:hAnsi="Calibri Light"/>
          <w:color w:val="59595B"/>
          <w:szCs w:val="22"/>
          <w:lang w:val="en-GB"/>
        </w:rPr>
        <w:t>)</w:t>
      </w:r>
    </w:p>
    <w:p w14:paraId="217F1301" w14:textId="15B53503" w:rsidR="00C058F1" w:rsidRPr="00480736" w:rsidRDefault="005365CE" w:rsidP="00BB4E7E">
      <w:pPr>
        <w:pStyle w:val="ListParagraph"/>
        <w:numPr>
          <w:ilvl w:val="0"/>
          <w:numId w:val="8"/>
        </w:numPr>
        <w:spacing w:before="120"/>
        <w:ind w:left="709" w:hanging="357"/>
        <w:contextualSpacing w:val="0"/>
        <w:rPr>
          <w:rFonts w:ascii="Calibri Light" w:eastAsia="Calibri" w:hAnsi="Calibri Light"/>
          <w:color w:val="59595B"/>
          <w:szCs w:val="22"/>
          <w:lang w:val="en-GB"/>
        </w:rPr>
      </w:pPr>
      <w:r w:rsidRPr="00480736">
        <w:rPr>
          <w:rFonts w:ascii="Calibri Light" w:eastAsia="Calibri" w:hAnsi="Calibri Light"/>
          <w:color w:val="59595B"/>
          <w:szCs w:val="22"/>
          <w:lang w:val="en-GB"/>
        </w:rPr>
        <w:t xml:space="preserve">The </w:t>
      </w:r>
      <w:r w:rsidR="00E25BDF" w:rsidRPr="00480736">
        <w:rPr>
          <w:rFonts w:ascii="Calibri Light" w:eastAsia="Calibri" w:hAnsi="Calibri Light"/>
          <w:color w:val="59595B"/>
          <w:szCs w:val="22"/>
          <w:lang w:val="en-GB"/>
        </w:rPr>
        <w:t>c</w:t>
      </w:r>
      <w:r w:rsidRPr="00480736">
        <w:rPr>
          <w:rFonts w:ascii="Calibri Light" w:eastAsia="Calibri" w:hAnsi="Calibri Light"/>
          <w:color w:val="59595B"/>
          <w:szCs w:val="22"/>
          <w:lang w:val="en-GB"/>
        </w:rPr>
        <w:t xml:space="preserve">ompany’s cash position </w:t>
      </w:r>
      <w:r w:rsidR="00625F57" w:rsidRPr="00480736">
        <w:rPr>
          <w:rFonts w:ascii="Calibri Light" w:eastAsia="Calibri" w:hAnsi="Calibri Light"/>
          <w:color w:val="59595B"/>
          <w:szCs w:val="22"/>
        </w:rPr>
        <w:t>in</w:t>
      </w:r>
      <w:r w:rsidRPr="00480736">
        <w:rPr>
          <w:rFonts w:ascii="Calibri Light" w:eastAsia="Calibri" w:hAnsi="Calibri Light"/>
          <w:color w:val="59595B"/>
          <w:szCs w:val="22"/>
          <w:lang w:val="en-GB"/>
        </w:rPr>
        <w:t>creased from €</w:t>
      </w:r>
      <w:r w:rsidR="00F577F5" w:rsidRPr="00480736">
        <w:rPr>
          <w:rFonts w:ascii="Calibri Light" w:eastAsia="Calibri" w:hAnsi="Calibri Light"/>
          <w:color w:val="59595B"/>
          <w:szCs w:val="22"/>
          <w:lang w:val="en-GB"/>
        </w:rPr>
        <w:t>60.0</w:t>
      </w:r>
      <w:r w:rsidRPr="00480736">
        <w:rPr>
          <w:rFonts w:ascii="Calibri Light" w:eastAsia="Calibri" w:hAnsi="Calibri Light"/>
          <w:color w:val="59595B"/>
          <w:szCs w:val="22"/>
          <w:lang w:val="en-GB"/>
        </w:rPr>
        <w:t xml:space="preserve"> million at year-end 201</w:t>
      </w:r>
      <w:r w:rsidR="00F577F5" w:rsidRPr="00480736">
        <w:rPr>
          <w:rFonts w:ascii="Calibri Light" w:eastAsia="Calibri" w:hAnsi="Calibri Light"/>
          <w:color w:val="59595B"/>
          <w:szCs w:val="22"/>
          <w:lang w:val="en-GB"/>
        </w:rPr>
        <w:t>7</w:t>
      </w:r>
      <w:r w:rsidRPr="00480736">
        <w:rPr>
          <w:rFonts w:ascii="Calibri Light" w:eastAsia="Calibri" w:hAnsi="Calibri Light"/>
          <w:color w:val="59595B"/>
          <w:szCs w:val="22"/>
          <w:lang w:val="en-GB"/>
        </w:rPr>
        <w:t xml:space="preserve"> to €</w:t>
      </w:r>
      <w:r w:rsidR="00CF7B84">
        <w:rPr>
          <w:rFonts w:ascii="Calibri Light" w:eastAsia="Calibri" w:hAnsi="Calibri Light"/>
          <w:color w:val="59595B"/>
          <w:szCs w:val="22"/>
        </w:rPr>
        <w:t>66</w:t>
      </w:r>
      <w:r w:rsidR="00625F57" w:rsidRPr="00480736">
        <w:rPr>
          <w:rFonts w:ascii="Calibri Light" w:eastAsia="Calibri" w:hAnsi="Calibri Light"/>
          <w:color w:val="59595B"/>
          <w:szCs w:val="22"/>
        </w:rPr>
        <w:t>.9</w:t>
      </w:r>
      <w:r w:rsidRPr="00480736">
        <w:rPr>
          <w:rFonts w:ascii="Calibri Light" w:eastAsia="Calibri" w:hAnsi="Calibri Light"/>
          <w:color w:val="59595B"/>
          <w:szCs w:val="22"/>
          <w:lang w:val="en-GB"/>
        </w:rPr>
        <w:t xml:space="preserve"> million at 30 June 201</w:t>
      </w:r>
      <w:r w:rsidR="00F577F5" w:rsidRPr="00AD60C2">
        <w:rPr>
          <w:rFonts w:ascii="Calibri Light" w:eastAsia="Calibri" w:hAnsi="Calibri Light"/>
          <w:color w:val="59595B"/>
          <w:szCs w:val="22"/>
          <w:lang w:val="en-GB"/>
        </w:rPr>
        <w:t>8</w:t>
      </w:r>
      <w:r w:rsidRPr="00AD60C2">
        <w:rPr>
          <w:rFonts w:ascii="Calibri Light" w:eastAsia="Calibri" w:hAnsi="Calibri Light"/>
          <w:color w:val="59595B"/>
          <w:szCs w:val="22"/>
          <w:lang w:val="en-GB"/>
        </w:rPr>
        <w:t xml:space="preserve"> (</w:t>
      </w:r>
      <w:r w:rsidR="00A068BF" w:rsidRPr="002D7C51">
        <w:rPr>
          <w:rFonts w:ascii="Calibri Light" w:eastAsia="Calibri" w:hAnsi="Calibri Light"/>
          <w:color w:val="59595B"/>
          <w:szCs w:val="22"/>
          <w:lang w:val="en-GB"/>
        </w:rPr>
        <w:t xml:space="preserve">up from </w:t>
      </w:r>
      <w:r w:rsidRPr="00480736">
        <w:rPr>
          <w:rFonts w:ascii="Calibri Light" w:eastAsia="Calibri" w:hAnsi="Calibri Light"/>
          <w:color w:val="59595B"/>
          <w:szCs w:val="22"/>
          <w:lang w:val="en-GB"/>
        </w:rPr>
        <w:t>€</w:t>
      </w:r>
      <w:r w:rsidR="00F577F5" w:rsidRPr="00480736">
        <w:rPr>
          <w:rFonts w:ascii="Calibri Light" w:eastAsia="Calibri" w:hAnsi="Calibri Light"/>
          <w:color w:val="59595B"/>
          <w:szCs w:val="22"/>
          <w:lang w:val="en-GB"/>
        </w:rPr>
        <w:t>25.2</w:t>
      </w:r>
      <w:r w:rsidRPr="00480736">
        <w:rPr>
          <w:rFonts w:ascii="Calibri Light" w:eastAsia="Calibri" w:hAnsi="Calibri Light"/>
          <w:color w:val="59595B"/>
          <w:szCs w:val="22"/>
          <w:lang w:val="en-GB"/>
        </w:rPr>
        <w:t xml:space="preserve"> million at 30 June 201</w:t>
      </w:r>
      <w:r w:rsidR="00F577F5" w:rsidRPr="00480736">
        <w:rPr>
          <w:rFonts w:ascii="Calibri Light" w:eastAsia="Calibri" w:hAnsi="Calibri Light"/>
          <w:color w:val="59595B"/>
          <w:szCs w:val="22"/>
          <w:lang w:val="en-GB"/>
        </w:rPr>
        <w:t>7</w:t>
      </w:r>
      <w:r w:rsidRPr="00480736">
        <w:rPr>
          <w:rFonts w:ascii="Calibri Light" w:eastAsia="Calibri" w:hAnsi="Calibri Light"/>
          <w:color w:val="59595B"/>
          <w:szCs w:val="22"/>
          <w:lang w:val="en-GB"/>
        </w:rPr>
        <w:t>), largely due to</w:t>
      </w:r>
      <w:r w:rsidR="009C3E6C" w:rsidRPr="00480736">
        <w:rPr>
          <w:rFonts w:ascii="Calibri Light" w:eastAsia="Calibri" w:hAnsi="Calibri Light"/>
          <w:color w:val="59595B"/>
          <w:szCs w:val="22"/>
          <w:lang w:val="en-GB"/>
        </w:rPr>
        <w:t xml:space="preserve"> </w:t>
      </w:r>
      <w:r w:rsidR="00625F57" w:rsidRPr="00480736">
        <w:rPr>
          <w:rFonts w:ascii="Calibri Light" w:eastAsia="Calibri" w:hAnsi="Calibri Light"/>
          <w:color w:val="59595B"/>
          <w:szCs w:val="22"/>
        </w:rPr>
        <w:t xml:space="preserve">sales growth </w:t>
      </w:r>
      <w:r w:rsidR="00191E44">
        <w:rPr>
          <w:rFonts w:ascii="Calibri Light" w:eastAsia="Calibri" w:hAnsi="Calibri Light"/>
          <w:color w:val="59595B"/>
          <w:szCs w:val="22"/>
        </w:rPr>
        <w:t>and the proceeds of option exercises by employees</w:t>
      </w:r>
      <w:r w:rsidR="00191E44" w:rsidRPr="00480736">
        <w:rPr>
          <w:rFonts w:ascii="Calibri Light" w:eastAsia="Calibri" w:hAnsi="Calibri Light"/>
          <w:color w:val="59595B"/>
          <w:szCs w:val="22"/>
        </w:rPr>
        <w:t xml:space="preserve"> </w:t>
      </w:r>
      <w:r w:rsidR="00625F57" w:rsidRPr="00480736">
        <w:rPr>
          <w:rFonts w:ascii="Calibri Light" w:eastAsia="Calibri" w:hAnsi="Calibri Light"/>
          <w:color w:val="59595B"/>
          <w:szCs w:val="22"/>
        </w:rPr>
        <w:t xml:space="preserve">balanced by </w:t>
      </w:r>
      <w:r w:rsidR="00480736">
        <w:rPr>
          <w:rFonts w:ascii="Calibri Light" w:eastAsia="Calibri" w:hAnsi="Calibri Light"/>
          <w:color w:val="59595B"/>
          <w:szCs w:val="22"/>
          <w:lang w:val="en-GB"/>
        </w:rPr>
        <w:t xml:space="preserve">increased inventory manufacturing relating to restoring US inventories following significant free-of-charge emergency supplies to HAE patients as result of the pdC1INH supply crisis in Q4 2017 </w:t>
      </w:r>
      <w:r w:rsidR="00041E4C">
        <w:rPr>
          <w:rFonts w:ascii="Calibri Light" w:eastAsia="Calibri" w:hAnsi="Calibri Light"/>
          <w:color w:val="59595B"/>
          <w:szCs w:val="22"/>
        </w:rPr>
        <w:t>as well as</w:t>
      </w:r>
      <w:r w:rsidR="00041E4C">
        <w:rPr>
          <w:rFonts w:ascii="Calibri Light" w:eastAsia="Calibri" w:hAnsi="Calibri Light"/>
          <w:color w:val="59595B"/>
          <w:szCs w:val="22"/>
          <w:lang w:val="en-GB"/>
        </w:rPr>
        <w:t xml:space="preserve"> </w:t>
      </w:r>
      <w:r w:rsidR="00480736">
        <w:rPr>
          <w:rFonts w:ascii="Calibri Light" w:eastAsia="Calibri" w:hAnsi="Calibri Light"/>
          <w:color w:val="59595B"/>
          <w:szCs w:val="22"/>
          <w:lang w:val="en-GB"/>
        </w:rPr>
        <w:t>increasing US sales</w:t>
      </w:r>
      <w:r w:rsidR="00480736" w:rsidRPr="00A96D90">
        <w:rPr>
          <w:rFonts w:ascii="Calibri Light" w:eastAsia="Calibri" w:hAnsi="Calibri Light"/>
          <w:color w:val="59595B"/>
          <w:szCs w:val="22"/>
          <w:lang w:val="en-GB"/>
        </w:rPr>
        <w:t xml:space="preserve"> </w:t>
      </w:r>
      <w:r w:rsidR="00480736">
        <w:rPr>
          <w:rFonts w:ascii="Calibri Light" w:eastAsia="Calibri" w:hAnsi="Calibri Light"/>
          <w:color w:val="59595B"/>
          <w:szCs w:val="22"/>
          <w:lang w:val="en-GB"/>
        </w:rPr>
        <w:t xml:space="preserve">and </w:t>
      </w:r>
      <w:r w:rsidR="00625F57" w:rsidRPr="000F3D55">
        <w:rPr>
          <w:rFonts w:ascii="Calibri Light" w:eastAsia="Calibri" w:hAnsi="Calibri Light"/>
          <w:color w:val="59595B"/>
          <w:szCs w:val="22"/>
        </w:rPr>
        <w:t>clinical and development costs</w:t>
      </w:r>
    </w:p>
    <w:p w14:paraId="2308D00D" w14:textId="77777777" w:rsidR="00041E4C" w:rsidRDefault="00041E4C" w:rsidP="00C058F1">
      <w:pPr>
        <w:ind w:left="360"/>
        <w:rPr>
          <w:rFonts w:ascii="Calibri Light" w:eastAsia="Calibri" w:hAnsi="Calibri Light"/>
          <w:color w:val="59595B"/>
          <w:szCs w:val="22"/>
          <w:lang w:val="en-GB"/>
        </w:rPr>
      </w:pPr>
    </w:p>
    <w:p w14:paraId="24224F87" w14:textId="77777777" w:rsidR="00BB4E7E" w:rsidRPr="00DE4EB9" w:rsidRDefault="00BB4E7E" w:rsidP="00C058F1">
      <w:pPr>
        <w:ind w:left="360"/>
        <w:rPr>
          <w:rFonts w:ascii="Calibri Light" w:eastAsia="Calibri" w:hAnsi="Calibri Light"/>
          <w:color w:val="59595B"/>
          <w:szCs w:val="22"/>
          <w:lang w:val="en-GB"/>
        </w:rPr>
      </w:pPr>
    </w:p>
    <w:p w14:paraId="5351A87C" w14:textId="77777777" w:rsidR="00C058F1" w:rsidRPr="00DE4EB9" w:rsidRDefault="00C058F1" w:rsidP="00041E4C">
      <w:pPr>
        <w:rPr>
          <w:rFonts w:ascii="Calibri Light" w:eastAsia="Calibri" w:hAnsi="Calibri Light"/>
          <w:b/>
          <w:color w:val="0070C0"/>
          <w:szCs w:val="22"/>
          <w:lang w:val="en-GB"/>
        </w:rPr>
      </w:pPr>
      <w:r w:rsidRPr="00DE4EB9">
        <w:rPr>
          <w:rFonts w:ascii="Calibri Light" w:eastAsia="Calibri" w:hAnsi="Calibri Light"/>
          <w:b/>
          <w:color w:val="0070C0"/>
          <w:szCs w:val="22"/>
          <w:lang w:val="en-GB"/>
        </w:rPr>
        <w:t xml:space="preserve">Sijmen de Vries, </w:t>
      </w:r>
      <w:r w:rsidR="00041E4C" w:rsidRPr="00DE4EB9">
        <w:rPr>
          <w:rFonts w:ascii="Calibri Light" w:eastAsia="Calibri" w:hAnsi="Calibri Light"/>
          <w:b/>
          <w:color w:val="0070C0"/>
          <w:szCs w:val="22"/>
          <w:lang w:val="en-GB"/>
        </w:rPr>
        <w:t>C</w:t>
      </w:r>
      <w:r w:rsidR="00041E4C">
        <w:rPr>
          <w:rFonts w:ascii="Calibri Light" w:eastAsia="Calibri" w:hAnsi="Calibri Light"/>
          <w:b/>
          <w:color w:val="0070C0"/>
          <w:szCs w:val="22"/>
        </w:rPr>
        <w:t>hief Executive</w:t>
      </w:r>
      <w:r w:rsidR="004665BD">
        <w:rPr>
          <w:rFonts w:ascii="Calibri Light" w:eastAsia="Calibri" w:hAnsi="Calibri Light"/>
          <w:b/>
          <w:color w:val="0070C0"/>
          <w:szCs w:val="22"/>
        </w:rPr>
        <w:t xml:space="preserve"> </w:t>
      </w:r>
      <w:r w:rsidR="00DE4EB9">
        <w:rPr>
          <w:rFonts w:ascii="Calibri Light" w:eastAsia="Calibri" w:hAnsi="Calibri Light"/>
          <w:b/>
          <w:color w:val="0070C0"/>
          <w:szCs w:val="22"/>
        </w:rPr>
        <w:t>Officer</w:t>
      </w:r>
      <w:r w:rsidRPr="00DE4EB9">
        <w:rPr>
          <w:rFonts w:ascii="Calibri Light" w:eastAsia="Calibri" w:hAnsi="Calibri Light"/>
          <w:b/>
          <w:color w:val="0070C0"/>
          <w:szCs w:val="22"/>
          <w:lang w:val="en-GB"/>
        </w:rPr>
        <w:t xml:space="preserve">, said: </w:t>
      </w:r>
    </w:p>
    <w:p w14:paraId="7EB990F5" w14:textId="556816B5" w:rsidR="00C058F1" w:rsidRPr="00A96D90" w:rsidRDefault="00C058F1" w:rsidP="00C058F1">
      <w:pPr>
        <w:ind w:left="360"/>
        <w:rPr>
          <w:rFonts w:ascii="Calibri Light" w:eastAsia="Calibri" w:hAnsi="Calibri Light"/>
          <w:i/>
          <w:color w:val="59595B"/>
          <w:szCs w:val="22"/>
          <w:lang w:val="en-GB"/>
        </w:rPr>
      </w:pPr>
      <w:r w:rsidRPr="00A96D90">
        <w:rPr>
          <w:rFonts w:ascii="Calibri Light" w:eastAsia="Calibri" w:hAnsi="Calibri Light"/>
          <w:i/>
          <w:color w:val="59595B"/>
          <w:szCs w:val="22"/>
          <w:lang w:val="en-GB"/>
        </w:rPr>
        <w:t>“We are delighted</w:t>
      </w:r>
      <w:r w:rsidR="001466DD">
        <w:rPr>
          <w:rFonts w:ascii="Calibri Light" w:eastAsia="Calibri" w:hAnsi="Calibri Light"/>
          <w:i/>
          <w:color w:val="59595B"/>
          <w:szCs w:val="22"/>
          <w:lang w:val="en-GB"/>
        </w:rPr>
        <w:t xml:space="preserve"> </w:t>
      </w:r>
      <w:r w:rsidR="003B65B9">
        <w:rPr>
          <w:rFonts w:ascii="Calibri Light" w:eastAsia="Calibri" w:hAnsi="Calibri Light"/>
          <w:i/>
          <w:color w:val="59595B"/>
          <w:szCs w:val="22"/>
          <w:lang w:val="en-GB"/>
        </w:rPr>
        <w:t>with the further progress we have made expanding the reach of RUCONEST</w:t>
      </w:r>
      <w:r w:rsidR="003B65B9" w:rsidRPr="00A96D90">
        <w:rPr>
          <w:rFonts w:ascii="Calibri Light" w:hAnsi="Calibri Light"/>
          <w:color w:val="59595B"/>
          <w:lang w:val="en-GB"/>
        </w:rPr>
        <w:t>®</w:t>
      </w:r>
      <w:r w:rsidR="003B65B9">
        <w:rPr>
          <w:rFonts w:ascii="Calibri Light" w:eastAsia="Calibri" w:hAnsi="Calibri Light"/>
          <w:i/>
          <w:color w:val="59595B"/>
          <w:szCs w:val="22"/>
          <w:lang w:val="en-GB"/>
        </w:rPr>
        <w:t xml:space="preserve">, allowing more patients to access </w:t>
      </w:r>
      <w:r w:rsidR="005470BC">
        <w:rPr>
          <w:rFonts w:ascii="Calibri Light" w:eastAsia="Calibri" w:hAnsi="Calibri Light"/>
          <w:i/>
          <w:color w:val="59595B"/>
          <w:szCs w:val="22"/>
          <w:lang w:val="en-GB"/>
        </w:rPr>
        <w:t>the clinical benefits of our</w:t>
      </w:r>
      <w:r w:rsidR="003B65B9">
        <w:rPr>
          <w:rFonts w:ascii="Calibri Light" w:eastAsia="Calibri" w:hAnsi="Calibri Light"/>
          <w:i/>
          <w:color w:val="59595B"/>
          <w:szCs w:val="22"/>
          <w:lang w:val="en-GB"/>
        </w:rPr>
        <w:t xml:space="preserve"> product. We have </w:t>
      </w:r>
      <w:r w:rsidR="005470BC">
        <w:rPr>
          <w:rFonts w:ascii="Calibri Light" w:eastAsia="Calibri" w:hAnsi="Calibri Light"/>
          <w:i/>
          <w:color w:val="59595B"/>
          <w:szCs w:val="22"/>
        </w:rPr>
        <w:t>continued</w:t>
      </w:r>
      <w:r w:rsidR="003B65B9">
        <w:rPr>
          <w:rFonts w:ascii="Calibri Light" w:eastAsia="Calibri" w:hAnsi="Calibri Light"/>
          <w:i/>
          <w:color w:val="59595B"/>
          <w:szCs w:val="22"/>
          <w:lang w:val="en-GB"/>
        </w:rPr>
        <w:t xml:space="preserve"> net profitability in the second </w:t>
      </w:r>
      <w:r w:rsidR="005470BC">
        <w:rPr>
          <w:rFonts w:ascii="Calibri Light" w:eastAsia="Calibri" w:hAnsi="Calibri Light"/>
          <w:i/>
          <w:color w:val="59595B"/>
          <w:szCs w:val="22"/>
        </w:rPr>
        <w:t>quarter</w:t>
      </w:r>
      <w:r w:rsidR="003B65B9">
        <w:rPr>
          <w:rFonts w:ascii="Calibri Light" w:eastAsia="Calibri" w:hAnsi="Calibri Light"/>
          <w:i/>
          <w:color w:val="59595B"/>
          <w:szCs w:val="22"/>
          <w:lang w:val="en-GB"/>
        </w:rPr>
        <w:t xml:space="preserve"> of the year</w:t>
      </w:r>
      <w:r w:rsidR="003B65B9" w:rsidRPr="00A96D90">
        <w:rPr>
          <w:rFonts w:ascii="Calibri Light" w:eastAsia="Calibri" w:hAnsi="Calibri Light"/>
          <w:i/>
          <w:color w:val="59595B"/>
          <w:szCs w:val="22"/>
          <w:lang w:val="en-GB"/>
        </w:rPr>
        <w:t xml:space="preserve">, </w:t>
      </w:r>
      <w:r w:rsidR="003B65B9">
        <w:rPr>
          <w:rFonts w:ascii="Calibri Light" w:eastAsia="Calibri" w:hAnsi="Calibri Light"/>
          <w:i/>
          <w:color w:val="59595B"/>
          <w:szCs w:val="22"/>
          <w:lang w:val="en-GB"/>
        </w:rPr>
        <w:t xml:space="preserve">which gives us the confidence and the financial resources to </w:t>
      </w:r>
      <w:r w:rsidR="00A37949">
        <w:rPr>
          <w:rFonts w:ascii="Calibri Light" w:eastAsia="Calibri" w:hAnsi="Calibri Light"/>
          <w:i/>
          <w:color w:val="59595B"/>
          <w:szCs w:val="22"/>
        </w:rPr>
        <w:t>move forward with</w:t>
      </w:r>
      <w:r w:rsidR="003B65B9">
        <w:rPr>
          <w:rFonts w:ascii="Calibri Light" w:eastAsia="Calibri" w:hAnsi="Calibri Light"/>
          <w:i/>
          <w:color w:val="59595B"/>
          <w:szCs w:val="22"/>
          <w:lang w:val="en-GB"/>
        </w:rPr>
        <w:t xml:space="preserve"> our new programs</w:t>
      </w:r>
      <w:r w:rsidR="003B65B9" w:rsidRPr="00A96D90">
        <w:rPr>
          <w:rFonts w:ascii="Calibri Light" w:eastAsia="Calibri" w:hAnsi="Calibri Light"/>
          <w:i/>
          <w:color w:val="59595B"/>
          <w:szCs w:val="22"/>
          <w:lang w:val="en-GB"/>
        </w:rPr>
        <w:t xml:space="preserve">. </w:t>
      </w:r>
      <w:r w:rsidR="003B65B9">
        <w:rPr>
          <w:rFonts w:ascii="Calibri Light" w:eastAsia="Calibri" w:hAnsi="Calibri Light"/>
          <w:i/>
          <w:color w:val="59595B"/>
          <w:szCs w:val="22"/>
          <w:lang w:val="en-GB"/>
        </w:rPr>
        <w:t xml:space="preserve">With five studies underway or expected to initiate over the next six months, we anticipate significant </w:t>
      </w:r>
      <w:r w:rsidR="005470BC">
        <w:rPr>
          <w:rFonts w:ascii="Calibri Light" w:eastAsia="Calibri" w:hAnsi="Calibri Light"/>
          <w:i/>
          <w:color w:val="59595B"/>
          <w:szCs w:val="22"/>
        </w:rPr>
        <w:t>strengthening of our pipeline</w:t>
      </w:r>
      <w:r w:rsidRPr="00A96D90">
        <w:rPr>
          <w:rFonts w:ascii="Calibri Light" w:eastAsia="Calibri" w:hAnsi="Calibri Light"/>
          <w:i/>
          <w:color w:val="59595B"/>
          <w:szCs w:val="22"/>
          <w:lang w:val="en-GB"/>
        </w:rPr>
        <w:t>.”</w:t>
      </w:r>
    </w:p>
    <w:p w14:paraId="2FFB0722" w14:textId="77777777" w:rsidR="005365CE" w:rsidRPr="00032C26" w:rsidRDefault="00552A0D" w:rsidP="005365CE">
      <w:pPr>
        <w:pStyle w:val="Heading1"/>
        <w:spacing w:after="240"/>
        <w:rPr>
          <w:rFonts w:ascii="Calibri Light" w:hAnsi="Calibri Light"/>
          <w:b/>
          <w:color w:val="0070C0"/>
          <w:sz w:val="24"/>
          <w:lang w:val="en-GB"/>
        </w:rPr>
      </w:pPr>
      <w:r w:rsidRPr="00032C26">
        <w:rPr>
          <w:rFonts w:ascii="Calibri Light" w:hAnsi="Calibri Light"/>
          <w:b/>
          <w:color w:val="0070C0"/>
          <w:sz w:val="24"/>
          <w:lang w:val="en-GB"/>
        </w:rPr>
        <w:t xml:space="preserve">Chief Executive Officer’s </w:t>
      </w:r>
      <w:r w:rsidR="00B30277" w:rsidRPr="00032C26">
        <w:rPr>
          <w:rFonts w:ascii="Calibri Light" w:hAnsi="Calibri Light"/>
          <w:b/>
          <w:color w:val="0070C0"/>
          <w:sz w:val="24"/>
        </w:rPr>
        <w:t>c</w:t>
      </w:r>
      <w:r w:rsidRPr="00032C26">
        <w:rPr>
          <w:rFonts w:ascii="Calibri Light" w:hAnsi="Calibri Light"/>
          <w:b/>
          <w:color w:val="0070C0"/>
          <w:sz w:val="24"/>
          <w:lang w:val="en-GB"/>
        </w:rPr>
        <w:t>omment</w:t>
      </w:r>
    </w:p>
    <w:p w14:paraId="4C4D6E34" w14:textId="77777777" w:rsidR="0078799F" w:rsidRPr="00A96D90" w:rsidRDefault="003B65B9" w:rsidP="00A068BF">
      <w:pPr>
        <w:rPr>
          <w:rFonts w:ascii="Calibri Light" w:hAnsi="Calibri Light"/>
          <w:color w:val="59595B"/>
          <w:lang w:val="en-GB"/>
        </w:rPr>
      </w:pPr>
      <w:r>
        <w:rPr>
          <w:rFonts w:ascii="Calibri Light" w:hAnsi="Calibri Light"/>
          <w:color w:val="59595B"/>
          <w:lang w:val="en-GB"/>
        </w:rPr>
        <w:t xml:space="preserve">During the first half of the year, we </w:t>
      </w:r>
      <w:r>
        <w:rPr>
          <w:rFonts w:ascii="Calibri Light" w:hAnsi="Calibri Light"/>
          <w:color w:val="59595B"/>
        </w:rPr>
        <w:t xml:space="preserve">continued to invest in the development of our commercial infrastructure </w:t>
      </w:r>
      <w:r w:rsidRPr="00A96D90">
        <w:rPr>
          <w:rFonts w:ascii="Calibri Light" w:hAnsi="Calibri Light"/>
          <w:color w:val="59595B"/>
          <w:lang w:val="en-GB"/>
        </w:rPr>
        <w:t xml:space="preserve">in North America </w:t>
      </w:r>
      <w:r>
        <w:rPr>
          <w:rFonts w:ascii="Calibri Light" w:hAnsi="Calibri Light"/>
          <w:color w:val="59595B"/>
        </w:rPr>
        <w:t>and Europe to drive the growth of new patients using our lead product, RUCONEST</w:t>
      </w:r>
      <w:r w:rsidRPr="00A96D90">
        <w:rPr>
          <w:rFonts w:ascii="Calibri Light" w:hAnsi="Calibri Light"/>
          <w:color w:val="59595B"/>
          <w:lang w:val="en-GB"/>
        </w:rPr>
        <w:t>®</w:t>
      </w:r>
      <w:r>
        <w:rPr>
          <w:rFonts w:ascii="Calibri Light" w:hAnsi="Calibri Light"/>
          <w:color w:val="59595B"/>
          <w:lang w:val="en-GB"/>
        </w:rPr>
        <w:t xml:space="preserve"> </w:t>
      </w:r>
      <w:r>
        <w:rPr>
          <w:rFonts w:ascii="Calibri Light" w:hAnsi="Calibri Light" w:cs="Calibri Light"/>
          <w:color w:val="58595B"/>
        </w:rPr>
        <w:t>(</w:t>
      </w:r>
      <w:r w:rsidRPr="0003282F">
        <w:rPr>
          <w:rFonts w:ascii="Calibri Light" w:hAnsi="Calibri Light" w:cs="Calibri Light"/>
          <w:color w:val="58595B"/>
        </w:rPr>
        <w:t>Recombinant Human C1 Esterase Inhibitor/ conestat alfa</w:t>
      </w:r>
      <w:r>
        <w:rPr>
          <w:rFonts w:ascii="Calibri Light" w:hAnsi="Calibri Light" w:cs="Calibri Light"/>
          <w:color w:val="58595B"/>
        </w:rPr>
        <w:t>, or rhC1INH)</w:t>
      </w:r>
      <w:r>
        <w:rPr>
          <w:rFonts w:ascii="Calibri Light" w:hAnsi="Calibri Light"/>
          <w:color w:val="59595B"/>
          <w:lang w:val="en-GB"/>
        </w:rPr>
        <w:t>, for the treatment of HAE, as well as to manage the increased demand for the product. This strategic decision</w:t>
      </w:r>
      <w:r>
        <w:rPr>
          <w:rFonts w:ascii="Calibri Light" w:hAnsi="Calibri Light"/>
          <w:color w:val="59595B"/>
        </w:rPr>
        <w:t xml:space="preserve"> </w:t>
      </w:r>
      <w:r w:rsidRPr="00A96D90">
        <w:rPr>
          <w:rFonts w:ascii="Calibri Light" w:hAnsi="Calibri Light"/>
          <w:color w:val="59595B"/>
          <w:lang w:val="en-GB"/>
        </w:rPr>
        <w:t xml:space="preserve">has significantly increased revenue and profit generation for the first half of the year compared to </w:t>
      </w:r>
      <w:r>
        <w:rPr>
          <w:rFonts w:ascii="Calibri Light" w:hAnsi="Calibri Light"/>
          <w:color w:val="59595B"/>
          <w:lang w:val="en-GB"/>
        </w:rPr>
        <w:t>the first half of 201</w:t>
      </w:r>
      <w:r>
        <w:rPr>
          <w:rFonts w:ascii="Calibri Light" w:hAnsi="Calibri Light"/>
          <w:color w:val="59595B"/>
        </w:rPr>
        <w:t>7. As a result, we have reported our first half year of net profitability significantly earlier than previously expected at the time of reacquiring the US commercial rights to RUCONEST</w:t>
      </w:r>
      <w:r w:rsidRPr="00A96D90">
        <w:rPr>
          <w:rFonts w:ascii="Calibri Light" w:hAnsi="Calibri Light"/>
          <w:color w:val="59595B"/>
          <w:lang w:val="en-GB"/>
        </w:rPr>
        <w:t>®</w:t>
      </w:r>
      <w:r>
        <w:rPr>
          <w:rFonts w:ascii="Calibri Light" w:hAnsi="Calibri Light"/>
          <w:color w:val="59595B"/>
          <w:lang w:val="en-GB"/>
        </w:rPr>
        <w:t xml:space="preserve"> in December 2016</w:t>
      </w:r>
      <w:r w:rsidRPr="00A96D90">
        <w:rPr>
          <w:rFonts w:ascii="Calibri Light" w:hAnsi="Calibri Light"/>
          <w:color w:val="59595B"/>
          <w:lang w:val="en-GB"/>
        </w:rPr>
        <w:t>.</w:t>
      </w:r>
    </w:p>
    <w:p w14:paraId="5189AC56" w14:textId="77777777" w:rsidR="00AD7529" w:rsidRPr="00A96D90" w:rsidRDefault="00AD7529" w:rsidP="00A068BF">
      <w:pPr>
        <w:rPr>
          <w:rFonts w:ascii="Calibri Light" w:hAnsi="Calibri Light"/>
          <w:color w:val="59595B"/>
          <w:lang w:val="en-GB"/>
        </w:rPr>
      </w:pPr>
    </w:p>
    <w:p w14:paraId="29A54B37" w14:textId="153BFD97" w:rsidR="00AD7529" w:rsidRPr="003650B8" w:rsidRDefault="005365CE" w:rsidP="00A068BF">
      <w:pPr>
        <w:rPr>
          <w:rFonts w:ascii="Calibri Light" w:hAnsi="Calibri Light"/>
          <w:color w:val="59595B"/>
        </w:rPr>
      </w:pPr>
      <w:r w:rsidRPr="00A96D90">
        <w:rPr>
          <w:rFonts w:ascii="Calibri Light" w:hAnsi="Calibri Light"/>
          <w:color w:val="59595B"/>
          <w:lang w:val="en-GB"/>
        </w:rPr>
        <w:t>Product s</w:t>
      </w:r>
      <w:r w:rsidRPr="00A96D90">
        <w:rPr>
          <w:rFonts w:ascii="Calibri Light" w:eastAsia="Calibri" w:hAnsi="Calibri Light"/>
          <w:color w:val="59595B"/>
          <w:szCs w:val="22"/>
          <w:lang w:val="en-GB"/>
        </w:rPr>
        <w:t xml:space="preserve">ales for the half year increased by </w:t>
      </w:r>
      <w:r w:rsidR="00191E44">
        <w:rPr>
          <w:rFonts w:ascii="Calibri Light" w:eastAsia="Calibri" w:hAnsi="Calibri Light"/>
          <w:color w:val="59595B"/>
          <w:szCs w:val="22"/>
        </w:rPr>
        <w:t>96</w:t>
      </w:r>
      <w:r w:rsidRPr="00A96D90">
        <w:rPr>
          <w:rFonts w:ascii="Calibri Light" w:eastAsia="Calibri" w:hAnsi="Calibri Light"/>
          <w:color w:val="59595B"/>
          <w:szCs w:val="22"/>
          <w:lang w:val="en-GB"/>
        </w:rPr>
        <w:t>% to €</w:t>
      </w:r>
      <w:r w:rsidR="00191E44">
        <w:rPr>
          <w:rFonts w:ascii="Calibri Light" w:eastAsia="Calibri" w:hAnsi="Calibri Light"/>
          <w:color w:val="59595B"/>
          <w:szCs w:val="22"/>
        </w:rPr>
        <w:t>59.1</w:t>
      </w:r>
      <w:r w:rsidRPr="00A96D90">
        <w:rPr>
          <w:rFonts w:ascii="Calibri Light" w:eastAsia="Calibri" w:hAnsi="Calibri Light"/>
          <w:color w:val="59595B"/>
          <w:szCs w:val="22"/>
          <w:lang w:val="en-GB"/>
        </w:rPr>
        <w:t xml:space="preserve"> million (HY 201</w:t>
      </w:r>
      <w:r w:rsidR="004D5DC0">
        <w:rPr>
          <w:rFonts w:ascii="Calibri Light" w:eastAsia="Calibri" w:hAnsi="Calibri Light"/>
          <w:color w:val="59595B"/>
          <w:szCs w:val="22"/>
          <w:lang w:val="en-GB"/>
        </w:rPr>
        <w:t>7</w:t>
      </w:r>
      <w:r w:rsidRPr="00A96D90">
        <w:rPr>
          <w:rFonts w:ascii="Calibri Light" w:eastAsia="Calibri" w:hAnsi="Calibri Light"/>
          <w:color w:val="59595B"/>
          <w:szCs w:val="22"/>
          <w:lang w:val="en-GB"/>
        </w:rPr>
        <w:t>: €</w:t>
      </w:r>
      <w:r w:rsidR="00660B50">
        <w:rPr>
          <w:rFonts w:ascii="Calibri Light" w:eastAsia="Calibri" w:hAnsi="Calibri Light"/>
          <w:color w:val="59595B"/>
          <w:szCs w:val="22"/>
        </w:rPr>
        <w:t>30.1</w:t>
      </w:r>
      <w:r w:rsidRPr="00A96D90">
        <w:rPr>
          <w:rFonts w:ascii="Calibri Light" w:eastAsia="Calibri" w:hAnsi="Calibri Light"/>
          <w:color w:val="59595B"/>
          <w:szCs w:val="22"/>
          <w:lang w:val="en-GB"/>
        </w:rPr>
        <w:t xml:space="preserve"> million).</w:t>
      </w:r>
      <w:r w:rsidR="0040539E">
        <w:rPr>
          <w:rFonts w:ascii="Calibri Light" w:eastAsia="Calibri" w:hAnsi="Calibri Light"/>
          <w:color w:val="59595B"/>
          <w:szCs w:val="22"/>
          <w:lang w:val="en-GB"/>
        </w:rPr>
        <w:t xml:space="preserve"> </w:t>
      </w:r>
      <w:r w:rsidRPr="00A96D90">
        <w:rPr>
          <w:rFonts w:ascii="Calibri Light" w:hAnsi="Calibri Light"/>
          <w:color w:val="59595B"/>
          <w:lang w:val="en-GB"/>
        </w:rPr>
        <w:t>The positive sales momentum in the US</w:t>
      </w:r>
      <w:r w:rsidR="003B65B9">
        <w:rPr>
          <w:rFonts w:ascii="Calibri Light" w:hAnsi="Calibri Light"/>
          <w:color w:val="59595B"/>
        </w:rPr>
        <w:t>A</w:t>
      </w:r>
      <w:r w:rsidRPr="00A96D90">
        <w:rPr>
          <w:rFonts w:ascii="Calibri Light" w:hAnsi="Calibri Light"/>
          <w:color w:val="59595B"/>
          <w:lang w:val="en-GB"/>
        </w:rPr>
        <w:t xml:space="preserve"> continued in Q2, following higher than expected sales in Q1</w:t>
      </w:r>
      <w:r w:rsidR="00660B50">
        <w:rPr>
          <w:rFonts w:ascii="Calibri Light" w:hAnsi="Calibri Light"/>
          <w:color w:val="59595B"/>
        </w:rPr>
        <w:t xml:space="preserve"> as a result of the shortage of a competitor product</w:t>
      </w:r>
      <w:r w:rsidRPr="00A96D90">
        <w:rPr>
          <w:rFonts w:ascii="Calibri Light" w:hAnsi="Calibri Light"/>
          <w:color w:val="59595B"/>
          <w:lang w:val="en-GB"/>
        </w:rPr>
        <w:t xml:space="preserve">, with </w:t>
      </w:r>
      <w:r w:rsidRPr="004D5DC0">
        <w:rPr>
          <w:rFonts w:ascii="Calibri Light" w:hAnsi="Calibri Light"/>
          <w:color w:val="59595B"/>
          <w:lang w:val="en-GB"/>
        </w:rPr>
        <w:t>net sales of $</w:t>
      </w:r>
      <w:r w:rsidR="004D5DC0" w:rsidRPr="004D5DC0">
        <w:rPr>
          <w:rFonts w:ascii="Calibri Light" w:hAnsi="Calibri Light"/>
          <w:color w:val="59595B"/>
          <w:lang w:val="en-GB"/>
        </w:rPr>
        <w:t>33.9</w:t>
      </w:r>
      <w:r w:rsidRPr="00A96D90">
        <w:rPr>
          <w:rFonts w:ascii="Calibri Light" w:hAnsi="Calibri Light"/>
          <w:color w:val="59595B"/>
          <w:lang w:val="en-GB"/>
        </w:rPr>
        <w:t xml:space="preserve"> million in Q2 ($</w:t>
      </w:r>
      <w:r w:rsidR="007E1C36">
        <w:rPr>
          <w:rFonts w:ascii="Calibri Light" w:hAnsi="Calibri Light"/>
          <w:color w:val="59595B"/>
        </w:rPr>
        <w:t>34.3</w:t>
      </w:r>
      <w:r w:rsidRPr="00A96D90">
        <w:rPr>
          <w:rFonts w:ascii="Calibri Light" w:hAnsi="Calibri Light"/>
          <w:color w:val="59595B"/>
          <w:lang w:val="en-GB"/>
        </w:rPr>
        <w:t xml:space="preserve"> million in Q1)</w:t>
      </w:r>
      <w:r w:rsidR="00134E79" w:rsidRPr="00A96D90">
        <w:rPr>
          <w:rFonts w:ascii="Calibri Light" w:hAnsi="Calibri Light"/>
          <w:color w:val="59595B"/>
          <w:lang w:val="en-GB"/>
        </w:rPr>
        <w:t xml:space="preserve"> despite stock level adjustments</w:t>
      </w:r>
      <w:r w:rsidR="007E1C36">
        <w:rPr>
          <w:rFonts w:ascii="Calibri Light" w:hAnsi="Calibri Light"/>
          <w:color w:val="59595B"/>
        </w:rPr>
        <w:t xml:space="preserve"> and a </w:t>
      </w:r>
      <w:r w:rsidR="00CF7B84">
        <w:rPr>
          <w:rFonts w:ascii="Calibri Light" w:hAnsi="Calibri Light"/>
          <w:color w:val="59595B"/>
        </w:rPr>
        <w:t xml:space="preserve">weakening </w:t>
      </w:r>
      <w:r w:rsidR="007E1C36">
        <w:rPr>
          <w:rFonts w:ascii="Calibri Light" w:hAnsi="Calibri Light"/>
          <w:color w:val="59595B"/>
        </w:rPr>
        <w:t>in the exchange rate between US dollars and euros</w:t>
      </w:r>
      <w:r w:rsidRPr="00A96D90">
        <w:rPr>
          <w:rFonts w:ascii="Calibri Light" w:hAnsi="Calibri Light"/>
          <w:color w:val="59595B"/>
          <w:lang w:val="en-GB"/>
        </w:rPr>
        <w:t xml:space="preserve">. </w:t>
      </w:r>
      <w:r w:rsidR="003B65B9">
        <w:rPr>
          <w:rFonts w:ascii="Calibri Light" w:hAnsi="Calibri Light"/>
          <w:color w:val="59595B"/>
        </w:rPr>
        <w:t xml:space="preserve"> As t</w:t>
      </w:r>
      <w:r w:rsidR="00CB0E5F">
        <w:rPr>
          <w:rFonts w:ascii="Calibri Light" w:hAnsi="Calibri Light"/>
          <w:color w:val="59595B"/>
        </w:rPr>
        <w:t xml:space="preserve">he clearest measure of </w:t>
      </w:r>
      <w:r w:rsidR="003B65B9">
        <w:rPr>
          <w:rFonts w:ascii="Calibri Light" w:hAnsi="Calibri Light"/>
          <w:color w:val="59595B"/>
        </w:rPr>
        <w:t>the success of RUCONEST®</w:t>
      </w:r>
      <w:r w:rsidR="00CB0E5F">
        <w:rPr>
          <w:rFonts w:ascii="Calibri Light" w:hAnsi="Calibri Light"/>
          <w:color w:val="59595B"/>
        </w:rPr>
        <w:t>, the number of patients using</w:t>
      </w:r>
      <w:r w:rsidR="003B65B9">
        <w:rPr>
          <w:rFonts w:ascii="Calibri Light" w:hAnsi="Calibri Light"/>
          <w:color w:val="59595B"/>
        </w:rPr>
        <w:t xml:space="preserve"> the product regularly in the USA</w:t>
      </w:r>
      <w:r w:rsidR="00CB0E5F">
        <w:rPr>
          <w:rFonts w:ascii="Calibri Light" w:hAnsi="Calibri Light"/>
          <w:color w:val="59595B"/>
        </w:rPr>
        <w:t xml:space="preserve"> has been increasing steadily since we reacquired the commercial rights</w:t>
      </w:r>
      <w:r w:rsidR="005470BC">
        <w:rPr>
          <w:rFonts w:ascii="Calibri Light" w:hAnsi="Calibri Light"/>
          <w:color w:val="59595B"/>
        </w:rPr>
        <w:t>.  T</w:t>
      </w:r>
      <w:r w:rsidR="00CB0E5F">
        <w:rPr>
          <w:rFonts w:ascii="Calibri Light" w:hAnsi="Calibri Light"/>
          <w:color w:val="59595B"/>
        </w:rPr>
        <w:t xml:space="preserve">he </w:t>
      </w:r>
      <w:r w:rsidR="003B65B9">
        <w:rPr>
          <w:rFonts w:ascii="Calibri Light" w:hAnsi="Calibri Light"/>
          <w:color w:val="59595B"/>
        </w:rPr>
        <w:t>growth rate</w:t>
      </w:r>
      <w:r w:rsidR="00CB0E5F">
        <w:rPr>
          <w:rFonts w:ascii="Calibri Light" w:hAnsi="Calibri Light"/>
          <w:color w:val="59595B"/>
        </w:rPr>
        <w:t xml:space="preserve">, although affected in some periods by competitors’ failures to supply their blood-derived products and consequent sudden increases in patients using RUCONEST®, has been fairly consistent. </w:t>
      </w:r>
    </w:p>
    <w:p w14:paraId="45434D01" w14:textId="77777777" w:rsidR="00AD7529" w:rsidRPr="00A96D90" w:rsidRDefault="00AD7529" w:rsidP="00A068BF">
      <w:pPr>
        <w:rPr>
          <w:rFonts w:ascii="Calibri Light" w:hAnsi="Calibri Light"/>
          <w:color w:val="59595B"/>
          <w:lang w:val="en-GB"/>
        </w:rPr>
      </w:pPr>
    </w:p>
    <w:p w14:paraId="41EDF8E7" w14:textId="77777777" w:rsidR="005365CE" w:rsidRPr="00A96D90" w:rsidRDefault="005365CE" w:rsidP="00A068BF">
      <w:pPr>
        <w:pStyle w:val="NoSpacing"/>
        <w:spacing w:after="240"/>
        <w:jc w:val="both"/>
        <w:rPr>
          <w:rFonts w:ascii="Calibri Light" w:hAnsi="Calibri Light"/>
          <w:color w:val="59595B"/>
          <w:lang w:val="en-GB"/>
        </w:rPr>
      </w:pPr>
      <w:r w:rsidRPr="00A96D90">
        <w:rPr>
          <w:rFonts w:ascii="Calibri Light" w:hAnsi="Calibri Light"/>
          <w:color w:val="59595B"/>
          <w:lang w:val="en-GB"/>
        </w:rPr>
        <w:t>U</w:t>
      </w:r>
      <w:r w:rsidR="005F76A6" w:rsidRPr="00A96D90">
        <w:rPr>
          <w:rFonts w:ascii="Calibri Light" w:hAnsi="Calibri Light"/>
          <w:color w:val="59595B"/>
          <w:lang w:val="en-GB"/>
        </w:rPr>
        <w:t xml:space="preserve">nderlying sales volumes </w:t>
      </w:r>
      <w:r w:rsidRPr="00A96D90">
        <w:rPr>
          <w:rFonts w:ascii="Calibri Light" w:hAnsi="Calibri Light"/>
          <w:color w:val="59595B"/>
          <w:lang w:val="en-GB"/>
        </w:rPr>
        <w:t>increased in Q2</w:t>
      </w:r>
      <w:r w:rsidR="00750A2C">
        <w:rPr>
          <w:rFonts w:ascii="Calibri Light" w:hAnsi="Calibri Light"/>
          <w:color w:val="59595B"/>
        </w:rPr>
        <w:t xml:space="preserve"> (up by </w:t>
      </w:r>
      <w:r w:rsidR="004D5DC0">
        <w:rPr>
          <w:rFonts w:ascii="Calibri Light" w:hAnsi="Calibri Light"/>
          <w:color w:val="59595B"/>
        </w:rPr>
        <w:t>8</w:t>
      </w:r>
      <w:r w:rsidR="00750A2C">
        <w:rPr>
          <w:rFonts w:ascii="Calibri Light" w:hAnsi="Calibri Light"/>
          <w:color w:val="59595B"/>
        </w:rPr>
        <w:t>% compared with Q1)</w:t>
      </w:r>
      <w:r w:rsidR="00AD7529" w:rsidRPr="00A96D90">
        <w:rPr>
          <w:rFonts w:ascii="Calibri Light" w:hAnsi="Calibri Light"/>
          <w:color w:val="59595B"/>
          <w:lang w:val="en-GB"/>
        </w:rPr>
        <w:t>.</w:t>
      </w:r>
      <w:r w:rsidR="00A068BF" w:rsidRPr="00A96D90">
        <w:rPr>
          <w:rFonts w:ascii="Calibri Light" w:hAnsi="Calibri Light"/>
          <w:color w:val="59595B"/>
          <w:lang w:val="en-GB"/>
        </w:rPr>
        <w:t xml:space="preserve"> On a reported basis, </w:t>
      </w:r>
      <w:r w:rsidRPr="00A96D90">
        <w:rPr>
          <w:rFonts w:ascii="Calibri Light" w:hAnsi="Calibri Light"/>
          <w:color w:val="59595B"/>
          <w:lang w:val="en-GB"/>
        </w:rPr>
        <w:t xml:space="preserve">Q2 </w:t>
      </w:r>
      <w:r w:rsidR="003F3657" w:rsidRPr="00A96D90">
        <w:rPr>
          <w:rFonts w:ascii="Calibri Light" w:hAnsi="Calibri Light"/>
          <w:color w:val="59595B"/>
          <w:lang w:val="en-GB"/>
        </w:rPr>
        <w:t>sales</w:t>
      </w:r>
      <w:r w:rsidRPr="00A96D90">
        <w:rPr>
          <w:rFonts w:ascii="Calibri Light" w:hAnsi="Calibri Light"/>
          <w:color w:val="59595B"/>
          <w:lang w:val="en-GB"/>
        </w:rPr>
        <w:t xml:space="preserve"> were </w:t>
      </w:r>
      <w:r w:rsidR="007935C3">
        <w:rPr>
          <w:rFonts w:ascii="Calibri Light" w:hAnsi="Calibri Light"/>
          <w:color w:val="59595B"/>
        </w:rPr>
        <w:t>higher at €29.</w:t>
      </w:r>
      <w:r w:rsidR="00191E44">
        <w:rPr>
          <w:rFonts w:ascii="Calibri Light" w:hAnsi="Calibri Light"/>
          <w:color w:val="59595B"/>
        </w:rPr>
        <w:t xml:space="preserve">8 </w:t>
      </w:r>
      <w:r w:rsidR="007935C3">
        <w:rPr>
          <w:rFonts w:ascii="Calibri Light" w:hAnsi="Calibri Light"/>
          <w:color w:val="59595B"/>
        </w:rPr>
        <w:t xml:space="preserve">million compared with €29.3 million for Q1. This </w:t>
      </w:r>
      <w:r w:rsidRPr="00A96D90">
        <w:rPr>
          <w:rFonts w:ascii="Calibri Light" w:hAnsi="Calibri Light"/>
          <w:color w:val="59595B"/>
          <w:lang w:val="en-GB"/>
        </w:rPr>
        <w:t>reflect</w:t>
      </w:r>
      <w:r w:rsidR="007935C3">
        <w:rPr>
          <w:rFonts w:ascii="Calibri Light" w:hAnsi="Calibri Light"/>
          <w:color w:val="59595B"/>
        </w:rPr>
        <w:t>s</w:t>
      </w:r>
      <w:r w:rsidR="00AD7529" w:rsidRPr="00A96D90">
        <w:rPr>
          <w:rFonts w:ascii="Calibri Light" w:hAnsi="Calibri Light"/>
          <w:color w:val="59595B"/>
          <w:lang w:val="en-GB"/>
        </w:rPr>
        <w:t xml:space="preserve"> </w:t>
      </w:r>
      <w:r w:rsidR="00CB0E5F">
        <w:rPr>
          <w:rFonts w:ascii="Calibri Light" w:hAnsi="Calibri Light"/>
          <w:color w:val="59595B"/>
        </w:rPr>
        <w:t xml:space="preserve">good retention of the patients who switched to RUCONEST® </w:t>
      </w:r>
      <w:r w:rsidR="003B65B9">
        <w:rPr>
          <w:rFonts w:ascii="Calibri Light" w:hAnsi="Calibri Light"/>
          <w:color w:val="59595B"/>
        </w:rPr>
        <w:t xml:space="preserve">following </w:t>
      </w:r>
      <w:r w:rsidR="003B65B9">
        <w:rPr>
          <w:rFonts w:ascii="Calibri Light" w:hAnsi="Calibri Light"/>
          <w:color w:val="59595B"/>
          <w:lang w:val="en-GB"/>
        </w:rPr>
        <w:t>stabilisation of the competitor supply situation</w:t>
      </w:r>
      <w:r w:rsidR="00750A2C">
        <w:rPr>
          <w:rFonts w:ascii="Calibri Light" w:hAnsi="Calibri Light" w:cs="Calibri Light"/>
          <w:color w:val="59595B"/>
        </w:rPr>
        <w:t xml:space="preserve">, and a slightly higher </w:t>
      </w:r>
      <w:r w:rsidR="003B65B9">
        <w:rPr>
          <w:rFonts w:ascii="Calibri Light" w:hAnsi="Calibri Light" w:cs="Calibri Light"/>
          <w:color w:val="59595B"/>
        </w:rPr>
        <w:t>volume</w:t>
      </w:r>
      <w:r w:rsidR="00750A2C">
        <w:rPr>
          <w:rFonts w:ascii="Calibri Light" w:hAnsi="Calibri Light" w:cs="Calibri Light"/>
          <w:color w:val="59595B"/>
        </w:rPr>
        <w:t xml:space="preserve"> of EU </w:t>
      </w:r>
      <w:r w:rsidR="003B65B9">
        <w:rPr>
          <w:rFonts w:ascii="Calibri Light" w:hAnsi="Calibri Light" w:cs="Calibri Light"/>
          <w:color w:val="59595B"/>
        </w:rPr>
        <w:t xml:space="preserve">and rest of the world (“RoW”) </w:t>
      </w:r>
      <w:r w:rsidR="00750A2C">
        <w:rPr>
          <w:rFonts w:ascii="Calibri Light" w:hAnsi="Calibri Light" w:cs="Calibri Light"/>
          <w:color w:val="59595B"/>
        </w:rPr>
        <w:t>sales</w:t>
      </w:r>
      <w:r w:rsidRPr="00A96D90">
        <w:rPr>
          <w:rFonts w:ascii="Calibri Light" w:hAnsi="Calibri Light"/>
          <w:color w:val="59595B"/>
          <w:lang w:val="en-GB"/>
        </w:rPr>
        <w:t>.</w:t>
      </w:r>
      <w:r w:rsidR="0040539E">
        <w:rPr>
          <w:rFonts w:ascii="Calibri Light" w:hAnsi="Calibri Light"/>
          <w:color w:val="59595B"/>
          <w:lang w:val="en-GB"/>
        </w:rPr>
        <w:t xml:space="preserve"> </w:t>
      </w:r>
    </w:p>
    <w:p w14:paraId="61729214" w14:textId="77777777" w:rsidR="005365CE" w:rsidRPr="00A96D90" w:rsidRDefault="005365CE" w:rsidP="00A068BF">
      <w:pPr>
        <w:pStyle w:val="NoSpacing"/>
        <w:spacing w:after="240"/>
        <w:jc w:val="both"/>
        <w:rPr>
          <w:rFonts w:ascii="Calibri Light" w:hAnsi="Calibri Light" w:cs="Helvetica"/>
          <w:color w:val="59595B"/>
          <w:szCs w:val="21"/>
          <w:lang w:val="en-GB"/>
        </w:rPr>
      </w:pPr>
      <w:r w:rsidRPr="00A96D90">
        <w:rPr>
          <w:rFonts w:ascii="Calibri Light" w:hAnsi="Calibri Light"/>
          <w:color w:val="59595B"/>
          <w:lang w:val="en-GB"/>
        </w:rPr>
        <w:t xml:space="preserve">Gross profits </w:t>
      </w:r>
      <w:r w:rsidR="007935C3">
        <w:rPr>
          <w:rFonts w:ascii="Calibri Light" w:hAnsi="Calibri Light"/>
          <w:color w:val="59595B"/>
        </w:rPr>
        <w:t xml:space="preserve">increased </w:t>
      </w:r>
      <w:r w:rsidRPr="00A96D90">
        <w:rPr>
          <w:rFonts w:ascii="Calibri Light" w:hAnsi="Calibri Light"/>
          <w:color w:val="59595B"/>
          <w:lang w:val="en-GB"/>
        </w:rPr>
        <w:t xml:space="preserve">from </w:t>
      </w:r>
      <w:r w:rsidRPr="00A96D90">
        <w:rPr>
          <w:rFonts w:ascii="Calibri Light" w:hAnsi="Calibri Light" w:cs="Helvetica"/>
          <w:color w:val="59595B"/>
          <w:szCs w:val="21"/>
          <w:lang w:val="en-GB"/>
        </w:rPr>
        <w:t>€</w:t>
      </w:r>
      <w:r w:rsidR="007935C3">
        <w:rPr>
          <w:rFonts w:ascii="Calibri Light" w:hAnsi="Calibri Light" w:cs="Helvetica"/>
          <w:color w:val="59595B"/>
          <w:szCs w:val="21"/>
        </w:rPr>
        <w:t>24.</w:t>
      </w:r>
      <w:r w:rsidR="003526F1">
        <w:rPr>
          <w:rFonts w:ascii="Calibri Light" w:hAnsi="Calibri Light" w:cs="Helvetica"/>
          <w:color w:val="59595B"/>
          <w:szCs w:val="21"/>
        </w:rPr>
        <w:t>5</w:t>
      </w:r>
      <w:r w:rsidRPr="00A96D90">
        <w:rPr>
          <w:rFonts w:ascii="Calibri Light" w:hAnsi="Calibri Light" w:cs="Helvetica"/>
          <w:color w:val="59595B"/>
          <w:szCs w:val="21"/>
          <w:lang w:val="en-GB"/>
        </w:rPr>
        <w:t xml:space="preserve"> million in Q1 to €</w:t>
      </w:r>
      <w:r w:rsidR="007935C3">
        <w:rPr>
          <w:rFonts w:ascii="Calibri Light" w:hAnsi="Calibri Light" w:cs="Helvetica"/>
          <w:color w:val="59595B"/>
          <w:szCs w:val="21"/>
        </w:rPr>
        <w:t>25.</w:t>
      </w:r>
      <w:r w:rsidR="003526F1">
        <w:rPr>
          <w:rFonts w:ascii="Calibri Light" w:hAnsi="Calibri Light" w:cs="Helvetica"/>
          <w:color w:val="59595B"/>
          <w:szCs w:val="21"/>
        </w:rPr>
        <w:t>5</w:t>
      </w:r>
      <w:r w:rsidR="00CB0E5F" w:rsidRPr="00A96D90">
        <w:rPr>
          <w:rFonts w:ascii="Calibri Light" w:hAnsi="Calibri Light" w:cs="Helvetica"/>
          <w:color w:val="59595B"/>
          <w:szCs w:val="21"/>
          <w:lang w:val="en-GB"/>
        </w:rPr>
        <w:t xml:space="preserve"> </w:t>
      </w:r>
      <w:r w:rsidRPr="00A96D90">
        <w:rPr>
          <w:rFonts w:ascii="Calibri Light" w:hAnsi="Calibri Light" w:cs="Helvetica"/>
          <w:color w:val="59595B"/>
          <w:szCs w:val="21"/>
          <w:lang w:val="en-GB"/>
        </w:rPr>
        <w:t>m</w:t>
      </w:r>
      <w:r w:rsidR="00A068BF" w:rsidRPr="00A96D90">
        <w:rPr>
          <w:rFonts w:ascii="Calibri Light" w:hAnsi="Calibri Light" w:cs="Helvetica"/>
          <w:color w:val="59595B"/>
          <w:szCs w:val="21"/>
          <w:lang w:val="en-GB"/>
        </w:rPr>
        <w:t>illion</w:t>
      </w:r>
      <w:r w:rsidRPr="00A96D90">
        <w:rPr>
          <w:rFonts w:ascii="Calibri Light" w:hAnsi="Calibri Light" w:cs="Helvetica"/>
          <w:color w:val="59595B"/>
          <w:szCs w:val="21"/>
          <w:lang w:val="en-GB"/>
        </w:rPr>
        <w:t xml:space="preserve"> in Q2</w:t>
      </w:r>
      <w:r w:rsidRPr="00A96D90">
        <w:rPr>
          <w:rFonts w:ascii="Calibri Light" w:hAnsi="Calibri Light"/>
          <w:color w:val="59595B"/>
          <w:lang w:val="en-GB"/>
        </w:rPr>
        <w:t xml:space="preserve">, </w:t>
      </w:r>
      <w:r w:rsidR="00134E79" w:rsidRPr="00A96D90">
        <w:rPr>
          <w:rFonts w:ascii="Calibri Light" w:hAnsi="Calibri Light"/>
          <w:color w:val="59595B"/>
          <w:lang w:val="en-GB"/>
        </w:rPr>
        <w:t xml:space="preserve">also </w:t>
      </w:r>
      <w:r w:rsidRPr="00A96D90">
        <w:rPr>
          <w:rFonts w:ascii="Calibri Light" w:hAnsi="Calibri Light"/>
          <w:color w:val="59595B"/>
          <w:lang w:val="en-GB"/>
        </w:rPr>
        <w:t xml:space="preserve">reflecting slightly </w:t>
      </w:r>
      <w:r w:rsidR="007935C3">
        <w:rPr>
          <w:rFonts w:ascii="Calibri Light" w:hAnsi="Calibri Light"/>
          <w:color w:val="59595B"/>
        </w:rPr>
        <w:t>low</w:t>
      </w:r>
      <w:r w:rsidRPr="00A96D90">
        <w:rPr>
          <w:rFonts w:ascii="Calibri Light" w:hAnsi="Calibri Light"/>
          <w:color w:val="59595B"/>
          <w:lang w:val="en-GB"/>
        </w:rPr>
        <w:t xml:space="preserve">er costs of goods </w:t>
      </w:r>
      <w:r w:rsidR="007935C3">
        <w:rPr>
          <w:rFonts w:ascii="Calibri Light" w:hAnsi="Calibri Light"/>
          <w:color w:val="59595B"/>
        </w:rPr>
        <w:t>balanced by</w:t>
      </w:r>
      <w:r w:rsidRPr="00A96D90">
        <w:rPr>
          <w:rFonts w:ascii="Calibri Light" w:hAnsi="Calibri Light"/>
          <w:color w:val="59595B"/>
          <w:lang w:val="en-GB"/>
        </w:rPr>
        <w:t xml:space="preserve"> the higher mix of lower-margin RoW sales.</w:t>
      </w:r>
      <w:r w:rsidR="0040539E">
        <w:rPr>
          <w:rFonts w:ascii="Calibri Light" w:hAnsi="Calibri Light"/>
          <w:color w:val="59595B"/>
          <w:lang w:val="en-GB"/>
        </w:rPr>
        <w:t xml:space="preserve"> </w:t>
      </w:r>
    </w:p>
    <w:p w14:paraId="035AF325" w14:textId="77777777" w:rsidR="005365CE" w:rsidRPr="00A96D90" w:rsidRDefault="005365CE" w:rsidP="00A068BF">
      <w:pPr>
        <w:pStyle w:val="NoSpacing"/>
        <w:spacing w:after="240"/>
        <w:jc w:val="both"/>
        <w:rPr>
          <w:rFonts w:ascii="Calibri Light" w:hAnsi="Calibri Light" w:cs="Helvetica"/>
          <w:color w:val="59595B"/>
          <w:szCs w:val="21"/>
          <w:lang w:val="en-GB"/>
        </w:rPr>
      </w:pPr>
      <w:r w:rsidRPr="00A96D90">
        <w:rPr>
          <w:rFonts w:ascii="Calibri Light" w:hAnsi="Calibri Light" w:cs="Helvetica"/>
          <w:color w:val="59595B"/>
          <w:szCs w:val="21"/>
          <w:lang w:val="en-GB"/>
        </w:rPr>
        <w:t>Operating profit for the first half of the year was €</w:t>
      </w:r>
      <w:r w:rsidR="00CF7B84">
        <w:rPr>
          <w:rFonts w:ascii="Calibri Light" w:hAnsi="Calibri Light" w:cs="Helvetica"/>
          <w:color w:val="59595B"/>
          <w:szCs w:val="21"/>
        </w:rPr>
        <w:t>16.</w:t>
      </w:r>
      <w:r w:rsidR="00E6270E">
        <w:rPr>
          <w:rFonts w:ascii="Calibri Light" w:hAnsi="Calibri Light" w:cs="Helvetica"/>
          <w:color w:val="59595B"/>
          <w:szCs w:val="21"/>
        </w:rPr>
        <w:t>3</w:t>
      </w:r>
      <w:r w:rsidR="00CB0E5F" w:rsidRPr="00A96D90">
        <w:rPr>
          <w:rFonts w:ascii="Calibri Light" w:hAnsi="Calibri Light" w:cs="Helvetica"/>
          <w:color w:val="59595B"/>
          <w:szCs w:val="21"/>
          <w:lang w:val="en-GB"/>
        </w:rPr>
        <w:t xml:space="preserve"> </w:t>
      </w:r>
      <w:r w:rsidRPr="00A96D90">
        <w:rPr>
          <w:rFonts w:ascii="Calibri Light" w:hAnsi="Calibri Light" w:cs="Helvetica"/>
          <w:color w:val="59595B"/>
          <w:szCs w:val="21"/>
          <w:lang w:val="en-GB"/>
        </w:rPr>
        <w:t>million, of which €</w:t>
      </w:r>
      <w:r w:rsidR="007935C3">
        <w:rPr>
          <w:rFonts w:ascii="Calibri Light" w:hAnsi="Calibri Light" w:cs="Helvetica"/>
          <w:color w:val="59595B"/>
          <w:szCs w:val="21"/>
        </w:rPr>
        <w:t>8.2</w:t>
      </w:r>
      <w:r w:rsidRPr="00A96D90">
        <w:rPr>
          <w:rFonts w:ascii="Calibri Light" w:hAnsi="Calibri Light" w:cs="Helvetica"/>
          <w:color w:val="59595B"/>
          <w:szCs w:val="21"/>
          <w:lang w:val="en-GB"/>
        </w:rPr>
        <w:t xml:space="preserve"> million was recorded in Q1</w:t>
      </w:r>
      <w:r w:rsidR="00CF7B84">
        <w:rPr>
          <w:rFonts w:ascii="Calibri Light" w:hAnsi="Calibri Light" w:cs="Helvetica"/>
          <w:color w:val="59595B"/>
          <w:szCs w:val="21"/>
          <w:lang w:val="en-GB"/>
        </w:rPr>
        <w:t xml:space="preserve"> and €8.</w:t>
      </w:r>
      <w:r w:rsidR="00E6270E">
        <w:rPr>
          <w:rFonts w:ascii="Calibri Light" w:hAnsi="Calibri Light" w:cs="Helvetica"/>
          <w:color w:val="59595B"/>
          <w:szCs w:val="21"/>
          <w:lang w:val="en-GB"/>
        </w:rPr>
        <w:t>1</w:t>
      </w:r>
      <w:r w:rsidR="00CF7B84">
        <w:rPr>
          <w:rFonts w:ascii="Calibri Light" w:hAnsi="Calibri Light" w:cs="Helvetica"/>
          <w:color w:val="59595B"/>
          <w:szCs w:val="21"/>
          <w:lang w:val="en-GB"/>
        </w:rPr>
        <w:t xml:space="preserve"> million in Q2</w:t>
      </w:r>
      <w:r w:rsidRPr="00A96D90">
        <w:rPr>
          <w:rFonts w:ascii="Calibri Light" w:hAnsi="Calibri Light" w:cs="Helvetica"/>
          <w:color w:val="59595B"/>
          <w:szCs w:val="21"/>
          <w:lang w:val="en-GB"/>
        </w:rPr>
        <w:t>.</w:t>
      </w:r>
      <w:r w:rsidR="00AD7529" w:rsidRPr="00A96D90">
        <w:rPr>
          <w:rFonts w:ascii="Calibri Light" w:hAnsi="Calibri Light" w:cs="Helvetica"/>
          <w:color w:val="59595B"/>
          <w:szCs w:val="21"/>
          <w:lang w:val="en-GB"/>
        </w:rPr>
        <w:t xml:space="preserve"> </w:t>
      </w:r>
      <w:r w:rsidRPr="00A96D90">
        <w:rPr>
          <w:rFonts w:ascii="Calibri Light" w:hAnsi="Calibri Light" w:cs="Helvetica"/>
          <w:color w:val="59595B"/>
          <w:szCs w:val="21"/>
          <w:lang w:val="en-GB"/>
        </w:rPr>
        <w:t xml:space="preserve">As previously guided, we have invested in </w:t>
      </w:r>
      <w:r w:rsidRPr="00A96D90">
        <w:rPr>
          <w:rFonts w:ascii="Calibri Light" w:hAnsi="Calibri Light"/>
          <w:color w:val="59595B"/>
          <w:lang w:val="en-GB"/>
        </w:rPr>
        <w:t xml:space="preserve">expanding the </w:t>
      </w:r>
      <w:r w:rsidR="007935C3">
        <w:rPr>
          <w:rFonts w:ascii="Calibri Light" w:hAnsi="Calibri Light"/>
          <w:color w:val="59595B"/>
        </w:rPr>
        <w:t>pipeline for RUCONEST</w:t>
      </w:r>
      <w:r w:rsidR="004D5DC0">
        <w:rPr>
          <w:rFonts w:ascii="Calibri Light" w:hAnsi="Calibri Light"/>
          <w:color w:val="59595B"/>
        </w:rPr>
        <w:t>®</w:t>
      </w:r>
      <w:r w:rsidR="007935C3">
        <w:rPr>
          <w:rFonts w:ascii="Calibri Light" w:hAnsi="Calibri Light"/>
          <w:color w:val="59595B"/>
        </w:rPr>
        <w:t xml:space="preserve"> and for our follow-up programs in Pompe disease and Fabry’s disease</w:t>
      </w:r>
      <w:r w:rsidRPr="00A96D90">
        <w:rPr>
          <w:rFonts w:ascii="Calibri Light" w:hAnsi="Calibri Light"/>
          <w:color w:val="59595B"/>
          <w:lang w:val="en-GB"/>
        </w:rPr>
        <w:t xml:space="preserve">, </w:t>
      </w:r>
      <w:r w:rsidR="00A068BF" w:rsidRPr="00A96D90">
        <w:rPr>
          <w:rFonts w:ascii="Calibri Light" w:hAnsi="Calibri Light"/>
          <w:color w:val="59595B"/>
          <w:lang w:val="en-GB"/>
        </w:rPr>
        <w:t xml:space="preserve">the costs of </w:t>
      </w:r>
      <w:r w:rsidRPr="00A96D90">
        <w:rPr>
          <w:rFonts w:ascii="Calibri Light" w:hAnsi="Calibri Light"/>
          <w:color w:val="59595B"/>
          <w:lang w:val="en-GB"/>
        </w:rPr>
        <w:t xml:space="preserve">which </w:t>
      </w:r>
      <w:r w:rsidR="00A068BF" w:rsidRPr="00A96D90">
        <w:rPr>
          <w:rFonts w:ascii="Calibri Light" w:hAnsi="Calibri Light"/>
          <w:color w:val="59595B"/>
          <w:lang w:val="en-GB"/>
        </w:rPr>
        <w:lastRenderedPageBreak/>
        <w:t xml:space="preserve">are </w:t>
      </w:r>
      <w:r w:rsidRPr="00A96D90">
        <w:rPr>
          <w:rFonts w:ascii="Calibri Light" w:hAnsi="Calibri Light"/>
          <w:color w:val="59595B"/>
          <w:lang w:val="en-GB"/>
        </w:rPr>
        <w:t xml:space="preserve">reflected in </w:t>
      </w:r>
      <w:r w:rsidR="00A068BF" w:rsidRPr="00A96D90">
        <w:rPr>
          <w:rFonts w:ascii="Calibri Light" w:hAnsi="Calibri Light"/>
          <w:color w:val="59595B"/>
          <w:lang w:val="en-GB"/>
        </w:rPr>
        <w:t xml:space="preserve">a </w:t>
      </w:r>
      <w:r w:rsidR="00CF7B84">
        <w:rPr>
          <w:rFonts w:ascii="Calibri Light" w:hAnsi="Calibri Light"/>
          <w:color w:val="59595B"/>
          <w:lang w:val="en-GB"/>
        </w:rPr>
        <w:t>flat</w:t>
      </w:r>
      <w:r w:rsidRPr="00A96D90">
        <w:rPr>
          <w:rFonts w:ascii="Calibri Light" w:hAnsi="Calibri Light"/>
          <w:color w:val="59595B"/>
          <w:lang w:val="en-GB"/>
        </w:rPr>
        <w:t xml:space="preserve"> </w:t>
      </w:r>
      <w:r w:rsidR="00A068BF" w:rsidRPr="00A96D90">
        <w:rPr>
          <w:rFonts w:ascii="Calibri Light" w:hAnsi="Calibri Light"/>
          <w:color w:val="59595B"/>
          <w:lang w:val="en-GB"/>
        </w:rPr>
        <w:t xml:space="preserve">operating </w:t>
      </w:r>
      <w:r w:rsidRPr="00A96D90">
        <w:rPr>
          <w:rFonts w:ascii="Calibri Light" w:hAnsi="Calibri Light"/>
          <w:color w:val="59595B"/>
          <w:lang w:val="en-GB"/>
        </w:rPr>
        <w:t xml:space="preserve">profit </w:t>
      </w:r>
      <w:r w:rsidR="00CB0E5F">
        <w:rPr>
          <w:rFonts w:ascii="Calibri Light" w:hAnsi="Calibri Light"/>
          <w:color w:val="59595B"/>
        </w:rPr>
        <w:t xml:space="preserve">(and consequently net profit) </w:t>
      </w:r>
      <w:r w:rsidRPr="00A96D90">
        <w:rPr>
          <w:rFonts w:ascii="Calibri Light" w:hAnsi="Calibri Light"/>
          <w:color w:val="59595B"/>
          <w:lang w:val="en-GB"/>
        </w:rPr>
        <w:t>for Q2.</w:t>
      </w:r>
      <w:r w:rsidR="0040539E">
        <w:rPr>
          <w:rFonts w:ascii="Calibri Light" w:hAnsi="Calibri Light"/>
          <w:color w:val="59595B"/>
          <w:lang w:val="en-GB"/>
        </w:rPr>
        <w:t xml:space="preserve"> </w:t>
      </w:r>
      <w:r w:rsidRPr="00A96D90">
        <w:rPr>
          <w:rFonts w:ascii="Calibri Light" w:hAnsi="Calibri Light"/>
          <w:color w:val="59595B"/>
          <w:lang w:val="en-GB"/>
        </w:rPr>
        <w:t>We expect to see the benefits of this investment in subsequent periods.</w:t>
      </w:r>
      <w:r w:rsidR="0040539E">
        <w:rPr>
          <w:rFonts w:ascii="Calibri Light" w:hAnsi="Calibri Light"/>
          <w:color w:val="59595B"/>
          <w:lang w:val="en-GB"/>
        </w:rPr>
        <w:t xml:space="preserve"> </w:t>
      </w:r>
    </w:p>
    <w:p w14:paraId="532E78CE" w14:textId="06B394C4" w:rsidR="0003282F" w:rsidRDefault="0003282F" w:rsidP="00A068BF">
      <w:pPr>
        <w:pStyle w:val="NoSpacing"/>
        <w:jc w:val="both"/>
        <w:rPr>
          <w:rFonts w:ascii="Calibri Light" w:eastAsia="Times New Roman" w:hAnsi="Calibri Light" w:cs="Calibri Light"/>
          <w:color w:val="58595B"/>
          <w:szCs w:val="24"/>
        </w:rPr>
      </w:pPr>
      <w:r w:rsidRPr="0003282F">
        <w:rPr>
          <w:rFonts w:ascii="Calibri Light" w:eastAsia="Times New Roman" w:hAnsi="Calibri Light" w:cs="Calibri Light"/>
          <w:color w:val="58595B"/>
          <w:szCs w:val="24"/>
        </w:rPr>
        <w:t xml:space="preserve">In January, we announced that the U.S. Food and Drug Administration (FDA) had accepted for review Pharming’s supplemental Biologics License Application (sBLA) for </w:t>
      </w:r>
      <w:r w:rsidRPr="0003282F">
        <w:rPr>
          <w:rFonts w:ascii="Calibri Light" w:eastAsia="Times New Roman" w:hAnsi="Calibri Light" w:cs="Calibri Light"/>
          <w:bCs/>
          <w:color w:val="58595B"/>
          <w:szCs w:val="24"/>
        </w:rPr>
        <w:t>RUCONEST</w:t>
      </w:r>
      <w:r w:rsidRPr="0003282F">
        <w:rPr>
          <w:rFonts w:ascii="Calibri Light" w:eastAsia="Times New Roman" w:hAnsi="Calibri Light" w:cs="Calibri Light"/>
          <w:color w:val="58595B"/>
          <w:szCs w:val="24"/>
        </w:rPr>
        <w:t>® [Recombinant Human C1 Esterase Inhibitor/ conestat alfa] for routine prophylaxis to prevent attacks in adult and adolescent patients</w:t>
      </w:r>
      <w:r w:rsidR="004366BD">
        <w:rPr>
          <w:rFonts w:ascii="Calibri Light" w:eastAsia="Times New Roman" w:hAnsi="Calibri Light" w:cs="Calibri Light"/>
          <w:color w:val="58595B"/>
          <w:szCs w:val="24"/>
        </w:rPr>
        <w:t xml:space="preserve"> with HAE</w:t>
      </w:r>
      <w:r w:rsidRPr="0003282F">
        <w:rPr>
          <w:rFonts w:ascii="Calibri Light" w:eastAsia="Times New Roman" w:hAnsi="Calibri Light" w:cs="Calibri Light"/>
          <w:color w:val="58595B"/>
          <w:szCs w:val="24"/>
        </w:rPr>
        <w:t xml:space="preserve">.  The FDA indicated that the sBLA was sufficiently complete to permit a substantive review and has set an action date of </w:t>
      </w:r>
      <w:r w:rsidR="00E6270E">
        <w:rPr>
          <w:rFonts w:ascii="Calibri Light" w:eastAsia="Times New Roman" w:hAnsi="Calibri Light" w:cs="Calibri Light"/>
          <w:color w:val="58595B"/>
          <w:szCs w:val="24"/>
        </w:rPr>
        <w:t xml:space="preserve">21 </w:t>
      </w:r>
      <w:r w:rsidR="002904A2" w:rsidRPr="0003282F">
        <w:rPr>
          <w:rFonts w:ascii="Calibri Light" w:eastAsia="Times New Roman" w:hAnsi="Calibri Light" w:cs="Calibri Light"/>
          <w:color w:val="58595B"/>
          <w:szCs w:val="24"/>
        </w:rPr>
        <w:t>September 2018</w:t>
      </w:r>
      <w:r w:rsidRPr="0003282F">
        <w:rPr>
          <w:rFonts w:ascii="Calibri Light" w:eastAsia="Times New Roman" w:hAnsi="Calibri Light" w:cs="Calibri Light"/>
          <w:color w:val="58595B"/>
          <w:szCs w:val="24"/>
        </w:rPr>
        <w:t>.</w:t>
      </w:r>
    </w:p>
    <w:p w14:paraId="38DD50AD" w14:textId="77777777" w:rsidR="0003282F" w:rsidRPr="0003282F" w:rsidRDefault="0003282F" w:rsidP="00A068BF">
      <w:pPr>
        <w:pStyle w:val="NoSpacing"/>
        <w:jc w:val="both"/>
        <w:rPr>
          <w:rFonts w:ascii="Calibri Light" w:eastAsia="Times New Roman" w:hAnsi="Calibri Light" w:cs="Calibri Light"/>
          <w:color w:val="58595B"/>
          <w:szCs w:val="24"/>
        </w:rPr>
      </w:pPr>
    </w:p>
    <w:p w14:paraId="1D6CCE86" w14:textId="77777777" w:rsidR="005365CE" w:rsidRDefault="00C9282D" w:rsidP="00A068BF">
      <w:pPr>
        <w:pStyle w:val="NoSpacing"/>
        <w:jc w:val="both"/>
        <w:rPr>
          <w:rFonts w:ascii="Calibri Light" w:hAnsi="Calibri Light"/>
          <w:color w:val="59595B"/>
        </w:rPr>
      </w:pPr>
      <w:r>
        <w:rPr>
          <w:rFonts w:ascii="Calibri Light" w:hAnsi="Calibri Light"/>
          <w:color w:val="59595B"/>
        </w:rPr>
        <w:t>At our Capital Markets Briefing Day in June</w:t>
      </w:r>
      <w:r w:rsidR="005365CE" w:rsidRPr="00A96D90">
        <w:rPr>
          <w:rFonts w:ascii="Calibri Light" w:hAnsi="Calibri Light"/>
          <w:color w:val="59595B"/>
          <w:lang w:val="en-GB"/>
        </w:rPr>
        <w:t xml:space="preserve">, we announced a </w:t>
      </w:r>
      <w:r w:rsidR="000E1DAC">
        <w:rPr>
          <w:rFonts w:ascii="Calibri Light" w:hAnsi="Calibri Light"/>
          <w:color w:val="59595B"/>
        </w:rPr>
        <w:t xml:space="preserve">number of exciting new pipeline developments which will build out Pharming’s future from a company focused on RUCONEST® in HAE to a company with </w:t>
      </w:r>
      <w:r w:rsidR="004366BD">
        <w:rPr>
          <w:rFonts w:ascii="Calibri Light" w:hAnsi="Calibri Light"/>
          <w:color w:val="59595B"/>
        </w:rPr>
        <w:t xml:space="preserve">multiple products approved for commercial sale as well as </w:t>
      </w:r>
      <w:r w:rsidR="000E1DAC">
        <w:rPr>
          <w:rFonts w:ascii="Calibri Light" w:hAnsi="Calibri Light"/>
          <w:color w:val="59595B"/>
        </w:rPr>
        <w:t xml:space="preserve">a wide </w:t>
      </w:r>
      <w:r w:rsidR="004366BD">
        <w:rPr>
          <w:rFonts w:ascii="Calibri Light" w:hAnsi="Calibri Light"/>
          <w:color w:val="59595B"/>
        </w:rPr>
        <w:t xml:space="preserve">development </w:t>
      </w:r>
      <w:r w:rsidR="000E1DAC">
        <w:rPr>
          <w:rFonts w:ascii="Calibri Light" w:hAnsi="Calibri Light"/>
          <w:color w:val="59595B"/>
        </w:rPr>
        <w:t xml:space="preserve">franchise in several major </w:t>
      </w:r>
      <w:r w:rsidR="004366BD">
        <w:rPr>
          <w:rFonts w:ascii="Calibri Light" w:hAnsi="Calibri Light"/>
          <w:color w:val="59595B"/>
        </w:rPr>
        <w:t xml:space="preserve">unmet </w:t>
      </w:r>
      <w:r w:rsidR="000E1DAC">
        <w:rPr>
          <w:rFonts w:ascii="Calibri Light" w:hAnsi="Calibri Light"/>
          <w:color w:val="59595B"/>
        </w:rPr>
        <w:t xml:space="preserve">disease indications with </w:t>
      </w:r>
      <w:r w:rsidR="004366BD">
        <w:rPr>
          <w:rFonts w:ascii="Calibri Light" w:hAnsi="Calibri Light"/>
          <w:color w:val="59595B"/>
        </w:rPr>
        <w:t>very limited (if any) therapeutic options at present.</w:t>
      </w:r>
    </w:p>
    <w:p w14:paraId="723B9DB4" w14:textId="77777777" w:rsidR="000E1DAC" w:rsidRDefault="000E1DAC" w:rsidP="00A068BF">
      <w:pPr>
        <w:pStyle w:val="NoSpacing"/>
        <w:jc w:val="both"/>
        <w:rPr>
          <w:rFonts w:ascii="Calibri Light" w:hAnsi="Calibri Light"/>
          <w:color w:val="59595B"/>
        </w:rPr>
      </w:pPr>
    </w:p>
    <w:p w14:paraId="741DF6FA" w14:textId="77777777" w:rsidR="000E1DAC" w:rsidRPr="000E1DAC" w:rsidRDefault="000E1DAC" w:rsidP="00A068BF">
      <w:pPr>
        <w:pStyle w:val="NoSpacing"/>
        <w:jc w:val="both"/>
        <w:rPr>
          <w:rFonts w:ascii="Calibri Light" w:hAnsi="Calibri Light"/>
          <w:color w:val="59595B"/>
        </w:rPr>
      </w:pPr>
      <w:r>
        <w:rPr>
          <w:rFonts w:ascii="Calibri Light" w:hAnsi="Calibri Light"/>
          <w:color w:val="59595B"/>
        </w:rPr>
        <w:t>The highlights of these announcements were as follows:</w:t>
      </w:r>
    </w:p>
    <w:p w14:paraId="3C98C6F0" w14:textId="77777777" w:rsidR="005365CE" w:rsidRDefault="005365CE" w:rsidP="00A068BF">
      <w:pPr>
        <w:pStyle w:val="NoSpacing"/>
        <w:jc w:val="both"/>
        <w:rPr>
          <w:rFonts w:ascii="Calibri Light" w:hAnsi="Calibri Light"/>
          <w:color w:val="59595B"/>
          <w:lang w:val="en-GB"/>
        </w:rPr>
      </w:pPr>
    </w:p>
    <w:p w14:paraId="4C14B13D" w14:textId="2338DD2F" w:rsidR="000E1DAC" w:rsidRDefault="000E1DAC" w:rsidP="000E1DAC">
      <w:pPr>
        <w:pStyle w:val="ListParagraph"/>
        <w:numPr>
          <w:ilvl w:val="0"/>
          <w:numId w:val="12"/>
        </w:numPr>
        <w:rPr>
          <w:rFonts w:ascii="Calibri Light" w:eastAsia="Calibri" w:hAnsi="Calibri Light"/>
          <w:color w:val="59595B"/>
          <w:szCs w:val="22"/>
          <w:lang w:val="en-GB"/>
        </w:rPr>
      </w:pPr>
      <w:r>
        <w:rPr>
          <w:rFonts w:ascii="Calibri Light" w:eastAsia="Calibri" w:hAnsi="Calibri Light"/>
          <w:color w:val="59595B"/>
          <w:szCs w:val="22"/>
        </w:rPr>
        <w:t>An</w:t>
      </w:r>
      <w:r>
        <w:rPr>
          <w:rFonts w:ascii="Calibri Light" w:eastAsia="Calibri" w:hAnsi="Calibri Light"/>
          <w:color w:val="59595B"/>
          <w:szCs w:val="22"/>
          <w:lang w:val="en-GB"/>
        </w:rPr>
        <w:t xml:space="preserve"> ongoing investigator-sponsored study of RUCONEST® in Basel, Switzerland a double-blind, placebo-controlled trial </w:t>
      </w:r>
      <w:r w:rsidR="004366BD">
        <w:rPr>
          <w:rFonts w:ascii="Calibri Light" w:eastAsia="Calibri" w:hAnsi="Calibri Light"/>
          <w:color w:val="59595B"/>
          <w:szCs w:val="22"/>
        </w:rPr>
        <w:t>of</w:t>
      </w:r>
      <w:r>
        <w:rPr>
          <w:rFonts w:ascii="Calibri Light" w:eastAsia="Calibri" w:hAnsi="Calibri Light"/>
          <w:color w:val="59595B"/>
          <w:szCs w:val="22"/>
          <w:lang w:val="en-GB"/>
        </w:rPr>
        <w:t xml:space="preserve"> contrast-induced nephropathy</w:t>
      </w:r>
      <w:r w:rsidR="004366BD">
        <w:rPr>
          <w:rFonts w:ascii="Calibri Light" w:eastAsia="Calibri" w:hAnsi="Calibri Light"/>
          <w:color w:val="59595B"/>
          <w:szCs w:val="22"/>
        </w:rPr>
        <w:t xml:space="preserve"> which was initiated</w:t>
      </w:r>
      <w:r>
        <w:rPr>
          <w:rFonts w:ascii="Calibri Light" w:eastAsia="Calibri" w:hAnsi="Calibri Light"/>
          <w:color w:val="59595B"/>
          <w:szCs w:val="22"/>
        </w:rPr>
        <w:t xml:space="preserve"> last year</w:t>
      </w:r>
      <w:r w:rsidR="004366BD">
        <w:rPr>
          <w:rFonts w:ascii="Calibri Light" w:eastAsia="Calibri" w:hAnsi="Calibri Light"/>
          <w:color w:val="59595B"/>
          <w:szCs w:val="22"/>
          <w:lang w:val="en-GB"/>
        </w:rPr>
        <w:t xml:space="preserve"> and </w:t>
      </w:r>
      <w:r>
        <w:rPr>
          <w:rFonts w:ascii="Calibri Light" w:eastAsia="Calibri" w:hAnsi="Calibri Light"/>
          <w:color w:val="59595B"/>
          <w:szCs w:val="22"/>
        </w:rPr>
        <w:t xml:space="preserve">is expected to </w:t>
      </w:r>
      <w:r w:rsidR="004366BD">
        <w:rPr>
          <w:rFonts w:ascii="Calibri Light" w:eastAsia="Calibri" w:hAnsi="Calibri Light"/>
          <w:color w:val="59595B"/>
          <w:szCs w:val="22"/>
        </w:rPr>
        <w:t>report</w:t>
      </w:r>
      <w:r w:rsidR="00A37949">
        <w:rPr>
          <w:rFonts w:ascii="Calibri Light" w:eastAsia="Calibri" w:hAnsi="Calibri Light"/>
          <w:color w:val="59595B"/>
          <w:szCs w:val="22"/>
          <w:lang w:val="en-GB"/>
        </w:rPr>
        <w:t xml:space="preserve"> top-</w:t>
      </w:r>
      <w:r>
        <w:rPr>
          <w:rFonts w:ascii="Calibri Light" w:eastAsia="Calibri" w:hAnsi="Calibri Light"/>
          <w:color w:val="59595B"/>
          <w:szCs w:val="22"/>
          <w:lang w:val="en-GB"/>
        </w:rPr>
        <w:t>line data in Q3 2018</w:t>
      </w:r>
      <w:r w:rsidR="004D5DC0">
        <w:rPr>
          <w:rFonts w:ascii="Calibri Light" w:eastAsia="Calibri" w:hAnsi="Calibri Light"/>
          <w:color w:val="59595B"/>
          <w:szCs w:val="22"/>
          <w:lang w:val="en-GB"/>
        </w:rPr>
        <w:t>.</w:t>
      </w:r>
    </w:p>
    <w:p w14:paraId="50E05903" w14:textId="105BDB64" w:rsidR="000E1DAC" w:rsidRPr="00A96D90" w:rsidRDefault="000E1DAC"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 xml:space="preserve">Pharming will file in Q3 for a new Phase I/II study of rhC1INH in treatment of pre-eclampsia to start in Q4 2018. Pre-eclampsia has no specific therapies at present, and affects 2.5 million pregnancies a year worldwide.  Many women </w:t>
      </w:r>
      <w:r w:rsidR="00A37949">
        <w:rPr>
          <w:rFonts w:ascii="Calibri Light" w:eastAsia="Calibri" w:hAnsi="Calibri Light"/>
          <w:color w:val="59595B"/>
          <w:szCs w:val="22"/>
        </w:rPr>
        <w:t>suffer</w:t>
      </w:r>
      <w:r>
        <w:rPr>
          <w:rFonts w:ascii="Calibri Light" w:eastAsia="Calibri" w:hAnsi="Calibri Light"/>
          <w:color w:val="59595B"/>
          <w:szCs w:val="22"/>
        </w:rPr>
        <w:t xml:space="preserve"> from</w:t>
      </w:r>
      <w:r w:rsidR="00A37949">
        <w:rPr>
          <w:rFonts w:ascii="Calibri Light" w:eastAsia="Calibri" w:hAnsi="Calibri Light"/>
          <w:color w:val="59595B"/>
          <w:szCs w:val="22"/>
        </w:rPr>
        <w:t xml:space="preserve"> very severe</w:t>
      </w:r>
      <w:r>
        <w:rPr>
          <w:rFonts w:ascii="Calibri Light" w:eastAsia="Calibri" w:hAnsi="Calibri Light"/>
          <w:color w:val="59595B"/>
          <w:szCs w:val="22"/>
        </w:rPr>
        <w:t xml:space="preserve"> cardiac and liver damage caused by the condition, and many pregnancies are either terminated or result in dangerously early deliveries. </w:t>
      </w:r>
    </w:p>
    <w:p w14:paraId="49C3987D" w14:textId="59819EDB" w:rsidR="000E1DAC" w:rsidRDefault="000E1DAC"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A</w:t>
      </w:r>
      <w:r>
        <w:rPr>
          <w:rFonts w:ascii="Calibri Light" w:eastAsia="Calibri" w:hAnsi="Calibri Light"/>
          <w:color w:val="59595B"/>
          <w:szCs w:val="22"/>
          <w:lang w:val="en-GB"/>
        </w:rPr>
        <w:t xml:space="preserve">n ongoing investigator-sponsored </w:t>
      </w:r>
      <w:r w:rsidR="004366BD">
        <w:rPr>
          <w:rFonts w:ascii="Calibri Light" w:eastAsia="Calibri" w:hAnsi="Calibri Light"/>
          <w:color w:val="59595B"/>
          <w:szCs w:val="22"/>
        </w:rPr>
        <w:t xml:space="preserve">head-to-head </w:t>
      </w:r>
      <w:r>
        <w:rPr>
          <w:rFonts w:ascii="Calibri Light" w:eastAsia="Calibri" w:hAnsi="Calibri Light"/>
          <w:color w:val="59595B"/>
          <w:szCs w:val="22"/>
          <w:lang w:val="en-GB"/>
        </w:rPr>
        <w:t xml:space="preserve">study of RUCONEST® </w:t>
      </w:r>
      <w:r>
        <w:rPr>
          <w:rFonts w:ascii="Calibri Light" w:eastAsia="Calibri" w:hAnsi="Calibri Light"/>
          <w:color w:val="59595B"/>
          <w:szCs w:val="22"/>
        </w:rPr>
        <w:t xml:space="preserve">in an open label clinical trial </w:t>
      </w:r>
      <w:r>
        <w:rPr>
          <w:rFonts w:ascii="Calibri Light" w:eastAsia="Calibri" w:hAnsi="Calibri Light"/>
          <w:color w:val="59595B"/>
          <w:szCs w:val="22"/>
          <w:lang w:val="en-GB"/>
        </w:rPr>
        <w:t xml:space="preserve">testing therapy failure rates </w:t>
      </w:r>
      <w:r>
        <w:rPr>
          <w:rFonts w:ascii="Calibri Light" w:eastAsia="Calibri" w:hAnsi="Calibri Light"/>
          <w:color w:val="59595B"/>
          <w:szCs w:val="22"/>
        </w:rPr>
        <w:t xml:space="preserve">(i.e. </w:t>
      </w:r>
      <w:r w:rsidR="00750A2C">
        <w:rPr>
          <w:rFonts w:ascii="Calibri Light" w:eastAsia="Calibri" w:hAnsi="Calibri Light"/>
          <w:color w:val="59595B"/>
          <w:szCs w:val="22"/>
        </w:rPr>
        <w:t xml:space="preserve">the </w:t>
      </w:r>
      <w:r>
        <w:rPr>
          <w:rFonts w:ascii="Calibri Light" w:eastAsia="Calibri" w:hAnsi="Calibri Light"/>
          <w:color w:val="59595B"/>
          <w:szCs w:val="22"/>
        </w:rPr>
        <w:t>need for re-dosing</w:t>
      </w:r>
      <w:r w:rsidR="00750A2C">
        <w:rPr>
          <w:rFonts w:ascii="Calibri Light" w:eastAsia="Calibri" w:hAnsi="Calibri Light"/>
          <w:color w:val="59595B"/>
          <w:szCs w:val="22"/>
        </w:rPr>
        <w:t xml:space="preserve"> under either therapy</w:t>
      </w:r>
      <w:r>
        <w:rPr>
          <w:rFonts w:ascii="Calibri Light" w:eastAsia="Calibri" w:hAnsi="Calibri Light"/>
          <w:color w:val="59595B"/>
          <w:szCs w:val="22"/>
        </w:rPr>
        <w:t xml:space="preserve">) </w:t>
      </w:r>
      <w:r w:rsidR="00AD60C2">
        <w:rPr>
          <w:rFonts w:ascii="Calibri Light" w:eastAsia="Calibri" w:hAnsi="Calibri Light"/>
          <w:color w:val="59595B"/>
          <w:szCs w:val="22"/>
          <w:lang w:val="en-GB"/>
        </w:rPr>
        <w:t xml:space="preserve">to treat an attack of </w:t>
      </w:r>
      <w:r>
        <w:rPr>
          <w:rFonts w:ascii="Calibri Light" w:eastAsia="Calibri" w:hAnsi="Calibri Light"/>
          <w:color w:val="59595B"/>
          <w:szCs w:val="22"/>
          <w:lang w:val="en-GB"/>
        </w:rPr>
        <w:t>hereditary angioedema</w:t>
      </w:r>
      <w:r w:rsidR="004366BD">
        <w:rPr>
          <w:rFonts w:ascii="Calibri Light" w:eastAsia="Calibri" w:hAnsi="Calibri Light"/>
          <w:color w:val="59595B"/>
          <w:szCs w:val="22"/>
        </w:rPr>
        <w:t>, which</w:t>
      </w:r>
      <w:r>
        <w:rPr>
          <w:rFonts w:ascii="Calibri Light" w:eastAsia="Calibri" w:hAnsi="Calibri Light"/>
          <w:color w:val="59595B"/>
          <w:szCs w:val="22"/>
          <w:lang w:val="en-GB"/>
        </w:rPr>
        <w:t xml:space="preserve"> </w:t>
      </w:r>
      <w:r>
        <w:rPr>
          <w:rFonts w:ascii="Calibri Light" w:eastAsia="Calibri" w:hAnsi="Calibri Light"/>
          <w:color w:val="59595B"/>
          <w:szCs w:val="22"/>
        </w:rPr>
        <w:t xml:space="preserve">is expected to be </w:t>
      </w:r>
      <w:r w:rsidR="004366BD">
        <w:rPr>
          <w:rFonts w:ascii="Calibri Light" w:eastAsia="Calibri" w:hAnsi="Calibri Light"/>
          <w:color w:val="59595B"/>
          <w:szCs w:val="22"/>
        </w:rPr>
        <w:t>ful</w:t>
      </w:r>
      <w:r>
        <w:rPr>
          <w:rFonts w:ascii="Calibri Light" w:eastAsia="Calibri" w:hAnsi="Calibri Light"/>
          <w:color w:val="59595B"/>
          <w:szCs w:val="22"/>
        </w:rPr>
        <w:t xml:space="preserve">ly recruited </w:t>
      </w:r>
      <w:r w:rsidR="004366BD">
        <w:rPr>
          <w:rFonts w:ascii="Calibri Light" w:eastAsia="Calibri" w:hAnsi="Calibri Light"/>
          <w:color w:val="59595B"/>
          <w:szCs w:val="22"/>
        </w:rPr>
        <w:t>in Q3</w:t>
      </w:r>
      <w:r>
        <w:rPr>
          <w:rFonts w:ascii="Calibri Light" w:eastAsia="Calibri" w:hAnsi="Calibri Light"/>
          <w:color w:val="59595B"/>
          <w:szCs w:val="22"/>
        </w:rPr>
        <w:t xml:space="preserve">, </w:t>
      </w:r>
      <w:r w:rsidR="00A37949">
        <w:rPr>
          <w:rFonts w:ascii="Calibri Light" w:eastAsia="Calibri" w:hAnsi="Calibri Light"/>
          <w:color w:val="59595B"/>
          <w:szCs w:val="22"/>
          <w:lang w:val="en-GB"/>
        </w:rPr>
        <w:t>with top-</w:t>
      </w:r>
      <w:r>
        <w:rPr>
          <w:rFonts w:ascii="Calibri Light" w:eastAsia="Calibri" w:hAnsi="Calibri Light"/>
          <w:color w:val="59595B"/>
          <w:szCs w:val="22"/>
          <w:lang w:val="en-GB"/>
        </w:rPr>
        <w:t>line data expected in Q4 2018</w:t>
      </w:r>
      <w:r w:rsidR="004D5DC0">
        <w:rPr>
          <w:rFonts w:ascii="Calibri Light" w:eastAsia="Calibri" w:hAnsi="Calibri Light"/>
          <w:color w:val="59595B"/>
          <w:szCs w:val="22"/>
          <w:lang w:val="en-GB"/>
        </w:rPr>
        <w:t>.</w:t>
      </w:r>
    </w:p>
    <w:p w14:paraId="6FBDC96D" w14:textId="77777777" w:rsidR="000E1DAC" w:rsidRDefault="000E1DAC"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 xml:space="preserve">Pharming has developed new versions of small vial liquid and fast-dissolving dosage forms for RUCONEST®, for use in subcutaneous and intramuscular versions and </w:t>
      </w:r>
      <w:r w:rsidR="004366BD">
        <w:rPr>
          <w:rFonts w:ascii="Calibri Light" w:eastAsia="Calibri" w:hAnsi="Calibri Light"/>
          <w:color w:val="59595B"/>
          <w:szCs w:val="22"/>
        </w:rPr>
        <w:t xml:space="preserve">in </w:t>
      </w:r>
      <w:r>
        <w:rPr>
          <w:rFonts w:ascii="Calibri Light" w:eastAsia="Calibri" w:hAnsi="Calibri Light"/>
          <w:color w:val="59595B"/>
          <w:szCs w:val="22"/>
        </w:rPr>
        <w:t>an entirely new, intradermal version</w:t>
      </w:r>
      <w:r w:rsidR="004366BD">
        <w:rPr>
          <w:rFonts w:ascii="Calibri Light" w:eastAsia="Calibri" w:hAnsi="Calibri Light"/>
          <w:color w:val="59595B"/>
          <w:szCs w:val="22"/>
        </w:rPr>
        <w:t xml:space="preserve"> expected to be painless,</w:t>
      </w:r>
      <w:r>
        <w:rPr>
          <w:rFonts w:ascii="Calibri Light" w:eastAsia="Calibri" w:hAnsi="Calibri Light"/>
          <w:color w:val="59595B"/>
          <w:szCs w:val="22"/>
        </w:rPr>
        <w:t xml:space="preserve"> starting </w:t>
      </w:r>
      <w:r w:rsidR="004366BD">
        <w:rPr>
          <w:rFonts w:ascii="Calibri Light" w:eastAsia="Calibri" w:hAnsi="Calibri Light"/>
          <w:color w:val="59595B"/>
          <w:szCs w:val="22"/>
        </w:rPr>
        <w:t xml:space="preserve">with subcutaneous studies </w:t>
      </w:r>
      <w:r>
        <w:rPr>
          <w:rFonts w:ascii="Calibri Light" w:eastAsia="Calibri" w:hAnsi="Calibri Light"/>
          <w:color w:val="59595B"/>
          <w:szCs w:val="22"/>
        </w:rPr>
        <w:t>later in 2018</w:t>
      </w:r>
      <w:r w:rsidR="00AD60C2">
        <w:rPr>
          <w:rFonts w:ascii="Calibri Light" w:eastAsia="Calibri" w:hAnsi="Calibri Light"/>
          <w:color w:val="59595B"/>
          <w:szCs w:val="22"/>
          <w:lang w:val="en-GB"/>
        </w:rPr>
        <w:t>/ early 2019.</w:t>
      </w:r>
    </w:p>
    <w:p w14:paraId="5EE54884" w14:textId="77777777" w:rsidR="000E1DAC" w:rsidRPr="000E1DAC" w:rsidRDefault="000E1DAC"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An</w:t>
      </w:r>
      <w:r w:rsidRPr="00625F57">
        <w:rPr>
          <w:rFonts w:ascii="Calibri Light" w:eastAsia="Calibri" w:hAnsi="Calibri Light"/>
          <w:color w:val="59595B"/>
          <w:szCs w:val="22"/>
          <w:lang w:val="en-GB"/>
        </w:rPr>
        <w:t xml:space="preserve"> investigator-sponsored study of RUCONEST® </w:t>
      </w:r>
      <w:r w:rsidRPr="00625F57">
        <w:rPr>
          <w:rFonts w:ascii="Calibri Light" w:eastAsia="Calibri" w:hAnsi="Calibri Light"/>
          <w:color w:val="59595B"/>
          <w:szCs w:val="22"/>
        </w:rPr>
        <w:t xml:space="preserve">to treat delayed graft function, a form of ischemic reperfusion injury, </w:t>
      </w:r>
      <w:r>
        <w:rPr>
          <w:rFonts w:ascii="Calibri Light" w:eastAsia="Calibri" w:hAnsi="Calibri Light"/>
          <w:color w:val="59595B"/>
          <w:szCs w:val="22"/>
        </w:rPr>
        <w:t xml:space="preserve">is being initiated </w:t>
      </w:r>
      <w:r w:rsidRPr="00625F57">
        <w:rPr>
          <w:rFonts w:ascii="Calibri Light" w:eastAsia="Calibri" w:hAnsi="Calibri Light"/>
          <w:color w:val="59595B"/>
          <w:szCs w:val="22"/>
        </w:rPr>
        <w:t>at the University of Wisconsin</w:t>
      </w:r>
      <w:r>
        <w:rPr>
          <w:rFonts w:ascii="Calibri Light" w:eastAsia="Calibri" w:hAnsi="Calibri Light"/>
          <w:color w:val="59595B"/>
          <w:szCs w:val="22"/>
        </w:rPr>
        <w:t>.  This study is not expected to read out until 2020 due to the long follow-up required</w:t>
      </w:r>
      <w:r w:rsidR="004D5DC0">
        <w:rPr>
          <w:rFonts w:ascii="Calibri Light" w:eastAsia="Calibri" w:hAnsi="Calibri Light"/>
          <w:color w:val="59595B"/>
          <w:szCs w:val="22"/>
        </w:rPr>
        <w:t>.</w:t>
      </w:r>
    </w:p>
    <w:p w14:paraId="1D1BDBC7" w14:textId="77777777" w:rsidR="00BB4E7E" w:rsidRPr="00BB4E7E" w:rsidRDefault="000E1DAC"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Pharming will take its new, highly-improved alpha-glucosidase PGN004 into the clinic</w:t>
      </w:r>
      <w:r w:rsidR="002D48AE">
        <w:rPr>
          <w:rFonts w:ascii="Calibri Light" w:eastAsia="Calibri" w:hAnsi="Calibri Light"/>
          <w:color w:val="59595B"/>
          <w:szCs w:val="22"/>
        </w:rPr>
        <w:t xml:space="preserve"> in a Phase I/II study in Pompe disease in early 2019, with the timing depending only on final manufacturing filings. This new recombinant form of alpha-glucosidase, the enzyme which is deficient in patients with Pompe disease, </w:t>
      </w:r>
      <w:r w:rsidR="004366BD">
        <w:rPr>
          <w:rFonts w:ascii="Calibri Light" w:eastAsia="Calibri" w:hAnsi="Calibri Light"/>
          <w:color w:val="59595B"/>
          <w:szCs w:val="22"/>
        </w:rPr>
        <w:t xml:space="preserve">has been developed with </w:t>
      </w:r>
      <w:r w:rsidR="00BB4E7E">
        <w:rPr>
          <w:rFonts w:ascii="Calibri Light" w:eastAsia="Calibri" w:hAnsi="Calibri Light"/>
          <w:color w:val="59595B"/>
          <w:szCs w:val="22"/>
        </w:rPr>
        <w:t>the same</w:t>
      </w:r>
      <w:r w:rsidR="004366BD">
        <w:rPr>
          <w:rFonts w:ascii="Calibri Light" w:eastAsia="Calibri" w:hAnsi="Calibri Light"/>
          <w:color w:val="59595B"/>
          <w:szCs w:val="22"/>
        </w:rPr>
        <w:t xml:space="preserve"> </w:t>
      </w:r>
      <w:r w:rsidR="002D48AE">
        <w:rPr>
          <w:rFonts w:ascii="Calibri Light" w:eastAsia="Calibri" w:hAnsi="Calibri Light"/>
          <w:color w:val="59595B"/>
          <w:szCs w:val="22"/>
        </w:rPr>
        <w:t>technology platform as RUCONEST® and is expected to have little or no immunogenicity</w:t>
      </w:r>
      <w:r w:rsidR="00BB4E7E">
        <w:rPr>
          <w:rFonts w:ascii="Calibri Light" w:eastAsia="Calibri" w:hAnsi="Calibri Light"/>
          <w:color w:val="59595B"/>
          <w:szCs w:val="22"/>
        </w:rPr>
        <w:t>,</w:t>
      </w:r>
      <w:r w:rsidR="002D48AE">
        <w:rPr>
          <w:rFonts w:ascii="Calibri Light" w:eastAsia="Calibri" w:hAnsi="Calibri Light"/>
          <w:color w:val="59595B"/>
          <w:szCs w:val="22"/>
        </w:rPr>
        <w:t xml:space="preserve"> as well as high efficacy</w:t>
      </w:r>
      <w:r w:rsidR="00BB4E7E">
        <w:rPr>
          <w:rFonts w:ascii="Calibri Light" w:eastAsia="Calibri" w:hAnsi="Calibri Light"/>
          <w:color w:val="59595B"/>
          <w:szCs w:val="22"/>
        </w:rPr>
        <w:t>.</w:t>
      </w:r>
      <w:r w:rsidR="002D48AE">
        <w:rPr>
          <w:rFonts w:ascii="Calibri Light" w:eastAsia="Calibri" w:hAnsi="Calibri Light"/>
          <w:color w:val="59595B"/>
          <w:szCs w:val="22"/>
        </w:rPr>
        <w:t xml:space="preserve"> </w:t>
      </w:r>
    </w:p>
    <w:p w14:paraId="50CB2361" w14:textId="359C2637" w:rsidR="000E1DAC" w:rsidRPr="00625F57" w:rsidRDefault="002D48AE" w:rsidP="00750A2C">
      <w:pPr>
        <w:pStyle w:val="ListParagraph"/>
        <w:numPr>
          <w:ilvl w:val="0"/>
          <w:numId w:val="12"/>
        </w:numPr>
        <w:spacing w:before="120"/>
        <w:ind w:left="714" w:hanging="357"/>
        <w:contextualSpacing w:val="0"/>
        <w:rPr>
          <w:rFonts w:ascii="Calibri Light" w:eastAsia="Calibri" w:hAnsi="Calibri Light"/>
          <w:color w:val="59595B"/>
          <w:szCs w:val="22"/>
          <w:lang w:val="en-GB"/>
        </w:rPr>
      </w:pPr>
      <w:r>
        <w:rPr>
          <w:rFonts w:ascii="Calibri Light" w:eastAsia="Calibri" w:hAnsi="Calibri Light"/>
          <w:color w:val="59595B"/>
          <w:szCs w:val="22"/>
        </w:rPr>
        <w:t>A si</w:t>
      </w:r>
      <w:r w:rsidR="00750A2C">
        <w:rPr>
          <w:rFonts w:ascii="Calibri Light" w:eastAsia="Calibri" w:hAnsi="Calibri Light"/>
          <w:color w:val="59595B"/>
          <w:szCs w:val="22"/>
        </w:rPr>
        <w:t>milar program with alpha-galacto</w:t>
      </w:r>
      <w:r>
        <w:rPr>
          <w:rFonts w:ascii="Calibri Light" w:eastAsia="Calibri" w:hAnsi="Calibri Light"/>
          <w:color w:val="59595B"/>
          <w:szCs w:val="22"/>
        </w:rPr>
        <w:t>sidase for use in the related Fab</w:t>
      </w:r>
      <w:r w:rsidR="00BB4E7E">
        <w:rPr>
          <w:rFonts w:ascii="Calibri Light" w:eastAsia="Calibri" w:hAnsi="Calibri Light"/>
          <w:color w:val="59595B"/>
          <w:szCs w:val="22"/>
        </w:rPr>
        <w:t>ry’s disease has also been initiat</w:t>
      </w:r>
      <w:r>
        <w:rPr>
          <w:rFonts w:ascii="Calibri Light" w:eastAsia="Calibri" w:hAnsi="Calibri Light"/>
          <w:color w:val="59595B"/>
          <w:szCs w:val="22"/>
        </w:rPr>
        <w:t xml:space="preserve">ed and </w:t>
      </w:r>
      <w:r w:rsidR="00AD60C2">
        <w:rPr>
          <w:rFonts w:ascii="Calibri Light" w:eastAsia="Calibri" w:hAnsi="Calibri Light"/>
          <w:color w:val="59595B"/>
          <w:szCs w:val="22"/>
          <w:lang w:val="en-GB"/>
        </w:rPr>
        <w:t xml:space="preserve">is expected to </w:t>
      </w:r>
      <w:r w:rsidR="00BB4E7E">
        <w:rPr>
          <w:rFonts w:ascii="Calibri Light" w:eastAsia="Calibri" w:hAnsi="Calibri Light"/>
          <w:color w:val="59595B"/>
          <w:szCs w:val="22"/>
        </w:rPr>
        <w:t>enter</w:t>
      </w:r>
      <w:r>
        <w:rPr>
          <w:rFonts w:ascii="Calibri Light" w:eastAsia="Calibri" w:hAnsi="Calibri Light"/>
          <w:color w:val="59595B"/>
          <w:szCs w:val="22"/>
        </w:rPr>
        <w:t xml:space="preserve"> clinic</w:t>
      </w:r>
      <w:r w:rsidR="00AD60C2">
        <w:rPr>
          <w:rFonts w:ascii="Calibri Light" w:eastAsia="Calibri" w:hAnsi="Calibri Light"/>
          <w:color w:val="59595B"/>
          <w:szCs w:val="22"/>
          <w:lang w:val="en-GB"/>
        </w:rPr>
        <w:t>al development from 2H20</w:t>
      </w:r>
      <w:r w:rsidR="008742A0">
        <w:rPr>
          <w:rFonts w:ascii="Calibri Light" w:eastAsia="Calibri" w:hAnsi="Calibri Light"/>
          <w:color w:val="59595B"/>
          <w:szCs w:val="22"/>
          <w:lang w:val="en-GB"/>
        </w:rPr>
        <w:t>20</w:t>
      </w:r>
      <w:r>
        <w:rPr>
          <w:rFonts w:ascii="Calibri Light" w:eastAsia="Calibri" w:hAnsi="Calibri Light"/>
          <w:color w:val="59595B"/>
          <w:szCs w:val="22"/>
        </w:rPr>
        <w:t xml:space="preserve"> </w:t>
      </w:r>
      <w:r w:rsidR="00AD60C2">
        <w:rPr>
          <w:rFonts w:ascii="Calibri Light" w:eastAsia="Calibri" w:hAnsi="Calibri Light"/>
          <w:color w:val="59595B"/>
          <w:szCs w:val="22"/>
          <w:lang w:val="en-GB"/>
        </w:rPr>
        <w:t>onwards</w:t>
      </w:r>
      <w:r w:rsidR="00E6270E">
        <w:rPr>
          <w:rFonts w:ascii="Calibri Light" w:eastAsia="Calibri" w:hAnsi="Calibri Light"/>
          <w:color w:val="59595B"/>
          <w:szCs w:val="22"/>
          <w:lang w:val="en-GB"/>
        </w:rPr>
        <w:t xml:space="preserve"> </w:t>
      </w:r>
      <w:r>
        <w:rPr>
          <w:rFonts w:ascii="Calibri Light" w:eastAsia="Calibri" w:hAnsi="Calibri Light"/>
          <w:color w:val="59595B"/>
          <w:szCs w:val="22"/>
        </w:rPr>
        <w:t xml:space="preserve">following </w:t>
      </w:r>
      <w:r w:rsidR="00AD60C2">
        <w:rPr>
          <w:rFonts w:ascii="Calibri Light" w:eastAsia="Calibri" w:hAnsi="Calibri Light"/>
          <w:color w:val="59595B"/>
          <w:szCs w:val="22"/>
          <w:lang w:val="en-GB"/>
        </w:rPr>
        <w:t xml:space="preserve">ongoing </w:t>
      </w:r>
      <w:r>
        <w:rPr>
          <w:rFonts w:ascii="Calibri Light" w:eastAsia="Calibri" w:hAnsi="Calibri Light"/>
          <w:color w:val="59595B"/>
          <w:szCs w:val="22"/>
        </w:rPr>
        <w:t xml:space="preserve">process development and </w:t>
      </w:r>
      <w:r w:rsidR="00AD60C2">
        <w:rPr>
          <w:rFonts w:ascii="Calibri Light" w:eastAsia="Calibri" w:hAnsi="Calibri Light"/>
          <w:color w:val="59595B"/>
          <w:szCs w:val="22"/>
          <w:lang w:val="en-GB"/>
        </w:rPr>
        <w:t xml:space="preserve">subsequent </w:t>
      </w:r>
      <w:r>
        <w:rPr>
          <w:rFonts w:ascii="Calibri Light" w:eastAsia="Calibri" w:hAnsi="Calibri Light"/>
          <w:color w:val="59595B"/>
          <w:szCs w:val="22"/>
        </w:rPr>
        <w:t>manufacturing runs.</w:t>
      </w:r>
    </w:p>
    <w:p w14:paraId="1C192206" w14:textId="77777777" w:rsidR="000E1DAC" w:rsidRPr="00A96D90" w:rsidRDefault="000E1DAC" w:rsidP="00A068BF">
      <w:pPr>
        <w:pStyle w:val="NoSpacing"/>
        <w:jc w:val="both"/>
        <w:rPr>
          <w:rFonts w:ascii="Calibri Light" w:hAnsi="Calibri Light"/>
          <w:color w:val="59595B"/>
          <w:lang w:val="en-GB"/>
        </w:rPr>
      </w:pPr>
    </w:p>
    <w:p w14:paraId="0B3AF53C" w14:textId="77777777" w:rsidR="005365CE" w:rsidRPr="00A96D90" w:rsidRDefault="005365CE" w:rsidP="00A068BF">
      <w:pPr>
        <w:pStyle w:val="NoSpacing"/>
        <w:jc w:val="both"/>
        <w:rPr>
          <w:rFonts w:ascii="Calibri Light" w:hAnsi="Calibri Light"/>
          <w:color w:val="59595B"/>
          <w:lang w:val="en-GB"/>
        </w:rPr>
      </w:pPr>
      <w:r w:rsidRPr="00A96D90">
        <w:rPr>
          <w:rFonts w:ascii="Calibri Light" w:hAnsi="Calibri Light"/>
          <w:color w:val="59595B"/>
          <w:lang w:val="en-GB"/>
        </w:rPr>
        <w:t xml:space="preserve">Based on the </w:t>
      </w:r>
      <w:r w:rsidR="002D48AE">
        <w:rPr>
          <w:rFonts w:ascii="Calibri Light" w:hAnsi="Calibri Light"/>
          <w:color w:val="59595B"/>
        </w:rPr>
        <w:t xml:space="preserve">continued </w:t>
      </w:r>
      <w:r w:rsidRPr="00A96D90">
        <w:rPr>
          <w:rFonts w:ascii="Calibri Light" w:hAnsi="Calibri Light"/>
          <w:color w:val="59595B"/>
          <w:lang w:val="en-GB"/>
        </w:rPr>
        <w:t>momentum in sales volumes, under</w:t>
      </w:r>
      <w:r w:rsidR="002D48AE">
        <w:rPr>
          <w:rFonts w:ascii="Calibri Light" w:hAnsi="Calibri Light"/>
          <w:color w:val="59595B"/>
        </w:rPr>
        <w:t>pinned by</w:t>
      </w:r>
      <w:r w:rsidRPr="00A96D90">
        <w:rPr>
          <w:rFonts w:ascii="Calibri Light" w:hAnsi="Calibri Light"/>
          <w:color w:val="59595B"/>
          <w:lang w:val="en-GB"/>
        </w:rPr>
        <w:t xml:space="preserve"> improving trends in identifying and diagnosing </w:t>
      </w:r>
      <w:r w:rsidR="00BB4E7E">
        <w:rPr>
          <w:rFonts w:ascii="Calibri Light" w:hAnsi="Calibri Light"/>
          <w:color w:val="59595B"/>
        </w:rPr>
        <w:t xml:space="preserve">HAE </w:t>
      </w:r>
      <w:r w:rsidRPr="00A96D90">
        <w:rPr>
          <w:rFonts w:ascii="Calibri Light" w:hAnsi="Calibri Light"/>
          <w:color w:val="59595B"/>
          <w:lang w:val="en-GB"/>
        </w:rPr>
        <w:t>patients, combined with better patient care and management practices,</w:t>
      </w:r>
      <w:r w:rsidR="00AD60C2">
        <w:rPr>
          <w:rFonts w:ascii="Calibri Light" w:hAnsi="Calibri Light"/>
          <w:color w:val="59595B"/>
          <w:lang w:val="en-GB"/>
        </w:rPr>
        <w:t xml:space="preserve"> </w:t>
      </w:r>
      <w:r w:rsidRPr="00A96D90">
        <w:rPr>
          <w:rFonts w:ascii="Calibri Light" w:hAnsi="Calibri Light"/>
          <w:color w:val="59595B"/>
          <w:lang w:val="en-GB"/>
        </w:rPr>
        <w:t xml:space="preserve">a focus </w:t>
      </w:r>
      <w:r w:rsidRPr="00A96D90">
        <w:rPr>
          <w:rFonts w:ascii="Calibri Light" w:hAnsi="Calibri Light"/>
          <w:color w:val="59595B"/>
          <w:lang w:val="en-GB"/>
        </w:rPr>
        <w:lastRenderedPageBreak/>
        <w:t>on specialty pharmacy customers</w:t>
      </w:r>
      <w:r w:rsidR="00AD60C2">
        <w:rPr>
          <w:rFonts w:ascii="Calibri Light" w:hAnsi="Calibri Light"/>
          <w:color w:val="59595B"/>
          <w:lang w:val="en-GB"/>
        </w:rPr>
        <w:t xml:space="preserve"> and subject to an FDA approval for prophylaxis of HAE</w:t>
      </w:r>
      <w:r w:rsidR="00BB4E7E">
        <w:rPr>
          <w:rFonts w:ascii="Calibri Light" w:hAnsi="Calibri Light"/>
          <w:color w:val="59595B"/>
        </w:rPr>
        <w:t>,</w:t>
      </w:r>
      <w:r w:rsidRPr="00A96D90">
        <w:rPr>
          <w:rFonts w:ascii="Calibri Light" w:hAnsi="Calibri Light"/>
          <w:color w:val="59595B"/>
          <w:lang w:val="en-GB"/>
        </w:rPr>
        <w:t xml:space="preserve"> we expect to </w:t>
      </w:r>
      <w:r w:rsidR="00BB4E7E">
        <w:rPr>
          <w:rFonts w:ascii="Calibri Light" w:hAnsi="Calibri Light"/>
          <w:color w:val="59595B"/>
        </w:rPr>
        <w:t xml:space="preserve">continue to </w:t>
      </w:r>
      <w:r w:rsidRPr="00A96D90">
        <w:rPr>
          <w:rFonts w:ascii="Calibri Light" w:hAnsi="Calibri Light"/>
          <w:color w:val="59595B"/>
          <w:lang w:val="en-GB"/>
        </w:rPr>
        <w:t>increase sales</w:t>
      </w:r>
      <w:r w:rsidR="002D48AE" w:rsidRPr="002D48AE">
        <w:rPr>
          <w:rFonts w:ascii="Calibri Light" w:hAnsi="Calibri Light"/>
          <w:color w:val="59595B"/>
          <w:lang w:val="en-GB"/>
        </w:rPr>
        <w:t xml:space="preserve"> </w:t>
      </w:r>
      <w:r w:rsidR="00AD60C2">
        <w:rPr>
          <w:rFonts w:ascii="Calibri Light" w:hAnsi="Calibri Light"/>
          <w:color w:val="59595B"/>
          <w:lang w:val="en-GB"/>
        </w:rPr>
        <w:t>of RUCONEST</w:t>
      </w:r>
      <w:r w:rsidR="004D5DC0">
        <w:rPr>
          <w:rFonts w:ascii="Calibri Light" w:hAnsi="Calibri Light"/>
          <w:color w:val="59595B"/>
        </w:rPr>
        <w:t>®</w:t>
      </w:r>
      <w:r w:rsidR="00AD60C2">
        <w:rPr>
          <w:rFonts w:ascii="Calibri Light" w:hAnsi="Calibri Light"/>
          <w:color w:val="59595B"/>
          <w:lang w:val="en-GB"/>
        </w:rPr>
        <w:t xml:space="preserve"> </w:t>
      </w:r>
      <w:r w:rsidR="002D48AE" w:rsidRPr="00A96D90">
        <w:rPr>
          <w:rFonts w:ascii="Calibri Light" w:hAnsi="Calibri Light"/>
          <w:color w:val="59595B"/>
          <w:lang w:val="en-GB"/>
        </w:rPr>
        <w:t>further</w:t>
      </w:r>
      <w:r w:rsidR="00AD60C2">
        <w:rPr>
          <w:rFonts w:ascii="Calibri Light" w:hAnsi="Calibri Light"/>
          <w:color w:val="59595B"/>
          <w:lang w:val="en-GB"/>
        </w:rPr>
        <w:t>.</w:t>
      </w:r>
      <w:r w:rsidR="002D48AE">
        <w:rPr>
          <w:rFonts w:ascii="Calibri Light" w:hAnsi="Calibri Light"/>
          <w:color w:val="59595B"/>
        </w:rPr>
        <w:t xml:space="preserve"> If that approval is granted, we expect the efficacy of RUCONEST® to be appealing to </w:t>
      </w:r>
      <w:r w:rsidR="00BB4E7E">
        <w:rPr>
          <w:rFonts w:ascii="Calibri Light" w:hAnsi="Calibri Light"/>
          <w:color w:val="59595B"/>
        </w:rPr>
        <w:t xml:space="preserve">healthcare professionals and the </w:t>
      </w:r>
      <w:r w:rsidR="002D48AE">
        <w:rPr>
          <w:rFonts w:ascii="Calibri Light" w:hAnsi="Calibri Light"/>
          <w:color w:val="59595B"/>
        </w:rPr>
        <w:t>patients</w:t>
      </w:r>
      <w:r w:rsidR="00BB4E7E">
        <w:rPr>
          <w:rFonts w:ascii="Calibri Light" w:hAnsi="Calibri Light"/>
          <w:color w:val="59595B"/>
        </w:rPr>
        <w:t xml:space="preserve"> they manage</w:t>
      </w:r>
      <w:r w:rsidR="002D48AE">
        <w:rPr>
          <w:rFonts w:ascii="Calibri Light" w:hAnsi="Calibri Light"/>
          <w:color w:val="59595B"/>
        </w:rPr>
        <w:t xml:space="preserve"> </w:t>
      </w:r>
      <w:r w:rsidR="00BB4E7E">
        <w:rPr>
          <w:rFonts w:ascii="Calibri Light" w:hAnsi="Calibri Light"/>
          <w:color w:val="59595B"/>
        </w:rPr>
        <w:t xml:space="preserve">for complete </w:t>
      </w:r>
      <w:r w:rsidR="002D48AE">
        <w:rPr>
          <w:rFonts w:ascii="Calibri Light" w:hAnsi="Calibri Light"/>
          <w:color w:val="59595B"/>
        </w:rPr>
        <w:t xml:space="preserve">management of their HAE condition.  It will also be the </w:t>
      </w:r>
      <w:r w:rsidR="00BB4E7E">
        <w:rPr>
          <w:rFonts w:ascii="Calibri Light" w:hAnsi="Calibri Light"/>
          <w:color w:val="59595B"/>
        </w:rPr>
        <w:t xml:space="preserve">only </w:t>
      </w:r>
      <w:r w:rsidR="00750A2C">
        <w:rPr>
          <w:rFonts w:ascii="Calibri Light" w:hAnsi="Calibri Light"/>
          <w:color w:val="59595B"/>
        </w:rPr>
        <w:t xml:space="preserve">approved </w:t>
      </w:r>
      <w:r w:rsidR="00BB4E7E">
        <w:rPr>
          <w:rFonts w:ascii="Calibri Light" w:hAnsi="Calibri Light"/>
          <w:color w:val="59595B"/>
        </w:rPr>
        <w:t>product</w:t>
      </w:r>
      <w:r w:rsidR="002D48AE">
        <w:rPr>
          <w:rFonts w:ascii="Calibri Light" w:hAnsi="Calibri Light"/>
          <w:color w:val="59595B"/>
        </w:rPr>
        <w:t xml:space="preserve"> for both </w:t>
      </w:r>
      <w:r w:rsidR="00BB4E7E">
        <w:rPr>
          <w:rFonts w:ascii="Calibri Light" w:hAnsi="Calibri Light"/>
          <w:color w:val="59595B"/>
        </w:rPr>
        <w:t>prophylaxis and treatment of</w:t>
      </w:r>
      <w:r w:rsidR="002D48AE">
        <w:rPr>
          <w:rFonts w:ascii="Calibri Light" w:hAnsi="Calibri Light"/>
          <w:color w:val="59595B"/>
        </w:rPr>
        <w:t xml:space="preserve"> breakthrough </w:t>
      </w:r>
      <w:r w:rsidR="00BB4E7E">
        <w:rPr>
          <w:rFonts w:ascii="Calibri Light" w:hAnsi="Calibri Light"/>
          <w:color w:val="59595B"/>
        </w:rPr>
        <w:t xml:space="preserve">HAE </w:t>
      </w:r>
      <w:r w:rsidR="002D48AE">
        <w:rPr>
          <w:rFonts w:ascii="Calibri Light" w:hAnsi="Calibri Light"/>
          <w:color w:val="59595B"/>
        </w:rPr>
        <w:t xml:space="preserve">attacks. </w:t>
      </w:r>
      <w:r w:rsidRPr="00A96D90">
        <w:rPr>
          <w:rFonts w:ascii="Calibri Light" w:hAnsi="Calibri Light"/>
          <w:color w:val="59595B"/>
          <w:lang w:val="en-GB"/>
        </w:rPr>
        <w:t xml:space="preserve">We will continue to control costs and investments to improve profitability and </w:t>
      </w:r>
      <w:r w:rsidR="00BB4E7E">
        <w:rPr>
          <w:rFonts w:ascii="Calibri Light" w:hAnsi="Calibri Light"/>
          <w:color w:val="59595B"/>
        </w:rPr>
        <w:t xml:space="preserve">to allow us to </w:t>
      </w:r>
      <w:r w:rsidRPr="00A96D90">
        <w:rPr>
          <w:rFonts w:ascii="Calibri Light" w:hAnsi="Calibri Light"/>
          <w:color w:val="59595B"/>
          <w:lang w:val="en-GB"/>
        </w:rPr>
        <w:t>drive sustainable long-term growth.</w:t>
      </w:r>
      <w:r w:rsidR="0040539E">
        <w:rPr>
          <w:rFonts w:ascii="Calibri Light" w:hAnsi="Calibri Light"/>
          <w:color w:val="59595B"/>
          <w:lang w:val="en-GB"/>
        </w:rPr>
        <w:t xml:space="preserve"> </w:t>
      </w:r>
      <w:r w:rsidRPr="00A96D90">
        <w:rPr>
          <w:rFonts w:ascii="Calibri Light" w:hAnsi="Calibri Light"/>
          <w:color w:val="59595B"/>
          <w:lang w:val="en-GB"/>
        </w:rPr>
        <w:t>We continue to expect additional positive results for the remainder of the year. No further financial guidance is provided</w:t>
      </w:r>
      <w:r w:rsidR="00CD6573" w:rsidRPr="00A96D90">
        <w:rPr>
          <w:rFonts w:ascii="Calibri Light" w:hAnsi="Calibri Light"/>
          <w:color w:val="59595B"/>
          <w:lang w:val="en-GB"/>
        </w:rPr>
        <w:t>.</w:t>
      </w:r>
      <w:r w:rsidR="0040539E">
        <w:rPr>
          <w:rFonts w:ascii="Calibri Light" w:hAnsi="Calibri Light"/>
          <w:color w:val="59595B"/>
          <w:lang w:val="en-GB"/>
        </w:rPr>
        <w:t xml:space="preserve"> </w:t>
      </w:r>
    </w:p>
    <w:p w14:paraId="6FDEA2FC" w14:textId="77777777" w:rsidR="005365CE" w:rsidRPr="00A96D90" w:rsidRDefault="005365CE" w:rsidP="005365CE">
      <w:pPr>
        <w:pStyle w:val="NoSpacing"/>
        <w:ind w:right="144"/>
        <w:rPr>
          <w:rFonts w:ascii="Calibri Light" w:hAnsi="Calibri Light"/>
          <w:color w:val="59595B"/>
          <w:lang w:val="en-GB"/>
        </w:rPr>
      </w:pPr>
    </w:p>
    <w:p w14:paraId="4B1F937C" w14:textId="77777777" w:rsidR="005365CE" w:rsidRPr="00A96D90" w:rsidRDefault="005365CE" w:rsidP="005365CE">
      <w:pPr>
        <w:pStyle w:val="NoSpacing"/>
        <w:ind w:right="144"/>
        <w:rPr>
          <w:rFonts w:ascii="Calibri Light" w:hAnsi="Calibri Light" w:cs="Helvetica"/>
          <w:color w:val="59595B"/>
          <w:lang w:val="en-GB"/>
        </w:rPr>
      </w:pPr>
      <w:r w:rsidRPr="00A96D90">
        <w:rPr>
          <w:rFonts w:ascii="Calibri Light" w:hAnsi="Calibri Light" w:cs="Helvetica"/>
          <w:color w:val="59595B"/>
          <w:lang w:val="en-GB"/>
        </w:rPr>
        <w:t>Sijmen de Vries</w:t>
      </w:r>
    </w:p>
    <w:p w14:paraId="1569D24B" w14:textId="77777777" w:rsidR="005365CE" w:rsidRDefault="005365CE" w:rsidP="005365CE">
      <w:pPr>
        <w:pStyle w:val="NoSpacing"/>
        <w:ind w:right="144"/>
        <w:rPr>
          <w:rFonts w:ascii="Calibri Light" w:hAnsi="Calibri Light" w:cs="Helvetica"/>
          <w:i/>
          <w:color w:val="59595B"/>
          <w:lang w:val="en-GB"/>
        </w:rPr>
      </w:pPr>
      <w:r w:rsidRPr="00A96D90">
        <w:rPr>
          <w:rFonts w:ascii="Calibri Light" w:hAnsi="Calibri Light" w:cs="Helvetica"/>
          <w:i/>
          <w:color w:val="59595B"/>
          <w:lang w:val="en-GB"/>
        </w:rPr>
        <w:t xml:space="preserve">Chief Executive Officer </w:t>
      </w:r>
    </w:p>
    <w:p w14:paraId="17B53D59" w14:textId="77777777" w:rsidR="00E6270E" w:rsidRDefault="00E6270E" w:rsidP="005365CE">
      <w:pPr>
        <w:pStyle w:val="NoSpacing"/>
        <w:ind w:right="144"/>
        <w:rPr>
          <w:rFonts w:ascii="Calibri Light" w:hAnsi="Calibri Light" w:cs="Helvetica"/>
          <w:i/>
          <w:color w:val="59595B"/>
          <w:lang w:val="en-GB"/>
        </w:rPr>
      </w:pPr>
    </w:p>
    <w:p w14:paraId="1EFF385B" w14:textId="77777777" w:rsidR="00E6270E" w:rsidRPr="00032C26" w:rsidRDefault="00E6270E" w:rsidP="005365CE">
      <w:pPr>
        <w:pStyle w:val="NoSpacing"/>
        <w:ind w:right="144"/>
        <w:rPr>
          <w:rFonts w:ascii="Calibri Light" w:hAnsi="Calibri Light"/>
          <w:i/>
          <w:color w:val="0070C0"/>
          <w:lang w:val="en-GB"/>
        </w:rPr>
      </w:pPr>
    </w:p>
    <w:p w14:paraId="4021B74D" w14:textId="77777777" w:rsidR="005365CE" w:rsidRPr="00032C26" w:rsidRDefault="001B0F98" w:rsidP="005365CE">
      <w:pPr>
        <w:rPr>
          <w:rFonts w:ascii="Calibri Light" w:eastAsia="SimSun" w:hAnsi="Calibri Light"/>
          <w:b/>
          <w:color w:val="0070C0"/>
          <w:sz w:val="24"/>
          <w:lang w:val="en-GB"/>
        </w:rPr>
      </w:pPr>
      <w:r w:rsidRPr="00032C26">
        <w:rPr>
          <w:rFonts w:ascii="Calibri Light" w:eastAsia="SimSun" w:hAnsi="Calibri Light"/>
          <w:b/>
          <w:color w:val="0070C0"/>
          <w:sz w:val="24"/>
          <w:lang w:val="en-GB"/>
        </w:rPr>
        <w:t>Financial Summary</w:t>
      </w:r>
    </w:p>
    <w:p w14:paraId="6881E04F" w14:textId="77777777" w:rsidR="001B0F98" w:rsidRPr="00A96D90" w:rsidRDefault="001B0F98" w:rsidP="005365CE">
      <w:pPr>
        <w:rPr>
          <w:rFonts w:ascii="Calibri Light" w:eastAsia="SimSun" w:hAnsi="Calibri Light" w:cs="Calibri Light"/>
          <w:b/>
          <w:color w:val="00679B"/>
          <w:sz w:val="24"/>
          <w:szCs w:val="22"/>
          <w:lang w:val="en-GB" w:eastAsia="zh-CN"/>
        </w:rPr>
      </w:pPr>
    </w:p>
    <w:tbl>
      <w:tblPr>
        <w:tblW w:w="8264" w:type="dxa"/>
        <w:tblInd w:w="360" w:type="dxa"/>
        <w:tblBorders>
          <w:top w:val="single" w:sz="4" w:space="0" w:color="808080" w:themeColor="background1" w:themeShade="80"/>
          <w:left w:val="single" w:sz="4" w:space="0" w:color="808080" w:themeColor="background1" w:themeShade="80"/>
          <w:right w:val="single" w:sz="4"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1"/>
        <w:gridCol w:w="1257"/>
        <w:gridCol w:w="1294"/>
        <w:gridCol w:w="1322"/>
      </w:tblGrid>
      <w:tr w:rsidR="005C2729" w:rsidRPr="007E2A75" w14:paraId="669535C5" w14:textId="77777777" w:rsidTr="003107DD">
        <w:trPr>
          <w:trHeight w:val="295"/>
        </w:trPr>
        <w:tc>
          <w:tcPr>
            <w:tcW w:w="4391" w:type="dxa"/>
          </w:tcPr>
          <w:p w14:paraId="598720A6" w14:textId="77777777" w:rsidR="005365CE" w:rsidRPr="007E2A75" w:rsidRDefault="005365CE" w:rsidP="005365CE">
            <w:pPr>
              <w:rPr>
                <w:rFonts w:ascii="Calibri Light" w:eastAsia="SimSun" w:hAnsi="Calibri Light" w:cs="Calibri Light"/>
                <w:b/>
                <w:color w:val="0070C0"/>
                <w:sz w:val="28"/>
                <w:szCs w:val="28"/>
                <w:lang w:val="en-GB" w:eastAsia="zh-CN"/>
              </w:rPr>
            </w:pPr>
            <w:r w:rsidRPr="007E2A75">
              <w:rPr>
                <w:rFonts w:ascii="Calibri Light" w:eastAsia="SimSun" w:hAnsi="Calibri Light" w:cs="Calibri Light"/>
                <w:b/>
                <w:color w:val="0070C0"/>
                <w:sz w:val="28"/>
                <w:szCs w:val="28"/>
                <w:lang w:val="en-GB" w:eastAsia="zh-CN"/>
              </w:rPr>
              <w:t>Amounts in €m, except per share data</w:t>
            </w:r>
          </w:p>
        </w:tc>
        <w:tc>
          <w:tcPr>
            <w:tcW w:w="1257" w:type="dxa"/>
            <w:shd w:val="clear" w:color="auto" w:fill="F2F2F2" w:themeFill="background1" w:themeFillShade="F2"/>
          </w:tcPr>
          <w:p w14:paraId="2FFC5400" w14:textId="77777777" w:rsidR="005365CE" w:rsidRPr="007E2A75" w:rsidRDefault="005365CE" w:rsidP="001B0F98">
            <w:pPr>
              <w:jc w:val="right"/>
              <w:rPr>
                <w:rFonts w:ascii="Calibri Light" w:eastAsia="SimSun" w:hAnsi="Calibri Light" w:cs="Calibri Light"/>
                <w:b/>
                <w:i/>
                <w:color w:val="0070C0"/>
                <w:sz w:val="28"/>
                <w:szCs w:val="28"/>
                <w:lang w:eastAsia="zh-CN"/>
              </w:rPr>
            </w:pPr>
            <w:r w:rsidRPr="007E2A75">
              <w:rPr>
                <w:rFonts w:ascii="Calibri Light" w:eastAsia="SimSun" w:hAnsi="Calibri Light" w:cs="Calibri Light"/>
                <w:b/>
                <w:i/>
                <w:color w:val="0070C0"/>
                <w:sz w:val="28"/>
                <w:szCs w:val="28"/>
                <w:lang w:val="en-GB" w:eastAsia="zh-CN"/>
              </w:rPr>
              <w:t xml:space="preserve">HY </w:t>
            </w:r>
            <w:r w:rsidR="003107DD" w:rsidRPr="007E2A75">
              <w:rPr>
                <w:rFonts w:ascii="Calibri Light" w:eastAsia="SimSun" w:hAnsi="Calibri Light" w:cs="Calibri Light"/>
                <w:b/>
                <w:i/>
                <w:color w:val="0070C0"/>
                <w:sz w:val="28"/>
                <w:szCs w:val="28"/>
                <w:lang w:val="en-GB" w:eastAsia="zh-CN"/>
              </w:rPr>
              <w:t>201</w:t>
            </w:r>
            <w:r w:rsidR="003107DD" w:rsidRPr="007E2A75">
              <w:rPr>
                <w:rFonts w:ascii="Calibri Light" w:eastAsia="SimSun" w:hAnsi="Calibri Light" w:cs="Calibri Light"/>
                <w:b/>
                <w:i/>
                <w:color w:val="0070C0"/>
                <w:sz w:val="28"/>
                <w:szCs w:val="28"/>
                <w:lang w:eastAsia="zh-CN"/>
              </w:rPr>
              <w:t>8</w:t>
            </w:r>
          </w:p>
        </w:tc>
        <w:tc>
          <w:tcPr>
            <w:tcW w:w="1294" w:type="dxa"/>
          </w:tcPr>
          <w:p w14:paraId="7E2F59B7" w14:textId="77777777" w:rsidR="005365CE" w:rsidRPr="007E2A75" w:rsidRDefault="005365CE" w:rsidP="001B0F98">
            <w:pPr>
              <w:jc w:val="right"/>
              <w:rPr>
                <w:rFonts w:ascii="Calibri Light" w:eastAsia="SimSun" w:hAnsi="Calibri Light" w:cs="Calibri Light"/>
                <w:b/>
                <w:i/>
                <w:color w:val="0070C0"/>
                <w:sz w:val="28"/>
                <w:szCs w:val="28"/>
                <w:lang w:eastAsia="zh-CN"/>
              </w:rPr>
            </w:pPr>
            <w:r w:rsidRPr="007E2A75">
              <w:rPr>
                <w:rFonts w:ascii="Calibri Light" w:eastAsia="SimSun" w:hAnsi="Calibri Light" w:cs="Calibri Light"/>
                <w:b/>
                <w:i/>
                <w:color w:val="0070C0"/>
                <w:sz w:val="28"/>
                <w:szCs w:val="28"/>
                <w:lang w:val="en-GB" w:eastAsia="zh-CN"/>
              </w:rPr>
              <w:t xml:space="preserve">HY </w:t>
            </w:r>
            <w:r w:rsidR="003107DD" w:rsidRPr="007E2A75">
              <w:rPr>
                <w:rFonts w:ascii="Calibri Light" w:eastAsia="SimSun" w:hAnsi="Calibri Light" w:cs="Calibri Light"/>
                <w:b/>
                <w:i/>
                <w:color w:val="0070C0"/>
                <w:sz w:val="28"/>
                <w:szCs w:val="28"/>
                <w:lang w:val="en-GB" w:eastAsia="zh-CN"/>
              </w:rPr>
              <w:t>201</w:t>
            </w:r>
            <w:r w:rsidR="003107DD" w:rsidRPr="007E2A75">
              <w:rPr>
                <w:rFonts w:ascii="Calibri Light" w:eastAsia="SimSun" w:hAnsi="Calibri Light" w:cs="Calibri Light"/>
                <w:b/>
                <w:i/>
                <w:color w:val="0070C0"/>
                <w:sz w:val="28"/>
                <w:szCs w:val="28"/>
                <w:lang w:eastAsia="zh-CN"/>
              </w:rPr>
              <w:t>7</w:t>
            </w:r>
          </w:p>
        </w:tc>
        <w:tc>
          <w:tcPr>
            <w:tcW w:w="1322" w:type="dxa"/>
            <w:tcBorders>
              <w:right w:val="single" w:sz="4" w:space="0" w:color="595959" w:themeColor="text1" w:themeTint="A6"/>
            </w:tcBorders>
            <w:shd w:val="clear" w:color="auto" w:fill="F2F2F2" w:themeFill="background1" w:themeFillShade="F2"/>
          </w:tcPr>
          <w:p w14:paraId="7991B9E3" w14:textId="77777777" w:rsidR="005365CE" w:rsidRPr="007E2A75" w:rsidRDefault="005365CE" w:rsidP="001B0F98">
            <w:pPr>
              <w:jc w:val="right"/>
              <w:rPr>
                <w:rFonts w:ascii="Calibri Light" w:eastAsia="SimSun" w:hAnsi="Calibri Light" w:cs="Calibri Light"/>
                <w:b/>
                <w:i/>
                <w:color w:val="0070C0"/>
                <w:sz w:val="28"/>
                <w:szCs w:val="28"/>
                <w:lang w:val="en-GB" w:eastAsia="zh-CN"/>
              </w:rPr>
            </w:pPr>
            <w:r w:rsidRPr="007E2A75">
              <w:rPr>
                <w:rFonts w:ascii="Calibri Light" w:eastAsia="SimSun" w:hAnsi="Calibri Light" w:cs="Calibri Light"/>
                <w:b/>
                <w:i/>
                <w:color w:val="0070C0"/>
                <w:sz w:val="28"/>
                <w:szCs w:val="28"/>
                <w:lang w:val="en-GB" w:eastAsia="zh-CN"/>
              </w:rPr>
              <w:t>%</w:t>
            </w:r>
            <w:r w:rsidR="001B0F98" w:rsidRPr="007E2A75">
              <w:rPr>
                <w:rFonts w:ascii="Calibri Light" w:eastAsia="SimSun" w:hAnsi="Calibri Light" w:cs="Calibri Light"/>
                <w:b/>
                <w:i/>
                <w:color w:val="0070C0"/>
                <w:sz w:val="28"/>
                <w:szCs w:val="28"/>
                <w:lang w:val="en-GB" w:eastAsia="zh-CN"/>
              </w:rPr>
              <w:t xml:space="preserve"> Chan</w:t>
            </w:r>
            <w:r w:rsidRPr="007E2A75">
              <w:rPr>
                <w:rFonts w:ascii="Calibri Light" w:eastAsia="SimSun" w:hAnsi="Calibri Light" w:cs="Calibri Light"/>
                <w:b/>
                <w:i/>
                <w:color w:val="0070C0"/>
                <w:sz w:val="28"/>
                <w:szCs w:val="28"/>
                <w:lang w:val="en-GB" w:eastAsia="zh-CN"/>
              </w:rPr>
              <w:t>ge</w:t>
            </w:r>
          </w:p>
        </w:tc>
      </w:tr>
      <w:tr w:rsidR="00750A2C" w:rsidRPr="007E2A75" w14:paraId="259945DB" w14:textId="77777777" w:rsidTr="003107DD">
        <w:trPr>
          <w:trHeight w:val="1166"/>
        </w:trPr>
        <w:tc>
          <w:tcPr>
            <w:tcW w:w="4391" w:type="dxa"/>
          </w:tcPr>
          <w:p w14:paraId="053CAD99" w14:textId="77777777" w:rsidR="00750A2C" w:rsidRPr="007E2A75" w:rsidRDefault="00750A2C" w:rsidP="00750A2C">
            <w:pPr>
              <w:rPr>
                <w:rFonts w:ascii="Calibri Light" w:eastAsia="SimSun" w:hAnsi="Calibri Light" w:cs="Calibri Light"/>
                <w:i/>
                <w:color w:val="59595B"/>
                <w:sz w:val="28"/>
                <w:szCs w:val="28"/>
                <w:lang w:val="en-GB" w:eastAsia="zh-CN"/>
              </w:rPr>
            </w:pPr>
            <w:r w:rsidRPr="007E2A75">
              <w:rPr>
                <w:rFonts w:ascii="Calibri Light" w:eastAsia="SimSun" w:hAnsi="Calibri Light" w:cs="Calibri Light"/>
                <w:i/>
                <w:color w:val="59595B"/>
                <w:sz w:val="28"/>
                <w:szCs w:val="28"/>
                <w:lang w:val="en-GB" w:eastAsia="zh-CN"/>
              </w:rPr>
              <w:t>Income Statement</w:t>
            </w:r>
          </w:p>
          <w:p w14:paraId="03DC70B2" w14:textId="77777777" w:rsidR="00750A2C" w:rsidRPr="007E2A75" w:rsidRDefault="00750A2C"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val="en-GB" w:eastAsia="zh-CN"/>
              </w:rPr>
              <w:t>Product sales</w:t>
            </w:r>
          </w:p>
          <w:p w14:paraId="3ADC134A" w14:textId="77777777" w:rsidR="00750A2C" w:rsidRPr="007E2A75" w:rsidRDefault="00750A2C" w:rsidP="00750A2C">
            <w:pPr>
              <w:rPr>
                <w:rFonts w:ascii="Calibri Light" w:eastAsia="SimSun" w:hAnsi="Calibri Light" w:cs="Calibri Light"/>
                <w:b/>
                <w:color w:val="59595B"/>
                <w:sz w:val="28"/>
                <w:szCs w:val="28"/>
                <w:lang w:eastAsia="zh-CN"/>
              </w:rPr>
            </w:pPr>
            <w:r w:rsidRPr="007E2A75">
              <w:rPr>
                <w:rFonts w:ascii="Calibri Light" w:eastAsia="SimSun" w:hAnsi="Calibri Light" w:cs="Calibri Light"/>
                <w:b/>
                <w:color w:val="59595B"/>
                <w:sz w:val="28"/>
                <w:szCs w:val="28"/>
                <w:lang w:val="en-GB" w:eastAsia="zh-CN"/>
              </w:rPr>
              <w:t xml:space="preserve">License fees </w:t>
            </w:r>
            <w:r w:rsidRPr="007E2A75">
              <w:rPr>
                <w:rFonts w:ascii="Calibri Light" w:eastAsia="SimSun" w:hAnsi="Calibri Light" w:cs="Calibri Light"/>
                <w:b/>
                <w:color w:val="59595B"/>
                <w:sz w:val="28"/>
                <w:szCs w:val="28"/>
                <w:lang w:eastAsia="zh-CN"/>
              </w:rPr>
              <w:t>and other income</w:t>
            </w:r>
          </w:p>
          <w:p w14:paraId="27DCC152" w14:textId="77777777" w:rsidR="00750A2C" w:rsidRPr="007E2A75" w:rsidRDefault="00750A2C"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val="en-GB" w:eastAsia="zh-CN"/>
              </w:rPr>
              <w:t>Revenue</w:t>
            </w:r>
          </w:p>
          <w:p w14:paraId="5AF12C8C" w14:textId="77777777" w:rsidR="00750A2C" w:rsidRPr="007E2A75" w:rsidRDefault="00750A2C" w:rsidP="00750A2C">
            <w:pPr>
              <w:rPr>
                <w:rFonts w:ascii="Calibri Light" w:eastAsia="SimSun" w:hAnsi="Calibri Light" w:cs="Calibri Light"/>
                <w:b/>
                <w:color w:val="59595B"/>
                <w:szCs w:val="28"/>
                <w:lang w:val="en-GB" w:eastAsia="zh-CN"/>
              </w:rPr>
            </w:pPr>
          </w:p>
          <w:p w14:paraId="7146D4D1" w14:textId="77777777" w:rsidR="00750A2C" w:rsidRPr="007E2A75" w:rsidRDefault="00750A2C"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val="en-GB" w:eastAsia="zh-CN"/>
              </w:rPr>
              <w:t>Gross Profit</w:t>
            </w:r>
          </w:p>
          <w:p w14:paraId="455F4D96" w14:textId="77777777" w:rsidR="00750A2C" w:rsidRPr="007E2A75" w:rsidRDefault="00750A2C" w:rsidP="00750A2C">
            <w:pPr>
              <w:rPr>
                <w:rFonts w:ascii="Calibri Light" w:eastAsia="SimSun" w:hAnsi="Calibri Light" w:cs="Calibri Light"/>
                <w:b/>
                <w:color w:val="59595B"/>
                <w:szCs w:val="28"/>
                <w:lang w:val="en-GB" w:eastAsia="zh-CN"/>
              </w:rPr>
            </w:pPr>
          </w:p>
          <w:p w14:paraId="7430507A" w14:textId="77777777" w:rsidR="00750A2C" w:rsidRPr="007E2A75" w:rsidRDefault="00CF7B84"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eastAsia="zh-CN"/>
              </w:rPr>
              <w:t xml:space="preserve">Net </w:t>
            </w:r>
            <w:r w:rsidR="00750A2C" w:rsidRPr="007E2A75">
              <w:rPr>
                <w:rFonts w:ascii="Calibri Light" w:eastAsia="SimSun" w:hAnsi="Calibri Light" w:cs="Calibri Light"/>
                <w:b/>
                <w:color w:val="59595B"/>
                <w:sz w:val="28"/>
                <w:szCs w:val="28"/>
                <w:lang w:eastAsia="zh-CN"/>
              </w:rPr>
              <w:t xml:space="preserve">Operating </w:t>
            </w:r>
            <w:r w:rsidR="00750A2C" w:rsidRPr="007E2A75">
              <w:rPr>
                <w:rFonts w:ascii="Calibri Light" w:eastAsia="SimSun" w:hAnsi="Calibri Light" w:cs="Calibri Light"/>
                <w:b/>
                <w:color w:val="59595B"/>
                <w:sz w:val="28"/>
                <w:szCs w:val="28"/>
                <w:lang w:val="en-GB" w:eastAsia="zh-CN"/>
              </w:rPr>
              <w:t>Costs</w:t>
            </w:r>
          </w:p>
          <w:p w14:paraId="7C8C421E" w14:textId="77777777" w:rsidR="00750A2C" w:rsidRPr="007E2A75" w:rsidRDefault="00750A2C" w:rsidP="00750A2C">
            <w:pPr>
              <w:rPr>
                <w:rFonts w:ascii="Calibri Light" w:eastAsia="SimSun" w:hAnsi="Calibri Light" w:cs="Calibri Light"/>
                <w:b/>
                <w:color w:val="59595B"/>
                <w:szCs w:val="28"/>
                <w:lang w:val="en-GB" w:eastAsia="zh-CN"/>
              </w:rPr>
            </w:pPr>
          </w:p>
          <w:p w14:paraId="2BD16506" w14:textId="77777777" w:rsidR="00750A2C" w:rsidRPr="007E2A75" w:rsidRDefault="00750A2C"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val="en-GB" w:eastAsia="zh-CN"/>
              </w:rPr>
              <w:t>Operating Result</w:t>
            </w:r>
          </w:p>
          <w:p w14:paraId="1B1D4EDB" w14:textId="77777777" w:rsidR="00750A2C" w:rsidRPr="007E2A75" w:rsidRDefault="00750A2C" w:rsidP="00750A2C">
            <w:pPr>
              <w:rPr>
                <w:rFonts w:ascii="Calibri Light" w:eastAsia="SimSun" w:hAnsi="Calibri Light" w:cs="Calibri Light"/>
                <w:b/>
                <w:color w:val="59595B"/>
                <w:szCs w:val="28"/>
                <w:lang w:val="en-GB" w:eastAsia="zh-CN"/>
              </w:rPr>
            </w:pPr>
          </w:p>
          <w:p w14:paraId="4E66D976" w14:textId="77777777" w:rsidR="00750A2C" w:rsidRPr="007E2A75" w:rsidRDefault="00750A2C" w:rsidP="00750A2C">
            <w:pPr>
              <w:rPr>
                <w:rFonts w:ascii="Calibri Light" w:eastAsia="SimSun" w:hAnsi="Calibri Light" w:cs="Calibri Light"/>
                <w:b/>
                <w:color w:val="59595B"/>
                <w:sz w:val="28"/>
                <w:szCs w:val="28"/>
                <w:lang w:eastAsia="zh-CN"/>
              </w:rPr>
            </w:pPr>
            <w:r w:rsidRPr="007E2A75">
              <w:rPr>
                <w:rFonts w:ascii="Calibri Light" w:eastAsia="SimSun" w:hAnsi="Calibri Light" w:cs="Calibri Light"/>
                <w:b/>
                <w:color w:val="59595B"/>
                <w:sz w:val="28"/>
                <w:szCs w:val="28"/>
                <w:lang w:eastAsia="zh-CN"/>
              </w:rPr>
              <w:t>Finance Costs</w:t>
            </w:r>
          </w:p>
          <w:p w14:paraId="5AB15CA8" w14:textId="77777777" w:rsidR="00750A2C" w:rsidRPr="007E2A75" w:rsidRDefault="00750A2C" w:rsidP="00750A2C">
            <w:pPr>
              <w:rPr>
                <w:rFonts w:ascii="Calibri Light" w:eastAsia="SimSun" w:hAnsi="Calibri Light" w:cs="Calibri Light"/>
                <w:b/>
                <w:color w:val="59595B"/>
                <w:szCs w:val="28"/>
                <w:lang w:val="en-GB" w:eastAsia="zh-CN"/>
              </w:rPr>
            </w:pPr>
          </w:p>
          <w:p w14:paraId="613C7C3C" w14:textId="77777777" w:rsidR="00CF7B84" w:rsidRPr="007E2A75" w:rsidRDefault="00CF7B84" w:rsidP="00750A2C">
            <w:pPr>
              <w:rPr>
                <w:rFonts w:ascii="Calibri Light" w:eastAsia="SimSun" w:hAnsi="Calibri Light" w:cs="Calibri Light"/>
                <w:b/>
                <w:color w:val="59595B"/>
                <w:sz w:val="28"/>
                <w:szCs w:val="28"/>
                <w:lang w:val="en-GB" w:eastAsia="zh-CN"/>
              </w:rPr>
            </w:pPr>
            <w:r w:rsidRPr="007E2A75">
              <w:rPr>
                <w:rFonts w:ascii="Calibri Light" w:eastAsia="SimSun" w:hAnsi="Calibri Light" w:cs="Calibri Light"/>
                <w:b/>
                <w:color w:val="59595B"/>
                <w:sz w:val="28"/>
                <w:szCs w:val="28"/>
                <w:lang w:val="en-GB" w:eastAsia="zh-CN"/>
              </w:rPr>
              <w:t>Income Tax expense</w:t>
            </w:r>
          </w:p>
          <w:p w14:paraId="6876F684" w14:textId="77777777" w:rsidR="00CF7B84" w:rsidRPr="007E2A75" w:rsidRDefault="00CF7B84" w:rsidP="00750A2C">
            <w:pPr>
              <w:rPr>
                <w:rFonts w:ascii="Calibri Light" w:eastAsia="SimSun" w:hAnsi="Calibri Light" w:cs="Calibri Light"/>
                <w:b/>
                <w:color w:val="59595B"/>
                <w:szCs w:val="28"/>
                <w:lang w:val="en-GB" w:eastAsia="zh-CN"/>
              </w:rPr>
            </w:pPr>
          </w:p>
          <w:p w14:paraId="36DC154C" w14:textId="77777777" w:rsidR="00750A2C" w:rsidRPr="007E2A75" w:rsidRDefault="00750A2C" w:rsidP="00750A2C">
            <w:pPr>
              <w:rPr>
                <w:rFonts w:ascii="Calibri Light" w:eastAsia="SimSun" w:hAnsi="Calibri Light" w:cs="Calibri Light"/>
                <w:b/>
                <w:color w:val="59595B"/>
                <w:sz w:val="28"/>
                <w:szCs w:val="28"/>
                <w:lang w:eastAsia="zh-CN"/>
              </w:rPr>
            </w:pPr>
            <w:r w:rsidRPr="007E2A75">
              <w:rPr>
                <w:rFonts w:ascii="Calibri Light" w:eastAsia="SimSun" w:hAnsi="Calibri Light" w:cs="Calibri Light"/>
                <w:b/>
                <w:color w:val="59595B"/>
                <w:sz w:val="28"/>
                <w:szCs w:val="28"/>
                <w:lang w:eastAsia="zh-CN"/>
              </w:rPr>
              <w:t>Net Result</w:t>
            </w:r>
          </w:p>
        </w:tc>
        <w:tc>
          <w:tcPr>
            <w:tcW w:w="1257" w:type="dxa"/>
            <w:shd w:val="clear" w:color="auto" w:fill="F2F2F2" w:themeFill="background1" w:themeFillShade="F2"/>
          </w:tcPr>
          <w:p w14:paraId="3429DB4D"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p>
          <w:p w14:paraId="44CEF8E2" w14:textId="77777777" w:rsidR="00750A2C" w:rsidRPr="007E2A75" w:rsidRDefault="003107DD"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59.1</w:t>
            </w:r>
          </w:p>
          <w:p w14:paraId="532EBCC2" w14:textId="77777777" w:rsidR="00750A2C" w:rsidRPr="007E2A75" w:rsidRDefault="003A2A72" w:rsidP="00750A2C">
            <w:pPr>
              <w:jc w:val="right"/>
              <w:rPr>
                <w:rFonts w:ascii="Calibri Light" w:eastAsia="SimSun" w:hAnsi="Calibri Light" w:cs="Calibri Light"/>
                <w:color w:val="808080" w:themeColor="background1" w:themeShade="80"/>
                <w:sz w:val="28"/>
                <w:szCs w:val="28"/>
                <w:u w:val="single"/>
                <w:lang w:eastAsia="zh-CN"/>
              </w:rPr>
            </w:pPr>
            <w:r w:rsidRPr="007E2A75">
              <w:rPr>
                <w:rFonts w:ascii="Calibri Light" w:eastAsia="SimSun" w:hAnsi="Calibri Light" w:cs="Calibri Light"/>
                <w:color w:val="808080" w:themeColor="background1" w:themeShade="80"/>
                <w:sz w:val="28"/>
                <w:szCs w:val="28"/>
                <w:u w:val="single"/>
                <w:lang w:eastAsia="zh-CN"/>
              </w:rPr>
              <w:t xml:space="preserve">     </w:t>
            </w:r>
            <w:r w:rsidR="00750A2C" w:rsidRPr="007E2A75">
              <w:rPr>
                <w:rFonts w:ascii="Calibri Light" w:eastAsia="SimSun" w:hAnsi="Calibri Light" w:cs="Calibri Light"/>
                <w:color w:val="808080" w:themeColor="background1" w:themeShade="80"/>
                <w:sz w:val="28"/>
                <w:szCs w:val="28"/>
                <w:u w:val="single"/>
                <w:lang w:eastAsia="zh-CN"/>
              </w:rPr>
              <w:t>0.4</w:t>
            </w:r>
          </w:p>
          <w:p w14:paraId="430C4355" w14:textId="77777777" w:rsidR="00750A2C" w:rsidRPr="007E2A75" w:rsidRDefault="00750A2C"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59.</w:t>
            </w:r>
            <w:r w:rsidR="003107DD" w:rsidRPr="007E2A75">
              <w:rPr>
                <w:rFonts w:ascii="Calibri Light" w:eastAsia="SimSun" w:hAnsi="Calibri Light" w:cs="Calibri Light"/>
                <w:color w:val="808080" w:themeColor="background1" w:themeShade="80"/>
                <w:sz w:val="28"/>
                <w:szCs w:val="28"/>
                <w:lang w:eastAsia="zh-CN"/>
              </w:rPr>
              <w:t>5</w:t>
            </w:r>
          </w:p>
          <w:p w14:paraId="487FDA16"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6BDE5F66" w14:textId="77777777" w:rsidR="00750A2C" w:rsidRPr="007E2A75" w:rsidRDefault="003107DD"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50.0</w:t>
            </w:r>
          </w:p>
          <w:p w14:paraId="4CFEAAFD"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60F28B24" w14:textId="77777777" w:rsidR="00750A2C" w:rsidRPr="007E2A75" w:rsidRDefault="00CF7B84"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val="en-GB" w:eastAsia="zh-CN"/>
              </w:rPr>
              <w:t>(</w:t>
            </w:r>
            <w:r w:rsidR="00E6270E" w:rsidRPr="007E2A75">
              <w:rPr>
                <w:rFonts w:ascii="Calibri Light" w:eastAsia="SimSun" w:hAnsi="Calibri Light" w:cs="Calibri Light"/>
                <w:color w:val="808080" w:themeColor="background1" w:themeShade="80"/>
                <w:sz w:val="28"/>
                <w:szCs w:val="28"/>
                <w:lang w:eastAsia="zh-CN"/>
              </w:rPr>
              <w:t>34.0</w:t>
            </w:r>
            <w:r w:rsidRPr="007E2A75">
              <w:rPr>
                <w:rFonts w:ascii="Calibri Light" w:eastAsia="SimSun" w:hAnsi="Calibri Light" w:cs="Calibri Light"/>
                <w:color w:val="808080" w:themeColor="background1" w:themeShade="80"/>
                <w:sz w:val="28"/>
                <w:szCs w:val="28"/>
                <w:lang w:eastAsia="zh-CN"/>
              </w:rPr>
              <w:t>)</w:t>
            </w:r>
          </w:p>
          <w:p w14:paraId="53D0DF1C"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0F0C18C1" w14:textId="77777777" w:rsidR="00750A2C" w:rsidRPr="007E2A75" w:rsidRDefault="00CF7B84"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16.3</w:t>
            </w:r>
          </w:p>
          <w:p w14:paraId="5E1E66F3" w14:textId="77777777" w:rsidR="00750A2C" w:rsidRPr="007E2A75" w:rsidRDefault="00750A2C" w:rsidP="00750A2C">
            <w:pPr>
              <w:jc w:val="right"/>
              <w:rPr>
                <w:rFonts w:ascii="Calibri Light" w:eastAsia="SimSun" w:hAnsi="Calibri Light" w:cs="Calibri Light"/>
                <w:color w:val="808080" w:themeColor="background1" w:themeShade="80"/>
                <w:szCs w:val="28"/>
                <w:lang w:eastAsia="zh-CN"/>
              </w:rPr>
            </w:pPr>
          </w:p>
          <w:p w14:paraId="4F605304" w14:textId="77777777" w:rsidR="00750A2C" w:rsidRPr="007E2A75" w:rsidRDefault="00CF7B84"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(9.0)</w:t>
            </w:r>
          </w:p>
          <w:p w14:paraId="3D5D9905" w14:textId="77777777" w:rsidR="007300CB" w:rsidRPr="007E2A75" w:rsidRDefault="007300CB" w:rsidP="00750A2C">
            <w:pPr>
              <w:jc w:val="right"/>
              <w:rPr>
                <w:rFonts w:ascii="Calibri Light" w:eastAsia="SimSun" w:hAnsi="Calibri Light" w:cs="Calibri Light"/>
                <w:color w:val="808080" w:themeColor="background1" w:themeShade="80"/>
                <w:szCs w:val="28"/>
                <w:lang w:eastAsia="zh-CN"/>
              </w:rPr>
            </w:pPr>
          </w:p>
          <w:p w14:paraId="4AC4231E" w14:textId="77777777" w:rsidR="00CF7B84" w:rsidRPr="007E2A75" w:rsidRDefault="00CF7B84"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(0.9)</w:t>
            </w:r>
          </w:p>
          <w:p w14:paraId="6184089E" w14:textId="77777777" w:rsidR="00CF7B84" w:rsidRPr="007E2A75" w:rsidRDefault="00CF7B84" w:rsidP="00750A2C">
            <w:pPr>
              <w:jc w:val="right"/>
              <w:rPr>
                <w:rFonts w:ascii="Calibri Light" w:eastAsia="SimSun" w:hAnsi="Calibri Light" w:cs="Calibri Light"/>
                <w:color w:val="808080" w:themeColor="background1" w:themeShade="80"/>
                <w:szCs w:val="28"/>
                <w:lang w:eastAsia="zh-CN"/>
              </w:rPr>
            </w:pPr>
          </w:p>
          <w:p w14:paraId="214B839F" w14:textId="77777777" w:rsidR="007300CB" w:rsidRPr="007E2A75" w:rsidRDefault="00CF7B84"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6.4</w:t>
            </w:r>
          </w:p>
        </w:tc>
        <w:tc>
          <w:tcPr>
            <w:tcW w:w="1294" w:type="dxa"/>
          </w:tcPr>
          <w:p w14:paraId="690525A7"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p>
          <w:p w14:paraId="05826F08"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30.1</w:t>
            </w:r>
          </w:p>
          <w:p w14:paraId="77EA46F1" w14:textId="77777777" w:rsidR="00750A2C" w:rsidRPr="007E2A75" w:rsidRDefault="003A2A72" w:rsidP="00750A2C">
            <w:pPr>
              <w:jc w:val="right"/>
              <w:rPr>
                <w:rFonts w:ascii="Calibri Light" w:eastAsia="SimSun" w:hAnsi="Calibri Light" w:cs="Calibri Light"/>
                <w:color w:val="808080" w:themeColor="background1" w:themeShade="80"/>
                <w:sz w:val="28"/>
                <w:szCs w:val="28"/>
                <w:u w:val="single"/>
                <w:lang w:val="en-GB" w:eastAsia="zh-CN"/>
              </w:rPr>
            </w:pPr>
            <w:r w:rsidRPr="007E2A75">
              <w:rPr>
                <w:rFonts w:ascii="Calibri Light" w:eastAsia="SimSun" w:hAnsi="Calibri Light" w:cs="Calibri Light"/>
                <w:color w:val="808080" w:themeColor="background1" w:themeShade="80"/>
                <w:sz w:val="28"/>
                <w:szCs w:val="28"/>
                <w:u w:val="single"/>
                <w:lang w:eastAsia="zh-CN"/>
              </w:rPr>
              <w:t xml:space="preserve">     </w:t>
            </w:r>
            <w:r w:rsidR="00750A2C" w:rsidRPr="007E2A75">
              <w:rPr>
                <w:rFonts w:ascii="Calibri Light" w:eastAsia="SimSun" w:hAnsi="Calibri Light" w:cs="Calibri Light"/>
                <w:color w:val="808080" w:themeColor="background1" w:themeShade="80"/>
                <w:sz w:val="28"/>
                <w:szCs w:val="28"/>
                <w:u w:val="single"/>
                <w:lang w:val="en-GB" w:eastAsia="zh-CN"/>
              </w:rPr>
              <w:t>0.5</w:t>
            </w:r>
          </w:p>
          <w:p w14:paraId="71B07EDD"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30.6</w:t>
            </w:r>
          </w:p>
          <w:p w14:paraId="1AFFD31B"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63527F29"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27.0</w:t>
            </w:r>
          </w:p>
          <w:p w14:paraId="6EE52541"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67D314E3" w14:textId="77777777" w:rsidR="00750A2C" w:rsidRPr="007E2A75" w:rsidRDefault="00CF7B84"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w:t>
            </w:r>
            <w:r w:rsidR="00750A2C" w:rsidRPr="007E2A75">
              <w:rPr>
                <w:rFonts w:ascii="Calibri Light" w:eastAsia="SimSun" w:hAnsi="Calibri Light" w:cs="Calibri Light"/>
                <w:color w:val="808080" w:themeColor="background1" w:themeShade="80"/>
                <w:sz w:val="28"/>
                <w:szCs w:val="28"/>
                <w:lang w:val="en-GB" w:eastAsia="zh-CN"/>
              </w:rPr>
              <w:t>22.9</w:t>
            </w:r>
            <w:r w:rsidRPr="007E2A75">
              <w:rPr>
                <w:rFonts w:ascii="Calibri Light" w:eastAsia="SimSun" w:hAnsi="Calibri Light" w:cs="Calibri Light"/>
                <w:color w:val="808080" w:themeColor="background1" w:themeShade="80"/>
                <w:sz w:val="28"/>
                <w:szCs w:val="28"/>
                <w:lang w:val="en-GB" w:eastAsia="zh-CN"/>
              </w:rPr>
              <w:t>)</w:t>
            </w:r>
          </w:p>
          <w:p w14:paraId="27D5466C" w14:textId="77777777" w:rsidR="00750A2C" w:rsidRPr="007E2A75" w:rsidRDefault="00750A2C" w:rsidP="00750A2C">
            <w:pPr>
              <w:jc w:val="right"/>
              <w:rPr>
                <w:rFonts w:ascii="Calibri Light" w:eastAsia="SimSun" w:hAnsi="Calibri Light" w:cs="Calibri Light"/>
                <w:color w:val="808080" w:themeColor="background1" w:themeShade="80"/>
                <w:szCs w:val="28"/>
                <w:lang w:val="en-GB" w:eastAsia="zh-CN"/>
              </w:rPr>
            </w:pPr>
          </w:p>
          <w:p w14:paraId="3BFB5DAC" w14:textId="77777777" w:rsidR="00750A2C" w:rsidRPr="007E2A75" w:rsidRDefault="00750A2C"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4.2</w:t>
            </w:r>
          </w:p>
          <w:p w14:paraId="3545716B" w14:textId="77777777" w:rsidR="007300CB" w:rsidRPr="007E2A75" w:rsidRDefault="007300CB" w:rsidP="00750A2C">
            <w:pPr>
              <w:jc w:val="right"/>
              <w:rPr>
                <w:rFonts w:ascii="Calibri Light" w:eastAsia="SimSun" w:hAnsi="Calibri Light" w:cs="Calibri Light"/>
                <w:color w:val="808080" w:themeColor="background1" w:themeShade="80"/>
                <w:szCs w:val="28"/>
                <w:lang w:val="en-GB" w:eastAsia="zh-CN"/>
              </w:rPr>
            </w:pPr>
          </w:p>
          <w:p w14:paraId="441CD8DB" w14:textId="77777777" w:rsidR="007300CB" w:rsidRPr="007E2A75" w:rsidRDefault="007300CB" w:rsidP="00750A2C">
            <w:pPr>
              <w:jc w:val="right"/>
              <w:rPr>
                <w:rFonts w:ascii="Calibri Light" w:eastAsia="SimSun" w:hAnsi="Calibri Light" w:cs="Calibri Light"/>
                <w:color w:val="808080" w:themeColor="background1" w:themeShade="80"/>
                <w:sz w:val="28"/>
                <w:szCs w:val="28"/>
                <w:lang w:eastAsia="zh-CN"/>
              </w:rPr>
            </w:pPr>
            <w:r w:rsidRPr="007E2A75">
              <w:rPr>
                <w:rFonts w:ascii="Calibri Light" w:eastAsia="SimSun" w:hAnsi="Calibri Light" w:cs="Calibri Light"/>
                <w:color w:val="808080" w:themeColor="background1" w:themeShade="80"/>
                <w:sz w:val="28"/>
                <w:szCs w:val="28"/>
                <w:lang w:eastAsia="zh-CN"/>
              </w:rPr>
              <w:t>(34.</w:t>
            </w:r>
            <w:r w:rsidR="00E6270E" w:rsidRPr="007E2A75">
              <w:rPr>
                <w:rFonts w:ascii="Calibri Light" w:eastAsia="SimSun" w:hAnsi="Calibri Light" w:cs="Calibri Light"/>
                <w:color w:val="808080" w:themeColor="background1" w:themeShade="80"/>
                <w:sz w:val="28"/>
                <w:szCs w:val="28"/>
                <w:lang w:eastAsia="zh-CN"/>
              </w:rPr>
              <w:t>5</w:t>
            </w:r>
            <w:r w:rsidRPr="007E2A75">
              <w:rPr>
                <w:rFonts w:ascii="Calibri Light" w:eastAsia="SimSun" w:hAnsi="Calibri Light" w:cs="Calibri Light"/>
                <w:color w:val="808080" w:themeColor="background1" w:themeShade="80"/>
                <w:sz w:val="28"/>
                <w:szCs w:val="28"/>
                <w:lang w:eastAsia="zh-CN"/>
              </w:rPr>
              <w:t>)</w:t>
            </w:r>
          </w:p>
          <w:p w14:paraId="21B8323C" w14:textId="77777777" w:rsidR="007300CB" w:rsidRPr="007E2A75" w:rsidRDefault="007300CB" w:rsidP="00750A2C">
            <w:pPr>
              <w:jc w:val="right"/>
              <w:rPr>
                <w:rFonts w:ascii="Calibri Light" w:eastAsia="SimSun" w:hAnsi="Calibri Light" w:cs="Calibri Light"/>
                <w:color w:val="808080" w:themeColor="background1" w:themeShade="80"/>
                <w:szCs w:val="28"/>
                <w:lang w:val="en-GB" w:eastAsia="zh-CN"/>
              </w:rPr>
            </w:pPr>
          </w:p>
          <w:p w14:paraId="326BF81F" w14:textId="77777777" w:rsidR="001D160D" w:rsidRPr="007E2A75" w:rsidRDefault="001D160D"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val="en-GB" w:eastAsia="zh-CN"/>
              </w:rPr>
              <w:t>-</w:t>
            </w:r>
          </w:p>
          <w:p w14:paraId="731A8C4F" w14:textId="77777777" w:rsidR="001D160D" w:rsidRPr="007E2A75" w:rsidRDefault="001D160D" w:rsidP="00750A2C">
            <w:pPr>
              <w:jc w:val="right"/>
              <w:rPr>
                <w:rFonts w:ascii="Calibri Light" w:eastAsia="SimSun" w:hAnsi="Calibri Light" w:cs="Calibri Light"/>
                <w:color w:val="808080" w:themeColor="background1" w:themeShade="80"/>
                <w:szCs w:val="28"/>
                <w:lang w:val="en-GB" w:eastAsia="zh-CN"/>
              </w:rPr>
            </w:pPr>
          </w:p>
          <w:p w14:paraId="5C85A4BD" w14:textId="77777777" w:rsidR="007300CB" w:rsidRPr="007E2A75" w:rsidRDefault="007300CB" w:rsidP="00750A2C">
            <w:pPr>
              <w:jc w:val="right"/>
              <w:rPr>
                <w:rFonts w:ascii="Calibri Light" w:eastAsia="SimSun" w:hAnsi="Calibri Light" w:cs="Calibri Light"/>
                <w:color w:val="808080" w:themeColor="background1" w:themeShade="80"/>
                <w:sz w:val="28"/>
                <w:szCs w:val="28"/>
                <w:lang w:val="en-GB" w:eastAsia="zh-CN"/>
              </w:rPr>
            </w:pPr>
            <w:r w:rsidRPr="007E2A75">
              <w:rPr>
                <w:rFonts w:ascii="Calibri Light" w:eastAsia="SimSun" w:hAnsi="Calibri Light" w:cs="Calibri Light"/>
                <w:color w:val="808080" w:themeColor="background1" w:themeShade="80"/>
                <w:sz w:val="28"/>
                <w:szCs w:val="28"/>
                <w:lang w:eastAsia="zh-CN"/>
              </w:rPr>
              <w:t>(30.2)</w:t>
            </w:r>
          </w:p>
        </w:tc>
        <w:tc>
          <w:tcPr>
            <w:tcW w:w="1322" w:type="dxa"/>
            <w:tcBorders>
              <w:right w:val="single" w:sz="4" w:space="0" w:color="595959" w:themeColor="text1" w:themeTint="A6"/>
            </w:tcBorders>
            <w:shd w:val="clear" w:color="auto" w:fill="F2F2F2" w:themeFill="background1" w:themeFillShade="F2"/>
          </w:tcPr>
          <w:p w14:paraId="0E0DD230" w14:textId="77777777" w:rsidR="00750A2C" w:rsidRPr="007E2A75" w:rsidRDefault="00750A2C" w:rsidP="00750A2C">
            <w:pPr>
              <w:jc w:val="right"/>
              <w:rPr>
                <w:rFonts w:ascii="Calibri Light" w:eastAsia="SimSun" w:hAnsi="Calibri Light" w:cs="Calibri Light"/>
                <w:i/>
                <w:color w:val="808080" w:themeColor="background1" w:themeShade="80"/>
                <w:sz w:val="28"/>
                <w:szCs w:val="28"/>
                <w:lang w:val="en-GB" w:eastAsia="zh-CN"/>
              </w:rPr>
            </w:pPr>
          </w:p>
          <w:p w14:paraId="434521A7" w14:textId="77777777" w:rsidR="00750A2C" w:rsidRPr="007E2A75" w:rsidRDefault="003107D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eastAsia="zh-CN"/>
              </w:rPr>
              <w:t>96</w:t>
            </w:r>
            <w:r w:rsidR="00750A2C" w:rsidRPr="007E2A75">
              <w:rPr>
                <w:rFonts w:ascii="Calibri Light" w:eastAsia="SimSun" w:hAnsi="Calibri Light" w:cs="Calibri Light"/>
                <w:i/>
                <w:color w:val="808080" w:themeColor="background1" w:themeShade="80"/>
                <w:sz w:val="28"/>
                <w:szCs w:val="28"/>
                <w:lang w:val="en-GB" w:eastAsia="zh-CN"/>
              </w:rPr>
              <w:t>%</w:t>
            </w:r>
          </w:p>
          <w:p w14:paraId="4E28CF92" w14:textId="77777777" w:rsidR="00750A2C" w:rsidRPr="007E2A75" w:rsidRDefault="003A2A72" w:rsidP="00750A2C">
            <w:pPr>
              <w:jc w:val="right"/>
              <w:rPr>
                <w:rFonts w:ascii="Calibri Light" w:eastAsia="SimSun" w:hAnsi="Calibri Light" w:cs="Calibri Light"/>
                <w:i/>
                <w:color w:val="808080" w:themeColor="background1" w:themeShade="80"/>
                <w:sz w:val="28"/>
                <w:szCs w:val="28"/>
                <w:u w:val="single"/>
                <w:lang w:val="en-GB" w:eastAsia="zh-CN"/>
              </w:rPr>
            </w:pPr>
            <w:r w:rsidRPr="007E2A75">
              <w:rPr>
                <w:rFonts w:ascii="Calibri Light" w:eastAsia="SimSun" w:hAnsi="Calibri Light" w:cs="Calibri Light"/>
                <w:i/>
                <w:color w:val="808080" w:themeColor="background1" w:themeShade="80"/>
                <w:sz w:val="28"/>
                <w:szCs w:val="28"/>
                <w:u w:val="single"/>
                <w:lang w:eastAsia="zh-CN"/>
              </w:rPr>
              <w:t xml:space="preserve">    </w:t>
            </w:r>
            <w:r w:rsidR="00750A2C" w:rsidRPr="007E2A75">
              <w:rPr>
                <w:rFonts w:ascii="Calibri Light" w:eastAsia="SimSun" w:hAnsi="Calibri Light" w:cs="Calibri Light"/>
                <w:i/>
                <w:color w:val="808080" w:themeColor="background1" w:themeShade="80"/>
                <w:sz w:val="28"/>
                <w:szCs w:val="28"/>
                <w:u w:val="single"/>
                <w:lang w:val="en-GB" w:eastAsia="zh-CN"/>
              </w:rPr>
              <w:t>(</w:t>
            </w:r>
            <w:r w:rsidR="003107DD" w:rsidRPr="007E2A75">
              <w:rPr>
                <w:rFonts w:ascii="Calibri Light" w:eastAsia="SimSun" w:hAnsi="Calibri Light" w:cs="Calibri Light"/>
                <w:i/>
                <w:color w:val="808080" w:themeColor="background1" w:themeShade="80"/>
                <w:sz w:val="28"/>
                <w:szCs w:val="28"/>
                <w:u w:val="single"/>
                <w:lang w:eastAsia="zh-CN"/>
              </w:rPr>
              <w:t>20</w:t>
            </w:r>
            <w:r w:rsidR="00750A2C" w:rsidRPr="007E2A75">
              <w:rPr>
                <w:rFonts w:ascii="Calibri Light" w:eastAsia="SimSun" w:hAnsi="Calibri Light" w:cs="Calibri Light"/>
                <w:i/>
                <w:color w:val="808080" w:themeColor="background1" w:themeShade="80"/>
                <w:sz w:val="28"/>
                <w:szCs w:val="28"/>
                <w:u w:val="single"/>
                <w:lang w:val="en-GB" w:eastAsia="zh-CN"/>
              </w:rPr>
              <w:t>%)</w:t>
            </w:r>
          </w:p>
          <w:p w14:paraId="0EAFEDF5" w14:textId="77777777" w:rsidR="00750A2C" w:rsidRPr="007E2A75" w:rsidRDefault="003107D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eastAsia="zh-CN"/>
              </w:rPr>
              <w:t>94</w:t>
            </w:r>
            <w:r w:rsidR="00750A2C" w:rsidRPr="007E2A75">
              <w:rPr>
                <w:rFonts w:ascii="Calibri Light" w:eastAsia="SimSun" w:hAnsi="Calibri Light" w:cs="Calibri Light"/>
                <w:i/>
                <w:color w:val="808080" w:themeColor="background1" w:themeShade="80"/>
                <w:sz w:val="28"/>
                <w:szCs w:val="28"/>
                <w:lang w:val="en-GB" w:eastAsia="zh-CN"/>
              </w:rPr>
              <w:t>%</w:t>
            </w:r>
          </w:p>
          <w:p w14:paraId="0E488249" w14:textId="77777777" w:rsidR="00750A2C" w:rsidRPr="007E2A75" w:rsidRDefault="00750A2C" w:rsidP="00750A2C">
            <w:pPr>
              <w:jc w:val="right"/>
              <w:rPr>
                <w:rFonts w:ascii="Calibri Light" w:eastAsia="SimSun" w:hAnsi="Calibri Light" w:cs="Calibri Light"/>
                <w:i/>
                <w:color w:val="808080" w:themeColor="background1" w:themeShade="80"/>
                <w:szCs w:val="28"/>
                <w:lang w:val="en-GB" w:eastAsia="zh-CN"/>
              </w:rPr>
            </w:pPr>
          </w:p>
          <w:p w14:paraId="0EBAD96E" w14:textId="77777777" w:rsidR="00750A2C" w:rsidRPr="007E2A75" w:rsidRDefault="003107D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eastAsia="zh-CN"/>
              </w:rPr>
              <w:t>85</w:t>
            </w:r>
            <w:r w:rsidR="00750A2C" w:rsidRPr="007E2A75">
              <w:rPr>
                <w:rFonts w:ascii="Calibri Light" w:eastAsia="SimSun" w:hAnsi="Calibri Light" w:cs="Calibri Light"/>
                <w:i/>
                <w:color w:val="808080" w:themeColor="background1" w:themeShade="80"/>
                <w:sz w:val="28"/>
                <w:szCs w:val="28"/>
                <w:lang w:val="en-GB" w:eastAsia="zh-CN"/>
              </w:rPr>
              <w:t>%</w:t>
            </w:r>
          </w:p>
          <w:p w14:paraId="3133F933" w14:textId="77777777" w:rsidR="00750A2C" w:rsidRPr="007E2A75" w:rsidRDefault="00750A2C" w:rsidP="00750A2C">
            <w:pPr>
              <w:jc w:val="right"/>
              <w:rPr>
                <w:rFonts w:ascii="Calibri Light" w:eastAsia="SimSun" w:hAnsi="Calibri Light" w:cs="Calibri Light"/>
                <w:i/>
                <w:color w:val="808080" w:themeColor="background1" w:themeShade="80"/>
                <w:szCs w:val="28"/>
                <w:lang w:val="en-GB" w:eastAsia="zh-CN"/>
              </w:rPr>
            </w:pPr>
          </w:p>
          <w:p w14:paraId="31EBE1C2" w14:textId="77777777" w:rsidR="00750A2C" w:rsidRPr="007E2A75" w:rsidRDefault="001D160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val="en-GB" w:eastAsia="zh-CN"/>
              </w:rPr>
              <w:t>4</w:t>
            </w:r>
            <w:r w:rsidR="003A2A72" w:rsidRPr="007E2A75">
              <w:rPr>
                <w:rFonts w:ascii="Calibri Light" w:eastAsia="SimSun" w:hAnsi="Calibri Light" w:cs="Calibri Light"/>
                <w:i/>
                <w:color w:val="808080" w:themeColor="background1" w:themeShade="80"/>
                <w:sz w:val="28"/>
                <w:szCs w:val="28"/>
                <w:lang w:eastAsia="zh-CN"/>
              </w:rPr>
              <w:t>8</w:t>
            </w:r>
            <w:r w:rsidR="00750A2C" w:rsidRPr="007E2A75">
              <w:rPr>
                <w:rFonts w:ascii="Calibri Light" w:eastAsia="SimSun" w:hAnsi="Calibri Light" w:cs="Calibri Light"/>
                <w:i/>
                <w:color w:val="808080" w:themeColor="background1" w:themeShade="80"/>
                <w:sz w:val="28"/>
                <w:szCs w:val="28"/>
                <w:lang w:val="en-GB" w:eastAsia="zh-CN"/>
              </w:rPr>
              <w:t>%</w:t>
            </w:r>
          </w:p>
          <w:p w14:paraId="4140AD36" w14:textId="77777777" w:rsidR="00750A2C" w:rsidRPr="007E2A75" w:rsidRDefault="00750A2C" w:rsidP="00750A2C">
            <w:pPr>
              <w:jc w:val="right"/>
              <w:rPr>
                <w:rFonts w:ascii="Calibri Light" w:eastAsia="SimSun" w:hAnsi="Calibri Light" w:cs="Calibri Light"/>
                <w:i/>
                <w:color w:val="808080" w:themeColor="background1" w:themeShade="80"/>
                <w:szCs w:val="28"/>
                <w:lang w:val="en-GB" w:eastAsia="zh-CN"/>
              </w:rPr>
            </w:pPr>
          </w:p>
          <w:p w14:paraId="6941D35F" w14:textId="77777777" w:rsidR="00750A2C" w:rsidRPr="007E2A75" w:rsidRDefault="001D160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val="en-GB" w:eastAsia="zh-CN"/>
              </w:rPr>
              <w:t>288</w:t>
            </w:r>
            <w:r w:rsidR="00750A2C" w:rsidRPr="007E2A75">
              <w:rPr>
                <w:rFonts w:ascii="Calibri Light" w:eastAsia="SimSun" w:hAnsi="Calibri Light" w:cs="Calibri Light"/>
                <w:i/>
                <w:color w:val="808080" w:themeColor="background1" w:themeShade="80"/>
                <w:sz w:val="28"/>
                <w:szCs w:val="28"/>
                <w:lang w:val="en-GB" w:eastAsia="zh-CN"/>
              </w:rPr>
              <w:t>%</w:t>
            </w:r>
          </w:p>
          <w:p w14:paraId="1D56CCCA" w14:textId="77777777" w:rsidR="007300CB" w:rsidRPr="007E2A75" w:rsidRDefault="007300CB" w:rsidP="00750A2C">
            <w:pPr>
              <w:jc w:val="right"/>
              <w:rPr>
                <w:rFonts w:ascii="Calibri Light" w:eastAsia="SimSun" w:hAnsi="Calibri Light" w:cs="Calibri Light"/>
                <w:i/>
                <w:color w:val="808080" w:themeColor="background1" w:themeShade="80"/>
                <w:szCs w:val="28"/>
                <w:lang w:val="en-GB" w:eastAsia="zh-CN"/>
              </w:rPr>
            </w:pPr>
          </w:p>
          <w:p w14:paraId="25FB1CBA" w14:textId="77777777" w:rsidR="007300CB" w:rsidRPr="007E2A75" w:rsidRDefault="00E1424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eastAsia="zh-CN"/>
              </w:rPr>
              <w:t>(74%)</w:t>
            </w:r>
          </w:p>
          <w:p w14:paraId="2D89E004" w14:textId="77777777" w:rsidR="007300CB" w:rsidRPr="007E2A75" w:rsidRDefault="007300CB" w:rsidP="00750A2C">
            <w:pPr>
              <w:jc w:val="right"/>
              <w:rPr>
                <w:rFonts w:ascii="Calibri Light" w:eastAsia="SimSun" w:hAnsi="Calibri Light" w:cs="Calibri Light"/>
                <w:i/>
                <w:color w:val="808080" w:themeColor="background1" w:themeShade="80"/>
                <w:szCs w:val="28"/>
                <w:lang w:val="en-GB" w:eastAsia="zh-CN"/>
              </w:rPr>
            </w:pPr>
          </w:p>
          <w:p w14:paraId="1D63C821" w14:textId="77777777" w:rsidR="001D160D" w:rsidRPr="007E2A75" w:rsidRDefault="001D160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val="en-GB" w:eastAsia="zh-CN"/>
              </w:rPr>
              <w:t>n/a</w:t>
            </w:r>
          </w:p>
          <w:p w14:paraId="18016931" w14:textId="77777777" w:rsidR="001D160D" w:rsidRPr="007E2A75" w:rsidRDefault="001D160D" w:rsidP="00750A2C">
            <w:pPr>
              <w:jc w:val="right"/>
              <w:rPr>
                <w:rFonts w:ascii="Calibri Light" w:eastAsia="SimSun" w:hAnsi="Calibri Light" w:cs="Calibri Light"/>
                <w:i/>
                <w:color w:val="808080" w:themeColor="background1" w:themeShade="80"/>
                <w:szCs w:val="28"/>
                <w:lang w:eastAsia="zh-CN"/>
              </w:rPr>
            </w:pPr>
          </w:p>
          <w:p w14:paraId="092D300E" w14:textId="77777777" w:rsidR="007300CB" w:rsidRPr="007E2A75" w:rsidRDefault="00E1424D" w:rsidP="00750A2C">
            <w:pPr>
              <w:jc w:val="right"/>
              <w:rPr>
                <w:rFonts w:ascii="Calibri Light" w:eastAsia="SimSun" w:hAnsi="Calibri Light" w:cs="Calibri Light"/>
                <w:i/>
                <w:color w:val="808080" w:themeColor="background1" w:themeShade="80"/>
                <w:sz w:val="28"/>
                <w:szCs w:val="28"/>
                <w:lang w:val="en-GB" w:eastAsia="zh-CN"/>
              </w:rPr>
            </w:pPr>
            <w:r w:rsidRPr="007E2A75">
              <w:rPr>
                <w:rFonts w:ascii="Calibri Light" w:eastAsia="SimSun" w:hAnsi="Calibri Light" w:cs="Calibri Light"/>
                <w:i/>
                <w:color w:val="808080" w:themeColor="background1" w:themeShade="80"/>
                <w:sz w:val="28"/>
                <w:szCs w:val="28"/>
                <w:lang w:eastAsia="zh-CN"/>
              </w:rPr>
              <w:t>n/a</w:t>
            </w:r>
          </w:p>
        </w:tc>
      </w:tr>
      <w:tr w:rsidR="005365CE" w:rsidRPr="007E2A75" w14:paraId="7CB5592E" w14:textId="77777777" w:rsidTr="00E41CAE">
        <w:trPr>
          <w:trHeight w:val="591"/>
        </w:trPr>
        <w:tc>
          <w:tcPr>
            <w:tcW w:w="4391" w:type="dxa"/>
            <w:tcBorders>
              <w:bottom w:val="single" w:sz="4" w:space="0" w:color="808080" w:themeColor="background1" w:themeShade="80"/>
            </w:tcBorders>
          </w:tcPr>
          <w:p w14:paraId="0419A1F4" w14:textId="77777777" w:rsidR="005365CE" w:rsidRPr="007E2A75" w:rsidRDefault="005365CE" w:rsidP="005365CE">
            <w:pPr>
              <w:rPr>
                <w:rFonts w:asciiTheme="minorHAnsi" w:eastAsia="SimSun" w:hAnsiTheme="minorHAnsi" w:cstheme="minorHAnsi"/>
                <w:i/>
                <w:color w:val="59595B"/>
                <w:sz w:val="28"/>
                <w:szCs w:val="22"/>
                <w:lang w:val="en-GB" w:eastAsia="zh-CN"/>
              </w:rPr>
            </w:pPr>
            <w:r w:rsidRPr="007E2A75">
              <w:rPr>
                <w:rFonts w:asciiTheme="minorHAnsi" w:eastAsia="SimSun" w:hAnsiTheme="minorHAnsi" w:cstheme="minorHAnsi"/>
                <w:i/>
                <w:color w:val="59595B"/>
                <w:sz w:val="28"/>
                <w:szCs w:val="22"/>
                <w:lang w:val="en-GB" w:eastAsia="zh-CN"/>
              </w:rPr>
              <w:t>Balance Sheet</w:t>
            </w:r>
          </w:p>
          <w:p w14:paraId="6666B460" w14:textId="77777777" w:rsidR="005365CE" w:rsidRPr="007E2A75" w:rsidRDefault="005365CE" w:rsidP="005365CE">
            <w:pPr>
              <w:rPr>
                <w:rFonts w:asciiTheme="minorHAnsi" w:eastAsia="SimSun" w:hAnsiTheme="minorHAnsi" w:cstheme="minorHAnsi"/>
                <w:b/>
                <w:color w:val="59595B"/>
                <w:sz w:val="28"/>
                <w:szCs w:val="22"/>
                <w:lang w:val="en-GB" w:eastAsia="zh-CN"/>
              </w:rPr>
            </w:pPr>
            <w:r w:rsidRPr="007E2A75">
              <w:rPr>
                <w:rFonts w:asciiTheme="minorHAnsi" w:eastAsia="SimSun" w:hAnsiTheme="minorHAnsi" w:cstheme="minorHAnsi"/>
                <w:b/>
                <w:color w:val="59595B"/>
                <w:sz w:val="28"/>
                <w:szCs w:val="22"/>
                <w:lang w:val="en-GB" w:eastAsia="zh-CN"/>
              </w:rPr>
              <w:t>Cash &amp; marketable securities</w:t>
            </w:r>
          </w:p>
        </w:tc>
        <w:tc>
          <w:tcPr>
            <w:tcW w:w="1257" w:type="dxa"/>
            <w:tcBorders>
              <w:bottom w:val="single" w:sz="4" w:space="0" w:color="808080" w:themeColor="background1" w:themeShade="80"/>
            </w:tcBorders>
            <w:shd w:val="clear" w:color="auto" w:fill="F2F2F2" w:themeFill="background1" w:themeFillShade="F2"/>
          </w:tcPr>
          <w:p w14:paraId="0D22C38F" w14:textId="77777777" w:rsidR="005365CE" w:rsidRPr="007E2A75" w:rsidRDefault="005365CE" w:rsidP="005365CE">
            <w:pPr>
              <w:jc w:val="right"/>
              <w:rPr>
                <w:rFonts w:asciiTheme="minorHAnsi" w:eastAsia="SimSun" w:hAnsiTheme="minorHAnsi" w:cstheme="minorHAnsi"/>
                <w:color w:val="808080" w:themeColor="background1" w:themeShade="80"/>
                <w:sz w:val="28"/>
                <w:szCs w:val="22"/>
                <w:lang w:val="en-GB" w:eastAsia="zh-CN"/>
              </w:rPr>
            </w:pPr>
          </w:p>
          <w:p w14:paraId="09B50205" w14:textId="77777777" w:rsidR="005365CE" w:rsidRPr="007E2A75" w:rsidRDefault="001D160D" w:rsidP="005365CE">
            <w:pPr>
              <w:jc w:val="right"/>
              <w:rPr>
                <w:rFonts w:asciiTheme="minorHAnsi" w:eastAsia="SimSun" w:hAnsiTheme="minorHAnsi" w:cstheme="minorHAnsi"/>
                <w:color w:val="808080" w:themeColor="background1" w:themeShade="80"/>
                <w:sz w:val="28"/>
                <w:szCs w:val="22"/>
                <w:lang w:eastAsia="zh-CN"/>
              </w:rPr>
            </w:pPr>
            <w:r w:rsidRPr="007E2A75">
              <w:rPr>
                <w:rFonts w:asciiTheme="minorHAnsi" w:eastAsia="SimSun" w:hAnsiTheme="minorHAnsi" w:cstheme="minorHAnsi"/>
                <w:color w:val="808080" w:themeColor="background1" w:themeShade="80"/>
                <w:sz w:val="28"/>
                <w:szCs w:val="22"/>
                <w:lang w:eastAsia="zh-CN"/>
              </w:rPr>
              <w:t>66</w:t>
            </w:r>
            <w:r w:rsidR="00750A2C" w:rsidRPr="007E2A75">
              <w:rPr>
                <w:rFonts w:asciiTheme="minorHAnsi" w:eastAsia="SimSun" w:hAnsiTheme="minorHAnsi" w:cstheme="minorHAnsi"/>
                <w:color w:val="808080" w:themeColor="background1" w:themeShade="80"/>
                <w:sz w:val="28"/>
                <w:szCs w:val="22"/>
                <w:lang w:eastAsia="zh-CN"/>
              </w:rPr>
              <w:t>.9</w:t>
            </w:r>
          </w:p>
        </w:tc>
        <w:tc>
          <w:tcPr>
            <w:tcW w:w="1294" w:type="dxa"/>
            <w:tcBorders>
              <w:bottom w:val="single" w:sz="4" w:space="0" w:color="808080" w:themeColor="background1" w:themeShade="80"/>
            </w:tcBorders>
          </w:tcPr>
          <w:p w14:paraId="001B2EB8" w14:textId="77777777" w:rsidR="005365CE" w:rsidRPr="007E2A75" w:rsidRDefault="005365CE" w:rsidP="005365CE">
            <w:pPr>
              <w:jc w:val="right"/>
              <w:rPr>
                <w:rFonts w:asciiTheme="minorHAnsi" w:eastAsia="SimSun" w:hAnsiTheme="minorHAnsi" w:cstheme="minorHAnsi"/>
                <w:color w:val="808080" w:themeColor="background1" w:themeShade="80"/>
                <w:sz w:val="28"/>
                <w:szCs w:val="22"/>
                <w:lang w:val="en-GB" w:eastAsia="zh-CN"/>
              </w:rPr>
            </w:pPr>
          </w:p>
          <w:p w14:paraId="2DDC0576" w14:textId="77777777" w:rsidR="005365CE" w:rsidRPr="007E2A75" w:rsidRDefault="00750A2C" w:rsidP="005365CE">
            <w:pPr>
              <w:jc w:val="right"/>
              <w:rPr>
                <w:rFonts w:asciiTheme="minorHAnsi" w:eastAsia="SimSun" w:hAnsiTheme="minorHAnsi" w:cstheme="minorHAnsi"/>
                <w:color w:val="808080" w:themeColor="background1" w:themeShade="80"/>
                <w:sz w:val="28"/>
                <w:szCs w:val="22"/>
                <w:lang w:eastAsia="zh-CN"/>
              </w:rPr>
            </w:pPr>
            <w:r w:rsidRPr="007E2A75">
              <w:rPr>
                <w:rFonts w:asciiTheme="minorHAnsi" w:eastAsia="SimSun" w:hAnsiTheme="minorHAnsi" w:cstheme="minorHAnsi"/>
                <w:color w:val="808080" w:themeColor="background1" w:themeShade="80"/>
                <w:sz w:val="28"/>
                <w:szCs w:val="22"/>
                <w:lang w:eastAsia="zh-CN"/>
              </w:rPr>
              <w:t>25.2</w:t>
            </w:r>
          </w:p>
        </w:tc>
        <w:tc>
          <w:tcPr>
            <w:tcW w:w="1322" w:type="dxa"/>
            <w:tcBorders>
              <w:bottom w:val="single" w:sz="4" w:space="0" w:color="808080" w:themeColor="background1" w:themeShade="80"/>
              <w:right w:val="single" w:sz="4" w:space="0" w:color="595959" w:themeColor="text1" w:themeTint="A6"/>
            </w:tcBorders>
            <w:shd w:val="clear" w:color="auto" w:fill="F2F2F2" w:themeFill="background1" w:themeFillShade="F2"/>
          </w:tcPr>
          <w:p w14:paraId="6CCA57AF" w14:textId="77777777" w:rsidR="005365CE" w:rsidRPr="007E2A75" w:rsidRDefault="005365CE" w:rsidP="005365CE">
            <w:pPr>
              <w:jc w:val="right"/>
              <w:rPr>
                <w:rFonts w:asciiTheme="minorHAnsi" w:eastAsia="SimSun" w:hAnsiTheme="minorHAnsi" w:cstheme="minorHAnsi"/>
                <w:i/>
                <w:color w:val="808080" w:themeColor="background1" w:themeShade="80"/>
                <w:sz w:val="28"/>
                <w:szCs w:val="22"/>
                <w:lang w:val="en-GB" w:eastAsia="zh-CN"/>
              </w:rPr>
            </w:pPr>
          </w:p>
          <w:p w14:paraId="2992B84E" w14:textId="77777777" w:rsidR="005365CE" w:rsidRPr="007E2A75" w:rsidRDefault="001D160D" w:rsidP="005365CE">
            <w:pPr>
              <w:jc w:val="right"/>
              <w:rPr>
                <w:rFonts w:asciiTheme="minorHAnsi" w:eastAsia="SimSun" w:hAnsiTheme="minorHAnsi" w:cstheme="minorHAnsi"/>
                <w:i/>
                <w:color w:val="808080" w:themeColor="background1" w:themeShade="80"/>
                <w:sz w:val="28"/>
                <w:szCs w:val="22"/>
                <w:lang w:val="en-GB" w:eastAsia="zh-CN"/>
              </w:rPr>
            </w:pPr>
            <w:r w:rsidRPr="007E2A75">
              <w:rPr>
                <w:rFonts w:asciiTheme="minorHAnsi" w:eastAsia="SimSun" w:hAnsiTheme="minorHAnsi" w:cstheme="minorHAnsi"/>
                <w:i/>
                <w:color w:val="808080" w:themeColor="background1" w:themeShade="80"/>
                <w:sz w:val="28"/>
                <w:szCs w:val="22"/>
                <w:lang w:eastAsia="zh-CN"/>
              </w:rPr>
              <w:t>1</w:t>
            </w:r>
            <w:r w:rsidRPr="007E2A75">
              <w:rPr>
                <w:rFonts w:asciiTheme="minorHAnsi" w:eastAsia="SimSun" w:hAnsiTheme="minorHAnsi" w:cstheme="minorHAnsi"/>
                <w:i/>
                <w:color w:val="808080" w:themeColor="background1" w:themeShade="80"/>
                <w:sz w:val="28"/>
                <w:szCs w:val="22"/>
                <w:lang w:val="en-GB" w:eastAsia="zh-CN"/>
              </w:rPr>
              <w:t>65</w:t>
            </w:r>
            <w:r w:rsidR="005365CE" w:rsidRPr="007E2A75">
              <w:rPr>
                <w:rFonts w:asciiTheme="minorHAnsi" w:eastAsia="SimSun" w:hAnsiTheme="minorHAnsi" w:cstheme="minorHAnsi"/>
                <w:i/>
                <w:color w:val="808080" w:themeColor="background1" w:themeShade="80"/>
                <w:sz w:val="28"/>
                <w:szCs w:val="22"/>
                <w:lang w:val="en-GB" w:eastAsia="zh-CN"/>
              </w:rPr>
              <w:t>%</w:t>
            </w:r>
          </w:p>
        </w:tc>
      </w:tr>
      <w:tr w:rsidR="005365CE" w:rsidRPr="003107DD" w14:paraId="076E781A" w14:textId="77777777" w:rsidTr="00E41CAE">
        <w:trPr>
          <w:trHeight w:val="591"/>
        </w:trPr>
        <w:tc>
          <w:tcPr>
            <w:tcW w:w="4391" w:type="dxa"/>
            <w:tcBorders>
              <w:bottom w:val="single" w:sz="4" w:space="0" w:color="auto"/>
            </w:tcBorders>
          </w:tcPr>
          <w:p w14:paraId="542B398A" w14:textId="77777777" w:rsidR="005365CE" w:rsidRPr="003107DD" w:rsidRDefault="005365CE" w:rsidP="005365CE">
            <w:pPr>
              <w:rPr>
                <w:rFonts w:asciiTheme="minorHAnsi" w:eastAsia="SimSun" w:hAnsiTheme="minorHAnsi" w:cstheme="minorHAnsi"/>
                <w:i/>
                <w:color w:val="59595B"/>
                <w:szCs w:val="22"/>
                <w:lang w:val="en-GB" w:eastAsia="zh-CN"/>
              </w:rPr>
            </w:pPr>
            <w:r w:rsidRPr="003107DD">
              <w:rPr>
                <w:rFonts w:asciiTheme="minorHAnsi" w:eastAsia="SimSun" w:hAnsiTheme="minorHAnsi" w:cstheme="minorHAnsi"/>
                <w:i/>
                <w:color w:val="59595B"/>
                <w:szCs w:val="22"/>
                <w:lang w:val="en-GB" w:eastAsia="zh-CN"/>
              </w:rPr>
              <w:t>Share Information</w:t>
            </w:r>
          </w:p>
          <w:p w14:paraId="194B387B" w14:textId="77777777" w:rsidR="005365CE" w:rsidRPr="003107DD" w:rsidRDefault="007300CB" w:rsidP="005365CE">
            <w:pPr>
              <w:rPr>
                <w:rFonts w:asciiTheme="minorHAnsi" w:eastAsia="SimSun" w:hAnsiTheme="minorHAnsi" w:cstheme="minorHAnsi"/>
                <w:b/>
                <w:color w:val="59595B"/>
                <w:szCs w:val="22"/>
                <w:lang w:eastAsia="zh-CN"/>
              </w:rPr>
            </w:pPr>
            <w:r w:rsidRPr="003107DD">
              <w:rPr>
                <w:rFonts w:asciiTheme="minorHAnsi" w:eastAsia="SimSun" w:hAnsiTheme="minorHAnsi" w:cstheme="minorHAnsi"/>
                <w:b/>
                <w:color w:val="59595B"/>
                <w:szCs w:val="22"/>
                <w:lang w:val="en-GB" w:eastAsia="zh-CN"/>
              </w:rPr>
              <w:t>Earnings per share</w:t>
            </w:r>
            <w:r w:rsidRPr="003107DD">
              <w:rPr>
                <w:rFonts w:asciiTheme="minorHAnsi" w:eastAsia="SimSun" w:hAnsiTheme="minorHAnsi" w:cstheme="minorHAnsi"/>
                <w:b/>
                <w:color w:val="59595B"/>
                <w:szCs w:val="22"/>
                <w:lang w:val="en-GB" w:eastAsia="zh-CN"/>
              </w:rPr>
              <w:tab/>
            </w:r>
            <w:r w:rsidRPr="003107DD">
              <w:rPr>
                <w:rFonts w:asciiTheme="minorHAnsi" w:eastAsia="SimSun" w:hAnsiTheme="minorHAnsi" w:cstheme="minorHAnsi"/>
                <w:b/>
                <w:color w:val="59595B"/>
                <w:szCs w:val="22"/>
                <w:lang w:eastAsia="zh-CN"/>
              </w:rPr>
              <w:t>- undiluted</w:t>
            </w:r>
          </w:p>
          <w:p w14:paraId="75C275E3" w14:textId="77777777" w:rsidR="007300CB" w:rsidRPr="003107DD" w:rsidRDefault="007300CB" w:rsidP="007300CB">
            <w:pPr>
              <w:rPr>
                <w:rFonts w:asciiTheme="minorHAnsi" w:eastAsia="SimSun" w:hAnsiTheme="minorHAnsi" w:cstheme="minorHAnsi"/>
                <w:b/>
                <w:color w:val="59595B"/>
                <w:szCs w:val="22"/>
                <w:lang w:eastAsia="zh-CN"/>
              </w:rPr>
            </w:pPr>
            <w:r w:rsidRPr="003107DD">
              <w:rPr>
                <w:rFonts w:asciiTheme="minorHAnsi" w:eastAsia="SimSun" w:hAnsiTheme="minorHAnsi" w:cstheme="minorHAnsi"/>
                <w:b/>
                <w:color w:val="59595B"/>
                <w:szCs w:val="22"/>
                <w:lang w:eastAsia="zh-CN"/>
              </w:rPr>
              <w:tab/>
            </w:r>
            <w:r w:rsidRPr="003107DD">
              <w:rPr>
                <w:rFonts w:asciiTheme="minorHAnsi" w:eastAsia="SimSun" w:hAnsiTheme="minorHAnsi" w:cstheme="minorHAnsi"/>
                <w:b/>
                <w:color w:val="59595B"/>
                <w:szCs w:val="22"/>
                <w:lang w:eastAsia="zh-CN"/>
              </w:rPr>
              <w:tab/>
            </w:r>
            <w:r w:rsidRPr="003107DD">
              <w:rPr>
                <w:rFonts w:asciiTheme="minorHAnsi" w:eastAsia="SimSun" w:hAnsiTheme="minorHAnsi" w:cstheme="minorHAnsi"/>
                <w:b/>
                <w:color w:val="59595B"/>
                <w:szCs w:val="22"/>
                <w:lang w:eastAsia="zh-CN"/>
              </w:rPr>
              <w:tab/>
              <w:t>- fully diluted</w:t>
            </w:r>
          </w:p>
          <w:p w14:paraId="40316FF0" w14:textId="77777777" w:rsidR="007300CB" w:rsidRPr="003107DD" w:rsidRDefault="007300CB" w:rsidP="005365CE">
            <w:pPr>
              <w:rPr>
                <w:rFonts w:asciiTheme="minorHAnsi" w:eastAsia="SimSun" w:hAnsiTheme="minorHAnsi" w:cstheme="minorHAnsi"/>
                <w:b/>
                <w:color w:val="59595B"/>
                <w:szCs w:val="22"/>
                <w:lang w:eastAsia="zh-CN"/>
              </w:rPr>
            </w:pPr>
          </w:p>
        </w:tc>
        <w:tc>
          <w:tcPr>
            <w:tcW w:w="1257" w:type="dxa"/>
            <w:tcBorders>
              <w:bottom w:val="single" w:sz="4" w:space="0" w:color="auto"/>
            </w:tcBorders>
            <w:shd w:val="clear" w:color="auto" w:fill="F2F2F2" w:themeFill="background1" w:themeFillShade="F2"/>
          </w:tcPr>
          <w:p w14:paraId="43A0285F" w14:textId="77777777" w:rsidR="005365CE" w:rsidRPr="003B14A9" w:rsidRDefault="005365CE" w:rsidP="005365CE">
            <w:pPr>
              <w:jc w:val="right"/>
              <w:rPr>
                <w:rFonts w:asciiTheme="minorHAnsi" w:eastAsia="SimSun" w:hAnsiTheme="minorHAnsi" w:cstheme="minorHAnsi"/>
                <w:color w:val="808080" w:themeColor="background1" w:themeShade="80"/>
                <w:szCs w:val="22"/>
                <w:lang w:val="en-GB" w:eastAsia="zh-CN"/>
              </w:rPr>
            </w:pPr>
          </w:p>
          <w:p w14:paraId="7239AAB6" w14:textId="65771506" w:rsidR="005365CE" w:rsidRPr="00594C76" w:rsidRDefault="007300CB" w:rsidP="005365CE">
            <w:pPr>
              <w:jc w:val="right"/>
              <w:rPr>
                <w:rFonts w:asciiTheme="minorHAnsi" w:eastAsia="SimSun" w:hAnsiTheme="minorHAnsi" w:cstheme="minorHAnsi"/>
                <w:color w:val="808080" w:themeColor="background1" w:themeShade="80"/>
                <w:szCs w:val="22"/>
                <w:lang w:eastAsia="zh-CN"/>
              </w:rPr>
            </w:pPr>
            <w:r w:rsidRPr="003B14A9">
              <w:rPr>
                <w:rFonts w:asciiTheme="minorHAnsi" w:eastAsia="SimSun" w:hAnsiTheme="minorHAnsi" w:cstheme="minorHAnsi"/>
                <w:color w:val="808080" w:themeColor="background1" w:themeShade="80"/>
                <w:szCs w:val="22"/>
                <w:lang w:eastAsia="zh-CN"/>
              </w:rPr>
              <w:t>0.0</w:t>
            </w:r>
            <w:r w:rsidR="003107DD" w:rsidRPr="003B14A9">
              <w:rPr>
                <w:rFonts w:asciiTheme="minorHAnsi" w:eastAsia="SimSun" w:hAnsiTheme="minorHAnsi" w:cstheme="minorHAnsi"/>
                <w:color w:val="808080" w:themeColor="background1" w:themeShade="80"/>
                <w:szCs w:val="22"/>
                <w:lang w:eastAsia="zh-CN"/>
              </w:rPr>
              <w:t>10</w:t>
            </w:r>
            <w:r w:rsidR="00594C76">
              <w:rPr>
                <w:rFonts w:asciiTheme="minorHAnsi" w:eastAsia="SimSun" w:hAnsiTheme="minorHAnsi" w:cstheme="minorHAnsi"/>
                <w:color w:val="808080" w:themeColor="background1" w:themeShade="80"/>
                <w:szCs w:val="22"/>
                <w:lang w:eastAsia="zh-CN"/>
              </w:rPr>
              <w:t>5</w:t>
            </w:r>
          </w:p>
          <w:p w14:paraId="2956FF08" w14:textId="66EFC0E4" w:rsidR="007300CB" w:rsidRPr="003B14A9" w:rsidRDefault="007300CB" w:rsidP="005365CE">
            <w:pPr>
              <w:jc w:val="right"/>
              <w:rPr>
                <w:rFonts w:asciiTheme="minorHAnsi" w:eastAsia="SimSun" w:hAnsiTheme="minorHAnsi" w:cstheme="minorHAnsi"/>
                <w:color w:val="808080" w:themeColor="background1" w:themeShade="80"/>
                <w:szCs w:val="22"/>
                <w:lang w:val="en-GB" w:eastAsia="zh-CN"/>
              </w:rPr>
            </w:pPr>
            <w:r w:rsidRPr="003B14A9">
              <w:rPr>
                <w:rFonts w:asciiTheme="minorHAnsi" w:eastAsia="SimSun" w:hAnsiTheme="minorHAnsi" w:cstheme="minorHAnsi"/>
                <w:color w:val="808080" w:themeColor="background1" w:themeShade="80"/>
                <w:szCs w:val="22"/>
                <w:lang w:eastAsia="zh-CN"/>
              </w:rPr>
              <w:t>0.</w:t>
            </w:r>
            <w:r w:rsidR="001D160D" w:rsidRPr="003B14A9">
              <w:rPr>
                <w:rFonts w:asciiTheme="minorHAnsi" w:eastAsia="SimSun" w:hAnsiTheme="minorHAnsi" w:cstheme="minorHAnsi"/>
                <w:color w:val="808080" w:themeColor="background1" w:themeShade="80"/>
                <w:szCs w:val="22"/>
                <w:lang w:eastAsia="zh-CN"/>
              </w:rPr>
              <w:t>0</w:t>
            </w:r>
            <w:r w:rsidR="00594C76">
              <w:rPr>
                <w:rFonts w:asciiTheme="minorHAnsi" w:eastAsia="SimSun" w:hAnsiTheme="minorHAnsi" w:cstheme="minorHAnsi"/>
                <w:color w:val="808080" w:themeColor="background1" w:themeShade="80"/>
                <w:szCs w:val="22"/>
                <w:lang w:eastAsia="zh-CN"/>
              </w:rPr>
              <w:t>096</w:t>
            </w:r>
          </w:p>
        </w:tc>
        <w:tc>
          <w:tcPr>
            <w:tcW w:w="1294" w:type="dxa"/>
            <w:tcBorders>
              <w:bottom w:val="single" w:sz="4" w:space="0" w:color="auto"/>
            </w:tcBorders>
          </w:tcPr>
          <w:p w14:paraId="09829393" w14:textId="77777777" w:rsidR="005365CE" w:rsidRPr="003B14A9" w:rsidRDefault="005365CE" w:rsidP="005365CE">
            <w:pPr>
              <w:jc w:val="right"/>
              <w:rPr>
                <w:rFonts w:asciiTheme="minorHAnsi" w:eastAsia="SimSun" w:hAnsiTheme="minorHAnsi" w:cstheme="minorHAnsi"/>
                <w:color w:val="808080" w:themeColor="background1" w:themeShade="80"/>
                <w:szCs w:val="22"/>
                <w:lang w:val="en-GB" w:eastAsia="zh-CN"/>
              </w:rPr>
            </w:pPr>
          </w:p>
          <w:p w14:paraId="716434AF" w14:textId="7DEE9317" w:rsidR="005365CE" w:rsidRPr="003B14A9" w:rsidRDefault="005365CE" w:rsidP="005365CE">
            <w:pPr>
              <w:jc w:val="right"/>
              <w:rPr>
                <w:rFonts w:asciiTheme="minorHAnsi" w:eastAsia="SimSun" w:hAnsiTheme="minorHAnsi" w:cstheme="minorHAnsi"/>
                <w:color w:val="808080" w:themeColor="background1" w:themeShade="80"/>
                <w:szCs w:val="22"/>
                <w:lang w:val="en-GB" w:eastAsia="zh-CN"/>
              </w:rPr>
            </w:pPr>
            <w:r w:rsidRPr="003B14A9">
              <w:rPr>
                <w:rFonts w:asciiTheme="minorHAnsi" w:eastAsia="SimSun" w:hAnsiTheme="minorHAnsi" w:cstheme="minorHAnsi"/>
                <w:color w:val="808080" w:themeColor="background1" w:themeShade="80"/>
                <w:szCs w:val="22"/>
                <w:lang w:val="en-GB" w:eastAsia="zh-CN"/>
              </w:rPr>
              <w:t>(0.0</w:t>
            </w:r>
            <w:r w:rsidR="007300CB" w:rsidRPr="003B14A9">
              <w:rPr>
                <w:rFonts w:asciiTheme="minorHAnsi" w:eastAsia="SimSun" w:hAnsiTheme="minorHAnsi" w:cstheme="minorHAnsi"/>
                <w:color w:val="808080" w:themeColor="background1" w:themeShade="80"/>
                <w:szCs w:val="22"/>
                <w:lang w:eastAsia="zh-CN"/>
              </w:rPr>
              <w:t>63</w:t>
            </w:r>
            <w:r w:rsidR="00DE0970">
              <w:rPr>
                <w:rFonts w:asciiTheme="minorHAnsi" w:eastAsia="SimSun" w:hAnsiTheme="minorHAnsi" w:cstheme="minorHAnsi"/>
                <w:color w:val="808080" w:themeColor="background1" w:themeShade="80"/>
                <w:szCs w:val="22"/>
                <w:lang w:eastAsia="zh-CN"/>
              </w:rPr>
              <w:t>5</w:t>
            </w:r>
            <w:r w:rsidRPr="003B14A9">
              <w:rPr>
                <w:rFonts w:asciiTheme="minorHAnsi" w:eastAsia="SimSun" w:hAnsiTheme="minorHAnsi" w:cstheme="minorHAnsi"/>
                <w:color w:val="808080" w:themeColor="background1" w:themeShade="80"/>
                <w:szCs w:val="22"/>
                <w:lang w:val="en-GB" w:eastAsia="zh-CN"/>
              </w:rPr>
              <w:t>)</w:t>
            </w:r>
          </w:p>
          <w:p w14:paraId="2C4605F3" w14:textId="77777777" w:rsidR="003107DD" w:rsidRPr="003B14A9" w:rsidRDefault="003107DD" w:rsidP="005365CE">
            <w:pPr>
              <w:jc w:val="right"/>
              <w:rPr>
                <w:rFonts w:asciiTheme="minorHAnsi" w:eastAsia="SimSun" w:hAnsiTheme="minorHAnsi" w:cstheme="minorHAnsi"/>
                <w:color w:val="808080" w:themeColor="background1" w:themeShade="80"/>
                <w:szCs w:val="22"/>
                <w:lang w:eastAsia="zh-CN"/>
              </w:rPr>
            </w:pPr>
            <w:r w:rsidRPr="003B14A9">
              <w:rPr>
                <w:rFonts w:asciiTheme="minorHAnsi" w:eastAsia="SimSun" w:hAnsiTheme="minorHAnsi" w:cstheme="minorHAnsi"/>
                <w:color w:val="808080" w:themeColor="background1" w:themeShade="80"/>
                <w:szCs w:val="22"/>
                <w:lang w:eastAsia="zh-CN"/>
              </w:rPr>
              <w:t>n/a</w:t>
            </w:r>
          </w:p>
        </w:tc>
        <w:tc>
          <w:tcPr>
            <w:tcW w:w="1322" w:type="dxa"/>
            <w:tcBorders>
              <w:bottom w:val="single" w:sz="4" w:space="0" w:color="auto"/>
              <w:right w:val="single" w:sz="4" w:space="0" w:color="595959" w:themeColor="text1" w:themeTint="A6"/>
            </w:tcBorders>
            <w:shd w:val="clear" w:color="auto" w:fill="F2F2F2" w:themeFill="background1" w:themeFillShade="F2"/>
          </w:tcPr>
          <w:p w14:paraId="155F162B" w14:textId="77777777" w:rsidR="005365CE" w:rsidRPr="003B14A9" w:rsidRDefault="005365CE" w:rsidP="005365CE">
            <w:pPr>
              <w:jc w:val="right"/>
              <w:rPr>
                <w:rFonts w:asciiTheme="minorHAnsi" w:eastAsia="SimSun" w:hAnsiTheme="minorHAnsi" w:cstheme="minorHAnsi"/>
                <w:color w:val="808080" w:themeColor="background1" w:themeShade="80"/>
                <w:szCs w:val="22"/>
                <w:lang w:val="en-GB" w:eastAsia="zh-CN"/>
              </w:rPr>
            </w:pPr>
          </w:p>
          <w:p w14:paraId="7BE22FC2" w14:textId="77777777" w:rsidR="007300CB" w:rsidRPr="003B14A9" w:rsidRDefault="00E1424D" w:rsidP="005365CE">
            <w:pPr>
              <w:jc w:val="right"/>
              <w:rPr>
                <w:rFonts w:asciiTheme="minorHAnsi" w:eastAsia="SimSun" w:hAnsiTheme="minorHAnsi" w:cstheme="minorHAnsi"/>
                <w:color w:val="808080" w:themeColor="background1" w:themeShade="80"/>
                <w:szCs w:val="22"/>
                <w:lang w:val="en-GB" w:eastAsia="zh-CN"/>
              </w:rPr>
            </w:pPr>
            <w:r w:rsidRPr="003B14A9">
              <w:rPr>
                <w:rFonts w:asciiTheme="minorHAnsi" w:eastAsia="SimSun" w:hAnsiTheme="minorHAnsi" w:cstheme="minorHAnsi"/>
                <w:i/>
                <w:color w:val="808080" w:themeColor="background1" w:themeShade="80"/>
                <w:szCs w:val="22"/>
                <w:lang w:eastAsia="zh-CN"/>
              </w:rPr>
              <w:t>n/a</w:t>
            </w:r>
          </w:p>
          <w:p w14:paraId="2F4F11E6" w14:textId="77777777" w:rsidR="007300CB" w:rsidRPr="003B14A9" w:rsidRDefault="003107DD" w:rsidP="005365CE">
            <w:pPr>
              <w:jc w:val="right"/>
              <w:rPr>
                <w:rFonts w:asciiTheme="minorHAnsi" w:eastAsia="SimSun" w:hAnsiTheme="minorHAnsi" w:cstheme="minorHAnsi"/>
                <w:color w:val="808080" w:themeColor="background1" w:themeShade="80"/>
                <w:szCs w:val="22"/>
                <w:lang w:eastAsia="zh-CN"/>
              </w:rPr>
            </w:pPr>
            <w:r w:rsidRPr="003B14A9">
              <w:rPr>
                <w:rFonts w:asciiTheme="minorHAnsi" w:eastAsia="SimSun" w:hAnsiTheme="minorHAnsi" w:cstheme="minorHAnsi"/>
                <w:i/>
                <w:color w:val="808080" w:themeColor="background1" w:themeShade="80"/>
                <w:szCs w:val="22"/>
                <w:lang w:eastAsia="zh-CN"/>
              </w:rPr>
              <w:t>n/a</w:t>
            </w:r>
          </w:p>
        </w:tc>
      </w:tr>
    </w:tbl>
    <w:p w14:paraId="3402453A" w14:textId="77777777" w:rsidR="005365CE" w:rsidRPr="00A96D90" w:rsidRDefault="005365CE" w:rsidP="005365CE">
      <w:pPr>
        <w:rPr>
          <w:rFonts w:ascii="Calibri" w:eastAsia="SimSun" w:hAnsi="Calibri" w:cs="Arial"/>
          <w:b/>
          <w:color w:val="276E8B" w:themeColor="accent1" w:themeShade="BF"/>
          <w:szCs w:val="22"/>
          <w:highlight w:val="yellow"/>
          <w:lang w:val="en-GB" w:eastAsia="zh-CN"/>
        </w:rPr>
      </w:pPr>
    </w:p>
    <w:p w14:paraId="56269C5C"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Revenues</w:t>
      </w:r>
    </w:p>
    <w:p w14:paraId="22494A8B" w14:textId="77777777" w:rsidR="005365CE" w:rsidRPr="00A96D90" w:rsidRDefault="005365CE" w:rsidP="00A03BA5">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 xml:space="preserve">Revenues from product sales </w:t>
      </w:r>
      <w:r w:rsidR="007300CB">
        <w:rPr>
          <w:rFonts w:ascii="Calibri Light" w:hAnsi="Calibri Light" w:cs="Calibri Light"/>
          <w:color w:val="59595B"/>
        </w:rPr>
        <w:t>increas</w:t>
      </w:r>
      <w:r w:rsidRPr="00A96D90">
        <w:rPr>
          <w:rFonts w:ascii="Calibri Light" w:hAnsi="Calibri Light" w:cs="Calibri Light"/>
          <w:color w:val="59595B"/>
          <w:lang w:val="en-GB"/>
        </w:rPr>
        <w:t xml:space="preserve">ed </w:t>
      </w:r>
      <w:r w:rsidR="001200BD" w:rsidRPr="00A96D90">
        <w:rPr>
          <w:rFonts w:ascii="Calibri Light" w:hAnsi="Calibri Light" w:cs="Calibri Light"/>
          <w:color w:val="59595B"/>
          <w:lang w:val="en-GB"/>
        </w:rPr>
        <w:t xml:space="preserve">slightly </w:t>
      </w:r>
      <w:r w:rsidR="007300CB">
        <w:rPr>
          <w:rFonts w:ascii="Calibri Light" w:hAnsi="Calibri Light" w:cs="Calibri Light"/>
          <w:color w:val="59595B"/>
        </w:rPr>
        <w:t xml:space="preserve">in euro terms </w:t>
      </w:r>
      <w:r w:rsidRPr="00A96D90">
        <w:rPr>
          <w:rFonts w:ascii="Calibri Light" w:hAnsi="Calibri Light" w:cs="Calibri Light"/>
          <w:color w:val="59595B"/>
          <w:lang w:val="en-GB"/>
        </w:rPr>
        <w:t>from €</w:t>
      </w:r>
      <w:r w:rsidR="007300CB">
        <w:rPr>
          <w:rFonts w:ascii="Calibri Light" w:hAnsi="Calibri Light" w:cs="Calibri Light"/>
          <w:color w:val="59595B"/>
        </w:rPr>
        <w:t>29.3</w:t>
      </w:r>
      <w:r w:rsidRPr="00A96D90">
        <w:rPr>
          <w:rFonts w:ascii="Calibri Light" w:hAnsi="Calibri Light" w:cs="Calibri Light"/>
          <w:color w:val="59595B"/>
          <w:lang w:val="en-GB"/>
        </w:rPr>
        <w:t xml:space="preserve"> million in Q1 to €</w:t>
      </w:r>
      <w:r w:rsidR="007300CB">
        <w:rPr>
          <w:rFonts w:ascii="Calibri Light" w:hAnsi="Calibri Light" w:cs="Calibri Light"/>
          <w:color w:val="59595B"/>
        </w:rPr>
        <w:t>29.</w:t>
      </w:r>
      <w:r w:rsidR="00992D12">
        <w:rPr>
          <w:rFonts w:ascii="Calibri Light" w:hAnsi="Calibri Light" w:cs="Calibri Light"/>
          <w:color w:val="59595B"/>
        </w:rPr>
        <w:t>8</w:t>
      </w:r>
      <w:r w:rsidR="00992D12"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million in Q2, </w:t>
      </w:r>
      <w:r w:rsidR="005F76A6" w:rsidRPr="00A96D90">
        <w:rPr>
          <w:rFonts w:ascii="Calibri Light" w:hAnsi="Calibri Light" w:cs="Calibri Light"/>
          <w:color w:val="59595B"/>
          <w:lang w:val="en-GB"/>
        </w:rPr>
        <w:t>Part</w:t>
      </w:r>
      <w:r w:rsidR="00134E79" w:rsidRPr="00A96D90">
        <w:rPr>
          <w:rFonts w:ascii="Calibri Light" w:hAnsi="Calibri Light" w:cs="Calibri Light"/>
          <w:color w:val="59595B"/>
          <w:lang w:val="en-GB"/>
        </w:rPr>
        <w:t xml:space="preserve"> of </w:t>
      </w:r>
      <w:r w:rsidR="00E3390A" w:rsidRPr="00A96D90">
        <w:rPr>
          <w:rFonts w:ascii="Calibri Light" w:hAnsi="Calibri Light" w:cs="Calibri Light"/>
          <w:color w:val="59595B"/>
          <w:lang w:val="en-GB"/>
        </w:rPr>
        <w:t>the reason for the hig</w:t>
      </w:r>
      <w:r w:rsidR="00134E79" w:rsidRPr="00A96D90">
        <w:rPr>
          <w:rFonts w:ascii="Calibri Light" w:hAnsi="Calibri Light" w:cs="Calibri Light"/>
          <w:color w:val="59595B"/>
          <w:lang w:val="en-GB"/>
        </w:rPr>
        <w:t>h</w:t>
      </w:r>
      <w:r w:rsidR="00E3390A" w:rsidRPr="00A96D90">
        <w:rPr>
          <w:rFonts w:ascii="Calibri Light" w:hAnsi="Calibri Light" w:cs="Calibri Light"/>
          <w:color w:val="59595B"/>
          <w:lang w:val="en-GB"/>
        </w:rPr>
        <w:t xml:space="preserve">er than expected sales in Q1 was </w:t>
      </w:r>
      <w:r w:rsidR="00134E79" w:rsidRPr="00A96D90">
        <w:rPr>
          <w:rFonts w:ascii="Calibri Light" w:hAnsi="Calibri Light" w:cs="Calibri Light"/>
          <w:color w:val="59595B"/>
          <w:lang w:val="en-GB"/>
        </w:rPr>
        <w:t>that some specialty pharmacies ordered precautionary replacement supplies</w:t>
      </w:r>
      <w:r w:rsidR="001200BD" w:rsidRPr="00A96D90">
        <w:rPr>
          <w:rFonts w:ascii="Calibri Light" w:hAnsi="Calibri Light" w:cs="Calibri Light"/>
          <w:color w:val="59595B"/>
          <w:lang w:val="en-GB"/>
        </w:rPr>
        <w:t xml:space="preserve"> after the </w:t>
      </w:r>
      <w:r w:rsidR="00603ED8">
        <w:rPr>
          <w:rFonts w:ascii="Calibri Light" w:hAnsi="Calibri Light" w:cs="Calibri Light"/>
          <w:color w:val="59595B"/>
        </w:rPr>
        <w:t>supply failure</w:t>
      </w:r>
      <w:r w:rsidR="00CA205C" w:rsidRPr="00A96D90">
        <w:rPr>
          <w:rFonts w:ascii="Calibri Light" w:hAnsi="Calibri Light" w:cs="Calibri Light"/>
          <w:color w:val="59595B"/>
          <w:lang w:val="en-GB"/>
        </w:rPr>
        <w:t xml:space="preserve"> of a </w:t>
      </w:r>
      <w:r w:rsidR="00603ED8">
        <w:rPr>
          <w:rFonts w:ascii="Calibri Light" w:hAnsi="Calibri Light" w:cs="Calibri Light"/>
          <w:color w:val="59595B"/>
        </w:rPr>
        <w:t xml:space="preserve">rival company’s blood-derived </w:t>
      </w:r>
      <w:r w:rsidR="00603ED8">
        <w:rPr>
          <w:rFonts w:ascii="Calibri Light" w:hAnsi="Calibri Light" w:cs="Calibri Light"/>
          <w:color w:val="59595B"/>
          <w:lang w:val="en-GB"/>
        </w:rPr>
        <w:t>C1INH</w:t>
      </w:r>
      <w:r w:rsidR="00603ED8" w:rsidRPr="00A96D90">
        <w:rPr>
          <w:rFonts w:ascii="Calibri Light" w:hAnsi="Calibri Light" w:cs="Calibri Light"/>
          <w:color w:val="59595B"/>
          <w:lang w:val="en-GB"/>
        </w:rPr>
        <w:t xml:space="preserve"> </w:t>
      </w:r>
      <w:r w:rsidR="00CA205C" w:rsidRPr="00A96D90">
        <w:rPr>
          <w:rFonts w:ascii="Calibri Light" w:hAnsi="Calibri Light" w:cs="Calibri Light"/>
          <w:color w:val="59595B"/>
          <w:lang w:val="en-GB"/>
        </w:rPr>
        <w:t>product</w:t>
      </w:r>
      <w:r w:rsidRPr="00A96D90">
        <w:rPr>
          <w:rFonts w:ascii="Calibri Light" w:hAnsi="Calibri Light" w:cs="Calibri Light"/>
          <w:color w:val="59595B"/>
          <w:lang w:val="en-GB"/>
        </w:rPr>
        <w:t xml:space="preserve">. Underlying patient numbers continue to increase steadily, which we anticipate will be further enhanced as the effects of the </w:t>
      </w:r>
      <w:r w:rsidR="007300CB">
        <w:rPr>
          <w:rFonts w:ascii="Calibri Light" w:hAnsi="Calibri Light" w:cs="Calibri Light"/>
          <w:color w:val="59595B"/>
        </w:rPr>
        <w:t>enlarged</w:t>
      </w:r>
      <w:r w:rsidRPr="00A96D90">
        <w:rPr>
          <w:rFonts w:ascii="Calibri Light" w:hAnsi="Calibri Light" w:cs="Calibri Light"/>
          <w:color w:val="59595B"/>
          <w:lang w:val="en-GB"/>
        </w:rPr>
        <w:t xml:space="preserve"> sales and marketing teams </w:t>
      </w:r>
      <w:r w:rsidRPr="00A96D90">
        <w:rPr>
          <w:rFonts w:ascii="Calibri Light" w:hAnsi="Calibri Light" w:cs="Calibri Light"/>
          <w:color w:val="59595B"/>
          <w:lang w:val="en-GB"/>
        </w:rPr>
        <w:lastRenderedPageBreak/>
        <w:t>become more visible later in the year</w:t>
      </w:r>
      <w:r w:rsidR="00134E79" w:rsidRPr="00A96D90">
        <w:rPr>
          <w:rFonts w:ascii="Calibri Light" w:hAnsi="Calibri Light" w:cs="Calibri Light"/>
          <w:color w:val="59595B"/>
          <w:lang w:val="en-GB"/>
        </w:rPr>
        <w:t xml:space="preserve">, and </w:t>
      </w:r>
      <w:r w:rsidR="007300CB">
        <w:rPr>
          <w:rFonts w:ascii="Calibri Light" w:hAnsi="Calibri Light" w:cs="Calibri Light"/>
          <w:color w:val="59595B"/>
        </w:rPr>
        <w:t>if approval is given for RUCONEST® in prophylaxis of HAE by the FDA. T</w:t>
      </w:r>
      <w:r w:rsidR="00134E79" w:rsidRPr="00A96D90">
        <w:rPr>
          <w:rFonts w:ascii="Calibri Light" w:hAnsi="Calibri Light" w:cs="Calibri Light"/>
          <w:color w:val="59595B"/>
          <w:lang w:val="en-GB"/>
        </w:rPr>
        <w:t>he benefits of these increasin</w:t>
      </w:r>
      <w:r w:rsidR="005D27D6" w:rsidRPr="00A96D90">
        <w:rPr>
          <w:rFonts w:ascii="Calibri Light" w:hAnsi="Calibri Light" w:cs="Calibri Light"/>
          <w:color w:val="59595B"/>
          <w:lang w:val="en-GB"/>
        </w:rPr>
        <w:t>g patient numbers should also b</w:t>
      </w:r>
      <w:r w:rsidR="00134E79" w:rsidRPr="00A96D90">
        <w:rPr>
          <w:rFonts w:ascii="Calibri Light" w:hAnsi="Calibri Light" w:cs="Calibri Light"/>
          <w:color w:val="59595B"/>
          <w:lang w:val="en-GB"/>
        </w:rPr>
        <w:t>e seen then</w:t>
      </w:r>
      <w:r w:rsidRPr="00A96D90">
        <w:rPr>
          <w:rFonts w:ascii="Calibri Light" w:hAnsi="Calibri Light" w:cs="Calibri Light"/>
          <w:color w:val="59595B"/>
          <w:lang w:val="en-GB"/>
        </w:rPr>
        <w:t xml:space="preserve">. Direct sales in the EU </w:t>
      </w:r>
      <w:r w:rsidR="007300CB">
        <w:rPr>
          <w:rFonts w:ascii="Calibri Light" w:hAnsi="Calibri Light" w:cs="Calibri Light"/>
          <w:color w:val="59595B"/>
        </w:rPr>
        <w:t xml:space="preserve">and rest of the world </w:t>
      </w:r>
      <w:r w:rsidRPr="00A96D90">
        <w:rPr>
          <w:rFonts w:ascii="Calibri Light" w:hAnsi="Calibri Light" w:cs="Calibri Light"/>
          <w:color w:val="59595B"/>
          <w:lang w:val="en-GB"/>
        </w:rPr>
        <w:t>improved to €</w:t>
      </w:r>
      <w:r w:rsidR="007300CB">
        <w:rPr>
          <w:rFonts w:ascii="Calibri Light" w:hAnsi="Calibri Light" w:cs="Calibri Light"/>
          <w:color w:val="59595B"/>
        </w:rPr>
        <w:t>1.4</w:t>
      </w:r>
      <w:r w:rsidRPr="00A96D90">
        <w:rPr>
          <w:rFonts w:ascii="Calibri Light" w:hAnsi="Calibri Light" w:cs="Calibri Light"/>
          <w:color w:val="59595B"/>
          <w:lang w:val="en-GB"/>
        </w:rPr>
        <w:t xml:space="preserve"> million in Q2 from €</w:t>
      </w:r>
      <w:r w:rsidR="007300CB">
        <w:rPr>
          <w:rFonts w:ascii="Calibri Light" w:hAnsi="Calibri Light" w:cs="Calibri Light"/>
          <w:color w:val="59595B"/>
        </w:rPr>
        <w:t>1.3</w:t>
      </w:r>
      <w:r w:rsidRPr="00A96D90">
        <w:rPr>
          <w:rFonts w:ascii="Calibri Light" w:hAnsi="Calibri Light" w:cs="Calibri Light"/>
          <w:color w:val="59595B"/>
          <w:lang w:val="en-GB"/>
        </w:rPr>
        <w:t xml:space="preserve"> million in Q1.</w:t>
      </w:r>
      <w:r w:rsidR="0040539E">
        <w:rPr>
          <w:rFonts w:ascii="Calibri Light" w:hAnsi="Calibri Light" w:cs="Calibri Light"/>
          <w:color w:val="59595B"/>
          <w:lang w:val="en-GB"/>
        </w:rPr>
        <w:t xml:space="preserve"> </w:t>
      </w:r>
    </w:p>
    <w:p w14:paraId="70BD7728" w14:textId="77777777"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Other license fee income amounted to €0.</w:t>
      </w:r>
      <w:r w:rsidR="007300CB">
        <w:rPr>
          <w:rFonts w:ascii="Calibri Light" w:hAnsi="Calibri Light" w:cs="Calibri Light"/>
          <w:color w:val="59595B"/>
        </w:rPr>
        <w:t>2</w:t>
      </w:r>
      <w:r w:rsidRPr="00A96D90">
        <w:rPr>
          <w:rFonts w:ascii="Calibri Light" w:hAnsi="Calibri Light" w:cs="Calibri Light"/>
          <w:color w:val="59595B"/>
          <w:lang w:val="en-GB"/>
        </w:rPr>
        <w:t xml:space="preserve"> million in Q2, which was in line with Q1. This license fee income reflects the release of accrued deferred license fees following receipt of €21.0 million upfront and milestone payments in 2010 and 2013 from SOBI and CSIPI. </w:t>
      </w:r>
    </w:p>
    <w:p w14:paraId="2F91305E"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Gross profit</w:t>
      </w:r>
    </w:p>
    <w:p w14:paraId="6FF96348" w14:textId="77777777" w:rsidR="003F3657" w:rsidRPr="00A96D90" w:rsidRDefault="005365CE" w:rsidP="00A03BA5">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 xml:space="preserve">Gross profit </w:t>
      </w:r>
      <w:r w:rsidR="007170F3">
        <w:rPr>
          <w:rFonts w:ascii="Calibri Light" w:hAnsi="Calibri Light" w:cs="Calibri Light"/>
          <w:color w:val="59595B"/>
        </w:rPr>
        <w:t>in</w:t>
      </w:r>
      <w:r w:rsidRPr="00A96D90">
        <w:rPr>
          <w:rFonts w:ascii="Calibri Light" w:hAnsi="Calibri Light" w:cs="Calibri Light"/>
          <w:color w:val="59595B"/>
          <w:lang w:val="en-GB"/>
        </w:rPr>
        <w:t>creased from €</w:t>
      </w:r>
      <w:r w:rsidR="007170F3">
        <w:rPr>
          <w:rFonts w:ascii="Calibri Light" w:hAnsi="Calibri Light" w:cs="Calibri Light"/>
          <w:color w:val="59595B"/>
        </w:rPr>
        <w:t>24.</w:t>
      </w:r>
      <w:r w:rsidR="00E6270E">
        <w:rPr>
          <w:rFonts w:ascii="Calibri Light" w:hAnsi="Calibri Light" w:cs="Calibri Light"/>
          <w:color w:val="59595B"/>
        </w:rPr>
        <w:t>5</w:t>
      </w:r>
      <w:r w:rsidRPr="00A96D90">
        <w:rPr>
          <w:rFonts w:ascii="Calibri Light" w:hAnsi="Calibri Light" w:cs="Calibri Light"/>
          <w:color w:val="59595B"/>
          <w:lang w:val="en-GB"/>
        </w:rPr>
        <w:t xml:space="preserve"> million Q1 to €</w:t>
      </w:r>
      <w:r w:rsidR="007170F3">
        <w:rPr>
          <w:rFonts w:ascii="Calibri Light" w:hAnsi="Calibri Light" w:cs="Calibri Light"/>
          <w:color w:val="59595B"/>
        </w:rPr>
        <w:t>25.</w:t>
      </w:r>
      <w:r w:rsidR="00E6270E">
        <w:rPr>
          <w:rFonts w:ascii="Calibri Light" w:hAnsi="Calibri Light" w:cs="Calibri Light"/>
          <w:color w:val="59595B"/>
        </w:rPr>
        <w:t>5</w:t>
      </w:r>
      <w:r w:rsidR="00603ED8"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million in Q2, reflecting the exchange </w:t>
      </w:r>
      <w:r w:rsidR="00603ED8">
        <w:rPr>
          <w:rFonts w:ascii="Calibri Light" w:hAnsi="Calibri Light" w:cs="Calibri Light"/>
          <w:color w:val="59595B"/>
        </w:rPr>
        <w:t>improvements</w:t>
      </w:r>
      <w:r w:rsidR="00603ED8"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and the slightly </w:t>
      </w:r>
      <w:r w:rsidR="007170F3">
        <w:rPr>
          <w:rFonts w:ascii="Calibri Light" w:hAnsi="Calibri Light" w:cs="Calibri Light"/>
          <w:color w:val="59595B"/>
        </w:rPr>
        <w:t>reduced</w:t>
      </w:r>
      <w:r w:rsidRPr="00A96D90">
        <w:rPr>
          <w:rFonts w:ascii="Calibri Light" w:hAnsi="Calibri Light" w:cs="Calibri Light"/>
          <w:color w:val="59595B"/>
          <w:lang w:val="en-GB"/>
        </w:rPr>
        <w:t xml:space="preserve"> proportion of </w:t>
      </w:r>
      <w:r w:rsidR="007170F3">
        <w:rPr>
          <w:rFonts w:ascii="Calibri Light" w:hAnsi="Calibri Light" w:cs="Calibri Light"/>
          <w:color w:val="59595B"/>
        </w:rPr>
        <w:t>sales to SOBI</w:t>
      </w:r>
      <w:r w:rsidRPr="00A96D90">
        <w:rPr>
          <w:rFonts w:ascii="Calibri Light" w:hAnsi="Calibri Light" w:cs="Calibri Light"/>
          <w:color w:val="59595B"/>
          <w:lang w:val="en-GB"/>
        </w:rPr>
        <w:t xml:space="preserve">. </w:t>
      </w:r>
    </w:p>
    <w:p w14:paraId="4D62B8E4" w14:textId="77777777" w:rsidR="007170F3" w:rsidRDefault="005365CE" w:rsidP="001B0F98">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Direct</w:t>
      </w:r>
      <w:r w:rsidR="00177426" w:rsidRPr="00A96D90">
        <w:rPr>
          <w:rFonts w:ascii="Calibri Light" w:hAnsi="Calibri Light" w:cs="Calibri Light"/>
          <w:color w:val="59595B"/>
          <w:lang w:val="en-GB"/>
        </w:rPr>
        <w:t xml:space="preserve"> commercialis</w:t>
      </w:r>
      <w:r w:rsidRPr="00A96D90">
        <w:rPr>
          <w:rFonts w:ascii="Calibri Light" w:hAnsi="Calibri Light" w:cs="Calibri Light"/>
          <w:color w:val="59595B"/>
          <w:lang w:val="en-GB"/>
        </w:rPr>
        <w:t>ation by Pharming in Western Europe increased by over 150% between the first</w:t>
      </w:r>
      <w:r w:rsidR="00603ED8">
        <w:rPr>
          <w:rFonts w:ascii="Calibri Light" w:hAnsi="Calibri Light" w:cs="Calibri Light"/>
          <w:color w:val="59595B"/>
        </w:rPr>
        <w:t xml:space="preserve"> half of 2017</w:t>
      </w:r>
      <w:r w:rsidRPr="00A96D90">
        <w:rPr>
          <w:rFonts w:ascii="Calibri Light" w:hAnsi="Calibri Light" w:cs="Calibri Light"/>
          <w:color w:val="59595B"/>
          <w:lang w:val="en-GB"/>
        </w:rPr>
        <w:t xml:space="preserve"> and </w:t>
      </w:r>
      <w:r w:rsidR="00603ED8">
        <w:rPr>
          <w:rFonts w:ascii="Calibri Light" w:hAnsi="Calibri Light" w:cs="Calibri Light"/>
          <w:color w:val="59595B"/>
        </w:rPr>
        <w:t>the first half of 2018,</w:t>
      </w:r>
      <w:r w:rsidRPr="00A96D90">
        <w:rPr>
          <w:rFonts w:ascii="Calibri Light" w:hAnsi="Calibri Light" w:cs="Calibri Light"/>
          <w:color w:val="59595B"/>
          <w:lang w:val="en-GB"/>
        </w:rPr>
        <w:t xml:space="preserve"> and sales </w:t>
      </w:r>
      <w:r w:rsidR="007170F3">
        <w:rPr>
          <w:rFonts w:ascii="Calibri Light" w:hAnsi="Calibri Light" w:cs="Calibri Light"/>
          <w:color w:val="59595B"/>
        </w:rPr>
        <w:t>by</w:t>
      </w:r>
      <w:r w:rsidRPr="00A96D90">
        <w:rPr>
          <w:rFonts w:ascii="Calibri Light" w:hAnsi="Calibri Light" w:cs="Calibri Light"/>
          <w:color w:val="59595B"/>
          <w:lang w:val="en-GB"/>
        </w:rPr>
        <w:t xml:space="preserve"> our EU partner, SOBI, also showed </w:t>
      </w:r>
      <w:r w:rsidR="007170F3">
        <w:rPr>
          <w:rFonts w:ascii="Calibri Light" w:hAnsi="Calibri Light" w:cs="Calibri Light"/>
          <w:color w:val="59595B"/>
        </w:rPr>
        <w:t>an</w:t>
      </w:r>
      <w:r w:rsidRPr="00A96D90">
        <w:rPr>
          <w:rFonts w:ascii="Calibri Light" w:hAnsi="Calibri Light" w:cs="Calibri Light"/>
          <w:color w:val="59595B"/>
          <w:lang w:val="en-GB"/>
        </w:rPr>
        <w:t xml:space="preserve"> increase in the first half year of 201</w:t>
      </w:r>
      <w:r w:rsidR="007170F3">
        <w:rPr>
          <w:rFonts w:ascii="Calibri Light" w:hAnsi="Calibri Light" w:cs="Calibri Light"/>
          <w:color w:val="59595B"/>
        </w:rPr>
        <w:t>8</w:t>
      </w:r>
      <w:r w:rsidRPr="00A96D90">
        <w:rPr>
          <w:rFonts w:ascii="Calibri Light" w:hAnsi="Calibri Light" w:cs="Calibri Light"/>
          <w:color w:val="59595B"/>
          <w:lang w:val="en-GB"/>
        </w:rPr>
        <w:t xml:space="preserve">. </w:t>
      </w:r>
    </w:p>
    <w:p w14:paraId="5F5BE6DB" w14:textId="77777777" w:rsidR="005365CE" w:rsidRPr="00A96D90" w:rsidRDefault="005365CE" w:rsidP="001B0F98">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 xml:space="preserve">Gross profit </w:t>
      </w:r>
      <w:r w:rsidR="007170F3">
        <w:rPr>
          <w:rFonts w:ascii="Calibri Light" w:hAnsi="Calibri Light" w:cs="Calibri Light"/>
          <w:color w:val="59595B"/>
        </w:rPr>
        <w:t xml:space="preserve">overall </w:t>
      </w:r>
      <w:r w:rsidRPr="00A96D90">
        <w:rPr>
          <w:rFonts w:ascii="Calibri Light" w:hAnsi="Calibri Light" w:cs="Calibri Light"/>
          <w:color w:val="59595B"/>
          <w:lang w:val="en-GB"/>
        </w:rPr>
        <w:t>was up from €</w:t>
      </w:r>
      <w:r w:rsidR="007170F3">
        <w:rPr>
          <w:rFonts w:ascii="Calibri Light" w:hAnsi="Calibri Light" w:cs="Calibri Light"/>
          <w:color w:val="59595B"/>
        </w:rPr>
        <w:t>27.0</w:t>
      </w:r>
      <w:r w:rsidRPr="00A96D90">
        <w:rPr>
          <w:rFonts w:ascii="Calibri Light" w:hAnsi="Calibri Light" w:cs="Calibri Light"/>
          <w:color w:val="59595B"/>
          <w:lang w:val="en-GB"/>
        </w:rPr>
        <w:t xml:space="preserve"> million in the first half of 201</w:t>
      </w:r>
      <w:r w:rsidR="007170F3">
        <w:rPr>
          <w:rFonts w:ascii="Calibri Light" w:hAnsi="Calibri Light" w:cs="Calibri Light"/>
          <w:color w:val="59595B"/>
        </w:rPr>
        <w:t>7</w:t>
      </w:r>
      <w:r w:rsidRPr="00A96D90">
        <w:rPr>
          <w:rFonts w:ascii="Calibri Light" w:hAnsi="Calibri Light" w:cs="Calibri Light"/>
          <w:color w:val="59595B"/>
          <w:lang w:val="en-GB"/>
        </w:rPr>
        <w:t xml:space="preserve"> to €</w:t>
      </w:r>
      <w:r w:rsidR="00603ED8">
        <w:rPr>
          <w:rFonts w:ascii="Calibri Light" w:hAnsi="Calibri Light" w:cs="Calibri Light"/>
          <w:color w:val="59595B"/>
        </w:rPr>
        <w:t>50.0</w:t>
      </w:r>
      <w:r w:rsidRPr="00A96D90">
        <w:rPr>
          <w:rFonts w:ascii="Calibri Light" w:hAnsi="Calibri Light" w:cs="Calibri Light"/>
          <w:color w:val="59595B"/>
          <w:lang w:val="en-GB"/>
        </w:rPr>
        <w:t xml:space="preserve"> million in the first half of 201</w:t>
      </w:r>
      <w:r w:rsidR="007170F3">
        <w:rPr>
          <w:rFonts w:ascii="Calibri Light" w:hAnsi="Calibri Light" w:cs="Calibri Light"/>
          <w:color w:val="59595B"/>
        </w:rPr>
        <w:t>8</w:t>
      </w:r>
      <w:r w:rsidRPr="00A96D90">
        <w:rPr>
          <w:rFonts w:ascii="Calibri Light" w:hAnsi="Calibri Light" w:cs="Calibri Light"/>
          <w:color w:val="59595B"/>
          <w:lang w:val="en-GB"/>
        </w:rPr>
        <w:t>.</w:t>
      </w:r>
    </w:p>
    <w:p w14:paraId="63B44C34"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Operating Costs</w:t>
      </w:r>
    </w:p>
    <w:p w14:paraId="16DC4F45" w14:textId="1B805D56" w:rsidR="005365CE" w:rsidRPr="00A96D90" w:rsidRDefault="005365CE" w:rsidP="001B0F98">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Operating costs increased to €</w:t>
      </w:r>
      <w:r w:rsidR="00E6270E">
        <w:rPr>
          <w:rFonts w:ascii="Calibri Light" w:hAnsi="Calibri Light" w:cs="Calibri Light"/>
          <w:color w:val="59595B"/>
        </w:rPr>
        <w:t>34.0</w:t>
      </w:r>
      <w:r w:rsidRPr="00A96D90">
        <w:rPr>
          <w:rFonts w:ascii="Calibri Light" w:hAnsi="Calibri Light" w:cs="Calibri Light"/>
          <w:color w:val="59595B"/>
          <w:lang w:val="en-GB"/>
        </w:rPr>
        <w:t xml:space="preserve"> million in the first half year of 201</w:t>
      </w:r>
      <w:r w:rsidR="00BA4304">
        <w:rPr>
          <w:rFonts w:ascii="Calibri Light" w:hAnsi="Calibri Light" w:cs="Calibri Light"/>
          <w:color w:val="59595B"/>
        </w:rPr>
        <w:t>8</w:t>
      </w:r>
      <w:r w:rsidRPr="00A96D90">
        <w:rPr>
          <w:rFonts w:ascii="Calibri Light" w:hAnsi="Calibri Light" w:cs="Calibri Light"/>
          <w:color w:val="59595B"/>
          <w:lang w:val="en-GB"/>
        </w:rPr>
        <w:t xml:space="preserve"> from €</w:t>
      </w:r>
      <w:r w:rsidR="00BA4304">
        <w:rPr>
          <w:rFonts w:ascii="Calibri Light" w:hAnsi="Calibri Light" w:cs="Calibri Light"/>
          <w:color w:val="59595B"/>
        </w:rPr>
        <w:t>22.9</w:t>
      </w:r>
      <w:r w:rsidRPr="00A96D90">
        <w:rPr>
          <w:rFonts w:ascii="Calibri Light" w:hAnsi="Calibri Light" w:cs="Calibri Light"/>
          <w:color w:val="59595B"/>
          <w:lang w:val="en-GB"/>
        </w:rPr>
        <w:t xml:space="preserve"> million in the same period of 201</w:t>
      </w:r>
      <w:r w:rsidR="00BA4304">
        <w:rPr>
          <w:rFonts w:ascii="Calibri Light" w:hAnsi="Calibri Light" w:cs="Calibri Light"/>
          <w:color w:val="59595B"/>
        </w:rPr>
        <w:t>7</w:t>
      </w:r>
      <w:r w:rsidRPr="00A96D90">
        <w:rPr>
          <w:rFonts w:ascii="Calibri Light" w:hAnsi="Calibri Light" w:cs="Calibri Light"/>
          <w:color w:val="59595B"/>
          <w:lang w:val="en-GB"/>
        </w:rPr>
        <w:t xml:space="preserve">. Research and development (R&amp;D) costs </w:t>
      </w:r>
      <w:r w:rsidR="00D73E2C">
        <w:rPr>
          <w:rFonts w:ascii="Calibri Light" w:hAnsi="Calibri Light" w:cs="Calibri Light"/>
          <w:color w:val="59595B"/>
        </w:rPr>
        <w:t xml:space="preserve">were slightly higher in the second quarter, resulting from the increased activity around new indications and new forms of RUCONEST®, </w:t>
      </w:r>
      <w:r w:rsidRPr="00A96D90">
        <w:rPr>
          <w:rFonts w:ascii="Calibri Light" w:hAnsi="Calibri Light" w:cs="Calibri Light"/>
          <w:color w:val="59595B"/>
          <w:lang w:val="en-GB"/>
        </w:rPr>
        <w:t xml:space="preserve">and General and Administrative costs remained flat across the second quarter, whilst marketing and sales costs </w:t>
      </w:r>
      <w:r w:rsidR="00B34178">
        <w:rPr>
          <w:rFonts w:ascii="Calibri Light" w:hAnsi="Calibri Light" w:cs="Calibri Light"/>
          <w:color w:val="59595B"/>
        </w:rPr>
        <w:t>were slightly higher in</w:t>
      </w:r>
      <w:r w:rsidRPr="00A96D90">
        <w:rPr>
          <w:rFonts w:ascii="Calibri Light" w:hAnsi="Calibri Light" w:cs="Calibri Light"/>
          <w:color w:val="59595B"/>
          <w:lang w:val="en-GB"/>
        </w:rPr>
        <w:t xml:space="preserve"> the second</w:t>
      </w:r>
      <w:r w:rsidR="00B34178">
        <w:rPr>
          <w:rFonts w:ascii="Calibri Light" w:hAnsi="Calibri Light" w:cs="Calibri Light"/>
          <w:color w:val="59595B"/>
        </w:rPr>
        <w:t xml:space="preserve"> quarter</w:t>
      </w:r>
      <w:r w:rsidRPr="00A96D90">
        <w:rPr>
          <w:rFonts w:ascii="Calibri Light" w:hAnsi="Calibri Light" w:cs="Calibri Light"/>
          <w:color w:val="59595B"/>
          <w:lang w:val="en-GB"/>
        </w:rPr>
        <w:t xml:space="preserve"> </w:t>
      </w:r>
      <w:r w:rsidR="003E1DD5" w:rsidRPr="00A96D90">
        <w:rPr>
          <w:rFonts w:ascii="Calibri Light" w:hAnsi="Calibri Light" w:cs="Calibri Light"/>
          <w:color w:val="59595B"/>
          <w:lang w:val="en-GB"/>
        </w:rPr>
        <w:t>due to</w:t>
      </w:r>
      <w:r w:rsidRPr="00A96D90">
        <w:rPr>
          <w:rFonts w:ascii="Calibri Light" w:hAnsi="Calibri Light" w:cs="Calibri Light"/>
          <w:color w:val="59595B"/>
          <w:lang w:val="en-GB"/>
        </w:rPr>
        <w:t xml:space="preserve"> increased direct commerciali</w:t>
      </w:r>
      <w:r w:rsidR="00177426" w:rsidRPr="00A96D90">
        <w:rPr>
          <w:rFonts w:ascii="Calibri Light" w:hAnsi="Calibri Light" w:cs="Calibri Light"/>
          <w:color w:val="59595B"/>
          <w:lang w:val="en-GB"/>
        </w:rPr>
        <w:t>s</w:t>
      </w:r>
      <w:r w:rsidRPr="00A96D90">
        <w:rPr>
          <w:rFonts w:ascii="Calibri Light" w:hAnsi="Calibri Light" w:cs="Calibri Light"/>
          <w:color w:val="59595B"/>
          <w:lang w:val="en-GB"/>
        </w:rPr>
        <w:t xml:space="preserve">ation activities by Pharming in the US </w:t>
      </w:r>
      <w:r w:rsidR="00384931" w:rsidRPr="00A96D90">
        <w:rPr>
          <w:rFonts w:ascii="Calibri Light" w:hAnsi="Calibri Light" w:cs="Calibri Light"/>
          <w:color w:val="59595B"/>
          <w:lang w:val="en-GB"/>
        </w:rPr>
        <w:t>and</w:t>
      </w:r>
      <w:r w:rsidRPr="00A96D90">
        <w:rPr>
          <w:rFonts w:ascii="Calibri Light" w:hAnsi="Calibri Light" w:cs="Calibri Light"/>
          <w:color w:val="59595B"/>
          <w:lang w:val="en-GB"/>
        </w:rPr>
        <w:t xml:space="preserve"> in Western Europe</w:t>
      </w:r>
      <w:r w:rsidR="00AD60C2">
        <w:rPr>
          <w:rFonts w:ascii="Calibri Light" w:hAnsi="Calibri Light" w:cs="Calibri Light"/>
          <w:color w:val="59595B"/>
          <w:lang w:val="en-GB"/>
        </w:rPr>
        <w:t>.</w:t>
      </w:r>
    </w:p>
    <w:p w14:paraId="1CD9BE85"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Operating Result</w:t>
      </w:r>
    </w:p>
    <w:p w14:paraId="686EAD7C" w14:textId="729405E8" w:rsidR="001B0F98"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As a result of the combination of the </w:t>
      </w:r>
      <w:r w:rsidR="00B34178">
        <w:rPr>
          <w:rFonts w:ascii="Calibri Light" w:hAnsi="Calibri Light" w:cs="Calibri Light"/>
          <w:color w:val="59595B"/>
        </w:rPr>
        <w:t>increase</w:t>
      </w:r>
      <w:r w:rsidRPr="00A96D90">
        <w:rPr>
          <w:rFonts w:ascii="Calibri Light" w:hAnsi="Calibri Light" w:cs="Calibri Light"/>
          <w:color w:val="59595B"/>
          <w:lang w:val="en-GB"/>
        </w:rPr>
        <w:t xml:space="preserve"> in gross profit and </w:t>
      </w:r>
      <w:r w:rsidR="002904A2" w:rsidRPr="00A96D90">
        <w:rPr>
          <w:rFonts w:ascii="Calibri Light" w:hAnsi="Calibri Light" w:cs="Calibri Light"/>
          <w:color w:val="59595B"/>
          <w:lang w:val="en-GB"/>
        </w:rPr>
        <w:t xml:space="preserve">the </w:t>
      </w:r>
      <w:r w:rsidR="002904A2">
        <w:rPr>
          <w:rFonts w:ascii="Calibri Light" w:hAnsi="Calibri Light" w:cs="Calibri Light"/>
          <w:color w:val="59595B"/>
        </w:rPr>
        <w:t>increase</w:t>
      </w:r>
      <w:r w:rsidRPr="00A96D90">
        <w:rPr>
          <w:rFonts w:ascii="Calibri Light" w:hAnsi="Calibri Light" w:cs="Calibri Light"/>
          <w:color w:val="59595B"/>
          <w:lang w:val="en-GB"/>
        </w:rPr>
        <w:t xml:space="preserve"> </w:t>
      </w:r>
      <w:r w:rsidR="00603ED8">
        <w:rPr>
          <w:rFonts w:ascii="Calibri Light" w:hAnsi="Calibri Light" w:cs="Calibri Light"/>
          <w:color w:val="59595B"/>
        </w:rPr>
        <w:t>in</w:t>
      </w:r>
      <w:r w:rsidR="00603ED8"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operating costs due to </w:t>
      </w:r>
      <w:r w:rsidR="00603ED8">
        <w:rPr>
          <w:rFonts w:ascii="Calibri Light" w:hAnsi="Calibri Light" w:cs="Calibri Light"/>
          <w:color w:val="59595B"/>
        </w:rPr>
        <w:t xml:space="preserve">greater </w:t>
      </w:r>
      <w:r w:rsidRPr="00A96D90">
        <w:rPr>
          <w:rFonts w:ascii="Calibri Light" w:hAnsi="Calibri Light" w:cs="Calibri Light"/>
          <w:color w:val="59595B"/>
          <w:lang w:val="en-GB"/>
        </w:rPr>
        <w:t xml:space="preserve">investment in </w:t>
      </w:r>
      <w:r w:rsidR="00B34178">
        <w:rPr>
          <w:rFonts w:ascii="Calibri Light" w:hAnsi="Calibri Light" w:cs="Calibri Light"/>
          <w:color w:val="59595B"/>
        </w:rPr>
        <w:t xml:space="preserve">clinical and </w:t>
      </w:r>
      <w:r w:rsidRPr="00A96D90">
        <w:rPr>
          <w:rFonts w:ascii="Calibri Light" w:hAnsi="Calibri Light" w:cs="Calibri Light"/>
          <w:color w:val="59595B"/>
          <w:lang w:val="en-GB"/>
        </w:rPr>
        <w:t>sales and marketing activities, the oper</w:t>
      </w:r>
      <w:r w:rsidR="00B34178">
        <w:rPr>
          <w:rFonts w:ascii="Calibri Light" w:hAnsi="Calibri Light" w:cs="Calibri Light"/>
          <w:color w:val="59595B"/>
          <w:lang w:val="en-GB"/>
        </w:rPr>
        <w:t xml:space="preserve">ating profit in the first half </w:t>
      </w:r>
      <w:r w:rsidR="00B34178">
        <w:rPr>
          <w:rFonts w:ascii="Calibri Light" w:hAnsi="Calibri Light" w:cs="Calibri Light"/>
          <w:color w:val="59595B"/>
        </w:rPr>
        <w:t>de</w:t>
      </w:r>
      <w:r w:rsidRPr="00A96D90">
        <w:rPr>
          <w:rFonts w:ascii="Calibri Light" w:hAnsi="Calibri Light" w:cs="Calibri Light"/>
          <w:color w:val="59595B"/>
          <w:lang w:val="en-GB"/>
        </w:rPr>
        <w:t xml:space="preserve">creased </w:t>
      </w:r>
      <w:r w:rsidR="003E1DD5" w:rsidRPr="00A96D90">
        <w:rPr>
          <w:rFonts w:ascii="Calibri Light" w:hAnsi="Calibri Light" w:cs="Calibri Light"/>
          <w:color w:val="59595B"/>
          <w:lang w:val="en-GB"/>
        </w:rPr>
        <w:t xml:space="preserve">slightly </w:t>
      </w:r>
      <w:r w:rsidRPr="00A96D90">
        <w:rPr>
          <w:rFonts w:ascii="Calibri Light" w:hAnsi="Calibri Light" w:cs="Calibri Light"/>
          <w:color w:val="59595B"/>
          <w:lang w:val="en-GB"/>
        </w:rPr>
        <w:t>from €</w:t>
      </w:r>
      <w:r w:rsidR="00B34178">
        <w:rPr>
          <w:rFonts w:ascii="Calibri Light" w:hAnsi="Calibri Light" w:cs="Calibri Light"/>
          <w:color w:val="59595B"/>
        </w:rPr>
        <w:t>8.2</w:t>
      </w:r>
      <w:r w:rsidRPr="00A96D90">
        <w:rPr>
          <w:rFonts w:ascii="Calibri Light" w:hAnsi="Calibri Light" w:cs="Calibri Light"/>
          <w:color w:val="59595B"/>
          <w:lang w:val="en-GB"/>
        </w:rPr>
        <w:t xml:space="preserve"> million in the first quarter to €</w:t>
      </w:r>
      <w:r w:rsidR="001D160D">
        <w:rPr>
          <w:rFonts w:ascii="Calibri Light" w:hAnsi="Calibri Light" w:cs="Calibri Light"/>
          <w:color w:val="59595B"/>
        </w:rPr>
        <w:t>8.</w:t>
      </w:r>
      <w:r w:rsidR="001D160D">
        <w:rPr>
          <w:rFonts w:ascii="Calibri Light" w:hAnsi="Calibri Light" w:cs="Calibri Light"/>
          <w:color w:val="59595B"/>
          <w:lang w:val="en-GB"/>
        </w:rPr>
        <w:t>1</w:t>
      </w:r>
      <w:r w:rsidR="00603ED8"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million </w:t>
      </w:r>
      <w:r w:rsidR="002904A2">
        <w:rPr>
          <w:rFonts w:ascii="Calibri Light" w:hAnsi="Calibri Light" w:cs="Calibri Light"/>
          <w:color w:val="59595B"/>
        </w:rPr>
        <w:t>in the</w:t>
      </w:r>
      <w:r w:rsidR="00B34178">
        <w:rPr>
          <w:rFonts w:ascii="Calibri Light" w:hAnsi="Calibri Light" w:cs="Calibri Light"/>
          <w:color w:val="59595B"/>
        </w:rPr>
        <w:t xml:space="preserve"> second quarter</w:t>
      </w:r>
      <w:r w:rsidR="001D160D">
        <w:rPr>
          <w:rFonts w:ascii="Calibri Light" w:hAnsi="Calibri Light" w:cs="Calibri Light"/>
          <w:color w:val="59595B"/>
        </w:rPr>
        <w:t>,</w:t>
      </w:r>
      <w:r w:rsidR="00B34178">
        <w:rPr>
          <w:rFonts w:ascii="Calibri Light" w:hAnsi="Calibri Light" w:cs="Calibri Light"/>
          <w:color w:val="59595B"/>
        </w:rPr>
        <w:t xml:space="preserve"> and €</w:t>
      </w:r>
      <w:r w:rsidR="001D160D">
        <w:rPr>
          <w:rFonts w:ascii="Calibri Light" w:hAnsi="Calibri Light" w:cs="Calibri Light"/>
          <w:color w:val="59595B"/>
        </w:rPr>
        <w:t xml:space="preserve">16.3 </w:t>
      </w:r>
      <w:r w:rsidR="00B34178">
        <w:rPr>
          <w:rFonts w:ascii="Calibri Light" w:hAnsi="Calibri Light" w:cs="Calibri Light"/>
          <w:color w:val="59595B"/>
        </w:rPr>
        <w:t xml:space="preserve">million </w:t>
      </w:r>
      <w:r w:rsidRPr="00A96D90">
        <w:rPr>
          <w:rFonts w:ascii="Calibri Light" w:hAnsi="Calibri Light" w:cs="Calibri Light"/>
          <w:color w:val="59595B"/>
          <w:lang w:val="en-GB"/>
        </w:rPr>
        <w:t xml:space="preserve">overall for the half year. </w:t>
      </w:r>
    </w:p>
    <w:p w14:paraId="79025E96" w14:textId="77777777" w:rsidR="00C54797"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Financial Income and Expenses</w:t>
      </w:r>
    </w:p>
    <w:p w14:paraId="6AF399F3" w14:textId="03764EE0" w:rsidR="0035377D" w:rsidRPr="00032C26" w:rsidRDefault="005365CE" w:rsidP="00A068BF">
      <w:pPr>
        <w:pStyle w:val="NoSpacing"/>
        <w:spacing w:after="240"/>
        <w:ind w:right="144"/>
        <w:jc w:val="both"/>
        <w:rPr>
          <w:rFonts w:ascii="Calibri Light" w:hAnsi="Calibri Light"/>
          <w:color w:val="59595B"/>
          <w:lang w:val="en-GB"/>
        </w:rPr>
      </w:pPr>
      <w:r w:rsidRPr="00A96D90">
        <w:rPr>
          <w:rFonts w:ascii="Calibri Light" w:hAnsi="Calibri Light" w:cs="Calibri Light"/>
          <w:color w:val="59595B"/>
          <w:lang w:val="en-GB"/>
        </w:rPr>
        <w:t xml:space="preserve">The net loss on financial income and expenses </w:t>
      </w:r>
      <w:r w:rsidRPr="001D160D">
        <w:rPr>
          <w:rFonts w:ascii="Calibri Light" w:hAnsi="Calibri Light" w:cs="Calibri Light"/>
          <w:color w:val="59595B"/>
          <w:lang w:val="en-GB"/>
        </w:rPr>
        <w:t>was €</w:t>
      </w:r>
      <w:r w:rsidR="001D160D" w:rsidRPr="001D160D">
        <w:rPr>
          <w:rFonts w:ascii="Calibri Light" w:hAnsi="Calibri Light" w:cs="Calibri Light"/>
          <w:color w:val="59595B"/>
          <w:lang w:val="en-GB"/>
        </w:rPr>
        <w:t>9</w:t>
      </w:r>
      <w:r w:rsidR="001D160D">
        <w:rPr>
          <w:rFonts w:ascii="Calibri Light" w:hAnsi="Calibri Light" w:cs="Calibri Light"/>
          <w:color w:val="59595B"/>
          <w:lang w:val="en-GB"/>
        </w:rPr>
        <w:t>.0</w:t>
      </w:r>
      <w:r w:rsidR="00603ED8" w:rsidRPr="001D160D">
        <w:rPr>
          <w:rFonts w:ascii="Calibri Light" w:hAnsi="Calibri Light" w:cs="Calibri Light"/>
          <w:color w:val="59595B"/>
          <w:lang w:val="en-GB"/>
        </w:rPr>
        <w:t xml:space="preserve"> </w:t>
      </w:r>
      <w:r w:rsidRPr="001D160D">
        <w:rPr>
          <w:rFonts w:ascii="Calibri Light" w:hAnsi="Calibri Light" w:cs="Calibri Light"/>
          <w:color w:val="59595B"/>
          <w:lang w:val="en-GB"/>
        </w:rPr>
        <w:t>million</w:t>
      </w:r>
      <w:r w:rsidR="00531C1C" w:rsidRPr="001D160D">
        <w:rPr>
          <w:rFonts w:ascii="Calibri Light" w:hAnsi="Calibri Light" w:cs="Calibri Light"/>
          <w:color w:val="59595B"/>
          <w:lang w:val="en-GB"/>
        </w:rPr>
        <w:t xml:space="preserve"> (201</w:t>
      </w:r>
      <w:r w:rsidR="00B34178" w:rsidRPr="001D160D">
        <w:rPr>
          <w:rFonts w:ascii="Calibri Light" w:hAnsi="Calibri Light" w:cs="Calibri Light"/>
          <w:color w:val="59595B"/>
        </w:rPr>
        <w:t>7</w:t>
      </w:r>
      <w:r w:rsidR="00531C1C" w:rsidRPr="001D160D">
        <w:rPr>
          <w:rFonts w:ascii="Calibri Light" w:hAnsi="Calibri Light" w:cs="Calibri Light"/>
          <w:color w:val="59595B"/>
          <w:lang w:val="en-GB"/>
        </w:rPr>
        <w:t>: loss of €</w:t>
      </w:r>
      <w:r w:rsidR="00B34178" w:rsidRPr="001D160D">
        <w:rPr>
          <w:rFonts w:ascii="Calibri Light" w:hAnsi="Calibri Light" w:cs="Calibri Light"/>
          <w:color w:val="59595B"/>
        </w:rPr>
        <w:t>34.5</w:t>
      </w:r>
      <w:r w:rsidR="00531C1C" w:rsidRPr="001D160D">
        <w:rPr>
          <w:rFonts w:ascii="Calibri Light" w:hAnsi="Calibri Light" w:cs="Calibri Light"/>
          <w:color w:val="59595B"/>
          <w:lang w:val="en-GB"/>
        </w:rPr>
        <w:t xml:space="preserve"> million)</w:t>
      </w:r>
      <w:r w:rsidRPr="001D160D">
        <w:rPr>
          <w:rFonts w:ascii="Calibri Light" w:hAnsi="Calibri Light" w:cs="Calibri Light"/>
          <w:color w:val="59595B"/>
          <w:lang w:val="en-GB"/>
        </w:rPr>
        <w:t xml:space="preserve">. </w:t>
      </w:r>
      <w:r w:rsidR="00B34178" w:rsidRPr="001D160D">
        <w:rPr>
          <w:rFonts w:ascii="Calibri Light" w:hAnsi="Calibri Light" w:cs="Calibri Light"/>
          <w:color w:val="59595B"/>
        </w:rPr>
        <w:t>The improvement is due almost entirely to the elimination of</w:t>
      </w:r>
      <w:r w:rsidR="003E1DD5" w:rsidRPr="001D160D">
        <w:rPr>
          <w:rFonts w:ascii="Calibri Light" w:hAnsi="Calibri Light" w:cs="Calibri Light"/>
          <w:color w:val="59595B"/>
          <w:lang w:val="en-GB"/>
        </w:rPr>
        <w:t xml:space="preserve"> non-cash elements</w:t>
      </w:r>
      <w:r w:rsidR="00B34178" w:rsidRPr="001D160D">
        <w:rPr>
          <w:rFonts w:ascii="Calibri Light" w:hAnsi="Calibri Light" w:cs="Calibri Light"/>
          <w:color w:val="59595B"/>
        </w:rPr>
        <w:t xml:space="preserve"> related to the now-cleared warrant and convertible instruments</w:t>
      </w:r>
      <w:r w:rsidR="002C3C56" w:rsidRPr="001D160D">
        <w:rPr>
          <w:rFonts w:ascii="Calibri Light" w:hAnsi="Calibri Light" w:cs="Calibri Light"/>
          <w:color w:val="59595B"/>
          <w:lang w:val="en-GB"/>
        </w:rPr>
        <w:t xml:space="preserve">. The </w:t>
      </w:r>
      <w:r w:rsidR="005D27D6" w:rsidRPr="001D160D">
        <w:rPr>
          <w:rFonts w:ascii="Calibri Light" w:hAnsi="Calibri Light" w:cs="Calibri Light"/>
          <w:color w:val="59595B"/>
          <w:lang w:val="en-GB"/>
        </w:rPr>
        <w:t xml:space="preserve">regular </w:t>
      </w:r>
      <w:r w:rsidR="002C3C56" w:rsidRPr="001D160D">
        <w:rPr>
          <w:rFonts w:ascii="Calibri Light" w:hAnsi="Calibri Light" w:cs="Calibri Light"/>
          <w:color w:val="59595B"/>
          <w:lang w:val="en-GB"/>
        </w:rPr>
        <w:t xml:space="preserve">costs </w:t>
      </w:r>
      <w:r w:rsidR="005D27D6" w:rsidRPr="001D160D">
        <w:rPr>
          <w:rFonts w:ascii="Calibri Light" w:hAnsi="Calibri Light" w:cs="Calibri Light"/>
          <w:color w:val="59595B"/>
          <w:lang w:val="en-GB"/>
        </w:rPr>
        <w:t xml:space="preserve">of repayments and effective interest under IFRS </w:t>
      </w:r>
      <w:r w:rsidR="002C3C56" w:rsidRPr="001D160D">
        <w:rPr>
          <w:rFonts w:ascii="Calibri Light" w:hAnsi="Calibri Light" w:cs="Calibri Light"/>
          <w:color w:val="59595B"/>
          <w:lang w:val="en-GB"/>
        </w:rPr>
        <w:t xml:space="preserve">were </w:t>
      </w:r>
      <w:r w:rsidR="002C3C56" w:rsidRPr="00E97C41">
        <w:rPr>
          <w:rFonts w:ascii="Calibri Light" w:hAnsi="Calibri Light" w:cs="Calibri Light"/>
          <w:color w:val="59595B"/>
          <w:lang w:val="en-GB"/>
        </w:rPr>
        <w:t>€</w:t>
      </w:r>
      <w:r w:rsidR="001D160D" w:rsidRPr="00E97C41">
        <w:rPr>
          <w:rFonts w:ascii="Calibri Light" w:hAnsi="Calibri Light" w:cs="Calibri Light"/>
          <w:color w:val="59595B"/>
        </w:rPr>
        <w:t>6.3</w:t>
      </w:r>
      <w:r w:rsidR="002C3C56" w:rsidRPr="00E97C41">
        <w:rPr>
          <w:rFonts w:ascii="Calibri Light" w:hAnsi="Calibri Light" w:cs="Calibri Light"/>
          <w:color w:val="59595B"/>
          <w:lang w:val="en-GB"/>
        </w:rPr>
        <w:t xml:space="preserve"> million</w:t>
      </w:r>
      <w:r w:rsidR="005D27D6" w:rsidRPr="001D160D">
        <w:rPr>
          <w:rFonts w:ascii="Calibri Light" w:hAnsi="Calibri Light" w:cs="Calibri Light"/>
          <w:color w:val="59595B"/>
          <w:lang w:val="en-GB"/>
        </w:rPr>
        <w:t>,</w:t>
      </w:r>
      <w:r w:rsidR="002C3C56" w:rsidRPr="001D160D">
        <w:rPr>
          <w:rFonts w:ascii="Calibri Light" w:hAnsi="Calibri Light" w:cs="Calibri Light"/>
          <w:color w:val="59595B"/>
          <w:lang w:val="en-GB"/>
        </w:rPr>
        <w:t xml:space="preserve"> of which cash </w:t>
      </w:r>
      <w:r w:rsidR="005D27D6" w:rsidRPr="001D160D">
        <w:rPr>
          <w:rFonts w:ascii="Calibri Light" w:hAnsi="Calibri Light" w:cs="Calibri Light"/>
          <w:color w:val="59595B"/>
          <w:lang w:val="en-GB"/>
        </w:rPr>
        <w:t xml:space="preserve">items were </w:t>
      </w:r>
      <w:r w:rsidR="0035377D" w:rsidRPr="00E97C41">
        <w:rPr>
          <w:rFonts w:ascii="Calibri Light" w:hAnsi="Calibri Light" w:cs="Calibri Light"/>
          <w:color w:val="59595B"/>
          <w:lang w:val="en-GB"/>
        </w:rPr>
        <w:t>€</w:t>
      </w:r>
      <w:r w:rsidR="001D160D" w:rsidRPr="00E97C41">
        <w:rPr>
          <w:rFonts w:ascii="Calibri Light" w:hAnsi="Calibri Light" w:cs="Calibri Light"/>
          <w:color w:val="59595B"/>
        </w:rPr>
        <w:t>5.4</w:t>
      </w:r>
      <w:r w:rsidR="00603ED8" w:rsidRPr="00E97C41">
        <w:rPr>
          <w:rFonts w:ascii="Calibri Light" w:hAnsi="Calibri Light" w:cs="Calibri Light"/>
          <w:color w:val="59595B"/>
          <w:lang w:val="en-GB"/>
        </w:rPr>
        <w:t xml:space="preserve"> </w:t>
      </w:r>
      <w:r w:rsidR="0035377D" w:rsidRPr="00E97C41">
        <w:rPr>
          <w:rFonts w:ascii="Calibri Light" w:hAnsi="Calibri Light" w:cs="Calibri Light"/>
          <w:color w:val="59595B"/>
          <w:lang w:val="en-GB"/>
        </w:rPr>
        <w:t>million</w:t>
      </w:r>
      <w:r w:rsidR="00CC73D2" w:rsidRPr="001D160D">
        <w:rPr>
          <w:rFonts w:ascii="Calibri Light" w:hAnsi="Calibri Light" w:cs="Calibri Light"/>
          <w:color w:val="59595B"/>
          <w:lang w:val="en-GB"/>
        </w:rPr>
        <w:t xml:space="preserve"> and non-cash </w:t>
      </w:r>
      <w:r w:rsidR="005D27D6" w:rsidRPr="001D160D">
        <w:rPr>
          <w:rFonts w:ascii="Calibri Light" w:hAnsi="Calibri Light" w:cs="Calibri Light"/>
          <w:color w:val="59595B"/>
          <w:lang w:val="en-GB"/>
        </w:rPr>
        <w:t xml:space="preserve">items amounted to </w:t>
      </w:r>
      <w:r w:rsidR="00CC73D2" w:rsidRPr="00E97C41">
        <w:rPr>
          <w:rFonts w:ascii="Calibri Light" w:hAnsi="Calibri Light" w:cs="Calibri Light"/>
          <w:color w:val="59595B"/>
          <w:lang w:val="en-GB"/>
        </w:rPr>
        <w:t>€</w:t>
      </w:r>
      <w:r w:rsidR="001D160D" w:rsidRPr="00E97C41">
        <w:rPr>
          <w:rFonts w:ascii="Calibri Light" w:hAnsi="Calibri Light" w:cs="Calibri Light"/>
          <w:color w:val="59595B"/>
          <w:lang w:val="en-GB"/>
        </w:rPr>
        <w:t>0.9</w:t>
      </w:r>
      <w:r w:rsidR="00CC73D2" w:rsidRPr="00E97C41">
        <w:rPr>
          <w:rFonts w:ascii="Calibri Light" w:hAnsi="Calibri Light" w:cs="Calibri Light"/>
          <w:color w:val="59595B"/>
          <w:lang w:val="en-GB"/>
        </w:rPr>
        <w:t xml:space="preserve"> million</w:t>
      </w:r>
      <w:r w:rsidR="00CC73D2" w:rsidRPr="001D160D">
        <w:rPr>
          <w:rFonts w:ascii="Calibri Light" w:hAnsi="Calibri Light" w:cs="Calibri Light"/>
          <w:color w:val="59595B"/>
          <w:lang w:val="en-GB"/>
        </w:rPr>
        <w:t>.</w:t>
      </w:r>
      <w:r w:rsidR="0040539E" w:rsidRPr="001D160D">
        <w:rPr>
          <w:rFonts w:ascii="Calibri Light" w:hAnsi="Calibri Light" w:cs="Calibri Light"/>
          <w:color w:val="59595B"/>
          <w:lang w:val="en-GB"/>
        </w:rPr>
        <w:t xml:space="preserve"> </w:t>
      </w:r>
      <w:r w:rsidR="0035377D" w:rsidRPr="001D160D">
        <w:rPr>
          <w:rFonts w:ascii="Calibri Light" w:hAnsi="Calibri Light" w:cs="Calibri Light"/>
          <w:color w:val="59595B"/>
          <w:lang w:val="en-GB"/>
        </w:rPr>
        <w:t xml:space="preserve">The revaluation on the </w:t>
      </w:r>
      <w:r w:rsidR="00B34178" w:rsidRPr="001D160D">
        <w:rPr>
          <w:rFonts w:ascii="Calibri Light" w:hAnsi="Calibri Light" w:cs="Calibri Light"/>
          <w:color w:val="59595B"/>
        </w:rPr>
        <w:t xml:space="preserve">small number of outstanding </w:t>
      </w:r>
      <w:r w:rsidR="0035377D" w:rsidRPr="001D160D">
        <w:rPr>
          <w:rFonts w:ascii="Calibri Light" w:hAnsi="Calibri Light" w:cs="Calibri Light"/>
          <w:color w:val="59595B"/>
          <w:lang w:val="en-GB"/>
        </w:rPr>
        <w:t xml:space="preserve">warrants </w:t>
      </w:r>
      <w:r w:rsidR="00CC73D2" w:rsidRPr="001D160D">
        <w:rPr>
          <w:rFonts w:ascii="Calibri Light" w:hAnsi="Calibri Light" w:cs="Calibri Light"/>
          <w:color w:val="59595B"/>
          <w:lang w:val="en-GB"/>
        </w:rPr>
        <w:t>resulted in</w:t>
      </w:r>
      <w:r w:rsidR="0035377D" w:rsidRPr="001D160D">
        <w:rPr>
          <w:rFonts w:ascii="Calibri Light" w:hAnsi="Calibri Light" w:cs="Calibri Light"/>
          <w:color w:val="59595B"/>
          <w:lang w:val="en-GB"/>
        </w:rPr>
        <w:t xml:space="preserve"> a loss of </w:t>
      </w:r>
      <w:r w:rsidR="0035377D" w:rsidRPr="00E97C41">
        <w:rPr>
          <w:rFonts w:ascii="Calibri Light" w:hAnsi="Calibri Light" w:cs="Calibri Light"/>
          <w:color w:val="59595B"/>
          <w:lang w:val="en-GB"/>
        </w:rPr>
        <w:t>€</w:t>
      </w:r>
      <w:r w:rsidR="00603ED8" w:rsidRPr="00E97C41">
        <w:rPr>
          <w:rFonts w:ascii="Calibri Light" w:hAnsi="Calibri Light" w:cs="Calibri Light"/>
          <w:color w:val="59595B"/>
        </w:rPr>
        <w:t>1.2</w:t>
      </w:r>
      <w:r w:rsidR="0035377D" w:rsidRPr="00E97C41">
        <w:rPr>
          <w:rFonts w:ascii="Calibri Light" w:hAnsi="Calibri Light" w:cs="Calibri Light"/>
          <w:color w:val="59595B"/>
          <w:lang w:val="en-GB"/>
        </w:rPr>
        <w:t xml:space="preserve"> million</w:t>
      </w:r>
      <w:r w:rsidR="0035377D" w:rsidRPr="001D160D">
        <w:rPr>
          <w:rFonts w:ascii="Calibri Light" w:hAnsi="Calibri Light" w:cs="Calibri Light"/>
          <w:color w:val="59595B"/>
          <w:lang w:val="en-GB"/>
        </w:rPr>
        <w:t xml:space="preserve"> in the first half year (201</w:t>
      </w:r>
      <w:r w:rsidR="00B34178" w:rsidRPr="001D160D">
        <w:rPr>
          <w:rFonts w:ascii="Calibri Light" w:hAnsi="Calibri Light" w:cs="Calibri Light"/>
          <w:color w:val="59595B"/>
        </w:rPr>
        <w:t>7</w:t>
      </w:r>
      <w:r w:rsidR="0035377D" w:rsidRPr="001D160D">
        <w:rPr>
          <w:rFonts w:ascii="Calibri Light" w:hAnsi="Calibri Light" w:cs="Calibri Light"/>
          <w:color w:val="59595B"/>
          <w:lang w:val="en-GB"/>
        </w:rPr>
        <w:t xml:space="preserve">: </w:t>
      </w:r>
      <w:r w:rsidR="00B34178" w:rsidRPr="001D160D">
        <w:rPr>
          <w:rFonts w:ascii="Calibri Light" w:hAnsi="Calibri Light" w:cs="Calibri Light"/>
          <w:color w:val="59595B"/>
        </w:rPr>
        <w:t>loss</w:t>
      </w:r>
      <w:r w:rsidR="0035377D" w:rsidRPr="001D160D">
        <w:rPr>
          <w:rFonts w:ascii="Calibri Light" w:hAnsi="Calibri Light" w:cs="Calibri Light"/>
          <w:color w:val="59595B"/>
          <w:lang w:val="en-GB"/>
        </w:rPr>
        <w:t xml:space="preserve"> of </w:t>
      </w:r>
      <w:r w:rsidR="0035377D" w:rsidRPr="00E97C41">
        <w:rPr>
          <w:rFonts w:ascii="Calibri Light" w:hAnsi="Calibri Light" w:cs="Calibri Light"/>
          <w:color w:val="59595B"/>
          <w:lang w:val="en-GB"/>
        </w:rPr>
        <w:t>€</w:t>
      </w:r>
      <w:r w:rsidR="00B34178" w:rsidRPr="00E97C41">
        <w:rPr>
          <w:rFonts w:ascii="Calibri Light" w:hAnsi="Calibri Light" w:cs="Calibri Light"/>
          <w:color w:val="59595B"/>
        </w:rPr>
        <w:t>1.2</w:t>
      </w:r>
      <w:r w:rsidR="0035377D" w:rsidRPr="00E97C41">
        <w:rPr>
          <w:rFonts w:ascii="Calibri Light" w:hAnsi="Calibri Light" w:cs="Calibri Light"/>
          <w:color w:val="59595B"/>
          <w:lang w:val="en-GB"/>
        </w:rPr>
        <w:t xml:space="preserve"> million</w:t>
      </w:r>
      <w:r w:rsidR="0035377D" w:rsidRPr="001D160D">
        <w:rPr>
          <w:rFonts w:ascii="Calibri Light" w:hAnsi="Calibri Light" w:cs="Calibri Light"/>
          <w:color w:val="59595B"/>
          <w:lang w:val="en-GB"/>
        </w:rPr>
        <w:t>)</w:t>
      </w:r>
      <w:r w:rsidR="00B34178" w:rsidRPr="001D160D">
        <w:rPr>
          <w:rFonts w:ascii="Calibri Light" w:hAnsi="Calibri Light" w:cs="Calibri Light"/>
          <w:color w:val="59595B"/>
        </w:rPr>
        <w:t>,</w:t>
      </w:r>
      <w:r w:rsidR="0035377D" w:rsidRPr="00A96D90">
        <w:rPr>
          <w:rFonts w:ascii="Calibri Light" w:hAnsi="Calibri Light" w:cs="Calibri Light"/>
          <w:color w:val="59595B"/>
          <w:lang w:val="en-GB"/>
        </w:rPr>
        <w:t xml:space="preserve"> mainly due to the </w:t>
      </w:r>
      <w:r w:rsidR="005D27D6" w:rsidRPr="00A96D90">
        <w:rPr>
          <w:rFonts w:ascii="Calibri Light" w:hAnsi="Calibri Light" w:cs="Calibri Light"/>
          <w:color w:val="59595B"/>
          <w:lang w:val="en-GB"/>
        </w:rPr>
        <w:t xml:space="preserve">effect of the </w:t>
      </w:r>
      <w:r w:rsidR="001D160D">
        <w:rPr>
          <w:rFonts w:ascii="Calibri Light" w:hAnsi="Calibri Light" w:cs="Calibri Light"/>
          <w:color w:val="59595B"/>
          <w:lang w:val="en-GB"/>
        </w:rPr>
        <w:t xml:space="preserve">larger </w:t>
      </w:r>
      <w:r w:rsidR="0035377D" w:rsidRPr="00A96D90">
        <w:rPr>
          <w:rFonts w:ascii="Calibri Light" w:hAnsi="Calibri Light" w:cs="Calibri Light"/>
          <w:color w:val="59595B"/>
          <w:lang w:val="en-GB"/>
        </w:rPr>
        <w:t xml:space="preserve">increase </w:t>
      </w:r>
      <w:r w:rsidR="00E25BDF" w:rsidRPr="00A96D90">
        <w:rPr>
          <w:rFonts w:ascii="Calibri Light" w:hAnsi="Calibri Light" w:cs="Calibri Light"/>
          <w:color w:val="59595B"/>
          <w:lang w:val="en-GB"/>
        </w:rPr>
        <w:t xml:space="preserve">in </w:t>
      </w:r>
      <w:r w:rsidR="0035377D" w:rsidRPr="00A96D90">
        <w:rPr>
          <w:rFonts w:ascii="Calibri Light" w:hAnsi="Calibri Light" w:cs="Calibri Light"/>
          <w:color w:val="59595B"/>
          <w:lang w:val="en-GB"/>
        </w:rPr>
        <w:t xml:space="preserve">the share </w:t>
      </w:r>
      <w:r w:rsidR="00B34178">
        <w:rPr>
          <w:rFonts w:ascii="Calibri Light" w:hAnsi="Calibri Light" w:cs="Calibri Light"/>
          <w:color w:val="59595B"/>
        </w:rPr>
        <w:t>price</w:t>
      </w:r>
      <w:r w:rsidR="00603ED8">
        <w:rPr>
          <w:rFonts w:ascii="Calibri Light" w:hAnsi="Calibri Light" w:cs="Calibri Light"/>
          <w:color w:val="59595B"/>
        </w:rPr>
        <w:t xml:space="preserve"> on a much smaller number of warrants</w:t>
      </w:r>
      <w:r w:rsidR="0035377D" w:rsidRPr="00A96D90">
        <w:rPr>
          <w:rFonts w:ascii="Calibri Light" w:hAnsi="Calibri Light" w:cs="Calibri Light"/>
          <w:color w:val="59595B"/>
          <w:lang w:val="en-GB"/>
        </w:rPr>
        <w:t>.</w:t>
      </w:r>
      <w:r w:rsidR="00926454">
        <w:rPr>
          <w:rFonts w:ascii="Calibri Light" w:hAnsi="Calibri Light" w:cs="Calibri Light"/>
          <w:color w:val="59595B"/>
        </w:rPr>
        <w:t xml:space="preserve">  </w:t>
      </w:r>
      <w:r w:rsidR="0035377D" w:rsidRPr="00A96D90">
        <w:rPr>
          <w:rFonts w:ascii="Calibri Light" w:hAnsi="Calibri Light" w:cs="Calibri Light"/>
          <w:color w:val="59595B"/>
          <w:lang w:val="en-GB"/>
        </w:rPr>
        <w:t xml:space="preserve">The foreign currency </w:t>
      </w:r>
      <w:r w:rsidR="008F382A" w:rsidRPr="00A96D90">
        <w:rPr>
          <w:rFonts w:ascii="Calibri Light" w:hAnsi="Calibri Light" w:cs="Calibri Light"/>
          <w:color w:val="59595B"/>
          <w:lang w:val="en-GB"/>
        </w:rPr>
        <w:t xml:space="preserve">exchange </w:t>
      </w:r>
      <w:r w:rsidR="0035377D" w:rsidRPr="00A96D90">
        <w:rPr>
          <w:rFonts w:ascii="Calibri Light" w:hAnsi="Calibri Light" w:cs="Calibri Light"/>
          <w:color w:val="59595B"/>
          <w:lang w:val="en-GB"/>
        </w:rPr>
        <w:t>result</w:t>
      </w:r>
      <w:r w:rsidR="00CC73D2" w:rsidRPr="00A96D90">
        <w:rPr>
          <w:rFonts w:ascii="Calibri Light" w:hAnsi="Calibri Light" w:cs="Calibri Light"/>
          <w:color w:val="59595B"/>
          <w:lang w:val="en-GB"/>
        </w:rPr>
        <w:t xml:space="preserve">, from revaluation of bank accounts and debt </w:t>
      </w:r>
      <w:r w:rsidR="008F382A" w:rsidRPr="00A96D90">
        <w:rPr>
          <w:rFonts w:ascii="Calibri Light" w:hAnsi="Calibri Light" w:cs="Calibri Light"/>
          <w:color w:val="59595B"/>
          <w:lang w:val="en-GB"/>
        </w:rPr>
        <w:t>de</w:t>
      </w:r>
      <w:r w:rsidR="00CC73D2" w:rsidRPr="00A96D90">
        <w:rPr>
          <w:rFonts w:ascii="Calibri Light" w:hAnsi="Calibri Light" w:cs="Calibri Light"/>
          <w:color w:val="59595B"/>
          <w:lang w:val="en-GB"/>
        </w:rPr>
        <w:t xml:space="preserve">nominated in foreign currency, was a </w:t>
      </w:r>
      <w:r w:rsidR="001D160D">
        <w:rPr>
          <w:rFonts w:ascii="Calibri Light" w:hAnsi="Calibri Light" w:cs="Calibri Light"/>
          <w:color w:val="59595B"/>
          <w:lang w:val="en-GB"/>
        </w:rPr>
        <w:t>net</w:t>
      </w:r>
      <w:r w:rsidR="00603ED8">
        <w:rPr>
          <w:rFonts w:ascii="Calibri Light" w:hAnsi="Calibri Light" w:cs="Calibri Light"/>
          <w:color w:val="59595B"/>
        </w:rPr>
        <w:t>loss</w:t>
      </w:r>
      <w:r w:rsidR="00603ED8" w:rsidRPr="00A96D90">
        <w:rPr>
          <w:rFonts w:ascii="Calibri Light" w:hAnsi="Calibri Light" w:cs="Calibri Light"/>
          <w:color w:val="59595B"/>
          <w:lang w:val="en-GB"/>
        </w:rPr>
        <w:t xml:space="preserve"> </w:t>
      </w:r>
      <w:r w:rsidR="00CC73D2" w:rsidRPr="001D160D">
        <w:rPr>
          <w:rFonts w:ascii="Calibri Light" w:hAnsi="Calibri Light" w:cs="Calibri Light"/>
          <w:color w:val="59595B"/>
          <w:lang w:val="en-GB"/>
        </w:rPr>
        <w:t xml:space="preserve">of </w:t>
      </w:r>
      <w:r w:rsidR="00CC73D2" w:rsidRPr="00E97C41">
        <w:rPr>
          <w:rFonts w:ascii="Calibri Light" w:hAnsi="Calibri Light" w:cs="Calibri Light"/>
          <w:color w:val="59595B"/>
          <w:lang w:val="en-GB"/>
        </w:rPr>
        <w:t>€</w:t>
      </w:r>
      <w:r w:rsidR="00E1424D" w:rsidRPr="00E97C41">
        <w:rPr>
          <w:rFonts w:ascii="Calibri Light" w:hAnsi="Calibri Light" w:cs="Calibri Light"/>
          <w:color w:val="59595B"/>
        </w:rPr>
        <w:t>0.5</w:t>
      </w:r>
      <w:r w:rsidR="00CC73D2" w:rsidRPr="00E97C41">
        <w:rPr>
          <w:rFonts w:ascii="Calibri Light" w:hAnsi="Calibri Light" w:cs="Calibri Light"/>
          <w:color w:val="59595B"/>
          <w:lang w:val="en-GB"/>
        </w:rPr>
        <w:t xml:space="preserve"> million</w:t>
      </w:r>
      <w:r w:rsidR="00CC73D2" w:rsidRPr="00E1424D">
        <w:rPr>
          <w:rFonts w:ascii="Calibri Light" w:hAnsi="Calibri Light" w:cs="Calibri Light"/>
          <w:color w:val="59595B"/>
          <w:lang w:val="en-GB"/>
        </w:rPr>
        <w:t xml:space="preserve"> (201</w:t>
      </w:r>
      <w:r w:rsidR="00B34178" w:rsidRPr="00E1424D">
        <w:rPr>
          <w:rFonts w:ascii="Calibri Light" w:hAnsi="Calibri Light" w:cs="Calibri Light"/>
          <w:color w:val="59595B"/>
        </w:rPr>
        <w:t>7</w:t>
      </w:r>
      <w:r w:rsidR="00CC73D2" w:rsidRPr="00F654DB">
        <w:rPr>
          <w:rFonts w:ascii="Calibri Light" w:hAnsi="Calibri Light" w:cs="Calibri Light"/>
          <w:color w:val="59595B"/>
          <w:lang w:val="en-GB"/>
        </w:rPr>
        <w:t xml:space="preserve">: </w:t>
      </w:r>
      <w:r w:rsidR="00CC73D2" w:rsidRPr="00E97C41">
        <w:rPr>
          <w:rFonts w:ascii="Calibri Light" w:hAnsi="Calibri Light" w:cs="Calibri Light"/>
          <w:color w:val="59595B"/>
          <w:lang w:val="en-GB"/>
        </w:rPr>
        <w:t>€</w:t>
      </w:r>
      <w:r w:rsidR="00B34178" w:rsidRPr="00E97C41">
        <w:rPr>
          <w:rFonts w:ascii="Calibri Light" w:hAnsi="Calibri Light" w:cs="Calibri Light"/>
          <w:color w:val="59595B"/>
        </w:rPr>
        <w:t>2.</w:t>
      </w:r>
      <w:r w:rsidR="00E1424D" w:rsidRPr="00E97C41">
        <w:rPr>
          <w:rFonts w:ascii="Calibri Light" w:hAnsi="Calibri Light" w:cs="Calibri Light"/>
          <w:color w:val="59595B"/>
        </w:rPr>
        <w:t>8</w:t>
      </w:r>
      <w:r w:rsidR="00603ED8" w:rsidRPr="00E97C41">
        <w:rPr>
          <w:rFonts w:ascii="Calibri Light" w:hAnsi="Calibri Light" w:cs="Calibri Light"/>
          <w:color w:val="59595B"/>
        </w:rPr>
        <w:t xml:space="preserve"> million</w:t>
      </w:r>
      <w:r w:rsidR="00CC73D2" w:rsidRPr="00E1424D">
        <w:rPr>
          <w:rFonts w:ascii="Calibri Light" w:hAnsi="Calibri Light" w:cs="Calibri Light"/>
          <w:color w:val="59595B"/>
          <w:lang w:val="en-GB"/>
        </w:rPr>
        <w:t>).</w:t>
      </w:r>
      <w:r w:rsidR="00CC73D2" w:rsidRPr="001D160D">
        <w:rPr>
          <w:rFonts w:ascii="Calibri Light" w:hAnsi="Calibri Light" w:cs="Calibri Light"/>
          <w:color w:val="59595B"/>
          <w:lang w:val="en-GB"/>
        </w:rPr>
        <w:t xml:space="preserve"> </w:t>
      </w:r>
    </w:p>
    <w:p w14:paraId="59488D49" w14:textId="79A61038" w:rsidR="005470BC" w:rsidRPr="005470BC" w:rsidRDefault="005470BC" w:rsidP="005470BC">
      <w:pPr>
        <w:pStyle w:val="NoSpacing"/>
        <w:spacing w:before="120"/>
        <w:ind w:right="142"/>
        <w:jc w:val="both"/>
        <w:rPr>
          <w:rFonts w:ascii="Calibri Light" w:hAnsi="Calibri Light" w:cs="Calibri Light"/>
          <w:b/>
          <w:color w:val="59595B"/>
        </w:rPr>
      </w:pPr>
      <w:r>
        <w:rPr>
          <w:rFonts w:ascii="Calibri Light" w:hAnsi="Calibri Light" w:cs="Calibri Light"/>
          <w:b/>
          <w:color w:val="59595B"/>
        </w:rPr>
        <w:t>Income Tax Expense</w:t>
      </w:r>
    </w:p>
    <w:p w14:paraId="4F611544" w14:textId="62536B9B" w:rsidR="005470BC" w:rsidRPr="00A96D90" w:rsidRDefault="005470BC" w:rsidP="005470BC">
      <w:pPr>
        <w:pStyle w:val="NoSpacing"/>
        <w:spacing w:after="240"/>
        <w:ind w:right="144"/>
        <w:jc w:val="both"/>
        <w:rPr>
          <w:rFonts w:ascii="Calibri Light" w:hAnsi="Calibri Light" w:cs="Calibri Light"/>
          <w:color w:val="59595B"/>
          <w:lang w:val="en-GB"/>
        </w:rPr>
      </w:pPr>
      <w:r>
        <w:rPr>
          <w:rFonts w:ascii="Calibri Light" w:hAnsi="Calibri Light" w:cs="Calibri Light"/>
          <w:color w:val="59595B"/>
        </w:rPr>
        <w:t>The income tax expense relates to a provision of €0.9 million for corporate taxes expected on profits generated in our US subsidiary. These taxes have been set against accumulated net operating losses through a reduction of the deferred tax asset by the same amount</w:t>
      </w:r>
      <w:r w:rsidRPr="00A96D90">
        <w:rPr>
          <w:rFonts w:ascii="Calibri Light" w:hAnsi="Calibri Light" w:cs="Calibri Light"/>
          <w:color w:val="59595B"/>
          <w:lang w:val="en-GB"/>
        </w:rPr>
        <w:t xml:space="preserve">. </w:t>
      </w:r>
    </w:p>
    <w:p w14:paraId="1E65EA0D" w14:textId="77777777" w:rsidR="005365CE" w:rsidRPr="001D160D" w:rsidRDefault="005365CE" w:rsidP="00C54797">
      <w:pPr>
        <w:pStyle w:val="NoSpacing"/>
        <w:spacing w:before="120"/>
        <w:ind w:right="142"/>
        <w:jc w:val="both"/>
        <w:rPr>
          <w:rFonts w:ascii="Calibri Light" w:hAnsi="Calibri Light" w:cs="Calibri Light"/>
          <w:b/>
          <w:color w:val="59595B"/>
          <w:lang w:val="en-GB"/>
        </w:rPr>
      </w:pPr>
      <w:r w:rsidRPr="001D160D">
        <w:rPr>
          <w:rFonts w:ascii="Calibri Light" w:hAnsi="Calibri Light" w:cs="Calibri Light"/>
          <w:b/>
          <w:color w:val="59595B"/>
          <w:lang w:val="en-GB"/>
        </w:rPr>
        <w:t>Net Result</w:t>
      </w:r>
    </w:p>
    <w:p w14:paraId="46D0C86B" w14:textId="77777777" w:rsidR="005365CE" w:rsidRPr="00A96D90" w:rsidRDefault="005365CE" w:rsidP="00A068BF">
      <w:pPr>
        <w:pStyle w:val="NoSpacing"/>
        <w:spacing w:after="240"/>
        <w:ind w:right="144"/>
        <w:jc w:val="both"/>
        <w:rPr>
          <w:rFonts w:ascii="Calibri Light" w:hAnsi="Calibri Light" w:cs="Calibri Light"/>
          <w:color w:val="59595B"/>
          <w:lang w:val="en-GB"/>
        </w:rPr>
      </w:pPr>
      <w:r w:rsidRPr="001D160D">
        <w:rPr>
          <w:rFonts w:ascii="Calibri Light" w:hAnsi="Calibri Light" w:cs="Calibri Light"/>
          <w:color w:val="59595B"/>
          <w:lang w:val="en-GB"/>
        </w:rPr>
        <w:t xml:space="preserve">As a result of the above items, the accounting net </w:t>
      </w:r>
      <w:r w:rsidR="00B34178" w:rsidRPr="001D160D">
        <w:rPr>
          <w:rFonts w:ascii="Calibri Light" w:hAnsi="Calibri Light" w:cs="Calibri Light"/>
          <w:color w:val="59595B"/>
        </w:rPr>
        <w:t>result</w:t>
      </w:r>
      <w:r w:rsidRPr="001D160D">
        <w:rPr>
          <w:rFonts w:ascii="Calibri Light" w:hAnsi="Calibri Light" w:cs="Calibri Light"/>
          <w:color w:val="59595B"/>
          <w:lang w:val="en-GB"/>
        </w:rPr>
        <w:t xml:space="preserve"> </w:t>
      </w:r>
      <w:r w:rsidR="00B34178" w:rsidRPr="001D160D">
        <w:rPr>
          <w:rFonts w:ascii="Calibri Light" w:hAnsi="Calibri Light" w:cs="Calibri Light"/>
          <w:color w:val="59595B"/>
        </w:rPr>
        <w:t>changed</w:t>
      </w:r>
      <w:r w:rsidRPr="001D160D">
        <w:rPr>
          <w:rFonts w:ascii="Calibri Light" w:hAnsi="Calibri Light" w:cs="Calibri Light"/>
          <w:color w:val="59595B"/>
          <w:lang w:val="en-GB"/>
        </w:rPr>
        <w:t xml:space="preserve"> from </w:t>
      </w:r>
      <w:r w:rsidR="00B34178" w:rsidRPr="001D160D">
        <w:rPr>
          <w:rFonts w:ascii="Calibri Light" w:hAnsi="Calibri Light" w:cs="Calibri Light"/>
          <w:color w:val="59595B"/>
        </w:rPr>
        <w:t xml:space="preserve">a </w:t>
      </w:r>
      <w:r w:rsidRPr="001D160D">
        <w:rPr>
          <w:rFonts w:ascii="Calibri Light" w:hAnsi="Calibri Light" w:cs="Calibri Light"/>
          <w:color w:val="59595B"/>
          <w:lang w:val="en-GB"/>
        </w:rPr>
        <w:t>€</w:t>
      </w:r>
      <w:r w:rsidR="00B34178" w:rsidRPr="001D160D">
        <w:rPr>
          <w:rFonts w:ascii="Calibri Light" w:hAnsi="Calibri Light" w:cs="Calibri Light"/>
          <w:color w:val="59595B"/>
        </w:rPr>
        <w:t>30.</w:t>
      </w:r>
      <w:r w:rsidR="00E6270E">
        <w:rPr>
          <w:rFonts w:ascii="Calibri Light" w:hAnsi="Calibri Light" w:cs="Calibri Light"/>
          <w:color w:val="59595B"/>
        </w:rPr>
        <w:t>2</w:t>
      </w:r>
      <w:r w:rsidRPr="001D160D">
        <w:rPr>
          <w:rFonts w:ascii="Calibri Light" w:hAnsi="Calibri Light" w:cs="Calibri Light"/>
          <w:color w:val="59595B"/>
          <w:lang w:val="en-GB"/>
        </w:rPr>
        <w:t xml:space="preserve"> million</w:t>
      </w:r>
      <w:r w:rsidR="00B34178" w:rsidRPr="001D160D">
        <w:rPr>
          <w:rFonts w:ascii="Calibri Light" w:hAnsi="Calibri Light" w:cs="Calibri Light"/>
          <w:color w:val="59595B"/>
        </w:rPr>
        <w:t xml:space="preserve"> loss</w:t>
      </w:r>
      <w:r w:rsidRPr="001D160D">
        <w:rPr>
          <w:rFonts w:ascii="Calibri Light" w:hAnsi="Calibri Light" w:cs="Calibri Light"/>
          <w:color w:val="59595B"/>
          <w:lang w:val="en-GB"/>
        </w:rPr>
        <w:t xml:space="preserve"> in the first </w:t>
      </w:r>
      <w:r w:rsidR="00B34178" w:rsidRPr="001D160D">
        <w:rPr>
          <w:rFonts w:ascii="Calibri Light" w:hAnsi="Calibri Light" w:cs="Calibri Light"/>
          <w:color w:val="59595B"/>
        </w:rPr>
        <w:t>half</w:t>
      </w:r>
      <w:r w:rsidRPr="001D160D">
        <w:rPr>
          <w:rFonts w:ascii="Calibri Light" w:hAnsi="Calibri Light" w:cs="Calibri Light"/>
          <w:color w:val="59595B"/>
          <w:lang w:val="en-GB"/>
        </w:rPr>
        <w:t xml:space="preserve"> of </w:t>
      </w:r>
      <w:r w:rsidR="00F23751" w:rsidRPr="001D160D">
        <w:rPr>
          <w:rFonts w:ascii="Calibri Light" w:hAnsi="Calibri Light" w:cs="Calibri Light"/>
          <w:color w:val="59595B"/>
          <w:lang w:val="en-GB"/>
        </w:rPr>
        <w:t>201</w:t>
      </w:r>
      <w:r w:rsidR="00B34178" w:rsidRPr="001D160D">
        <w:rPr>
          <w:rFonts w:ascii="Calibri Light" w:hAnsi="Calibri Light" w:cs="Calibri Light"/>
          <w:color w:val="59595B"/>
        </w:rPr>
        <w:t>7</w:t>
      </w:r>
      <w:r w:rsidRPr="001D160D">
        <w:rPr>
          <w:rFonts w:ascii="Calibri Light" w:hAnsi="Calibri Light" w:cs="Calibri Light"/>
          <w:color w:val="59595B"/>
          <w:lang w:val="en-GB"/>
        </w:rPr>
        <w:t xml:space="preserve"> to </w:t>
      </w:r>
      <w:r w:rsidR="00B34178" w:rsidRPr="001D160D">
        <w:rPr>
          <w:rFonts w:ascii="Calibri Light" w:hAnsi="Calibri Light" w:cs="Calibri Light"/>
          <w:color w:val="59595B"/>
        </w:rPr>
        <w:t xml:space="preserve">a net profit of </w:t>
      </w:r>
      <w:r w:rsidRPr="001D160D">
        <w:rPr>
          <w:rFonts w:ascii="Calibri Light" w:hAnsi="Calibri Light" w:cs="Calibri Light"/>
          <w:color w:val="59595B"/>
          <w:lang w:val="en-GB"/>
        </w:rPr>
        <w:t>€</w:t>
      </w:r>
      <w:r w:rsidR="001D160D" w:rsidRPr="00B23AE2">
        <w:rPr>
          <w:rFonts w:ascii="Calibri Light" w:hAnsi="Calibri Light" w:cs="Calibri Light"/>
          <w:color w:val="59595B"/>
        </w:rPr>
        <w:t>6.4</w:t>
      </w:r>
      <w:r w:rsidRPr="001D160D">
        <w:rPr>
          <w:rFonts w:ascii="Calibri Light" w:hAnsi="Calibri Light" w:cs="Calibri Light"/>
          <w:color w:val="59595B"/>
          <w:lang w:val="en-GB"/>
        </w:rPr>
        <w:t xml:space="preserve"> million in the first half of 201</w:t>
      </w:r>
      <w:r w:rsidR="00E6270E">
        <w:rPr>
          <w:rFonts w:ascii="Calibri Light" w:hAnsi="Calibri Light" w:cs="Calibri Light"/>
          <w:color w:val="59595B"/>
          <w:lang w:val="en-GB"/>
        </w:rPr>
        <w:t>8</w:t>
      </w:r>
      <w:r w:rsidRPr="001D160D">
        <w:rPr>
          <w:rFonts w:ascii="Calibri Light" w:hAnsi="Calibri Light" w:cs="Calibri Light"/>
          <w:color w:val="59595B"/>
          <w:lang w:val="en-GB"/>
        </w:rPr>
        <w:t xml:space="preserve">. The </w:t>
      </w:r>
      <w:r w:rsidR="00B34178" w:rsidRPr="001D160D">
        <w:rPr>
          <w:rFonts w:ascii="Calibri Light" w:hAnsi="Calibri Light" w:cs="Calibri Light"/>
          <w:color w:val="59595B"/>
        </w:rPr>
        <w:t>improvement</w:t>
      </w:r>
      <w:r w:rsidRPr="001D160D">
        <w:rPr>
          <w:rFonts w:ascii="Calibri Light" w:hAnsi="Calibri Light" w:cs="Calibri Light"/>
          <w:color w:val="59595B"/>
          <w:lang w:val="en-GB"/>
        </w:rPr>
        <w:t xml:space="preserve"> was related </w:t>
      </w:r>
      <w:r w:rsidRPr="001D160D">
        <w:rPr>
          <w:rFonts w:ascii="Calibri Light" w:hAnsi="Calibri Light" w:cs="Calibri Light"/>
          <w:color w:val="59595B"/>
          <w:lang w:val="en-GB"/>
        </w:rPr>
        <w:lastRenderedPageBreak/>
        <w:t xml:space="preserve">to </w:t>
      </w:r>
      <w:r w:rsidR="00B34178" w:rsidRPr="001D160D">
        <w:rPr>
          <w:rFonts w:ascii="Calibri Light" w:hAnsi="Calibri Light" w:cs="Calibri Light"/>
          <w:color w:val="59595B"/>
        </w:rPr>
        <w:t>strong growth in sales over the last 12 months</w:t>
      </w:r>
      <w:r w:rsidR="00B34178">
        <w:rPr>
          <w:rFonts w:ascii="Calibri Light" w:hAnsi="Calibri Light" w:cs="Calibri Light"/>
          <w:color w:val="59595B"/>
        </w:rPr>
        <w:t xml:space="preserve"> and the elimination of </w:t>
      </w:r>
      <w:r w:rsidRPr="00A96D90">
        <w:rPr>
          <w:rFonts w:ascii="Calibri Light" w:hAnsi="Calibri Light" w:cs="Calibri Light"/>
          <w:color w:val="59595B"/>
          <w:lang w:val="en-GB"/>
        </w:rPr>
        <w:t>the financial expenses associated with the refinance</w:t>
      </w:r>
      <w:r w:rsidR="00B34178">
        <w:rPr>
          <w:rFonts w:ascii="Calibri Light" w:hAnsi="Calibri Light" w:cs="Calibri Light"/>
          <w:color w:val="59595B"/>
        </w:rPr>
        <w:t xml:space="preserve"> in 2017</w:t>
      </w:r>
      <w:r w:rsidRPr="00A96D90">
        <w:rPr>
          <w:rFonts w:ascii="Calibri Light" w:hAnsi="Calibri Light" w:cs="Calibri Light"/>
          <w:color w:val="59595B"/>
          <w:lang w:val="en-GB"/>
        </w:rPr>
        <w:t xml:space="preserve">. </w:t>
      </w:r>
    </w:p>
    <w:p w14:paraId="52A58697"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Cash and Cash Equivalents</w:t>
      </w:r>
    </w:p>
    <w:p w14:paraId="332920E7" w14:textId="77777777"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The total cash and cash equivalent position (including restricted cash) </w:t>
      </w:r>
      <w:r w:rsidR="00B34178">
        <w:rPr>
          <w:rFonts w:ascii="Calibri Light" w:hAnsi="Calibri Light" w:cs="Calibri Light"/>
          <w:color w:val="59595B"/>
        </w:rPr>
        <w:t>increased</w:t>
      </w:r>
      <w:r w:rsidRPr="00A96D90">
        <w:rPr>
          <w:rFonts w:ascii="Calibri Light" w:hAnsi="Calibri Light" w:cs="Calibri Light"/>
          <w:color w:val="59595B"/>
          <w:lang w:val="en-GB"/>
        </w:rPr>
        <w:t xml:space="preserve"> by €</w:t>
      </w:r>
      <w:r w:rsidR="002D6396">
        <w:rPr>
          <w:rFonts w:ascii="Calibri Light" w:hAnsi="Calibri Light" w:cs="Calibri Light"/>
          <w:color w:val="59595B"/>
        </w:rPr>
        <w:t>6.9</w:t>
      </w:r>
      <w:r w:rsidRPr="00A96D90">
        <w:rPr>
          <w:rFonts w:ascii="Calibri Light" w:hAnsi="Calibri Light" w:cs="Calibri Light"/>
          <w:color w:val="59595B"/>
          <w:lang w:val="en-GB"/>
        </w:rPr>
        <w:t xml:space="preserve"> million from €</w:t>
      </w:r>
      <w:r w:rsidR="002D6396">
        <w:rPr>
          <w:rFonts w:ascii="Calibri Light" w:hAnsi="Calibri Light" w:cs="Calibri Light"/>
          <w:color w:val="59595B"/>
        </w:rPr>
        <w:t>60.0</w:t>
      </w:r>
      <w:r w:rsidRPr="00A96D90">
        <w:rPr>
          <w:rFonts w:ascii="Calibri Light" w:hAnsi="Calibri Light" w:cs="Calibri Light"/>
          <w:color w:val="59595B"/>
          <w:lang w:val="en-GB"/>
        </w:rPr>
        <w:t xml:space="preserve"> million at </w:t>
      </w:r>
      <w:r w:rsidR="00B34178">
        <w:rPr>
          <w:rFonts w:ascii="Calibri Light" w:hAnsi="Calibri Light" w:cs="Calibri Light"/>
          <w:color w:val="59595B"/>
        </w:rPr>
        <w:t>March 31, 2018</w:t>
      </w:r>
      <w:r w:rsidRPr="00A96D90">
        <w:rPr>
          <w:rFonts w:ascii="Calibri Light" w:hAnsi="Calibri Light" w:cs="Calibri Light"/>
          <w:color w:val="59595B"/>
          <w:lang w:val="en-GB"/>
        </w:rPr>
        <w:t xml:space="preserve"> to </w:t>
      </w:r>
      <w:r w:rsidR="00B34178">
        <w:rPr>
          <w:rFonts w:ascii="Calibri Light" w:hAnsi="Calibri Light" w:cs="Calibri Light"/>
          <w:color w:val="59595B"/>
        </w:rPr>
        <w:t>€</w:t>
      </w:r>
      <w:r w:rsidR="002D6396">
        <w:rPr>
          <w:rFonts w:ascii="Calibri Light" w:hAnsi="Calibri Light" w:cs="Calibri Light"/>
          <w:color w:val="59595B"/>
        </w:rPr>
        <w:t>66</w:t>
      </w:r>
      <w:r w:rsidR="00B34178">
        <w:rPr>
          <w:rFonts w:ascii="Calibri Light" w:hAnsi="Calibri Light" w:cs="Calibri Light"/>
          <w:color w:val="59595B"/>
        </w:rPr>
        <w:t xml:space="preserve">.9 million at 30 June 2018 (and </w:t>
      </w:r>
      <w:r w:rsidRPr="00A96D90">
        <w:rPr>
          <w:rFonts w:ascii="Calibri Light" w:hAnsi="Calibri Light" w:cs="Calibri Light"/>
          <w:color w:val="59595B"/>
          <w:lang w:val="en-GB"/>
        </w:rPr>
        <w:t>€25.</w:t>
      </w:r>
      <w:r w:rsidR="00705875" w:rsidRPr="00A96D90">
        <w:rPr>
          <w:rFonts w:ascii="Calibri Light" w:hAnsi="Calibri Light" w:cs="Calibri Light"/>
          <w:color w:val="59595B"/>
          <w:lang w:val="en-GB"/>
        </w:rPr>
        <w:t>2</w:t>
      </w:r>
      <w:r w:rsidRPr="00A96D90">
        <w:rPr>
          <w:rFonts w:ascii="Calibri Light" w:hAnsi="Calibri Light" w:cs="Calibri Light"/>
          <w:color w:val="59595B"/>
          <w:lang w:val="en-GB"/>
        </w:rPr>
        <w:t xml:space="preserve"> million at the end of June 2017</w:t>
      </w:r>
      <w:r w:rsidR="00B34178">
        <w:rPr>
          <w:rFonts w:ascii="Calibri Light" w:hAnsi="Calibri Light" w:cs="Calibri Light"/>
          <w:color w:val="59595B"/>
        </w:rPr>
        <w:t>)</w:t>
      </w:r>
      <w:r w:rsidRPr="00A96D90">
        <w:rPr>
          <w:rFonts w:ascii="Calibri Light" w:hAnsi="Calibri Light" w:cs="Calibri Light"/>
          <w:color w:val="59595B"/>
          <w:lang w:val="en-GB"/>
        </w:rPr>
        <w:t xml:space="preserve">. The </w:t>
      </w:r>
      <w:r w:rsidR="00B34178">
        <w:rPr>
          <w:rFonts w:ascii="Calibri Light" w:hAnsi="Calibri Light" w:cs="Calibri Light"/>
          <w:color w:val="59595B"/>
        </w:rPr>
        <w:t>in</w:t>
      </w:r>
      <w:r w:rsidRPr="00A96D90">
        <w:rPr>
          <w:rFonts w:ascii="Calibri Light" w:hAnsi="Calibri Light" w:cs="Calibri Light"/>
          <w:color w:val="59595B"/>
          <w:lang w:val="en-GB"/>
        </w:rPr>
        <w:t xml:space="preserve">crease in cash is </w:t>
      </w:r>
      <w:r w:rsidR="00B34178">
        <w:rPr>
          <w:rFonts w:ascii="Calibri Light" w:hAnsi="Calibri Light" w:cs="Calibri Light"/>
          <w:color w:val="59595B"/>
        </w:rPr>
        <w:t xml:space="preserve">consistent with the </w:t>
      </w:r>
      <w:r w:rsidR="002D6396">
        <w:rPr>
          <w:rFonts w:ascii="Calibri Light" w:hAnsi="Calibri Light" w:cs="Calibri Light"/>
          <w:color w:val="59595B"/>
        </w:rPr>
        <w:t xml:space="preserve">underlying </w:t>
      </w:r>
      <w:r w:rsidR="00B34178">
        <w:rPr>
          <w:rFonts w:ascii="Calibri Light" w:hAnsi="Calibri Light" w:cs="Calibri Light"/>
          <w:color w:val="59595B"/>
        </w:rPr>
        <w:t>growth</w:t>
      </w:r>
      <w:r w:rsidR="00B34178">
        <w:rPr>
          <w:rFonts w:ascii="Calibri Light" w:hAnsi="Calibri Light" w:cs="Calibri Light"/>
          <w:color w:val="59595B"/>
          <w:lang w:val="en-GB"/>
        </w:rPr>
        <w:t xml:space="preserve"> </w:t>
      </w:r>
      <w:r w:rsidR="00B34178">
        <w:rPr>
          <w:rFonts w:ascii="Calibri Light" w:hAnsi="Calibri Light" w:cs="Calibri Light"/>
          <w:color w:val="59595B"/>
        </w:rPr>
        <w:t xml:space="preserve">in product </w:t>
      </w:r>
      <w:r w:rsidRPr="00A96D90">
        <w:rPr>
          <w:rFonts w:ascii="Calibri Light" w:hAnsi="Calibri Light" w:cs="Calibri Light"/>
          <w:color w:val="59595B"/>
          <w:lang w:val="en-GB"/>
        </w:rPr>
        <w:t>sales. From Q3 onwards,</w:t>
      </w:r>
      <w:r w:rsidR="00B34178">
        <w:rPr>
          <w:rFonts w:ascii="Calibri Light" w:hAnsi="Calibri Light" w:cs="Calibri Light"/>
          <w:color w:val="59595B"/>
        </w:rPr>
        <w:t xml:space="preserve"> Pharming will be making quarterly repayments of its outstanding debt facility to Orbimed and so we expect cash to decrease slowly over the rest of the year</w:t>
      </w:r>
      <w:r w:rsidRPr="00A96D90">
        <w:rPr>
          <w:rFonts w:ascii="Calibri Light" w:hAnsi="Calibri Light" w:cs="Calibri Light"/>
          <w:color w:val="59595B"/>
          <w:lang w:val="en-GB"/>
        </w:rPr>
        <w:t>.</w:t>
      </w:r>
    </w:p>
    <w:p w14:paraId="4BE013C9"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Equity</w:t>
      </w:r>
    </w:p>
    <w:p w14:paraId="6E63E600" w14:textId="282AE750" w:rsidR="008F382A" w:rsidRPr="00E97C41" w:rsidRDefault="005365CE" w:rsidP="00A068BF">
      <w:pPr>
        <w:pStyle w:val="NoSpacing"/>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The </w:t>
      </w:r>
      <w:r w:rsidR="00E25BDF" w:rsidRPr="00A96D90">
        <w:rPr>
          <w:rFonts w:ascii="Calibri Light" w:hAnsi="Calibri Light" w:cs="Calibri Light"/>
          <w:color w:val="59595B"/>
          <w:lang w:val="en-GB"/>
        </w:rPr>
        <w:t>c</w:t>
      </w:r>
      <w:r w:rsidRPr="00A96D90">
        <w:rPr>
          <w:rFonts w:ascii="Calibri Light" w:hAnsi="Calibri Light" w:cs="Calibri Light"/>
          <w:color w:val="59595B"/>
          <w:lang w:val="en-GB"/>
        </w:rPr>
        <w:t xml:space="preserve">ompany’s equity position </w:t>
      </w:r>
      <w:r w:rsidR="005470BC">
        <w:rPr>
          <w:rFonts w:ascii="Calibri Light" w:hAnsi="Calibri Light" w:cs="Calibri Light"/>
          <w:color w:val="59595B"/>
        </w:rPr>
        <w:t>increased</w:t>
      </w:r>
      <w:r w:rsidRPr="00A96D90">
        <w:rPr>
          <w:rFonts w:ascii="Calibri Light" w:hAnsi="Calibri Light" w:cs="Calibri Light"/>
          <w:color w:val="59595B"/>
          <w:lang w:val="en-GB"/>
        </w:rPr>
        <w:t xml:space="preserve"> to €</w:t>
      </w:r>
      <w:r w:rsidR="00F654DB">
        <w:rPr>
          <w:rFonts w:ascii="Calibri Light" w:hAnsi="Calibri Light" w:cs="Calibri Light"/>
          <w:color w:val="59595B"/>
        </w:rPr>
        <w:t>40</w:t>
      </w:r>
      <w:r w:rsidR="00F654DB" w:rsidRPr="00865D1B">
        <w:rPr>
          <w:rFonts w:ascii="Calibri Light" w:hAnsi="Calibri Light" w:cs="Calibri Light"/>
          <w:color w:val="59595B"/>
        </w:rPr>
        <w:t>.7</w:t>
      </w:r>
      <w:r w:rsidRPr="00865D1B">
        <w:rPr>
          <w:rFonts w:ascii="Calibri Light" w:hAnsi="Calibri Light" w:cs="Calibri Light"/>
          <w:color w:val="59595B"/>
          <w:lang w:val="en-GB"/>
        </w:rPr>
        <w:t xml:space="preserve"> million at the end of June 201</w:t>
      </w:r>
      <w:r w:rsidR="004071F8" w:rsidRPr="00865D1B">
        <w:rPr>
          <w:rFonts w:ascii="Calibri Light" w:hAnsi="Calibri Light" w:cs="Calibri Light"/>
          <w:color w:val="59595B"/>
        </w:rPr>
        <w:t>8</w:t>
      </w:r>
      <w:r w:rsidRPr="00865D1B">
        <w:rPr>
          <w:rFonts w:ascii="Calibri Light" w:hAnsi="Calibri Light" w:cs="Calibri Light"/>
          <w:color w:val="59595B"/>
          <w:lang w:val="en-GB"/>
        </w:rPr>
        <w:t xml:space="preserve"> (3</w:t>
      </w:r>
      <w:r w:rsidR="004071F8" w:rsidRPr="00E97C41">
        <w:rPr>
          <w:rFonts w:ascii="Calibri Light" w:hAnsi="Calibri Light" w:cs="Calibri Light"/>
          <w:color w:val="59595B"/>
        </w:rPr>
        <w:t>0</w:t>
      </w:r>
      <w:r w:rsidRPr="00E97C41">
        <w:rPr>
          <w:rFonts w:ascii="Calibri Light" w:hAnsi="Calibri Light" w:cs="Calibri Light"/>
          <w:color w:val="59595B"/>
          <w:lang w:val="en-GB"/>
        </w:rPr>
        <w:t xml:space="preserve"> </w:t>
      </w:r>
      <w:r w:rsidR="004071F8" w:rsidRPr="00E97C41">
        <w:rPr>
          <w:rFonts w:ascii="Calibri Light" w:hAnsi="Calibri Light" w:cs="Calibri Light"/>
          <w:color w:val="59595B"/>
        </w:rPr>
        <w:t>June</w:t>
      </w:r>
      <w:r w:rsidRPr="00E97C41">
        <w:rPr>
          <w:rFonts w:ascii="Calibri Light" w:hAnsi="Calibri Light" w:cs="Calibri Light"/>
          <w:color w:val="59595B"/>
          <w:lang w:val="en-GB"/>
        </w:rPr>
        <w:t xml:space="preserve"> 201</w:t>
      </w:r>
      <w:r w:rsidR="004071F8" w:rsidRPr="00E97C41">
        <w:rPr>
          <w:rFonts w:ascii="Calibri Light" w:hAnsi="Calibri Light" w:cs="Calibri Light"/>
          <w:color w:val="59595B"/>
        </w:rPr>
        <w:t>7</w:t>
      </w:r>
      <w:r w:rsidRPr="00E97C41">
        <w:rPr>
          <w:rFonts w:ascii="Calibri Light" w:hAnsi="Calibri Light" w:cs="Calibri Light"/>
          <w:color w:val="59595B"/>
          <w:lang w:val="en-GB"/>
        </w:rPr>
        <w:t>: €</w:t>
      </w:r>
      <w:r w:rsidR="00F654DB" w:rsidRPr="00E97C41">
        <w:rPr>
          <w:rFonts w:ascii="Calibri Light" w:hAnsi="Calibri Light" w:cs="Calibri Light"/>
          <w:color w:val="59595B"/>
        </w:rPr>
        <w:t>18.8</w:t>
      </w:r>
      <w:r w:rsidRPr="00E97C41">
        <w:rPr>
          <w:rFonts w:ascii="Calibri Light" w:hAnsi="Calibri Light" w:cs="Calibri Light"/>
          <w:color w:val="59595B"/>
          <w:lang w:val="en-GB"/>
        </w:rPr>
        <w:t xml:space="preserve"> million), </w:t>
      </w:r>
      <w:r w:rsidR="009C3E6C" w:rsidRPr="00E97C41">
        <w:rPr>
          <w:rFonts w:ascii="Calibri Light" w:hAnsi="Calibri Light" w:cs="Calibri Light"/>
          <w:color w:val="59595B"/>
          <w:lang w:val="en-GB"/>
        </w:rPr>
        <w:t xml:space="preserve">with the </w:t>
      </w:r>
      <w:r w:rsidR="004071F8" w:rsidRPr="00E97C41">
        <w:rPr>
          <w:rFonts w:ascii="Calibri Light" w:hAnsi="Calibri Light" w:cs="Calibri Light"/>
          <w:color w:val="59595B"/>
        </w:rPr>
        <w:t>increase</w:t>
      </w:r>
      <w:r w:rsidRPr="00E97C41">
        <w:rPr>
          <w:rFonts w:ascii="Calibri Light" w:hAnsi="Calibri Light" w:cs="Calibri Light"/>
          <w:color w:val="59595B"/>
          <w:lang w:val="en-GB"/>
        </w:rPr>
        <w:t xml:space="preserve"> due to </w:t>
      </w:r>
      <w:r w:rsidR="005470BC">
        <w:rPr>
          <w:rFonts w:ascii="Calibri Light" w:hAnsi="Calibri Light" w:cs="Calibri Light"/>
          <w:color w:val="59595B"/>
        </w:rPr>
        <w:t>exercises of</w:t>
      </w:r>
      <w:r w:rsidR="004F71F8" w:rsidRPr="00E97C41">
        <w:rPr>
          <w:rFonts w:ascii="Calibri Light" w:hAnsi="Calibri Light" w:cs="Calibri Light"/>
          <w:color w:val="59595B"/>
        </w:rPr>
        <w:t xml:space="preserve"> </w:t>
      </w:r>
      <w:r w:rsidR="005470BC">
        <w:rPr>
          <w:rFonts w:ascii="Calibri Light" w:hAnsi="Calibri Light" w:cs="Calibri Light"/>
          <w:color w:val="59595B"/>
        </w:rPr>
        <w:t>options and warrants</w:t>
      </w:r>
      <w:r w:rsidR="004071F8" w:rsidRPr="00E97C41">
        <w:rPr>
          <w:rFonts w:ascii="Calibri Light" w:hAnsi="Calibri Light" w:cs="Calibri Light"/>
          <w:color w:val="59595B"/>
        </w:rPr>
        <w:t xml:space="preserve"> </w:t>
      </w:r>
      <w:r w:rsidR="005470BC">
        <w:rPr>
          <w:rFonts w:ascii="Calibri Light" w:hAnsi="Calibri Light" w:cs="Calibri Light"/>
          <w:color w:val="59595B"/>
        </w:rPr>
        <w:t>as well as</w:t>
      </w:r>
      <w:r w:rsidR="005470BC" w:rsidRPr="00032C26">
        <w:rPr>
          <w:rFonts w:ascii="Calibri Light" w:hAnsi="Calibri Light"/>
          <w:color w:val="59595B"/>
        </w:rPr>
        <w:t xml:space="preserve"> </w:t>
      </w:r>
      <w:r w:rsidR="004071F8" w:rsidRPr="00E97C41">
        <w:rPr>
          <w:rFonts w:ascii="Calibri Light" w:hAnsi="Calibri Light" w:cs="Calibri Light"/>
          <w:color w:val="59595B"/>
        </w:rPr>
        <w:t>the net result</w:t>
      </w:r>
      <w:r w:rsidR="009C7CCC" w:rsidRPr="00E97C41">
        <w:rPr>
          <w:rFonts w:ascii="Calibri Light" w:hAnsi="Calibri Light" w:cs="Calibri Light"/>
          <w:color w:val="59595B"/>
          <w:lang w:val="en-GB"/>
        </w:rPr>
        <w:t>.</w:t>
      </w:r>
    </w:p>
    <w:p w14:paraId="097B81FE" w14:textId="77777777" w:rsidR="005365CE" w:rsidRPr="00A96D90" w:rsidRDefault="008F382A" w:rsidP="00A068BF">
      <w:pPr>
        <w:pStyle w:val="NoSpacing"/>
        <w:ind w:right="144"/>
        <w:jc w:val="both"/>
        <w:rPr>
          <w:rFonts w:ascii="Calibri Light" w:hAnsi="Calibri Light" w:cs="Calibri Light"/>
          <w:color w:val="59595B"/>
          <w:lang w:val="en-GB"/>
        </w:rPr>
      </w:pPr>
      <w:r w:rsidRPr="00E97C41">
        <w:rPr>
          <w:rFonts w:ascii="Calibri Light" w:hAnsi="Calibri Light" w:cs="Calibri Light"/>
          <w:color w:val="59595B"/>
          <w:lang w:val="en-GB"/>
        </w:rPr>
        <w:t xml:space="preserve">Since the </w:t>
      </w:r>
      <w:r w:rsidR="004071F8" w:rsidRPr="00E97C41">
        <w:rPr>
          <w:rFonts w:ascii="Calibri Light" w:hAnsi="Calibri Light" w:cs="Calibri Light"/>
          <w:color w:val="59595B"/>
        </w:rPr>
        <w:t xml:space="preserve">last </w:t>
      </w:r>
      <w:r w:rsidRPr="00E97C41">
        <w:rPr>
          <w:rFonts w:ascii="Calibri Light" w:hAnsi="Calibri Light" w:cs="Calibri Light"/>
          <w:color w:val="59595B"/>
          <w:lang w:val="en-GB"/>
        </w:rPr>
        <w:t>reporting date</w:t>
      </w:r>
      <w:r w:rsidR="004071F8" w:rsidRPr="00E97C41">
        <w:rPr>
          <w:rFonts w:ascii="Calibri Light" w:hAnsi="Calibri Light" w:cs="Calibri Light"/>
          <w:color w:val="59595B"/>
        </w:rPr>
        <w:t xml:space="preserve"> of </w:t>
      </w:r>
      <w:r w:rsidR="002D6396" w:rsidRPr="00E97C41">
        <w:rPr>
          <w:rFonts w:ascii="Calibri Light" w:hAnsi="Calibri Light" w:cs="Calibri Light"/>
          <w:color w:val="59595B"/>
        </w:rPr>
        <w:t xml:space="preserve">31 </w:t>
      </w:r>
      <w:r w:rsidR="00865D1B" w:rsidRPr="00E97C41">
        <w:rPr>
          <w:rFonts w:ascii="Calibri Light" w:hAnsi="Calibri Light" w:cs="Calibri Light"/>
          <w:color w:val="59595B"/>
        </w:rPr>
        <w:t>December</w:t>
      </w:r>
      <w:r w:rsidR="002D6396" w:rsidRPr="00E97C41">
        <w:rPr>
          <w:rFonts w:ascii="Calibri Light" w:hAnsi="Calibri Light" w:cs="Calibri Light"/>
          <w:color w:val="59595B"/>
        </w:rPr>
        <w:t>201</w:t>
      </w:r>
      <w:r w:rsidR="00865D1B" w:rsidRPr="00E97C41">
        <w:rPr>
          <w:rFonts w:ascii="Calibri Light" w:hAnsi="Calibri Light" w:cs="Calibri Light"/>
          <w:color w:val="59595B"/>
        </w:rPr>
        <w:t>7</w:t>
      </w:r>
      <w:r w:rsidRPr="00865D1B">
        <w:rPr>
          <w:rFonts w:ascii="Calibri Light" w:hAnsi="Calibri Light" w:cs="Calibri Light"/>
          <w:color w:val="59595B"/>
          <w:lang w:val="en-GB"/>
        </w:rPr>
        <w:t>,</w:t>
      </w:r>
      <w:r w:rsidR="00E25BDF" w:rsidRPr="00865D1B">
        <w:rPr>
          <w:rFonts w:ascii="Calibri Light" w:hAnsi="Calibri Light" w:cs="Calibri Light"/>
          <w:color w:val="59595B"/>
          <w:lang w:val="en-GB"/>
        </w:rPr>
        <w:t xml:space="preserve"> the c</w:t>
      </w:r>
      <w:r w:rsidRPr="00865D1B">
        <w:rPr>
          <w:rFonts w:ascii="Calibri Light" w:hAnsi="Calibri Light" w:cs="Calibri Light"/>
          <w:color w:val="59595B"/>
          <w:lang w:val="en-GB"/>
        </w:rPr>
        <w:t>ompany has issued a</w:t>
      </w:r>
      <w:r w:rsidRPr="00E97C41">
        <w:rPr>
          <w:rFonts w:ascii="Calibri Light" w:hAnsi="Calibri Light" w:cs="Calibri Light"/>
          <w:color w:val="59595B"/>
          <w:lang w:val="en-GB"/>
        </w:rPr>
        <w:t xml:space="preserve"> total of 2</w:t>
      </w:r>
      <w:r w:rsidR="00865D1B" w:rsidRPr="00E97C41">
        <w:rPr>
          <w:rFonts w:ascii="Calibri Light" w:hAnsi="Calibri Light" w:cs="Calibri Light"/>
          <w:color w:val="59595B"/>
        </w:rPr>
        <w:t xml:space="preserve">7.7 million </w:t>
      </w:r>
      <w:r w:rsidR="00D30CC9" w:rsidRPr="00865D1B">
        <w:rPr>
          <w:rFonts w:ascii="Calibri Light" w:hAnsi="Calibri Light" w:cs="Calibri Light"/>
          <w:color w:val="59595B"/>
          <w:lang w:val="en-GB"/>
        </w:rPr>
        <w:t>shares in connection with a number of</w:t>
      </w:r>
      <w:r w:rsidRPr="00865D1B">
        <w:rPr>
          <w:rFonts w:ascii="Calibri Light" w:hAnsi="Calibri Light" w:cs="Calibri Light"/>
          <w:color w:val="59595B"/>
          <w:lang w:val="en-GB"/>
        </w:rPr>
        <w:t xml:space="preserve"> exercise</w:t>
      </w:r>
      <w:r w:rsidR="00D30CC9" w:rsidRPr="00E97C41">
        <w:rPr>
          <w:rFonts w:ascii="Calibri Light" w:hAnsi="Calibri Light" w:cs="Calibri Light"/>
          <w:color w:val="59595B"/>
          <w:lang w:val="en-GB"/>
        </w:rPr>
        <w:t>s</w:t>
      </w:r>
      <w:r w:rsidRPr="00E97C41">
        <w:rPr>
          <w:rFonts w:ascii="Calibri Light" w:hAnsi="Calibri Light" w:cs="Calibri Light"/>
          <w:color w:val="59595B"/>
          <w:lang w:val="en-GB"/>
        </w:rPr>
        <w:t xml:space="preserve"> of </w:t>
      </w:r>
      <w:r w:rsidR="004071F8" w:rsidRPr="00E97C41">
        <w:rPr>
          <w:rFonts w:ascii="Calibri Light" w:hAnsi="Calibri Light" w:cs="Calibri Light"/>
          <w:color w:val="59595B"/>
        </w:rPr>
        <w:t>options and warrant</w:t>
      </w:r>
      <w:r w:rsidRPr="00E97C41">
        <w:rPr>
          <w:rFonts w:ascii="Calibri Light" w:hAnsi="Calibri Light" w:cs="Calibri Light"/>
          <w:color w:val="59595B"/>
          <w:lang w:val="en-GB"/>
        </w:rPr>
        <w:t>s. The exercise</w:t>
      </w:r>
      <w:r w:rsidR="00D30CC9" w:rsidRPr="00E97C41">
        <w:rPr>
          <w:rFonts w:ascii="Calibri Light" w:hAnsi="Calibri Light" w:cs="Calibri Light"/>
          <w:color w:val="59595B"/>
          <w:lang w:val="en-GB"/>
        </w:rPr>
        <w:t>s</w:t>
      </w:r>
      <w:r w:rsidRPr="00E97C41">
        <w:rPr>
          <w:rFonts w:ascii="Calibri Light" w:hAnsi="Calibri Light" w:cs="Calibri Light"/>
          <w:color w:val="59595B"/>
          <w:lang w:val="en-GB"/>
        </w:rPr>
        <w:t xml:space="preserve"> resulted in </w:t>
      </w:r>
      <w:r w:rsidR="00D30CC9" w:rsidRPr="00E97C41">
        <w:rPr>
          <w:rFonts w:ascii="Calibri Light" w:hAnsi="Calibri Light" w:cs="Calibri Light"/>
          <w:color w:val="59595B"/>
          <w:lang w:val="en-GB"/>
        </w:rPr>
        <w:t>total cash</w:t>
      </w:r>
      <w:r w:rsidRPr="00E97C41">
        <w:rPr>
          <w:rFonts w:ascii="Calibri Light" w:hAnsi="Calibri Light" w:cs="Calibri Light"/>
          <w:color w:val="59595B"/>
          <w:lang w:val="en-GB"/>
        </w:rPr>
        <w:t xml:space="preserve"> receipt</w:t>
      </w:r>
      <w:r w:rsidR="00D30CC9" w:rsidRPr="00E97C41">
        <w:rPr>
          <w:rFonts w:ascii="Calibri Light" w:hAnsi="Calibri Light" w:cs="Calibri Light"/>
          <w:color w:val="59595B"/>
          <w:lang w:val="en-GB"/>
        </w:rPr>
        <w:t>s</w:t>
      </w:r>
      <w:r w:rsidRPr="00E97C41">
        <w:rPr>
          <w:rFonts w:ascii="Calibri Light" w:hAnsi="Calibri Light" w:cs="Calibri Light"/>
          <w:color w:val="59595B"/>
          <w:lang w:val="en-GB"/>
        </w:rPr>
        <w:t xml:space="preserve"> of €</w:t>
      </w:r>
      <w:r w:rsidR="00865D1B" w:rsidRPr="00E97C41">
        <w:rPr>
          <w:rFonts w:ascii="Calibri Light" w:hAnsi="Calibri Light" w:cs="Calibri Light"/>
          <w:color w:val="59595B"/>
        </w:rPr>
        <w:t>6.9</w:t>
      </w:r>
      <w:r w:rsidRPr="00865D1B">
        <w:rPr>
          <w:rFonts w:ascii="Calibri Light" w:hAnsi="Calibri Light" w:cs="Calibri Light"/>
          <w:color w:val="59595B"/>
          <w:lang w:val="en-GB"/>
        </w:rPr>
        <w:t xml:space="preserve"> </w:t>
      </w:r>
      <w:r w:rsidR="00D30CC9" w:rsidRPr="00865D1B">
        <w:rPr>
          <w:rFonts w:ascii="Calibri Light" w:hAnsi="Calibri Light" w:cs="Calibri Light"/>
          <w:color w:val="59595B"/>
          <w:lang w:val="en-GB"/>
        </w:rPr>
        <w:t>million</w:t>
      </w:r>
      <w:r w:rsidRPr="00865D1B">
        <w:rPr>
          <w:rFonts w:ascii="Calibri Light" w:hAnsi="Calibri Light" w:cs="Calibri Light"/>
          <w:color w:val="59595B"/>
          <w:lang w:val="en-GB"/>
        </w:rPr>
        <w:t>.</w:t>
      </w:r>
      <w:r w:rsidR="005365CE" w:rsidRPr="00A96D90">
        <w:rPr>
          <w:rFonts w:ascii="Calibri Light" w:hAnsi="Calibri Light" w:cs="Calibri Light"/>
          <w:color w:val="59595B"/>
          <w:lang w:val="en-GB"/>
        </w:rPr>
        <w:t xml:space="preserve"> </w:t>
      </w:r>
    </w:p>
    <w:p w14:paraId="6236A7A4" w14:textId="10F8B53E" w:rsidR="005365CE" w:rsidRDefault="005365CE" w:rsidP="00A068BF">
      <w:pPr>
        <w:pStyle w:val="NoSpacing"/>
        <w:spacing w:after="240"/>
        <w:ind w:right="144"/>
        <w:jc w:val="both"/>
        <w:rPr>
          <w:rFonts w:ascii="Calibri Light" w:hAnsi="Calibri Light" w:cs="Calibri Light"/>
          <w:color w:val="59595B"/>
        </w:rPr>
      </w:pPr>
      <w:r w:rsidRPr="00A96D90">
        <w:rPr>
          <w:rFonts w:ascii="Calibri Light" w:hAnsi="Calibri Light" w:cs="Calibri Light"/>
          <w:color w:val="59595B"/>
          <w:lang w:val="en-GB"/>
        </w:rPr>
        <w:t xml:space="preserve">The number of </w:t>
      </w:r>
      <w:r w:rsidR="00A03BA5" w:rsidRPr="00A96D90">
        <w:rPr>
          <w:rFonts w:ascii="Calibri Light" w:hAnsi="Calibri Light" w:cs="Calibri Light"/>
          <w:color w:val="59595B"/>
          <w:lang w:val="en-GB"/>
        </w:rPr>
        <w:t xml:space="preserve">issued </w:t>
      </w:r>
      <w:r w:rsidRPr="00A96D90">
        <w:rPr>
          <w:rFonts w:ascii="Calibri Light" w:hAnsi="Calibri Light" w:cs="Calibri Light"/>
          <w:color w:val="59595B"/>
          <w:lang w:val="en-GB"/>
        </w:rPr>
        <w:t xml:space="preserve">shares </w:t>
      </w:r>
      <w:r w:rsidR="00A03BA5" w:rsidRPr="00A96D90">
        <w:rPr>
          <w:rFonts w:ascii="Calibri Light" w:hAnsi="Calibri Light" w:cs="Calibri Light"/>
          <w:color w:val="59595B"/>
          <w:lang w:val="en-GB"/>
        </w:rPr>
        <w:t>as at 26 July 201</w:t>
      </w:r>
      <w:r w:rsidR="004071F8">
        <w:rPr>
          <w:rFonts w:ascii="Calibri Light" w:hAnsi="Calibri Light" w:cs="Calibri Light"/>
          <w:color w:val="59595B"/>
        </w:rPr>
        <w:t>8</w:t>
      </w:r>
      <w:r w:rsidRPr="00A96D90">
        <w:rPr>
          <w:rFonts w:ascii="Calibri Light" w:hAnsi="Calibri Light" w:cs="Calibri Light"/>
          <w:color w:val="59595B"/>
          <w:lang w:val="en-GB"/>
        </w:rPr>
        <w:t xml:space="preserve"> </w:t>
      </w:r>
      <w:r w:rsidR="003F3657" w:rsidRPr="00A96D90">
        <w:rPr>
          <w:rFonts w:ascii="Calibri Light" w:hAnsi="Calibri Light" w:cs="Calibri Light"/>
          <w:color w:val="59595B"/>
          <w:lang w:val="en-GB"/>
        </w:rPr>
        <w:t>is</w:t>
      </w:r>
      <w:r w:rsidRPr="00A96D90">
        <w:rPr>
          <w:rFonts w:ascii="Calibri Light" w:hAnsi="Calibri Light" w:cs="Calibri Light"/>
          <w:color w:val="59595B"/>
          <w:lang w:val="en-GB"/>
        </w:rPr>
        <w:t xml:space="preserve"> </w:t>
      </w:r>
      <w:r w:rsidR="005158B4">
        <w:rPr>
          <w:rFonts w:ascii="Calibri Light" w:hAnsi="Calibri Light" w:cs="Calibri Light"/>
          <w:color w:val="59595B"/>
        </w:rPr>
        <w:t>610,411,</w:t>
      </w:r>
      <w:r w:rsidR="005470BC">
        <w:rPr>
          <w:rFonts w:ascii="Calibri Light" w:hAnsi="Calibri Light" w:cs="Calibri Light"/>
          <w:color w:val="59595B"/>
        </w:rPr>
        <w:t>871</w:t>
      </w:r>
      <w:r w:rsidRPr="00A96D90">
        <w:rPr>
          <w:rFonts w:ascii="Calibri Light" w:hAnsi="Calibri Light" w:cs="Calibri Light"/>
          <w:color w:val="59595B"/>
          <w:lang w:val="en-GB"/>
        </w:rPr>
        <w:t>.</w:t>
      </w:r>
      <w:r w:rsidR="004071F8">
        <w:rPr>
          <w:rFonts w:ascii="Calibri Light" w:hAnsi="Calibri Light" w:cs="Calibri Light"/>
          <w:color w:val="59595B"/>
        </w:rPr>
        <w:t xml:space="preserve">  The fully di</w:t>
      </w:r>
      <w:r w:rsidR="00E46903">
        <w:rPr>
          <w:rFonts w:ascii="Calibri Light" w:hAnsi="Calibri Light" w:cs="Calibri Light"/>
          <w:color w:val="59595B"/>
        </w:rPr>
        <w:t>l</w:t>
      </w:r>
      <w:r w:rsidR="004071F8">
        <w:rPr>
          <w:rFonts w:ascii="Calibri Light" w:hAnsi="Calibri Light" w:cs="Calibri Light"/>
          <w:color w:val="59595B"/>
        </w:rPr>
        <w:t xml:space="preserve">uted number of shares as at 26 July 2018 is </w:t>
      </w:r>
      <w:r w:rsidR="005158B4">
        <w:rPr>
          <w:rFonts w:ascii="Calibri Light" w:hAnsi="Calibri Light" w:cs="Calibri Light"/>
          <w:color w:val="59595B"/>
        </w:rPr>
        <w:t>657,296,716</w:t>
      </w:r>
      <w:r w:rsidR="004071F8">
        <w:rPr>
          <w:rFonts w:ascii="Calibri Light" w:hAnsi="Calibri Light" w:cs="Calibri Light"/>
          <w:color w:val="59595B"/>
        </w:rPr>
        <w:t>.</w:t>
      </w:r>
    </w:p>
    <w:p w14:paraId="65CA2B86"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Performance of Pharming Shares</w:t>
      </w:r>
    </w:p>
    <w:p w14:paraId="17F49191" w14:textId="77777777" w:rsidR="005365CE" w:rsidRPr="00A96D90" w:rsidRDefault="005365CE" w:rsidP="00A068BF">
      <w:pPr>
        <w:pStyle w:val="AL"/>
        <w:spacing w:after="240"/>
        <w:jc w:val="both"/>
        <w:rPr>
          <w:rFonts w:ascii="Calibri Light" w:eastAsia="Calibri" w:hAnsi="Calibri Light" w:cs="Calibri Light"/>
          <w:bCs w:val="0"/>
          <w:color w:val="59595B"/>
        </w:rPr>
      </w:pPr>
      <w:r w:rsidRPr="007D0087">
        <w:rPr>
          <w:rFonts w:ascii="Calibri Light" w:eastAsia="Calibri" w:hAnsi="Calibri Light" w:cs="Calibri Light"/>
          <w:bCs w:val="0"/>
          <w:color w:val="59595B"/>
        </w:rPr>
        <w:t>During the first half year, the Pharming stock price fluctuated around an average price of €</w:t>
      </w:r>
      <w:r w:rsidR="004071F8" w:rsidRPr="007D0087">
        <w:rPr>
          <w:rFonts w:ascii="Calibri Light" w:eastAsia="Calibri" w:hAnsi="Calibri Light" w:cs="Calibri Light"/>
          <w:bCs w:val="0"/>
          <w:color w:val="59595B"/>
        </w:rPr>
        <w:t>1.33</w:t>
      </w:r>
      <w:r w:rsidRPr="007D0087">
        <w:rPr>
          <w:rFonts w:ascii="Calibri Light" w:eastAsia="Calibri" w:hAnsi="Calibri Light" w:cs="Calibri Light"/>
          <w:bCs w:val="0"/>
          <w:color w:val="59595B"/>
        </w:rPr>
        <w:t xml:space="preserve"> per share. The half year-end price was €</w:t>
      </w:r>
      <w:r w:rsidR="004071F8" w:rsidRPr="007D0087">
        <w:rPr>
          <w:rFonts w:ascii="Calibri Light" w:eastAsia="Calibri" w:hAnsi="Calibri Light" w:cs="Calibri Light"/>
          <w:bCs w:val="0"/>
          <w:color w:val="59595B"/>
        </w:rPr>
        <w:t>1.40</w:t>
      </w:r>
      <w:r w:rsidRPr="007D0087">
        <w:rPr>
          <w:rFonts w:ascii="Calibri Light" w:eastAsia="Calibri" w:hAnsi="Calibri Light" w:cs="Calibri Light"/>
          <w:bCs w:val="0"/>
          <w:color w:val="59595B"/>
        </w:rPr>
        <w:t xml:space="preserve"> (30</w:t>
      </w:r>
      <w:r w:rsidR="004071F8" w:rsidRPr="007D0087">
        <w:rPr>
          <w:rFonts w:ascii="Calibri Light" w:eastAsia="Calibri" w:hAnsi="Calibri Light" w:cs="Calibri Light"/>
          <w:bCs w:val="0"/>
          <w:color w:val="59595B"/>
        </w:rPr>
        <w:t xml:space="preserve"> </w:t>
      </w:r>
      <w:r w:rsidRPr="007D0087">
        <w:rPr>
          <w:rFonts w:ascii="Calibri Light" w:eastAsia="Calibri" w:hAnsi="Calibri Light" w:cs="Calibri Light"/>
          <w:bCs w:val="0"/>
          <w:color w:val="59595B"/>
        </w:rPr>
        <w:t>J</w:t>
      </w:r>
      <w:r w:rsidR="004071F8" w:rsidRPr="007D0087">
        <w:rPr>
          <w:rFonts w:ascii="Calibri Light" w:eastAsia="Calibri" w:hAnsi="Calibri Light" w:cs="Calibri Light"/>
          <w:bCs w:val="0"/>
          <w:color w:val="59595B"/>
        </w:rPr>
        <w:t xml:space="preserve">une </w:t>
      </w:r>
      <w:r w:rsidRPr="007D0087">
        <w:rPr>
          <w:rFonts w:ascii="Calibri Light" w:eastAsia="Calibri" w:hAnsi="Calibri Light" w:cs="Calibri Light"/>
          <w:bCs w:val="0"/>
          <w:color w:val="59595B"/>
        </w:rPr>
        <w:t>201</w:t>
      </w:r>
      <w:r w:rsidR="004071F8" w:rsidRPr="007D0087">
        <w:rPr>
          <w:rFonts w:ascii="Calibri Light" w:eastAsia="Calibri" w:hAnsi="Calibri Light" w:cs="Calibri Light"/>
          <w:bCs w:val="0"/>
          <w:color w:val="59595B"/>
        </w:rPr>
        <w:t>7</w:t>
      </w:r>
      <w:r w:rsidRPr="007D0087">
        <w:rPr>
          <w:rFonts w:ascii="Calibri Light" w:eastAsia="Calibri" w:hAnsi="Calibri Light" w:cs="Calibri Light"/>
          <w:bCs w:val="0"/>
          <w:color w:val="59595B"/>
        </w:rPr>
        <w:t>: €0.</w:t>
      </w:r>
      <w:r w:rsidR="004071F8" w:rsidRPr="007D0087">
        <w:rPr>
          <w:rFonts w:ascii="Calibri Light" w:eastAsia="Calibri" w:hAnsi="Calibri Light" w:cs="Calibri Light"/>
          <w:bCs w:val="0"/>
          <w:color w:val="59595B"/>
        </w:rPr>
        <w:t>31</w:t>
      </w:r>
      <w:r w:rsidRPr="007D0087">
        <w:rPr>
          <w:rFonts w:ascii="Calibri Light" w:eastAsia="Calibri" w:hAnsi="Calibri Light" w:cs="Calibri Light"/>
          <w:bCs w:val="0"/>
          <w:color w:val="59595B"/>
        </w:rPr>
        <w:t>), wit</w:t>
      </w:r>
      <w:r w:rsidR="004071F8" w:rsidRPr="007D0087">
        <w:rPr>
          <w:rFonts w:ascii="Calibri Light" w:eastAsia="Calibri" w:hAnsi="Calibri Light" w:cs="Calibri Light"/>
          <w:bCs w:val="0"/>
          <w:color w:val="59595B"/>
        </w:rPr>
        <w:t>h a high of €1.62</w:t>
      </w:r>
      <w:r w:rsidRPr="007D0087">
        <w:rPr>
          <w:rFonts w:ascii="Calibri Light" w:eastAsia="Calibri" w:hAnsi="Calibri Light" w:cs="Calibri Light"/>
          <w:bCs w:val="0"/>
          <w:color w:val="59595B"/>
        </w:rPr>
        <w:t xml:space="preserve"> in January and a low of €</w:t>
      </w:r>
      <w:r w:rsidR="004071F8" w:rsidRPr="007D0087">
        <w:rPr>
          <w:rFonts w:ascii="Calibri Light" w:eastAsia="Calibri" w:hAnsi="Calibri Light" w:cs="Calibri Light"/>
          <w:bCs w:val="0"/>
          <w:color w:val="59595B"/>
        </w:rPr>
        <w:t>1.15</w:t>
      </w:r>
      <w:r w:rsidRPr="007D0087">
        <w:rPr>
          <w:rFonts w:ascii="Calibri Light" w:eastAsia="Calibri" w:hAnsi="Calibri Light" w:cs="Calibri Light"/>
          <w:bCs w:val="0"/>
          <w:color w:val="59595B"/>
        </w:rPr>
        <w:t xml:space="preserve"> in </w:t>
      </w:r>
      <w:r w:rsidR="004071F8" w:rsidRPr="007D0087">
        <w:rPr>
          <w:rFonts w:ascii="Calibri Light" w:eastAsia="Calibri" w:hAnsi="Calibri Light" w:cs="Calibri Light"/>
          <w:bCs w:val="0"/>
          <w:color w:val="59595B"/>
        </w:rPr>
        <w:t>April 2018</w:t>
      </w:r>
      <w:r w:rsidRPr="00A96D90">
        <w:rPr>
          <w:rFonts w:ascii="Calibri Light" w:eastAsia="Calibri" w:hAnsi="Calibri Light" w:cs="Calibri Light"/>
          <w:bCs w:val="0"/>
          <w:color w:val="59595B"/>
        </w:rPr>
        <w:t>.</w:t>
      </w:r>
      <w:r w:rsidR="0040539E">
        <w:rPr>
          <w:rFonts w:ascii="Calibri Light" w:eastAsia="Calibri" w:hAnsi="Calibri Light" w:cs="Calibri Light"/>
          <w:bCs w:val="0"/>
          <w:color w:val="59595B"/>
        </w:rPr>
        <w:t xml:space="preserve">  </w:t>
      </w:r>
    </w:p>
    <w:p w14:paraId="1C813202" w14:textId="77777777" w:rsidR="005365CE" w:rsidRPr="005C2729" w:rsidRDefault="00C54797" w:rsidP="00C54797">
      <w:pPr>
        <w:pStyle w:val="NoSpacing"/>
        <w:spacing w:before="120"/>
        <w:ind w:right="142"/>
        <w:jc w:val="both"/>
        <w:rPr>
          <w:rFonts w:ascii="Calibri Light" w:hAnsi="Calibri Light" w:cs="Calibri Light"/>
          <w:b/>
          <w:color w:val="0070C0"/>
          <w:sz w:val="24"/>
          <w:lang w:val="en-GB"/>
        </w:rPr>
      </w:pPr>
      <w:r w:rsidRPr="005C2729">
        <w:rPr>
          <w:rFonts w:ascii="Calibri Light" w:hAnsi="Calibri Light" w:cs="Calibri Light"/>
          <w:b/>
          <w:color w:val="0070C0"/>
          <w:sz w:val="24"/>
          <w:lang w:val="en-GB"/>
        </w:rPr>
        <w:t>Outlook</w:t>
      </w:r>
    </w:p>
    <w:p w14:paraId="23683166" w14:textId="77777777" w:rsidR="005365CE" w:rsidRPr="00A96D90" w:rsidRDefault="005365CE" w:rsidP="00B953D2">
      <w:pPr>
        <w:rPr>
          <w:rFonts w:asciiTheme="minorHAnsi" w:hAnsiTheme="minorHAnsi" w:cstheme="minorHAnsi"/>
          <w:b/>
          <w:color w:val="276E8B" w:themeColor="accent1" w:themeShade="BF"/>
          <w:lang w:val="en-GB"/>
        </w:rPr>
      </w:pPr>
    </w:p>
    <w:p w14:paraId="6F3BD225" w14:textId="77777777" w:rsidR="005365CE" w:rsidRPr="00A96D90" w:rsidRDefault="005365CE" w:rsidP="00827F75">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For the remainder of 201</w:t>
      </w:r>
      <w:r w:rsidR="004071F8">
        <w:rPr>
          <w:rFonts w:asciiTheme="minorHAnsi" w:hAnsiTheme="minorHAnsi" w:cstheme="minorHAnsi"/>
          <w:color w:val="59595B"/>
          <w:szCs w:val="22"/>
        </w:rPr>
        <w:t>8</w:t>
      </w:r>
      <w:r w:rsidRPr="00A96D90">
        <w:rPr>
          <w:rFonts w:asciiTheme="minorHAnsi" w:hAnsiTheme="minorHAnsi" w:cstheme="minorHAnsi"/>
          <w:color w:val="59595B"/>
          <w:szCs w:val="22"/>
          <w:lang w:val="en-GB"/>
        </w:rPr>
        <w:t xml:space="preserve">, the </w:t>
      </w:r>
      <w:r w:rsidR="00E25BDF" w:rsidRPr="00A96D90">
        <w:rPr>
          <w:rFonts w:asciiTheme="minorHAnsi" w:hAnsiTheme="minorHAnsi" w:cstheme="minorHAnsi"/>
          <w:color w:val="59595B"/>
          <w:szCs w:val="22"/>
          <w:lang w:val="en-GB"/>
        </w:rPr>
        <w:t>c</w:t>
      </w:r>
      <w:r w:rsidRPr="00A96D90">
        <w:rPr>
          <w:rFonts w:asciiTheme="minorHAnsi" w:hAnsiTheme="minorHAnsi" w:cstheme="minorHAnsi"/>
          <w:color w:val="59595B"/>
          <w:szCs w:val="22"/>
          <w:lang w:val="en-GB"/>
        </w:rPr>
        <w:t xml:space="preserve">ompany expects: </w:t>
      </w:r>
    </w:p>
    <w:p w14:paraId="5DA8C228"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Continued growth in revenues from sales of RUCONEST®, mainly driven by the US operations</w:t>
      </w:r>
    </w:p>
    <w:p w14:paraId="2E2D5272"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 xml:space="preserve">Achievement of </w:t>
      </w:r>
      <w:r w:rsidR="002D7C51">
        <w:rPr>
          <w:rFonts w:asciiTheme="minorHAnsi" w:eastAsia="Calibri" w:hAnsiTheme="minorHAnsi" w:cstheme="minorHAnsi"/>
          <w:color w:val="59595B"/>
          <w:szCs w:val="22"/>
          <w:lang w:val="en-GB"/>
        </w:rPr>
        <w:t xml:space="preserve">additional </w:t>
      </w:r>
      <w:r w:rsidRPr="004071F8">
        <w:rPr>
          <w:rFonts w:asciiTheme="minorHAnsi" w:eastAsia="Calibri" w:hAnsiTheme="minorHAnsi" w:cstheme="minorHAnsi"/>
          <w:color w:val="59595B"/>
          <w:szCs w:val="22"/>
          <w:lang w:val="en-GB"/>
        </w:rPr>
        <w:t xml:space="preserve">positive quarterly </w:t>
      </w:r>
      <w:r w:rsidR="002D7C51">
        <w:rPr>
          <w:rFonts w:asciiTheme="minorHAnsi" w:eastAsia="Calibri" w:hAnsiTheme="minorHAnsi" w:cstheme="minorHAnsi"/>
          <w:color w:val="59595B"/>
          <w:szCs w:val="22"/>
          <w:lang w:val="en-GB"/>
        </w:rPr>
        <w:t xml:space="preserve">(operating and net) </w:t>
      </w:r>
      <w:r w:rsidRPr="004071F8">
        <w:rPr>
          <w:rFonts w:asciiTheme="minorHAnsi" w:eastAsia="Calibri" w:hAnsiTheme="minorHAnsi" w:cstheme="minorHAnsi"/>
          <w:color w:val="59595B"/>
          <w:szCs w:val="22"/>
          <w:lang w:val="en-GB"/>
        </w:rPr>
        <w:t xml:space="preserve">results throughout the </w:t>
      </w:r>
      <w:r w:rsidR="002D7C51">
        <w:rPr>
          <w:rFonts w:asciiTheme="minorHAnsi" w:eastAsia="Calibri" w:hAnsiTheme="minorHAnsi" w:cstheme="minorHAnsi"/>
          <w:color w:val="59595B"/>
          <w:szCs w:val="22"/>
          <w:lang w:val="en-GB"/>
        </w:rPr>
        <w:t>remainder</w:t>
      </w:r>
      <w:r w:rsidRPr="004071F8">
        <w:rPr>
          <w:rFonts w:asciiTheme="minorHAnsi" w:eastAsia="Calibri" w:hAnsiTheme="minorHAnsi" w:cstheme="minorHAnsi"/>
          <w:color w:val="59595B"/>
          <w:szCs w:val="22"/>
          <w:lang w:val="en-GB"/>
        </w:rPr>
        <w:t xml:space="preserve"> of the year</w:t>
      </w:r>
    </w:p>
    <w:p w14:paraId="1BC0B80F"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Continued investment in the production of RUCONEST® in order to ensure continuity of supply to the growing markets in the US, Europe and the rest of the world</w:t>
      </w:r>
    </w:p>
    <w:p w14:paraId="4B61C65B"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Investment in RUCONEST® in prophylaxis of HAE (following approval) and in the development of new intramuscular and sub</w:t>
      </w:r>
      <w:r>
        <w:rPr>
          <w:rFonts w:asciiTheme="minorHAnsi" w:eastAsia="Calibri" w:hAnsiTheme="minorHAnsi" w:cstheme="minorHAnsi"/>
          <w:color w:val="59595B"/>
          <w:szCs w:val="22"/>
          <w:lang w:val="en-GB"/>
        </w:rPr>
        <w:t>cutaneous versions of RUCONEST®</w:t>
      </w:r>
    </w:p>
    <w:p w14:paraId="01035FAA"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 xml:space="preserve">Investment in clinical trial development for RUCONEST® in other indications where the drug’s unique properties may help solve </w:t>
      </w:r>
      <w:r>
        <w:rPr>
          <w:rFonts w:asciiTheme="minorHAnsi" w:eastAsia="Calibri" w:hAnsiTheme="minorHAnsi" w:cstheme="minorHAnsi"/>
          <w:color w:val="59595B"/>
          <w:szCs w:val="22"/>
        </w:rPr>
        <w:t xml:space="preserve">large </w:t>
      </w:r>
      <w:r w:rsidRPr="004071F8">
        <w:rPr>
          <w:rFonts w:asciiTheme="minorHAnsi" w:eastAsia="Calibri" w:hAnsiTheme="minorHAnsi" w:cstheme="minorHAnsi"/>
          <w:color w:val="59595B"/>
          <w:szCs w:val="22"/>
          <w:lang w:val="en-GB"/>
        </w:rPr>
        <w:t xml:space="preserve">unmet medical needs. </w:t>
      </w:r>
    </w:p>
    <w:p w14:paraId="79799E9F"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Pr>
          <w:rFonts w:asciiTheme="minorHAnsi" w:eastAsia="Calibri" w:hAnsiTheme="minorHAnsi" w:cstheme="minorHAnsi"/>
          <w:color w:val="59595B"/>
          <w:szCs w:val="22"/>
        </w:rPr>
        <w:t>C</w:t>
      </w:r>
      <w:r w:rsidRPr="004071F8">
        <w:rPr>
          <w:rFonts w:asciiTheme="minorHAnsi" w:eastAsia="Calibri" w:hAnsiTheme="minorHAnsi" w:cstheme="minorHAnsi"/>
          <w:color w:val="59595B"/>
          <w:szCs w:val="22"/>
          <w:lang w:val="en-GB"/>
        </w:rPr>
        <w:t>ontinue</w:t>
      </w:r>
      <w:r>
        <w:rPr>
          <w:rFonts w:asciiTheme="minorHAnsi" w:eastAsia="Calibri" w:hAnsiTheme="minorHAnsi" w:cstheme="minorHAnsi"/>
          <w:color w:val="59595B"/>
          <w:szCs w:val="22"/>
        </w:rPr>
        <w:t>d investment</w:t>
      </w:r>
      <w:r w:rsidRPr="004071F8">
        <w:rPr>
          <w:rFonts w:asciiTheme="minorHAnsi" w:eastAsia="Calibri" w:hAnsiTheme="minorHAnsi" w:cstheme="minorHAnsi"/>
          <w:color w:val="59595B"/>
          <w:szCs w:val="22"/>
          <w:lang w:val="en-GB"/>
        </w:rPr>
        <w:t xml:space="preserve"> in our pipeline programs in Pompe disease and Fabry’s disease</w:t>
      </w:r>
    </w:p>
    <w:p w14:paraId="49C73DDC"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Pr>
          <w:rFonts w:asciiTheme="minorHAnsi" w:eastAsia="Calibri" w:hAnsiTheme="minorHAnsi" w:cstheme="minorHAnsi"/>
          <w:color w:val="59595B"/>
          <w:szCs w:val="22"/>
        </w:rPr>
        <w:t xml:space="preserve">We </w:t>
      </w:r>
      <w:r w:rsidRPr="004071F8">
        <w:rPr>
          <w:rFonts w:asciiTheme="minorHAnsi" w:eastAsia="Calibri" w:hAnsiTheme="minorHAnsi" w:cstheme="minorHAnsi"/>
          <w:color w:val="59595B"/>
          <w:szCs w:val="22"/>
          <w:lang w:val="en-GB"/>
        </w:rPr>
        <w:t>will look to acquire additional development opportunities and assets as they occur</w:t>
      </w:r>
    </w:p>
    <w:p w14:paraId="7B9D0F4A" w14:textId="77777777" w:rsidR="004071F8" w:rsidRDefault="004071F8" w:rsidP="00BB4E7E">
      <w:pPr>
        <w:pStyle w:val="ListParagraph"/>
        <w:numPr>
          <w:ilvl w:val="0"/>
          <w:numId w:val="19"/>
        </w:numPr>
        <w:autoSpaceDE w:val="0"/>
        <w:autoSpaceDN w:val="0"/>
        <w:adjustRightInd w:val="0"/>
        <w:spacing w:before="120"/>
        <w:ind w:left="850" w:hanging="357"/>
        <w:contextualSpacing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Increasing marketing activity where profitable for Pharming</w:t>
      </w:r>
    </w:p>
    <w:p w14:paraId="53607913" w14:textId="77777777" w:rsidR="004071F8" w:rsidRDefault="004071F8" w:rsidP="004071F8">
      <w:pPr>
        <w:autoSpaceDE w:val="0"/>
        <w:autoSpaceDN w:val="0"/>
        <w:adjustRightInd w:val="0"/>
        <w:rPr>
          <w:rFonts w:asciiTheme="minorHAnsi" w:eastAsia="Calibri" w:hAnsiTheme="minorHAnsi" w:cstheme="minorHAnsi"/>
          <w:color w:val="59595B"/>
          <w:szCs w:val="22"/>
          <w:lang w:val="en-GB"/>
        </w:rPr>
      </w:pPr>
    </w:p>
    <w:p w14:paraId="3711BD06" w14:textId="77777777" w:rsidR="004071F8" w:rsidRPr="004071F8" w:rsidRDefault="004071F8" w:rsidP="004071F8">
      <w:pPr>
        <w:autoSpaceDE w:val="0"/>
        <w:autoSpaceDN w:val="0"/>
        <w:adjustRightInd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 xml:space="preserve">We will continue to support patients in all territories, as we continue to believe that RUCONEST® represents a fast, effective, reliable and safe therapy option for HAE patients. </w:t>
      </w:r>
    </w:p>
    <w:p w14:paraId="3E8D50F8" w14:textId="77777777" w:rsidR="004071F8" w:rsidRPr="004071F8" w:rsidRDefault="004071F8" w:rsidP="004071F8">
      <w:pPr>
        <w:autoSpaceDE w:val="0"/>
        <w:autoSpaceDN w:val="0"/>
        <w:adjustRightInd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 xml:space="preserve"> </w:t>
      </w:r>
    </w:p>
    <w:p w14:paraId="4E680000" w14:textId="77777777" w:rsidR="005365CE" w:rsidRDefault="004071F8" w:rsidP="004071F8">
      <w:pPr>
        <w:autoSpaceDE w:val="0"/>
        <w:autoSpaceDN w:val="0"/>
        <w:adjustRightInd w:val="0"/>
        <w:rPr>
          <w:rFonts w:asciiTheme="minorHAnsi" w:eastAsia="Calibri" w:hAnsiTheme="minorHAnsi" w:cstheme="minorHAnsi"/>
          <w:color w:val="59595B"/>
          <w:szCs w:val="22"/>
          <w:lang w:val="en-GB"/>
        </w:rPr>
      </w:pPr>
      <w:r w:rsidRPr="004071F8">
        <w:rPr>
          <w:rFonts w:asciiTheme="minorHAnsi" w:eastAsia="Calibri" w:hAnsiTheme="minorHAnsi" w:cstheme="minorHAnsi"/>
          <w:color w:val="59595B"/>
          <w:szCs w:val="22"/>
          <w:lang w:val="en-GB"/>
        </w:rPr>
        <w:t>No further financial guidance for 2018 is provided.</w:t>
      </w:r>
    </w:p>
    <w:p w14:paraId="06D4EBE7" w14:textId="77777777" w:rsidR="00294F31" w:rsidRPr="00A96D90" w:rsidRDefault="00294F31" w:rsidP="004071F8">
      <w:pPr>
        <w:autoSpaceDE w:val="0"/>
        <w:autoSpaceDN w:val="0"/>
        <w:adjustRightInd w:val="0"/>
        <w:rPr>
          <w:rStyle w:val="Strong"/>
          <w:rFonts w:ascii="Calibri" w:hAnsi="Calibri"/>
          <w:color w:val="808080" w:themeColor="background1" w:themeShade="80"/>
          <w:szCs w:val="22"/>
          <w:shd w:val="clear" w:color="auto" w:fill="FFFFFF"/>
          <w:lang w:val="en-GB"/>
        </w:rPr>
      </w:pPr>
    </w:p>
    <w:p w14:paraId="316A9F9C" w14:textId="77777777" w:rsidR="005365CE" w:rsidRPr="005C2729" w:rsidRDefault="005365CE" w:rsidP="005365CE">
      <w:pPr>
        <w:jc w:val="left"/>
        <w:rPr>
          <w:rStyle w:val="Strong"/>
          <w:rFonts w:asciiTheme="majorHAnsi" w:hAnsiTheme="majorHAnsi" w:cstheme="majorHAnsi"/>
          <w:color w:val="0070C0"/>
          <w:sz w:val="24"/>
          <w:szCs w:val="22"/>
          <w:shd w:val="clear" w:color="auto" w:fill="FFFFFF"/>
          <w:lang w:val="en-GB"/>
        </w:rPr>
      </w:pPr>
      <w:r w:rsidRPr="005C2729">
        <w:rPr>
          <w:rStyle w:val="Strong"/>
          <w:rFonts w:asciiTheme="majorHAnsi" w:hAnsiTheme="majorHAnsi" w:cstheme="majorHAnsi"/>
          <w:color w:val="0070C0"/>
          <w:sz w:val="24"/>
          <w:szCs w:val="22"/>
          <w:shd w:val="clear" w:color="auto" w:fill="FFFFFF"/>
          <w:lang w:val="en-GB"/>
        </w:rPr>
        <w:lastRenderedPageBreak/>
        <w:t>The Board of Management</w:t>
      </w:r>
    </w:p>
    <w:p w14:paraId="627A0155" w14:textId="77777777" w:rsidR="005365CE" w:rsidRPr="00A96D90" w:rsidRDefault="005365CE" w:rsidP="005365CE">
      <w:pPr>
        <w:jc w:val="left"/>
        <w:rPr>
          <w:rStyle w:val="Strong"/>
          <w:rFonts w:ascii="Calibri" w:hAnsi="Calibri"/>
          <w:sz w:val="18"/>
          <w:szCs w:val="22"/>
          <w:shd w:val="clear" w:color="auto" w:fill="FFFFFF"/>
          <w:lang w:val="en-GB"/>
        </w:rPr>
      </w:pPr>
    </w:p>
    <w:p w14:paraId="7D91F5AA"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Sijmen de Vries, CEO</w:t>
      </w:r>
    </w:p>
    <w:p w14:paraId="638A6827"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Bruno Giannetti, COO</w:t>
      </w:r>
    </w:p>
    <w:p w14:paraId="4FCA8180"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Robin Wright, CFO</w:t>
      </w:r>
    </w:p>
    <w:p w14:paraId="26D6E378" w14:textId="77777777" w:rsidR="005365CE" w:rsidRPr="00A96D90" w:rsidRDefault="005365CE" w:rsidP="005365CE">
      <w:pPr>
        <w:jc w:val="left"/>
        <w:rPr>
          <w:rStyle w:val="Strong"/>
          <w:rFonts w:ascii="Calibri Light" w:hAnsi="Calibri Light" w:cs="Calibri Light"/>
          <w:color w:val="276E8B" w:themeColor="accent1" w:themeShade="BF"/>
          <w:szCs w:val="22"/>
          <w:shd w:val="clear" w:color="auto" w:fill="FFFFFF"/>
          <w:lang w:val="en-GB"/>
        </w:rPr>
      </w:pPr>
      <w:r w:rsidRPr="00A96D90">
        <w:rPr>
          <w:rStyle w:val="Strong"/>
          <w:rFonts w:ascii="Calibri Light" w:hAnsi="Calibri Light" w:cs="Calibri Light"/>
          <w:color w:val="276E8B" w:themeColor="accent1" w:themeShade="BF"/>
          <w:szCs w:val="22"/>
          <w:shd w:val="clear" w:color="auto" w:fill="FFFFFF"/>
          <w:lang w:val="en-GB"/>
        </w:rPr>
        <w:br w:type="page"/>
      </w:r>
      <w:bookmarkStart w:id="0" w:name="_GoBack"/>
      <w:bookmarkEnd w:id="0"/>
    </w:p>
    <w:p w14:paraId="1CE12F83" w14:textId="77777777" w:rsidR="00B7657F" w:rsidRPr="005C2729" w:rsidRDefault="00595468" w:rsidP="00B7657F">
      <w:pPr>
        <w:jc w:val="left"/>
        <w:rPr>
          <w:rStyle w:val="Strong"/>
          <w:rFonts w:ascii="Calibri Light" w:hAnsi="Calibri Light" w:cs="Calibri Light"/>
          <w:color w:val="0070C0"/>
          <w:sz w:val="24"/>
          <w:szCs w:val="22"/>
          <w:shd w:val="clear" w:color="auto" w:fill="FFFFFF"/>
          <w:lang w:val="en-GB"/>
        </w:rPr>
      </w:pPr>
      <w:r w:rsidRPr="005C2729">
        <w:rPr>
          <w:rStyle w:val="Strong"/>
          <w:rFonts w:ascii="Calibri Light" w:hAnsi="Calibri Light" w:cs="Calibri Light"/>
          <w:color w:val="0070C0"/>
          <w:sz w:val="24"/>
          <w:szCs w:val="22"/>
          <w:shd w:val="clear" w:color="auto" w:fill="FFFFFF"/>
          <w:lang w:val="en-GB"/>
        </w:rPr>
        <w:lastRenderedPageBreak/>
        <w:t>About Pharming Group N.V.</w:t>
      </w:r>
    </w:p>
    <w:p w14:paraId="05E881EB" w14:textId="77777777" w:rsidR="00B7657F" w:rsidRPr="00A96D90" w:rsidRDefault="00B7657F" w:rsidP="00B7657F">
      <w:pPr>
        <w:jc w:val="left"/>
        <w:rPr>
          <w:rStyle w:val="Strong"/>
          <w:rFonts w:ascii="Calibri" w:hAnsi="Calibri"/>
          <w:szCs w:val="22"/>
          <w:highlight w:val="yellow"/>
          <w:shd w:val="clear" w:color="auto" w:fill="FFFFFF"/>
          <w:lang w:val="en-GB"/>
        </w:rPr>
      </w:pPr>
    </w:p>
    <w:p w14:paraId="43CCD93B"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24B68381" w14:textId="77777777" w:rsidR="00B21153" w:rsidRPr="00374A1E" w:rsidRDefault="00B21153" w:rsidP="00B21153">
      <w:pPr>
        <w:spacing w:after="120"/>
        <w:rPr>
          <w:rFonts w:ascii="Calibri Light" w:eastAsia="MS Mincho" w:hAnsi="Calibri Light" w:cs="Calibri Light"/>
          <w:color w:val="59595B"/>
          <w:lang w:val="en-GB"/>
        </w:rPr>
      </w:pPr>
      <w:r w:rsidRPr="00374A1E">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Pr>
          <w:rFonts w:ascii="Calibri Light" w:eastAsia="MS Mincho" w:hAnsi="Calibri Light" w:cs="Calibri Light"/>
          <w:color w:val="59595B"/>
        </w:rPr>
        <w:t>distribution is made</w:t>
      </w:r>
      <w:r w:rsidRPr="00374A1E">
        <w:rPr>
          <w:rFonts w:ascii="Calibri Light" w:eastAsia="MS Mincho" w:hAnsi="Calibri Light" w:cs="Calibri Light"/>
          <w:color w:val="59595B"/>
          <w:lang w:val="en-GB"/>
        </w:rPr>
        <w:t xml:space="preserve"> in association with the HAEi Global Access Program (GAP).</w:t>
      </w:r>
    </w:p>
    <w:p w14:paraId="08DFA1E4"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065259E2"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distributed in Argentina, Colombia, Costa Rica, the Dominican Republic, Panama, and Venezuela by Cytobioteck, in South Korea by HyupJin Corporation and in Israel by </w:t>
      </w:r>
      <w:r>
        <w:rPr>
          <w:rFonts w:asciiTheme="minorHAnsi" w:eastAsia="MS Mincho" w:hAnsiTheme="minorHAnsi" w:cstheme="minorHAnsi"/>
          <w:color w:val="59595B"/>
          <w:szCs w:val="22"/>
        </w:rPr>
        <w:t>Kamada</w:t>
      </w:r>
      <w:r w:rsidRPr="00340700">
        <w:rPr>
          <w:rFonts w:asciiTheme="minorHAnsi" w:eastAsia="MS Mincho" w:hAnsiTheme="minorHAnsi" w:cstheme="minorHAnsi"/>
          <w:color w:val="59595B"/>
          <w:szCs w:val="22"/>
          <w:lang w:val="en-GB"/>
        </w:rPr>
        <w:t>.</w:t>
      </w:r>
    </w:p>
    <w:p w14:paraId="204EF378"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also being </w:t>
      </w:r>
      <w:r>
        <w:rPr>
          <w:rFonts w:asciiTheme="minorHAnsi" w:eastAsia="MS Mincho" w:hAnsiTheme="minorHAnsi" w:cstheme="minorHAnsi"/>
          <w:color w:val="59595B"/>
          <w:szCs w:val="22"/>
        </w:rPr>
        <w:t>examined for approval</w:t>
      </w:r>
      <w:r w:rsidRPr="00340700">
        <w:rPr>
          <w:rFonts w:asciiTheme="minorHAnsi" w:eastAsia="MS Mincho" w:hAnsiTheme="minorHAnsi" w:cstheme="minorHAnsi"/>
          <w:color w:val="59595B"/>
          <w:szCs w:val="22"/>
          <w:lang w:val="en-GB"/>
        </w:rPr>
        <w:t xml:space="preserve"> for the treatment of HAE in young children (2-13 years of age) and evaluated for various additional follow-on indications.</w:t>
      </w:r>
    </w:p>
    <w:p w14:paraId="0FDEF732"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77BE0045" w14:textId="77777777" w:rsidR="00B21153" w:rsidRPr="00340700" w:rsidRDefault="00B21153" w:rsidP="00B21153">
      <w:pPr>
        <w:spacing w:after="120"/>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4F1D3F5E" w14:textId="77777777" w:rsidR="00B21153" w:rsidRDefault="00B21153" w:rsidP="00B21153">
      <w:pPr>
        <w:jc w:val="left"/>
        <w:rPr>
          <w:rStyle w:val="Hyperlink"/>
          <w:rFonts w:asciiTheme="minorHAnsi" w:eastAsia="MS Mincho" w:hAnsiTheme="minorHAnsi" w:cstheme="minorHAnsi"/>
          <w:b/>
          <w:color w:val="00679B"/>
          <w:szCs w:val="22"/>
          <w:lang w:val="en-GB"/>
        </w:rPr>
      </w:pPr>
      <w:r w:rsidRPr="00340700">
        <w:rPr>
          <w:rFonts w:asciiTheme="minorHAnsi" w:eastAsia="MS Mincho" w:hAnsiTheme="minorHAnsi" w:cstheme="minorHAnsi"/>
          <w:color w:val="59595B"/>
          <w:szCs w:val="22"/>
          <w:lang w:val="en-GB"/>
        </w:rPr>
        <w:t xml:space="preserve">Additional information is available on the Pharming website: </w:t>
      </w:r>
      <w:hyperlink r:id="rId9" w:history="1">
        <w:r w:rsidRPr="00056EB0">
          <w:rPr>
            <w:rStyle w:val="Hyperlink"/>
            <w:rFonts w:asciiTheme="minorHAnsi" w:eastAsia="MS Mincho" w:hAnsiTheme="minorHAnsi" w:cstheme="minorHAnsi"/>
            <w:b/>
            <w:color w:val="00679B"/>
            <w:szCs w:val="22"/>
            <w:lang w:val="en-GB"/>
          </w:rPr>
          <w:t>www.pharming.com</w:t>
        </w:r>
      </w:hyperlink>
    </w:p>
    <w:p w14:paraId="3014CCFF" w14:textId="77777777" w:rsidR="003650B8" w:rsidRDefault="003650B8" w:rsidP="00B21153">
      <w:pPr>
        <w:jc w:val="left"/>
        <w:rPr>
          <w:rStyle w:val="Hyperlink"/>
          <w:rFonts w:asciiTheme="minorHAnsi" w:eastAsia="MS Mincho" w:hAnsiTheme="minorHAnsi" w:cstheme="minorHAnsi"/>
          <w:b/>
          <w:color w:val="00679B"/>
          <w:szCs w:val="22"/>
          <w:lang w:val="en-GB"/>
        </w:rPr>
      </w:pPr>
    </w:p>
    <w:p w14:paraId="29090FEE" w14:textId="77777777" w:rsidR="003650B8" w:rsidRDefault="003650B8" w:rsidP="00B21153">
      <w:pPr>
        <w:jc w:val="left"/>
        <w:rPr>
          <w:rStyle w:val="Hyperlink"/>
          <w:rFonts w:asciiTheme="minorHAnsi" w:eastAsia="MS Mincho" w:hAnsiTheme="minorHAnsi" w:cstheme="minorHAnsi"/>
          <w:b/>
          <w:color w:val="00679B"/>
          <w:szCs w:val="22"/>
          <w:lang w:val="en-GB"/>
        </w:rPr>
      </w:pPr>
      <w:r w:rsidRPr="00A96D90">
        <w:rPr>
          <w:rFonts w:asciiTheme="minorHAnsi" w:eastAsiaTheme="majorEastAsia" w:hAnsiTheme="minorHAnsi" w:cstheme="majorBidi"/>
          <w:b/>
          <w:color w:val="59595B"/>
          <w:szCs w:val="28"/>
          <w:lang w:val="en-GB" w:eastAsia="zh-CN"/>
        </w:rPr>
        <w:t>Forward-looking Statements</w:t>
      </w:r>
    </w:p>
    <w:p w14:paraId="5BB4E744" w14:textId="77777777" w:rsidR="003650B8" w:rsidRPr="00922677" w:rsidRDefault="003650B8" w:rsidP="003650B8">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4618F252" w14:textId="77777777" w:rsidR="003650B8" w:rsidRPr="00922677" w:rsidRDefault="003650B8" w:rsidP="003650B8">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46150CBB" w14:textId="77777777" w:rsidR="003650B8" w:rsidRDefault="003650B8" w:rsidP="003650B8">
      <w:pPr>
        <w:jc w:val="left"/>
        <w:rPr>
          <w:rStyle w:val="Hyperlink"/>
          <w:rFonts w:asciiTheme="minorHAnsi" w:eastAsia="MS Mincho" w:hAnsiTheme="minorHAnsi" w:cstheme="minorHAnsi"/>
          <w:b/>
          <w:color w:val="00679B"/>
          <w:szCs w:val="22"/>
          <w:lang w:val="en-GB"/>
        </w:rPr>
      </w:pPr>
      <w:r w:rsidRPr="00922677">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0962CB7" w14:textId="77777777" w:rsidR="002B21CA" w:rsidRPr="00A96D90" w:rsidRDefault="003650B8" w:rsidP="002B21CA">
      <w:pPr>
        <w:jc w:val="left"/>
        <w:rPr>
          <w:rFonts w:asciiTheme="minorHAnsi" w:hAnsiTheme="minorHAnsi"/>
          <w:color w:val="59595B"/>
          <w:lang w:val="en-GB"/>
        </w:rPr>
      </w:pPr>
      <w:r>
        <w:rPr>
          <w:rFonts w:asciiTheme="minorHAnsi" w:eastAsiaTheme="majorEastAsia" w:hAnsiTheme="minorHAnsi" w:cstheme="majorBidi"/>
          <w:b/>
          <w:color w:val="59595B"/>
          <w:szCs w:val="28"/>
          <w:lang w:eastAsia="zh-CN"/>
        </w:rPr>
        <w:lastRenderedPageBreak/>
        <w:t>For further public information, c</w:t>
      </w:r>
      <w:r w:rsidR="002B21CA" w:rsidRPr="00A96D90">
        <w:rPr>
          <w:rFonts w:asciiTheme="minorHAnsi" w:eastAsiaTheme="majorEastAsia" w:hAnsiTheme="minorHAnsi" w:cstheme="majorBidi"/>
          <w:b/>
          <w:color w:val="59595B"/>
          <w:szCs w:val="28"/>
          <w:lang w:val="en-GB" w:eastAsia="zh-CN"/>
        </w:rPr>
        <w:t>ontact</w:t>
      </w:r>
      <w:r w:rsidR="002B21CA" w:rsidRPr="00A96D90">
        <w:rPr>
          <w:rFonts w:ascii="Calibri" w:hAnsi="Calibri"/>
          <w:color w:val="59595B"/>
          <w:lang w:val="en-GB"/>
        </w:rPr>
        <w:br/>
      </w:r>
      <w:r w:rsidR="002B21CA" w:rsidRPr="00A96D90">
        <w:rPr>
          <w:rFonts w:asciiTheme="minorHAnsi" w:hAnsiTheme="minorHAnsi"/>
          <w:color w:val="59595B"/>
          <w:lang w:val="en-GB"/>
        </w:rPr>
        <w:t>Sijmen de Vries, CEO: T: +31 71 524 7400</w:t>
      </w:r>
    </w:p>
    <w:p w14:paraId="0C3E2699" w14:textId="77777777" w:rsidR="002B21CA" w:rsidRPr="00A96D90" w:rsidRDefault="002B21CA" w:rsidP="002B21CA">
      <w:pPr>
        <w:jc w:val="left"/>
        <w:rPr>
          <w:rFonts w:asciiTheme="minorHAnsi" w:hAnsiTheme="minorHAnsi"/>
          <w:color w:val="59595B"/>
          <w:lang w:val="en-GB"/>
        </w:rPr>
      </w:pPr>
      <w:r w:rsidRPr="00A96D90">
        <w:rPr>
          <w:rFonts w:asciiTheme="minorHAnsi" w:hAnsiTheme="minorHAnsi"/>
          <w:color w:val="59595B"/>
          <w:lang w:val="en-GB"/>
        </w:rPr>
        <w:t xml:space="preserve">Robin Wright, </w:t>
      </w:r>
      <w:r w:rsidR="00384931" w:rsidRPr="00A96D90">
        <w:rPr>
          <w:rFonts w:asciiTheme="minorHAnsi" w:hAnsiTheme="minorHAnsi"/>
          <w:color w:val="59595B"/>
          <w:lang w:val="en-GB"/>
        </w:rPr>
        <w:t>CFO:</w:t>
      </w:r>
      <w:r w:rsidRPr="00A96D90">
        <w:rPr>
          <w:rFonts w:asciiTheme="minorHAnsi" w:hAnsiTheme="minorHAnsi"/>
          <w:color w:val="59595B"/>
          <w:lang w:val="en-GB"/>
        </w:rPr>
        <w:t xml:space="preserve"> T: +31 71 524 7432</w:t>
      </w:r>
    </w:p>
    <w:p w14:paraId="475B8550" w14:textId="77777777" w:rsidR="002B21CA" w:rsidRPr="00A96D90" w:rsidRDefault="002B21CA" w:rsidP="002B21CA">
      <w:pPr>
        <w:rPr>
          <w:rFonts w:asciiTheme="minorHAnsi" w:hAnsiTheme="minorHAnsi"/>
          <w:color w:val="59595B"/>
          <w:lang w:val="en-GB"/>
        </w:rPr>
      </w:pPr>
    </w:p>
    <w:p w14:paraId="1D161DB7" w14:textId="77777777" w:rsidR="002B21CA" w:rsidRPr="00A96D90" w:rsidRDefault="002B21CA" w:rsidP="002B21CA">
      <w:pPr>
        <w:rPr>
          <w:rFonts w:asciiTheme="minorHAnsi" w:eastAsia="SimSun" w:hAnsiTheme="minorHAnsi" w:cs="Arial"/>
          <w:i/>
          <w:color w:val="59595B"/>
          <w:lang w:val="en-GB" w:eastAsia="zh-CN"/>
        </w:rPr>
      </w:pPr>
      <w:r w:rsidRPr="00A96D90">
        <w:rPr>
          <w:rFonts w:asciiTheme="minorHAnsi" w:eastAsia="SimSun" w:hAnsiTheme="minorHAnsi" w:cs="Arial"/>
          <w:i/>
          <w:color w:val="59595B"/>
          <w:lang w:val="en-GB" w:eastAsia="zh-CN"/>
        </w:rPr>
        <w:t>FTI Consulting</w:t>
      </w:r>
    </w:p>
    <w:p w14:paraId="747EAC2D" w14:textId="77777777" w:rsidR="002B21CA" w:rsidRPr="00A96D90" w:rsidRDefault="002B21CA" w:rsidP="002B21CA">
      <w:pPr>
        <w:rPr>
          <w:rFonts w:asciiTheme="minorHAnsi" w:hAnsiTheme="minorHAnsi"/>
          <w:color w:val="59595B"/>
          <w:lang w:val="en-GB"/>
        </w:rPr>
      </w:pPr>
      <w:r w:rsidRPr="00A96D90">
        <w:rPr>
          <w:rFonts w:asciiTheme="minorHAnsi" w:eastAsia="SimSun" w:hAnsiTheme="minorHAnsi" w:cs="Arial"/>
          <w:color w:val="59595B"/>
          <w:lang w:val="en-GB" w:eastAsia="zh-CN"/>
        </w:rPr>
        <w:t xml:space="preserve">Julia Phillips/ Victoria Foster Mitchell, T: +44 </w:t>
      </w:r>
      <w:r w:rsidRPr="00A96D90">
        <w:rPr>
          <w:rFonts w:asciiTheme="minorHAnsi" w:hAnsiTheme="minorHAnsi"/>
          <w:color w:val="59595B"/>
          <w:lang w:val="en-GB"/>
        </w:rPr>
        <w:t>203 727 1136</w:t>
      </w:r>
    </w:p>
    <w:p w14:paraId="3AA02B1E" w14:textId="77777777" w:rsidR="00F15BC3" w:rsidRPr="00A96D90" w:rsidRDefault="00F15BC3" w:rsidP="00B7657F">
      <w:pPr>
        <w:rPr>
          <w:rFonts w:ascii="Calibri" w:hAnsi="Calibri"/>
          <w:color w:val="59595B"/>
          <w:lang w:val="en-GB"/>
        </w:rPr>
      </w:pPr>
    </w:p>
    <w:p w14:paraId="2DA2DF9D" w14:textId="77777777" w:rsidR="00F15BC3" w:rsidRPr="00A96D90" w:rsidRDefault="00384931" w:rsidP="00F15BC3">
      <w:pPr>
        <w:spacing w:line="276" w:lineRule="auto"/>
        <w:jc w:val="left"/>
        <w:rPr>
          <w:rFonts w:asciiTheme="minorHAnsi" w:eastAsia="MS Mincho" w:hAnsiTheme="minorHAnsi" w:cstheme="minorHAnsi"/>
          <w:i/>
          <w:color w:val="59595B"/>
          <w:szCs w:val="22"/>
          <w:lang w:val="en-GB"/>
        </w:rPr>
      </w:pPr>
      <w:r w:rsidRPr="00A96D90">
        <w:rPr>
          <w:rFonts w:asciiTheme="minorHAnsi" w:eastAsia="MS Mincho" w:hAnsiTheme="minorHAnsi" w:cstheme="minorHAnsi"/>
          <w:i/>
          <w:color w:val="59595B"/>
          <w:szCs w:val="22"/>
          <w:lang w:val="en-GB"/>
        </w:rPr>
        <w:t>LifeSpring</w:t>
      </w:r>
      <w:r w:rsidR="00F15BC3" w:rsidRPr="00A96D90">
        <w:rPr>
          <w:rFonts w:asciiTheme="minorHAnsi" w:eastAsia="MS Mincho" w:hAnsiTheme="minorHAnsi" w:cstheme="minorHAnsi"/>
          <w:i/>
          <w:color w:val="59595B"/>
          <w:szCs w:val="22"/>
          <w:lang w:val="en-GB"/>
        </w:rPr>
        <w:t xml:space="preserve"> Life Sciences Communication, Amsterdam, The Netherlands</w:t>
      </w:r>
    </w:p>
    <w:p w14:paraId="5C6948F9" w14:textId="77777777" w:rsidR="00F15BC3" w:rsidRPr="00A96D90" w:rsidRDefault="00F15BC3" w:rsidP="00F15BC3">
      <w:pPr>
        <w:autoSpaceDE w:val="0"/>
        <w:autoSpaceDN w:val="0"/>
        <w:adjustRightInd w:val="0"/>
        <w:rPr>
          <w:rFonts w:ascii="Calibri Light" w:hAnsi="Calibri Light" w:cs="Calibri Light"/>
          <w:b/>
          <w:bCs/>
          <w:color w:val="59595B"/>
          <w:szCs w:val="22"/>
          <w:lang w:val="en-GB"/>
        </w:rPr>
      </w:pPr>
      <w:r w:rsidRPr="00A96D90">
        <w:rPr>
          <w:rFonts w:asciiTheme="minorHAnsi" w:eastAsia="MS Mincho" w:hAnsiTheme="minorHAnsi" w:cstheme="minorHAnsi"/>
          <w:color w:val="59595B"/>
          <w:lang w:val="en-GB"/>
        </w:rPr>
        <w:t xml:space="preserve">Leon Melens, Tel: </w:t>
      </w:r>
      <w:r w:rsidRPr="00A96D90">
        <w:rPr>
          <w:rFonts w:ascii="Calibri Light" w:eastAsia="MS Mincho" w:hAnsi="Calibri Light" w:cstheme="minorHAnsi"/>
          <w:color w:val="59595B"/>
          <w:lang w:val="en-GB"/>
        </w:rPr>
        <w:t>+</w:t>
      </w:r>
      <w:r w:rsidRPr="00A96D90">
        <w:rPr>
          <w:rFonts w:ascii="Calibri Light" w:hAnsi="Calibri Light" w:cs="Arial"/>
          <w:color w:val="59595B"/>
          <w:lang w:val="en-GB"/>
        </w:rPr>
        <w:t>31 6 53 81 64 27</w:t>
      </w:r>
    </w:p>
    <w:p w14:paraId="4E216879" w14:textId="77777777" w:rsidR="00F15BC3" w:rsidRPr="00A96D90" w:rsidRDefault="00F15BC3" w:rsidP="00B7657F">
      <w:pPr>
        <w:rPr>
          <w:rFonts w:ascii="Calibri" w:hAnsi="Calibri"/>
          <w:color w:val="808080" w:themeColor="background1" w:themeShade="80"/>
          <w:lang w:val="en-GB"/>
        </w:rPr>
      </w:pPr>
    </w:p>
    <w:p w14:paraId="72B1D8FF" w14:textId="77777777" w:rsidR="00B7657F" w:rsidRPr="00A96D90" w:rsidRDefault="00B7657F" w:rsidP="00B7657F">
      <w:pPr>
        <w:rPr>
          <w:rFonts w:ascii="Calibri" w:hAnsi="Calibri"/>
          <w:color w:val="808080" w:themeColor="background1" w:themeShade="80"/>
          <w:lang w:val="en-GB"/>
        </w:rPr>
      </w:pPr>
    </w:p>
    <w:p w14:paraId="2BDEB62F" w14:textId="77777777" w:rsidR="005158B4" w:rsidRPr="005C2729" w:rsidRDefault="005158B4" w:rsidP="005158B4">
      <w:pPr>
        <w:autoSpaceDE w:val="0"/>
        <w:autoSpaceDN w:val="0"/>
        <w:adjustRightInd w:val="0"/>
        <w:jc w:val="left"/>
        <w:rPr>
          <w:rFonts w:asciiTheme="minorHAnsi" w:hAnsiTheme="minorHAnsi" w:cstheme="minorHAnsi"/>
          <w:color w:val="0070C0"/>
          <w:sz w:val="24"/>
          <w:szCs w:val="22"/>
          <w:lang w:val="en-GB"/>
        </w:rPr>
      </w:pPr>
      <w:r w:rsidRPr="005C2729">
        <w:rPr>
          <w:rFonts w:asciiTheme="minorHAnsi" w:hAnsiTheme="minorHAnsi" w:cstheme="minorHAnsi"/>
          <w:b/>
          <w:bCs/>
          <w:color w:val="0070C0"/>
          <w:sz w:val="24"/>
          <w:szCs w:val="22"/>
          <w:lang w:val="en-GB"/>
        </w:rPr>
        <w:t xml:space="preserve">Conference call information </w:t>
      </w:r>
    </w:p>
    <w:p w14:paraId="19FFF32E"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 xml:space="preserve">Today, Chief Executive Officer, Sijmen de Vries, and Chief Financial Officer, Robin Wright, will discuss the half year 2018 financial results with investors in a conference call at 13:00 CEDT/07:00 EDT. To participate, please call one of the following numbers 10 minutes prior to the call: </w:t>
      </w:r>
    </w:p>
    <w:p w14:paraId="0B20F7D7"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p>
    <w:p w14:paraId="0AD0BB91"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From the Netherlands: +31(0)20 709 5189</w:t>
      </w:r>
    </w:p>
    <w:p w14:paraId="04B84F98"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 xml:space="preserve">From the UK: +44 (0)33 3300 0804 </w:t>
      </w:r>
    </w:p>
    <w:p w14:paraId="2DD22A40"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From Belgium: +32 (0)2 403 5814</w:t>
      </w:r>
    </w:p>
    <w:p w14:paraId="72AB9D48"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From France: +33 (0)1 70 75 07 11</w:t>
      </w:r>
    </w:p>
    <w:p w14:paraId="3CBDD0A9"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From Switzerland: +41 (0)22 580 9034</w:t>
      </w:r>
    </w:p>
    <w:p w14:paraId="58FAC6D3" w14:textId="77777777" w:rsidR="005158B4" w:rsidRPr="00FD6879" w:rsidRDefault="005158B4" w:rsidP="005158B4">
      <w:pPr>
        <w:autoSpaceDE w:val="0"/>
        <w:autoSpaceDN w:val="0"/>
        <w:adjustRightInd w:val="0"/>
        <w:jc w:val="left"/>
        <w:rPr>
          <w:rFonts w:asciiTheme="minorHAnsi" w:hAnsiTheme="minorHAnsi" w:cstheme="minorHAnsi"/>
          <w:color w:val="59595B"/>
          <w:szCs w:val="22"/>
          <w:lang w:val="en-GB"/>
        </w:rPr>
      </w:pPr>
      <w:r w:rsidRPr="00FD6879">
        <w:rPr>
          <w:rFonts w:asciiTheme="minorHAnsi" w:hAnsiTheme="minorHAnsi" w:cstheme="minorHAnsi"/>
          <w:color w:val="59595B"/>
          <w:szCs w:val="22"/>
          <w:lang w:val="en-GB"/>
        </w:rPr>
        <w:t xml:space="preserve">From the US: +1 6319131422 </w:t>
      </w:r>
    </w:p>
    <w:p w14:paraId="27AA67EB" w14:textId="77777777" w:rsidR="005158B4" w:rsidRPr="00FD6879" w:rsidRDefault="005158B4" w:rsidP="005158B4">
      <w:pPr>
        <w:rPr>
          <w:rFonts w:asciiTheme="minorHAnsi" w:hAnsiTheme="minorHAnsi" w:cstheme="minorHAnsi"/>
          <w:b/>
          <w:bCs/>
          <w:color w:val="59595B"/>
          <w:szCs w:val="22"/>
          <w:lang w:val="en-GB"/>
        </w:rPr>
      </w:pPr>
    </w:p>
    <w:p w14:paraId="4F615EFD" w14:textId="77777777" w:rsidR="005158B4" w:rsidRPr="00FD6879" w:rsidRDefault="005158B4" w:rsidP="005158B4">
      <w:pPr>
        <w:jc w:val="left"/>
        <w:rPr>
          <w:rFonts w:asciiTheme="minorHAnsi" w:hAnsiTheme="minorHAnsi" w:cstheme="minorHAnsi"/>
          <w:bCs/>
          <w:color w:val="auto"/>
          <w:szCs w:val="22"/>
          <w:lang w:val="en-GB"/>
        </w:rPr>
      </w:pPr>
      <w:r>
        <w:rPr>
          <w:rFonts w:asciiTheme="minorHAnsi" w:hAnsiTheme="minorHAnsi" w:cstheme="minorHAnsi"/>
          <w:b/>
          <w:bCs/>
          <w:color w:val="59595B"/>
          <w:szCs w:val="22"/>
          <w:lang w:val="en-GB"/>
        </w:rPr>
        <w:t>For further international dial-</w:t>
      </w:r>
      <w:r w:rsidRPr="00FD6879">
        <w:rPr>
          <w:rFonts w:asciiTheme="minorHAnsi" w:hAnsiTheme="minorHAnsi" w:cstheme="minorHAnsi"/>
          <w:b/>
          <w:bCs/>
          <w:color w:val="59595B"/>
          <w:szCs w:val="22"/>
          <w:lang w:val="en-GB"/>
        </w:rPr>
        <w:t>in numbers:</w:t>
      </w:r>
      <w:r w:rsidRPr="00FD6879">
        <w:rPr>
          <w:rFonts w:asciiTheme="minorHAnsi" w:hAnsiTheme="minorHAnsi" w:cstheme="minorHAnsi"/>
          <w:b/>
          <w:bCs/>
          <w:color w:val="auto"/>
          <w:szCs w:val="22"/>
          <w:lang w:val="en-GB"/>
        </w:rPr>
        <w:t xml:space="preserve"> </w:t>
      </w:r>
      <w:hyperlink r:id="rId10" w:history="1">
        <w:r w:rsidRPr="00FD6879">
          <w:rPr>
            <w:rStyle w:val="Hyperlink"/>
            <w:rFonts w:asciiTheme="minorHAnsi" w:hAnsiTheme="minorHAnsi"/>
          </w:rPr>
          <w:t>http://events.arkadin.com/ev/docs/NE_W2_TF_Events_International_Access_List.pdf</w:t>
        </w:r>
      </w:hyperlink>
      <w:r w:rsidRPr="00FD6879">
        <w:rPr>
          <w:rFonts w:asciiTheme="minorHAnsi" w:hAnsiTheme="minorHAnsi"/>
        </w:rPr>
        <w:t xml:space="preserve"> </w:t>
      </w:r>
    </w:p>
    <w:p w14:paraId="6585E7B9" w14:textId="77777777" w:rsidR="005158B4" w:rsidRPr="00FD6879" w:rsidRDefault="005158B4" w:rsidP="005158B4">
      <w:pPr>
        <w:rPr>
          <w:rFonts w:asciiTheme="minorHAnsi" w:hAnsiTheme="minorHAnsi" w:cstheme="minorHAnsi"/>
          <w:b/>
          <w:bCs/>
          <w:color w:val="59595B"/>
          <w:szCs w:val="22"/>
          <w:lang w:val="en-GB"/>
        </w:rPr>
      </w:pPr>
    </w:p>
    <w:p w14:paraId="5D179FEA" w14:textId="77777777" w:rsidR="005158B4" w:rsidRPr="00FD6879" w:rsidRDefault="005158B4" w:rsidP="005158B4">
      <w:pPr>
        <w:rPr>
          <w:rFonts w:asciiTheme="minorHAnsi" w:hAnsiTheme="minorHAnsi" w:cstheme="minorHAnsi"/>
          <w:color w:val="59595B"/>
          <w:szCs w:val="22"/>
          <w:lang w:val="en-GB"/>
        </w:rPr>
      </w:pPr>
      <w:r w:rsidRPr="00FD6879">
        <w:rPr>
          <w:rFonts w:asciiTheme="minorHAnsi" w:hAnsiTheme="minorHAnsi" w:cstheme="minorHAnsi"/>
          <w:b/>
          <w:bCs/>
          <w:color w:val="59595B"/>
          <w:szCs w:val="22"/>
          <w:lang w:val="en-GB"/>
        </w:rPr>
        <w:t xml:space="preserve">Conference Call PIN: </w:t>
      </w:r>
      <w:r w:rsidRPr="00FD6879">
        <w:rPr>
          <w:rFonts w:asciiTheme="minorHAnsi" w:hAnsiTheme="minorHAnsi" w:cstheme="minorHAnsi"/>
          <w:bCs/>
          <w:color w:val="59595B"/>
          <w:szCs w:val="22"/>
          <w:lang w:val="en-GB"/>
        </w:rPr>
        <w:t>33609588#</w:t>
      </w:r>
      <w:r w:rsidRPr="00FD6879" w:rsidDel="00FD6879">
        <w:rPr>
          <w:rFonts w:asciiTheme="minorHAnsi" w:hAnsiTheme="minorHAnsi" w:cstheme="minorHAnsi"/>
          <w:bCs/>
          <w:color w:val="59595B"/>
          <w:szCs w:val="22"/>
          <w:lang w:val="en-GB"/>
        </w:rPr>
        <w:t xml:space="preserve"> </w:t>
      </w:r>
    </w:p>
    <w:p w14:paraId="6E5EA993" w14:textId="77777777" w:rsidR="005158B4" w:rsidRPr="00FD6879" w:rsidRDefault="005158B4" w:rsidP="005158B4">
      <w:pPr>
        <w:autoSpaceDE w:val="0"/>
        <w:autoSpaceDN w:val="0"/>
        <w:adjustRightInd w:val="0"/>
        <w:rPr>
          <w:rFonts w:asciiTheme="minorHAnsi" w:hAnsiTheme="minorHAnsi" w:cstheme="minorHAnsi"/>
          <w:b/>
          <w:bCs/>
          <w:color w:val="59595B"/>
          <w:szCs w:val="22"/>
          <w:lang w:val="en-GB"/>
        </w:rPr>
      </w:pPr>
    </w:p>
    <w:p w14:paraId="409C56E0" w14:textId="77777777" w:rsidR="005158B4" w:rsidRPr="00FD6879" w:rsidRDefault="005158B4" w:rsidP="005158B4">
      <w:pPr>
        <w:jc w:val="left"/>
        <w:rPr>
          <w:rFonts w:asciiTheme="minorHAnsi" w:eastAsiaTheme="majorEastAsia" w:hAnsiTheme="minorHAnsi" w:cstheme="minorHAnsi"/>
          <w:color w:val="auto"/>
          <w:szCs w:val="22"/>
          <w:lang w:val="en-GB" w:eastAsia="zh-CN"/>
        </w:rPr>
      </w:pPr>
      <w:r w:rsidRPr="00FD6879">
        <w:rPr>
          <w:rFonts w:asciiTheme="minorHAnsi" w:eastAsiaTheme="majorEastAsia" w:hAnsiTheme="minorHAnsi" w:cstheme="minorHAnsi"/>
          <w:b/>
          <w:color w:val="59595B"/>
          <w:szCs w:val="22"/>
          <w:lang w:val="en-GB" w:eastAsia="zh-CN"/>
        </w:rPr>
        <w:t>Slides can be found at:</w:t>
      </w:r>
      <w:r w:rsidRPr="00FD6879">
        <w:rPr>
          <w:rFonts w:asciiTheme="minorHAnsi" w:eastAsiaTheme="majorEastAsia" w:hAnsiTheme="minorHAnsi" w:cstheme="minorHAnsi"/>
          <w:b/>
          <w:color w:val="auto"/>
          <w:szCs w:val="22"/>
          <w:lang w:val="en-GB" w:eastAsia="zh-CN"/>
        </w:rPr>
        <w:t xml:space="preserve"> </w:t>
      </w:r>
      <w:hyperlink r:id="rId11" w:history="1">
        <w:r w:rsidRPr="00FD6879">
          <w:rPr>
            <w:rStyle w:val="Hyperlink"/>
            <w:rFonts w:asciiTheme="minorHAnsi" w:hAnsiTheme="minorHAnsi"/>
          </w:rPr>
          <w:t>https://arkadin-event.webex.com/arkadin-event/onstage/g.php?MTID=e7f59e4c1ddf177bc2b517980bb8c018c</w:t>
        </w:r>
      </w:hyperlink>
      <w:r w:rsidRPr="00FD6879">
        <w:rPr>
          <w:rFonts w:asciiTheme="minorHAnsi" w:hAnsiTheme="minorHAnsi"/>
        </w:rPr>
        <w:t xml:space="preserve"> </w:t>
      </w:r>
    </w:p>
    <w:p w14:paraId="48BDAD8F" w14:textId="77777777" w:rsidR="005158B4" w:rsidRPr="00FD6879" w:rsidRDefault="005158B4" w:rsidP="005158B4">
      <w:pPr>
        <w:jc w:val="left"/>
        <w:rPr>
          <w:rFonts w:asciiTheme="minorHAnsi" w:eastAsiaTheme="majorEastAsia" w:hAnsiTheme="minorHAnsi" w:cstheme="minorHAnsi"/>
          <w:b/>
          <w:color w:val="auto"/>
          <w:szCs w:val="22"/>
          <w:lang w:val="en-GB" w:eastAsia="zh-CN"/>
        </w:rPr>
      </w:pPr>
    </w:p>
    <w:p w14:paraId="2FB82D27" w14:textId="77777777" w:rsidR="005158B4" w:rsidRPr="00A96D90" w:rsidRDefault="005158B4" w:rsidP="005158B4">
      <w:pPr>
        <w:jc w:val="left"/>
        <w:rPr>
          <w:rFonts w:asciiTheme="minorHAnsi" w:eastAsiaTheme="majorEastAsia" w:hAnsiTheme="minorHAnsi" w:cstheme="minorHAnsi"/>
          <w:b/>
          <w:color w:val="59595B"/>
          <w:szCs w:val="22"/>
          <w:lang w:val="en-GB" w:eastAsia="zh-CN"/>
        </w:rPr>
      </w:pPr>
      <w:r w:rsidRPr="00FD6879">
        <w:rPr>
          <w:rFonts w:asciiTheme="minorHAnsi" w:eastAsiaTheme="majorEastAsia" w:hAnsiTheme="minorHAnsi" w:cstheme="minorHAnsi"/>
          <w:b/>
          <w:color w:val="59595B"/>
          <w:szCs w:val="22"/>
          <w:lang w:val="en-GB" w:eastAsia="zh-CN"/>
        </w:rPr>
        <w:t xml:space="preserve">Presentation Password: </w:t>
      </w:r>
      <w:r w:rsidRPr="00FD6879">
        <w:rPr>
          <w:rFonts w:asciiTheme="minorHAnsi" w:eastAsiaTheme="majorEastAsia" w:hAnsiTheme="minorHAnsi" w:cstheme="minorHAnsi"/>
          <w:color w:val="59595B"/>
          <w:szCs w:val="22"/>
          <w:lang w:val="en-GB" w:eastAsia="zh-CN"/>
        </w:rPr>
        <w:t>301238552</w:t>
      </w:r>
    </w:p>
    <w:p w14:paraId="47A901B7" w14:textId="77777777" w:rsidR="00B7657F" w:rsidRPr="00A96D90" w:rsidRDefault="00B7657F" w:rsidP="00B7657F">
      <w:pPr>
        <w:autoSpaceDE w:val="0"/>
        <w:autoSpaceDN w:val="0"/>
        <w:adjustRightInd w:val="0"/>
        <w:rPr>
          <w:rFonts w:asciiTheme="minorHAnsi" w:hAnsiTheme="minorHAnsi" w:cstheme="minorHAnsi"/>
          <w:b/>
          <w:bCs/>
          <w:szCs w:val="22"/>
          <w:lang w:val="en-GB"/>
        </w:rPr>
      </w:pPr>
    </w:p>
    <w:p w14:paraId="39B3AD6F" w14:textId="77777777" w:rsidR="00475506" w:rsidRPr="00A96D90" w:rsidRDefault="00475506" w:rsidP="00E64F9D">
      <w:pPr>
        <w:rPr>
          <w:rFonts w:asciiTheme="minorHAnsi" w:eastAsiaTheme="majorEastAsia" w:hAnsiTheme="minorHAnsi" w:cstheme="majorBidi"/>
          <w:b/>
          <w:color w:val="59595B"/>
          <w:sz w:val="24"/>
          <w:szCs w:val="28"/>
          <w:lang w:val="en-GB" w:eastAsia="zh-CN"/>
        </w:rPr>
      </w:pPr>
    </w:p>
    <w:p w14:paraId="3D116101" w14:textId="77777777" w:rsidR="00E64F9D" w:rsidRDefault="00E64F9D" w:rsidP="004339CB">
      <w:pPr>
        <w:jc w:val="left"/>
        <w:rPr>
          <w:color w:val="59595B"/>
          <w:lang w:val="en-GB"/>
        </w:rPr>
      </w:pPr>
    </w:p>
    <w:p w14:paraId="5EC3297F" w14:textId="77777777" w:rsidR="0004342B" w:rsidRDefault="0004342B">
      <w:pPr>
        <w:jc w:val="left"/>
        <w:rPr>
          <w:color w:val="59595B"/>
          <w:lang w:val="en-GB"/>
        </w:rPr>
      </w:pPr>
      <w:r>
        <w:rPr>
          <w:color w:val="59595B"/>
          <w:lang w:val="en-GB"/>
        </w:rPr>
        <w:br w:type="page"/>
      </w:r>
    </w:p>
    <w:p w14:paraId="001BC794" w14:textId="77777777" w:rsidR="0004342B" w:rsidRDefault="0004342B" w:rsidP="0004342B">
      <w:pPr>
        <w:jc w:val="left"/>
        <w:rPr>
          <w:rFonts w:asciiTheme="minorHAnsi" w:eastAsiaTheme="majorEastAsia" w:hAnsiTheme="minorHAnsi" w:cstheme="majorBidi"/>
          <w:b/>
          <w:color w:val="59595B"/>
          <w:sz w:val="24"/>
          <w:szCs w:val="28"/>
          <w:lang w:val="en-GB" w:eastAsia="zh-CN"/>
        </w:rPr>
      </w:pPr>
    </w:p>
    <w:p w14:paraId="44C43575" w14:textId="77777777" w:rsidR="0004342B" w:rsidRPr="00A96D90" w:rsidRDefault="0004342B" w:rsidP="0004342B">
      <w:pPr>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t>Pharming Group N.V.</w:t>
      </w:r>
    </w:p>
    <w:p w14:paraId="3643A84A" w14:textId="77777777" w:rsidR="0004342B" w:rsidRPr="00A96D90" w:rsidRDefault="0004342B" w:rsidP="0004342B">
      <w:pPr>
        <w:rPr>
          <w:rFonts w:ascii="Calibri" w:hAnsi="Calibri" w:cstheme="minorHAnsi"/>
          <w:b/>
          <w:color w:val="7E7B99" w:themeColor="text2" w:themeTint="99"/>
          <w:szCs w:val="22"/>
          <w:lang w:val="en-GB"/>
        </w:rPr>
      </w:pPr>
    </w:p>
    <w:p w14:paraId="5C9BFE7D" w14:textId="77777777" w:rsidR="0004342B" w:rsidRPr="005C2729" w:rsidRDefault="0004342B" w:rsidP="0004342B">
      <w:pPr>
        <w:rPr>
          <w:rFonts w:asciiTheme="minorHAnsi" w:hAnsiTheme="minorHAnsi"/>
          <w:color w:val="0070C0"/>
          <w:sz w:val="24"/>
          <w:lang w:val="en-GB"/>
        </w:rPr>
      </w:pPr>
      <w:r w:rsidRPr="005C2729">
        <w:rPr>
          <w:rFonts w:asciiTheme="minorHAnsi" w:hAnsiTheme="minorHAnsi"/>
          <w:b/>
          <w:color w:val="0070C0"/>
          <w:sz w:val="24"/>
          <w:lang w:val="en-GB"/>
        </w:rPr>
        <w:t>Consolidated</w:t>
      </w:r>
      <w:r w:rsidRPr="005C2729">
        <w:rPr>
          <w:rFonts w:asciiTheme="minorHAnsi" w:hAnsiTheme="minorHAnsi"/>
          <w:b/>
          <w:color w:val="0070C0"/>
          <w:sz w:val="24"/>
        </w:rPr>
        <w:t xml:space="preserve"> I</w:t>
      </w:r>
      <w:r w:rsidRPr="005C2729">
        <w:rPr>
          <w:rFonts w:asciiTheme="minorHAnsi" w:hAnsiTheme="minorHAnsi"/>
          <w:b/>
          <w:color w:val="0070C0"/>
          <w:sz w:val="24"/>
          <w:lang w:val="en-GB"/>
        </w:rPr>
        <w:t xml:space="preserve">nterim </w:t>
      </w:r>
      <w:r w:rsidRPr="005C2729">
        <w:rPr>
          <w:rFonts w:asciiTheme="minorHAnsi" w:hAnsiTheme="minorHAnsi"/>
          <w:b/>
          <w:color w:val="0070C0"/>
          <w:sz w:val="24"/>
        </w:rPr>
        <w:t>F</w:t>
      </w:r>
      <w:r w:rsidRPr="005C2729">
        <w:rPr>
          <w:rFonts w:asciiTheme="minorHAnsi" w:hAnsiTheme="minorHAnsi"/>
          <w:b/>
          <w:color w:val="0070C0"/>
          <w:sz w:val="24"/>
          <w:lang w:val="en-GB"/>
        </w:rPr>
        <w:t xml:space="preserve">inancial </w:t>
      </w:r>
      <w:r w:rsidRPr="005C2729">
        <w:rPr>
          <w:rFonts w:asciiTheme="minorHAnsi" w:hAnsiTheme="minorHAnsi"/>
          <w:b/>
          <w:color w:val="0070C0"/>
          <w:sz w:val="24"/>
        </w:rPr>
        <w:t>S</w:t>
      </w:r>
      <w:r w:rsidRPr="005C2729">
        <w:rPr>
          <w:rFonts w:asciiTheme="minorHAnsi" w:hAnsiTheme="minorHAnsi"/>
          <w:b/>
          <w:color w:val="0070C0"/>
          <w:sz w:val="24"/>
          <w:lang w:val="en-GB"/>
        </w:rPr>
        <w:t>tatements</w:t>
      </w:r>
      <w:r w:rsidRPr="005C2729">
        <w:rPr>
          <w:rFonts w:asciiTheme="minorHAnsi" w:hAnsiTheme="minorHAnsi"/>
          <w:color w:val="0070C0"/>
          <w:sz w:val="24"/>
          <w:lang w:val="en-GB"/>
        </w:rPr>
        <w:t xml:space="preserve"> (Unaudited)</w:t>
      </w:r>
    </w:p>
    <w:p w14:paraId="677EF8EB" w14:textId="77777777" w:rsidR="0004342B" w:rsidRPr="005C2729" w:rsidRDefault="0004342B" w:rsidP="0004342B">
      <w:pPr>
        <w:rPr>
          <w:rFonts w:asciiTheme="minorHAnsi" w:hAnsiTheme="minorHAnsi"/>
          <w:color w:val="0070C0"/>
          <w:sz w:val="24"/>
          <w:lang w:val="en-GB"/>
        </w:rPr>
      </w:pPr>
      <w:r w:rsidRPr="005C2729">
        <w:rPr>
          <w:rFonts w:asciiTheme="minorHAnsi" w:hAnsiTheme="minorHAnsi"/>
          <w:color w:val="0070C0"/>
          <w:sz w:val="24"/>
          <w:lang w:val="en-GB"/>
        </w:rPr>
        <w:t>For the first six months ended 30 June 201</w:t>
      </w:r>
      <w:r w:rsidRPr="005C2729">
        <w:rPr>
          <w:rFonts w:asciiTheme="minorHAnsi" w:hAnsiTheme="minorHAnsi"/>
          <w:color w:val="0070C0"/>
          <w:sz w:val="24"/>
        </w:rPr>
        <w:t>8</w:t>
      </w:r>
    </w:p>
    <w:p w14:paraId="0D2044B6" w14:textId="77777777" w:rsidR="0004342B" w:rsidRPr="00A96D90" w:rsidRDefault="0004342B" w:rsidP="0004342B">
      <w:pPr>
        <w:rPr>
          <w:rFonts w:ascii="Calibri" w:hAnsi="Calibri" w:cstheme="minorHAnsi"/>
          <w:color w:val="276E8B" w:themeColor="accent1" w:themeShade="BF"/>
          <w:szCs w:val="22"/>
          <w:lang w:val="en-GB"/>
        </w:rPr>
      </w:pPr>
    </w:p>
    <w:p w14:paraId="29F8BED4" w14:textId="77777777" w:rsidR="0004342B" w:rsidRPr="00A96D90" w:rsidRDefault="0004342B" w:rsidP="0004342B">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income</w:t>
      </w:r>
    </w:p>
    <w:p w14:paraId="46BD9425" w14:textId="77777777" w:rsidR="0004342B" w:rsidRPr="00A96D90" w:rsidRDefault="0004342B" w:rsidP="0004342B">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comprehensive income</w:t>
      </w:r>
    </w:p>
    <w:p w14:paraId="71E93411" w14:textId="77777777" w:rsidR="0004342B" w:rsidRPr="00A96D90" w:rsidRDefault="0004342B" w:rsidP="0004342B">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balance sheet</w:t>
      </w:r>
    </w:p>
    <w:p w14:paraId="1A7F6E35" w14:textId="77777777" w:rsidR="0004342B" w:rsidRPr="00A96D90" w:rsidRDefault="0004342B" w:rsidP="0004342B">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cash flows</w:t>
      </w:r>
    </w:p>
    <w:p w14:paraId="25B3AED0" w14:textId="77777777" w:rsidR="0004342B" w:rsidRPr="00A96D90" w:rsidRDefault="0004342B" w:rsidP="0004342B">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changes in equity</w:t>
      </w:r>
    </w:p>
    <w:p w14:paraId="794626F1" w14:textId="77777777" w:rsidR="0004342B" w:rsidRDefault="0004342B" w:rsidP="0004342B">
      <w:pPr>
        <w:rPr>
          <w:rFonts w:ascii="Calibri" w:hAnsi="Calibri" w:cstheme="minorHAnsi"/>
          <w:b/>
          <w:szCs w:val="22"/>
          <w:lang w:val="en-GB"/>
        </w:rPr>
      </w:pPr>
      <w:r w:rsidRPr="00A96D90">
        <w:rPr>
          <w:rFonts w:asciiTheme="minorHAnsi" w:hAnsiTheme="minorHAnsi" w:cstheme="minorHAnsi"/>
          <w:color w:val="59595B"/>
          <w:szCs w:val="22"/>
          <w:lang w:val="en-GB"/>
        </w:rPr>
        <w:t>Notes to the consolidated interim financial statements</w:t>
      </w:r>
    </w:p>
    <w:p w14:paraId="1350F366" w14:textId="77777777" w:rsidR="0004342B" w:rsidRDefault="0004342B" w:rsidP="0004342B">
      <w:pPr>
        <w:ind w:left="540" w:hanging="540"/>
        <w:rPr>
          <w:rFonts w:ascii="Calibri" w:hAnsi="Calibri" w:cstheme="minorHAnsi"/>
          <w:b/>
          <w:szCs w:val="22"/>
          <w:lang w:val="en-GB"/>
        </w:rPr>
      </w:pPr>
    </w:p>
    <w:p w14:paraId="23964FAC" w14:textId="77777777" w:rsidR="0004342B" w:rsidRDefault="0004342B" w:rsidP="0004342B">
      <w:pPr>
        <w:ind w:left="540" w:hanging="540"/>
        <w:rPr>
          <w:rFonts w:ascii="Calibri" w:hAnsi="Calibri" w:cstheme="minorHAnsi"/>
          <w:b/>
          <w:szCs w:val="22"/>
        </w:rPr>
      </w:pPr>
    </w:p>
    <w:p w14:paraId="587B3520" w14:textId="77777777" w:rsidR="0004342B" w:rsidRDefault="0004342B" w:rsidP="0004342B">
      <w:pPr>
        <w:ind w:left="540" w:hanging="540"/>
        <w:rPr>
          <w:rFonts w:ascii="Calibri" w:hAnsi="Calibri" w:cstheme="minorHAnsi"/>
          <w:b/>
          <w:szCs w:val="22"/>
        </w:rPr>
      </w:pPr>
    </w:p>
    <w:p w14:paraId="09B1FCF2" w14:textId="77777777" w:rsidR="0004342B" w:rsidRDefault="0004342B" w:rsidP="0004342B">
      <w:pPr>
        <w:ind w:left="540" w:hanging="540"/>
        <w:rPr>
          <w:rFonts w:ascii="Calibri" w:hAnsi="Calibri" w:cstheme="minorHAnsi"/>
          <w:b/>
          <w:szCs w:val="22"/>
        </w:rPr>
      </w:pPr>
    </w:p>
    <w:p w14:paraId="0C418E1C" w14:textId="21DB4753" w:rsidR="0004342B" w:rsidRPr="00032C26" w:rsidRDefault="0004342B" w:rsidP="0004342B">
      <w:pPr>
        <w:ind w:left="540" w:hanging="540"/>
        <w:rPr>
          <w:rFonts w:ascii="Calibri" w:hAnsi="Calibri" w:cstheme="minorHAnsi"/>
          <w:b/>
          <w:color w:val="7F7F7F" w:themeColor="text1" w:themeTint="80"/>
          <w:szCs w:val="22"/>
        </w:rPr>
      </w:pPr>
      <w:r w:rsidRPr="00F44886">
        <w:rPr>
          <w:rFonts w:ascii="Calibri" w:hAnsi="Calibri" w:cstheme="minorHAnsi"/>
          <w:b/>
          <w:color w:val="7F7F7F" w:themeColor="text1" w:themeTint="80"/>
          <w:szCs w:val="22"/>
        </w:rPr>
        <w:t>Appendix</w:t>
      </w:r>
      <w:r w:rsidR="00032C26">
        <w:rPr>
          <w:rFonts w:ascii="Calibri" w:hAnsi="Calibri" w:cstheme="minorHAnsi"/>
          <w:b/>
          <w:color w:val="7F7F7F" w:themeColor="text1" w:themeTint="80"/>
          <w:szCs w:val="22"/>
        </w:rPr>
        <w:t>: Main Financial Statements reported in US dollars</w:t>
      </w:r>
    </w:p>
    <w:p w14:paraId="49F57282" w14:textId="77777777" w:rsidR="0004342B" w:rsidRPr="005C2729" w:rsidRDefault="0004342B" w:rsidP="0004342B">
      <w:pPr>
        <w:ind w:left="540" w:hanging="540"/>
        <w:rPr>
          <w:rFonts w:ascii="Calibri" w:hAnsi="Calibri" w:cstheme="minorHAnsi"/>
          <w:color w:val="0070C0"/>
          <w:szCs w:val="22"/>
        </w:rPr>
      </w:pPr>
      <w:r>
        <w:rPr>
          <w:rFonts w:ascii="Calibri" w:hAnsi="Calibri" w:cstheme="minorHAnsi"/>
          <w:b/>
          <w:szCs w:val="22"/>
        </w:rPr>
        <w:br/>
      </w:r>
      <w:r w:rsidRPr="005C2729">
        <w:rPr>
          <w:rFonts w:ascii="Calibri" w:hAnsi="Calibri" w:cstheme="minorHAnsi"/>
          <w:color w:val="0070C0"/>
          <w:szCs w:val="22"/>
        </w:rPr>
        <w:t>(This appendix is not part of the Consolidated Interim Financial Statements)</w:t>
      </w:r>
    </w:p>
    <w:p w14:paraId="6836B0C1" w14:textId="77777777" w:rsidR="0004342B" w:rsidRDefault="0004342B" w:rsidP="0004342B">
      <w:pPr>
        <w:ind w:left="540" w:hanging="540"/>
        <w:rPr>
          <w:rFonts w:ascii="Calibri" w:hAnsi="Calibri" w:cstheme="minorHAnsi"/>
          <w:b/>
          <w:szCs w:val="22"/>
        </w:rPr>
      </w:pPr>
    </w:p>
    <w:p w14:paraId="1527B98D" w14:textId="77777777" w:rsidR="0004342B" w:rsidRPr="00F44886" w:rsidRDefault="0004342B" w:rsidP="0004342B">
      <w:pPr>
        <w:ind w:left="540"/>
        <w:rPr>
          <w:rFonts w:ascii="Calibri" w:hAnsi="Calibri" w:cstheme="minorHAnsi"/>
          <w:color w:val="7F7F7F" w:themeColor="text1" w:themeTint="80"/>
          <w:szCs w:val="22"/>
        </w:rPr>
      </w:pPr>
      <w:r w:rsidRPr="00F44886">
        <w:rPr>
          <w:rFonts w:ascii="Calibri" w:hAnsi="Calibri" w:cstheme="minorHAnsi"/>
          <w:color w:val="7F7F7F" w:themeColor="text1" w:themeTint="80"/>
          <w:szCs w:val="22"/>
        </w:rPr>
        <w:t>Consolidated statement of income in US Dollar (unaudited)</w:t>
      </w:r>
    </w:p>
    <w:p w14:paraId="30061D1B" w14:textId="77777777" w:rsidR="0004342B" w:rsidRPr="00A96D90" w:rsidRDefault="0004342B" w:rsidP="0004342B">
      <w:pPr>
        <w:ind w:left="540"/>
        <w:rPr>
          <w:rFonts w:ascii="Calibri" w:hAnsi="Calibri" w:cstheme="minorHAnsi"/>
          <w:b/>
          <w:szCs w:val="22"/>
          <w:lang w:val="en-GB"/>
        </w:rPr>
      </w:pPr>
      <w:r w:rsidRPr="00F44886">
        <w:rPr>
          <w:rFonts w:ascii="Calibri" w:hAnsi="Calibri" w:cstheme="minorHAnsi"/>
          <w:color w:val="7F7F7F" w:themeColor="text1" w:themeTint="80"/>
          <w:szCs w:val="22"/>
        </w:rPr>
        <w:t>Consolidated balance sheet in US Dollar (unaudited)</w:t>
      </w:r>
      <w:r w:rsidRPr="00A96D90">
        <w:rPr>
          <w:rFonts w:ascii="Calibri" w:hAnsi="Calibri" w:cstheme="minorHAnsi"/>
          <w:b/>
          <w:szCs w:val="22"/>
          <w:lang w:val="en-GB"/>
        </w:rPr>
        <w:br w:type="page"/>
      </w:r>
    </w:p>
    <w:p w14:paraId="75976833" w14:textId="77777777" w:rsidR="0004342B" w:rsidRPr="0011563F" w:rsidRDefault="0004342B" w:rsidP="0004342B">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4C857319" w14:textId="77777777" w:rsidR="0004342B" w:rsidRPr="00A96D90" w:rsidRDefault="0004342B" w:rsidP="0004342B">
      <w:pPr>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369D689D" w14:textId="77777777" w:rsidR="0004342B" w:rsidRPr="00A96D90" w:rsidRDefault="0004342B" w:rsidP="0004342B">
      <w:pPr>
        <w:rPr>
          <w:rFonts w:ascii="Calibri" w:hAnsi="Calibri" w:cstheme="minorHAnsi"/>
          <w:b/>
          <w:color w:val="276E8B" w:themeColor="accent1" w:themeShade="BF"/>
          <w:szCs w:val="22"/>
          <w:lang w:val="en-GB"/>
        </w:rPr>
      </w:pPr>
    </w:p>
    <w:tbl>
      <w:tblPr>
        <w:tblW w:w="8995"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718"/>
        <w:gridCol w:w="1596"/>
        <w:gridCol w:w="1551"/>
      </w:tblGrid>
      <w:tr w:rsidR="0004342B" w:rsidRPr="00A96D90" w14:paraId="6C3D63B5" w14:textId="77777777" w:rsidTr="00691179">
        <w:trPr>
          <w:trHeight w:val="144"/>
          <w:jc w:val="center"/>
        </w:trPr>
        <w:tc>
          <w:tcPr>
            <w:tcW w:w="5130" w:type="dxa"/>
            <w:tcBorders>
              <w:bottom w:val="single" w:sz="4" w:space="0" w:color="BFBFBF" w:themeColor="background1" w:themeShade="BF"/>
            </w:tcBorders>
            <w:shd w:val="clear" w:color="auto" w:fill="0070C0"/>
            <w:tcMar>
              <w:top w:w="28" w:type="dxa"/>
            </w:tcMar>
          </w:tcPr>
          <w:p w14:paraId="4FC32367" w14:textId="77777777" w:rsidR="0004342B" w:rsidRPr="007707C3" w:rsidRDefault="0004342B" w:rsidP="00691179">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 except per share data</w:t>
            </w:r>
          </w:p>
        </w:tc>
        <w:tc>
          <w:tcPr>
            <w:tcW w:w="718" w:type="dxa"/>
            <w:tcBorders>
              <w:bottom w:val="single" w:sz="4" w:space="0" w:color="BFBFBF" w:themeColor="background1" w:themeShade="BF"/>
            </w:tcBorders>
            <w:shd w:val="clear" w:color="auto" w:fill="0070C0"/>
            <w:tcMar>
              <w:top w:w="28" w:type="dxa"/>
            </w:tcMar>
          </w:tcPr>
          <w:p w14:paraId="0C32147E" w14:textId="77777777" w:rsidR="0004342B" w:rsidRPr="00E12C03" w:rsidRDefault="0004342B" w:rsidP="00691179">
            <w:pPr>
              <w:jc w:val="right"/>
              <w:rPr>
                <w:rFonts w:asciiTheme="minorHAnsi" w:hAnsiTheme="minorHAnsi" w:cstheme="minorHAnsi"/>
                <w:b/>
                <w:color w:val="FFFFFF" w:themeColor="background1"/>
                <w:sz w:val="16"/>
                <w:szCs w:val="20"/>
                <w:lang w:val="en-GB"/>
              </w:rPr>
            </w:pPr>
            <w:r w:rsidRPr="00E12C03">
              <w:rPr>
                <w:rFonts w:asciiTheme="minorHAnsi" w:hAnsiTheme="minorHAnsi" w:cstheme="minorHAnsi"/>
                <w:b/>
                <w:color w:val="FFFFFF" w:themeColor="background1"/>
                <w:sz w:val="16"/>
                <w:szCs w:val="20"/>
                <w:lang w:val="en-GB"/>
              </w:rPr>
              <w:t>Notes</w:t>
            </w:r>
          </w:p>
        </w:tc>
        <w:tc>
          <w:tcPr>
            <w:tcW w:w="1596" w:type="dxa"/>
            <w:tcBorders>
              <w:bottom w:val="single" w:sz="4" w:space="0" w:color="BFBFBF" w:themeColor="background1" w:themeShade="BF"/>
            </w:tcBorders>
            <w:shd w:val="clear" w:color="auto" w:fill="0070C0"/>
            <w:tcMar>
              <w:top w:w="28" w:type="dxa"/>
            </w:tcMar>
          </w:tcPr>
          <w:p w14:paraId="7848D2BA" w14:textId="77777777" w:rsidR="0004342B" w:rsidRPr="00CF1D25" w:rsidRDefault="0004342B" w:rsidP="00691179">
            <w:pPr>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8</w:t>
            </w:r>
          </w:p>
        </w:tc>
        <w:tc>
          <w:tcPr>
            <w:tcW w:w="1551" w:type="dxa"/>
            <w:tcBorders>
              <w:bottom w:val="single" w:sz="4" w:space="0" w:color="BFBFBF" w:themeColor="background1" w:themeShade="BF"/>
            </w:tcBorders>
            <w:shd w:val="clear" w:color="auto" w:fill="0070C0"/>
            <w:tcMar>
              <w:top w:w="28" w:type="dxa"/>
            </w:tcMar>
          </w:tcPr>
          <w:p w14:paraId="1CC9292D" w14:textId="77777777" w:rsidR="0004342B" w:rsidRPr="00CF1D25" w:rsidRDefault="0004342B" w:rsidP="00691179">
            <w:pPr>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7</w:t>
            </w:r>
          </w:p>
        </w:tc>
      </w:tr>
      <w:tr w:rsidR="0004342B" w:rsidRPr="00A96D90" w14:paraId="5F9FDEA8" w14:textId="77777777" w:rsidTr="00691179">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0A271815" w14:textId="77777777" w:rsidR="0004342B" w:rsidRPr="00A96D90" w:rsidRDefault="0004342B" w:rsidP="00691179">
            <w:pPr>
              <w:rPr>
                <w:rFonts w:asciiTheme="minorHAnsi" w:hAnsiTheme="minorHAnsi" w:cstheme="minorHAnsi"/>
                <w:color w:val="59595B"/>
                <w:sz w:val="20"/>
                <w:szCs w:val="20"/>
                <w:lang w:val="en-GB"/>
              </w:rPr>
            </w:pPr>
          </w:p>
        </w:tc>
        <w:tc>
          <w:tcPr>
            <w:tcW w:w="718" w:type="dxa"/>
            <w:tcBorders>
              <w:top w:val="single" w:sz="4" w:space="0" w:color="BFBFBF" w:themeColor="background1" w:themeShade="BF"/>
              <w:bottom w:val="nil"/>
            </w:tcBorders>
            <w:tcMar>
              <w:top w:w="28" w:type="dxa"/>
            </w:tcMar>
          </w:tcPr>
          <w:p w14:paraId="18D3A4E3"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0A696858"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08D49D36"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64B7C908" w14:textId="77777777" w:rsidTr="00691179">
        <w:trPr>
          <w:trHeight w:val="144"/>
          <w:jc w:val="center"/>
        </w:trPr>
        <w:tc>
          <w:tcPr>
            <w:tcW w:w="5130" w:type="dxa"/>
            <w:tcBorders>
              <w:top w:val="nil"/>
              <w:left w:val="single" w:sz="4" w:space="0" w:color="BFBFBF" w:themeColor="background1" w:themeShade="BF"/>
              <w:bottom w:val="nil"/>
            </w:tcBorders>
            <w:tcMar>
              <w:top w:w="28" w:type="dxa"/>
            </w:tcMar>
          </w:tcPr>
          <w:p w14:paraId="132DBC29"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718" w:type="dxa"/>
            <w:tcBorders>
              <w:top w:val="nil"/>
              <w:bottom w:val="nil"/>
            </w:tcBorders>
            <w:tcMar>
              <w:top w:w="28" w:type="dxa"/>
            </w:tcMar>
          </w:tcPr>
          <w:p w14:paraId="5C981E4D"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nil"/>
            </w:tcBorders>
            <w:shd w:val="clear" w:color="auto" w:fill="F2F2F2" w:themeFill="background1" w:themeFillShade="F2"/>
            <w:tcMar>
              <w:top w:w="28" w:type="dxa"/>
            </w:tcMar>
          </w:tcPr>
          <w:p w14:paraId="52CF4CA8"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59,051</w:t>
            </w:r>
          </w:p>
        </w:tc>
        <w:tc>
          <w:tcPr>
            <w:tcW w:w="1551" w:type="dxa"/>
            <w:tcBorders>
              <w:top w:val="nil"/>
              <w:bottom w:val="nil"/>
              <w:right w:val="nil"/>
            </w:tcBorders>
            <w:tcMar>
              <w:top w:w="28" w:type="dxa"/>
            </w:tcMar>
          </w:tcPr>
          <w:p w14:paraId="75BCBD51" w14:textId="77777777" w:rsidR="0004342B" w:rsidRPr="00D3488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30,109</w:t>
            </w:r>
          </w:p>
        </w:tc>
      </w:tr>
      <w:tr w:rsidR="0004342B" w:rsidRPr="00A96D90" w14:paraId="5C39C1B2" w14:textId="77777777" w:rsidTr="00691179">
        <w:trPr>
          <w:trHeight w:val="144"/>
          <w:jc w:val="center"/>
        </w:trPr>
        <w:tc>
          <w:tcPr>
            <w:tcW w:w="5130" w:type="dxa"/>
            <w:tcBorders>
              <w:top w:val="nil"/>
              <w:left w:val="single" w:sz="4" w:space="0" w:color="BFBFBF" w:themeColor="background1" w:themeShade="BF"/>
              <w:bottom w:val="single" w:sz="4" w:space="0" w:color="BFBFBF" w:themeColor="background1" w:themeShade="BF"/>
            </w:tcBorders>
            <w:tcMar>
              <w:top w:w="28" w:type="dxa"/>
            </w:tcMar>
          </w:tcPr>
          <w:p w14:paraId="79A81471" w14:textId="77777777" w:rsidR="0004342B" w:rsidRPr="00A96D90" w:rsidRDefault="0004342B" w:rsidP="00691179">
            <w:pPr>
              <w:rPr>
                <w:rFonts w:asciiTheme="minorHAnsi" w:hAnsiTheme="minorHAnsi" w:cstheme="minorHAnsi"/>
                <w:color w:val="59595B"/>
                <w:sz w:val="20"/>
                <w:szCs w:val="20"/>
                <w:lang w:val="en-GB"/>
              </w:rPr>
            </w:pPr>
            <w:r>
              <w:rPr>
                <w:rFonts w:asciiTheme="minorHAnsi" w:hAnsiTheme="minorHAnsi" w:cstheme="minorHAnsi"/>
                <w:color w:val="59595B"/>
                <w:sz w:val="20"/>
                <w:szCs w:val="20"/>
              </w:rPr>
              <w:t>L</w:t>
            </w:r>
            <w:r w:rsidRPr="00A96D90">
              <w:rPr>
                <w:rFonts w:asciiTheme="minorHAnsi" w:hAnsiTheme="minorHAnsi" w:cstheme="minorHAnsi"/>
                <w:color w:val="59595B"/>
                <w:sz w:val="20"/>
                <w:szCs w:val="20"/>
                <w:lang w:val="en-GB"/>
              </w:rPr>
              <w:t>icense fee</w:t>
            </w:r>
            <w:r>
              <w:rPr>
                <w:rFonts w:asciiTheme="minorHAnsi" w:hAnsiTheme="minorHAnsi" w:cstheme="minorHAnsi"/>
                <w:color w:val="59595B"/>
                <w:sz w:val="20"/>
                <w:szCs w:val="20"/>
              </w:rPr>
              <w:t>s</w:t>
            </w:r>
          </w:p>
        </w:tc>
        <w:tc>
          <w:tcPr>
            <w:tcW w:w="718" w:type="dxa"/>
            <w:tcBorders>
              <w:top w:val="nil"/>
              <w:bottom w:val="single" w:sz="4" w:space="0" w:color="BFBFBF" w:themeColor="background1" w:themeShade="BF"/>
            </w:tcBorders>
            <w:tcMar>
              <w:top w:w="28" w:type="dxa"/>
            </w:tcMar>
          </w:tcPr>
          <w:p w14:paraId="40251967"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A4C630D"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403</w:t>
            </w:r>
          </w:p>
        </w:tc>
        <w:tc>
          <w:tcPr>
            <w:tcW w:w="1551" w:type="dxa"/>
            <w:tcBorders>
              <w:top w:val="nil"/>
              <w:bottom w:val="single" w:sz="4" w:space="0" w:color="BFBFBF" w:themeColor="background1" w:themeShade="BF"/>
              <w:right w:val="nil"/>
            </w:tcBorders>
            <w:tcMar>
              <w:top w:w="28" w:type="dxa"/>
            </w:tcMar>
          </w:tcPr>
          <w:p w14:paraId="0F80D360" w14:textId="77777777" w:rsidR="0004342B" w:rsidRPr="00D3488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536</w:t>
            </w:r>
          </w:p>
        </w:tc>
      </w:tr>
      <w:tr w:rsidR="0004342B" w:rsidRPr="00A96D90" w14:paraId="1A3581E7"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2EC8AFDE"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718" w:type="dxa"/>
            <w:tcBorders>
              <w:top w:val="single" w:sz="4" w:space="0" w:color="BFBFBF" w:themeColor="background1" w:themeShade="BF"/>
              <w:bottom w:val="single" w:sz="4" w:space="0" w:color="BFBFBF" w:themeColor="background1" w:themeShade="BF"/>
            </w:tcBorders>
            <w:tcMar>
              <w:top w:w="28" w:type="dxa"/>
            </w:tcMar>
          </w:tcPr>
          <w:p w14:paraId="640FA832" w14:textId="77777777" w:rsidR="0004342B" w:rsidRPr="00E12C03" w:rsidRDefault="0004342B" w:rsidP="00691179">
            <w:pPr>
              <w:jc w:val="right"/>
              <w:rPr>
                <w:rFonts w:asciiTheme="minorHAnsi" w:hAnsiTheme="minorHAnsi" w:cstheme="minorHAnsi"/>
                <w:b/>
                <w:color w:val="0070C0"/>
                <w:sz w:val="16"/>
                <w:szCs w:val="20"/>
                <w:lang w:val="en-GB"/>
              </w:rPr>
            </w:pPr>
            <w:r w:rsidRPr="00E12C03">
              <w:rPr>
                <w:rFonts w:asciiTheme="minorHAnsi" w:hAnsiTheme="minorHAnsi" w:cs="Arial"/>
                <w:bCs/>
                <w:color w:val="0070C0"/>
                <w:sz w:val="16"/>
                <w:szCs w:val="20"/>
                <w:lang w:val="en-GB"/>
              </w:rPr>
              <w:t>6</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7B46A1E"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59,454</w:t>
            </w:r>
          </w:p>
        </w:tc>
        <w:tc>
          <w:tcPr>
            <w:tcW w:w="1551" w:type="dxa"/>
            <w:tcBorders>
              <w:top w:val="single" w:sz="4" w:space="0" w:color="BFBFBF" w:themeColor="background1" w:themeShade="BF"/>
              <w:bottom w:val="single" w:sz="4" w:space="0" w:color="BFBFBF" w:themeColor="background1" w:themeShade="BF"/>
            </w:tcBorders>
            <w:tcMar>
              <w:top w:w="28" w:type="dxa"/>
            </w:tcMar>
          </w:tcPr>
          <w:p w14:paraId="6F57E693"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rPr>
              <w:t>30,645</w:t>
            </w:r>
          </w:p>
        </w:tc>
      </w:tr>
      <w:tr w:rsidR="0004342B" w:rsidRPr="00A96D90" w14:paraId="24208D1C" w14:textId="77777777" w:rsidTr="00691179">
        <w:trPr>
          <w:trHeight w:val="144"/>
          <w:jc w:val="center"/>
        </w:trPr>
        <w:tc>
          <w:tcPr>
            <w:tcW w:w="5130" w:type="dxa"/>
            <w:tcBorders>
              <w:bottom w:val="nil"/>
            </w:tcBorders>
            <w:tcMar>
              <w:top w:w="28" w:type="dxa"/>
            </w:tcMar>
          </w:tcPr>
          <w:p w14:paraId="11C52EFF"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bottom w:val="nil"/>
            </w:tcBorders>
            <w:tcMar>
              <w:top w:w="28" w:type="dxa"/>
            </w:tcMar>
          </w:tcPr>
          <w:p w14:paraId="54A8A954"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nil"/>
            </w:tcBorders>
            <w:shd w:val="clear" w:color="auto" w:fill="F2F2F2" w:themeFill="background1" w:themeFillShade="F2"/>
            <w:tcMar>
              <w:top w:w="28" w:type="dxa"/>
            </w:tcMar>
          </w:tcPr>
          <w:p w14:paraId="6574DA4C"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EE78D32"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54E757CB"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0FD22BC3"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718" w:type="dxa"/>
            <w:tcBorders>
              <w:top w:val="single" w:sz="4" w:space="0" w:color="BFBFBF" w:themeColor="background1" w:themeShade="BF"/>
              <w:bottom w:val="single" w:sz="4" w:space="0" w:color="BFBFBF" w:themeColor="background1" w:themeShade="BF"/>
            </w:tcBorders>
            <w:tcMar>
              <w:top w:w="28" w:type="dxa"/>
            </w:tcMar>
          </w:tcPr>
          <w:p w14:paraId="0CE5A159" w14:textId="77777777" w:rsidR="0004342B" w:rsidRPr="00E12C03" w:rsidRDefault="0004342B" w:rsidP="00691179">
            <w:pPr>
              <w:jc w:val="right"/>
              <w:rPr>
                <w:rFonts w:asciiTheme="minorHAnsi" w:hAnsiTheme="minorHAnsi" w:cstheme="minorHAnsi"/>
                <w:color w:val="59595B"/>
                <w:sz w:val="16"/>
                <w:szCs w:val="20"/>
                <w:lang w:val="en-GB"/>
              </w:rPr>
            </w:pPr>
            <w:r w:rsidRPr="00E12C03">
              <w:rPr>
                <w:rFonts w:asciiTheme="minorHAnsi" w:hAnsiTheme="minorHAnsi" w:cs="Arial"/>
                <w:bCs/>
                <w:color w:val="59595B"/>
                <w:sz w:val="16"/>
                <w:szCs w:val="20"/>
                <w:lang w:val="en-GB"/>
              </w:rPr>
              <w:t>7</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606B8E13" w14:textId="77777777" w:rsidR="0004342B" w:rsidRPr="00C33738" w:rsidRDefault="0004342B" w:rsidP="00691179">
            <w:pPr>
              <w:jc w:val="right"/>
              <w:rPr>
                <w:rFonts w:asciiTheme="minorHAnsi" w:hAnsiTheme="minorHAnsi" w:cstheme="minorHAnsi"/>
                <w:b/>
                <w:color w:val="59595B"/>
                <w:sz w:val="20"/>
                <w:szCs w:val="20"/>
              </w:rPr>
            </w:pPr>
            <w:r w:rsidRPr="00C33738">
              <w:rPr>
                <w:rFonts w:asciiTheme="minorHAnsi" w:hAnsiTheme="minorHAnsi" w:cstheme="minorHAnsi"/>
                <w:b/>
                <w:color w:val="59595B"/>
                <w:sz w:val="20"/>
                <w:szCs w:val="20"/>
              </w:rPr>
              <w:t>(9,473)</w:t>
            </w:r>
          </w:p>
        </w:tc>
        <w:tc>
          <w:tcPr>
            <w:tcW w:w="1551" w:type="dxa"/>
            <w:tcBorders>
              <w:top w:val="single" w:sz="4" w:space="0" w:color="BFBFBF" w:themeColor="background1" w:themeShade="BF"/>
              <w:bottom w:val="single" w:sz="4" w:space="0" w:color="BFBFBF" w:themeColor="background1" w:themeShade="BF"/>
            </w:tcBorders>
            <w:tcMar>
              <w:top w:w="28" w:type="dxa"/>
            </w:tcMar>
          </w:tcPr>
          <w:p w14:paraId="19365854"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3,657</w:t>
            </w:r>
            <w:r w:rsidRPr="00A96D90">
              <w:rPr>
                <w:rFonts w:asciiTheme="minorHAnsi" w:hAnsiTheme="minorHAnsi" w:cstheme="minorHAnsi"/>
                <w:b/>
                <w:color w:val="59595B"/>
                <w:sz w:val="20"/>
                <w:szCs w:val="20"/>
                <w:lang w:val="en-GB"/>
              </w:rPr>
              <w:t>)</w:t>
            </w:r>
          </w:p>
        </w:tc>
      </w:tr>
      <w:tr w:rsidR="0004342B" w:rsidRPr="00A96D90" w14:paraId="70CCA2ED" w14:textId="77777777" w:rsidTr="00691179">
        <w:trPr>
          <w:trHeight w:val="144"/>
          <w:jc w:val="center"/>
        </w:trPr>
        <w:tc>
          <w:tcPr>
            <w:tcW w:w="5130" w:type="dxa"/>
            <w:tcBorders>
              <w:bottom w:val="single" w:sz="4" w:space="0" w:color="BFBFBF" w:themeColor="background1" w:themeShade="BF"/>
            </w:tcBorders>
            <w:tcMar>
              <w:top w:w="28" w:type="dxa"/>
            </w:tcMar>
          </w:tcPr>
          <w:p w14:paraId="4A1FF950" w14:textId="77777777" w:rsidR="0004342B" w:rsidRPr="00A96D90" w:rsidRDefault="0004342B" w:rsidP="00691179">
            <w:pPr>
              <w:rPr>
                <w:rFonts w:asciiTheme="minorHAnsi" w:hAnsiTheme="minorHAnsi" w:cstheme="minorHAnsi"/>
                <w:color w:val="59595B"/>
                <w:sz w:val="20"/>
                <w:szCs w:val="20"/>
                <w:lang w:val="en-GB"/>
              </w:rPr>
            </w:pPr>
          </w:p>
        </w:tc>
        <w:tc>
          <w:tcPr>
            <w:tcW w:w="718" w:type="dxa"/>
            <w:tcBorders>
              <w:bottom w:val="single" w:sz="4" w:space="0" w:color="BFBFBF" w:themeColor="background1" w:themeShade="BF"/>
            </w:tcBorders>
            <w:tcMar>
              <w:top w:w="28" w:type="dxa"/>
            </w:tcMar>
          </w:tcPr>
          <w:p w14:paraId="47AC417D"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36592091"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14433172"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1960CB1" w14:textId="77777777" w:rsidTr="00691179">
        <w:trPr>
          <w:trHeight w:val="144"/>
          <w:jc w:val="center"/>
        </w:trPr>
        <w:tc>
          <w:tcPr>
            <w:tcW w:w="5130" w:type="dxa"/>
            <w:tcBorders>
              <w:top w:val="single" w:sz="4" w:space="0" w:color="BFBFBF" w:themeColor="background1" w:themeShade="BF"/>
            </w:tcBorders>
            <w:tcMar>
              <w:top w:w="28" w:type="dxa"/>
            </w:tcMar>
          </w:tcPr>
          <w:p w14:paraId="759346FF"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718" w:type="dxa"/>
            <w:tcBorders>
              <w:top w:val="single" w:sz="4" w:space="0" w:color="BFBFBF" w:themeColor="background1" w:themeShade="BF"/>
            </w:tcBorders>
            <w:tcMar>
              <w:top w:w="28" w:type="dxa"/>
            </w:tcMar>
          </w:tcPr>
          <w:p w14:paraId="2E1789DE" w14:textId="77777777" w:rsidR="0004342B" w:rsidRPr="00E12C03" w:rsidRDefault="0004342B" w:rsidP="00691179">
            <w:pPr>
              <w:jc w:val="right"/>
              <w:rPr>
                <w:rFonts w:asciiTheme="minorHAnsi" w:hAnsiTheme="minorHAnsi" w:cstheme="minorHAnsi"/>
                <w:b/>
                <w:color w:val="0070C0"/>
                <w:sz w:val="16"/>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5810CC69"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49,981</w:t>
            </w:r>
          </w:p>
        </w:tc>
        <w:tc>
          <w:tcPr>
            <w:tcW w:w="1551" w:type="dxa"/>
            <w:tcBorders>
              <w:top w:val="single" w:sz="4" w:space="0" w:color="BFBFBF" w:themeColor="background1" w:themeShade="BF"/>
            </w:tcBorders>
            <w:tcMar>
              <w:top w:w="28" w:type="dxa"/>
            </w:tcMar>
          </w:tcPr>
          <w:p w14:paraId="177EABEB"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rPr>
              <w:t>26,988</w:t>
            </w:r>
          </w:p>
        </w:tc>
      </w:tr>
      <w:tr w:rsidR="0004342B" w:rsidRPr="00A96D90" w14:paraId="3E2A5D58" w14:textId="77777777" w:rsidTr="00691179">
        <w:trPr>
          <w:trHeight w:val="144"/>
          <w:jc w:val="center"/>
        </w:trPr>
        <w:tc>
          <w:tcPr>
            <w:tcW w:w="5130" w:type="dxa"/>
            <w:tcMar>
              <w:top w:w="28" w:type="dxa"/>
            </w:tcMar>
          </w:tcPr>
          <w:p w14:paraId="2471D697" w14:textId="77777777" w:rsidR="0004342B" w:rsidRPr="00A96D90" w:rsidRDefault="0004342B" w:rsidP="00691179">
            <w:pPr>
              <w:rPr>
                <w:rFonts w:asciiTheme="minorHAnsi" w:hAnsiTheme="minorHAnsi" w:cstheme="minorHAnsi"/>
                <w:b/>
                <w:color w:val="59595B"/>
                <w:sz w:val="20"/>
                <w:szCs w:val="20"/>
                <w:lang w:val="en-GB"/>
              </w:rPr>
            </w:pPr>
          </w:p>
        </w:tc>
        <w:tc>
          <w:tcPr>
            <w:tcW w:w="718" w:type="dxa"/>
            <w:tcMar>
              <w:top w:w="28" w:type="dxa"/>
            </w:tcMar>
          </w:tcPr>
          <w:p w14:paraId="3E423519"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shd w:val="clear" w:color="auto" w:fill="F2F2F2" w:themeFill="background1" w:themeFillShade="F2"/>
            <w:tcMar>
              <w:top w:w="28" w:type="dxa"/>
            </w:tcMar>
          </w:tcPr>
          <w:p w14:paraId="0CFBDC8C"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35489FE1"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048A59DC" w14:textId="77777777" w:rsidTr="00691179">
        <w:trPr>
          <w:trHeight w:val="144"/>
          <w:jc w:val="center"/>
        </w:trPr>
        <w:tc>
          <w:tcPr>
            <w:tcW w:w="5130" w:type="dxa"/>
            <w:tcBorders>
              <w:bottom w:val="single" w:sz="4" w:space="0" w:color="BFBFBF" w:themeColor="background1" w:themeShade="BF"/>
            </w:tcBorders>
            <w:tcMar>
              <w:top w:w="28" w:type="dxa"/>
            </w:tcMar>
          </w:tcPr>
          <w:p w14:paraId="7A4BD44E"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718" w:type="dxa"/>
            <w:tcBorders>
              <w:bottom w:val="single" w:sz="4" w:space="0" w:color="BFBFBF" w:themeColor="background1" w:themeShade="BF"/>
            </w:tcBorders>
            <w:tcMar>
              <w:top w:w="28" w:type="dxa"/>
            </w:tcMar>
          </w:tcPr>
          <w:p w14:paraId="4A1C9E49" w14:textId="77777777" w:rsidR="0004342B" w:rsidRPr="00E12C03" w:rsidRDefault="0004342B" w:rsidP="00691179">
            <w:pPr>
              <w:jc w:val="right"/>
              <w:rPr>
                <w:rFonts w:asciiTheme="minorHAnsi" w:hAnsiTheme="minorHAnsi" w:cstheme="minorHAnsi"/>
                <w:b/>
                <w:color w:val="59595B"/>
                <w:sz w:val="16"/>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46F12A5D" w14:textId="77777777" w:rsidR="0004342B" w:rsidRPr="00456F27"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300</w:t>
            </w:r>
          </w:p>
        </w:tc>
        <w:tc>
          <w:tcPr>
            <w:tcW w:w="1551" w:type="dxa"/>
            <w:tcBorders>
              <w:bottom w:val="single" w:sz="4" w:space="0" w:color="BFBFBF" w:themeColor="background1" w:themeShade="BF"/>
            </w:tcBorders>
            <w:tcMar>
              <w:top w:w="28" w:type="dxa"/>
            </w:tcMar>
          </w:tcPr>
          <w:p w14:paraId="2CF31571"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1</w:t>
            </w:r>
            <w:r>
              <w:rPr>
                <w:rFonts w:asciiTheme="minorHAnsi" w:hAnsiTheme="minorHAnsi" w:cstheme="minorHAnsi"/>
                <w:b/>
                <w:color w:val="59595B"/>
                <w:sz w:val="20"/>
                <w:szCs w:val="20"/>
              </w:rPr>
              <w:t>67</w:t>
            </w:r>
          </w:p>
        </w:tc>
      </w:tr>
      <w:tr w:rsidR="0004342B" w:rsidRPr="00A96D90" w14:paraId="0EBF7F1C" w14:textId="77777777" w:rsidTr="00691179">
        <w:trPr>
          <w:trHeight w:val="144"/>
          <w:jc w:val="center"/>
        </w:trPr>
        <w:tc>
          <w:tcPr>
            <w:tcW w:w="5130" w:type="dxa"/>
            <w:tcBorders>
              <w:bottom w:val="nil"/>
            </w:tcBorders>
            <w:tcMar>
              <w:top w:w="28" w:type="dxa"/>
            </w:tcMar>
          </w:tcPr>
          <w:p w14:paraId="4AA5FD2D"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bottom w:val="nil"/>
            </w:tcBorders>
            <w:tcMar>
              <w:top w:w="28" w:type="dxa"/>
            </w:tcMar>
          </w:tcPr>
          <w:p w14:paraId="5CEE8049"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nil"/>
            </w:tcBorders>
            <w:shd w:val="clear" w:color="auto" w:fill="F2F2F2" w:themeFill="background1" w:themeFillShade="F2"/>
            <w:tcMar>
              <w:top w:w="28" w:type="dxa"/>
            </w:tcMar>
          </w:tcPr>
          <w:p w14:paraId="44BC61A9"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09FB74E1"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25FBE0A" w14:textId="77777777" w:rsidTr="00691179">
        <w:trPr>
          <w:trHeight w:val="144"/>
          <w:jc w:val="center"/>
        </w:trPr>
        <w:tc>
          <w:tcPr>
            <w:tcW w:w="5130" w:type="dxa"/>
            <w:tcBorders>
              <w:top w:val="nil"/>
              <w:bottom w:val="nil"/>
            </w:tcBorders>
            <w:tcMar>
              <w:top w:w="28" w:type="dxa"/>
            </w:tcMar>
          </w:tcPr>
          <w:p w14:paraId="637BFE75"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718" w:type="dxa"/>
            <w:tcBorders>
              <w:top w:val="nil"/>
              <w:bottom w:val="nil"/>
            </w:tcBorders>
            <w:tcMar>
              <w:top w:w="28" w:type="dxa"/>
            </w:tcMar>
          </w:tcPr>
          <w:p w14:paraId="26DDAB91" w14:textId="77777777" w:rsidR="0004342B" w:rsidRPr="00E12C03" w:rsidRDefault="0004342B" w:rsidP="00691179">
            <w:pPr>
              <w:jc w:val="right"/>
              <w:rPr>
                <w:rFonts w:asciiTheme="minorHAnsi" w:hAnsiTheme="minorHAnsi" w:cstheme="minorHAnsi"/>
                <w:b/>
                <w:color w:val="59595B"/>
                <w:sz w:val="16"/>
                <w:szCs w:val="20"/>
                <w:lang w:val="en-GB"/>
              </w:rPr>
            </w:pPr>
          </w:p>
        </w:tc>
        <w:tc>
          <w:tcPr>
            <w:tcW w:w="1596" w:type="dxa"/>
            <w:tcBorders>
              <w:top w:val="nil"/>
              <w:bottom w:val="nil"/>
            </w:tcBorders>
            <w:shd w:val="clear" w:color="auto" w:fill="F2F2F2" w:themeFill="background1" w:themeFillShade="F2"/>
            <w:tcMar>
              <w:top w:w="28" w:type="dxa"/>
            </w:tcMar>
          </w:tcPr>
          <w:p w14:paraId="210BA415" w14:textId="77777777" w:rsidR="0004342B" w:rsidRPr="0043573E" w:rsidRDefault="0004342B" w:rsidP="00691179">
            <w:pPr>
              <w:jc w:val="right"/>
              <w:rPr>
                <w:rFonts w:asciiTheme="minorHAnsi" w:hAnsiTheme="minorHAnsi" w:cstheme="minorHAnsi"/>
                <w:color w:val="59595B"/>
                <w:sz w:val="20"/>
                <w:szCs w:val="20"/>
              </w:rPr>
            </w:pPr>
            <w:r w:rsidRPr="0043573E">
              <w:rPr>
                <w:rFonts w:asciiTheme="minorHAnsi" w:hAnsiTheme="minorHAnsi" w:cstheme="minorHAnsi"/>
                <w:color w:val="59595B"/>
                <w:sz w:val="20"/>
                <w:szCs w:val="20"/>
              </w:rPr>
              <w:t>(12,</w:t>
            </w:r>
            <w:r>
              <w:rPr>
                <w:rFonts w:asciiTheme="minorHAnsi" w:hAnsiTheme="minorHAnsi" w:cstheme="minorHAnsi"/>
                <w:color w:val="59595B"/>
                <w:sz w:val="20"/>
                <w:szCs w:val="20"/>
              </w:rPr>
              <w:t>013</w:t>
            </w:r>
            <w:r w:rsidRPr="0043573E">
              <w:rPr>
                <w:rFonts w:asciiTheme="minorHAnsi" w:hAnsiTheme="minorHAnsi" w:cstheme="minorHAnsi"/>
                <w:color w:val="59595B"/>
                <w:sz w:val="20"/>
                <w:szCs w:val="20"/>
              </w:rPr>
              <w:t>)</w:t>
            </w:r>
          </w:p>
        </w:tc>
        <w:tc>
          <w:tcPr>
            <w:tcW w:w="1551" w:type="dxa"/>
            <w:tcBorders>
              <w:top w:val="nil"/>
              <w:bottom w:val="nil"/>
            </w:tcBorders>
            <w:tcMar>
              <w:top w:w="28" w:type="dxa"/>
            </w:tcMar>
          </w:tcPr>
          <w:p w14:paraId="56A27B44"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9,154</w:t>
            </w:r>
            <w:r w:rsidRPr="00A96D90">
              <w:rPr>
                <w:rFonts w:asciiTheme="minorHAnsi" w:hAnsiTheme="minorHAnsi" w:cstheme="minorHAnsi"/>
                <w:color w:val="59595B"/>
                <w:sz w:val="20"/>
                <w:szCs w:val="20"/>
                <w:lang w:val="en-GB"/>
              </w:rPr>
              <w:t>)</w:t>
            </w:r>
          </w:p>
        </w:tc>
      </w:tr>
      <w:tr w:rsidR="0004342B" w:rsidRPr="00A96D90" w14:paraId="6CE498B6" w14:textId="77777777" w:rsidTr="00691179">
        <w:trPr>
          <w:trHeight w:val="144"/>
          <w:jc w:val="center"/>
        </w:trPr>
        <w:tc>
          <w:tcPr>
            <w:tcW w:w="5130" w:type="dxa"/>
            <w:tcBorders>
              <w:top w:val="nil"/>
              <w:bottom w:val="single" w:sz="4" w:space="0" w:color="BFBFBF" w:themeColor="background1" w:themeShade="BF"/>
            </w:tcBorders>
            <w:tcMar>
              <w:top w:w="28" w:type="dxa"/>
            </w:tcMar>
          </w:tcPr>
          <w:p w14:paraId="1E0A5369"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0D2EAB74"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718" w:type="dxa"/>
            <w:tcBorders>
              <w:top w:val="nil"/>
              <w:bottom w:val="single" w:sz="4" w:space="0" w:color="BFBFBF" w:themeColor="background1" w:themeShade="BF"/>
            </w:tcBorders>
            <w:tcMar>
              <w:top w:w="28" w:type="dxa"/>
            </w:tcMar>
          </w:tcPr>
          <w:p w14:paraId="52743F7B"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50B43051" w14:textId="77777777" w:rsidR="0004342B"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(5,242)</w:t>
            </w:r>
          </w:p>
          <w:p w14:paraId="2BAE7D14" w14:textId="77777777" w:rsidR="0004342B" w:rsidRPr="00AA593E"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(16,736)</w:t>
            </w:r>
          </w:p>
        </w:tc>
        <w:tc>
          <w:tcPr>
            <w:tcW w:w="1551" w:type="dxa"/>
            <w:tcBorders>
              <w:top w:val="nil"/>
              <w:bottom w:val="single" w:sz="4" w:space="0" w:color="BFBFBF" w:themeColor="background1" w:themeShade="BF"/>
            </w:tcBorders>
            <w:tcMar>
              <w:top w:w="28" w:type="dxa"/>
            </w:tcMar>
          </w:tcPr>
          <w:p w14:paraId="60012016"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w:t>
            </w:r>
            <w:r>
              <w:rPr>
                <w:rFonts w:asciiTheme="minorHAnsi" w:hAnsiTheme="minorHAnsi" w:cstheme="minorHAnsi"/>
                <w:color w:val="59595B"/>
                <w:sz w:val="20"/>
                <w:szCs w:val="20"/>
              </w:rPr>
              <w:t>628</w:t>
            </w:r>
            <w:r w:rsidRPr="00A96D90">
              <w:rPr>
                <w:rFonts w:asciiTheme="minorHAnsi" w:hAnsiTheme="minorHAnsi" w:cstheme="minorHAnsi"/>
                <w:color w:val="59595B"/>
                <w:sz w:val="20"/>
                <w:szCs w:val="20"/>
                <w:lang w:val="en-GB"/>
              </w:rPr>
              <w:t>)</w:t>
            </w:r>
          </w:p>
          <w:p w14:paraId="2638D232"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11,140</w:t>
            </w:r>
            <w:r w:rsidRPr="00A96D90">
              <w:rPr>
                <w:rFonts w:asciiTheme="minorHAnsi" w:hAnsiTheme="minorHAnsi" w:cstheme="minorHAnsi"/>
                <w:color w:val="59595B"/>
                <w:sz w:val="20"/>
                <w:szCs w:val="20"/>
                <w:lang w:val="en-GB"/>
              </w:rPr>
              <w:t>)</w:t>
            </w:r>
          </w:p>
        </w:tc>
      </w:tr>
      <w:tr w:rsidR="0004342B" w:rsidRPr="00A96D90" w14:paraId="66BCE3EF" w14:textId="77777777" w:rsidTr="00691179">
        <w:trPr>
          <w:trHeight w:val="144"/>
          <w:jc w:val="center"/>
        </w:trPr>
        <w:tc>
          <w:tcPr>
            <w:tcW w:w="5130" w:type="dxa"/>
            <w:tcBorders>
              <w:top w:val="single" w:sz="4" w:space="0" w:color="BFBFBF" w:themeColor="background1" w:themeShade="BF"/>
            </w:tcBorders>
            <w:tcMar>
              <w:top w:w="28" w:type="dxa"/>
            </w:tcMar>
          </w:tcPr>
          <w:p w14:paraId="18C36213"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718" w:type="dxa"/>
            <w:tcBorders>
              <w:top w:val="single" w:sz="4" w:space="0" w:color="BFBFBF" w:themeColor="background1" w:themeShade="BF"/>
            </w:tcBorders>
            <w:tcMar>
              <w:top w:w="28" w:type="dxa"/>
            </w:tcMar>
          </w:tcPr>
          <w:p w14:paraId="1A96325F" w14:textId="77777777" w:rsidR="0004342B" w:rsidRPr="00E12C03" w:rsidRDefault="0004342B" w:rsidP="00691179">
            <w:pPr>
              <w:jc w:val="right"/>
              <w:rPr>
                <w:rFonts w:asciiTheme="minorHAnsi" w:hAnsiTheme="minorHAnsi" w:cstheme="minorHAnsi"/>
                <w:color w:val="59595B"/>
                <w:sz w:val="16"/>
                <w:szCs w:val="20"/>
                <w:lang w:val="en-GB"/>
              </w:rPr>
            </w:pPr>
            <w:r w:rsidRPr="00E12C03">
              <w:rPr>
                <w:rFonts w:asciiTheme="minorHAnsi" w:hAnsiTheme="minorHAnsi" w:cs="Arial"/>
                <w:bCs/>
                <w:color w:val="59595B"/>
                <w:sz w:val="16"/>
                <w:szCs w:val="20"/>
                <w:lang w:val="en-GB"/>
              </w:rPr>
              <w:t>7</w:t>
            </w:r>
          </w:p>
        </w:tc>
        <w:tc>
          <w:tcPr>
            <w:tcW w:w="1596" w:type="dxa"/>
            <w:tcBorders>
              <w:top w:val="single" w:sz="4" w:space="0" w:color="BFBFBF" w:themeColor="background1" w:themeShade="BF"/>
            </w:tcBorders>
            <w:shd w:val="clear" w:color="auto" w:fill="F2F2F2" w:themeFill="background1" w:themeFillShade="F2"/>
            <w:tcMar>
              <w:top w:w="28" w:type="dxa"/>
            </w:tcMar>
          </w:tcPr>
          <w:p w14:paraId="0F171439" w14:textId="77777777" w:rsidR="0004342B" w:rsidRPr="00456F27" w:rsidRDefault="0004342B" w:rsidP="00691179">
            <w:pPr>
              <w:jc w:val="right"/>
              <w:rPr>
                <w:rFonts w:asciiTheme="minorHAnsi" w:hAnsiTheme="minorHAnsi" w:cstheme="minorHAnsi"/>
                <w:b/>
                <w:color w:val="59595B"/>
                <w:sz w:val="20"/>
                <w:szCs w:val="20"/>
              </w:rPr>
            </w:pPr>
            <w:r w:rsidRPr="00456F27">
              <w:rPr>
                <w:rFonts w:asciiTheme="minorHAnsi" w:hAnsiTheme="minorHAnsi" w:cstheme="minorHAnsi"/>
                <w:b/>
                <w:color w:val="59595B"/>
                <w:sz w:val="20"/>
                <w:szCs w:val="20"/>
              </w:rPr>
              <w:t>(3</w:t>
            </w:r>
            <w:r>
              <w:rPr>
                <w:rFonts w:asciiTheme="minorHAnsi" w:hAnsiTheme="minorHAnsi" w:cstheme="minorHAnsi"/>
                <w:b/>
                <w:color w:val="59595B"/>
                <w:sz w:val="20"/>
                <w:szCs w:val="20"/>
              </w:rPr>
              <w:t>3</w:t>
            </w:r>
            <w:r w:rsidRPr="00456F27">
              <w:rPr>
                <w:rFonts w:asciiTheme="minorHAnsi" w:hAnsiTheme="minorHAnsi" w:cstheme="minorHAnsi"/>
                <w:b/>
                <w:color w:val="59595B"/>
                <w:sz w:val="20"/>
                <w:szCs w:val="20"/>
              </w:rPr>
              <w:t>,</w:t>
            </w:r>
            <w:r>
              <w:rPr>
                <w:rFonts w:asciiTheme="minorHAnsi" w:hAnsiTheme="minorHAnsi" w:cstheme="minorHAnsi"/>
                <w:b/>
                <w:color w:val="59595B"/>
                <w:sz w:val="20"/>
                <w:szCs w:val="20"/>
              </w:rPr>
              <w:t>991</w:t>
            </w:r>
            <w:r w:rsidRPr="00456F27">
              <w:rPr>
                <w:rFonts w:asciiTheme="minorHAnsi" w:hAnsiTheme="minorHAnsi" w:cstheme="minorHAnsi"/>
                <w:b/>
                <w:color w:val="59595B"/>
                <w:sz w:val="20"/>
                <w:szCs w:val="20"/>
              </w:rPr>
              <w:t>)</w:t>
            </w:r>
          </w:p>
        </w:tc>
        <w:tc>
          <w:tcPr>
            <w:tcW w:w="1551" w:type="dxa"/>
            <w:tcBorders>
              <w:top w:val="single" w:sz="4" w:space="0" w:color="BFBFBF" w:themeColor="background1" w:themeShade="BF"/>
            </w:tcBorders>
            <w:tcMar>
              <w:top w:w="28" w:type="dxa"/>
            </w:tcMar>
          </w:tcPr>
          <w:p w14:paraId="036F7A8B"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22,922</w:t>
            </w:r>
            <w:r w:rsidRPr="00A96D90">
              <w:rPr>
                <w:rFonts w:asciiTheme="minorHAnsi" w:hAnsiTheme="minorHAnsi" w:cstheme="minorHAnsi"/>
                <w:b/>
                <w:color w:val="59595B"/>
                <w:sz w:val="20"/>
                <w:szCs w:val="20"/>
                <w:lang w:val="en-GB"/>
              </w:rPr>
              <w:t>)</w:t>
            </w:r>
          </w:p>
        </w:tc>
      </w:tr>
      <w:tr w:rsidR="0004342B" w:rsidRPr="00A96D90" w14:paraId="04303304" w14:textId="77777777" w:rsidTr="00691179">
        <w:trPr>
          <w:trHeight w:val="144"/>
          <w:jc w:val="center"/>
        </w:trPr>
        <w:tc>
          <w:tcPr>
            <w:tcW w:w="5130" w:type="dxa"/>
            <w:tcMar>
              <w:top w:w="28" w:type="dxa"/>
            </w:tcMar>
          </w:tcPr>
          <w:p w14:paraId="778145ED" w14:textId="77777777" w:rsidR="0004342B" w:rsidRPr="00A96D90" w:rsidRDefault="0004342B" w:rsidP="00691179">
            <w:pPr>
              <w:rPr>
                <w:rFonts w:asciiTheme="minorHAnsi" w:hAnsiTheme="minorHAnsi" w:cstheme="minorHAnsi"/>
                <w:color w:val="59595B"/>
                <w:sz w:val="20"/>
                <w:szCs w:val="20"/>
                <w:lang w:val="en-GB"/>
              </w:rPr>
            </w:pPr>
          </w:p>
        </w:tc>
        <w:tc>
          <w:tcPr>
            <w:tcW w:w="718" w:type="dxa"/>
            <w:tcMar>
              <w:top w:w="28" w:type="dxa"/>
            </w:tcMar>
          </w:tcPr>
          <w:p w14:paraId="356489D6"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shd w:val="clear" w:color="auto" w:fill="F2F2F2" w:themeFill="background1" w:themeFillShade="F2"/>
            <w:tcMar>
              <w:top w:w="28" w:type="dxa"/>
            </w:tcMar>
          </w:tcPr>
          <w:p w14:paraId="6D08B094"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016B15CE"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26F47DA5" w14:textId="77777777" w:rsidTr="00691179">
        <w:trPr>
          <w:trHeight w:val="144"/>
          <w:jc w:val="center"/>
        </w:trPr>
        <w:tc>
          <w:tcPr>
            <w:tcW w:w="5130" w:type="dxa"/>
            <w:tcBorders>
              <w:bottom w:val="single" w:sz="4" w:space="0" w:color="BFBFBF" w:themeColor="background1" w:themeShade="BF"/>
            </w:tcBorders>
            <w:tcMar>
              <w:top w:w="28" w:type="dxa"/>
            </w:tcMar>
          </w:tcPr>
          <w:p w14:paraId="4821D641"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718" w:type="dxa"/>
            <w:tcBorders>
              <w:bottom w:val="single" w:sz="4" w:space="0" w:color="BFBFBF" w:themeColor="background1" w:themeShade="BF"/>
            </w:tcBorders>
            <w:tcMar>
              <w:top w:w="28" w:type="dxa"/>
            </w:tcMar>
          </w:tcPr>
          <w:p w14:paraId="55254A9F" w14:textId="77777777" w:rsidR="0004342B" w:rsidRPr="00E12C03" w:rsidRDefault="0004342B" w:rsidP="00691179">
            <w:pPr>
              <w:jc w:val="right"/>
              <w:rPr>
                <w:rFonts w:asciiTheme="minorHAnsi" w:hAnsiTheme="minorHAnsi" w:cstheme="minorHAnsi"/>
                <w:b/>
                <w:color w:val="0070C0"/>
                <w:sz w:val="16"/>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2AC8989"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16,290</w:t>
            </w:r>
          </w:p>
        </w:tc>
        <w:tc>
          <w:tcPr>
            <w:tcW w:w="1551" w:type="dxa"/>
            <w:tcBorders>
              <w:bottom w:val="single" w:sz="4" w:space="0" w:color="BFBFBF" w:themeColor="background1" w:themeShade="BF"/>
            </w:tcBorders>
            <w:tcMar>
              <w:top w:w="28" w:type="dxa"/>
            </w:tcMar>
          </w:tcPr>
          <w:p w14:paraId="00250319"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rPr>
              <w:t>4,233</w:t>
            </w:r>
          </w:p>
        </w:tc>
      </w:tr>
      <w:tr w:rsidR="0004342B" w:rsidRPr="00A96D90" w14:paraId="52AEEB33" w14:textId="77777777" w:rsidTr="00691179">
        <w:trPr>
          <w:trHeight w:val="144"/>
          <w:jc w:val="center"/>
        </w:trPr>
        <w:tc>
          <w:tcPr>
            <w:tcW w:w="5130" w:type="dxa"/>
            <w:tcBorders>
              <w:bottom w:val="nil"/>
            </w:tcBorders>
            <w:tcMar>
              <w:top w:w="28" w:type="dxa"/>
            </w:tcMar>
          </w:tcPr>
          <w:p w14:paraId="0C84F930"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bottom w:val="nil"/>
            </w:tcBorders>
            <w:tcMar>
              <w:top w:w="28" w:type="dxa"/>
            </w:tcMar>
          </w:tcPr>
          <w:p w14:paraId="64586AEC"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nil"/>
            </w:tcBorders>
            <w:shd w:val="clear" w:color="auto" w:fill="F2F2F2" w:themeFill="background1" w:themeFillShade="F2"/>
            <w:tcMar>
              <w:top w:w="28" w:type="dxa"/>
            </w:tcMar>
          </w:tcPr>
          <w:p w14:paraId="2F0ABA53"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99ACCC8"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483284B2" w14:textId="77777777" w:rsidTr="00691179">
        <w:trPr>
          <w:trHeight w:val="144"/>
          <w:jc w:val="center"/>
        </w:trPr>
        <w:tc>
          <w:tcPr>
            <w:tcW w:w="5130" w:type="dxa"/>
            <w:tcBorders>
              <w:top w:val="nil"/>
              <w:bottom w:val="nil"/>
            </w:tcBorders>
            <w:tcMar>
              <w:top w:w="28" w:type="dxa"/>
            </w:tcMar>
          </w:tcPr>
          <w:p w14:paraId="1B81D580"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718" w:type="dxa"/>
            <w:tcBorders>
              <w:top w:val="nil"/>
              <w:bottom w:val="nil"/>
            </w:tcBorders>
            <w:tcMar>
              <w:top w:w="28" w:type="dxa"/>
            </w:tcMar>
          </w:tcPr>
          <w:p w14:paraId="5EE85E66" w14:textId="77777777" w:rsidR="0004342B" w:rsidRPr="00E12C03" w:rsidRDefault="0004342B" w:rsidP="00691179">
            <w:pPr>
              <w:jc w:val="right"/>
              <w:rPr>
                <w:rFonts w:asciiTheme="minorHAnsi" w:hAnsiTheme="minorHAnsi" w:cstheme="minorHAnsi"/>
                <w:b/>
                <w:color w:val="59595B"/>
                <w:sz w:val="16"/>
                <w:szCs w:val="20"/>
                <w:lang w:val="en-GB"/>
              </w:rPr>
            </w:pPr>
          </w:p>
        </w:tc>
        <w:tc>
          <w:tcPr>
            <w:tcW w:w="1596" w:type="dxa"/>
            <w:tcBorders>
              <w:top w:val="nil"/>
              <w:bottom w:val="nil"/>
            </w:tcBorders>
            <w:shd w:val="clear" w:color="auto" w:fill="F2F2F2" w:themeFill="background1" w:themeFillShade="F2"/>
            <w:tcMar>
              <w:top w:w="28" w:type="dxa"/>
            </w:tcMar>
          </w:tcPr>
          <w:p w14:paraId="137A5329" w14:textId="77777777" w:rsidR="0004342B" w:rsidRPr="00456F27" w:rsidRDefault="0004342B" w:rsidP="00691179">
            <w:pPr>
              <w:jc w:val="right"/>
              <w:rPr>
                <w:rFonts w:asciiTheme="minorHAnsi" w:hAnsiTheme="minorHAnsi" w:cstheme="minorHAnsi"/>
                <w:color w:val="59595B"/>
                <w:sz w:val="20"/>
                <w:szCs w:val="20"/>
              </w:rPr>
            </w:pPr>
            <w:r w:rsidRPr="00456F27">
              <w:rPr>
                <w:rFonts w:asciiTheme="minorHAnsi" w:hAnsiTheme="minorHAnsi" w:cstheme="minorHAnsi"/>
                <w:color w:val="59595B"/>
                <w:sz w:val="20"/>
                <w:szCs w:val="20"/>
              </w:rPr>
              <w:t>(1,218)</w:t>
            </w:r>
          </w:p>
        </w:tc>
        <w:tc>
          <w:tcPr>
            <w:tcW w:w="1551" w:type="dxa"/>
            <w:tcBorders>
              <w:top w:val="nil"/>
              <w:bottom w:val="nil"/>
            </w:tcBorders>
            <w:tcMar>
              <w:top w:w="28" w:type="dxa"/>
            </w:tcMar>
          </w:tcPr>
          <w:p w14:paraId="56D51925" w14:textId="77777777" w:rsidR="0004342B" w:rsidRPr="00A96D90" w:rsidRDefault="0004342B" w:rsidP="00691179">
            <w:pPr>
              <w:jc w:val="right"/>
              <w:rPr>
                <w:rFonts w:asciiTheme="minorHAnsi" w:hAnsiTheme="minorHAnsi" w:cstheme="minorHAnsi"/>
                <w:b/>
                <w:color w:val="59595B"/>
                <w:sz w:val="20"/>
                <w:szCs w:val="20"/>
                <w:lang w:val="en-GB"/>
              </w:rPr>
            </w:pPr>
            <w:r>
              <w:rPr>
                <w:rFonts w:asciiTheme="minorHAnsi" w:hAnsiTheme="minorHAnsi" w:cstheme="minorHAnsi"/>
                <w:color w:val="59595B"/>
                <w:sz w:val="20"/>
                <w:szCs w:val="20"/>
              </w:rPr>
              <w:t>(1,225)</w:t>
            </w:r>
          </w:p>
        </w:tc>
      </w:tr>
      <w:tr w:rsidR="0004342B" w:rsidRPr="00A96D90" w14:paraId="7A5A5DA7" w14:textId="77777777" w:rsidTr="00691179">
        <w:trPr>
          <w:trHeight w:val="144"/>
          <w:jc w:val="center"/>
        </w:trPr>
        <w:tc>
          <w:tcPr>
            <w:tcW w:w="5130" w:type="dxa"/>
            <w:tcBorders>
              <w:top w:val="nil"/>
              <w:bottom w:val="single" w:sz="4" w:space="0" w:color="BFBFBF" w:themeColor="background1" w:themeShade="BF"/>
            </w:tcBorders>
            <w:tcMar>
              <w:top w:w="28" w:type="dxa"/>
            </w:tcMar>
          </w:tcPr>
          <w:p w14:paraId="55197BDA" w14:textId="77777777" w:rsidR="0004342B" w:rsidRPr="00A96D90" w:rsidRDefault="0004342B" w:rsidP="00691179">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718" w:type="dxa"/>
            <w:tcBorders>
              <w:top w:val="nil"/>
              <w:bottom w:val="single" w:sz="4" w:space="0" w:color="BFBFBF" w:themeColor="background1" w:themeShade="BF"/>
            </w:tcBorders>
            <w:tcMar>
              <w:top w:w="28" w:type="dxa"/>
            </w:tcMar>
          </w:tcPr>
          <w:p w14:paraId="4DB13635" w14:textId="77777777" w:rsidR="0004342B" w:rsidRPr="00E12C03" w:rsidRDefault="0004342B" w:rsidP="00691179">
            <w:pPr>
              <w:jc w:val="right"/>
              <w:rPr>
                <w:rFonts w:asciiTheme="minorHAnsi" w:hAnsiTheme="minorHAnsi" w:cstheme="minorHAnsi"/>
                <w:color w:val="59595B"/>
                <w:sz w:val="16"/>
                <w:szCs w:val="20"/>
                <w:lang w:val="en-GB"/>
              </w:rPr>
            </w:pPr>
            <w:r>
              <w:rPr>
                <w:rFonts w:asciiTheme="minorHAnsi" w:hAnsiTheme="minorHAnsi" w:cstheme="minorHAnsi"/>
                <w:color w:val="59595B"/>
                <w:sz w:val="16"/>
                <w:szCs w:val="20"/>
              </w:rPr>
              <w:t xml:space="preserve">4, </w:t>
            </w:r>
            <w:r w:rsidRPr="00E12C03">
              <w:rPr>
                <w:rFonts w:asciiTheme="minorHAnsi" w:hAnsiTheme="minorHAnsi" w:cstheme="minorHAnsi"/>
                <w:color w:val="59595B"/>
                <w:sz w:val="16"/>
                <w:szCs w:val="20"/>
                <w:lang w:val="en-GB"/>
              </w:rPr>
              <w:t>8</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2796B31"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(7,785)</w:t>
            </w:r>
          </w:p>
        </w:tc>
        <w:tc>
          <w:tcPr>
            <w:tcW w:w="1551" w:type="dxa"/>
            <w:tcBorders>
              <w:top w:val="nil"/>
              <w:bottom w:val="single" w:sz="4" w:space="0" w:color="BFBFBF" w:themeColor="background1" w:themeShade="BF"/>
            </w:tcBorders>
            <w:tcMar>
              <w:top w:w="28" w:type="dxa"/>
            </w:tcMar>
          </w:tcPr>
          <w:p w14:paraId="27120BC5"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33,226</w:t>
            </w:r>
            <w:r w:rsidRPr="00A96D90">
              <w:rPr>
                <w:rFonts w:asciiTheme="minorHAnsi" w:hAnsiTheme="minorHAnsi" w:cstheme="minorHAnsi"/>
                <w:color w:val="59595B"/>
                <w:sz w:val="20"/>
                <w:szCs w:val="20"/>
                <w:lang w:val="en-GB"/>
              </w:rPr>
              <w:t>)</w:t>
            </w:r>
          </w:p>
        </w:tc>
      </w:tr>
      <w:tr w:rsidR="0004342B" w:rsidRPr="00A96D90" w14:paraId="2D51881D" w14:textId="77777777" w:rsidTr="00691179">
        <w:trPr>
          <w:trHeight w:val="144"/>
          <w:jc w:val="center"/>
        </w:trPr>
        <w:tc>
          <w:tcPr>
            <w:tcW w:w="5130" w:type="dxa"/>
            <w:tcBorders>
              <w:top w:val="single" w:sz="4" w:space="0" w:color="BFBFBF" w:themeColor="background1" w:themeShade="BF"/>
            </w:tcBorders>
            <w:tcMar>
              <w:top w:w="28" w:type="dxa"/>
            </w:tcMar>
          </w:tcPr>
          <w:p w14:paraId="77C7CEBE"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718" w:type="dxa"/>
            <w:tcBorders>
              <w:top w:val="single" w:sz="4" w:space="0" w:color="BFBFBF" w:themeColor="background1" w:themeShade="BF"/>
            </w:tcBorders>
            <w:tcMar>
              <w:top w:w="28" w:type="dxa"/>
            </w:tcMar>
          </w:tcPr>
          <w:p w14:paraId="475351A0"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626F31AD" w14:textId="77777777" w:rsidR="0004342B" w:rsidRPr="00456F27" w:rsidRDefault="0004342B" w:rsidP="00691179">
            <w:pPr>
              <w:jc w:val="right"/>
              <w:rPr>
                <w:rFonts w:asciiTheme="minorHAnsi" w:hAnsiTheme="minorHAnsi" w:cstheme="minorHAnsi"/>
                <w:b/>
                <w:color w:val="59595B"/>
                <w:sz w:val="20"/>
                <w:szCs w:val="20"/>
              </w:rPr>
            </w:pPr>
            <w:r w:rsidRPr="00456F27">
              <w:rPr>
                <w:rFonts w:asciiTheme="minorHAnsi" w:hAnsiTheme="minorHAnsi" w:cstheme="minorHAnsi"/>
                <w:b/>
                <w:color w:val="59595B"/>
                <w:sz w:val="20"/>
                <w:szCs w:val="20"/>
              </w:rPr>
              <w:t>(</w:t>
            </w:r>
            <w:r>
              <w:rPr>
                <w:rFonts w:asciiTheme="minorHAnsi" w:hAnsiTheme="minorHAnsi" w:cstheme="minorHAnsi"/>
                <w:b/>
                <w:color w:val="59595B"/>
                <w:sz w:val="20"/>
                <w:szCs w:val="20"/>
              </w:rPr>
              <w:t>9,003</w:t>
            </w:r>
            <w:r w:rsidRPr="00456F27">
              <w:rPr>
                <w:rFonts w:asciiTheme="minorHAnsi" w:hAnsiTheme="minorHAnsi" w:cstheme="minorHAnsi"/>
                <w:b/>
                <w:color w:val="59595B"/>
                <w:sz w:val="20"/>
                <w:szCs w:val="20"/>
              </w:rPr>
              <w:t>)</w:t>
            </w:r>
          </w:p>
        </w:tc>
        <w:tc>
          <w:tcPr>
            <w:tcW w:w="1551" w:type="dxa"/>
            <w:tcBorders>
              <w:top w:val="single" w:sz="4" w:space="0" w:color="BFBFBF" w:themeColor="background1" w:themeShade="BF"/>
            </w:tcBorders>
            <w:tcMar>
              <w:top w:w="28" w:type="dxa"/>
            </w:tcMar>
          </w:tcPr>
          <w:p w14:paraId="5ED1AFC9"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34,451</w:t>
            </w:r>
            <w:r w:rsidRPr="00A96D90">
              <w:rPr>
                <w:rFonts w:asciiTheme="minorHAnsi" w:hAnsiTheme="minorHAnsi" w:cstheme="minorHAnsi"/>
                <w:b/>
                <w:color w:val="59595B"/>
                <w:sz w:val="20"/>
                <w:szCs w:val="20"/>
                <w:lang w:val="en-GB"/>
              </w:rPr>
              <w:t>)</w:t>
            </w:r>
          </w:p>
        </w:tc>
      </w:tr>
      <w:tr w:rsidR="0004342B" w:rsidRPr="00A96D90" w14:paraId="7C1EEE5A" w14:textId="77777777" w:rsidTr="00691179">
        <w:trPr>
          <w:trHeight w:val="144"/>
          <w:jc w:val="center"/>
        </w:trPr>
        <w:tc>
          <w:tcPr>
            <w:tcW w:w="5130" w:type="dxa"/>
            <w:tcMar>
              <w:top w:w="28" w:type="dxa"/>
            </w:tcMar>
          </w:tcPr>
          <w:p w14:paraId="2BDF8F10" w14:textId="77777777" w:rsidR="0004342B" w:rsidRPr="00A96D90" w:rsidRDefault="0004342B" w:rsidP="00691179">
            <w:pPr>
              <w:rPr>
                <w:rFonts w:asciiTheme="minorHAnsi" w:hAnsiTheme="minorHAnsi" w:cstheme="minorHAnsi"/>
                <w:color w:val="59595B"/>
                <w:sz w:val="20"/>
                <w:szCs w:val="20"/>
                <w:lang w:val="en-GB"/>
              </w:rPr>
            </w:pPr>
          </w:p>
        </w:tc>
        <w:tc>
          <w:tcPr>
            <w:tcW w:w="718" w:type="dxa"/>
            <w:tcMar>
              <w:top w:w="28" w:type="dxa"/>
            </w:tcMar>
          </w:tcPr>
          <w:p w14:paraId="3A801A13"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shd w:val="clear" w:color="auto" w:fill="F2F2F2" w:themeFill="background1" w:themeFillShade="F2"/>
            <w:tcMar>
              <w:top w:w="28" w:type="dxa"/>
            </w:tcMar>
          </w:tcPr>
          <w:p w14:paraId="5F752CC2"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2D42F0DC"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04BC69F8" w14:textId="77777777" w:rsidTr="00691179">
        <w:trPr>
          <w:trHeight w:val="144"/>
          <w:jc w:val="center"/>
        </w:trPr>
        <w:tc>
          <w:tcPr>
            <w:tcW w:w="5130" w:type="dxa"/>
            <w:tcBorders>
              <w:bottom w:val="single" w:sz="4" w:space="0" w:color="BFBFBF" w:themeColor="background1" w:themeShade="BF"/>
            </w:tcBorders>
            <w:tcMar>
              <w:top w:w="28" w:type="dxa"/>
            </w:tcMar>
          </w:tcPr>
          <w:p w14:paraId="49AAE902"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718" w:type="dxa"/>
            <w:tcBorders>
              <w:bottom w:val="single" w:sz="4" w:space="0" w:color="BFBFBF" w:themeColor="background1" w:themeShade="BF"/>
            </w:tcBorders>
            <w:tcMar>
              <w:top w:w="28" w:type="dxa"/>
            </w:tcMar>
          </w:tcPr>
          <w:p w14:paraId="3CB9C45F" w14:textId="77777777" w:rsidR="0004342B" w:rsidRPr="00E12C03" w:rsidRDefault="0004342B" w:rsidP="00691179">
            <w:pPr>
              <w:jc w:val="right"/>
              <w:rPr>
                <w:rFonts w:asciiTheme="minorHAnsi" w:hAnsiTheme="minorHAnsi" w:cstheme="minorHAnsi"/>
                <w:b/>
                <w:color w:val="0070C0"/>
                <w:sz w:val="16"/>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3DAF57C3"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7,287</w:t>
            </w:r>
          </w:p>
        </w:tc>
        <w:tc>
          <w:tcPr>
            <w:tcW w:w="1551" w:type="dxa"/>
            <w:tcBorders>
              <w:bottom w:val="single" w:sz="4" w:space="0" w:color="BFBFBF" w:themeColor="background1" w:themeShade="BF"/>
            </w:tcBorders>
            <w:tcMar>
              <w:top w:w="28" w:type="dxa"/>
            </w:tcMar>
          </w:tcPr>
          <w:p w14:paraId="0AC6B939"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w:t>
            </w:r>
            <w:r w:rsidRPr="00CF1D25">
              <w:rPr>
                <w:rFonts w:asciiTheme="minorHAnsi" w:hAnsiTheme="minorHAnsi" w:cstheme="minorHAnsi"/>
                <w:b/>
                <w:color w:val="0070C0"/>
                <w:sz w:val="20"/>
                <w:szCs w:val="20"/>
              </w:rPr>
              <w:t>30,218</w:t>
            </w:r>
            <w:r w:rsidRPr="00CF1D25">
              <w:rPr>
                <w:rFonts w:asciiTheme="minorHAnsi" w:hAnsiTheme="minorHAnsi" w:cstheme="minorHAnsi"/>
                <w:b/>
                <w:color w:val="0070C0"/>
                <w:sz w:val="20"/>
                <w:szCs w:val="20"/>
                <w:lang w:val="en-GB"/>
              </w:rPr>
              <w:t>)</w:t>
            </w:r>
          </w:p>
        </w:tc>
      </w:tr>
      <w:tr w:rsidR="0004342B" w:rsidRPr="00A96D90" w14:paraId="1438F607" w14:textId="77777777" w:rsidTr="00691179">
        <w:trPr>
          <w:trHeight w:val="144"/>
          <w:jc w:val="center"/>
        </w:trPr>
        <w:tc>
          <w:tcPr>
            <w:tcW w:w="5130" w:type="dxa"/>
            <w:tcBorders>
              <w:bottom w:val="nil"/>
            </w:tcBorders>
            <w:tcMar>
              <w:top w:w="28" w:type="dxa"/>
            </w:tcMar>
          </w:tcPr>
          <w:p w14:paraId="4B3A13A7"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718" w:type="dxa"/>
            <w:tcBorders>
              <w:bottom w:val="nil"/>
            </w:tcBorders>
            <w:tcMar>
              <w:top w:w="28" w:type="dxa"/>
            </w:tcMar>
          </w:tcPr>
          <w:p w14:paraId="0E10CF3A"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nil"/>
            </w:tcBorders>
            <w:shd w:val="clear" w:color="auto" w:fill="F2F2F2" w:themeFill="background1" w:themeFillShade="F2"/>
            <w:tcMar>
              <w:top w:w="28" w:type="dxa"/>
            </w:tcMar>
          </w:tcPr>
          <w:p w14:paraId="35EAAA94"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(932)</w:t>
            </w:r>
          </w:p>
        </w:tc>
        <w:tc>
          <w:tcPr>
            <w:tcW w:w="1551" w:type="dxa"/>
            <w:tcBorders>
              <w:bottom w:val="nil"/>
            </w:tcBorders>
            <w:tcMar>
              <w:top w:w="28" w:type="dxa"/>
            </w:tcMar>
          </w:tcPr>
          <w:p w14:paraId="069EC6B0"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w:t>
            </w:r>
          </w:p>
        </w:tc>
      </w:tr>
      <w:tr w:rsidR="0004342B" w:rsidRPr="00A96D90" w14:paraId="5680626F" w14:textId="77777777" w:rsidTr="00691179">
        <w:trPr>
          <w:trHeight w:val="144"/>
          <w:jc w:val="center"/>
        </w:trPr>
        <w:tc>
          <w:tcPr>
            <w:tcW w:w="5130" w:type="dxa"/>
            <w:tcBorders>
              <w:top w:val="nil"/>
              <w:bottom w:val="single" w:sz="4" w:space="0" w:color="BFBFBF" w:themeColor="background1" w:themeShade="BF"/>
            </w:tcBorders>
            <w:tcMar>
              <w:top w:w="28" w:type="dxa"/>
            </w:tcMar>
          </w:tcPr>
          <w:p w14:paraId="684324D6"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72E90BB8"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17373D9" w14:textId="77777777" w:rsidR="0004342B" w:rsidRPr="00A96D90" w:rsidRDefault="0004342B" w:rsidP="00691179">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75303C26"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69D6BEA7" w14:textId="77777777" w:rsidTr="00691179">
        <w:trPr>
          <w:trHeight w:val="144"/>
          <w:jc w:val="center"/>
        </w:trPr>
        <w:tc>
          <w:tcPr>
            <w:tcW w:w="5130" w:type="dxa"/>
            <w:tcBorders>
              <w:top w:val="single" w:sz="4" w:space="0" w:color="BFBFBF" w:themeColor="background1" w:themeShade="BF"/>
            </w:tcBorders>
            <w:tcMar>
              <w:top w:w="28" w:type="dxa"/>
            </w:tcMar>
          </w:tcPr>
          <w:p w14:paraId="164D1411" w14:textId="77777777" w:rsidR="0004342B" w:rsidRPr="00CF1D25" w:rsidRDefault="0004342B" w:rsidP="00691179">
            <w:pPr>
              <w:rPr>
                <w:rFonts w:asciiTheme="minorHAnsi" w:hAnsiTheme="minorHAnsi" w:cstheme="minorHAnsi"/>
                <w:color w:val="0070C0"/>
                <w:sz w:val="20"/>
                <w:szCs w:val="20"/>
                <w:lang w:val="en-GB"/>
              </w:rPr>
            </w:pPr>
            <w:bookmarkStart w:id="1" w:name="_Hlk488737661"/>
            <w:r w:rsidRPr="00CF1D25">
              <w:rPr>
                <w:rFonts w:asciiTheme="minorHAnsi" w:hAnsiTheme="minorHAnsi" w:cstheme="minorHAnsi"/>
                <w:b/>
                <w:color w:val="0070C0"/>
                <w:sz w:val="20"/>
                <w:szCs w:val="20"/>
                <w:lang w:val="en-GB"/>
              </w:rPr>
              <w:t>Net result for the period</w:t>
            </w:r>
          </w:p>
        </w:tc>
        <w:tc>
          <w:tcPr>
            <w:tcW w:w="718" w:type="dxa"/>
            <w:tcBorders>
              <w:top w:val="single" w:sz="4" w:space="0" w:color="BFBFBF" w:themeColor="background1" w:themeShade="BF"/>
            </w:tcBorders>
            <w:tcMar>
              <w:top w:w="28" w:type="dxa"/>
            </w:tcMar>
          </w:tcPr>
          <w:p w14:paraId="26079E8D" w14:textId="77777777" w:rsidR="0004342B" w:rsidRPr="00E12C03" w:rsidRDefault="0004342B" w:rsidP="00691179">
            <w:pPr>
              <w:jc w:val="right"/>
              <w:rPr>
                <w:rFonts w:asciiTheme="minorHAnsi" w:hAnsiTheme="minorHAnsi" w:cstheme="minorHAnsi"/>
                <w:color w:val="0070C0"/>
                <w:sz w:val="16"/>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0D5A60EA"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6,355</w:t>
            </w:r>
          </w:p>
        </w:tc>
        <w:tc>
          <w:tcPr>
            <w:tcW w:w="1551" w:type="dxa"/>
            <w:tcBorders>
              <w:top w:val="single" w:sz="4" w:space="0" w:color="BFBFBF" w:themeColor="background1" w:themeShade="BF"/>
            </w:tcBorders>
            <w:tcMar>
              <w:top w:w="28" w:type="dxa"/>
            </w:tcMar>
          </w:tcPr>
          <w:p w14:paraId="5F44B4BE"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w:t>
            </w:r>
            <w:r w:rsidRPr="00CF1D25">
              <w:rPr>
                <w:rFonts w:asciiTheme="minorHAnsi" w:hAnsiTheme="minorHAnsi" w:cstheme="minorHAnsi"/>
                <w:b/>
                <w:color w:val="0070C0"/>
                <w:sz w:val="20"/>
                <w:szCs w:val="20"/>
              </w:rPr>
              <w:t>30,218</w:t>
            </w:r>
            <w:r w:rsidRPr="00CF1D25">
              <w:rPr>
                <w:rFonts w:asciiTheme="minorHAnsi" w:hAnsiTheme="minorHAnsi" w:cstheme="minorHAnsi"/>
                <w:b/>
                <w:color w:val="0070C0"/>
                <w:sz w:val="20"/>
                <w:szCs w:val="20"/>
                <w:lang w:val="en-GB"/>
              </w:rPr>
              <w:t>)</w:t>
            </w:r>
          </w:p>
        </w:tc>
      </w:tr>
      <w:bookmarkEnd w:id="1"/>
      <w:tr w:rsidR="0004342B" w:rsidRPr="00A96D90" w14:paraId="46752F44" w14:textId="77777777" w:rsidTr="00691179">
        <w:trPr>
          <w:trHeight w:val="144"/>
          <w:jc w:val="center"/>
        </w:trPr>
        <w:tc>
          <w:tcPr>
            <w:tcW w:w="5130" w:type="dxa"/>
            <w:tcBorders>
              <w:bottom w:val="single" w:sz="4" w:space="0" w:color="BFBFBF" w:themeColor="background1" w:themeShade="BF"/>
            </w:tcBorders>
            <w:tcMar>
              <w:top w:w="28" w:type="dxa"/>
            </w:tcMar>
          </w:tcPr>
          <w:p w14:paraId="6E5D0081"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bottom w:val="single" w:sz="4" w:space="0" w:color="BFBFBF" w:themeColor="background1" w:themeShade="BF"/>
            </w:tcBorders>
            <w:tcMar>
              <w:top w:w="28" w:type="dxa"/>
            </w:tcMar>
          </w:tcPr>
          <w:p w14:paraId="00E94E07"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1630B15"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1FACE260"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0316DE16" w14:textId="77777777" w:rsidTr="00691179">
        <w:trPr>
          <w:trHeight w:val="144"/>
          <w:jc w:val="center"/>
        </w:trPr>
        <w:tc>
          <w:tcPr>
            <w:tcW w:w="5130" w:type="dxa"/>
            <w:tcBorders>
              <w:bottom w:val="nil"/>
            </w:tcBorders>
            <w:tcMar>
              <w:top w:w="28" w:type="dxa"/>
            </w:tcMar>
          </w:tcPr>
          <w:p w14:paraId="18A3103F" w14:textId="77777777" w:rsidR="0004342B" w:rsidRPr="00A96D90" w:rsidRDefault="0004342B" w:rsidP="00691179">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718" w:type="dxa"/>
            <w:tcBorders>
              <w:bottom w:val="nil"/>
            </w:tcBorders>
            <w:tcMar>
              <w:top w:w="28" w:type="dxa"/>
            </w:tcMar>
          </w:tcPr>
          <w:p w14:paraId="42B2F616" w14:textId="77777777" w:rsidR="0004342B" w:rsidRPr="00E12C03" w:rsidRDefault="0004342B" w:rsidP="00691179">
            <w:pPr>
              <w:jc w:val="right"/>
              <w:rPr>
                <w:rFonts w:asciiTheme="minorHAnsi" w:hAnsiTheme="minorHAnsi" w:cstheme="minorHAnsi"/>
                <w:b/>
                <w:color w:val="59595B"/>
                <w:sz w:val="16"/>
                <w:szCs w:val="20"/>
                <w:lang w:val="en-GB"/>
              </w:rPr>
            </w:pPr>
          </w:p>
        </w:tc>
        <w:tc>
          <w:tcPr>
            <w:tcW w:w="1596" w:type="dxa"/>
            <w:tcBorders>
              <w:bottom w:val="nil"/>
            </w:tcBorders>
            <w:shd w:val="clear" w:color="auto" w:fill="F2F2F2" w:themeFill="background1" w:themeFillShade="F2"/>
            <w:tcMar>
              <w:top w:w="28" w:type="dxa"/>
            </w:tcMar>
          </w:tcPr>
          <w:p w14:paraId="6697827B" w14:textId="77777777" w:rsidR="0004342B" w:rsidRPr="00A96D90" w:rsidRDefault="0004342B" w:rsidP="00691179">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5D759661"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04E38CB3" w14:textId="77777777" w:rsidTr="00691179">
        <w:trPr>
          <w:trHeight w:val="144"/>
          <w:jc w:val="center"/>
        </w:trPr>
        <w:tc>
          <w:tcPr>
            <w:tcW w:w="5130" w:type="dxa"/>
            <w:tcBorders>
              <w:top w:val="nil"/>
              <w:bottom w:val="nil"/>
            </w:tcBorders>
            <w:tcMar>
              <w:top w:w="28" w:type="dxa"/>
            </w:tcMar>
          </w:tcPr>
          <w:p w14:paraId="1F52931D"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718" w:type="dxa"/>
            <w:tcBorders>
              <w:top w:val="nil"/>
              <w:bottom w:val="nil"/>
            </w:tcBorders>
            <w:tcMar>
              <w:top w:w="28" w:type="dxa"/>
            </w:tcMar>
          </w:tcPr>
          <w:p w14:paraId="3DE27DF4"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nil"/>
            </w:tcBorders>
            <w:shd w:val="clear" w:color="auto" w:fill="F2F2F2" w:themeFill="background1" w:themeFillShade="F2"/>
            <w:tcMar>
              <w:top w:w="28" w:type="dxa"/>
            </w:tcMar>
          </w:tcPr>
          <w:p w14:paraId="3506CFE2"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6,355</w:t>
            </w:r>
          </w:p>
        </w:tc>
        <w:tc>
          <w:tcPr>
            <w:tcW w:w="1551" w:type="dxa"/>
            <w:tcBorders>
              <w:top w:val="nil"/>
              <w:bottom w:val="nil"/>
            </w:tcBorders>
            <w:tcMar>
              <w:top w:w="28" w:type="dxa"/>
            </w:tcMar>
          </w:tcPr>
          <w:p w14:paraId="6161ED90"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30,218</w:t>
            </w:r>
            <w:r w:rsidRPr="00A96D90">
              <w:rPr>
                <w:rFonts w:asciiTheme="minorHAnsi" w:hAnsiTheme="minorHAnsi" w:cstheme="minorHAnsi"/>
                <w:color w:val="59595B"/>
                <w:sz w:val="20"/>
                <w:szCs w:val="20"/>
                <w:lang w:val="en-GB"/>
              </w:rPr>
              <w:t>)</w:t>
            </w:r>
          </w:p>
        </w:tc>
      </w:tr>
      <w:tr w:rsidR="0004342B" w:rsidRPr="00A96D90" w14:paraId="2C520F30" w14:textId="77777777" w:rsidTr="00691179">
        <w:trPr>
          <w:trHeight w:val="144"/>
          <w:jc w:val="center"/>
        </w:trPr>
        <w:tc>
          <w:tcPr>
            <w:tcW w:w="5130" w:type="dxa"/>
            <w:tcBorders>
              <w:top w:val="nil"/>
              <w:bottom w:val="single" w:sz="4" w:space="0" w:color="BFBFBF" w:themeColor="background1" w:themeShade="BF"/>
            </w:tcBorders>
            <w:tcMar>
              <w:top w:w="28" w:type="dxa"/>
            </w:tcMar>
          </w:tcPr>
          <w:p w14:paraId="28996B45"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20B51168" w14:textId="77777777" w:rsidR="0004342B" w:rsidRPr="00E12C03" w:rsidRDefault="0004342B" w:rsidP="00691179">
            <w:pPr>
              <w:jc w:val="right"/>
              <w:rPr>
                <w:rFonts w:asciiTheme="minorHAnsi" w:hAnsiTheme="minorHAnsi" w:cstheme="minorHAnsi"/>
                <w:color w:val="59595B"/>
                <w:sz w:val="16"/>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5D69865D"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345497D8"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CF1D25" w14:paraId="4C425928" w14:textId="77777777" w:rsidTr="00691179">
        <w:trPr>
          <w:trHeight w:val="144"/>
          <w:jc w:val="center"/>
        </w:trPr>
        <w:tc>
          <w:tcPr>
            <w:tcW w:w="5130" w:type="dxa"/>
            <w:tcBorders>
              <w:top w:val="single" w:sz="4" w:space="0" w:color="BFBFBF" w:themeColor="background1" w:themeShade="BF"/>
              <w:bottom w:val="nil"/>
            </w:tcBorders>
            <w:tcMar>
              <w:top w:w="28" w:type="dxa"/>
            </w:tcMar>
          </w:tcPr>
          <w:p w14:paraId="631D767B" w14:textId="77777777" w:rsidR="0004342B" w:rsidRPr="00CF1D25" w:rsidRDefault="0004342B" w:rsidP="00691179">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718" w:type="dxa"/>
            <w:tcBorders>
              <w:top w:val="single" w:sz="4" w:space="0" w:color="BFBFBF" w:themeColor="background1" w:themeShade="BF"/>
              <w:bottom w:val="nil"/>
            </w:tcBorders>
            <w:tcMar>
              <w:top w:w="28" w:type="dxa"/>
            </w:tcMar>
          </w:tcPr>
          <w:p w14:paraId="7C5748E9" w14:textId="77777777" w:rsidR="0004342B" w:rsidRPr="00E12C03" w:rsidRDefault="0004342B" w:rsidP="00691179">
            <w:pPr>
              <w:jc w:val="right"/>
              <w:rPr>
                <w:rFonts w:asciiTheme="minorHAnsi" w:hAnsiTheme="minorHAnsi" w:cstheme="minorHAnsi"/>
                <w:color w:val="0070C0"/>
                <w:sz w:val="16"/>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3B9518FE" w14:textId="77777777" w:rsidR="0004342B" w:rsidRPr="007C20A6" w:rsidRDefault="0004342B" w:rsidP="00691179">
            <w:pPr>
              <w:jc w:val="right"/>
              <w:rPr>
                <w:rFonts w:asciiTheme="minorHAnsi" w:hAnsiTheme="minorHAnsi" w:cstheme="minorHAnsi"/>
                <w:b/>
                <w:color w:val="0070C0"/>
                <w:sz w:val="20"/>
                <w:szCs w:val="20"/>
              </w:rPr>
            </w:pPr>
            <w:r w:rsidRPr="007C20A6">
              <w:rPr>
                <w:rFonts w:asciiTheme="minorHAnsi" w:hAnsiTheme="minorHAnsi" w:cstheme="minorHAnsi"/>
                <w:b/>
                <w:color w:val="0070C0"/>
                <w:sz w:val="20"/>
                <w:szCs w:val="20"/>
              </w:rPr>
              <w:t>6,</w:t>
            </w:r>
            <w:r>
              <w:rPr>
                <w:rFonts w:asciiTheme="minorHAnsi" w:hAnsiTheme="minorHAnsi" w:cstheme="minorHAnsi"/>
                <w:b/>
                <w:color w:val="0070C0"/>
                <w:sz w:val="20"/>
                <w:szCs w:val="20"/>
              </w:rPr>
              <w:t>355</w:t>
            </w:r>
          </w:p>
        </w:tc>
        <w:tc>
          <w:tcPr>
            <w:tcW w:w="1551" w:type="dxa"/>
            <w:tcBorders>
              <w:top w:val="single" w:sz="4" w:space="0" w:color="BFBFBF" w:themeColor="background1" w:themeShade="BF"/>
              <w:bottom w:val="nil"/>
            </w:tcBorders>
            <w:tcMar>
              <w:top w:w="28" w:type="dxa"/>
            </w:tcMar>
          </w:tcPr>
          <w:p w14:paraId="61EC95F9" w14:textId="77777777" w:rsidR="0004342B" w:rsidRPr="00CF1D25" w:rsidRDefault="0004342B" w:rsidP="00691179">
            <w:pPr>
              <w:jc w:val="right"/>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w:t>
            </w:r>
            <w:r w:rsidRPr="00CF1D25">
              <w:rPr>
                <w:rFonts w:asciiTheme="minorHAnsi" w:hAnsiTheme="minorHAnsi" w:cstheme="minorHAnsi"/>
                <w:b/>
                <w:color w:val="0070C0"/>
                <w:sz w:val="20"/>
                <w:szCs w:val="20"/>
              </w:rPr>
              <w:t>30,218</w:t>
            </w:r>
            <w:r w:rsidRPr="00CF1D25">
              <w:rPr>
                <w:rFonts w:asciiTheme="minorHAnsi" w:hAnsiTheme="minorHAnsi" w:cstheme="minorHAnsi"/>
                <w:b/>
                <w:color w:val="0070C0"/>
                <w:sz w:val="20"/>
                <w:szCs w:val="20"/>
                <w:lang w:val="en-GB"/>
              </w:rPr>
              <w:t>)</w:t>
            </w:r>
          </w:p>
        </w:tc>
      </w:tr>
      <w:tr w:rsidR="0004342B" w:rsidRPr="00A96D90" w14:paraId="7195EB0E" w14:textId="77777777" w:rsidTr="00691179">
        <w:trPr>
          <w:trHeight w:val="144"/>
          <w:jc w:val="center"/>
        </w:trPr>
        <w:tc>
          <w:tcPr>
            <w:tcW w:w="5130" w:type="dxa"/>
            <w:tcBorders>
              <w:top w:val="nil"/>
              <w:bottom w:val="single" w:sz="4" w:space="0" w:color="BFBFBF" w:themeColor="background1" w:themeShade="BF"/>
            </w:tcBorders>
            <w:tcMar>
              <w:top w:w="28" w:type="dxa"/>
            </w:tcMar>
          </w:tcPr>
          <w:p w14:paraId="28633C5C" w14:textId="77777777" w:rsidR="0004342B" w:rsidRPr="00A96D90" w:rsidRDefault="0004342B" w:rsidP="00691179">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020F4D53" w14:textId="77777777" w:rsidR="0004342B" w:rsidRPr="00A96D90" w:rsidRDefault="0004342B" w:rsidP="00691179">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0160999"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087AFF04"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6703E066"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1F67778B" w14:textId="77777777" w:rsidR="0004342B"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Basic earnings per share (€) </w:t>
            </w:r>
          </w:p>
          <w:p w14:paraId="5F61C1EC" w14:textId="77777777" w:rsidR="0004342B" w:rsidRPr="00A96D90" w:rsidRDefault="0004342B" w:rsidP="00691179">
            <w:pPr>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Fully-diluted earnings per share (€)</w:t>
            </w:r>
          </w:p>
        </w:tc>
        <w:tc>
          <w:tcPr>
            <w:tcW w:w="718" w:type="dxa"/>
            <w:tcBorders>
              <w:top w:val="single" w:sz="4" w:space="0" w:color="BFBFBF" w:themeColor="background1" w:themeShade="BF"/>
              <w:bottom w:val="single" w:sz="4" w:space="0" w:color="BFBFBF" w:themeColor="background1" w:themeShade="BF"/>
            </w:tcBorders>
            <w:tcMar>
              <w:top w:w="28" w:type="dxa"/>
            </w:tcMar>
          </w:tcPr>
          <w:p w14:paraId="44595DF1" w14:textId="77777777" w:rsidR="0004342B" w:rsidRPr="003814CF" w:rsidRDefault="0004342B" w:rsidP="00691179">
            <w:pPr>
              <w:jc w:val="right"/>
              <w:rPr>
                <w:rFonts w:asciiTheme="minorHAnsi" w:hAnsiTheme="minorHAnsi" w:cstheme="minorHAnsi"/>
                <w:color w:val="59595B"/>
                <w:sz w:val="20"/>
                <w:szCs w:val="20"/>
              </w:rPr>
            </w:pPr>
            <w:r w:rsidRPr="003814CF">
              <w:rPr>
                <w:rFonts w:asciiTheme="minorHAnsi" w:hAnsiTheme="minorHAnsi" w:cstheme="minorHAnsi"/>
                <w:color w:val="59595B"/>
                <w:sz w:val="16"/>
                <w:szCs w:val="20"/>
              </w:rPr>
              <w:t>14</w:t>
            </w:r>
          </w:p>
        </w:tc>
        <w:tc>
          <w:tcPr>
            <w:tcW w:w="1596" w:type="dxa"/>
            <w:tcBorders>
              <w:bottom w:val="single" w:sz="4" w:space="0" w:color="BFBFBF" w:themeColor="background1" w:themeShade="BF"/>
            </w:tcBorders>
            <w:shd w:val="clear" w:color="auto" w:fill="F2F2F2" w:themeFill="background1" w:themeFillShade="F2"/>
            <w:tcMar>
              <w:top w:w="28" w:type="dxa"/>
            </w:tcMar>
          </w:tcPr>
          <w:p w14:paraId="3375ACE9" w14:textId="12ACDE91" w:rsidR="0004342B" w:rsidRPr="005C7DEC" w:rsidRDefault="0004342B" w:rsidP="00691179">
            <w:pPr>
              <w:jc w:val="right"/>
              <w:rPr>
                <w:rFonts w:asciiTheme="minorHAnsi" w:hAnsiTheme="minorHAnsi" w:cstheme="minorHAnsi"/>
                <w:b/>
                <w:color w:val="59595B"/>
                <w:sz w:val="20"/>
                <w:szCs w:val="20"/>
                <w:lang w:val="en-GB"/>
              </w:rPr>
            </w:pPr>
            <w:r w:rsidRPr="001432D0">
              <w:rPr>
                <w:rFonts w:asciiTheme="minorHAnsi" w:hAnsiTheme="minorHAnsi" w:cstheme="minorHAnsi"/>
                <w:b/>
                <w:color w:val="59595B"/>
                <w:sz w:val="20"/>
                <w:szCs w:val="20"/>
              </w:rPr>
              <w:t>0.010</w:t>
            </w:r>
            <w:r w:rsidR="005C7DEC">
              <w:rPr>
                <w:rFonts w:asciiTheme="minorHAnsi" w:hAnsiTheme="minorHAnsi" w:cstheme="minorHAnsi"/>
                <w:b/>
                <w:color w:val="59595B"/>
                <w:sz w:val="20"/>
                <w:szCs w:val="20"/>
                <w:lang w:val="en-GB"/>
              </w:rPr>
              <w:t>5</w:t>
            </w:r>
          </w:p>
          <w:p w14:paraId="44772FA0" w14:textId="19119875" w:rsidR="0004342B" w:rsidRPr="005C7DEC" w:rsidRDefault="0004342B" w:rsidP="00691179">
            <w:pPr>
              <w:jc w:val="right"/>
              <w:rPr>
                <w:rFonts w:asciiTheme="minorHAnsi" w:hAnsiTheme="minorHAnsi" w:cstheme="minorHAnsi"/>
                <w:b/>
                <w:color w:val="59595B"/>
                <w:sz w:val="20"/>
                <w:szCs w:val="20"/>
                <w:lang w:val="en-GB"/>
              </w:rPr>
            </w:pPr>
            <w:r w:rsidRPr="001432D0">
              <w:rPr>
                <w:rFonts w:asciiTheme="minorHAnsi" w:hAnsiTheme="minorHAnsi" w:cstheme="minorHAnsi"/>
                <w:b/>
                <w:color w:val="59595B"/>
                <w:sz w:val="20"/>
                <w:szCs w:val="20"/>
              </w:rPr>
              <w:t>0.0</w:t>
            </w:r>
            <w:r w:rsidR="005C7DEC">
              <w:rPr>
                <w:rFonts w:asciiTheme="minorHAnsi" w:hAnsiTheme="minorHAnsi" w:cstheme="minorHAnsi"/>
                <w:b/>
                <w:color w:val="59595B"/>
                <w:sz w:val="20"/>
                <w:szCs w:val="20"/>
                <w:lang w:val="en-GB"/>
              </w:rPr>
              <w:t>096</w:t>
            </w:r>
          </w:p>
        </w:tc>
        <w:tc>
          <w:tcPr>
            <w:tcW w:w="1551" w:type="dxa"/>
            <w:tcBorders>
              <w:top w:val="single" w:sz="4" w:space="0" w:color="BFBFBF" w:themeColor="background1" w:themeShade="BF"/>
              <w:bottom w:val="single" w:sz="4" w:space="0" w:color="BFBFBF" w:themeColor="background1" w:themeShade="BF"/>
            </w:tcBorders>
            <w:tcMar>
              <w:top w:w="28" w:type="dxa"/>
            </w:tcMar>
          </w:tcPr>
          <w:p w14:paraId="2B6AE3D2" w14:textId="77777777" w:rsidR="0004342B" w:rsidRPr="001432D0" w:rsidRDefault="0004342B" w:rsidP="00691179">
            <w:pPr>
              <w:jc w:val="right"/>
              <w:rPr>
                <w:rFonts w:asciiTheme="minorHAnsi" w:hAnsiTheme="minorHAnsi" w:cstheme="minorHAnsi"/>
                <w:b/>
                <w:color w:val="59595B"/>
                <w:sz w:val="20"/>
                <w:szCs w:val="20"/>
                <w:lang w:val="en-GB"/>
              </w:rPr>
            </w:pPr>
            <w:r w:rsidRPr="001432D0">
              <w:rPr>
                <w:rFonts w:asciiTheme="minorHAnsi" w:hAnsiTheme="minorHAnsi" w:cstheme="minorHAnsi"/>
                <w:b/>
                <w:color w:val="59595B"/>
                <w:sz w:val="20"/>
                <w:szCs w:val="20"/>
                <w:lang w:val="en-GB"/>
              </w:rPr>
              <w:t>(0.0</w:t>
            </w:r>
            <w:r w:rsidRPr="001432D0">
              <w:rPr>
                <w:rFonts w:asciiTheme="minorHAnsi" w:hAnsiTheme="minorHAnsi" w:cstheme="minorHAnsi"/>
                <w:b/>
                <w:color w:val="59595B"/>
                <w:sz w:val="20"/>
                <w:szCs w:val="20"/>
              </w:rPr>
              <w:t>63</w:t>
            </w:r>
            <w:r w:rsidRPr="001432D0">
              <w:rPr>
                <w:rFonts w:asciiTheme="minorHAnsi" w:hAnsiTheme="minorHAnsi" w:cstheme="minorHAnsi"/>
                <w:b/>
                <w:color w:val="59595B"/>
                <w:sz w:val="20"/>
                <w:szCs w:val="20"/>
                <w:lang w:val="en-GB"/>
              </w:rPr>
              <w:t>)</w:t>
            </w:r>
          </w:p>
          <w:p w14:paraId="3EB2A8D6" w14:textId="77777777" w:rsidR="0004342B" w:rsidRPr="001432D0" w:rsidRDefault="0004342B" w:rsidP="00691179">
            <w:pPr>
              <w:jc w:val="right"/>
              <w:rPr>
                <w:rFonts w:asciiTheme="minorHAnsi" w:hAnsiTheme="minorHAnsi" w:cstheme="minorHAnsi"/>
                <w:b/>
                <w:color w:val="59595B"/>
                <w:sz w:val="20"/>
                <w:szCs w:val="20"/>
              </w:rPr>
            </w:pPr>
            <w:r w:rsidRPr="001432D0">
              <w:rPr>
                <w:rFonts w:asciiTheme="minorHAnsi" w:hAnsiTheme="minorHAnsi" w:cstheme="minorHAnsi"/>
                <w:b/>
                <w:color w:val="59595B"/>
                <w:sz w:val="20"/>
                <w:szCs w:val="20"/>
              </w:rPr>
              <w:t>n/a</w:t>
            </w:r>
          </w:p>
        </w:tc>
      </w:tr>
    </w:tbl>
    <w:p w14:paraId="1AC48DE9" w14:textId="77777777" w:rsidR="0004342B" w:rsidRPr="00A96D90" w:rsidRDefault="0004342B" w:rsidP="0004342B">
      <w:pPr>
        <w:rPr>
          <w:rFonts w:ascii="Calibri" w:hAnsi="Calibri" w:cstheme="minorHAnsi"/>
          <w:b/>
          <w:color w:val="276E8B" w:themeColor="accent1" w:themeShade="BF"/>
          <w:szCs w:val="22"/>
          <w:lang w:val="en-GB"/>
        </w:rPr>
      </w:pPr>
      <w:r w:rsidRPr="00A96D90">
        <w:rPr>
          <w:rFonts w:ascii="Calibri" w:hAnsi="Calibri" w:cstheme="minorHAnsi"/>
          <w:szCs w:val="22"/>
          <w:lang w:val="en-GB"/>
        </w:rPr>
        <w:br w:type="page"/>
      </w:r>
      <w:r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Pr="00A96D90">
        <w:rPr>
          <w:rFonts w:ascii="Calibri" w:hAnsi="Calibri" w:cstheme="minorHAnsi"/>
          <w:b/>
          <w:color w:val="276E8B" w:themeColor="accent1" w:themeShade="BF"/>
          <w:szCs w:val="22"/>
          <w:lang w:val="en-GB"/>
        </w:rPr>
        <w:t xml:space="preserve"> </w:t>
      </w:r>
    </w:p>
    <w:p w14:paraId="0184E9DB" w14:textId="77777777" w:rsidR="0004342B" w:rsidRPr="00A96D90" w:rsidRDefault="0004342B" w:rsidP="0004342B">
      <w:pPr>
        <w:pStyle w:val="NoSpacing"/>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630C319A" w14:textId="77777777" w:rsidR="0004342B" w:rsidRPr="00A96D90" w:rsidRDefault="0004342B" w:rsidP="0004342B">
      <w:pPr>
        <w:rPr>
          <w:rFonts w:ascii="Calibri" w:hAnsi="Calibri" w:cstheme="minorHAnsi"/>
          <w:b/>
          <w:szCs w:val="22"/>
          <w:lang w:val="en-GB"/>
        </w:rPr>
      </w:pPr>
    </w:p>
    <w:tbl>
      <w:tblPr>
        <w:tblW w:w="8948"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25"/>
        <w:gridCol w:w="771"/>
        <w:gridCol w:w="1776"/>
        <w:gridCol w:w="1776"/>
      </w:tblGrid>
      <w:tr w:rsidR="0004342B" w:rsidRPr="00A96D90" w14:paraId="628FCFE9" w14:textId="77777777" w:rsidTr="00042FAE">
        <w:trPr>
          <w:jc w:val="center"/>
        </w:trPr>
        <w:tc>
          <w:tcPr>
            <w:tcW w:w="4625" w:type="dxa"/>
            <w:tcBorders>
              <w:bottom w:val="single" w:sz="4" w:space="0" w:color="BFBFBF" w:themeColor="background1" w:themeShade="BF"/>
            </w:tcBorders>
            <w:shd w:val="clear" w:color="auto" w:fill="0070C0"/>
          </w:tcPr>
          <w:p w14:paraId="65D7BFE1" w14:textId="77777777" w:rsidR="0004342B" w:rsidRPr="007707C3" w:rsidRDefault="0004342B" w:rsidP="00691179">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w:t>
            </w:r>
          </w:p>
        </w:tc>
        <w:tc>
          <w:tcPr>
            <w:tcW w:w="771" w:type="dxa"/>
            <w:tcBorders>
              <w:bottom w:val="single" w:sz="4" w:space="0" w:color="BFBFBF" w:themeColor="background1" w:themeShade="BF"/>
            </w:tcBorders>
            <w:shd w:val="clear" w:color="auto" w:fill="0070C0"/>
          </w:tcPr>
          <w:p w14:paraId="20E9055D" w14:textId="77777777" w:rsidR="0004342B" w:rsidRPr="00E90ADC" w:rsidRDefault="0004342B" w:rsidP="00691179">
            <w:pPr>
              <w:ind w:left="104" w:right="69"/>
              <w:jc w:val="right"/>
              <w:rPr>
                <w:rFonts w:asciiTheme="minorHAnsi" w:hAnsiTheme="minorHAnsi" w:cstheme="minorHAnsi"/>
                <w:b/>
                <w:color w:val="FFFFFF" w:themeColor="background1"/>
                <w:sz w:val="20"/>
                <w:szCs w:val="20"/>
              </w:rPr>
            </w:pPr>
            <w:r w:rsidRPr="00E90ADC">
              <w:rPr>
                <w:rFonts w:asciiTheme="minorHAnsi" w:hAnsiTheme="minorHAnsi" w:cstheme="minorHAnsi"/>
                <w:b/>
                <w:color w:val="FFFFFF" w:themeColor="background1"/>
                <w:sz w:val="16"/>
                <w:szCs w:val="20"/>
              </w:rPr>
              <w:t>Notes</w:t>
            </w:r>
          </w:p>
        </w:tc>
        <w:tc>
          <w:tcPr>
            <w:tcW w:w="1776" w:type="dxa"/>
            <w:tcBorders>
              <w:bottom w:val="single" w:sz="4" w:space="0" w:color="BFBFBF" w:themeColor="background1" w:themeShade="BF"/>
            </w:tcBorders>
            <w:shd w:val="clear" w:color="auto" w:fill="0070C0"/>
          </w:tcPr>
          <w:p w14:paraId="267F8678" w14:textId="77777777" w:rsidR="0004342B" w:rsidRPr="00CF1D25" w:rsidRDefault="0004342B" w:rsidP="00691179">
            <w:pPr>
              <w:ind w:left="104" w:right="69"/>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8</w:t>
            </w:r>
          </w:p>
        </w:tc>
        <w:tc>
          <w:tcPr>
            <w:tcW w:w="1776" w:type="dxa"/>
            <w:tcBorders>
              <w:bottom w:val="single" w:sz="4" w:space="0" w:color="BFBFBF" w:themeColor="background1" w:themeShade="BF"/>
            </w:tcBorders>
            <w:shd w:val="clear" w:color="auto" w:fill="0070C0"/>
          </w:tcPr>
          <w:p w14:paraId="05568097" w14:textId="77777777" w:rsidR="0004342B" w:rsidRPr="00CF1D25" w:rsidRDefault="0004342B" w:rsidP="00691179">
            <w:pPr>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7</w:t>
            </w:r>
          </w:p>
        </w:tc>
      </w:tr>
      <w:tr w:rsidR="0004342B" w:rsidRPr="00A96D90" w14:paraId="44D0CF8D" w14:textId="77777777" w:rsidTr="00042FAE">
        <w:trPr>
          <w:jc w:val="center"/>
        </w:trPr>
        <w:tc>
          <w:tcPr>
            <w:tcW w:w="4625" w:type="dxa"/>
            <w:tcBorders>
              <w:bottom w:val="nil"/>
            </w:tcBorders>
          </w:tcPr>
          <w:p w14:paraId="4227FA2E" w14:textId="77777777" w:rsidR="0004342B" w:rsidRPr="00CF1D25" w:rsidRDefault="0004342B" w:rsidP="00691179">
            <w:pPr>
              <w:rPr>
                <w:rFonts w:asciiTheme="minorHAnsi" w:hAnsiTheme="minorHAnsi" w:cstheme="minorHAnsi"/>
                <w:color w:val="0070C0"/>
                <w:sz w:val="20"/>
                <w:szCs w:val="20"/>
                <w:lang w:val="en-GB"/>
              </w:rPr>
            </w:pPr>
          </w:p>
          <w:p w14:paraId="12B59D11"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771" w:type="dxa"/>
            <w:tcBorders>
              <w:bottom w:val="nil"/>
            </w:tcBorders>
            <w:shd w:val="clear" w:color="auto" w:fill="F2F2F2" w:themeFill="background1" w:themeFillShade="F2"/>
          </w:tcPr>
          <w:p w14:paraId="5C574D4C" w14:textId="77777777" w:rsidR="0004342B" w:rsidRDefault="0004342B" w:rsidP="00691179">
            <w:pPr>
              <w:ind w:right="69"/>
              <w:jc w:val="right"/>
              <w:rPr>
                <w:rFonts w:asciiTheme="minorHAnsi" w:hAnsiTheme="minorHAnsi" w:cstheme="minorHAnsi"/>
                <w:b/>
                <w:color w:val="0070C0"/>
                <w:sz w:val="20"/>
                <w:szCs w:val="20"/>
                <w:lang w:val="en-GB"/>
              </w:rPr>
            </w:pPr>
          </w:p>
        </w:tc>
        <w:tc>
          <w:tcPr>
            <w:tcW w:w="1776" w:type="dxa"/>
            <w:tcBorders>
              <w:bottom w:val="nil"/>
            </w:tcBorders>
            <w:shd w:val="clear" w:color="auto" w:fill="F2F2F2" w:themeFill="background1" w:themeFillShade="F2"/>
          </w:tcPr>
          <w:p w14:paraId="1C3D3853" w14:textId="77777777" w:rsidR="0004342B" w:rsidRDefault="0004342B" w:rsidP="00691179">
            <w:pPr>
              <w:ind w:right="69"/>
              <w:jc w:val="right"/>
              <w:rPr>
                <w:rFonts w:asciiTheme="minorHAnsi" w:hAnsiTheme="minorHAnsi" w:cstheme="minorHAnsi"/>
                <w:b/>
                <w:color w:val="0070C0"/>
                <w:sz w:val="20"/>
                <w:szCs w:val="20"/>
                <w:lang w:val="en-GB"/>
              </w:rPr>
            </w:pPr>
          </w:p>
          <w:p w14:paraId="73A68837" w14:textId="77777777" w:rsidR="0004342B" w:rsidRPr="0034634D" w:rsidRDefault="0004342B" w:rsidP="00691179">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6,355</w:t>
            </w:r>
          </w:p>
        </w:tc>
        <w:tc>
          <w:tcPr>
            <w:tcW w:w="1776" w:type="dxa"/>
            <w:tcBorders>
              <w:bottom w:val="nil"/>
            </w:tcBorders>
          </w:tcPr>
          <w:p w14:paraId="56C48B6F" w14:textId="77777777" w:rsidR="0004342B" w:rsidRPr="00CF1D25" w:rsidRDefault="0004342B" w:rsidP="00691179">
            <w:pPr>
              <w:jc w:val="right"/>
              <w:rPr>
                <w:rFonts w:asciiTheme="minorHAnsi" w:hAnsiTheme="minorHAnsi" w:cstheme="minorHAnsi"/>
                <w:b/>
                <w:color w:val="0070C0"/>
                <w:sz w:val="20"/>
                <w:szCs w:val="20"/>
                <w:lang w:val="en-GB"/>
              </w:rPr>
            </w:pPr>
          </w:p>
          <w:p w14:paraId="4D25F911"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w:t>
            </w:r>
            <w:r w:rsidRPr="00CF1D25">
              <w:rPr>
                <w:rFonts w:asciiTheme="minorHAnsi" w:hAnsiTheme="minorHAnsi" w:cstheme="minorHAnsi"/>
                <w:b/>
                <w:color w:val="0070C0"/>
                <w:sz w:val="20"/>
                <w:szCs w:val="20"/>
              </w:rPr>
              <w:t>30,218</w:t>
            </w:r>
            <w:r w:rsidRPr="00CF1D25">
              <w:rPr>
                <w:rFonts w:asciiTheme="minorHAnsi" w:hAnsiTheme="minorHAnsi" w:cstheme="minorHAnsi"/>
                <w:b/>
                <w:color w:val="0070C0"/>
                <w:sz w:val="20"/>
                <w:szCs w:val="20"/>
                <w:lang w:val="en-GB"/>
              </w:rPr>
              <w:t>)</w:t>
            </w:r>
          </w:p>
        </w:tc>
      </w:tr>
      <w:tr w:rsidR="0004342B" w:rsidRPr="00A96D90" w14:paraId="0F27AB07" w14:textId="77777777" w:rsidTr="00042FAE">
        <w:trPr>
          <w:jc w:val="center"/>
        </w:trPr>
        <w:tc>
          <w:tcPr>
            <w:tcW w:w="4625" w:type="dxa"/>
            <w:tcBorders>
              <w:top w:val="nil"/>
              <w:bottom w:val="nil"/>
            </w:tcBorders>
          </w:tcPr>
          <w:p w14:paraId="19B72DEA" w14:textId="77777777" w:rsidR="0004342B" w:rsidRPr="00A96D90" w:rsidRDefault="0004342B" w:rsidP="00691179">
            <w:pPr>
              <w:rPr>
                <w:rFonts w:asciiTheme="minorHAnsi" w:hAnsiTheme="minorHAnsi" w:cstheme="minorHAnsi"/>
                <w:color w:val="59595B"/>
                <w:sz w:val="20"/>
                <w:szCs w:val="20"/>
                <w:lang w:val="en-GB"/>
              </w:rPr>
            </w:pPr>
          </w:p>
        </w:tc>
        <w:tc>
          <w:tcPr>
            <w:tcW w:w="771" w:type="dxa"/>
            <w:tcBorders>
              <w:top w:val="nil"/>
              <w:bottom w:val="nil"/>
            </w:tcBorders>
            <w:shd w:val="clear" w:color="auto" w:fill="F2F2F2" w:themeFill="background1" w:themeFillShade="F2"/>
          </w:tcPr>
          <w:p w14:paraId="23692DBF" w14:textId="77777777" w:rsidR="0004342B" w:rsidRPr="00A96D90" w:rsidRDefault="0004342B" w:rsidP="00691179">
            <w:pPr>
              <w:ind w:right="69"/>
              <w:jc w:val="right"/>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150CB3A8" w14:textId="77777777" w:rsidR="0004342B" w:rsidRPr="00A96D90" w:rsidRDefault="0004342B" w:rsidP="00691179">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23550182"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D282394" w14:textId="77777777" w:rsidTr="00042FAE">
        <w:trPr>
          <w:jc w:val="center"/>
        </w:trPr>
        <w:tc>
          <w:tcPr>
            <w:tcW w:w="4625" w:type="dxa"/>
            <w:tcBorders>
              <w:top w:val="nil"/>
              <w:bottom w:val="nil"/>
            </w:tcBorders>
          </w:tcPr>
          <w:p w14:paraId="7FD8D400"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Currency translation differences</w:t>
            </w:r>
          </w:p>
        </w:tc>
        <w:tc>
          <w:tcPr>
            <w:tcW w:w="771" w:type="dxa"/>
            <w:tcBorders>
              <w:top w:val="nil"/>
              <w:bottom w:val="nil"/>
            </w:tcBorders>
            <w:shd w:val="clear" w:color="auto" w:fill="F2F2F2" w:themeFill="background1" w:themeFillShade="F2"/>
          </w:tcPr>
          <w:p w14:paraId="3C4A0780" w14:textId="77777777" w:rsidR="0004342B" w:rsidRPr="00E90ADC" w:rsidRDefault="0004342B" w:rsidP="00691179">
            <w:pPr>
              <w:ind w:right="69"/>
              <w:jc w:val="right"/>
              <w:rPr>
                <w:rFonts w:asciiTheme="minorHAnsi" w:hAnsiTheme="minorHAnsi" w:cstheme="minorHAnsi"/>
                <w:color w:val="59595B"/>
                <w:sz w:val="20"/>
                <w:szCs w:val="20"/>
              </w:rPr>
            </w:pPr>
            <w:r w:rsidRPr="00E90ADC">
              <w:rPr>
                <w:rFonts w:asciiTheme="minorHAnsi" w:hAnsiTheme="minorHAnsi" w:cstheme="minorHAnsi"/>
                <w:color w:val="59595B"/>
                <w:sz w:val="16"/>
                <w:szCs w:val="20"/>
              </w:rPr>
              <w:t>4</w:t>
            </w:r>
          </w:p>
        </w:tc>
        <w:tc>
          <w:tcPr>
            <w:tcW w:w="1776" w:type="dxa"/>
            <w:tcBorders>
              <w:top w:val="nil"/>
              <w:bottom w:val="nil"/>
            </w:tcBorders>
            <w:shd w:val="clear" w:color="auto" w:fill="F2F2F2" w:themeFill="background1" w:themeFillShade="F2"/>
          </w:tcPr>
          <w:p w14:paraId="7F0E8AF2" w14:textId="77777777" w:rsidR="0004342B" w:rsidRPr="00E90ADC" w:rsidRDefault="0004342B" w:rsidP="00691179">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(160)</w:t>
            </w:r>
          </w:p>
        </w:tc>
        <w:tc>
          <w:tcPr>
            <w:tcW w:w="1776" w:type="dxa"/>
            <w:tcBorders>
              <w:top w:val="nil"/>
              <w:bottom w:val="nil"/>
            </w:tcBorders>
          </w:tcPr>
          <w:p w14:paraId="6BF550C2"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672</w:t>
            </w:r>
            <w:r w:rsidRPr="00A96D90">
              <w:rPr>
                <w:rFonts w:asciiTheme="minorHAnsi" w:hAnsiTheme="minorHAnsi" w:cstheme="minorHAnsi"/>
                <w:color w:val="59595B"/>
                <w:sz w:val="20"/>
                <w:szCs w:val="20"/>
                <w:lang w:val="en-GB"/>
              </w:rPr>
              <w:t>)</w:t>
            </w:r>
          </w:p>
        </w:tc>
      </w:tr>
      <w:tr w:rsidR="0004342B" w:rsidRPr="00A96D90" w14:paraId="20AEB236" w14:textId="77777777" w:rsidTr="00042FAE">
        <w:trPr>
          <w:jc w:val="center"/>
        </w:trPr>
        <w:tc>
          <w:tcPr>
            <w:tcW w:w="4625" w:type="dxa"/>
            <w:tcBorders>
              <w:top w:val="nil"/>
              <w:bottom w:val="nil"/>
            </w:tcBorders>
          </w:tcPr>
          <w:p w14:paraId="47E9BD68" w14:textId="77777777" w:rsidR="0004342B" w:rsidRPr="00A96D90" w:rsidRDefault="0004342B" w:rsidP="00691179">
            <w:pPr>
              <w:rPr>
                <w:rFonts w:asciiTheme="minorHAnsi" w:hAnsiTheme="minorHAnsi" w:cstheme="minorHAnsi"/>
                <w:color w:val="59595B"/>
                <w:sz w:val="20"/>
                <w:szCs w:val="20"/>
                <w:lang w:val="en-GB"/>
              </w:rPr>
            </w:pPr>
          </w:p>
        </w:tc>
        <w:tc>
          <w:tcPr>
            <w:tcW w:w="771" w:type="dxa"/>
            <w:tcBorders>
              <w:top w:val="nil"/>
              <w:bottom w:val="nil"/>
            </w:tcBorders>
            <w:shd w:val="clear" w:color="auto" w:fill="F2F2F2" w:themeFill="background1" w:themeFillShade="F2"/>
          </w:tcPr>
          <w:p w14:paraId="6D14140C" w14:textId="77777777" w:rsidR="0004342B" w:rsidRPr="00A96D90" w:rsidRDefault="0004342B" w:rsidP="00691179">
            <w:pPr>
              <w:ind w:right="69"/>
              <w:jc w:val="right"/>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36520553" w14:textId="77777777" w:rsidR="0004342B" w:rsidRPr="00A96D90" w:rsidRDefault="0004342B" w:rsidP="00691179">
            <w:pPr>
              <w:ind w:right="69"/>
              <w:jc w:val="right"/>
              <w:rPr>
                <w:rFonts w:asciiTheme="minorHAnsi" w:hAnsiTheme="minorHAnsi" w:cstheme="minorHAnsi"/>
                <w:color w:val="59595B"/>
                <w:sz w:val="20"/>
                <w:szCs w:val="20"/>
                <w:lang w:val="en-GB"/>
              </w:rPr>
            </w:pPr>
          </w:p>
        </w:tc>
        <w:tc>
          <w:tcPr>
            <w:tcW w:w="1776" w:type="dxa"/>
            <w:tcBorders>
              <w:top w:val="nil"/>
              <w:bottom w:val="nil"/>
            </w:tcBorders>
          </w:tcPr>
          <w:p w14:paraId="03A30976"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9B046C6" w14:textId="77777777" w:rsidTr="00042FAE">
        <w:trPr>
          <w:jc w:val="center"/>
        </w:trPr>
        <w:tc>
          <w:tcPr>
            <w:tcW w:w="4625" w:type="dxa"/>
            <w:tcBorders>
              <w:top w:val="nil"/>
              <w:bottom w:val="nil"/>
            </w:tcBorders>
          </w:tcPr>
          <w:p w14:paraId="68F779E3"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Items that may be subsequently reclassified to profit or loss</w:t>
            </w:r>
          </w:p>
        </w:tc>
        <w:tc>
          <w:tcPr>
            <w:tcW w:w="771" w:type="dxa"/>
            <w:tcBorders>
              <w:top w:val="nil"/>
              <w:bottom w:val="nil"/>
            </w:tcBorders>
            <w:shd w:val="clear" w:color="auto" w:fill="F2F2F2" w:themeFill="background1" w:themeFillShade="F2"/>
          </w:tcPr>
          <w:p w14:paraId="790BE31C" w14:textId="77777777" w:rsidR="0004342B" w:rsidRDefault="0004342B" w:rsidP="00691179">
            <w:pPr>
              <w:ind w:right="69"/>
              <w:jc w:val="right"/>
              <w:rPr>
                <w:rFonts w:asciiTheme="minorHAnsi" w:hAnsiTheme="minorHAnsi" w:cstheme="minorHAnsi"/>
                <w:color w:val="59595B"/>
                <w:sz w:val="20"/>
                <w:szCs w:val="20"/>
              </w:rPr>
            </w:pPr>
          </w:p>
        </w:tc>
        <w:tc>
          <w:tcPr>
            <w:tcW w:w="1776" w:type="dxa"/>
            <w:tcBorders>
              <w:top w:val="nil"/>
              <w:bottom w:val="nil"/>
            </w:tcBorders>
            <w:shd w:val="clear" w:color="auto" w:fill="F2F2F2" w:themeFill="background1" w:themeFillShade="F2"/>
          </w:tcPr>
          <w:p w14:paraId="5814ADB8" w14:textId="77777777" w:rsidR="0004342B" w:rsidRPr="00E90ADC" w:rsidRDefault="0004342B" w:rsidP="00691179">
            <w:pPr>
              <w:ind w:right="69"/>
              <w:jc w:val="right"/>
              <w:rPr>
                <w:rFonts w:asciiTheme="minorHAnsi" w:hAnsiTheme="minorHAnsi" w:cstheme="minorHAnsi"/>
                <w:b/>
                <w:color w:val="59595B"/>
                <w:sz w:val="20"/>
                <w:szCs w:val="20"/>
              </w:rPr>
            </w:pPr>
            <w:r w:rsidRPr="00E90ADC">
              <w:rPr>
                <w:rFonts w:asciiTheme="minorHAnsi" w:hAnsiTheme="minorHAnsi" w:cstheme="minorHAnsi"/>
                <w:b/>
                <w:color w:val="59595B"/>
                <w:sz w:val="20"/>
                <w:szCs w:val="20"/>
              </w:rPr>
              <w:t>(160)</w:t>
            </w:r>
          </w:p>
        </w:tc>
        <w:tc>
          <w:tcPr>
            <w:tcW w:w="1776" w:type="dxa"/>
            <w:tcBorders>
              <w:top w:val="nil"/>
              <w:bottom w:val="nil"/>
            </w:tcBorders>
          </w:tcPr>
          <w:p w14:paraId="2C59521F" w14:textId="77777777" w:rsidR="0004342B" w:rsidRPr="00CF1D25" w:rsidRDefault="0004342B" w:rsidP="00691179">
            <w:pPr>
              <w:jc w:val="right"/>
              <w:rPr>
                <w:rFonts w:asciiTheme="minorHAnsi" w:hAnsiTheme="minorHAnsi" w:cstheme="minorHAnsi"/>
                <w:b/>
                <w:color w:val="59595B"/>
                <w:sz w:val="20"/>
                <w:szCs w:val="20"/>
                <w:lang w:val="en-GB"/>
              </w:rPr>
            </w:pPr>
            <w:r w:rsidRPr="00CF1D25">
              <w:rPr>
                <w:rFonts w:asciiTheme="minorHAnsi" w:hAnsiTheme="minorHAnsi" w:cstheme="minorHAnsi"/>
                <w:b/>
                <w:color w:val="59595B"/>
                <w:sz w:val="20"/>
                <w:szCs w:val="20"/>
                <w:lang w:val="en-GB"/>
              </w:rPr>
              <w:t>(</w:t>
            </w:r>
            <w:r w:rsidRPr="00CF1D25">
              <w:rPr>
                <w:rFonts w:asciiTheme="minorHAnsi" w:hAnsiTheme="minorHAnsi" w:cstheme="minorHAnsi"/>
                <w:b/>
                <w:color w:val="59595B"/>
                <w:sz w:val="20"/>
                <w:szCs w:val="20"/>
              </w:rPr>
              <w:t>672</w:t>
            </w:r>
            <w:r w:rsidRPr="00CF1D25">
              <w:rPr>
                <w:rFonts w:asciiTheme="minorHAnsi" w:hAnsiTheme="minorHAnsi" w:cstheme="minorHAnsi"/>
                <w:b/>
                <w:color w:val="59595B"/>
                <w:sz w:val="20"/>
                <w:szCs w:val="20"/>
                <w:lang w:val="en-GB"/>
              </w:rPr>
              <w:t>)</w:t>
            </w:r>
          </w:p>
        </w:tc>
      </w:tr>
      <w:tr w:rsidR="0004342B" w:rsidRPr="00A96D90" w14:paraId="721B5A11" w14:textId="77777777" w:rsidTr="00042FAE">
        <w:trPr>
          <w:jc w:val="center"/>
        </w:trPr>
        <w:tc>
          <w:tcPr>
            <w:tcW w:w="4625" w:type="dxa"/>
            <w:tcBorders>
              <w:top w:val="nil"/>
              <w:bottom w:val="nil"/>
            </w:tcBorders>
          </w:tcPr>
          <w:p w14:paraId="7A98201F" w14:textId="77777777" w:rsidR="0004342B" w:rsidRPr="00A96D90" w:rsidRDefault="0004342B" w:rsidP="00691179">
            <w:pPr>
              <w:rPr>
                <w:rFonts w:asciiTheme="minorHAnsi" w:hAnsiTheme="minorHAnsi" w:cstheme="minorHAnsi"/>
                <w:b/>
                <w:color w:val="59595B"/>
                <w:sz w:val="20"/>
                <w:szCs w:val="20"/>
                <w:lang w:val="en-GB"/>
              </w:rPr>
            </w:pPr>
          </w:p>
        </w:tc>
        <w:tc>
          <w:tcPr>
            <w:tcW w:w="771" w:type="dxa"/>
            <w:tcBorders>
              <w:top w:val="nil"/>
              <w:bottom w:val="nil"/>
            </w:tcBorders>
            <w:shd w:val="clear" w:color="auto" w:fill="F2F2F2" w:themeFill="background1" w:themeFillShade="F2"/>
          </w:tcPr>
          <w:p w14:paraId="391551C1" w14:textId="77777777" w:rsidR="0004342B" w:rsidRPr="00A96D90" w:rsidRDefault="0004342B" w:rsidP="00691179">
            <w:pPr>
              <w:ind w:right="69"/>
              <w:jc w:val="right"/>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01EE22C6" w14:textId="77777777" w:rsidR="0004342B" w:rsidRPr="00E90ADC" w:rsidRDefault="0004342B" w:rsidP="00691179">
            <w:pPr>
              <w:ind w:right="69"/>
              <w:jc w:val="right"/>
              <w:rPr>
                <w:rFonts w:asciiTheme="minorHAnsi" w:hAnsiTheme="minorHAnsi" w:cstheme="minorHAnsi"/>
                <w:b/>
                <w:color w:val="59595B"/>
                <w:sz w:val="20"/>
                <w:szCs w:val="20"/>
                <w:lang w:val="en-GB"/>
              </w:rPr>
            </w:pPr>
          </w:p>
        </w:tc>
        <w:tc>
          <w:tcPr>
            <w:tcW w:w="1776" w:type="dxa"/>
            <w:tcBorders>
              <w:top w:val="nil"/>
              <w:bottom w:val="nil"/>
            </w:tcBorders>
          </w:tcPr>
          <w:p w14:paraId="27B8A840" w14:textId="77777777" w:rsidR="0004342B" w:rsidRPr="00CF1D25" w:rsidRDefault="0004342B" w:rsidP="00691179">
            <w:pPr>
              <w:jc w:val="right"/>
              <w:rPr>
                <w:rFonts w:asciiTheme="minorHAnsi" w:hAnsiTheme="minorHAnsi" w:cstheme="minorHAnsi"/>
                <w:b/>
                <w:color w:val="59595B"/>
                <w:sz w:val="20"/>
                <w:szCs w:val="20"/>
                <w:lang w:val="en-GB"/>
              </w:rPr>
            </w:pPr>
          </w:p>
        </w:tc>
      </w:tr>
      <w:tr w:rsidR="0004342B" w:rsidRPr="00A96D90" w14:paraId="33285684" w14:textId="77777777" w:rsidTr="00042FAE">
        <w:trPr>
          <w:jc w:val="center"/>
        </w:trPr>
        <w:tc>
          <w:tcPr>
            <w:tcW w:w="4625" w:type="dxa"/>
            <w:tcBorders>
              <w:top w:val="nil"/>
              <w:bottom w:val="nil"/>
            </w:tcBorders>
          </w:tcPr>
          <w:p w14:paraId="1E5B4593"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comprehensive income, net of tax</w:t>
            </w:r>
          </w:p>
        </w:tc>
        <w:tc>
          <w:tcPr>
            <w:tcW w:w="771" w:type="dxa"/>
            <w:tcBorders>
              <w:top w:val="nil"/>
              <w:bottom w:val="nil"/>
            </w:tcBorders>
            <w:shd w:val="clear" w:color="auto" w:fill="F2F2F2" w:themeFill="background1" w:themeFillShade="F2"/>
          </w:tcPr>
          <w:p w14:paraId="2E88D492" w14:textId="77777777" w:rsidR="0004342B" w:rsidRDefault="0004342B" w:rsidP="00691179">
            <w:pPr>
              <w:ind w:right="69"/>
              <w:jc w:val="right"/>
              <w:rPr>
                <w:rFonts w:asciiTheme="minorHAnsi" w:hAnsiTheme="minorHAnsi" w:cstheme="minorHAnsi"/>
                <w:color w:val="59595B"/>
                <w:sz w:val="20"/>
                <w:szCs w:val="20"/>
              </w:rPr>
            </w:pPr>
          </w:p>
        </w:tc>
        <w:tc>
          <w:tcPr>
            <w:tcW w:w="1776" w:type="dxa"/>
            <w:tcBorders>
              <w:top w:val="nil"/>
              <w:bottom w:val="nil"/>
            </w:tcBorders>
            <w:shd w:val="clear" w:color="auto" w:fill="F2F2F2" w:themeFill="background1" w:themeFillShade="F2"/>
          </w:tcPr>
          <w:p w14:paraId="524FB968" w14:textId="77777777" w:rsidR="0004342B" w:rsidRPr="00E90ADC" w:rsidRDefault="0004342B" w:rsidP="00691179">
            <w:pPr>
              <w:ind w:right="69"/>
              <w:jc w:val="right"/>
              <w:rPr>
                <w:rFonts w:asciiTheme="minorHAnsi" w:hAnsiTheme="minorHAnsi" w:cstheme="minorHAnsi"/>
                <w:b/>
                <w:color w:val="59595B"/>
                <w:sz w:val="20"/>
                <w:szCs w:val="20"/>
              </w:rPr>
            </w:pPr>
            <w:r w:rsidRPr="00E90ADC">
              <w:rPr>
                <w:rFonts w:asciiTheme="minorHAnsi" w:hAnsiTheme="minorHAnsi" w:cstheme="minorHAnsi"/>
                <w:b/>
                <w:color w:val="59595B"/>
                <w:sz w:val="20"/>
                <w:szCs w:val="20"/>
              </w:rPr>
              <w:t>(160)</w:t>
            </w:r>
          </w:p>
        </w:tc>
        <w:tc>
          <w:tcPr>
            <w:tcW w:w="1776" w:type="dxa"/>
            <w:tcBorders>
              <w:top w:val="nil"/>
              <w:bottom w:val="nil"/>
            </w:tcBorders>
          </w:tcPr>
          <w:p w14:paraId="5788B8DA" w14:textId="77777777" w:rsidR="0004342B" w:rsidRPr="00CF1D25" w:rsidRDefault="0004342B" w:rsidP="00691179">
            <w:pPr>
              <w:jc w:val="right"/>
              <w:rPr>
                <w:rFonts w:asciiTheme="minorHAnsi" w:hAnsiTheme="minorHAnsi" w:cstheme="minorHAnsi"/>
                <w:b/>
                <w:color w:val="59595B"/>
                <w:sz w:val="20"/>
                <w:szCs w:val="20"/>
                <w:lang w:val="en-GB"/>
              </w:rPr>
            </w:pPr>
            <w:r w:rsidRPr="00CF1D25">
              <w:rPr>
                <w:rFonts w:asciiTheme="minorHAnsi" w:hAnsiTheme="minorHAnsi" w:cstheme="minorHAnsi"/>
                <w:b/>
                <w:color w:val="59595B"/>
                <w:sz w:val="20"/>
                <w:szCs w:val="20"/>
                <w:lang w:val="en-GB"/>
              </w:rPr>
              <w:t>(</w:t>
            </w:r>
            <w:r w:rsidRPr="00CF1D25">
              <w:rPr>
                <w:rFonts w:asciiTheme="minorHAnsi" w:hAnsiTheme="minorHAnsi" w:cstheme="minorHAnsi"/>
                <w:b/>
                <w:color w:val="59595B"/>
                <w:sz w:val="20"/>
                <w:szCs w:val="20"/>
              </w:rPr>
              <w:t>672</w:t>
            </w:r>
            <w:r w:rsidRPr="00CF1D25">
              <w:rPr>
                <w:rFonts w:asciiTheme="minorHAnsi" w:hAnsiTheme="minorHAnsi" w:cstheme="minorHAnsi"/>
                <w:b/>
                <w:color w:val="59595B"/>
                <w:sz w:val="20"/>
                <w:szCs w:val="20"/>
                <w:lang w:val="en-GB"/>
              </w:rPr>
              <w:t>)</w:t>
            </w:r>
          </w:p>
        </w:tc>
      </w:tr>
      <w:tr w:rsidR="0004342B" w:rsidRPr="00A96D90" w14:paraId="4869F57A" w14:textId="77777777" w:rsidTr="00042FAE">
        <w:trPr>
          <w:jc w:val="center"/>
        </w:trPr>
        <w:tc>
          <w:tcPr>
            <w:tcW w:w="4625" w:type="dxa"/>
            <w:tcBorders>
              <w:top w:val="nil"/>
              <w:bottom w:val="single" w:sz="4" w:space="0" w:color="BFBFBF" w:themeColor="background1" w:themeShade="BF"/>
            </w:tcBorders>
          </w:tcPr>
          <w:p w14:paraId="2D8BDF32" w14:textId="77777777" w:rsidR="0004342B" w:rsidRPr="00A96D90" w:rsidRDefault="0004342B" w:rsidP="00691179">
            <w:pPr>
              <w:rPr>
                <w:rFonts w:asciiTheme="minorHAnsi" w:hAnsiTheme="minorHAnsi" w:cstheme="minorHAnsi"/>
                <w:b/>
                <w:color w:val="59595B"/>
                <w:sz w:val="20"/>
                <w:szCs w:val="20"/>
                <w:lang w:val="en-GB"/>
              </w:rPr>
            </w:pPr>
          </w:p>
        </w:tc>
        <w:tc>
          <w:tcPr>
            <w:tcW w:w="771" w:type="dxa"/>
            <w:tcBorders>
              <w:top w:val="nil"/>
              <w:bottom w:val="single" w:sz="4" w:space="0" w:color="BFBFBF" w:themeColor="background1" w:themeShade="BF"/>
            </w:tcBorders>
            <w:shd w:val="clear" w:color="auto" w:fill="F2F2F2" w:themeFill="background1" w:themeFillShade="F2"/>
          </w:tcPr>
          <w:p w14:paraId="69FE4173" w14:textId="77777777" w:rsidR="0004342B" w:rsidRPr="00A96D90" w:rsidRDefault="0004342B" w:rsidP="00691179">
            <w:pPr>
              <w:ind w:right="69"/>
              <w:jc w:val="right"/>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shd w:val="clear" w:color="auto" w:fill="F2F2F2" w:themeFill="background1" w:themeFillShade="F2"/>
          </w:tcPr>
          <w:p w14:paraId="5A21D322" w14:textId="77777777" w:rsidR="0004342B" w:rsidRPr="00A96D90" w:rsidRDefault="0004342B" w:rsidP="00691179">
            <w:pPr>
              <w:ind w:right="69"/>
              <w:jc w:val="right"/>
              <w:rPr>
                <w:rFonts w:asciiTheme="minorHAnsi" w:hAnsiTheme="minorHAnsi" w:cstheme="minorHAnsi"/>
                <w:b/>
                <w:color w:val="59595B"/>
                <w:sz w:val="20"/>
                <w:szCs w:val="20"/>
                <w:lang w:val="en-GB"/>
              </w:rPr>
            </w:pPr>
          </w:p>
        </w:tc>
        <w:tc>
          <w:tcPr>
            <w:tcW w:w="1776" w:type="dxa"/>
            <w:tcBorders>
              <w:top w:val="nil"/>
              <w:bottom w:val="single" w:sz="4" w:space="0" w:color="BFBFBF" w:themeColor="background1" w:themeShade="BF"/>
            </w:tcBorders>
          </w:tcPr>
          <w:p w14:paraId="5EADB0F1"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0265BEFF" w14:textId="77777777" w:rsidTr="00042FAE">
        <w:trPr>
          <w:jc w:val="center"/>
        </w:trPr>
        <w:tc>
          <w:tcPr>
            <w:tcW w:w="4625" w:type="dxa"/>
            <w:tcBorders>
              <w:top w:val="single" w:sz="4" w:space="0" w:color="BFBFBF" w:themeColor="background1" w:themeShade="BF"/>
              <w:bottom w:val="single" w:sz="4" w:space="0" w:color="BFBFBF" w:themeColor="background1" w:themeShade="BF"/>
            </w:tcBorders>
          </w:tcPr>
          <w:p w14:paraId="23FB20B0"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Total comprehensive income for the period</w:t>
            </w:r>
          </w:p>
        </w:tc>
        <w:tc>
          <w:tcPr>
            <w:tcW w:w="77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21D1D5" w14:textId="77777777" w:rsidR="0004342B" w:rsidRDefault="0004342B" w:rsidP="00691179">
            <w:pPr>
              <w:ind w:right="69"/>
              <w:jc w:val="right"/>
              <w:rPr>
                <w:rFonts w:asciiTheme="minorHAnsi" w:hAnsiTheme="minorHAnsi" w:cstheme="minorHAnsi"/>
                <w:b/>
                <w:color w:val="0070C0"/>
                <w:sz w:val="20"/>
                <w:szCs w:val="20"/>
              </w:rPr>
            </w:pPr>
          </w:p>
        </w:tc>
        <w:tc>
          <w:tcPr>
            <w:tcW w:w="1776"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07BC6AC" w14:textId="77777777" w:rsidR="0004342B" w:rsidRPr="00FA7FD9" w:rsidRDefault="0004342B" w:rsidP="00691179">
            <w:pPr>
              <w:ind w:right="69"/>
              <w:jc w:val="right"/>
              <w:rPr>
                <w:rFonts w:asciiTheme="minorHAnsi" w:hAnsiTheme="minorHAnsi" w:cstheme="minorHAnsi"/>
                <w:b/>
                <w:color w:val="0070C0"/>
                <w:sz w:val="20"/>
                <w:szCs w:val="20"/>
              </w:rPr>
            </w:pPr>
            <w:r>
              <w:rPr>
                <w:rFonts w:asciiTheme="minorHAnsi" w:hAnsiTheme="minorHAnsi" w:cstheme="minorHAnsi"/>
                <w:b/>
                <w:color w:val="0070C0"/>
                <w:sz w:val="20"/>
                <w:szCs w:val="20"/>
              </w:rPr>
              <w:t>6,195</w:t>
            </w:r>
          </w:p>
        </w:tc>
        <w:tc>
          <w:tcPr>
            <w:tcW w:w="1776" w:type="dxa"/>
            <w:tcBorders>
              <w:top w:val="single" w:sz="4" w:space="0" w:color="BFBFBF" w:themeColor="background1" w:themeShade="BF"/>
              <w:bottom w:val="single" w:sz="4" w:space="0" w:color="BFBFBF" w:themeColor="background1" w:themeShade="BF"/>
            </w:tcBorders>
          </w:tcPr>
          <w:p w14:paraId="37819CB6" w14:textId="77777777" w:rsidR="0004342B" w:rsidRPr="00CF1D25" w:rsidRDefault="0004342B" w:rsidP="00691179">
            <w:pPr>
              <w:jc w:val="right"/>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w:t>
            </w:r>
            <w:r w:rsidRPr="00CF1D25">
              <w:rPr>
                <w:rFonts w:asciiTheme="minorHAnsi" w:hAnsiTheme="minorHAnsi" w:cstheme="minorHAnsi"/>
                <w:b/>
                <w:color w:val="0070C0"/>
                <w:sz w:val="20"/>
                <w:szCs w:val="20"/>
              </w:rPr>
              <w:t>30,890</w:t>
            </w:r>
            <w:r w:rsidRPr="00CF1D25">
              <w:rPr>
                <w:rFonts w:asciiTheme="minorHAnsi" w:hAnsiTheme="minorHAnsi" w:cstheme="minorHAnsi"/>
                <w:b/>
                <w:color w:val="0070C0"/>
                <w:sz w:val="20"/>
                <w:szCs w:val="20"/>
                <w:lang w:val="en-GB"/>
              </w:rPr>
              <w:t>)</w:t>
            </w:r>
          </w:p>
        </w:tc>
      </w:tr>
      <w:tr w:rsidR="0004342B" w:rsidRPr="00A96D90" w14:paraId="7E3D7870" w14:textId="77777777" w:rsidTr="00042FAE">
        <w:trPr>
          <w:jc w:val="center"/>
        </w:trPr>
        <w:tc>
          <w:tcPr>
            <w:tcW w:w="4625" w:type="dxa"/>
            <w:tcBorders>
              <w:top w:val="single" w:sz="4" w:space="0" w:color="BFBFBF" w:themeColor="background1" w:themeShade="BF"/>
              <w:bottom w:val="nil"/>
            </w:tcBorders>
          </w:tcPr>
          <w:p w14:paraId="145CFE0D" w14:textId="77777777" w:rsidR="0004342B" w:rsidRPr="00CF1D25" w:rsidRDefault="0004342B" w:rsidP="00691179">
            <w:pPr>
              <w:rPr>
                <w:rFonts w:asciiTheme="minorHAnsi" w:hAnsiTheme="minorHAnsi" w:cstheme="minorHAnsi"/>
                <w:b/>
                <w:color w:val="0070C0"/>
                <w:sz w:val="20"/>
                <w:szCs w:val="20"/>
                <w:lang w:val="en-GB"/>
              </w:rPr>
            </w:pPr>
          </w:p>
        </w:tc>
        <w:tc>
          <w:tcPr>
            <w:tcW w:w="771" w:type="dxa"/>
            <w:tcBorders>
              <w:top w:val="single" w:sz="4" w:space="0" w:color="BFBFBF" w:themeColor="background1" w:themeShade="BF"/>
              <w:bottom w:val="nil"/>
            </w:tcBorders>
            <w:shd w:val="clear" w:color="auto" w:fill="F2F2F2" w:themeFill="background1" w:themeFillShade="F2"/>
          </w:tcPr>
          <w:p w14:paraId="4E8B0227" w14:textId="77777777" w:rsidR="0004342B" w:rsidRPr="00CF1D25" w:rsidRDefault="0004342B" w:rsidP="00691179">
            <w:pPr>
              <w:ind w:right="69"/>
              <w:jc w:val="right"/>
              <w:rPr>
                <w:rFonts w:asciiTheme="minorHAnsi" w:hAnsiTheme="minorHAnsi" w:cstheme="minorHAnsi"/>
                <w:color w:val="0070C0"/>
                <w:sz w:val="20"/>
                <w:szCs w:val="20"/>
                <w:lang w:val="en-GB"/>
              </w:rPr>
            </w:pPr>
          </w:p>
        </w:tc>
        <w:tc>
          <w:tcPr>
            <w:tcW w:w="1776" w:type="dxa"/>
            <w:tcBorders>
              <w:top w:val="single" w:sz="4" w:space="0" w:color="BFBFBF" w:themeColor="background1" w:themeShade="BF"/>
              <w:bottom w:val="nil"/>
            </w:tcBorders>
            <w:shd w:val="clear" w:color="auto" w:fill="F2F2F2" w:themeFill="background1" w:themeFillShade="F2"/>
          </w:tcPr>
          <w:p w14:paraId="45DE834F" w14:textId="77777777" w:rsidR="0004342B" w:rsidRPr="00CF1D25" w:rsidRDefault="0004342B" w:rsidP="00691179">
            <w:pPr>
              <w:ind w:right="69"/>
              <w:jc w:val="right"/>
              <w:rPr>
                <w:rFonts w:asciiTheme="minorHAnsi" w:hAnsiTheme="minorHAnsi" w:cstheme="minorHAnsi"/>
                <w:color w:val="0070C0"/>
                <w:sz w:val="20"/>
                <w:szCs w:val="20"/>
                <w:lang w:val="en-GB"/>
              </w:rPr>
            </w:pPr>
          </w:p>
        </w:tc>
        <w:tc>
          <w:tcPr>
            <w:tcW w:w="1776" w:type="dxa"/>
            <w:tcBorders>
              <w:top w:val="single" w:sz="4" w:space="0" w:color="BFBFBF" w:themeColor="background1" w:themeShade="BF"/>
              <w:bottom w:val="nil"/>
            </w:tcBorders>
          </w:tcPr>
          <w:p w14:paraId="0460522F" w14:textId="77777777" w:rsidR="0004342B" w:rsidRPr="00CF1D25" w:rsidRDefault="0004342B" w:rsidP="00691179">
            <w:pPr>
              <w:jc w:val="right"/>
              <w:rPr>
                <w:rFonts w:asciiTheme="minorHAnsi" w:hAnsiTheme="minorHAnsi" w:cstheme="minorHAnsi"/>
                <w:color w:val="0070C0"/>
                <w:sz w:val="20"/>
                <w:szCs w:val="20"/>
                <w:lang w:val="en-GB"/>
              </w:rPr>
            </w:pPr>
          </w:p>
        </w:tc>
      </w:tr>
      <w:tr w:rsidR="0004342B" w:rsidRPr="00A96D90" w14:paraId="3EDB0ADC" w14:textId="77777777" w:rsidTr="00042FAE">
        <w:trPr>
          <w:jc w:val="center"/>
        </w:trPr>
        <w:tc>
          <w:tcPr>
            <w:tcW w:w="4625" w:type="dxa"/>
            <w:tcBorders>
              <w:top w:val="nil"/>
              <w:bottom w:val="nil"/>
            </w:tcBorders>
          </w:tcPr>
          <w:p w14:paraId="174256B4"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771" w:type="dxa"/>
            <w:tcBorders>
              <w:top w:val="nil"/>
              <w:bottom w:val="nil"/>
            </w:tcBorders>
            <w:shd w:val="clear" w:color="auto" w:fill="F2F2F2" w:themeFill="background1" w:themeFillShade="F2"/>
          </w:tcPr>
          <w:p w14:paraId="6704EE29" w14:textId="77777777" w:rsidR="0004342B" w:rsidRPr="00A96D90" w:rsidRDefault="0004342B" w:rsidP="00691179">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776" w:type="dxa"/>
            <w:tcBorders>
              <w:top w:val="nil"/>
              <w:bottom w:val="nil"/>
            </w:tcBorders>
            <w:shd w:val="clear" w:color="auto" w:fill="F2F2F2" w:themeFill="background1" w:themeFillShade="F2"/>
          </w:tcPr>
          <w:p w14:paraId="433192A1" w14:textId="77777777" w:rsidR="0004342B" w:rsidRPr="00A96D90" w:rsidRDefault="0004342B" w:rsidP="00691179">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776" w:type="dxa"/>
            <w:tcBorders>
              <w:top w:val="nil"/>
              <w:bottom w:val="nil"/>
            </w:tcBorders>
          </w:tcPr>
          <w:p w14:paraId="5FD30E5E" w14:textId="77777777" w:rsidR="0004342B" w:rsidRPr="00A96D90" w:rsidRDefault="0004342B" w:rsidP="00691179">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r>
      <w:tr w:rsidR="0004342B" w:rsidRPr="00A96D90" w14:paraId="74001CED" w14:textId="77777777" w:rsidTr="00042FAE">
        <w:trPr>
          <w:jc w:val="center"/>
        </w:trPr>
        <w:tc>
          <w:tcPr>
            <w:tcW w:w="4625" w:type="dxa"/>
            <w:tcBorders>
              <w:top w:val="nil"/>
              <w:bottom w:val="single" w:sz="4" w:space="0" w:color="BFBFBF" w:themeColor="background1" w:themeShade="BF"/>
            </w:tcBorders>
          </w:tcPr>
          <w:p w14:paraId="743C642C"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771" w:type="dxa"/>
            <w:tcBorders>
              <w:top w:val="nil"/>
              <w:bottom w:val="single" w:sz="4" w:space="0" w:color="BFBFBF" w:themeColor="background1" w:themeShade="BF"/>
            </w:tcBorders>
            <w:shd w:val="clear" w:color="auto" w:fill="F2F2F2" w:themeFill="background1" w:themeFillShade="F2"/>
          </w:tcPr>
          <w:p w14:paraId="4BDBEC69" w14:textId="77777777" w:rsidR="0004342B" w:rsidRDefault="0004342B" w:rsidP="00691179">
            <w:pPr>
              <w:ind w:right="69"/>
              <w:jc w:val="right"/>
              <w:rPr>
                <w:rFonts w:asciiTheme="minorHAnsi" w:hAnsiTheme="minorHAnsi" w:cstheme="minorHAnsi"/>
                <w:color w:val="59595B"/>
                <w:sz w:val="20"/>
                <w:szCs w:val="20"/>
              </w:rPr>
            </w:pPr>
          </w:p>
        </w:tc>
        <w:tc>
          <w:tcPr>
            <w:tcW w:w="1776" w:type="dxa"/>
            <w:tcBorders>
              <w:top w:val="nil"/>
              <w:bottom w:val="single" w:sz="4" w:space="0" w:color="BFBFBF" w:themeColor="background1" w:themeShade="BF"/>
            </w:tcBorders>
            <w:shd w:val="clear" w:color="auto" w:fill="F2F2F2" w:themeFill="background1" w:themeFillShade="F2"/>
          </w:tcPr>
          <w:p w14:paraId="4F095EDF" w14:textId="77777777" w:rsidR="0004342B" w:rsidRPr="00FA7FD9" w:rsidRDefault="0004342B" w:rsidP="00691179">
            <w:pPr>
              <w:ind w:right="69"/>
              <w:jc w:val="right"/>
              <w:rPr>
                <w:rFonts w:asciiTheme="minorHAnsi" w:hAnsiTheme="minorHAnsi" w:cstheme="minorHAnsi"/>
                <w:color w:val="59595B"/>
                <w:sz w:val="20"/>
                <w:szCs w:val="20"/>
              </w:rPr>
            </w:pPr>
            <w:r>
              <w:rPr>
                <w:rFonts w:asciiTheme="minorHAnsi" w:hAnsiTheme="minorHAnsi" w:cstheme="minorHAnsi"/>
                <w:color w:val="59595B"/>
                <w:sz w:val="20"/>
                <w:szCs w:val="20"/>
              </w:rPr>
              <w:t>6,195</w:t>
            </w:r>
          </w:p>
        </w:tc>
        <w:tc>
          <w:tcPr>
            <w:tcW w:w="1776" w:type="dxa"/>
            <w:tcBorders>
              <w:top w:val="nil"/>
              <w:bottom w:val="single" w:sz="4" w:space="0" w:color="BFBFBF" w:themeColor="background1" w:themeShade="BF"/>
            </w:tcBorders>
          </w:tcPr>
          <w:p w14:paraId="35896BFA"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30,890</w:t>
            </w:r>
            <w:r w:rsidRPr="00A96D90">
              <w:rPr>
                <w:rFonts w:asciiTheme="minorHAnsi" w:hAnsiTheme="minorHAnsi" w:cstheme="minorHAnsi"/>
                <w:color w:val="59595B"/>
                <w:sz w:val="20"/>
                <w:szCs w:val="20"/>
                <w:lang w:val="en-GB"/>
              </w:rPr>
              <w:t>)</w:t>
            </w:r>
          </w:p>
        </w:tc>
      </w:tr>
    </w:tbl>
    <w:p w14:paraId="43629866" w14:textId="77777777" w:rsidR="0004342B" w:rsidRPr="00A96D90" w:rsidRDefault="0004342B" w:rsidP="0004342B">
      <w:pPr>
        <w:rPr>
          <w:rFonts w:ascii="Calibri" w:hAnsi="Calibri" w:cstheme="minorHAnsi"/>
          <w:szCs w:val="22"/>
          <w:lang w:val="en-GB"/>
        </w:rPr>
      </w:pPr>
    </w:p>
    <w:p w14:paraId="387D54E6" w14:textId="77777777" w:rsidR="0004342B" w:rsidRPr="00A96D90" w:rsidRDefault="0004342B" w:rsidP="0004342B">
      <w:pPr>
        <w:rPr>
          <w:rFonts w:ascii="Calibri" w:hAnsi="Calibri" w:cstheme="minorHAnsi"/>
          <w:szCs w:val="22"/>
          <w:lang w:val="en-GB"/>
        </w:rPr>
      </w:pPr>
    </w:p>
    <w:p w14:paraId="3B2EDF36" w14:textId="77777777" w:rsidR="0004342B" w:rsidRPr="00A96D90" w:rsidRDefault="0004342B" w:rsidP="0004342B">
      <w:pPr>
        <w:jc w:val="left"/>
        <w:rPr>
          <w:rFonts w:ascii="Calibri" w:hAnsi="Calibri" w:cstheme="minorHAnsi"/>
          <w:b/>
          <w:color w:val="276E8B" w:themeColor="accent1" w:themeShade="BF"/>
          <w:szCs w:val="22"/>
          <w:lang w:val="en-GB"/>
        </w:rPr>
      </w:pPr>
      <w:r w:rsidRPr="00A96D90">
        <w:rPr>
          <w:rFonts w:ascii="Calibri" w:hAnsi="Calibri" w:cstheme="minorHAnsi"/>
          <w:b/>
          <w:color w:val="276E8B" w:themeColor="accent1" w:themeShade="BF"/>
          <w:szCs w:val="22"/>
          <w:lang w:val="en-GB"/>
        </w:rPr>
        <w:br w:type="page"/>
      </w:r>
    </w:p>
    <w:p w14:paraId="1035E46D" w14:textId="77777777" w:rsidR="0004342B" w:rsidRPr="00A96D90" w:rsidRDefault="0004342B" w:rsidP="0004342B">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7E88D9D9" w14:textId="77777777" w:rsidR="0004342B" w:rsidRPr="00A96D90" w:rsidRDefault="0004342B" w:rsidP="0004342B">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631A5922" w14:textId="77777777" w:rsidR="0004342B" w:rsidRPr="00A96D90" w:rsidRDefault="0004342B" w:rsidP="0004342B">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96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0"/>
        <w:gridCol w:w="890"/>
        <w:gridCol w:w="1580"/>
        <w:gridCol w:w="1712"/>
      </w:tblGrid>
      <w:tr w:rsidR="0004342B" w:rsidRPr="00EB583B" w14:paraId="0AF0435F" w14:textId="77777777" w:rsidTr="00691179">
        <w:trPr>
          <w:jc w:val="center"/>
        </w:trPr>
        <w:tc>
          <w:tcPr>
            <w:tcW w:w="4780" w:type="dxa"/>
            <w:tcBorders>
              <w:bottom w:val="single" w:sz="4" w:space="0" w:color="BFBFBF" w:themeColor="background1" w:themeShade="BF"/>
            </w:tcBorders>
            <w:shd w:val="clear" w:color="auto" w:fill="0070C0"/>
          </w:tcPr>
          <w:p w14:paraId="04DA5E92" w14:textId="77777777" w:rsidR="0004342B" w:rsidRPr="00E12C03"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p w14:paraId="486ACC1F" w14:textId="77777777" w:rsidR="0004342B" w:rsidRPr="00EB583B"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890" w:type="dxa"/>
            <w:tcBorders>
              <w:bottom w:val="single" w:sz="4" w:space="0" w:color="BFBFBF" w:themeColor="background1" w:themeShade="BF"/>
            </w:tcBorders>
            <w:shd w:val="clear" w:color="auto" w:fill="0070C0"/>
          </w:tcPr>
          <w:p w14:paraId="4425AD3C"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16"/>
                <w:szCs w:val="20"/>
                <w:lang w:val="en-GB"/>
              </w:rPr>
            </w:pPr>
            <w:r w:rsidRPr="00E12C03">
              <w:rPr>
                <w:rFonts w:asciiTheme="minorHAnsi" w:hAnsiTheme="minorHAnsi" w:cs="Arial"/>
                <w:b/>
                <w:bCs/>
                <w:color w:val="FFFFFF" w:themeColor="background1"/>
                <w:sz w:val="16"/>
                <w:szCs w:val="20"/>
                <w:lang w:val="en-GB"/>
              </w:rPr>
              <w:t>Notes</w:t>
            </w:r>
          </w:p>
          <w:p w14:paraId="7473A6D1"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13D39FD5"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30 June</w:t>
            </w:r>
          </w:p>
          <w:p w14:paraId="38A76441"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8</w:t>
            </w:r>
          </w:p>
        </w:tc>
        <w:tc>
          <w:tcPr>
            <w:tcW w:w="1712" w:type="dxa"/>
            <w:tcBorders>
              <w:bottom w:val="single" w:sz="4" w:space="0" w:color="BFBFBF" w:themeColor="background1" w:themeShade="BF"/>
            </w:tcBorders>
            <w:shd w:val="clear" w:color="auto" w:fill="0070C0"/>
          </w:tcPr>
          <w:p w14:paraId="08BDDC19"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31 December</w:t>
            </w:r>
          </w:p>
          <w:p w14:paraId="76B14D52"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7</w:t>
            </w:r>
          </w:p>
        </w:tc>
      </w:tr>
      <w:tr w:rsidR="0004342B" w:rsidRPr="00A96D90" w14:paraId="5F9FD0AF" w14:textId="77777777" w:rsidTr="00691179">
        <w:trPr>
          <w:jc w:val="center"/>
        </w:trPr>
        <w:tc>
          <w:tcPr>
            <w:tcW w:w="4780" w:type="dxa"/>
            <w:tcBorders>
              <w:bottom w:val="nil"/>
            </w:tcBorders>
          </w:tcPr>
          <w:p w14:paraId="3E553B4D"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890" w:type="dxa"/>
            <w:tcBorders>
              <w:bottom w:val="nil"/>
            </w:tcBorders>
          </w:tcPr>
          <w:p w14:paraId="66D0BDC1"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710C8B92" w14:textId="77777777" w:rsidR="0004342B" w:rsidRPr="00636BCA"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095366EA"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05969C0D" w14:textId="77777777" w:rsidTr="00691179">
        <w:trPr>
          <w:jc w:val="center"/>
        </w:trPr>
        <w:tc>
          <w:tcPr>
            <w:tcW w:w="4780" w:type="dxa"/>
            <w:tcBorders>
              <w:top w:val="nil"/>
              <w:bottom w:val="nil"/>
            </w:tcBorders>
          </w:tcPr>
          <w:p w14:paraId="1115B3D3"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890" w:type="dxa"/>
            <w:tcBorders>
              <w:top w:val="nil"/>
              <w:bottom w:val="nil"/>
            </w:tcBorders>
          </w:tcPr>
          <w:p w14:paraId="08A06EDC"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0DC9B329"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55,843</w:t>
            </w:r>
          </w:p>
        </w:tc>
        <w:tc>
          <w:tcPr>
            <w:tcW w:w="1712" w:type="dxa"/>
            <w:tcBorders>
              <w:top w:val="nil"/>
              <w:bottom w:val="nil"/>
            </w:tcBorders>
          </w:tcPr>
          <w:p w14:paraId="0DEAD914"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56,6</w:t>
            </w:r>
            <w:r>
              <w:rPr>
                <w:rFonts w:asciiTheme="minorHAnsi" w:hAnsiTheme="minorHAnsi" w:cs="Arial"/>
                <w:bCs/>
                <w:color w:val="59595B"/>
                <w:sz w:val="20"/>
                <w:szCs w:val="20"/>
              </w:rPr>
              <w:t>31</w:t>
            </w:r>
          </w:p>
        </w:tc>
      </w:tr>
      <w:tr w:rsidR="0004342B" w:rsidRPr="00A96D90" w14:paraId="3ACBFB8D" w14:textId="77777777" w:rsidTr="00691179">
        <w:trPr>
          <w:jc w:val="center"/>
        </w:trPr>
        <w:tc>
          <w:tcPr>
            <w:tcW w:w="4780" w:type="dxa"/>
            <w:tcBorders>
              <w:top w:val="nil"/>
              <w:bottom w:val="nil"/>
            </w:tcBorders>
          </w:tcPr>
          <w:p w14:paraId="7DED52A5"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890" w:type="dxa"/>
            <w:tcBorders>
              <w:top w:val="nil"/>
              <w:bottom w:val="nil"/>
            </w:tcBorders>
          </w:tcPr>
          <w:p w14:paraId="14887F6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538D3943"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8,291</w:t>
            </w:r>
          </w:p>
        </w:tc>
        <w:tc>
          <w:tcPr>
            <w:tcW w:w="1712" w:type="dxa"/>
            <w:tcBorders>
              <w:top w:val="nil"/>
              <w:bottom w:val="nil"/>
            </w:tcBorders>
          </w:tcPr>
          <w:p w14:paraId="6BDA8FCF"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8,234</w:t>
            </w:r>
          </w:p>
        </w:tc>
      </w:tr>
      <w:tr w:rsidR="0004342B" w:rsidRPr="00A96D90" w14:paraId="7B0661CC" w14:textId="77777777" w:rsidTr="00691179">
        <w:trPr>
          <w:jc w:val="center"/>
        </w:trPr>
        <w:tc>
          <w:tcPr>
            <w:tcW w:w="4780" w:type="dxa"/>
            <w:tcBorders>
              <w:top w:val="nil"/>
              <w:bottom w:val="nil"/>
            </w:tcBorders>
          </w:tcPr>
          <w:p w14:paraId="3E7E13BC"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890" w:type="dxa"/>
            <w:tcBorders>
              <w:top w:val="nil"/>
              <w:bottom w:val="nil"/>
            </w:tcBorders>
          </w:tcPr>
          <w:p w14:paraId="05C7E007"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5FEA2004"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1,865</w:t>
            </w:r>
          </w:p>
        </w:tc>
        <w:tc>
          <w:tcPr>
            <w:tcW w:w="1712" w:type="dxa"/>
            <w:tcBorders>
              <w:top w:val="nil"/>
              <w:bottom w:val="nil"/>
            </w:tcBorders>
          </w:tcPr>
          <w:p w14:paraId="33DB317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Cs/>
                <w:color w:val="59595B"/>
                <w:sz w:val="20"/>
                <w:szCs w:val="20"/>
              </w:rPr>
              <w:t>2,296</w:t>
            </w:r>
          </w:p>
        </w:tc>
      </w:tr>
      <w:tr w:rsidR="0004342B" w:rsidRPr="00A96D90" w14:paraId="478658D1" w14:textId="77777777" w:rsidTr="00691179">
        <w:trPr>
          <w:jc w:val="center"/>
        </w:trPr>
        <w:tc>
          <w:tcPr>
            <w:tcW w:w="4780" w:type="dxa"/>
            <w:tcBorders>
              <w:top w:val="nil"/>
              <w:bottom w:val="nil"/>
            </w:tcBorders>
          </w:tcPr>
          <w:p w14:paraId="3EE2C3B3" w14:textId="77777777" w:rsidR="0004342B" w:rsidRPr="00571F24"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890" w:type="dxa"/>
            <w:tcBorders>
              <w:top w:val="nil"/>
              <w:bottom w:val="nil"/>
            </w:tcBorders>
          </w:tcPr>
          <w:p w14:paraId="1C7A75C8"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210545A3"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8,526</w:t>
            </w:r>
          </w:p>
        </w:tc>
        <w:tc>
          <w:tcPr>
            <w:tcW w:w="1712" w:type="dxa"/>
            <w:tcBorders>
              <w:top w:val="nil"/>
              <w:bottom w:val="nil"/>
            </w:tcBorders>
          </w:tcPr>
          <w:p w14:paraId="624D38BB" w14:textId="77777777" w:rsidR="0004342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9,442</w:t>
            </w:r>
          </w:p>
        </w:tc>
      </w:tr>
      <w:tr w:rsidR="0004342B" w:rsidRPr="00A96D90" w14:paraId="0C50410E" w14:textId="77777777" w:rsidTr="00691179">
        <w:trPr>
          <w:jc w:val="center"/>
        </w:trPr>
        <w:tc>
          <w:tcPr>
            <w:tcW w:w="4780" w:type="dxa"/>
            <w:tcBorders>
              <w:top w:val="nil"/>
              <w:bottom w:val="nil"/>
            </w:tcBorders>
          </w:tcPr>
          <w:p w14:paraId="080A1F93"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890" w:type="dxa"/>
            <w:tcBorders>
              <w:top w:val="nil"/>
              <w:bottom w:val="nil"/>
            </w:tcBorders>
          </w:tcPr>
          <w:p w14:paraId="0769EF1F"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06072BE4"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1,366</w:t>
            </w:r>
          </w:p>
        </w:tc>
        <w:tc>
          <w:tcPr>
            <w:tcW w:w="1712" w:type="dxa"/>
            <w:tcBorders>
              <w:top w:val="nil"/>
              <w:bottom w:val="nil"/>
            </w:tcBorders>
          </w:tcPr>
          <w:p w14:paraId="5C2B8312"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1,336</w:t>
            </w:r>
          </w:p>
        </w:tc>
      </w:tr>
      <w:tr w:rsidR="0004342B" w:rsidRPr="00A96D90" w14:paraId="36EBDAA6" w14:textId="77777777" w:rsidTr="00691179">
        <w:trPr>
          <w:jc w:val="center"/>
        </w:trPr>
        <w:tc>
          <w:tcPr>
            <w:tcW w:w="4780" w:type="dxa"/>
            <w:tcBorders>
              <w:top w:val="nil"/>
              <w:bottom w:val="nil"/>
            </w:tcBorders>
          </w:tcPr>
          <w:p w14:paraId="7DDC5EB2"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890" w:type="dxa"/>
            <w:tcBorders>
              <w:top w:val="nil"/>
              <w:bottom w:val="nil"/>
            </w:tcBorders>
          </w:tcPr>
          <w:p w14:paraId="0A29BDB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E60C4DD"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B9452E">
              <w:rPr>
                <w:rFonts w:asciiTheme="minorHAnsi" w:hAnsiTheme="minorHAnsi" w:cs="Arial"/>
                <w:b/>
                <w:bCs/>
                <w:color w:val="59595B"/>
                <w:sz w:val="20"/>
                <w:szCs w:val="20"/>
              </w:rPr>
              <w:t>75,891</w:t>
            </w:r>
          </w:p>
        </w:tc>
        <w:tc>
          <w:tcPr>
            <w:tcW w:w="1712" w:type="dxa"/>
            <w:tcBorders>
              <w:top w:val="nil"/>
              <w:bottom w:val="nil"/>
            </w:tcBorders>
          </w:tcPr>
          <w:p w14:paraId="616D3DE1"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77,939</w:t>
            </w:r>
          </w:p>
        </w:tc>
      </w:tr>
      <w:tr w:rsidR="0004342B" w:rsidRPr="00A96D90" w14:paraId="422C3BFA" w14:textId="77777777" w:rsidTr="00691179">
        <w:trPr>
          <w:jc w:val="center"/>
        </w:trPr>
        <w:tc>
          <w:tcPr>
            <w:tcW w:w="4780" w:type="dxa"/>
            <w:tcBorders>
              <w:top w:val="nil"/>
              <w:bottom w:val="nil"/>
            </w:tcBorders>
          </w:tcPr>
          <w:p w14:paraId="112FDA17"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73CE5847"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4E1D9746"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60413F74"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43261C2B" w14:textId="77777777" w:rsidTr="00691179">
        <w:trPr>
          <w:jc w:val="center"/>
        </w:trPr>
        <w:tc>
          <w:tcPr>
            <w:tcW w:w="4780" w:type="dxa"/>
            <w:tcBorders>
              <w:top w:val="nil"/>
              <w:bottom w:val="nil"/>
            </w:tcBorders>
          </w:tcPr>
          <w:p w14:paraId="3605C2C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890" w:type="dxa"/>
            <w:tcBorders>
              <w:top w:val="nil"/>
              <w:bottom w:val="nil"/>
            </w:tcBorders>
          </w:tcPr>
          <w:p w14:paraId="160F42A3"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r w:rsidRPr="00E12C03">
              <w:rPr>
                <w:rFonts w:asciiTheme="minorHAnsi" w:hAnsiTheme="minorHAnsi" w:cs="Arial"/>
                <w:bCs/>
                <w:color w:val="59595B"/>
                <w:sz w:val="16"/>
                <w:szCs w:val="20"/>
                <w:lang w:val="en-GB"/>
              </w:rPr>
              <w:t>9</w:t>
            </w:r>
          </w:p>
        </w:tc>
        <w:tc>
          <w:tcPr>
            <w:tcW w:w="1580" w:type="dxa"/>
            <w:tcBorders>
              <w:top w:val="nil"/>
              <w:bottom w:val="nil"/>
            </w:tcBorders>
            <w:shd w:val="clear" w:color="auto" w:fill="F2F2F2" w:themeFill="background1" w:themeFillShade="F2"/>
          </w:tcPr>
          <w:p w14:paraId="627C2CF9"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23,16</w:t>
            </w:r>
            <w:r>
              <w:rPr>
                <w:rFonts w:asciiTheme="minorHAnsi" w:hAnsiTheme="minorHAnsi" w:cs="Arial"/>
                <w:bCs/>
                <w:color w:val="59595B"/>
                <w:sz w:val="20"/>
                <w:szCs w:val="20"/>
              </w:rPr>
              <w:t>2</w:t>
            </w:r>
          </w:p>
        </w:tc>
        <w:tc>
          <w:tcPr>
            <w:tcW w:w="1712" w:type="dxa"/>
            <w:tcBorders>
              <w:top w:val="nil"/>
              <w:bottom w:val="nil"/>
            </w:tcBorders>
          </w:tcPr>
          <w:p w14:paraId="50D62A6B"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Pr>
                <w:rFonts w:asciiTheme="minorHAnsi" w:hAnsiTheme="minorHAnsi" w:cs="Arial"/>
                <w:bCs/>
                <w:color w:val="59595B"/>
                <w:sz w:val="20"/>
                <w:szCs w:val="20"/>
              </w:rPr>
              <w:t>8,334</w:t>
            </w:r>
          </w:p>
        </w:tc>
      </w:tr>
      <w:tr w:rsidR="0004342B" w:rsidRPr="00A96D90" w14:paraId="76CBCE29" w14:textId="77777777" w:rsidTr="00691179">
        <w:trPr>
          <w:jc w:val="center"/>
        </w:trPr>
        <w:tc>
          <w:tcPr>
            <w:tcW w:w="4780" w:type="dxa"/>
            <w:tcBorders>
              <w:top w:val="nil"/>
              <w:bottom w:val="nil"/>
            </w:tcBorders>
          </w:tcPr>
          <w:p w14:paraId="28137A89"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890" w:type="dxa"/>
            <w:tcBorders>
              <w:top w:val="nil"/>
              <w:bottom w:val="nil"/>
            </w:tcBorders>
          </w:tcPr>
          <w:p w14:paraId="0E50963D"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44A06C0A"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16,775</w:t>
            </w:r>
          </w:p>
        </w:tc>
        <w:tc>
          <w:tcPr>
            <w:tcW w:w="1712" w:type="dxa"/>
            <w:tcBorders>
              <w:top w:val="nil"/>
              <w:bottom w:val="nil"/>
            </w:tcBorders>
          </w:tcPr>
          <w:p w14:paraId="595D9938"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Pr>
                <w:rFonts w:asciiTheme="minorHAnsi" w:hAnsiTheme="minorHAnsi" w:cs="Arial"/>
                <w:bCs/>
                <w:color w:val="59595B"/>
                <w:sz w:val="20"/>
                <w:szCs w:val="20"/>
              </w:rPr>
              <w:t>1,260</w:t>
            </w:r>
          </w:p>
        </w:tc>
      </w:tr>
      <w:tr w:rsidR="0004342B" w:rsidRPr="00A96D90" w14:paraId="109FC8FE" w14:textId="77777777" w:rsidTr="00691179">
        <w:trPr>
          <w:jc w:val="center"/>
        </w:trPr>
        <w:tc>
          <w:tcPr>
            <w:tcW w:w="4780" w:type="dxa"/>
            <w:tcBorders>
              <w:top w:val="nil"/>
              <w:bottom w:val="nil"/>
            </w:tcBorders>
          </w:tcPr>
          <w:p w14:paraId="03B0EC6A"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890" w:type="dxa"/>
            <w:tcBorders>
              <w:top w:val="nil"/>
              <w:bottom w:val="nil"/>
            </w:tcBorders>
          </w:tcPr>
          <w:p w14:paraId="356A592D"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4BEBF5CE"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65,53</w:t>
            </w:r>
            <w:r>
              <w:rPr>
                <w:rFonts w:asciiTheme="minorHAnsi" w:hAnsiTheme="minorHAnsi" w:cs="Arial"/>
                <w:bCs/>
                <w:color w:val="59595B"/>
                <w:sz w:val="20"/>
                <w:szCs w:val="20"/>
              </w:rPr>
              <w:t>9</w:t>
            </w:r>
          </w:p>
        </w:tc>
        <w:tc>
          <w:tcPr>
            <w:tcW w:w="1712" w:type="dxa"/>
            <w:tcBorders>
              <w:top w:val="nil"/>
              <w:bottom w:val="nil"/>
            </w:tcBorders>
          </w:tcPr>
          <w:p w14:paraId="3641AD3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58,657</w:t>
            </w:r>
          </w:p>
        </w:tc>
      </w:tr>
      <w:tr w:rsidR="0004342B" w:rsidRPr="00A96D90" w14:paraId="62872080" w14:textId="77777777" w:rsidTr="00691179">
        <w:trPr>
          <w:jc w:val="center"/>
        </w:trPr>
        <w:tc>
          <w:tcPr>
            <w:tcW w:w="4780" w:type="dxa"/>
            <w:tcBorders>
              <w:top w:val="nil"/>
              <w:bottom w:val="nil"/>
            </w:tcBorders>
          </w:tcPr>
          <w:p w14:paraId="5CEE64DB"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890" w:type="dxa"/>
            <w:tcBorders>
              <w:top w:val="nil"/>
              <w:bottom w:val="nil"/>
            </w:tcBorders>
          </w:tcPr>
          <w:p w14:paraId="40A00252"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16"/>
                <w:szCs w:val="20"/>
                <w:lang w:val="en-GB"/>
              </w:rPr>
            </w:pPr>
          </w:p>
        </w:tc>
        <w:tc>
          <w:tcPr>
            <w:tcW w:w="1580" w:type="dxa"/>
            <w:tcBorders>
              <w:top w:val="nil"/>
              <w:bottom w:val="nil"/>
            </w:tcBorders>
            <w:shd w:val="clear" w:color="auto" w:fill="F2F2F2" w:themeFill="background1" w:themeFillShade="F2"/>
          </w:tcPr>
          <w:p w14:paraId="5585D8AF"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B9452E">
              <w:rPr>
                <w:rFonts w:asciiTheme="minorHAnsi" w:hAnsiTheme="minorHAnsi" w:cs="Arial"/>
                <w:b/>
                <w:bCs/>
                <w:color w:val="59595B"/>
                <w:sz w:val="20"/>
                <w:szCs w:val="20"/>
              </w:rPr>
              <w:t>105,476</w:t>
            </w:r>
          </w:p>
        </w:tc>
        <w:tc>
          <w:tcPr>
            <w:tcW w:w="1712" w:type="dxa"/>
            <w:tcBorders>
              <w:top w:val="nil"/>
              <w:bottom w:val="nil"/>
            </w:tcBorders>
          </w:tcPr>
          <w:p w14:paraId="0AD683B3"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88,251</w:t>
            </w:r>
          </w:p>
        </w:tc>
      </w:tr>
      <w:tr w:rsidR="0004342B" w:rsidRPr="00A96D90" w14:paraId="5B0BDF94" w14:textId="77777777" w:rsidTr="00691179">
        <w:trPr>
          <w:jc w:val="center"/>
        </w:trPr>
        <w:tc>
          <w:tcPr>
            <w:tcW w:w="4780" w:type="dxa"/>
            <w:tcBorders>
              <w:top w:val="nil"/>
              <w:bottom w:val="single" w:sz="4" w:space="0" w:color="BFBFBF" w:themeColor="background1" w:themeShade="BF"/>
            </w:tcBorders>
          </w:tcPr>
          <w:p w14:paraId="74F6AA5C"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single" w:sz="4" w:space="0" w:color="BFBFBF" w:themeColor="background1" w:themeShade="BF"/>
            </w:tcBorders>
          </w:tcPr>
          <w:p w14:paraId="35F27FC9"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331D1F4E"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7F46D2A4"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81B8E" w14:paraId="10EB1812" w14:textId="77777777" w:rsidTr="00691179">
        <w:trPr>
          <w:jc w:val="center"/>
        </w:trPr>
        <w:tc>
          <w:tcPr>
            <w:tcW w:w="4780" w:type="dxa"/>
            <w:tcBorders>
              <w:top w:val="single" w:sz="4" w:space="0" w:color="BFBFBF" w:themeColor="background1" w:themeShade="BF"/>
              <w:bottom w:val="single" w:sz="4" w:space="0" w:color="BFBFBF" w:themeColor="background1" w:themeShade="BF"/>
            </w:tcBorders>
          </w:tcPr>
          <w:p w14:paraId="718D104C"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890" w:type="dxa"/>
            <w:tcBorders>
              <w:top w:val="single" w:sz="4" w:space="0" w:color="BFBFBF" w:themeColor="background1" w:themeShade="BF"/>
              <w:bottom w:val="single" w:sz="4" w:space="0" w:color="BFBFBF" w:themeColor="background1" w:themeShade="BF"/>
            </w:tcBorders>
          </w:tcPr>
          <w:p w14:paraId="4BB72427"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16"/>
                <w:szCs w:val="20"/>
                <w:lang w:val="en-GB"/>
              </w:rPr>
            </w:pP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BF2BF6A"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sidRPr="00B9452E">
              <w:rPr>
                <w:rFonts w:asciiTheme="minorHAnsi" w:hAnsiTheme="minorHAnsi" w:cs="Arial"/>
                <w:b/>
                <w:bCs/>
                <w:color w:val="0070C0"/>
                <w:sz w:val="20"/>
                <w:szCs w:val="20"/>
              </w:rPr>
              <w:t>181,367</w:t>
            </w:r>
          </w:p>
        </w:tc>
        <w:tc>
          <w:tcPr>
            <w:tcW w:w="1712" w:type="dxa"/>
            <w:tcBorders>
              <w:top w:val="single" w:sz="4" w:space="0" w:color="BFBFBF" w:themeColor="background1" w:themeShade="BF"/>
              <w:bottom w:val="single" w:sz="4" w:space="0" w:color="BFBFBF" w:themeColor="background1" w:themeShade="BF"/>
            </w:tcBorders>
          </w:tcPr>
          <w:p w14:paraId="3AA617C8" w14:textId="77777777" w:rsidR="0004342B" w:rsidRPr="00A81B8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1</w:t>
            </w:r>
            <w:r>
              <w:rPr>
                <w:rFonts w:asciiTheme="minorHAnsi" w:hAnsiTheme="minorHAnsi" w:cs="Arial"/>
                <w:b/>
                <w:bCs/>
                <w:color w:val="0070C0"/>
                <w:sz w:val="20"/>
                <w:szCs w:val="20"/>
              </w:rPr>
              <w:t>6</w:t>
            </w:r>
            <w:r w:rsidRPr="00A81B8E">
              <w:rPr>
                <w:rFonts w:asciiTheme="minorHAnsi" w:hAnsiTheme="minorHAnsi" w:cs="Arial"/>
                <w:b/>
                <w:bCs/>
                <w:color w:val="0070C0"/>
                <w:sz w:val="20"/>
                <w:szCs w:val="20"/>
                <w:lang w:val="en-GB"/>
              </w:rPr>
              <w:t>6</w:t>
            </w:r>
            <w:r>
              <w:rPr>
                <w:rFonts w:asciiTheme="minorHAnsi" w:hAnsiTheme="minorHAnsi" w:cs="Arial"/>
                <w:b/>
                <w:bCs/>
                <w:color w:val="0070C0"/>
                <w:sz w:val="20"/>
                <w:szCs w:val="20"/>
              </w:rPr>
              <w:t>,190</w:t>
            </w:r>
          </w:p>
        </w:tc>
      </w:tr>
      <w:tr w:rsidR="0004342B" w:rsidRPr="00A96D90" w14:paraId="05975815" w14:textId="77777777" w:rsidTr="00691179">
        <w:trPr>
          <w:jc w:val="center"/>
        </w:trPr>
        <w:tc>
          <w:tcPr>
            <w:tcW w:w="4780" w:type="dxa"/>
            <w:tcBorders>
              <w:bottom w:val="nil"/>
            </w:tcBorders>
          </w:tcPr>
          <w:p w14:paraId="260717CC"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bottom w:val="nil"/>
            </w:tcBorders>
          </w:tcPr>
          <w:p w14:paraId="7928BBDB"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bottom w:val="nil"/>
            </w:tcBorders>
            <w:shd w:val="clear" w:color="auto" w:fill="F2F2F2" w:themeFill="background1" w:themeFillShade="F2"/>
          </w:tcPr>
          <w:p w14:paraId="2ABBBD17" w14:textId="77777777" w:rsidR="0004342B" w:rsidRPr="00636BCA"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7F51F0FF"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0DBE4038" w14:textId="77777777" w:rsidTr="00691179">
        <w:trPr>
          <w:jc w:val="center"/>
        </w:trPr>
        <w:tc>
          <w:tcPr>
            <w:tcW w:w="4780" w:type="dxa"/>
            <w:tcBorders>
              <w:top w:val="nil"/>
              <w:bottom w:val="nil"/>
            </w:tcBorders>
          </w:tcPr>
          <w:p w14:paraId="1A1AD168"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890" w:type="dxa"/>
            <w:tcBorders>
              <w:top w:val="nil"/>
              <w:bottom w:val="nil"/>
            </w:tcBorders>
          </w:tcPr>
          <w:p w14:paraId="11E049F7"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648251A2"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6,104</w:t>
            </w:r>
          </w:p>
        </w:tc>
        <w:tc>
          <w:tcPr>
            <w:tcW w:w="1712" w:type="dxa"/>
            <w:tcBorders>
              <w:top w:val="nil"/>
              <w:bottom w:val="nil"/>
            </w:tcBorders>
          </w:tcPr>
          <w:p w14:paraId="7682A9EF"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5,790</w:t>
            </w:r>
          </w:p>
        </w:tc>
      </w:tr>
      <w:tr w:rsidR="0004342B" w:rsidRPr="00A96D90" w14:paraId="42D78021" w14:textId="77777777" w:rsidTr="00691179">
        <w:trPr>
          <w:jc w:val="center"/>
        </w:trPr>
        <w:tc>
          <w:tcPr>
            <w:tcW w:w="4780" w:type="dxa"/>
            <w:tcBorders>
              <w:top w:val="nil"/>
              <w:bottom w:val="nil"/>
            </w:tcBorders>
          </w:tcPr>
          <w:p w14:paraId="56B26AB3"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890" w:type="dxa"/>
            <w:tcBorders>
              <w:top w:val="nil"/>
              <w:bottom w:val="nil"/>
            </w:tcBorders>
          </w:tcPr>
          <w:p w14:paraId="15B44460"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3FAFC734"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38</w:t>
            </w:r>
            <w:r>
              <w:rPr>
                <w:rFonts w:asciiTheme="minorHAnsi" w:hAnsiTheme="minorHAnsi" w:cs="Arial"/>
                <w:bCs/>
                <w:color w:val="59595B"/>
                <w:sz w:val="20"/>
                <w:szCs w:val="20"/>
              </w:rPr>
              <w:t>7</w:t>
            </w:r>
            <w:r w:rsidRPr="00757B1C">
              <w:rPr>
                <w:rFonts w:asciiTheme="minorHAnsi" w:hAnsiTheme="minorHAnsi" w:cs="Arial"/>
                <w:bCs/>
                <w:color w:val="59595B"/>
                <w:sz w:val="20"/>
                <w:szCs w:val="20"/>
              </w:rPr>
              <w:t>,</w:t>
            </w:r>
            <w:r>
              <w:rPr>
                <w:rFonts w:asciiTheme="minorHAnsi" w:hAnsiTheme="minorHAnsi" w:cs="Arial"/>
                <w:bCs/>
                <w:color w:val="59595B"/>
                <w:sz w:val="20"/>
                <w:szCs w:val="20"/>
              </w:rPr>
              <w:t>760</w:t>
            </w:r>
          </w:p>
        </w:tc>
        <w:tc>
          <w:tcPr>
            <w:tcW w:w="1712" w:type="dxa"/>
            <w:tcBorders>
              <w:top w:val="nil"/>
              <w:bottom w:val="nil"/>
            </w:tcBorders>
          </w:tcPr>
          <w:p w14:paraId="5579F5CC"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3</w:t>
            </w:r>
            <w:r>
              <w:rPr>
                <w:rFonts w:asciiTheme="minorHAnsi" w:hAnsiTheme="minorHAnsi" w:cs="Arial"/>
                <w:bCs/>
                <w:color w:val="59595B"/>
                <w:sz w:val="20"/>
                <w:szCs w:val="20"/>
              </w:rPr>
              <w:t>70,220</w:t>
            </w:r>
          </w:p>
        </w:tc>
      </w:tr>
      <w:tr w:rsidR="0004342B" w:rsidRPr="00A96D90" w14:paraId="193B2E19" w14:textId="77777777" w:rsidTr="00691179">
        <w:trPr>
          <w:jc w:val="center"/>
        </w:trPr>
        <w:tc>
          <w:tcPr>
            <w:tcW w:w="4780" w:type="dxa"/>
            <w:tcBorders>
              <w:top w:val="nil"/>
              <w:bottom w:val="nil"/>
            </w:tcBorders>
          </w:tcPr>
          <w:p w14:paraId="605B56D7"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890" w:type="dxa"/>
            <w:tcBorders>
              <w:top w:val="nil"/>
              <w:bottom w:val="nil"/>
            </w:tcBorders>
          </w:tcPr>
          <w:p w14:paraId="2B1F62AE"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6E196840"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w:t>
            </w:r>
            <w:r>
              <w:rPr>
                <w:rFonts w:asciiTheme="minorHAnsi" w:hAnsiTheme="minorHAnsi" w:cs="Arial"/>
                <w:bCs/>
                <w:color w:val="59595B"/>
                <w:sz w:val="20"/>
                <w:szCs w:val="20"/>
              </w:rPr>
              <w:t>1,098</w:t>
            </w:r>
            <w:r w:rsidRPr="00757B1C">
              <w:rPr>
                <w:rFonts w:asciiTheme="minorHAnsi" w:hAnsiTheme="minorHAnsi" w:cs="Arial"/>
                <w:bCs/>
                <w:color w:val="59595B"/>
                <w:sz w:val="20"/>
                <w:szCs w:val="20"/>
              </w:rPr>
              <w:t>)</w:t>
            </w:r>
          </w:p>
        </w:tc>
        <w:tc>
          <w:tcPr>
            <w:tcW w:w="1712" w:type="dxa"/>
            <w:tcBorders>
              <w:top w:val="nil"/>
              <w:bottom w:val="nil"/>
            </w:tcBorders>
          </w:tcPr>
          <w:p w14:paraId="5FC1648C" w14:textId="77777777" w:rsidR="0004342B" w:rsidRPr="00571F24"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(938)</w:t>
            </w:r>
          </w:p>
        </w:tc>
      </w:tr>
      <w:tr w:rsidR="0004342B" w:rsidRPr="00A96D90" w14:paraId="2470E7FC" w14:textId="77777777" w:rsidTr="00691179">
        <w:trPr>
          <w:jc w:val="center"/>
        </w:trPr>
        <w:tc>
          <w:tcPr>
            <w:tcW w:w="4780" w:type="dxa"/>
            <w:tcBorders>
              <w:top w:val="nil"/>
              <w:bottom w:val="nil"/>
            </w:tcBorders>
          </w:tcPr>
          <w:p w14:paraId="0E642364"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890" w:type="dxa"/>
            <w:tcBorders>
              <w:top w:val="nil"/>
              <w:bottom w:val="nil"/>
            </w:tcBorders>
          </w:tcPr>
          <w:p w14:paraId="32AE708C"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69206DB1"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(3</w:t>
            </w:r>
            <w:r>
              <w:rPr>
                <w:rFonts w:asciiTheme="minorHAnsi" w:hAnsiTheme="minorHAnsi" w:cs="Arial"/>
                <w:bCs/>
                <w:color w:val="59595B"/>
                <w:sz w:val="20"/>
                <w:szCs w:val="20"/>
              </w:rPr>
              <w:t>52,101</w:t>
            </w:r>
            <w:r w:rsidRPr="00757B1C">
              <w:rPr>
                <w:rFonts w:asciiTheme="minorHAnsi" w:hAnsiTheme="minorHAnsi" w:cs="Arial"/>
                <w:bCs/>
                <w:color w:val="59595B"/>
                <w:sz w:val="20"/>
                <w:szCs w:val="20"/>
              </w:rPr>
              <w:t>)</w:t>
            </w:r>
          </w:p>
        </w:tc>
        <w:tc>
          <w:tcPr>
            <w:tcW w:w="1712" w:type="dxa"/>
            <w:tcBorders>
              <w:top w:val="nil"/>
              <w:bottom w:val="nil"/>
            </w:tcBorders>
          </w:tcPr>
          <w:p w14:paraId="1C1D2068"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w:t>
            </w:r>
            <w:r>
              <w:rPr>
                <w:rFonts w:asciiTheme="minorHAnsi" w:hAnsiTheme="minorHAnsi" w:cs="Arial"/>
                <w:bCs/>
                <w:color w:val="59595B"/>
                <w:sz w:val="20"/>
                <w:szCs w:val="20"/>
              </w:rPr>
              <w:t>356,270</w:t>
            </w:r>
            <w:r w:rsidRPr="00A96D90">
              <w:rPr>
                <w:rFonts w:asciiTheme="minorHAnsi" w:hAnsiTheme="minorHAnsi" w:cs="Arial"/>
                <w:bCs/>
                <w:color w:val="59595B"/>
                <w:sz w:val="20"/>
                <w:szCs w:val="20"/>
                <w:lang w:val="en-GB"/>
              </w:rPr>
              <w:t>)</w:t>
            </w:r>
          </w:p>
        </w:tc>
      </w:tr>
      <w:tr w:rsidR="0004342B" w:rsidRPr="00A96D90" w14:paraId="0341EDB3" w14:textId="77777777" w:rsidTr="00691179">
        <w:trPr>
          <w:jc w:val="center"/>
        </w:trPr>
        <w:tc>
          <w:tcPr>
            <w:tcW w:w="4780" w:type="dxa"/>
            <w:tcBorders>
              <w:top w:val="nil"/>
              <w:bottom w:val="nil"/>
            </w:tcBorders>
          </w:tcPr>
          <w:p w14:paraId="1A807CD9"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890" w:type="dxa"/>
            <w:tcBorders>
              <w:top w:val="nil"/>
              <w:bottom w:val="nil"/>
            </w:tcBorders>
          </w:tcPr>
          <w:p w14:paraId="4E42638D"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r w:rsidRPr="00E12C03">
              <w:rPr>
                <w:rFonts w:asciiTheme="minorHAnsi" w:hAnsiTheme="minorHAnsi" w:cs="Arial"/>
                <w:bCs/>
                <w:color w:val="59595B"/>
                <w:sz w:val="16"/>
                <w:szCs w:val="20"/>
                <w:lang w:val="en-GB"/>
              </w:rPr>
              <w:t>10</w:t>
            </w:r>
          </w:p>
        </w:tc>
        <w:tc>
          <w:tcPr>
            <w:tcW w:w="1580" w:type="dxa"/>
            <w:tcBorders>
              <w:top w:val="nil"/>
              <w:bottom w:val="nil"/>
            </w:tcBorders>
            <w:shd w:val="clear" w:color="auto" w:fill="F2F2F2" w:themeFill="background1" w:themeFillShade="F2"/>
          </w:tcPr>
          <w:p w14:paraId="63F20671"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757B1C">
              <w:rPr>
                <w:rFonts w:asciiTheme="minorHAnsi" w:hAnsiTheme="minorHAnsi" w:cs="Arial"/>
                <w:b/>
                <w:bCs/>
                <w:color w:val="59595B"/>
                <w:sz w:val="20"/>
                <w:szCs w:val="20"/>
              </w:rPr>
              <w:t>40,665</w:t>
            </w:r>
          </w:p>
        </w:tc>
        <w:tc>
          <w:tcPr>
            <w:tcW w:w="1712" w:type="dxa"/>
            <w:tcBorders>
              <w:top w:val="nil"/>
              <w:bottom w:val="nil"/>
            </w:tcBorders>
          </w:tcPr>
          <w:p w14:paraId="56EDFE4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szCs w:val="20"/>
              </w:rPr>
              <w:t>18,802</w:t>
            </w:r>
          </w:p>
        </w:tc>
      </w:tr>
      <w:tr w:rsidR="0004342B" w:rsidRPr="00A96D90" w14:paraId="4D94B03C" w14:textId="77777777" w:rsidTr="00691179">
        <w:trPr>
          <w:jc w:val="center"/>
        </w:trPr>
        <w:tc>
          <w:tcPr>
            <w:tcW w:w="4780" w:type="dxa"/>
            <w:tcBorders>
              <w:top w:val="nil"/>
              <w:bottom w:val="nil"/>
            </w:tcBorders>
          </w:tcPr>
          <w:p w14:paraId="1348AD11"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66243221"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15A3FB60"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4EEF4E1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49C7C01B" w14:textId="77777777" w:rsidTr="00691179">
        <w:trPr>
          <w:jc w:val="center"/>
        </w:trPr>
        <w:tc>
          <w:tcPr>
            <w:tcW w:w="4780" w:type="dxa"/>
            <w:tcBorders>
              <w:top w:val="nil"/>
              <w:bottom w:val="nil"/>
            </w:tcBorders>
          </w:tcPr>
          <w:p w14:paraId="5C39D7BE"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890" w:type="dxa"/>
            <w:tcBorders>
              <w:top w:val="nil"/>
              <w:bottom w:val="nil"/>
            </w:tcBorders>
          </w:tcPr>
          <w:p w14:paraId="32168E15"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r w:rsidRPr="00E12C03">
              <w:rPr>
                <w:rFonts w:asciiTheme="minorHAnsi" w:hAnsiTheme="minorHAnsi" w:cs="Arial"/>
                <w:bCs/>
                <w:color w:val="59595B"/>
                <w:sz w:val="16"/>
                <w:szCs w:val="20"/>
                <w:lang w:val="en-GB"/>
              </w:rPr>
              <w:t>11</w:t>
            </w:r>
          </w:p>
        </w:tc>
        <w:tc>
          <w:tcPr>
            <w:tcW w:w="1580" w:type="dxa"/>
            <w:tcBorders>
              <w:top w:val="nil"/>
              <w:bottom w:val="nil"/>
            </w:tcBorders>
            <w:shd w:val="clear" w:color="auto" w:fill="F2F2F2" w:themeFill="background1" w:themeFillShade="F2"/>
          </w:tcPr>
          <w:p w14:paraId="26559159"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47,860</w:t>
            </w:r>
          </w:p>
        </w:tc>
        <w:tc>
          <w:tcPr>
            <w:tcW w:w="1712" w:type="dxa"/>
            <w:tcBorders>
              <w:top w:val="nil"/>
              <w:bottom w:val="nil"/>
            </w:tcBorders>
          </w:tcPr>
          <w:p w14:paraId="3BB5D561"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58,684</w:t>
            </w:r>
          </w:p>
        </w:tc>
      </w:tr>
      <w:tr w:rsidR="0004342B" w:rsidRPr="00A96D90" w14:paraId="3BB7517B" w14:textId="77777777" w:rsidTr="00691179">
        <w:trPr>
          <w:jc w:val="center"/>
        </w:trPr>
        <w:tc>
          <w:tcPr>
            <w:tcW w:w="4780" w:type="dxa"/>
            <w:tcBorders>
              <w:top w:val="nil"/>
              <w:bottom w:val="nil"/>
            </w:tcBorders>
          </w:tcPr>
          <w:p w14:paraId="0F21ABCC"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890" w:type="dxa"/>
            <w:tcBorders>
              <w:top w:val="nil"/>
              <w:bottom w:val="nil"/>
            </w:tcBorders>
          </w:tcPr>
          <w:p w14:paraId="19C85860"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35F3153F"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1,067</w:t>
            </w:r>
          </w:p>
        </w:tc>
        <w:tc>
          <w:tcPr>
            <w:tcW w:w="1712" w:type="dxa"/>
            <w:tcBorders>
              <w:top w:val="nil"/>
              <w:bottom w:val="nil"/>
            </w:tcBorders>
          </w:tcPr>
          <w:p w14:paraId="4982D878"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1,467</w:t>
            </w:r>
          </w:p>
        </w:tc>
      </w:tr>
      <w:tr w:rsidR="0004342B" w:rsidRPr="00A96D90" w14:paraId="5C62BE02" w14:textId="77777777" w:rsidTr="00691179">
        <w:trPr>
          <w:jc w:val="center"/>
        </w:trPr>
        <w:tc>
          <w:tcPr>
            <w:tcW w:w="4780" w:type="dxa"/>
            <w:tcBorders>
              <w:top w:val="nil"/>
              <w:bottom w:val="nil"/>
            </w:tcBorders>
          </w:tcPr>
          <w:p w14:paraId="02BDA604"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890" w:type="dxa"/>
            <w:tcBorders>
              <w:top w:val="nil"/>
              <w:bottom w:val="nil"/>
            </w:tcBorders>
          </w:tcPr>
          <w:p w14:paraId="4096A21F"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6DD661B8"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247</w:t>
            </w:r>
          </w:p>
        </w:tc>
        <w:tc>
          <w:tcPr>
            <w:tcW w:w="1712" w:type="dxa"/>
            <w:tcBorders>
              <w:top w:val="nil"/>
              <w:bottom w:val="nil"/>
            </w:tcBorders>
          </w:tcPr>
          <w:p w14:paraId="546FB43F"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390</w:t>
            </w:r>
          </w:p>
        </w:tc>
      </w:tr>
      <w:tr w:rsidR="0004342B" w:rsidRPr="00A96D90" w14:paraId="0AF1A01E" w14:textId="77777777" w:rsidTr="00691179">
        <w:trPr>
          <w:jc w:val="center"/>
        </w:trPr>
        <w:tc>
          <w:tcPr>
            <w:tcW w:w="4780" w:type="dxa"/>
            <w:tcBorders>
              <w:top w:val="nil"/>
              <w:bottom w:val="nil"/>
            </w:tcBorders>
          </w:tcPr>
          <w:p w14:paraId="53204CDC"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890" w:type="dxa"/>
            <w:tcBorders>
              <w:top w:val="nil"/>
              <w:bottom w:val="nil"/>
            </w:tcBorders>
          </w:tcPr>
          <w:p w14:paraId="1931709C"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18B9DE9A"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sidRPr="00757B1C">
              <w:rPr>
                <w:rFonts w:asciiTheme="minorHAnsi" w:hAnsiTheme="minorHAnsi" w:cs="Arial"/>
                <w:bCs/>
                <w:color w:val="59595B"/>
                <w:sz w:val="20"/>
              </w:rPr>
              <w:t>27,155</w:t>
            </w:r>
          </w:p>
        </w:tc>
        <w:tc>
          <w:tcPr>
            <w:tcW w:w="1712" w:type="dxa"/>
            <w:tcBorders>
              <w:top w:val="nil"/>
              <w:bottom w:val="nil"/>
            </w:tcBorders>
          </w:tcPr>
          <w:p w14:paraId="2D9D69D3"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Pr>
                <w:rFonts w:asciiTheme="minorHAnsi" w:hAnsiTheme="minorHAnsi" w:cs="Arial"/>
                <w:bCs/>
                <w:color w:val="59595B"/>
                <w:sz w:val="20"/>
              </w:rPr>
              <w:t>28,319</w:t>
            </w:r>
          </w:p>
        </w:tc>
      </w:tr>
      <w:tr w:rsidR="0004342B" w:rsidRPr="00A96D90" w14:paraId="5E527087" w14:textId="77777777" w:rsidTr="00691179">
        <w:trPr>
          <w:jc w:val="center"/>
        </w:trPr>
        <w:tc>
          <w:tcPr>
            <w:tcW w:w="4780" w:type="dxa"/>
            <w:tcBorders>
              <w:top w:val="nil"/>
              <w:bottom w:val="nil"/>
            </w:tcBorders>
          </w:tcPr>
          <w:p w14:paraId="729857EB"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890" w:type="dxa"/>
            <w:tcBorders>
              <w:top w:val="nil"/>
              <w:bottom w:val="nil"/>
            </w:tcBorders>
          </w:tcPr>
          <w:p w14:paraId="5971B4FA"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16"/>
                <w:szCs w:val="20"/>
                <w:lang w:val="en-GB"/>
              </w:rPr>
            </w:pPr>
          </w:p>
        </w:tc>
        <w:tc>
          <w:tcPr>
            <w:tcW w:w="1580" w:type="dxa"/>
            <w:tcBorders>
              <w:top w:val="nil"/>
              <w:bottom w:val="nil"/>
            </w:tcBorders>
            <w:shd w:val="clear" w:color="auto" w:fill="F2F2F2" w:themeFill="background1" w:themeFillShade="F2"/>
          </w:tcPr>
          <w:p w14:paraId="7A38B628"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757B1C">
              <w:rPr>
                <w:rFonts w:asciiTheme="minorHAnsi" w:hAnsiTheme="minorHAnsi" w:cs="Arial"/>
                <w:b/>
                <w:bCs/>
                <w:color w:val="59595B"/>
                <w:sz w:val="20"/>
                <w:szCs w:val="20"/>
              </w:rPr>
              <w:t>76,329</w:t>
            </w:r>
          </w:p>
        </w:tc>
        <w:tc>
          <w:tcPr>
            <w:tcW w:w="1712" w:type="dxa"/>
            <w:tcBorders>
              <w:top w:val="nil"/>
              <w:bottom w:val="nil"/>
            </w:tcBorders>
          </w:tcPr>
          <w:p w14:paraId="6CB1067A"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Pr>
                <w:rFonts w:asciiTheme="minorHAnsi" w:hAnsiTheme="minorHAnsi" w:cs="Arial"/>
                <w:b/>
                <w:bCs/>
                <w:color w:val="59595B"/>
                <w:sz w:val="20"/>
              </w:rPr>
              <w:t>88,860</w:t>
            </w:r>
          </w:p>
        </w:tc>
      </w:tr>
      <w:tr w:rsidR="0004342B" w:rsidRPr="00A96D90" w14:paraId="3A7E05EA" w14:textId="77777777" w:rsidTr="00691179">
        <w:trPr>
          <w:jc w:val="center"/>
        </w:trPr>
        <w:tc>
          <w:tcPr>
            <w:tcW w:w="4780" w:type="dxa"/>
            <w:tcBorders>
              <w:top w:val="nil"/>
              <w:bottom w:val="nil"/>
            </w:tcBorders>
          </w:tcPr>
          <w:p w14:paraId="1BB3CEC6"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5C1052B3"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794195E2"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641FFEC7"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605715DB" w14:textId="77777777" w:rsidTr="00691179">
        <w:trPr>
          <w:jc w:val="center"/>
        </w:trPr>
        <w:tc>
          <w:tcPr>
            <w:tcW w:w="4780" w:type="dxa"/>
            <w:tcBorders>
              <w:top w:val="nil"/>
              <w:bottom w:val="nil"/>
            </w:tcBorders>
          </w:tcPr>
          <w:p w14:paraId="0FB5B1E2"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890" w:type="dxa"/>
            <w:tcBorders>
              <w:top w:val="nil"/>
              <w:bottom w:val="nil"/>
            </w:tcBorders>
          </w:tcPr>
          <w:p w14:paraId="4875F6B4"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r w:rsidRPr="00E12C03">
              <w:rPr>
                <w:rFonts w:asciiTheme="minorHAnsi" w:hAnsiTheme="minorHAnsi" w:cs="Arial"/>
                <w:bCs/>
                <w:color w:val="59595B"/>
                <w:sz w:val="16"/>
                <w:szCs w:val="20"/>
                <w:lang w:val="en-GB"/>
              </w:rPr>
              <w:t>11</w:t>
            </w:r>
          </w:p>
        </w:tc>
        <w:tc>
          <w:tcPr>
            <w:tcW w:w="1580" w:type="dxa"/>
            <w:tcBorders>
              <w:top w:val="nil"/>
              <w:bottom w:val="nil"/>
            </w:tcBorders>
            <w:shd w:val="clear" w:color="auto" w:fill="F2F2F2" w:themeFill="background1" w:themeFillShade="F2"/>
          </w:tcPr>
          <w:p w14:paraId="70863BCB"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35,174</w:t>
            </w:r>
          </w:p>
        </w:tc>
        <w:tc>
          <w:tcPr>
            <w:tcW w:w="1712" w:type="dxa"/>
            <w:tcBorders>
              <w:top w:val="nil"/>
              <w:bottom w:val="nil"/>
            </w:tcBorders>
          </w:tcPr>
          <w:p w14:paraId="68B0C3D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w:t>
            </w:r>
            <w:r>
              <w:rPr>
                <w:rFonts w:asciiTheme="minorHAnsi" w:hAnsiTheme="minorHAnsi" w:cs="Arial"/>
                <w:bCs/>
                <w:color w:val="59595B"/>
                <w:sz w:val="20"/>
              </w:rPr>
              <w:t>1,962</w:t>
            </w:r>
          </w:p>
        </w:tc>
      </w:tr>
      <w:tr w:rsidR="0004342B" w:rsidRPr="00A96D90" w14:paraId="2EABED50" w14:textId="77777777" w:rsidTr="00691179">
        <w:trPr>
          <w:jc w:val="center"/>
        </w:trPr>
        <w:tc>
          <w:tcPr>
            <w:tcW w:w="4780" w:type="dxa"/>
            <w:tcBorders>
              <w:top w:val="nil"/>
              <w:bottom w:val="nil"/>
            </w:tcBorders>
          </w:tcPr>
          <w:p w14:paraId="07EE5638"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890" w:type="dxa"/>
            <w:tcBorders>
              <w:top w:val="nil"/>
              <w:bottom w:val="nil"/>
            </w:tcBorders>
          </w:tcPr>
          <w:p w14:paraId="5D6E45C9"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6A7806A2"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800</w:t>
            </w:r>
          </w:p>
        </w:tc>
        <w:tc>
          <w:tcPr>
            <w:tcW w:w="1712" w:type="dxa"/>
            <w:tcBorders>
              <w:top w:val="nil"/>
              <w:bottom w:val="nil"/>
            </w:tcBorders>
          </w:tcPr>
          <w:p w14:paraId="19A37428"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804</w:t>
            </w:r>
          </w:p>
        </w:tc>
      </w:tr>
      <w:tr w:rsidR="0004342B" w:rsidRPr="00A96D90" w14:paraId="2F31D4E9" w14:textId="77777777" w:rsidTr="00691179">
        <w:trPr>
          <w:jc w:val="center"/>
        </w:trPr>
        <w:tc>
          <w:tcPr>
            <w:tcW w:w="4780" w:type="dxa"/>
            <w:tcBorders>
              <w:top w:val="nil"/>
              <w:bottom w:val="nil"/>
            </w:tcBorders>
          </w:tcPr>
          <w:p w14:paraId="14BBD42E"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890" w:type="dxa"/>
            <w:tcBorders>
              <w:top w:val="nil"/>
              <w:bottom w:val="nil"/>
            </w:tcBorders>
          </w:tcPr>
          <w:p w14:paraId="04C7B272"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r w:rsidRPr="00E12C03">
              <w:rPr>
                <w:rFonts w:asciiTheme="minorHAnsi" w:hAnsiTheme="minorHAnsi" w:cs="Arial"/>
                <w:bCs/>
                <w:color w:val="59595B"/>
                <w:sz w:val="16"/>
                <w:szCs w:val="20"/>
                <w:lang w:val="en-GB"/>
              </w:rPr>
              <w:t>12</w:t>
            </w:r>
          </w:p>
        </w:tc>
        <w:tc>
          <w:tcPr>
            <w:tcW w:w="1580" w:type="dxa"/>
            <w:tcBorders>
              <w:top w:val="nil"/>
              <w:bottom w:val="nil"/>
            </w:tcBorders>
            <w:shd w:val="clear" w:color="auto" w:fill="F2F2F2" w:themeFill="background1" w:themeFillShade="F2"/>
          </w:tcPr>
          <w:p w14:paraId="7C1568B2"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1,382</w:t>
            </w:r>
          </w:p>
        </w:tc>
        <w:tc>
          <w:tcPr>
            <w:tcW w:w="1712" w:type="dxa"/>
            <w:tcBorders>
              <w:top w:val="nil"/>
              <w:bottom w:val="nil"/>
            </w:tcBorders>
          </w:tcPr>
          <w:p w14:paraId="5C5E7816"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szCs w:val="20"/>
              </w:rPr>
              <w:t>8,301</w:t>
            </w:r>
          </w:p>
        </w:tc>
      </w:tr>
      <w:tr w:rsidR="0004342B" w:rsidRPr="00A96D90" w14:paraId="4C9F9E61" w14:textId="77777777" w:rsidTr="00691179">
        <w:trPr>
          <w:jc w:val="center"/>
        </w:trPr>
        <w:tc>
          <w:tcPr>
            <w:tcW w:w="4780" w:type="dxa"/>
            <w:tcBorders>
              <w:top w:val="nil"/>
              <w:bottom w:val="nil"/>
            </w:tcBorders>
          </w:tcPr>
          <w:p w14:paraId="25C1BE38"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890" w:type="dxa"/>
            <w:tcBorders>
              <w:top w:val="nil"/>
              <w:bottom w:val="nil"/>
            </w:tcBorders>
          </w:tcPr>
          <w:p w14:paraId="14AB4070" w14:textId="77777777" w:rsidR="0004342B" w:rsidRPr="00E12C03"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16"/>
                <w:szCs w:val="20"/>
                <w:lang w:val="en-GB"/>
              </w:rPr>
            </w:pPr>
          </w:p>
        </w:tc>
        <w:tc>
          <w:tcPr>
            <w:tcW w:w="1580" w:type="dxa"/>
            <w:tcBorders>
              <w:top w:val="nil"/>
              <w:bottom w:val="nil"/>
            </w:tcBorders>
            <w:shd w:val="clear" w:color="auto" w:fill="F2F2F2" w:themeFill="background1" w:themeFillShade="F2"/>
          </w:tcPr>
          <w:p w14:paraId="08D3D737"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26,754</w:t>
            </w:r>
          </w:p>
        </w:tc>
        <w:tc>
          <w:tcPr>
            <w:tcW w:w="1712" w:type="dxa"/>
            <w:tcBorders>
              <w:top w:val="nil"/>
              <w:bottom w:val="nil"/>
            </w:tcBorders>
          </w:tcPr>
          <w:p w14:paraId="41F41A3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Pr>
                <w:rFonts w:asciiTheme="minorHAnsi" w:hAnsiTheme="minorHAnsi" w:cs="Arial"/>
                <w:bCs/>
                <w:color w:val="59595B"/>
                <w:sz w:val="20"/>
              </w:rPr>
              <w:t>27,198</w:t>
            </w:r>
          </w:p>
        </w:tc>
      </w:tr>
      <w:tr w:rsidR="0004342B" w:rsidRPr="00A96D90" w14:paraId="127A6C18" w14:textId="77777777" w:rsidTr="00691179">
        <w:trPr>
          <w:jc w:val="center"/>
        </w:trPr>
        <w:tc>
          <w:tcPr>
            <w:tcW w:w="4780" w:type="dxa"/>
            <w:tcBorders>
              <w:top w:val="nil"/>
              <w:bottom w:val="nil"/>
            </w:tcBorders>
          </w:tcPr>
          <w:p w14:paraId="228BD19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890" w:type="dxa"/>
            <w:tcBorders>
              <w:top w:val="nil"/>
              <w:bottom w:val="nil"/>
            </w:tcBorders>
          </w:tcPr>
          <w:p w14:paraId="68F58731"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2E50591D"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263</w:t>
            </w:r>
          </w:p>
        </w:tc>
        <w:tc>
          <w:tcPr>
            <w:tcW w:w="1712" w:type="dxa"/>
            <w:tcBorders>
              <w:top w:val="nil"/>
              <w:bottom w:val="nil"/>
            </w:tcBorders>
          </w:tcPr>
          <w:p w14:paraId="5B77801B"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263</w:t>
            </w:r>
          </w:p>
        </w:tc>
      </w:tr>
      <w:tr w:rsidR="0004342B" w:rsidRPr="00A96D90" w14:paraId="58C6DBAD" w14:textId="77777777" w:rsidTr="00691179">
        <w:trPr>
          <w:jc w:val="center"/>
        </w:trPr>
        <w:tc>
          <w:tcPr>
            <w:tcW w:w="4780" w:type="dxa"/>
            <w:tcBorders>
              <w:top w:val="nil"/>
              <w:bottom w:val="nil"/>
            </w:tcBorders>
          </w:tcPr>
          <w:p w14:paraId="7D9197DA"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890" w:type="dxa"/>
            <w:tcBorders>
              <w:top w:val="nil"/>
              <w:bottom w:val="nil"/>
            </w:tcBorders>
          </w:tcPr>
          <w:p w14:paraId="557B7CC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D6FD95A"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757B1C">
              <w:rPr>
                <w:rFonts w:asciiTheme="minorHAnsi" w:hAnsiTheme="minorHAnsi" w:cs="Arial"/>
                <w:b/>
                <w:bCs/>
                <w:color w:val="59595B"/>
                <w:sz w:val="20"/>
                <w:szCs w:val="20"/>
              </w:rPr>
              <w:t>64,373</w:t>
            </w:r>
          </w:p>
        </w:tc>
        <w:tc>
          <w:tcPr>
            <w:tcW w:w="1712" w:type="dxa"/>
            <w:tcBorders>
              <w:top w:val="nil"/>
              <w:bottom w:val="nil"/>
            </w:tcBorders>
          </w:tcPr>
          <w:p w14:paraId="46F24ED3"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5</w:t>
            </w:r>
            <w:r>
              <w:rPr>
                <w:rFonts w:asciiTheme="minorHAnsi" w:hAnsiTheme="minorHAnsi" w:cs="Arial"/>
                <w:b/>
                <w:bCs/>
                <w:color w:val="59595B"/>
                <w:sz w:val="20"/>
              </w:rPr>
              <w:t>8</w:t>
            </w:r>
            <w:r w:rsidRPr="00A96D90">
              <w:rPr>
                <w:rFonts w:asciiTheme="minorHAnsi" w:hAnsiTheme="minorHAnsi" w:cs="Arial"/>
                <w:b/>
                <w:bCs/>
                <w:color w:val="59595B"/>
                <w:sz w:val="20"/>
                <w:lang w:val="en-GB"/>
              </w:rPr>
              <w:t>,</w:t>
            </w:r>
            <w:r>
              <w:rPr>
                <w:rFonts w:asciiTheme="minorHAnsi" w:hAnsiTheme="minorHAnsi" w:cs="Arial"/>
                <w:b/>
                <w:bCs/>
                <w:color w:val="59595B"/>
                <w:sz w:val="20"/>
              </w:rPr>
              <w:t>528</w:t>
            </w:r>
          </w:p>
        </w:tc>
      </w:tr>
      <w:tr w:rsidR="0004342B" w:rsidRPr="00A96D90" w14:paraId="2AFFA730" w14:textId="77777777" w:rsidTr="00691179">
        <w:trPr>
          <w:jc w:val="center"/>
        </w:trPr>
        <w:tc>
          <w:tcPr>
            <w:tcW w:w="4780" w:type="dxa"/>
            <w:tcBorders>
              <w:top w:val="nil"/>
              <w:bottom w:val="single" w:sz="4" w:space="0" w:color="BFBFBF" w:themeColor="background1" w:themeShade="BF"/>
            </w:tcBorders>
          </w:tcPr>
          <w:p w14:paraId="5FE672A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single" w:sz="4" w:space="0" w:color="BFBFBF" w:themeColor="background1" w:themeShade="BF"/>
            </w:tcBorders>
          </w:tcPr>
          <w:p w14:paraId="26CA8090"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41B2D7C0"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050BA683"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81B8E" w14:paraId="1C4CC79A" w14:textId="77777777" w:rsidTr="00691179">
        <w:trPr>
          <w:jc w:val="center"/>
        </w:trPr>
        <w:tc>
          <w:tcPr>
            <w:tcW w:w="4780" w:type="dxa"/>
            <w:tcBorders>
              <w:top w:val="single" w:sz="4" w:space="0" w:color="BFBFBF" w:themeColor="background1" w:themeShade="BF"/>
              <w:bottom w:val="single" w:sz="4" w:space="0" w:color="BFBFBF" w:themeColor="background1" w:themeShade="BF"/>
            </w:tcBorders>
          </w:tcPr>
          <w:p w14:paraId="2CBDADBC"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890" w:type="dxa"/>
            <w:tcBorders>
              <w:top w:val="single" w:sz="4" w:space="0" w:color="BFBFBF" w:themeColor="background1" w:themeShade="BF"/>
              <w:bottom w:val="single" w:sz="4" w:space="0" w:color="BFBFBF" w:themeColor="background1" w:themeShade="BF"/>
            </w:tcBorders>
          </w:tcPr>
          <w:p w14:paraId="03BEE236" w14:textId="77777777" w:rsidR="0004342B" w:rsidRPr="00A81B8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CF8EE15"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sidRPr="00757B1C">
              <w:rPr>
                <w:rFonts w:asciiTheme="minorHAnsi" w:hAnsiTheme="minorHAnsi" w:cs="Arial"/>
                <w:b/>
                <w:bCs/>
                <w:color w:val="0070C0"/>
                <w:sz w:val="20"/>
                <w:szCs w:val="20"/>
              </w:rPr>
              <w:t>181,367</w:t>
            </w:r>
          </w:p>
        </w:tc>
        <w:tc>
          <w:tcPr>
            <w:tcW w:w="1712" w:type="dxa"/>
            <w:tcBorders>
              <w:top w:val="single" w:sz="4" w:space="0" w:color="BFBFBF" w:themeColor="background1" w:themeShade="BF"/>
              <w:bottom w:val="single" w:sz="4" w:space="0" w:color="BFBFBF" w:themeColor="background1" w:themeShade="BF"/>
            </w:tcBorders>
          </w:tcPr>
          <w:p w14:paraId="04D28BE0" w14:textId="77777777" w:rsidR="0004342B" w:rsidRPr="00A81B8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lang w:val="en-GB"/>
              </w:rPr>
            </w:pPr>
            <w:r w:rsidRPr="00A81B8E">
              <w:rPr>
                <w:rFonts w:asciiTheme="minorHAnsi" w:hAnsiTheme="minorHAnsi" w:cs="Arial"/>
                <w:b/>
                <w:bCs/>
                <w:color w:val="0070C0"/>
                <w:sz w:val="20"/>
                <w:lang w:val="en-GB"/>
              </w:rPr>
              <w:t>1</w:t>
            </w:r>
            <w:r>
              <w:rPr>
                <w:rFonts w:asciiTheme="minorHAnsi" w:hAnsiTheme="minorHAnsi" w:cs="Arial"/>
                <w:b/>
                <w:bCs/>
                <w:color w:val="0070C0"/>
                <w:sz w:val="20"/>
              </w:rPr>
              <w:t>66,190</w:t>
            </w:r>
          </w:p>
        </w:tc>
      </w:tr>
    </w:tbl>
    <w:p w14:paraId="48920D67" w14:textId="77777777" w:rsidR="0004342B" w:rsidRPr="00A81B8E" w:rsidRDefault="0004342B" w:rsidP="0004342B">
      <w:pPr>
        <w:rPr>
          <w:rFonts w:ascii="Calibri" w:hAnsi="Calibri" w:cstheme="minorHAnsi"/>
          <w:color w:val="0070C0"/>
          <w:szCs w:val="22"/>
          <w:lang w:val="en-GB"/>
        </w:rPr>
      </w:pPr>
    </w:p>
    <w:p w14:paraId="2618F393" w14:textId="77777777" w:rsidR="0004342B" w:rsidRPr="00A96D90" w:rsidRDefault="0004342B" w:rsidP="0004342B">
      <w:pPr>
        <w:rPr>
          <w:rFonts w:ascii="Calibri" w:hAnsi="Calibri" w:cstheme="minorHAnsi"/>
          <w:szCs w:val="22"/>
          <w:lang w:val="en-GB"/>
        </w:rPr>
      </w:pPr>
    </w:p>
    <w:p w14:paraId="26450900" w14:textId="77777777" w:rsidR="0004342B" w:rsidRPr="00A96D90" w:rsidRDefault="0004342B" w:rsidP="0004342B">
      <w:pPr>
        <w:rPr>
          <w:rFonts w:ascii="Calibri" w:hAnsi="Calibri" w:cstheme="minorHAnsi"/>
          <w:szCs w:val="22"/>
          <w:lang w:val="en-GB"/>
        </w:rPr>
      </w:pPr>
    </w:p>
    <w:p w14:paraId="4176FA20" w14:textId="77777777" w:rsidR="0004342B" w:rsidRPr="00A96D90" w:rsidRDefault="0004342B" w:rsidP="0004342B">
      <w:pPr>
        <w:rPr>
          <w:rFonts w:ascii="Calibri" w:hAnsi="Calibri" w:cstheme="minorHAnsi"/>
          <w:szCs w:val="22"/>
          <w:lang w:val="en-GB"/>
        </w:rPr>
      </w:pPr>
    </w:p>
    <w:p w14:paraId="0C666F27" w14:textId="77777777" w:rsidR="0004342B" w:rsidRPr="00A96D90" w:rsidRDefault="0004342B" w:rsidP="0004342B">
      <w:pPr>
        <w:rPr>
          <w:rFonts w:ascii="Calibri" w:hAnsi="Calibri" w:cstheme="minorHAnsi"/>
          <w:szCs w:val="22"/>
          <w:lang w:val="en-GB"/>
        </w:rPr>
      </w:pPr>
    </w:p>
    <w:p w14:paraId="50C2D042" w14:textId="77777777" w:rsidR="0004342B" w:rsidRPr="00A96D90" w:rsidRDefault="0004342B" w:rsidP="0004342B">
      <w:pPr>
        <w:rPr>
          <w:rFonts w:ascii="Calibri" w:hAnsi="Calibri" w:cstheme="minorHAnsi"/>
          <w:szCs w:val="22"/>
          <w:lang w:val="en-GB"/>
        </w:rPr>
      </w:pPr>
    </w:p>
    <w:p w14:paraId="5CBC4A71" w14:textId="77777777" w:rsidR="0004342B" w:rsidRPr="00A96D90" w:rsidRDefault="0004342B" w:rsidP="0004342B">
      <w:pPr>
        <w:rPr>
          <w:rFonts w:ascii="Calibri" w:hAnsi="Calibri" w:cstheme="minorHAnsi"/>
          <w:szCs w:val="22"/>
          <w:lang w:val="en-GB"/>
        </w:rPr>
      </w:pPr>
    </w:p>
    <w:p w14:paraId="3E80C26B" w14:textId="77777777" w:rsidR="0004342B" w:rsidRPr="00A96D90" w:rsidRDefault="0004342B" w:rsidP="0004342B">
      <w:pPr>
        <w:rPr>
          <w:rFonts w:ascii="Calibri" w:hAnsi="Calibri" w:cstheme="minorHAnsi"/>
          <w:szCs w:val="22"/>
          <w:lang w:val="en-GB"/>
        </w:rPr>
      </w:pPr>
    </w:p>
    <w:p w14:paraId="6CAF55E4" w14:textId="77777777" w:rsidR="0004342B" w:rsidRPr="00A96D90" w:rsidRDefault="0004342B" w:rsidP="0004342B">
      <w:pPr>
        <w:rPr>
          <w:rFonts w:ascii="Calibri Light" w:eastAsiaTheme="majorEastAsia" w:hAnsi="Calibri Light" w:cstheme="majorBidi"/>
          <w:b/>
          <w:color w:val="59595B"/>
          <w:sz w:val="24"/>
          <w:szCs w:val="28"/>
          <w:lang w:val="en-GB" w:eastAsia="zh-CN"/>
        </w:rPr>
      </w:pPr>
      <w:r w:rsidRPr="00A96D90">
        <w:rPr>
          <w:rFonts w:ascii="Calibri" w:hAnsi="Calibri" w:cstheme="minorHAnsi"/>
          <w:szCs w:val="22"/>
          <w:lang w:val="en-GB"/>
        </w:rPr>
        <w:br w:type="page"/>
      </w:r>
      <w:r w:rsidRPr="00A96D90">
        <w:rPr>
          <w:rFonts w:ascii="Calibri Light" w:eastAsiaTheme="majorEastAsia" w:hAnsi="Calibri Light" w:cstheme="majorBidi"/>
          <w:b/>
          <w:color w:val="59595B"/>
          <w:sz w:val="24"/>
          <w:szCs w:val="28"/>
          <w:lang w:val="en-GB" w:eastAsia="zh-CN"/>
        </w:rPr>
        <w:lastRenderedPageBreak/>
        <w:t>Consolidated Statement of Cash Flows</w:t>
      </w:r>
    </w:p>
    <w:p w14:paraId="1D7EEF8F" w14:textId="77777777" w:rsidR="0004342B" w:rsidRPr="00A96D90" w:rsidRDefault="0004342B" w:rsidP="0004342B">
      <w:pPr>
        <w:pStyle w:val="NoSpacing"/>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29B911CC" w14:textId="77777777" w:rsidR="0004342B" w:rsidRPr="00A96D90" w:rsidRDefault="0004342B" w:rsidP="0004342B">
      <w:pPr>
        <w:rPr>
          <w:rFonts w:ascii="Calibri" w:hAnsi="Calibri" w:cstheme="minorHAnsi"/>
          <w:b/>
          <w:color w:val="276E8B" w:themeColor="accent1" w:themeShade="BF"/>
          <w:szCs w:val="22"/>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04342B" w:rsidRPr="00A96D90" w14:paraId="3D157F55" w14:textId="77777777" w:rsidTr="00691179">
        <w:trPr>
          <w:jc w:val="center"/>
        </w:trPr>
        <w:tc>
          <w:tcPr>
            <w:tcW w:w="5920" w:type="dxa"/>
            <w:shd w:val="clear" w:color="auto" w:fill="0070C0"/>
          </w:tcPr>
          <w:p w14:paraId="3BEC9893" w14:textId="77777777" w:rsidR="0004342B" w:rsidRPr="00E12C03" w:rsidRDefault="0004342B" w:rsidP="00691179">
            <w:pPr>
              <w:tabs>
                <w:tab w:val="left" w:pos="3686"/>
                <w:tab w:val="right" w:pos="7200"/>
                <w:tab w:val="right" w:pos="8789"/>
                <w:tab w:val="right" w:pos="8820"/>
              </w:tabs>
              <w:autoSpaceDE w:val="0"/>
              <w:autoSpaceDN w:val="0"/>
              <w:adjustRightInd w:val="0"/>
              <w:rPr>
                <w:rFonts w:ascii="Calibri" w:hAnsi="Calibri" w:cstheme="minorHAnsi"/>
                <w:i/>
                <w:color w:val="FFFFFF" w:themeColor="background1"/>
                <w:sz w:val="16"/>
                <w:szCs w:val="20"/>
                <w:lang w:val="en-GB"/>
              </w:rPr>
            </w:pPr>
            <w:r w:rsidRPr="00E12C03">
              <w:rPr>
                <w:rFonts w:asciiTheme="minorHAnsi" w:hAnsiTheme="minorHAnsi" w:cs="Arial"/>
                <w:b/>
                <w:bCs/>
                <w:i/>
                <w:color w:val="FFFFFF" w:themeColor="background1"/>
                <w:sz w:val="16"/>
                <w:szCs w:val="20"/>
                <w:lang w:val="en-GB"/>
              </w:rPr>
              <w:t>Amounts in €’000</w:t>
            </w:r>
          </w:p>
        </w:tc>
        <w:tc>
          <w:tcPr>
            <w:tcW w:w="1559" w:type="dxa"/>
            <w:shd w:val="clear" w:color="auto" w:fill="0070C0"/>
            <w:tcMar>
              <w:top w:w="28" w:type="dxa"/>
            </w:tcMar>
          </w:tcPr>
          <w:p w14:paraId="7EA61498" w14:textId="77777777" w:rsidR="0004342B" w:rsidRPr="007707C3" w:rsidRDefault="0004342B" w:rsidP="00691179">
            <w:pPr>
              <w:jc w:val="right"/>
              <w:rPr>
                <w:rFonts w:asciiTheme="majorHAnsi" w:hAnsiTheme="majorHAnsi" w:cstheme="majorHAnsi"/>
                <w:b/>
                <w:color w:val="FFFFFF" w:themeColor="background1"/>
                <w:sz w:val="20"/>
                <w:szCs w:val="20"/>
                <w:lang w:val="en-GB"/>
              </w:rPr>
            </w:pPr>
            <w:r w:rsidRPr="007707C3">
              <w:rPr>
                <w:rFonts w:asciiTheme="majorHAnsi" w:hAnsiTheme="majorHAnsi" w:cstheme="majorHAnsi"/>
                <w:b/>
                <w:color w:val="FFFFFF" w:themeColor="background1"/>
                <w:sz w:val="20"/>
                <w:szCs w:val="20"/>
                <w:lang w:val="en-GB"/>
              </w:rPr>
              <w:t>HY 201</w:t>
            </w:r>
            <w:r w:rsidRPr="007707C3">
              <w:rPr>
                <w:rFonts w:asciiTheme="majorHAnsi" w:hAnsiTheme="majorHAnsi" w:cstheme="majorHAnsi"/>
                <w:b/>
                <w:color w:val="FFFFFF" w:themeColor="background1"/>
                <w:sz w:val="20"/>
                <w:szCs w:val="20"/>
              </w:rPr>
              <w:t>8</w:t>
            </w:r>
          </w:p>
        </w:tc>
        <w:tc>
          <w:tcPr>
            <w:tcW w:w="1473" w:type="dxa"/>
            <w:shd w:val="clear" w:color="auto" w:fill="0070C0"/>
            <w:tcMar>
              <w:top w:w="28" w:type="dxa"/>
            </w:tcMar>
          </w:tcPr>
          <w:p w14:paraId="4470F937" w14:textId="77777777" w:rsidR="0004342B" w:rsidRPr="007707C3" w:rsidRDefault="0004342B" w:rsidP="00691179">
            <w:pPr>
              <w:jc w:val="right"/>
              <w:rPr>
                <w:rFonts w:asciiTheme="majorHAnsi" w:hAnsiTheme="majorHAnsi" w:cstheme="majorHAnsi"/>
                <w:b/>
                <w:color w:val="FFFFFF" w:themeColor="background1"/>
                <w:sz w:val="20"/>
                <w:szCs w:val="20"/>
                <w:lang w:val="en-GB"/>
              </w:rPr>
            </w:pPr>
            <w:r w:rsidRPr="007707C3">
              <w:rPr>
                <w:rFonts w:asciiTheme="majorHAnsi" w:hAnsiTheme="majorHAnsi" w:cstheme="majorHAnsi"/>
                <w:b/>
                <w:color w:val="FFFFFF" w:themeColor="background1"/>
                <w:sz w:val="20"/>
                <w:szCs w:val="20"/>
                <w:lang w:val="en-GB"/>
              </w:rPr>
              <w:t>HY 201</w:t>
            </w:r>
            <w:r w:rsidRPr="007707C3">
              <w:rPr>
                <w:rFonts w:asciiTheme="majorHAnsi" w:hAnsiTheme="majorHAnsi" w:cstheme="majorHAnsi"/>
                <w:b/>
                <w:color w:val="FFFFFF" w:themeColor="background1"/>
                <w:sz w:val="20"/>
                <w:szCs w:val="20"/>
              </w:rPr>
              <w:t>7</w:t>
            </w:r>
          </w:p>
        </w:tc>
      </w:tr>
      <w:tr w:rsidR="0004342B" w:rsidRPr="00A96D90" w14:paraId="34C03598" w14:textId="77777777" w:rsidTr="00691179">
        <w:trPr>
          <w:jc w:val="center"/>
        </w:trPr>
        <w:tc>
          <w:tcPr>
            <w:tcW w:w="5920" w:type="dxa"/>
            <w:shd w:val="clear" w:color="auto" w:fill="auto"/>
          </w:tcPr>
          <w:p w14:paraId="7CC2BD3C" w14:textId="77777777" w:rsidR="0004342B" w:rsidRPr="007707C3"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8"/>
                <w:szCs w:val="20"/>
                <w:lang w:val="en-GB"/>
              </w:rPr>
            </w:pPr>
          </w:p>
        </w:tc>
        <w:tc>
          <w:tcPr>
            <w:tcW w:w="1559" w:type="dxa"/>
            <w:shd w:val="clear" w:color="auto" w:fill="auto"/>
            <w:tcMar>
              <w:top w:w="28" w:type="dxa"/>
            </w:tcMar>
          </w:tcPr>
          <w:p w14:paraId="55E2B370" w14:textId="77777777" w:rsidR="0004342B" w:rsidRPr="007707C3" w:rsidRDefault="0004342B" w:rsidP="00691179">
            <w:pPr>
              <w:jc w:val="right"/>
              <w:rPr>
                <w:rFonts w:asciiTheme="majorHAnsi" w:hAnsiTheme="majorHAnsi" w:cstheme="majorHAnsi"/>
                <w:b/>
                <w:color w:val="FFFFFF" w:themeColor="background1"/>
                <w:sz w:val="20"/>
                <w:szCs w:val="20"/>
                <w:lang w:val="en-GB"/>
              </w:rPr>
            </w:pPr>
          </w:p>
        </w:tc>
        <w:tc>
          <w:tcPr>
            <w:tcW w:w="1473" w:type="dxa"/>
            <w:shd w:val="clear" w:color="auto" w:fill="auto"/>
            <w:tcMar>
              <w:top w:w="28" w:type="dxa"/>
            </w:tcMar>
          </w:tcPr>
          <w:p w14:paraId="750AA747" w14:textId="77777777" w:rsidR="0004342B" w:rsidRPr="007707C3" w:rsidRDefault="0004342B" w:rsidP="00691179">
            <w:pPr>
              <w:jc w:val="right"/>
              <w:rPr>
                <w:rFonts w:asciiTheme="majorHAnsi" w:hAnsiTheme="majorHAnsi" w:cstheme="majorHAnsi"/>
                <w:b/>
                <w:color w:val="FFFFFF" w:themeColor="background1"/>
                <w:sz w:val="20"/>
                <w:szCs w:val="20"/>
                <w:lang w:val="en-GB"/>
              </w:rPr>
            </w:pPr>
          </w:p>
        </w:tc>
      </w:tr>
      <w:tr w:rsidR="0004342B" w:rsidRPr="00A96D90" w14:paraId="118033CC" w14:textId="77777777" w:rsidTr="00691179">
        <w:trPr>
          <w:jc w:val="center"/>
        </w:trPr>
        <w:tc>
          <w:tcPr>
            <w:tcW w:w="5920" w:type="dxa"/>
            <w:tcBorders>
              <w:bottom w:val="single" w:sz="4" w:space="0" w:color="BFBFBF" w:themeColor="background1" w:themeShade="BF"/>
            </w:tcBorders>
          </w:tcPr>
          <w:p w14:paraId="4CD4EA26" w14:textId="77777777" w:rsidR="0004342B" w:rsidRPr="007707C3" w:rsidRDefault="0004342B" w:rsidP="00691179">
            <w:pPr>
              <w:rPr>
                <w:rFonts w:asciiTheme="minorHAnsi" w:hAnsiTheme="minorHAnsi" w:cstheme="minorHAnsi"/>
                <w:color w:val="0070C0"/>
                <w:sz w:val="20"/>
                <w:szCs w:val="20"/>
                <w:lang w:val="en-GB"/>
              </w:rPr>
            </w:pPr>
            <w:r w:rsidRPr="007707C3">
              <w:rPr>
                <w:rFonts w:asciiTheme="minorHAnsi" w:hAnsiTheme="minorHAnsi" w:cs="Arial"/>
                <w:b/>
                <w:bCs/>
                <w:color w:val="0070C0"/>
                <w:sz w:val="20"/>
                <w:szCs w:val="20"/>
                <w:lang w:val="en-GB"/>
              </w:rPr>
              <w:t>Operating result</w:t>
            </w:r>
          </w:p>
        </w:tc>
        <w:tc>
          <w:tcPr>
            <w:tcW w:w="1559" w:type="dxa"/>
            <w:tcBorders>
              <w:bottom w:val="single" w:sz="4" w:space="0" w:color="BFBFBF" w:themeColor="background1" w:themeShade="BF"/>
            </w:tcBorders>
            <w:shd w:val="clear" w:color="auto" w:fill="F2F2F2" w:themeFill="background1" w:themeFillShade="F2"/>
            <w:tcMar>
              <w:top w:w="28" w:type="dxa"/>
            </w:tcMar>
          </w:tcPr>
          <w:p w14:paraId="1F279D28"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16,290</w:t>
            </w:r>
          </w:p>
        </w:tc>
        <w:tc>
          <w:tcPr>
            <w:tcW w:w="1473" w:type="dxa"/>
            <w:tcBorders>
              <w:bottom w:val="single" w:sz="4" w:space="0" w:color="BFBFBF" w:themeColor="background1" w:themeShade="BF"/>
            </w:tcBorders>
            <w:tcMar>
              <w:top w:w="28" w:type="dxa"/>
            </w:tcMar>
          </w:tcPr>
          <w:p w14:paraId="4DC4C9D8" w14:textId="77777777" w:rsidR="0004342B" w:rsidRPr="007707C3" w:rsidRDefault="0004342B" w:rsidP="00691179">
            <w:pPr>
              <w:jc w:val="right"/>
              <w:rPr>
                <w:rFonts w:asciiTheme="minorHAnsi" w:hAnsiTheme="minorHAnsi" w:cstheme="minorHAnsi"/>
                <w:b/>
                <w:color w:val="0070C0"/>
                <w:sz w:val="20"/>
                <w:szCs w:val="20"/>
                <w:lang w:val="en-GB"/>
              </w:rPr>
            </w:pPr>
            <w:r>
              <w:rPr>
                <w:rFonts w:asciiTheme="minorHAnsi" w:hAnsiTheme="minorHAnsi" w:cstheme="minorHAnsi"/>
                <w:b/>
                <w:color w:val="0070C0"/>
                <w:sz w:val="20"/>
                <w:szCs w:val="20"/>
              </w:rPr>
              <w:t>4,233</w:t>
            </w:r>
          </w:p>
        </w:tc>
      </w:tr>
      <w:tr w:rsidR="0004342B" w:rsidRPr="00A96D90" w14:paraId="724C0D12" w14:textId="77777777" w:rsidTr="00691179">
        <w:trPr>
          <w:jc w:val="center"/>
        </w:trPr>
        <w:tc>
          <w:tcPr>
            <w:tcW w:w="5920" w:type="dxa"/>
            <w:tcBorders>
              <w:bottom w:val="nil"/>
            </w:tcBorders>
          </w:tcPr>
          <w:p w14:paraId="7E4FC1CB"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54CA7AC9"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76D55C8A"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4788AE4" w14:textId="77777777" w:rsidTr="00691179">
        <w:trPr>
          <w:jc w:val="center"/>
        </w:trPr>
        <w:tc>
          <w:tcPr>
            <w:tcW w:w="5920" w:type="dxa"/>
            <w:tcBorders>
              <w:top w:val="nil"/>
              <w:bottom w:val="nil"/>
            </w:tcBorders>
          </w:tcPr>
          <w:p w14:paraId="6A9E5DF4"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58874191"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57EB2F0B"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50FF1C4B" w14:textId="77777777" w:rsidTr="00691179">
        <w:trPr>
          <w:jc w:val="center"/>
        </w:trPr>
        <w:tc>
          <w:tcPr>
            <w:tcW w:w="5920" w:type="dxa"/>
            <w:tcBorders>
              <w:top w:val="nil"/>
              <w:bottom w:val="nil"/>
            </w:tcBorders>
          </w:tcPr>
          <w:p w14:paraId="4F753B1F"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5F69FC7C"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1,903</w:t>
            </w:r>
          </w:p>
        </w:tc>
        <w:tc>
          <w:tcPr>
            <w:tcW w:w="1473" w:type="dxa"/>
            <w:tcBorders>
              <w:top w:val="nil"/>
              <w:bottom w:val="nil"/>
            </w:tcBorders>
            <w:tcMar>
              <w:top w:w="28" w:type="dxa"/>
            </w:tcMar>
          </w:tcPr>
          <w:p w14:paraId="0008144A"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1,689</w:t>
            </w:r>
          </w:p>
        </w:tc>
      </w:tr>
      <w:tr w:rsidR="0004342B" w:rsidRPr="00A96D90" w14:paraId="2FC1CE8B" w14:textId="77777777" w:rsidTr="00691179">
        <w:trPr>
          <w:jc w:val="center"/>
        </w:trPr>
        <w:tc>
          <w:tcPr>
            <w:tcW w:w="5920" w:type="dxa"/>
            <w:tcBorders>
              <w:top w:val="nil"/>
              <w:bottom w:val="nil"/>
            </w:tcBorders>
          </w:tcPr>
          <w:p w14:paraId="65ED590A"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5D7DBC68"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1,750</w:t>
            </w:r>
          </w:p>
        </w:tc>
        <w:tc>
          <w:tcPr>
            <w:tcW w:w="1473" w:type="dxa"/>
            <w:tcBorders>
              <w:top w:val="nil"/>
              <w:bottom w:val="nil"/>
            </w:tcBorders>
            <w:tcMar>
              <w:top w:w="28" w:type="dxa"/>
            </w:tcMar>
          </w:tcPr>
          <w:p w14:paraId="3BB1D193"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872</w:t>
            </w:r>
          </w:p>
        </w:tc>
      </w:tr>
      <w:tr w:rsidR="0004342B" w:rsidRPr="00A96D90" w14:paraId="68CBFECA" w14:textId="77777777" w:rsidTr="00691179">
        <w:trPr>
          <w:jc w:val="center"/>
        </w:trPr>
        <w:tc>
          <w:tcPr>
            <w:tcW w:w="5920" w:type="dxa"/>
            <w:tcBorders>
              <w:top w:val="nil"/>
              <w:bottom w:val="nil"/>
            </w:tcBorders>
          </w:tcPr>
          <w:p w14:paraId="391D71AE"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Deferred license fees</w:t>
            </w:r>
          </w:p>
        </w:tc>
        <w:tc>
          <w:tcPr>
            <w:tcW w:w="1559" w:type="dxa"/>
            <w:tcBorders>
              <w:top w:val="nil"/>
              <w:bottom w:val="nil"/>
            </w:tcBorders>
            <w:shd w:val="clear" w:color="auto" w:fill="F2F2F2" w:themeFill="background1" w:themeFillShade="F2"/>
            <w:tcMar>
              <w:top w:w="28" w:type="dxa"/>
            </w:tcMar>
          </w:tcPr>
          <w:p w14:paraId="399EE91E"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(403)</w:t>
            </w:r>
          </w:p>
        </w:tc>
        <w:tc>
          <w:tcPr>
            <w:tcW w:w="1473" w:type="dxa"/>
            <w:tcBorders>
              <w:top w:val="nil"/>
              <w:bottom w:val="nil"/>
            </w:tcBorders>
            <w:tcMar>
              <w:top w:w="28" w:type="dxa"/>
            </w:tcMar>
          </w:tcPr>
          <w:p w14:paraId="2061F3A0"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536</w:t>
            </w:r>
            <w:r w:rsidRPr="00A96D90">
              <w:rPr>
                <w:rFonts w:asciiTheme="minorHAnsi" w:hAnsiTheme="minorHAnsi" w:cstheme="minorHAnsi"/>
                <w:color w:val="59595B"/>
                <w:sz w:val="20"/>
                <w:szCs w:val="20"/>
                <w:lang w:val="en-GB"/>
              </w:rPr>
              <w:t>)</w:t>
            </w:r>
          </w:p>
        </w:tc>
      </w:tr>
      <w:tr w:rsidR="0004342B" w:rsidRPr="00A96D90" w14:paraId="13F6407B" w14:textId="77777777" w:rsidTr="00691179">
        <w:trPr>
          <w:jc w:val="center"/>
        </w:trPr>
        <w:tc>
          <w:tcPr>
            <w:tcW w:w="5920" w:type="dxa"/>
            <w:tcBorders>
              <w:top w:val="nil"/>
              <w:bottom w:val="nil"/>
            </w:tcBorders>
          </w:tcPr>
          <w:p w14:paraId="74FA7807"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47DB8CEB"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CB9EE42"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55FBE0B0" w14:textId="77777777" w:rsidTr="00691179">
        <w:trPr>
          <w:jc w:val="center"/>
        </w:trPr>
        <w:tc>
          <w:tcPr>
            <w:tcW w:w="5920" w:type="dxa"/>
            <w:tcBorders>
              <w:top w:val="nil"/>
              <w:bottom w:val="nil"/>
            </w:tcBorders>
          </w:tcPr>
          <w:p w14:paraId="691474BD"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Arial"/>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50CF707E" w14:textId="77777777" w:rsidR="0004342B" w:rsidRPr="00F86DAD"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19,540</w:t>
            </w:r>
          </w:p>
        </w:tc>
        <w:tc>
          <w:tcPr>
            <w:tcW w:w="1473" w:type="dxa"/>
            <w:tcBorders>
              <w:top w:val="nil"/>
              <w:bottom w:val="nil"/>
            </w:tcBorders>
            <w:tcMar>
              <w:top w:w="28" w:type="dxa"/>
            </w:tcMar>
          </w:tcPr>
          <w:p w14:paraId="411B78F3"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6,</w:t>
            </w:r>
            <w:r>
              <w:rPr>
                <w:rFonts w:asciiTheme="minorHAnsi" w:hAnsiTheme="minorHAnsi" w:cstheme="minorHAnsi"/>
                <w:b/>
                <w:color w:val="59595B"/>
                <w:sz w:val="20"/>
                <w:szCs w:val="20"/>
              </w:rPr>
              <w:t>258</w:t>
            </w:r>
          </w:p>
        </w:tc>
      </w:tr>
      <w:tr w:rsidR="0004342B" w:rsidRPr="00A96D90" w14:paraId="1F9666B3" w14:textId="77777777" w:rsidTr="00691179">
        <w:trPr>
          <w:jc w:val="center"/>
        </w:trPr>
        <w:tc>
          <w:tcPr>
            <w:tcW w:w="5920" w:type="dxa"/>
            <w:tcBorders>
              <w:top w:val="nil"/>
              <w:bottom w:val="nil"/>
            </w:tcBorders>
          </w:tcPr>
          <w:p w14:paraId="3AE794AF"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613FC1C2"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65F9148E"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9BA44F5" w14:textId="77777777" w:rsidTr="00691179">
        <w:trPr>
          <w:jc w:val="center"/>
        </w:trPr>
        <w:tc>
          <w:tcPr>
            <w:tcW w:w="5920" w:type="dxa"/>
            <w:tcBorders>
              <w:top w:val="nil"/>
              <w:bottom w:val="nil"/>
            </w:tcBorders>
          </w:tcPr>
          <w:p w14:paraId="67EEB612"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4BCBB099"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6042B22D"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38E124D" w14:textId="77777777" w:rsidTr="00691179">
        <w:trPr>
          <w:jc w:val="center"/>
        </w:trPr>
        <w:tc>
          <w:tcPr>
            <w:tcW w:w="5920" w:type="dxa"/>
            <w:tcBorders>
              <w:top w:val="nil"/>
              <w:bottom w:val="nil"/>
            </w:tcBorders>
          </w:tcPr>
          <w:p w14:paraId="79F45852"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2DED4298"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(4,829)</w:t>
            </w:r>
          </w:p>
        </w:tc>
        <w:tc>
          <w:tcPr>
            <w:tcW w:w="1473" w:type="dxa"/>
            <w:tcBorders>
              <w:top w:val="nil"/>
              <w:bottom w:val="nil"/>
            </w:tcBorders>
            <w:tcMar>
              <w:top w:w="28" w:type="dxa"/>
            </w:tcMar>
          </w:tcPr>
          <w:p w14:paraId="02207DFD"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468</w:t>
            </w:r>
          </w:p>
        </w:tc>
      </w:tr>
      <w:tr w:rsidR="0004342B" w:rsidRPr="00A96D90" w14:paraId="7E12FA7E" w14:textId="77777777" w:rsidTr="00691179">
        <w:trPr>
          <w:jc w:val="center"/>
        </w:trPr>
        <w:tc>
          <w:tcPr>
            <w:tcW w:w="5920" w:type="dxa"/>
            <w:tcBorders>
              <w:top w:val="nil"/>
              <w:bottom w:val="nil"/>
            </w:tcBorders>
          </w:tcPr>
          <w:p w14:paraId="6C60E113"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5BA78339"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(5,515)</w:t>
            </w:r>
          </w:p>
        </w:tc>
        <w:tc>
          <w:tcPr>
            <w:tcW w:w="1473" w:type="dxa"/>
            <w:tcBorders>
              <w:top w:val="nil"/>
              <w:bottom w:val="nil"/>
            </w:tcBorders>
            <w:tcMar>
              <w:top w:w="28" w:type="dxa"/>
            </w:tcMar>
          </w:tcPr>
          <w:p w14:paraId="4461FC25"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6,015</w:t>
            </w:r>
            <w:r w:rsidRPr="00A96D90">
              <w:rPr>
                <w:rFonts w:asciiTheme="minorHAnsi" w:hAnsiTheme="minorHAnsi" w:cstheme="minorHAnsi"/>
                <w:color w:val="59595B"/>
                <w:sz w:val="20"/>
                <w:szCs w:val="20"/>
                <w:lang w:val="en-GB"/>
              </w:rPr>
              <w:t>)</w:t>
            </w:r>
          </w:p>
        </w:tc>
      </w:tr>
      <w:tr w:rsidR="0004342B" w:rsidRPr="00A96D90" w14:paraId="576D26C1" w14:textId="77777777" w:rsidTr="00691179">
        <w:trPr>
          <w:jc w:val="center"/>
        </w:trPr>
        <w:tc>
          <w:tcPr>
            <w:tcW w:w="5920" w:type="dxa"/>
            <w:tcBorders>
              <w:top w:val="nil"/>
              <w:bottom w:val="nil"/>
            </w:tcBorders>
          </w:tcPr>
          <w:p w14:paraId="3920B8EC"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37630708"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(444)</w:t>
            </w:r>
          </w:p>
        </w:tc>
        <w:tc>
          <w:tcPr>
            <w:tcW w:w="1473" w:type="dxa"/>
            <w:tcBorders>
              <w:top w:val="nil"/>
              <w:bottom w:val="nil"/>
            </w:tcBorders>
            <w:tcMar>
              <w:top w:w="28" w:type="dxa"/>
            </w:tcMar>
          </w:tcPr>
          <w:p w14:paraId="6D119AD1"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(1,792)</w:t>
            </w:r>
          </w:p>
        </w:tc>
      </w:tr>
      <w:tr w:rsidR="0004342B" w:rsidRPr="00A96D90" w14:paraId="6504A799" w14:textId="77777777" w:rsidTr="00691179">
        <w:trPr>
          <w:jc w:val="center"/>
        </w:trPr>
        <w:tc>
          <w:tcPr>
            <w:tcW w:w="5920" w:type="dxa"/>
            <w:tcBorders>
              <w:top w:val="nil"/>
              <w:bottom w:val="nil"/>
            </w:tcBorders>
          </w:tcPr>
          <w:p w14:paraId="1174AA6F" w14:textId="77777777" w:rsidR="0004342B" w:rsidRPr="00A96D90" w:rsidRDefault="0004342B" w:rsidP="00691179">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changes in working capital</w:t>
            </w:r>
          </w:p>
          <w:p w14:paraId="43BB2284"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7D27F2A6" w14:textId="77777777" w:rsidR="0004342B" w:rsidRPr="00F86DAD"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(10,788)</w:t>
            </w:r>
          </w:p>
        </w:tc>
        <w:tc>
          <w:tcPr>
            <w:tcW w:w="1473" w:type="dxa"/>
            <w:tcBorders>
              <w:top w:val="nil"/>
              <w:bottom w:val="nil"/>
            </w:tcBorders>
            <w:tcMar>
              <w:top w:w="28" w:type="dxa"/>
            </w:tcMar>
          </w:tcPr>
          <w:p w14:paraId="0094BC33"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7,339</w:t>
            </w:r>
            <w:r w:rsidRPr="00A96D90">
              <w:rPr>
                <w:rFonts w:asciiTheme="minorHAnsi" w:hAnsiTheme="minorHAnsi" w:cstheme="minorHAnsi"/>
                <w:b/>
                <w:color w:val="59595B"/>
                <w:sz w:val="20"/>
                <w:szCs w:val="20"/>
                <w:lang w:val="en-GB"/>
              </w:rPr>
              <w:t>)</w:t>
            </w:r>
          </w:p>
        </w:tc>
      </w:tr>
      <w:tr w:rsidR="0004342B" w:rsidRPr="00A96D90" w14:paraId="35FE053D" w14:textId="77777777" w:rsidTr="00691179">
        <w:trPr>
          <w:jc w:val="center"/>
        </w:trPr>
        <w:tc>
          <w:tcPr>
            <w:tcW w:w="5920" w:type="dxa"/>
            <w:tcBorders>
              <w:top w:val="nil"/>
              <w:bottom w:val="nil"/>
            </w:tcBorders>
          </w:tcPr>
          <w:p w14:paraId="7E9E85D3" w14:textId="77777777" w:rsidR="0004342B" w:rsidRPr="00A96D90" w:rsidRDefault="0004342B" w:rsidP="00691179">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2280F4E1" w14:textId="77777777" w:rsidR="0004342B" w:rsidRPr="00F86DAD" w:rsidRDefault="0004342B" w:rsidP="00691179">
            <w:pPr>
              <w:jc w:val="right"/>
              <w:rPr>
                <w:rFonts w:asciiTheme="minorHAnsi" w:hAnsiTheme="minorHAnsi" w:cstheme="minorHAnsi"/>
                <w:b/>
                <w:color w:val="59595B"/>
                <w:sz w:val="20"/>
                <w:szCs w:val="20"/>
                <w:highlight w:val="yellow"/>
              </w:rPr>
            </w:pPr>
            <w:r w:rsidRPr="00F86DAD">
              <w:rPr>
                <w:rFonts w:asciiTheme="minorHAnsi" w:hAnsiTheme="minorHAnsi" w:cstheme="minorHAnsi"/>
                <w:b/>
                <w:color w:val="59595B"/>
                <w:sz w:val="20"/>
                <w:szCs w:val="20"/>
              </w:rPr>
              <w:t>814</w:t>
            </w:r>
          </w:p>
        </w:tc>
        <w:tc>
          <w:tcPr>
            <w:tcW w:w="1473" w:type="dxa"/>
            <w:tcBorders>
              <w:top w:val="nil"/>
              <w:bottom w:val="nil"/>
            </w:tcBorders>
            <w:tcMar>
              <w:top w:w="28" w:type="dxa"/>
            </w:tcMar>
          </w:tcPr>
          <w:p w14:paraId="483F0DB7"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3,109</w:t>
            </w:r>
            <w:r w:rsidRPr="00A96D90">
              <w:rPr>
                <w:rFonts w:asciiTheme="minorHAnsi" w:hAnsiTheme="minorHAnsi" w:cstheme="minorHAnsi"/>
                <w:b/>
                <w:color w:val="59595B"/>
                <w:sz w:val="20"/>
                <w:szCs w:val="20"/>
                <w:lang w:val="en-GB"/>
              </w:rPr>
              <w:t>)</w:t>
            </w:r>
          </w:p>
        </w:tc>
      </w:tr>
      <w:tr w:rsidR="0004342B" w:rsidRPr="00A96D90" w14:paraId="354E34CB" w14:textId="77777777" w:rsidTr="00691179">
        <w:trPr>
          <w:jc w:val="center"/>
        </w:trPr>
        <w:tc>
          <w:tcPr>
            <w:tcW w:w="5920" w:type="dxa"/>
            <w:tcBorders>
              <w:top w:val="nil"/>
              <w:bottom w:val="nil"/>
            </w:tcBorders>
          </w:tcPr>
          <w:p w14:paraId="6D1BD43E" w14:textId="77777777" w:rsidR="0004342B" w:rsidRPr="00A96D90" w:rsidRDefault="0004342B" w:rsidP="00691179">
            <w:pPr>
              <w:rPr>
                <w:rFonts w:asciiTheme="minorHAnsi" w:hAnsiTheme="minorHAnsi" w:cs="Arial"/>
                <w:b/>
                <w:bCs/>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5FAA3B9E"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20BE0839"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9F20B3" w14:paraId="68627105" w14:textId="77777777" w:rsidTr="00691179">
        <w:trPr>
          <w:jc w:val="center"/>
        </w:trPr>
        <w:tc>
          <w:tcPr>
            <w:tcW w:w="5920" w:type="dxa"/>
            <w:tcBorders>
              <w:top w:val="nil"/>
              <w:bottom w:val="nil"/>
            </w:tcBorders>
          </w:tcPr>
          <w:p w14:paraId="144C3188" w14:textId="77777777" w:rsidR="0004342B" w:rsidRPr="003E258D" w:rsidRDefault="0004342B" w:rsidP="00691179">
            <w:pPr>
              <w:rPr>
                <w:rFonts w:asciiTheme="minorHAnsi" w:hAnsiTheme="minorHAnsi" w:cs="Arial"/>
                <w:b/>
                <w:bCs/>
                <w:color w:val="59595B"/>
                <w:sz w:val="20"/>
                <w:szCs w:val="20"/>
              </w:rPr>
            </w:pPr>
            <w:r>
              <w:rPr>
                <w:rFonts w:asciiTheme="minorHAnsi" w:hAnsiTheme="minorHAnsi" w:cs="Arial"/>
                <w:b/>
                <w:bCs/>
                <w:color w:val="59595B"/>
                <w:sz w:val="20"/>
                <w:szCs w:val="20"/>
              </w:rPr>
              <w:t>Cash generated from (used in) operations before interest and taxes</w:t>
            </w:r>
          </w:p>
        </w:tc>
        <w:tc>
          <w:tcPr>
            <w:tcW w:w="1559" w:type="dxa"/>
            <w:tcBorders>
              <w:top w:val="nil"/>
              <w:bottom w:val="nil"/>
            </w:tcBorders>
            <w:shd w:val="clear" w:color="auto" w:fill="F2F2F2" w:themeFill="background1" w:themeFillShade="F2"/>
            <w:tcMar>
              <w:top w:w="28" w:type="dxa"/>
            </w:tcMar>
          </w:tcPr>
          <w:p w14:paraId="4A14E375"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9,566</w:t>
            </w:r>
          </w:p>
        </w:tc>
        <w:tc>
          <w:tcPr>
            <w:tcW w:w="1473" w:type="dxa"/>
            <w:tcBorders>
              <w:top w:val="nil"/>
              <w:bottom w:val="nil"/>
            </w:tcBorders>
            <w:tcMar>
              <w:top w:w="28" w:type="dxa"/>
            </w:tcMar>
          </w:tcPr>
          <w:p w14:paraId="1E66CA0F" w14:textId="77777777" w:rsidR="0004342B" w:rsidRPr="009F20B3" w:rsidRDefault="0004342B" w:rsidP="00691179">
            <w:pPr>
              <w:jc w:val="right"/>
              <w:rPr>
                <w:rFonts w:asciiTheme="minorHAnsi" w:hAnsiTheme="minorHAnsi" w:cstheme="minorHAnsi"/>
                <w:b/>
                <w:color w:val="59595B"/>
                <w:sz w:val="20"/>
                <w:szCs w:val="20"/>
              </w:rPr>
            </w:pPr>
            <w:r w:rsidRPr="009F20B3">
              <w:rPr>
                <w:rFonts w:asciiTheme="minorHAnsi" w:hAnsiTheme="minorHAnsi" w:cstheme="minorHAnsi"/>
                <w:b/>
                <w:color w:val="59595B"/>
                <w:sz w:val="20"/>
                <w:szCs w:val="20"/>
              </w:rPr>
              <w:t>(4,190)</w:t>
            </w:r>
          </w:p>
        </w:tc>
      </w:tr>
      <w:tr w:rsidR="0004342B" w:rsidRPr="00A96D90" w14:paraId="6A827A8F" w14:textId="77777777" w:rsidTr="00691179">
        <w:trPr>
          <w:jc w:val="center"/>
        </w:trPr>
        <w:tc>
          <w:tcPr>
            <w:tcW w:w="5920" w:type="dxa"/>
            <w:tcBorders>
              <w:top w:val="nil"/>
              <w:bottom w:val="nil"/>
            </w:tcBorders>
          </w:tcPr>
          <w:p w14:paraId="2396C946" w14:textId="77777777" w:rsidR="0004342B" w:rsidRPr="00A96D90" w:rsidRDefault="0004342B" w:rsidP="00691179">
            <w:pPr>
              <w:rPr>
                <w:rFonts w:asciiTheme="minorHAnsi" w:hAnsiTheme="minorHAnsi" w:cs="Arial"/>
                <w:b/>
                <w:bCs/>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6AB450F4"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22928845"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503C3A8" w14:textId="77777777" w:rsidTr="00691179">
        <w:trPr>
          <w:jc w:val="center"/>
        </w:trPr>
        <w:tc>
          <w:tcPr>
            <w:tcW w:w="5920" w:type="dxa"/>
            <w:tcBorders>
              <w:top w:val="nil"/>
              <w:bottom w:val="nil"/>
            </w:tcBorders>
          </w:tcPr>
          <w:p w14:paraId="2AA4A255" w14:textId="77777777" w:rsidR="0004342B" w:rsidRPr="003E258D" w:rsidRDefault="0004342B" w:rsidP="00691179">
            <w:pPr>
              <w:rPr>
                <w:rFonts w:asciiTheme="minorHAnsi" w:hAnsiTheme="minorHAnsi" w:cs="Arial"/>
                <w:bCs/>
                <w:color w:val="59595B"/>
                <w:sz w:val="20"/>
                <w:szCs w:val="20"/>
              </w:rPr>
            </w:pPr>
            <w:r w:rsidRPr="003E258D">
              <w:rPr>
                <w:rFonts w:asciiTheme="minorHAnsi" w:hAnsiTheme="minorHAnsi" w:cs="Arial"/>
                <w:bCs/>
                <w:color w:val="59595B"/>
                <w:sz w:val="20"/>
                <w:szCs w:val="20"/>
              </w:rPr>
              <w:t>Interest received</w:t>
            </w:r>
          </w:p>
        </w:tc>
        <w:tc>
          <w:tcPr>
            <w:tcW w:w="1559" w:type="dxa"/>
            <w:tcBorders>
              <w:top w:val="nil"/>
              <w:bottom w:val="nil"/>
            </w:tcBorders>
            <w:shd w:val="clear" w:color="auto" w:fill="F2F2F2" w:themeFill="background1" w:themeFillShade="F2"/>
            <w:tcMar>
              <w:top w:w="28" w:type="dxa"/>
            </w:tcMar>
          </w:tcPr>
          <w:p w14:paraId="08F45D51"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21AC9603" w14:textId="77777777" w:rsidR="0004342B" w:rsidRPr="009F20B3"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04342B" w:rsidRPr="00A96D90" w14:paraId="3F278C1A" w14:textId="77777777" w:rsidTr="00691179">
        <w:trPr>
          <w:jc w:val="center"/>
        </w:trPr>
        <w:tc>
          <w:tcPr>
            <w:tcW w:w="5920" w:type="dxa"/>
            <w:tcBorders>
              <w:top w:val="nil"/>
              <w:bottom w:val="single" w:sz="4" w:space="0" w:color="BFBFBF" w:themeColor="background1" w:themeShade="BF"/>
            </w:tcBorders>
          </w:tcPr>
          <w:p w14:paraId="2C760AAE" w14:textId="77777777" w:rsidR="0004342B" w:rsidRPr="00A96D90" w:rsidRDefault="0004342B" w:rsidP="00691179">
            <w:pPr>
              <w:rPr>
                <w:rFonts w:asciiTheme="minorHAnsi" w:hAnsiTheme="minorHAnsi" w:cs="Arial"/>
                <w:b/>
                <w:bCs/>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4784786C"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400C9E74"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5748C1BD" w14:textId="77777777" w:rsidTr="00691179">
        <w:trPr>
          <w:jc w:val="center"/>
        </w:trPr>
        <w:tc>
          <w:tcPr>
            <w:tcW w:w="5920" w:type="dxa"/>
            <w:tcBorders>
              <w:top w:val="single" w:sz="4" w:space="0" w:color="BFBFBF" w:themeColor="background1" w:themeShade="BF"/>
              <w:bottom w:val="single" w:sz="4" w:space="0" w:color="BFBFBF" w:themeColor="background1" w:themeShade="BF"/>
            </w:tcBorders>
          </w:tcPr>
          <w:p w14:paraId="6B36919E" w14:textId="77777777" w:rsidR="0004342B" w:rsidRPr="007707C3" w:rsidRDefault="0004342B" w:rsidP="00691179">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w:t>
            </w:r>
            <w:r>
              <w:rPr>
                <w:rFonts w:asciiTheme="minorHAnsi" w:hAnsiTheme="minorHAnsi" w:cstheme="minorHAnsi"/>
                <w:b/>
                <w:color w:val="0070C0"/>
                <w:sz w:val="20"/>
                <w:szCs w:val="20"/>
              </w:rPr>
              <w:t xml:space="preserve"> generated from (</w:t>
            </w:r>
            <w:r w:rsidRPr="007707C3">
              <w:rPr>
                <w:rFonts w:asciiTheme="minorHAnsi" w:hAnsiTheme="minorHAnsi" w:cstheme="minorHAnsi"/>
                <w:b/>
                <w:color w:val="0070C0"/>
                <w:sz w:val="20"/>
                <w:szCs w:val="20"/>
                <w:lang w:val="en-GB"/>
              </w:rPr>
              <w:t>used in</w:t>
            </w:r>
            <w:r>
              <w:rPr>
                <w:rFonts w:asciiTheme="minorHAnsi" w:hAnsiTheme="minorHAnsi" w:cstheme="minorHAnsi"/>
                <w:b/>
                <w:color w:val="0070C0"/>
                <w:sz w:val="20"/>
                <w:szCs w:val="20"/>
              </w:rPr>
              <w:t>)</w:t>
            </w:r>
            <w:r w:rsidRPr="007707C3">
              <w:rPr>
                <w:rFonts w:asciiTheme="minorHAnsi" w:hAnsiTheme="minorHAnsi" w:cstheme="minorHAnsi"/>
                <w:b/>
                <w:color w:val="0070C0"/>
                <w:sz w:val="20"/>
                <w:szCs w:val="20"/>
                <w:lang w:val="en-GB"/>
              </w:rPr>
              <w:t xml:space="preserve"> 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277D41E0"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9,566</w:t>
            </w:r>
          </w:p>
        </w:tc>
        <w:tc>
          <w:tcPr>
            <w:tcW w:w="1473" w:type="dxa"/>
            <w:tcBorders>
              <w:top w:val="single" w:sz="4" w:space="0" w:color="BFBFBF" w:themeColor="background1" w:themeShade="BF"/>
              <w:bottom w:val="single" w:sz="4" w:space="0" w:color="BFBFBF" w:themeColor="background1" w:themeShade="BF"/>
            </w:tcBorders>
            <w:tcMar>
              <w:top w:w="28" w:type="dxa"/>
            </w:tcMar>
          </w:tcPr>
          <w:p w14:paraId="0B550260" w14:textId="77777777" w:rsidR="0004342B" w:rsidRPr="007707C3" w:rsidRDefault="0004342B" w:rsidP="00691179">
            <w:pPr>
              <w:jc w:val="right"/>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w:t>
            </w:r>
            <w:r>
              <w:rPr>
                <w:rFonts w:asciiTheme="minorHAnsi" w:hAnsiTheme="minorHAnsi" w:cstheme="minorHAnsi"/>
                <w:b/>
                <w:color w:val="0070C0"/>
                <w:sz w:val="20"/>
                <w:szCs w:val="20"/>
              </w:rPr>
              <w:t>4,190</w:t>
            </w:r>
            <w:r w:rsidRPr="007707C3">
              <w:rPr>
                <w:rFonts w:asciiTheme="minorHAnsi" w:hAnsiTheme="minorHAnsi" w:cstheme="minorHAnsi"/>
                <w:b/>
                <w:color w:val="0070C0"/>
                <w:sz w:val="20"/>
                <w:szCs w:val="20"/>
                <w:lang w:val="en-GB"/>
              </w:rPr>
              <w:t>)</w:t>
            </w:r>
          </w:p>
        </w:tc>
      </w:tr>
      <w:tr w:rsidR="0004342B" w:rsidRPr="00A96D90" w14:paraId="4A569138" w14:textId="77777777" w:rsidTr="00691179">
        <w:trPr>
          <w:jc w:val="center"/>
        </w:trPr>
        <w:tc>
          <w:tcPr>
            <w:tcW w:w="5920" w:type="dxa"/>
            <w:tcBorders>
              <w:bottom w:val="nil"/>
            </w:tcBorders>
          </w:tcPr>
          <w:p w14:paraId="1D3D5797"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5555ECDC"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5C6C85D1"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092E7232" w14:textId="77777777" w:rsidTr="00691179">
        <w:trPr>
          <w:jc w:val="center"/>
        </w:trPr>
        <w:tc>
          <w:tcPr>
            <w:tcW w:w="5920" w:type="dxa"/>
            <w:tcBorders>
              <w:top w:val="nil"/>
              <w:bottom w:val="nil"/>
            </w:tcBorders>
          </w:tcPr>
          <w:p w14:paraId="760DF991"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112C22EB"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(1,380)</w:t>
            </w:r>
          </w:p>
        </w:tc>
        <w:tc>
          <w:tcPr>
            <w:tcW w:w="1473" w:type="dxa"/>
            <w:tcBorders>
              <w:top w:val="nil"/>
              <w:bottom w:val="nil"/>
            </w:tcBorders>
            <w:tcMar>
              <w:top w:w="28" w:type="dxa"/>
            </w:tcMar>
          </w:tcPr>
          <w:p w14:paraId="654452EE"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1,457</w:t>
            </w:r>
            <w:r w:rsidRPr="00A96D90">
              <w:rPr>
                <w:rFonts w:asciiTheme="minorHAnsi" w:hAnsiTheme="minorHAnsi" w:cstheme="minorHAnsi"/>
                <w:color w:val="59595B"/>
                <w:sz w:val="20"/>
                <w:szCs w:val="20"/>
                <w:lang w:val="en-GB"/>
              </w:rPr>
              <w:t>)</w:t>
            </w:r>
          </w:p>
        </w:tc>
      </w:tr>
      <w:tr w:rsidR="0004342B" w:rsidRPr="00A96D90" w14:paraId="4FB63062" w14:textId="77777777" w:rsidTr="00691179">
        <w:trPr>
          <w:jc w:val="center"/>
        </w:trPr>
        <w:tc>
          <w:tcPr>
            <w:tcW w:w="5920" w:type="dxa"/>
            <w:tcBorders>
              <w:top w:val="nil"/>
              <w:bottom w:val="nil"/>
            </w:tcBorders>
          </w:tcPr>
          <w:p w14:paraId="55DF93B2"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Investment intangible assets</w:t>
            </w:r>
          </w:p>
        </w:tc>
        <w:tc>
          <w:tcPr>
            <w:tcW w:w="1559" w:type="dxa"/>
            <w:tcBorders>
              <w:top w:val="nil"/>
              <w:bottom w:val="nil"/>
            </w:tcBorders>
            <w:shd w:val="clear" w:color="auto" w:fill="F2F2F2" w:themeFill="background1" w:themeFillShade="F2"/>
            <w:tcMar>
              <w:top w:w="28" w:type="dxa"/>
            </w:tcMar>
          </w:tcPr>
          <w:p w14:paraId="7D3201F5"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(634)</w:t>
            </w:r>
          </w:p>
        </w:tc>
        <w:tc>
          <w:tcPr>
            <w:tcW w:w="1473" w:type="dxa"/>
            <w:tcBorders>
              <w:top w:val="nil"/>
              <w:bottom w:val="nil"/>
            </w:tcBorders>
            <w:tcMar>
              <w:top w:w="28" w:type="dxa"/>
            </w:tcMar>
          </w:tcPr>
          <w:p w14:paraId="0281FC3C"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(598)</w:t>
            </w:r>
          </w:p>
        </w:tc>
      </w:tr>
      <w:tr w:rsidR="0004342B" w:rsidRPr="00A96D90" w14:paraId="2CE3C7E4" w14:textId="77777777" w:rsidTr="00691179">
        <w:trPr>
          <w:jc w:val="center"/>
        </w:trPr>
        <w:tc>
          <w:tcPr>
            <w:tcW w:w="5920" w:type="dxa"/>
            <w:tcBorders>
              <w:top w:val="nil"/>
              <w:bottom w:val="single" w:sz="4" w:space="0" w:color="BFBFBF" w:themeColor="background1" w:themeShade="BF"/>
            </w:tcBorders>
          </w:tcPr>
          <w:p w14:paraId="1B6B0E5A"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751248A4" w14:textId="77777777" w:rsidR="0004342B" w:rsidRPr="00A96D90" w:rsidRDefault="0004342B" w:rsidP="00691179">
            <w:pPr>
              <w:jc w:val="right"/>
              <w:rPr>
                <w:rFonts w:asciiTheme="minorHAnsi" w:hAnsiTheme="minorHAnsi" w:cs="Arial"/>
                <w:bCs/>
                <w:color w:val="59595B"/>
                <w:sz w:val="20"/>
                <w:lang w:val="en-GB"/>
              </w:rPr>
            </w:pPr>
          </w:p>
        </w:tc>
        <w:tc>
          <w:tcPr>
            <w:tcW w:w="1473" w:type="dxa"/>
            <w:tcBorders>
              <w:top w:val="nil"/>
              <w:bottom w:val="single" w:sz="4" w:space="0" w:color="BFBFBF" w:themeColor="background1" w:themeShade="BF"/>
            </w:tcBorders>
            <w:tcMar>
              <w:top w:w="28" w:type="dxa"/>
            </w:tcMar>
          </w:tcPr>
          <w:p w14:paraId="5979B363"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7707C3" w14:paraId="5CC93F02" w14:textId="77777777" w:rsidTr="00691179">
        <w:trPr>
          <w:jc w:val="center"/>
        </w:trPr>
        <w:tc>
          <w:tcPr>
            <w:tcW w:w="5920" w:type="dxa"/>
            <w:tcBorders>
              <w:top w:val="single" w:sz="4" w:space="0" w:color="BFBFBF" w:themeColor="background1" w:themeShade="BF"/>
              <w:bottom w:val="single" w:sz="4" w:space="0" w:color="BFBFBF" w:themeColor="background1" w:themeShade="BF"/>
            </w:tcBorders>
          </w:tcPr>
          <w:p w14:paraId="39783106" w14:textId="77777777" w:rsidR="0004342B" w:rsidRPr="007707C3" w:rsidRDefault="0004342B" w:rsidP="00691179">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2FD79B0"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(2,014)</w:t>
            </w:r>
          </w:p>
        </w:tc>
        <w:tc>
          <w:tcPr>
            <w:tcW w:w="1473" w:type="dxa"/>
            <w:tcBorders>
              <w:top w:val="single" w:sz="4" w:space="0" w:color="BFBFBF" w:themeColor="background1" w:themeShade="BF"/>
              <w:bottom w:val="single" w:sz="4" w:space="0" w:color="BFBFBF" w:themeColor="background1" w:themeShade="BF"/>
            </w:tcBorders>
            <w:tcMar>
              <w:top w:w="28" w:type="dxa"/>
            </w:tcMar>
          </w:tcPr>
          <w:p w14:paraId="61322BDA" w14:textId="77777777" w:rsidR="0004342B" w:rsidRPr="007707C3" w:rsidRDefault="0004342B" w:rsidP="00691179">
            <w:pPr>
              <w:jc w:val="right"/>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w:t>
            </w:r>
            <w:r>
              <w:rPr>
                <w:rFonts w:asciiTheme="minorHAnsi" w:hAnsiTheme="minorHAnsi" w:cstheme="minorHAnsi"/>
                <w:b/>
                <w:color w:val="0070C0"/>
                <w:sz w:val="20"/>
                <w:szCs w:val="20"/>
              </w:rPr>
              <w:t>2,055</w:t>
            </w:r>
            <w:r w:rsidRPr="007707C3">
              <w:rPr>
                <w:rFonts w:asciiTheme="minorHAnsi" w:hAnsiTheme="minorHAnsi" w:cstheme="minorHAnsi"/>
                <w:b/>
                <w:color w:val="0070C0"/>
                <w:sz w:val="20"/>
                <w:szCs w:val="20"/>
                <w:lang w:val="en-GB"/>
              </w:rPr>
              <w:t>)</w:t>
            </w:r>
          </w:p>
        </w:tc>
      </w:tr>
      <w:tr w:rsidR="0004342B" w:rsidRPr="00A96D90" w14:paraId="7DD935E1" w14:textId="77777777" w:rsidTr="00691179">
        <w:trPr>
          <w:jc w:val="center"/>
        </w:trPr>
        <w:tc>
          <w:tcPr>
            <w:tcW w:w="5920" w:type="dxa"/>
            <w:tcBorders>
              <w:bottom w:val="nil"/>
            </w:tcBorders>
          </w:tcPr>
          <w:p w14:paraId="2F831063"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52186594" w14:textId="77777777" w:rsidR="0004342B" w:rsidRPr="00A96D90" w:rsidRDefault="0004342B" w:rsidP="00691179">
            <w:pPr>
              <w:jc w:val="right"/>
              <w:rPr>
                <w:rFonts w:asciiTheme="minorHAnsi" w:hAnsiTheme="minorHAnsi" w:cs="Arial"/>
                <w:bCs/>
                <w:color w:val="59595B"/>
                <w:sz w:val="20"/>
                <w:lang w:val="en-GB"/>
              </w:rPr>
            </w:pPr>
          </w:p>
        </w:tc>
        <w:tc>
          <w:tcPr>
            <w:tcW w:w="1473" w:type="dxa"/>
            <w:tcBorders>
              <w:bottom w:val="nil"/>
            </w:tcBorders>
            <w:tcMar>
              <w:top w:w="28" w:type="dxa"/>
            </w:tcMar>
          </w:tcPr>
          <w:p w14:paraId="0CFDC0C6"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C430116" w14:textId="77777777" w:rsidTr="00691179">
        <w:trPr>
          <w:jc w:val="center"/>
        </w:trPr>
        <w:tc>
          <w:tcPr>
            <w:tcW w:w="5920" w:type="dxa"/>
            <w:tcBorders>
              <w:top w:val="nil"/>
              <w:bottom w:val="nil"/>
            </w:tcBorders>
          </w:tcPr>
          <w:p w14:paraId="10F503A9"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loans and borrowings</w:t>
            </w:r>
          </w:p>
        </w:tc>
        <w:tc>
          <w:tcPr>
            <w:tcW w:w="1559" w:type="dxa"/>
            <w:tcBorders>
              <w:top w:val="nil"/>
              <w:bottom w:val="nil"/>
            </w:tcBorders>
            <w:shd w:val="clear" w:color="auto" w:fill="F2F2F2" w:themeFill="background1" w:themeFillShade="F2"/>
            <w:tcMar>
              <w:top w:w="28" w:type="dxa"/>
            </w:tcMar>
          </w:tcPr>
          <w:p w14:paraId="229A14E2"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0C1FD535"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89,139</w:t>
            </w:r>
          </w:p>
        </w:tc>
      </w:tr>
      <w:tr w:rsidR="0004342B" w:rsidRPr="00A96D90" w14:paraId="4C48F05C" w14:textId="77777777" w:rsidTr="00691179">
        <w:trPr>
          <w:jc w:val="center"/>
        </w:trPr>
        <w:tc>
          <w:tcPr>
            <w:tcW w:w="5920" w:type="dxa"/>
            <w:tcBorders>
              <w:top w:val="nil"/>
              <w:bottom w:val="nil"/>
            </w:tcBorders>
          </w:tcPr>
          <w:p w14:paraId="718D709F" w14:textId="77777777" w:rsidR="0004342B" w:rsidRPr="009F20B3" w:rsidRDefault="0004342B" w:rsidP="00691179">
            <w:pPr>
              <w:rPr>
                <w:rFonts w:asciiTheme="minorHAnsi" w:hAnsiTheme="minorHAnsi" w:cstheme="minorHAnsi"/>
                <w:color w:val="59595B"/>
                <w:sz w:val="20"/>
                <w:szCs w:val="20"/>
              </w:rPr>
            </w:pPr>
            <w:r w:rsidRPr="00A96D90">
              <w:rPr>
                <w:rFonts w:asciiTheme="minorHAnsi" w:hAnsiTheme="minorHAnsi" w:cstheme="minorHAnsi"/>
                <w:color w:val="59595B"/>
                <w:sz w:val="20"/>
                <w:szCs w:val="20"/>
                <w:lang w:val="en-GB"/>
              </w:rPr>
              <w:t>Payments of transaction fees</w:t>
            </w:r>
            <w:r>
              <w:rPr>
                <w:rFonts w:asciiTheme="minorHAnsi" w:hAnsiTheme="minorHAnsi" w:cstheme="minorHAnsi"/>
                <w:color w:val="59595B"/>
                <w:sz w:val="20"/>
                <w:szCs w:val="20"/>
              </w:rPr>
              <w:t xml:space="preserve"> and expenses</w:t>
            </w:r>
          </w:p>
        </w:tc>
        <w:tc>
          <w:tcPr>
            <w:tcW w:w="1559" w:type="dxa"/>
            <w:tcBorders>
              <w:top w:val="nil"/>
              <w:bottom w:val="nil"/>
            </w:tcBorders>
            <w:shd w:val="clear" w:color="auto" w:fill="F2F2F2" w:themeFill="background1" w:themeFillShade="F2"/>
            <w:tcMar>
              <w:top w:w="28" w:type="dxa"/>
            </w:tcMar>
          </w:tcPr>
          <w:p w14:paraId="5A26767A"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c>
          <w:tcPr>
            <w:tcW w:w="1473" w:type="dxa"/>
            <w:tcBorders>
              <w:top w:val="nil"/>
              <w:bottom w:val="nil"/>
            </w:tcBorders>
            <w:tcMar>
              <w:top w:w="28" w:type="dxa"/>
            </w:tcMar>
          </w:tcPr>
          <w:p w14:paraId="109C03C2" w14:textId="77777777" w:rsidR="0004342B" w:rsidRPr="00AE5569"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(16,051)</w:t>
            </w:r>
          </w:p>
        </w:tc>
      </w:tr>
      <w:tr w:rsidR="0004342B" w:rsidRPr="00A96D90" w14:paraId="65F0C278" w14:textId="77777777" w:rsidTr="00691179">
        <w:trPr>
          <w:jc w:val="center"/>
        </w:trPr>
        <w:tc>
          <w:tcPr>
            <w:tcW w:w="5920" w:type="dxa"/>
            <w:tcBorders>
              <w:top w:val="nil"/>
              <w:bottom w:val="nil"/>
            </w:tcBorders>
          </w:tcPr>
          <w:p w14:paraId="2539CCD2" w14:textId="77777777" w:rsidR="0004342B" w:rsidRPr="00A96D90" w:rsidRDefault="0004342B" w:rsidP="00691179">
            <w:pPr>
              <w:rPr>
                <w:rFonts w:asciiTheme="minorHAnsi" w:hAnsiTheme="minorHAnsi" w:cstheme="minorHAnsi"/>
                <w:color w:val="59595B"/>
                <w:sz w:val="20"/>
                <w:szCs w:val="20"/>
                <w:lang w:val="en-GB"/>
              </w:rPr>
            </w:pPr>
            <w:r>
              <w:rPr>
                <w:rFonts w:asciiTheme="minorHAnsi" w:hAnsiTheme="minorHAnsi" w:cstheme="minorHAnsi"/>
                <w:color w:val="59595B"/>
                <w:sz w:val="20"/>
                <w:szCs w:val="20"/>
              </w:rPr>
              <w:t>Prep</w:t>
            </w:r>
            <w:r w:rsidRPr="00A96D90">
              <w:rPr>
                <w:rFonts w:asciiTheme="minorHAnsi" w:hAnsiTheme="minorHAnsi" w:cstheme="minorHAnsi"/>
                <w:color w:val="59595B"/>
                <w:sz w:val="20"/>
                <w:szCs w:val="20"/>
                <w:lang w:val="en-GB"/>
              </w:rPr>
              <w:t xml:space="preserve">ayments and </w:t>
            </w:r>
            <w:r>
              <w:rPr>
                <w:rFonts w:asciiTheme="minorHAnsi" w:hAnsiTheme="minorHAnsi" w:cstheme="minorHAnsi"/>
                <w:color w:val="59595B"/>
                <w:sz w:val="20"/>
                <w:szCs w:val="20"/>
              </w:rPr>
              <w:t>interests on loans and borrowings</w:t>
            </w:r>
          </w:p>
        </w:tc>
        <w:tc>
          <w:tcPr>
            <w:tcW w:w="1559" w:type="dxa"/>
            <w:tcBorders>
              <w:top w:val="nil"/>
              <w:bottom w:val="nil"/>
            </w:tcBorders>
            <w:shd w:val="clear" w:color="auto" w:fill="F2F2F2" w:themeFill="background1" w:themeFillShade="F2"/>
            <w:tcMar>
              <w:top w:w="28" w:type="dxa"/>
            </w:tcMar>
          </w:tcPr>
          <w:p w14:paraId="35734E22"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(7,622)</w:t>
            </w:r>
          </w:p>
        </w:tc>
        <w:tc>
          <w:tcPr>
            <w:tcW w:w="1473" w:type="dxa"/>
            <w:tcBorders>
              <w:top w:val="nil"/>
              <w:bottom w:val="nil"/>
            </w:tcBorders>
            <w:tcMar>
              <w:top w:w="28" w:type="dxa"/>
            </w:tcMar>
          </w:tcPr>
          <w:p w14:paraId="238950E2" w14:textId="77777777" w:rsidR="0004342B" w:rsidRPr="00A96D90" w:rsidRDefault="0004342B" w:rsidP="00691179">
            <w:pPr>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(73,399)</w:t>
            </w:r>
          </w:p>
        </w:tc>
      </w:tr>
      <w:tr w:rsidR="0004342B" w:rsidRPr="00A96D90" w14:paraId="651C1783" w14:textId="77777777" w:rsidTr="00691179">
        <w:trPr>
          <w:jc w:val="center"/>
        </w:trPr>
        <w:tc>
          <w:tcPr>
            <w:tcW w:w="5920" w:type="dxa"/>
            <w:tcBorders>
              <w:top w:val="nil"/>
              <w:bottom w:val="nil"/>
            </w:tcBorders>
          </w:tcPr>
          <w:p w14:paraId="606163A9"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13394415"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6,907</w:t>
            </w:r>
          </w:p>
        </w:tc>
        <w:tc>
          <w:tcPr>
            <w:tcW w:w="1473" w:type="dxa"/>
            <w:tcBorders>
              <w:top w:val="nil"/>
              <w:bottom w:val="nil"/>
            </w:tcBorders>
            <w:tcMar>
              <w:top w:w="28" w:type="dxa"/>
            </w:tcMar>
          </w:tcPr>
          <w:p w14:paraId="16F58C82" w14:textId="77777777" w:rsidR="0004342B" w:rsidRPr="00AE5569"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284</w:t>
            </w:r>
          </w:p>
        </w:tc>
      </w:tr>
      <w:tr w:rsidR="0004342B" w:rsidRPr="00A96D90" w14:paraId="72776AC0" w14:textId="77777777" w:rsidTr="00691179">
        <w:trPr>
          <w:jc w:val="center"/>
        </w:trPr>
        <w:tc>
          <w:tcPr>
            <w:tcW w:w="5920" w:type="dxa"/>
            <w:tcBorders>
              <w:top w:val="nil"/>
              <w:bottom w:val="single" w:sz="4" w:space="0" w:color="BFBFBF" w:themeColor="background1" w:themeShade="BF"/>
            </w:tcBorders>
          </w:tcPr>
          <w:p w14:paraId="01BEF6F4" w14:textId="77777777" w:rsidR="0004342B" w:rsidRPr="00A96D90" w:rsidRDefault="0004342B" w:rsidP="00691179">
            <w:pPr>
              <w:rPr>
                <w:rFonts w:asciiTheme="minorHAnsi" w:hAnsiTheme="minorHAnsi" w:cstheme="minorHAnsi"/>
                <w:b/>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16149382" w14:textId="77777777" w:rsidR="0004342B" w:rsidRPr="00A96D90" w:rsidRDefault="0004342B" w:rsidP="00691179">
            <w:pPr>
              <w:jc w:val="right"/>
              <w:rPr>
                <w:rFonts w:asciiTheme="minorHAnsi" w:hAnsiTheme="minorHAnsi" w:cstheme="minorHAnsi"/>
                <w:b/>
                <w:color w:val="59595B"/>
                <w:sz w:val="20"/>
                <w:szCs w:val="20"/>
                <w:lang w:val="en-GB"/>
              </w:rPr>
            </w:pPr>
          </w:p>
        </w:tc>
        <w:tc>
          <w:tcPr>
            <w:tcW w:w="1473" w:type="dxa"/>
            <w:tcBorders>
              <w:top w:val="nil"/>
              <w:bottom w:val="single" w:sz="4" w:space="0" w:color="BFBFBF" w:themeColor="background1" w:themeShade="BF"/>
            </w:tcBorders>
            <w:tcMar>
              <w:top w:w="28" w:type="dxa"/>
            </w:tcMar>
          </w:tcPr>
          <w:p w14:paraId="2E6BA3CB"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6B392556" w14:textId="77777777" w:rsidTr="00691179">
        <w:trPr>
          <w:jc w:val="center"/>
        </w:trPr>
        <w:tc>
          <w:tcPr>
            <w:tcW w:w="5920" w:type="dxa"/>
            <w:tcBorders>
              <w:top w:val="single" w:sz="4" w:space="0" w:color="BFBFBF" w:themeColor="background1" w:themeShade="BF"/>
              <w:bottom w:val="single" w:sz="4" w:space="0" w:color="BFBFBF" w:themeColor="background1" w:themeShade="BF"/>
            </w:tcBorders>
          </w:tcPr>
          <w:p w14:paraId="6A4736F1" w14:textId="77777777" w:rsidR="0004342B" w:rsidRPr="007707C3" w:rsidRDefault="0004342B" w:rsidP="00691179">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 xml:space="preserve">Net cash flows </w:t>
            </w:r>
            <w:r>
              <w:rPr>
                <w:rFonts w:asciiTheme="minorHAnsi" w:hAnsiTheme="minorHAnsi" w:cstheme="minorHAnsi"/>
                <w:b/>
                <w:color w:val="0070C0"/>
                <w:sz w:val="20"/>
                <w:szCs w:val="20"/>
              </w:rPr>
              <w:t>generated from (used in)</w:t>
            </w:r>
            <w:r w:rsidRPr="007707C3">
              <w:rPr>
                <w:rFonts w:asciiTheme="minorHAnsi" w:hAnsiTheme="minorHAnsi" w:cstheme="minorHAnsi"/>
                <w:b/>
                <w:color w:val="0070C0"/>
                <w:sz w:val="20"/>
                <w:szCs w:val="20"/>
                <w:lang w:val="en-GB"/>
              </w:rPr>
              <w:t xml:space="preserve">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913AAAB"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(715)</w:t>
            </w:r>
          </w:p>
        </w:tc>
        <w:tc>
          <w:tcPr>
            <w:tcW w:w="1473" w:type="dxa"/>
            <w:tcBorders>
              <w:top w:val="single" w:sz="4" w:space="0" w:color="BFBFBF" w:themeColor="background1" w:themeShade="BF"/>
              <w:bottom w:val="single" w:sz="4" w:space="0" w:color="BFBFBF" w:themeColor="background1" w:themeShade="BF"/>
            </w:tcBorders>
            <w:tcMar>
              <w:top w:w="28" w:type="dxa"/>
            </w:tcMar>
          </w:tcPr>
          <w:p w14:paraId="12874A46" w14:textId="77777777" w:rsidR="0004342B" w:rsidRPr="007707C3" w:rsidRDefault="0004342B" w:rsidP="00691179">
            <w:pPr>
              <w:jc w:val="right"/>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w:t>
            </w:r>
            <w:r>
              <w:rPr>
                <w:rFonts w:asciiTheme="minorHAnsi" w:hAnsiTheme="minorHAnsi" w:cstheme="minorHAnsi"/>
                <w:b/>
                <w:color w:val="0070C0"/>
                <w:sz w:val="20"/>
                <w:szCs w:val="20"/>
              </w:rPr>
              <w:t>27</w:t>
            </w:r>
            <w:r w:rsidRPr="007707C3">
              <w:rPr>
                <w:rFonts w:asciiTheme="minorHAnsi" w:hAnsiTheme="minorHAnsi" w:cstheme="minorHAnsi"/>
                <w:b/>
                <w:color w:val="0070C0"/>
                <w:sz w:val="20"/>
                <w:szCs w:val="20"/>
                <w:lang w:val="en-GB"/>
              </w:rPr>
              <w:t>)</w:t>
            </w:r>
          </w:p>
        </w:tc>
      </w:tr>
      <w:tr w:rsidR="0004342B" w:rsidRPr="00A96D90" w14:paraId="10170AE1" w14:textId="77777777" w:rsidTr="00691179">
        <w:trPr>
          <w:jc w:val="center"/>
        </w:trPr>
        <w:tc>
          <w:tcPr>
            <w:tcW w:w="5920" w:type="dxa"/>
            <w:tcBorders>
              <w:bottom w:val="nil"/>
            </w:tcBorders>
          </w:tcPr>
          <w:p w14:paraId="0A5A4024"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435B6E22"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259CEC04"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18D03AC0" w14:textId="77777777" w:rsidTr="00691179">
        <w:trPr>
          <w:jc w:val="center"/>
        </w:trPr>
        <w:tc>
          <w:tcPr>
            <w:tcW w:w="5920" w:type="dxa"/>
            <w:tcBorders>
              <w:top w:val="nil"/>
              <w:bottom w:val="nil"/>
            </w:tcBorders>
          </w:tcPr>
          <w:p w14:paraId="5F0920C5"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7C3B06E5" w14:textId="77777777" w:rsidR="0004342B" w:rsidRPr="00F86DAD"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6,837</w:t>
            </w:r>
          </w:p>
        </w:tc>
        <w:tc>
          <w:tcPr>
            <w:tcW w:w="1473" w:type="dxa"/>
            <w:tcBorders>
              <w:top w:val="nil"/>
              <w:bottom w:val="nil"/>
            </w:tcBorders>
            <w:tcMar>
              <w:top w:w="28" w:type="dxa"/>
            </w:tcMar>
          </w:tcPr>
          <w:p w14:paraId="7F847D84" w14:textId="77777777" w:rsidR="0004342B" w:rsidRPr="00A96D90" w:rsidRDefault="0004342B" w:rsidP="00691179">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Pr>
                <w:rFonts w:asciiTheme="minorHAnsi" w:hAnsiTheme="minorHAnsi" w:cstheme="minorHAnsi"/>
                <w:b/>
                <w:color w:val="59595B"/>
                <w:sz w:val="20"/>
                <w:szCs w:val="20"/>
              </w:rPr>
              <w:t>6,272</w:t>
            </w:r>
            <w:r w:rsidRPr="00A96D90">
              <w:rPr>
                <w:rFonts w:asciiTheme="minorHAnsi" w:hAnsiTheme="minorHAnsi" w:cstheme="minorHAnsi"/>
                <w:b/>
                <w:color w:val="59595B"/>
                <w:sz w:val="20"/>
                <w:szCs w:val="20"/>
                <w:lang w:val="en-GB"/>
              </w:rPr>
              <w:t>)</w:t>
            </w:r>
          </w:p>
        </w:tc>
      </w:tr>
      <w:tr w:rsidR="0004342B" w:rsidRPr="00A96D90" w14:paraId="72CB87C9" w14:textId="77777777" w:rsidTr="00691179">
        <w:trPr>
          <w:jc w:val="center"/>
        </w:trPr>
        <w:tc>
          <w:tcPr>
            <w:tcW w:w="5920" w:type="dxa"/>
            <w:tcBorders>
              <w:top w:val="nil"/>
              <w:bottom w:val="nil"/>
            </w:tcBorders>
          </w:tcPr>
          <w:p w14:paraId="076A8CBA"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DA57F28"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10BF539"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09246BAB" w14:textId="77777777" w:rsidTr="00691179">
        <w:trPr>
          <w:jc w:val="center"/>
        </w:trPr>
        <w:tc>
          <w:tcPr>
            <w:tcW w:w="5920" w:type="dxa"/>
            <w:tcBorders>
              <w:top w:val="nil"/>
              <w:bottom w:val="nil"/>
            </w:tcBorders>
          </w:tcPr>
          <w:p w14:paraId="0525226F"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7CA6ABE6"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75</w:t>
            </w:r>
          </w:p>
        </w:tc>
        <w:tc>
          <w:tcPr>
            <w:tcW w:w="1473" w:type="dxa"/>
            <w:tcBorders>
              <w:top w:val="nil"/>
              <w:bottom w:val="nil"/>
            </w:tcBorders>
            <w:tcMar>
              <w:top w:w="28" w:type="dxa"/>
            </w:tcMar>
          </w:tcPr>
          <w:p w14:paraId="211DA3DF"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Pr>
                <w:rFonts w:asciiTheme="minorHAnsi" w:hAnsiTheme="minorHAnsi" w:cstheme="minorHAnsi"/>
                <w:color w:val="59595B"/>
                <w:sz w:val="20"/>
                <w:szCs w:val="20"/>
              </w:rPr>
              <w:t>620</w:t>
            </w:r>
            <w:r w:rsidRPr="00A96D90">
              <w:rPr>
                <w:rFonts w:asciiTheme="minorHAnsi" w:hAnsiTheme="minorHAnsi" w:cstheme="minorHAnsi"/>
                <w:color w:val="59595B"/>
                <w:sz w:val="20"/>
                <w:szCs w:val="20"/>
                <w:lang w:val="en-GB"/>
              </w:rPr>
              <w:t>)</w:t>
            </w:r>
          </w:p>
        </w:tc>
      </w:tr>
      <w:tr w:rsidR="0004342B" w:rsidRPr="00A96D90" w14:paraId="057C69FA" w14:textId="77777777" w:rsidTr="00691179">
        <w:trPr>
          <w:jc w:val="center"/>
        </w:trPr>
        <w:tc>
          <w:tcPr>
            <w:tcW w:w="5920" w:type="dxa"/>
            <w:tcBorders>
              <w:top w:val="nil"/>
              <w:bottom w:val="nil"/>
            </w:tcBorders>
          </w:tcPr>
          <w:p w14:paraId="554347CD"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112664A8"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59,993</w:t>
            </w:r>
          </w:p>
        </w:tc>
        <w:tc>
          <w:tcPr>
            <w:tcW w:w="1473" w:type="dxa"/>
            <w:tcBorders>
              <w:top w:val="nil"/>
              <w:bottom w:val="nil"/>
            </w:tcBorders>
            <w:tcMar>
              <w:top w:w="28" w:type="dxa"/>
            </w:tcMar>
          </w:tcPr>
          <w:p w14:paraId="08F04B10"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w:t>
            </w:r>
            <w:r>
              <w:rPr>
                <w:rFonts w:asciiTheme="minorHAnsi" w:hAnsiTheme="minorHAnsi" w:cstheme="minorHAnsi"/>
                <w:color w:val="59595B"/>
                <w:sz w:val="20"/>
                <w:szCs w:val="20"/>
              </w:rPr>
              <w:t>2,137</w:t>
            </w:r>
          </w:p>
        </w:tc>
      </w:tr>
      <w:tr w:rsidR="0004342B" w:rsidRPr="00A96D90" w14:paraId="5CE4B432" w14:textId="77777777" w:rsidTr="00691179">
        <w:trPr>
          <w:jc w:val="center"/>
        </w:trPr>
        <w:tc>
          <w:tcPr>
            <w:tcW w:w="5920" w:type="dxa"/>
            <w:tcBorders>
              <w:top w:val="nil"/>
              <w:bottom w:val="single" w:sz="4" w:space="0" w:color="BFBFBF" w:themeColor="background1" w:themeShade="BF"/>
            </w:tcBorders>
          </w:tcPr>
          <w:p w14:paraId="10FA4209"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6BC41F2B"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5DECB4E6"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691A9340" w14:textId="77777777" w:rsidTr="00691179">
        <w:trPr>
          <w:jc w:val="center"/>
        </w:trPr>
        <w:tc>
          <w:tcPr>
            <w:tcW w:w="5920" w:type="dxa"/>
            <w:tcBorders>
              <w:top w:val="single" w:sz="4" w:space="0" w:color="BFBFBF" w:themeColor="background1" w:themeShade="BF"/>
              <w:bottom w:val="single" w:sz="4" w:space="0" w:color="BFBFBF" w:themeColor="background1" w:themeShade="BF"/>
            </w:tcBorders>
          </w:tcPr>
          <w:p w14:paraId="4CE1B76F" w14:textId="77777777" w:rsidR="0004342B" w:rsidRPr="003E258D" w:rsidRDefault="0004342B" w:rsidP="00691179">
            <w:pPr>
              <w:rPr>
                <w:rFonts w:asciiTheme="minorHAnsi" w:hAnsiTheme="minorHAnsi" w:cstheme="minorHAnsi"/>
                <w:b/>
                <w:color w:val="0070C0"/>
                <w:sz w:val="20"/>
                <w:szCs w:val="20"/>
                <w:lang w:val="en-GB"/>
              </w:rPr>
            </w:pPr>
            <w:r w:rsidRPr="003E258D">
              <w:rPr>
                <w:rFonts w:asciiTheme="minorHAnsi" w:hAnsiTheme="minorHAnsi" w:cstheme="minorHAnsi"/>
                <w:b/>
                <w:color w:val="0070C0"/>
                <w:sz w:val="20"/>
                <w:szCs w:val="20"/>
                <w:lang w:val="en-GB"/>
              </w:rPr>
              <w:t xml:space="preserve">Total cash </w:t>
            </w:r>
            <w:r w:rsidRPr="003E258D">
              <w:rPr>
                <w:rFonts w:asciiTheme="minorHAnsi" w:hAnsiTheme="minorHAnsi" w:cstheme="minorHAnsi"/>
                <w:b/>
                <w:color w:val="0070C0"/>
                <w:sz w:val="20"/>
                <w:szCs w:val="20"/>
              </w:rPr>
              <w:t xml:space="preserve">and cash equivalents </w:t>
            </w:r>
            <w:r w:rsidRPr="003E258D">
              <w:rPr>
                <w:rFonts w:asciiTheme="minorHAnsi" w:hAnsiTheme="minorHAnsi" w:cstheme="minorHAnsi"/>
                <w:b/>
                <w:color w:val="0070C0"/>
                <w:sz w:val="20"/>
                <w:szCs w:val="20"/>
                <w:lang w:val="en-GB"/>
              </w:rPr>
              <w:t>at 30 June</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A46EBED"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66,905</w:t>
            </w:r>
          </w:p>
        </w:tc>
        <w:tc>
          <w:tcPr>
            <w:tcW w:w="1473" w:type="dxa"/>
            <w:tcBorders>
              <w:top w:val="single" w:sz="4" w:space="0" w:color="BFBFBF" w:themeColor="background1" w:themeShade="BF"/>
              <w:bottom w:val="single" w:sz="4" w:space="0" w:color="BFBFBF" w:themeColor="background1" w:themeShade="BF"/>
            </w:tcBorders>
            <w:tcMar>
              <w:top w:w="28" w:type="dxa"/>
            </w:tcMar>
          </w:tcPr>
          <w:p w14:paraId="5DD5AB54" w14:textId="77777777" w:rsidR="0004342B" w:rsidRPr="003E258D" w:rsidRDefault="0004342B" w:rsidP="00691179">
            <w:pPr>
              <w:jc w:val="right"/>
              <w:rPr>
                <w:rFonts w:asciiTheme="minorHAnsi" w:hAnsiTheme="minorHAnsi" w:cstheme="minorHAnsi"/>
                <w:b/>
                <w:color w:val="0070C0"/>
                <w:sz w:val="20"/>
                <w:szCs w:val="20"/>
                <w:lang w:val="en-GB"/>
              </w:rPr>
            </w:pPr>
            <w:r w:rsidRPr="003E258D">
              <w:rPr>
                <w:rFonts w:asciiTheme="minorHAnsi" w:hAnsiTheme="minorHAnsi" w:cstheme="minorHAnsi"/>
                <w:b/>
                <w:color w:val="0070C0"/>
                <w:sz w:val="20"/>
                <w:szCs w:val="20"/>
                <w:lang w:val="en-GB"/>
              </w:rPr>
              <w:t>2</w:t>
            </w:r>
            <w:r>
              <w:rPr>
                <w:rFonts w:asciiTheme="minorHAnsi" w:hAnsiTheme="minorHAnsi" w:cstheme="minorHAnsi"/>
                <w:b/>
                <w:color w:val="0070C0"/>
                <w:sz w:val="20"/>
                <w:szCs w:val="20"/>
              </w:rPr>
              <w:t>5,245</w:t>
            </w:r>
          </w:p>
        </w:tc>
      </w:tr>
      <w:tr w:rsidR="0004342B" w:rsidRPr="00A96D90" w14:paraId="183CB42E" w14:textId="77777777" w:rsidTr="00691179">
        <w:trPr>
          <w:jc w:val="center"/>
        </w:trPr>
        <w:tc>
          <w:tcPr>
            <w:tcW w:w="5920" w:type="dxa"/>
            <w:tcBorders>
              <w:top w:val="single" w:sz="4" w:space="0" w:color="BFBFBF" w:themeColor="background1" w:themeShade="BF"/>
              <w:bottom w:val="nil"/>
            </w:tcBorders>
          </w:tcPr>
          <w:p w14:paraId="3B8FE102" w14:textId="77777777" w:rsidR="0004342B" w:rsidRPr="00A96D90" w:rsidRDefault="0004342B" w:rsidP="00691179">
            <w:pPr>
              <w:rPr>
                <w:rFonts w:asciiTheme="minorHAnsi" w:hAnsiTheme="minorHAnsi" w:cstheme="minorHAnsi"/>
                <w:color w:val="59595B"/>
                <w:sz w:val="20"/>
                <w:szCs w:val="20"/>
                <w:lang w:val="en-GB"/>
              </w:rPr>
            </w:pPr>
          </w:p>
        </w:tc>
        <w:tc>
          <w:tcPr>
            <w:tcW w:w="1559" w:type="dxa"/>
            <w:tcBorders>
              <w:top w:val="single" w:sz="4" w:space="0" w:color="BFBFBF" w:themeColor="background1" w:themeShade="BF"/>
              <w:bottom w:val="nil"/>
            </w:tcBorders>
            <w:shd w:val="clear" w:color="auto" w:fill="F2F2F2" w:themeFill="background1" w:themeFillShade="F2"/>
            <w:tcMar>
              <w:top w:w="28" w:type="dxa"/>
            </w:tcMar>
          </w:tcPr>
          <w:p w14:paraId="19B7CCA4" w14:textId="77777777" w:rsidR="0004342B" w:rsidRPr="00A96D90" w:rsidRDefault="0004342B" w:rsidP="00691179">
            <w:pPr>
              <w:jc w:val="right"/>
              <w:rPr>
                <w:rFonts w:asciiTheme="minorHAnsi" w:hAnsiTheme="minorHAnsi" w:cstheme="minorHAnsi"/>
                <w:color w:val="59595B"/>
                <w:sz w:val="20"/>
                <w:szCs w:val="20"/>
                <w:lang w:val="en-GB"/>
              </w:rPr>
            </w:pPr>
          </w:p>
        </w:tc>
        <w:tc>
          <w:tcPr>
            <w:tcW w:w="1473" w:type="dxa"/>
            <w:tcBorders>
              <w:top w:val="single" w:sz="4" w:space="0" w:color="BFBFBF" w:themeColor="background1" w:themeShade="BF"/>
              <w:bottom w:val="nil"/>
            </w:tcBorders>
            <w:tcMar>
              <w:top w:w="28" w:type="dxa"/>
            </w:tcMar>
          </w:tcPr>
          <w:p w14:paraId="3B326AEC"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F384204" w14:textId="77777777" w:rsidTr="00691179">
        <w:trPr>
          <w:jc w:val="center"/>
        </w:trPr>
        <w:tc>
          <w:tcPr>
            <w:tcW w:w="5920" w:type="dxa"/>
            <w:tcBorders>
              <w:top w:val="nil"/>
              <w:bottom w:val="nil"/>
            </w:tcBorders>
          </w:tcPr>
          <w:p w14:paraId="6BD91762"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Of which restricted cash</w:t>
            </w:r>
          </w:p>
        </w:tc>
        <w:tc>
          <w:tcPr>
            <w:tcW w:w="1559" w:type="dxa"/>
            <w:tcBorders>
              <w:top w:val="nil"/>
              <w:bottom w:val="nil"/>
            </w:tcBorders>
            <w:shd w:val="clear" w:color="auto" w:fill="F2F2F2" w:themeFill="background1" w:themeFillShade="F2"/>
            <w:tcMar>
              <w:top w:w="28" w:type="dxa"/>
            </w:tcMar>
          </w:tcPr>
          <w:p w14:paraId="0263002B" w14:textId="77777777" w:rsidR="0004342B" w:rsidRPr="00F86DAD"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1,366</w:t>
            </w:r>
          </w:p>
        </w:tc>
        <w:tc>
          <w:tcPr>
            <w:tcW w:w="1473" w:type="dxa"/>
            <w:tcBorders>
              <w:top w:val="nil"/>
              <w:bottom w:val="nil"/>
            </w:tcBorders>
            <w:tcMar>
              <w:top w:w="28" w:type="dxa"/>
            </w:tcMar>
          </w:tcPr>
          <w:p w14:paraId="2B0A24F3" w14:textId="77777777" w:rsidR="0004342B" w:rsidRPr="00A96D90" w:rsidRDefault="0004342B" w:rsidP="00691179">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w:t>
            </w:r>
            <w:r>
              <w:rPr>
                <w:rFonts w:asciiTheme="minorHAnsi" w:hAnsiTheme="minorHAnsi" w:cstheme="minorHAnsi"/>
                <w:color w:val="59595B"/>
                <w:sz w:val="20"/>
                <w:szCs w:val="20"/>
              </w:rPr>
              <w:t>48</w:t>
            </w:r>
          </w:p>
        </w:tc>
      </w:tr>
      <w:tr w:rsidR="0004342B" w:rsidRPr="00A96D90" w14:paraId="1CB73175" w14:textId="77777777" w:rsidTr="00691179">
        <w:trPr>
          <w:jc w:val="center"/>
        </w:trPr>
        <w:tc>
          <w:tcPr>
            <w:tcW w:w="5920" w:type="dxa"/>
            <w:tcBorders>
              <w:top w:val="single" w:sz="4" w:space="0" w:color="BFBFBF" w:themeColor="background1" w:themeShade="BF"/>
              <w:bottom w:val="single" w:sz="4" w:space="0" w:color="BFBFBF" w:themeColor="background1" w:themeShade="BF"/>
            </w:tcBorders>
          </w:tcPr>
          <w:p w14:paraId="6C4965B9" w14:textId="77777777" w:rsidR="0004342B" w:rsidRPr="007707C3" w:rsidRDefault="0004342B" w:rsidP="00691179">
            <w:pPr>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Cash and cash equivalents at 30 June</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56D054FB" w14:textId="77777777" w:rsidR="0004342B" w:rsidRPr="00F86DAD"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65,539</w:t>
            </w:r>
          </w:p>
        </w:tc>
        <w:tc>
          <w:tcPr>
            <w:tcW w:w="1473" w:type="dxa"/>
            <w:tcBorders>
              <w:top w:val="single" w:sz="4" w:space="0" w:color="BFBFBF" w:themeColor="background1" w:themeShade="BF"/>
              <w:bottom w:val="single" w:sz="4" w:space="0" w:color="BFBFBF" w:themeColor="background1" w:themeShade="BF"/>
            </w:tcBorders>
            <w:tcMar>
              <w:top w:w="28" w:type="dxa"/>
            </w:tcMar>
          </w:tcPr>
          <w:p w14:paraId="1158F4E2" w14:textId="77777777" w:rsidR="0004342B" w:rsidRPr="007707C3" w:rsidRDefault="0004342B" w:rsidP="00691179">
            <w:pPr>
              <w:jc w:val="right"/>
              <w:rPr>
                <w:rFonts w:asciiTheme="minorHAnsi" w:hAnsiTheme="minorHAnsi" w:cstheme="minorHAnsi"/>
                <w:b/>
                <w:color w:val="0070C0"/>
                <w:sz w:val="20"/>
                <w:szCs w:val="20"/>
                <w:lang w:val="en-GB"/>
              </w:rPr>
            </w:pPr>
            <w:r w:rsidRPr="007707C3">
              <w:rPr>
                <w:rFonts w:asciiTheme="minorHAnsi" w:hAnsiTheme="minorHAnsi" w:cstheme="minorHAnsi"/>
                <w:b/>
                <w:color w:val="0070C0"/>
                <w:sz w:val="20"/>
                <w:szCs w:val="20"/>
                <w:lang w:val="en-GB"/>
              </w:rPr>
              <w:t>2</w:t>
            </w:r>
            <w:r>
              <w:rPr>
                <w:rFonts w:asciiTheme="minorHAnsi" w:hAnsiTheme="minorHAnsi" w:cstheme="minorHAnsi"/>
                <w:b/>
                <w:color w:val="0070C0"/>
                <w:sz w:val="20"/>
                <w:szCs w:val="20"/>
              </w:rPr>
              <w:t>4,997</w:t>
            </w:r>
          </w:p>
        </w:tc>
      </w:tr>
    </w:tbl>
    <w:p w14:paraId="3AF1278D" w14:textId="77777777" w:rsidR="0004342B" w:rsidRPr="00A96D90" w:rsidRDefault="0004342B" w:rsidP="0004342B">
      <w:pPr>
        <w:jc w:val="left"/>
        <w:rPr>
          <w:rFonts w:ascii="Calibri Light" w:eastAsiaTheme="majorEastAsia" w:hAnsi="Calibri Light" w:cstheme="majorBidi"/>
          <w:b/>
          <w:color w:val="59595B"/>
          <w:sz w:val="24"/>
          <w:szCs w:val="28"/>
          <w:lang w:val="en-GB" w:eastAsia="zh-CN"/>
        </w:rPr>
      </w:pPr>
      <w:r w:rsidRPr="00A96D90">
        <w:rPr>
          <w:rFonts w:ascii="Calibri" w:hAnsi="Calibri" w:cstheme="minorHAnsi"/>
          <w:b/>
          <w:color w:val="276E8B" w:themeColor="accent1" w:themeShade="BF"/>
          <w:szCs w:val="22"/>
          <w:lang w:val="en-GB"/>
        </w:rPr>
        <w:br w:type="page"/>
      </w:r>
      <w:r w:rsidRPr="00A96D90">
        <w:rPr>
          <w:rFonts w:ascii="Calibri Light" w:eastAsiaTheme="majorEastAsia" w:hAnsi="Calibri Light" w:cstheme="majorBidi"/>
          <w:b/>
          <w:color w:val="59595B"/>
          <w:sz w:val="24"/>
          <w:szCs w:val="28"/>
          <w:lang w:val="en-GB" w:eastAsia="zh-CN"/>
        </w:rPr>
        <w:lastRenderedPageBreak/>
        <w:t>Consolidated Statement of Changes in Equity</w:t>
      </w:r>
    </w:p>
    <w:p w14:paraId="50872217" w14:textId="77777777" w:rsidR="0004342B" w:rsidRPr="00A96D90" w:rsidRDefault="0004342B" w:rsidP="0004342B">
      <w:pPr>
        <w:pStyle w:val="NoSpacing"/>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6B33AC56" w14:textId="77777777" w:rsidR="0004342B" w:rsidRPr="00A96D90" w:rsidRDefault="0004342B" w:rsidP="0004342B">
      <w:pPr>
        <w:pStyle w:val="NoSpacing"/>
        <w:rPr>
          <w:rFonts w:asciiTheme="minorHAnsi" w:hAnsiTheme="minorHAnsi"/>
          <w:color w:val="276E8B" w:themeColor="accent1" w:themeShade="BF"/>
          <w:lang w:val="en-GB"/>
        </w:rPr>
      </w:pPr>
    </w:p>
    <w:tbl>
      <w:tblPr>
        <w:tblpPr w:leftFromText="180" w:rightFromText="180" w:vertAnchor="text" w:horzAnchor="margin" w:tblpY="-80"/>
        <w:tblW w:w="9293" w:type="dxa"/>
        <w:tblLayout w:type="fixed"/>
        <w:tblLook w:val="04A0" w:firstRow="1" w:lastRow="0" w:firstColumn="1" w:lastColumn="0" w:noHBand="0" w:noVBand="1"/>
      </w:tblPr>
      <w:tblGrid>
        <w:gridCol w:w="9293"/>
      </w:tblGrid>
      <w:tr w:rsidR="0004342B" w:rsidRPr="00A96D90" w14:paraId="6EF0DF2A" w14:textId="77777777" w:rsidTr="00691179">
        <w:trPr>
          <w:trHeight w:val="240"/>
        </w:trPr>
        <w:tc>
          <w:tcPr>
            <w:tcW w:w="9293" w:type="dxa"/>
            <w:shd w:val="clear" w:color="auto" w:fill="FFFFFF"/>
          </w:tcPr>
          <w:p w14:paraId="3867533B" w14:textId="77777777" w:rsidR="0004342B" w:rsidRPr="00A96D90" w:rsidRDefault="0004342B" w:rsidP="00691179">
            <w:pPr>
              <w:pStyle w:val="NoSpacing"/>
              <w:jc w:val="right"/>
              <w:rPr>
                <w:rFonts w:asciiTheme="minorHAnsi" w:hAnsiTheme="minorHAnsi"/>
                <w:color w:val="00679B"/>
                <w:u w:val="single"/>
                <w:lang w:val="en-GB"/>
              </w:rPr>
            </w:pPr>
            <w:r w:rsidRPr="00A96D90">
              <w:rPr>
                <w:rFonts w:asciiTheme="minorHAnsi" w:hAnsiTheme="minorHAnsi"/>
                <w:color w:val="00679B"/>
                <w:u w:val="single"/>
                <w:lang w:val="en-GB"/>
              </w:rPr>
              <w:t>Attributable to owners of the parent</w:t>
            </w:r>
          </w:p>
        </w:tc>
      </w:tr>
    </w:tbl>
    <w:tbl>
      <w:tblPr>
        <w:tblW w:w="94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4315"/>
        <w:gridCol w:w="900"/>
        <w:gridCol w:w="1440"/>
        <w:gridCol w:w="1440"/>
        <w:gridCol w:w="1350"/>
      </w:tblGrid>
      <w:tr w:rsidR="0004342B" w:rsidRPr="00A96D90" w14:paraId="1E25C408" w14:textId="77777777" w:rsidTr="00691179">
        <w:trPr>
          <w:trHeight w:val="288"/>
          <w:jc w:val="center"/>
        </w:trPr>
        <w:tc>
          <w:tcPr>
            <w:tcW w:w="4315" w:type="dxa"/>
            <w:shd w:val="clear" w:color="auto" w:fill="0070C0"/>
          </w:tcPr>
          <w:p w14:paraId="29AE3B35" w14:textId="77777777" w:rsidR="0004342B" w:rsidRPr="00E12C03" w:rsidRDefault="0004342B" w:rsidP="00691179">
            <w:pPr>
              <w:ind w:right="144"/>
              <w:rPr>
                <w:rFonts w:asciiTheme="minorHAnsi" w:eastAsiaTheme="minorEastAsia" w:hAnsiTheme="minorHAnsi" w:cs="Arial"/>
                <w:b/>
                <w:bCs/>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Amounts in €’000</w:t>
            </w:r>
          </w:p>
        </w:tc>
        <w:tc>
          <w:tcPr>
            <w:tcW w:w="900" w:type="dxa"/>
            <w:shd w:val="clear" w:color="auto" w:fill="0070C0"/>
          </w:tcPr>
          <w:p w14:paraId="1C2217EE" w14:textId="77777777" w:rsidR="0004342B" w:rsidRPr="00E12C03" w:rsidRDefault="0004342B" w:rsidP="00691179">
            <w:pPr>
              <w:ind w:right="144"/>
              <w:jc w:val="right"/>
              <w:rPr>
                <w:rFonts w:asciiTheme="minorHAnsi" w:eastAsiaTheme="minorEastAsia" w:hAnsiTheme="minorHAnsi" w:cs="Arial"/>
                <w:b/>
                <w:bCs/>
                <w:color w:val="FFFFFF" w:themeColor="background1"/>
                <w:sz w:val="20"/>
                <w:lang w:val="en-GB"/>
              </w:rPr>
            </w:pPr>
            <w:r w:rsidRPr="00E12C03">
              <w:rPr>
                <w:rFonts w:asciiTheme="minorHAnsi" w:eastAsiaTheme="minorEastAsia" w:hAnsiTheme="minorHAnsi" w:cs="Arial"/>
                <w:b/>
                <w:bCs/>
                <w:color w:val="FFFFFF" w:themeColor="background1"/>
                <w:sz w:val="16"/>
                <w:lang w:val="en-GB"/>
              </w:rPr>
              <w:t>Notes</w:t>
            </w:r>
          </w:p>
        </w:tc>
        <w:tc>
          <w:tcPr>
            <w:tcW w:w="1440" w:type="dxa"/>
            <w:shd w:val="clear" w:color="auto" w:fill="0070C0"/>
          </w:tcPr>
          <w:p w14:paraId="62FCB75D" w14:textId="77777777" w:rsidR="0004342B" w:rsidRPr="00E12C03" w:rsidRDefault="0004342B" w:rsidP="00691179">
            <w:pPr>
              <w:ind w:right="144"/>
              <w:jc w:val="right"/>
              <w:rPr>
                <w:rFonts w:asciiTheme="minorHAnsi" w:eastAsiaTheme="minorEastAsia" w:hAnsiTheme="minorHAnsi" w:cs="Arial"/>
                <w:b/>
                <w:bCs/>
                <w:color w:val="FFFFFF" w:themeColor="background1"/>
                <w:sz w:val="20"/>
                <w:lang w:val="en-GB"/>
              </w:rPr>
            </w:pPr>
            <w:r w:rsidRPr="00E12C03">
              <w:rPr>
                <w:rFonts w:asciiTheme="minorHAnsi" w:eastAsiaTheme="minorEastAsia" w:hAnsiTheme="minorHAnsi" w:cs="Arial"/>
                <w:b/>
                <w:bCs/>
                <w:color w:val="FFFFFF" w:themeColor="background1"/>
                <w:sz w:val="20"/>
                <w:lang w:val="en-GB"/>
              </w:rPr>
              <w:t>Number of shares</w:t>
            </w:r>
          </w:p>
        </w:tc>
        <w:tc>
          <w:tcPr>
            <w:tcW w:w="1440" w:type="dxa"/>
            <w:shd w:val="clear" w:color="auto" w:fill="0070C0"/>
          </w:tcPr>
          <w:p w14:paraId="14134394" w14:textId="77777777" w:rsidR="0004342B" w:rsidRPr="00E12C03" w:rsidRDefault="0004342B" w:rsidP="00691179">
            <w:pPr>
              <w:ind w:right="144"/>
              <w:jc w:val="right"/>
              <w:rPr>
                <w:rFonts w:asciiTheme="minorHAnsi" w:eastAsiaTheme="minorEastAsia" w:hAnsiTheme="minorHAnsi" w:cs="Arial"/>
                <w:b/>
                <w:bCs/>
                <w:color w:val="FFFFFF" w:themeColor="background1"/>
                <w:sz w:val="20"/>
                <w:lang w:val="en-GB"/>
              </w:rPr>
            </w:pPr>
            <w:r w:rsidRPr="00E12C03">
              <w:rPr>
                <w:rFonts w:asciiTheme="minorHAnsi" w:eastAsiaTheme="minorEastAsia" w:hAnsiTheme="minorHAnsi" w:cs="Arial"/>
                <w:b/>
                <w:bCs/>
                <w:color w:val="FFFFFF" w:themeColor="background1"/>
                <w:sz w:val="20"/>
                <w:lang w:val="en-GB"/>
              </w:rPr>
              <w:t>Share capital</w:t>
            </w:r>
          </w:p>
        </w:tc>
        <w:tc>
          <w:tcPr>
            <w:tcW w:w="1350" w:type="dxa"/>
            <w:tcBorders>
              <w:top w:val="single" w:sz="4" w:space="0" w:color="BFBFBF" w:themeColor="background1" w:themeShade="BF"/>
              <w:right w:val="nil"/>
            </w:tcBorders>
            <w:shd w:val="clear" w:color="auto" w:fill="0070C0"/>
          </w:tcPr>
          <w:p w14:paraId="4214419C" w14:textId="77777777" w:rsidR="0004342B" w:rsidRPr="00E12C03" w:rsidRDefault="0004342B" w:rsidP="00691179">
            <w:pPr>
              <w:ind w:right="144"/>
              <w:jc w:val="right"/>
              <w:rPr>
                <w:rFonts w:asciiTheme="minorHAnsi" w:eastAsiaTheme="minorEastAsia" w:hAnsiTheme="minorHAnsi" w:cs="Arial"/>
                <w:b/>
                <w:bCs/>
                <w:color w:val="FFFFFF" w:themeColor="background1"/>
                <w:sz w:val="20"/>
                <w:lang w:val="en-GB"/>
              </w:rPr>
            </w:pPr>
            <w:r w:rsidRPr="00E12C03">
              <w:rPr>
                <w:rFonts w:asciiTheme="minorHAnsi" w:eastAsiaTheme="minorEastAsia" w:hAnsiTheme="minorHAnsi" w:cs="Arial"/>
                <w:b/>
                <w:bCs/>
                <w:color w:val="FFFFFF" w:themeColor="background1"/>
                <w:sz w:val="20"/>
                <w:lang w:val="en-GB"/>
              </w:rPr>
              <w:t>Share Premium</w:t>
            </w:r>
          </w:p>
        </w:tc>
      </w:tr>
      <w:tr w:rsidR="0004342B" w:rsidRPr="001905AB" w14:paraId="369B5BE1" w14:textId="77777777" w:rsidTr="00691179">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29DE2FE3" w14:textId="77777777" w:rsidR="0004342B" w:rsidRPr="001905AB" w:rsidRDefault="0004342B" w:rsidP="00691179">
            <w:pPr>
              <w:ind w:right="144"/>
              <w:rPr>
                <w:rFonts w:asciiTheme="minorHAnsi" w:eastAsiaTheme="minorEastAsia" w:hAnsiTheme="minorHAnsi" w:cs="Arial"/>
                <w:b/>
                <w:bCs/>
                <w:color w:val="0070C0"/>
                <w:sz w:val="20"/>
                <w:lang w:val="en-GB"/>
              </w:rPr>
            </w:pPr>
            <w:r w:rsidRPr="001905AB">
              <w:rPr>
                <w:rFonts w:asciiTheme="minorHAnsi" w:eastAsiaTheme="minorEastAsia" w:hAnsiTheme="minorHAnsi" w:cs="Arial"/>
                <w:b/>
                <w:bCs/>
                <w:color w:val="0070C0"/>
                <w:sz w:val="20"/>
                <w:lang w:val="en-GB"/>
              </w:rPr>
              <w:t>Balance at 1 January 201</w:t>
            </w:r>
            <w:r w:rsidRPr="001905AB">
              <w:rPr>
                <w:rFonts w:asciiTheme="minorHAnsi" w:eastAsiaTheme="minorEastAsia" w:hAnsiTheme="minorHAnsi" w:cs="Arial"/>
                <w:b/>
                <w:bCs/>
                <w:color w:val="0070C0"/>
                <w:sz w:val="20"/>
              </w:rPr>
              <w:t>7</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4BDFEE28" w14:textId="77777777" w:rsidR="0004342B" w:rsidRPr="001905AB" w:rsidRDefault="0004342B" w:rsidP="00691179">
            <w:pPr>
              <w:ind w:right="144"/>
              <w:jc w:val="right"/>
              <w:rPr>
                <w:rFonts w:asciiTheme="minorHAnsi" w:eastAsiaTheme="minorEastAsia" w:hAnsiTheme="minorHAnsi" w:cs="Arial"/>
                <w:b/>
                <w:bCs/>
                <w:color w:val="0070C0"/>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68C05470" w14:textId="77777777" w:rsidR="0004342B" w:rsidRPr="001905AB" w:rsidRDefault="0004342B" w:rsidP="00691179">
            <w:pPr>
              <w:ind w:right="144"/>
              <w:jc w:val="right"/>
              <w:rPr>
                <w:rFonts w:asciiTheme="minorHAnsi" w:eastAsiaTheme="minorEastAsia" w:hAnsiTheme="minorHAnsi" w:cs="Arial"/>
                <w:b/>
                <w:bCs/>
                <w:color w:val="0070C0"/>
                <w:sz w:val="20"/>
                <w:szCs w:val="20"/>
                <w:lang w:val="en-GB"/>
              </w:rPr>
            </w:pPr>
            <w:r w:rsidRPr="001905AB">
              <w:rPr>
                <w:rFonts w:asciiTheme="minorHAnsi" w:hAnsiTheme="minorHAnsi"/>
                <w:b/>
                <w:color w:val="0070C0"/>
                <w:sz w:val="20"/>
                <w:szCs w:val="20"/>
                <w:lang w:val="en-GB"/>
              </w:rPr>
              <w:t>4</w:t>
            </w:r>
            <w:r w:rsidRPr="001905AB">
              <w:rPr>
                <w:rFonts w:asciiTheme="minorHAnsi" w:hAnsiTheme="minorHAnsi"/>
                <w:b/>
                <w:color w:val="0070C0"/>
                <w:sz w:val="20"/>
                <w:szCs w:val="20"/>
              </w:rPr>
              <w:t>55,587,312</w:t>
            </w: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357439B6" w14:textId="77777777" w:rsidR="0004342B" w:rsidRPr="001905AB" w:rsidRDefault="0004342B" w:rsidP="00691179">
            <w:pPr>
              <w:ind w:right="144"/>
              <w:jc w:val="right"/>
              <w:rPr>
                <w:rFonts w:asciiTheme="minorHAnsi" w:eastAsiaTheme="minorEastAsia" w:hAnsiTheme="minorHAnsi" w:cs="Arial"/>
                <w:b/>
                <w:bCs/>
                <w:color w:val="0070C0"/>
                <w:sz w:val="20"/>
                <w:szCs w:val="20"/>
                <w:lang w:val="en-GB"/>
              </w:rPr>
            </w:pPr>
            <w:r w:rsidRPr="001905AB">
              <w:rPr>
                <w:rFonts w:asciiTheme="minorHAnsi" w:hAnsiTheme="minorHAnsi"/>
                <w:b/>
                <w:color w:val="0070C0"/>
                <w:sz w:val="20"/>
                <w:szCs w:val="20"/>
                <w:lang w:val="en-GB"/>
              </w:rPr>
              <w:t>4,</w:t>
            </w:r>
            <w:r w:rsidRPr="001905AB">
              <w:rPr>
                <w:rFonts w:asciiTheme="minorHAnsi" w:hAnsiTheme="minorHAnsi"/>
                <w:b/>
                <w:color w:val="0070C0"/>
                <w:sz w:val="20"/>
                <w:szCs w:val="20"/>
              </w:rPr>
              <w:t>556</w:t>
            </w: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46D6B99B" w14:textId="77777777" w:rsidR="0004342B" w:rsidRPr="001905AB" w:rsidRDefault="0004342B" w:rsidP="00691179">
            <w:pPr>
              <w:ind w:right="144"/>
              <w:jc w:val="right"/>
              <w:rPr>
                <w:rFonts w:asciiTheme="minorHAnsi" w:eastAsiaTheme="minorEastAsia" w:hAnsiTheme="minorHAnsi" w:cs="Arial"/>
                <w:b/>
                <w:bCs/>
                <w:color w:val="0070C0"/>
                <w:sz w:val="20"/>
                <w:szCs w:val="20"/>
                <w:lang w:val="en-GB"/>
              </w:rPr>
            </w:pPr>
            <w:r w:rsidRPr="001905AB">
              <w:rPr>
                <w:rFonts w:asciiTheme="minorHAnsi" w:hAnsiTheme="minorHAnsi"/>
                <w:b/>
                <w:color w:val="0070C0"/>
                <w:sz w:val="20"/>
                <w:szCs w:val="20"/>
              </w:rPr>
              <w:t>301,876</w:t>
            </w:r>
          </w:p>
        </w:tc>
      </w:tr>
      <w:tr w:rsidR="0004342B" w:rsidRPr="00A96D90" w14:paraId="0F8313D9" w14:textId="77777777" w:rsidTr="00691179">
        <w:trPr>
          <w:trHeight w:val="288"/>
          <w:jc w:val="center"/>
        </w:trPr>
        <w:tc>
          <w:tcPr>
            <w:tcW w:w="4315" w:type="dxa"/>
            <w:tcBorders>
              <w:top w:val="single" w:sz="4" w:space="0" w:color="BFBFBF" w:themeColor="background1" w:themeShade="BF"/>
            </w:tcBorders>
            <w:shd w:val="clear" w:color="auto" w:fill="FFFFFF" w:themeFill="background1"/>
          </w:tcPr>
          <w:p w14:paraId="0120A826" w14:textId="77777777" w:rsidR="0004342B" w:rsidRPr="004346F1" w:rsidRDefault="0004342B" w:rsidP="00691179">
            <w:pPr>
              <w:ind w:right="144"/>
              <w:rPr>
                <w:rFonts w:asciiTheme="minorHAnsi" w:eastAsiaTheme="minorEastAsia" w:hAnsiTheme="minorHAnsi" w:cs="Arial"/>
                <w:bCs/>
                <w:color w:val="59595B"/>
                <w:sz w:val="20"/>
                <w:lang w:val="en-GB"/>
              </w:rPr>
            </w:pPr>
            <w:r w:rsidRPr="004346F1">
              <w:rPr>
                <w:rFonts w:asciiTheme="minorHAnsi" w:eastAsiaTheme="minorEastAsia" w:hAnsiTheme="minorHAnsi" w:cs="Arial"/>
                <w:bCs/>
                <w:color w:val="59595B"/>
                <w:sz w:val="20"/>
                <w:lang w:val="en-GB"/>
              </w:rPr>
              <w:t>Result for the period</w:t>
            </w:r>
          </w:p>
        </w:tc>
        <w:tc>
          <w:tcPr>
            <w:tcW w:w="900" w:type="dxa"/>
            <w:tcBorders>
              <w:top w:val="single" w:sz="4" w:space="0" w:color="BFBFBF" w:themeColor="background1" w:themeShade="BF"/>
            </w:tcBorders>
            <w:shd w:val="clear" w:color="auto" w:fill="FFFFFF" w:themeFill="background1"/>
          </w:tcPr>
          <w:p w14:paraId="5CDF7260"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FFFFF" w:themeFill="background1"/>
          </w:tcPr>
          <w:p w14:paraId="0333AC0A"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FFFFF" w:themeFill="background1"/>
          </w:tcPr>
          <w:p w14:paraId="705BAE6E"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350" w:type="dxa"/>
            <w:tcBorders>
              <w:top w:val="single" w:sz="4" w:space="0" w:color="BFBFBF" w:themeColor="background1" w:themeShade="BF"/>
              <w:right w:val="nil"/>
            </w:tcBorders>
            <w:shd w:val="clear" w:color="auto" w:fill="FFFFFF" w:themeFill="background1"/>
          </w:tcPr>
          <w:p w14:paraId="083FB804"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r>
      <w:tr w:rsidR="0004342B" w:rsidRPr="00A96D90" w14:paraId="76CDE045" w14:textId="77777777" w:rsidTr="00691179">
        <w:trPr>
          <w:trHeight w:val="288"/>
          <w:jc w:val="center"/>
        </w:trPr>
        <w:tc>
          <w:tcPr>
            <w:tcW w:w="4315" w:type="dxa"/>
            <w:shd w:val="clear" w:color="auto" w:fill="FFFFFF" w:themeFill="background1"/>
          </w:tcPr>
          <w:p w14:paraId="329D2D9F" w14:textId="77777777" w:rsidR="0004342B" w:rsidRPr="004346F1" w:rsidRDefault="0004342B" w:rsidP="00691179">
            <w:pPr>
              <w:ind w:right="144"/>
              <w:rPr>
                <w:rFonts w:asciiTheme="minorHAnsi" w:eastAsiaTheme="minorEastAsia" w:hAnsiTheme="minorHAnsi" w:cs="Arial"/>
                <w:bCs/>
                <w:color w:val="59595B"/>
                <w:sz w:val="20"/>
                <w:lang w:val="en-GB"/>
              </w:rPr>
            </w:pPr>
            <w:r w:rsidRPr="004346F1">
              <w:rPr>
                <w:rFonts w:asciiTheme="minorHAnsi" w:eastAsiaTheme="minorEastAsia" w:hAnsiTheme="minorHAnsi" w:cs="Arial"/>
                <w:bCs/>
                <w:color w:val="59595B"/>
                <w:sz w:val="20"/>
                <w:lang w:val="en-GB"/>
              </w:rPr>
              <w:t>Other comprehensive income</w:t>
            </w:r>
          </w:p>
        </w:tc>
        <w:tc>
          <w:tcPr>
            <w:tcW w:w="900" w:type="dxa"/>
            <w:shd w:val="clear" w:color="auto" w:fill="FFFFFF" w:themeFill="background1"/>
          </w:tcPr>
          <w:p w14:paraId="52EBF2AB"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40C97605"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0BC166E0"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159456AD"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r>
      <w:tr w:rsidR="0004342B" w:rsidRPr="0092142E" w14:paraId="2FCE923D" w14:textId="77777777" w:rsidTr="00691179">
        <w:trPr>
          <w:trHeight w:val="288"/>
          <w:jc w:val="center"/>
        </w:trPr>
        <w:tc>
          <w:tcPr>
            <w:tcW w:w="4315" w:type="dxa"/>
            <w:shd w:val="clear" w:color="auto" w:fill="FFFFFF" w:themeFill="background1"/>
          </w:tcPr>
          <w:p w14:paraId="5321A476" w14:textId="77777777" w:rsidR="0004342B" w:rsidRPr="0092142E" w:rsidRDefault="0004342B" w:rsidP="00691179">
            <w:pPr>
              <w:ind w:right="144"/>
              <w:rPr>
                <w:rFonts w:asciiTheme="minorHAnsi" w:eastAsiaTheme="minorEastAsia" w:hAnsiTheme="minorHAnsi" w:cs="Arial"/>
                <w:b/>
                <w:bCs/>
                <w:color w:val="59595B"/>
                <w:sz w:val="20"/>
                <w:lang w:val="en-GB"/>
              </w:rPr>
            </w:pPr>
            <w:r w:rsidRPr="0092142E">
              <w:rPr>
                <w:rFonts w:asciiTheme="minorHAnsi" w:eastAsiaTheme="minorEastAsia" w:hAnsiTheme="minorHAnsi" w:cs="Arial"/>
                <w:b/>
                <w:bCs/>
                <w:color w:val="59595B"/>
                <w:sz w:val="20"/>
                <w:lang w:val="en-GB"/>
              </w:rPr>
              <w:t>Total comprehensive income</w:t>
            </w:r>
          </w:p>
        </w:tc>
        <w:tc>
          <w:tcPr>
            <w:tcW w:w="900" w:type="dxa"/>
            <w:shd w:val="clear" w:color="auto" w:fill="FFFFFF" w:themeFill="background1"/>
          </w:tcPr>
          <w:p w14:paraId="4CAF2433"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FFFFF" w:themeFill="background1"/>
          </w:tcPr>
          <w:p w14:paraId="760C907D"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FFFFF" w:themeFill="background1"/>
          </w:tcPr>
          <w:p w14:paraId="5B10150D"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r w:rsidRPr="0092142E">
              <w:rPr>
                <w:rFonts w:asciiTheme="minorHAnsi" w:eastAsiaTheme="minorEastAsia" w:hAnsiTheme="minorHAnsi" w:cs="Arial"/>
                <w:b/>
                <w:bCs/>
                <w:color w:val="59595B"/>
                <w:sz w:val="20"/>
                <w:szCs w:val="20"/>
                <w:lang w:val="en-GB"/>
              </w:rPr>
              <w:t>-</w:t>
            </w:r>
          </w:p>
        </w:tc>
        <w:tc>
          <w:tcPr>
            <w:tcW w:w="1350" w:type="dxa"/>
            <w:tcBorders>
              <w:right w:val="nil"/>
            </w:tcBorders>
            <w:shd w:val="clear" w:color="auto" w:fill="FFFFFF" w:themeFill="background1"/>
          </w:tcPr>
          <w:p w14:paraId="1304877D"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r w:rsidRPr="0092142E">
              <w:rPr>
                <w:rFonts w:asciiTheme="minorHAnsi" w:eastAsiaTheme="minorEastAsia" w:hAnsiTheme="minorHAnsi" w:cs="Arial"/>
                <w:b/>
                <w:bCs/>
                <w:color w:val="59595B"/>
                <w:sz w:val="20"/>
                <w:szCs w:val="20"/>
                <w:lang w:val="en-GB"/>
              </w:rPr>
              <w:t>-</w:t>
            </w:r>
          </w:p>
        </w:tc>
      </w:tr>
      <w:tr w:rsidR="0004342B" w:rsidRPr="00A96D90" w14:paraId="124C519D" w14:textId="77777777" w:rsidTr="00691179">
        <w:trPr>
          <w:trHeight w:val="288"/>
          <w:jc w:val="center"/>
        </w:trPr>
        <w:tc>
          <w:tcPr>
            <w:tcW w:w="4315" w:type="dxa"/>
            <w:shd w:val="clear" w:color="auto" w:fill="FFFFFF" w:themeFill="background1"/>
          </w:tcPr>
          <w:p w14:paraId="22CD011C" w14:textId="77777777" w:rsidR="0004342B" w:rsidRPr="004346F1" w:rsidRDefault="0004342B" w:rsidP="00691179">
            <w:pPr>
              <w:ind w:right="144"/>
              <w:rPr>
                <w:rFonts w:asciiTheme="minorHAnsi" w:eastAsiaTheme="minorEastAsia" w:hAnsiTheme="minorHAnsi" w:cs="Arial"/>
                <w:b/>
                <w:bCs/>
                <w:color w:val="59595B"/>
                <w:sz w:val="20"/>
                <w:lang w:val="en-GB"/>
              </w:rPr>
            </w:pPr>
            <w:r w:rsidRPr="004346F1">
              <w:rPr>
                <w:rFonts w:asciiTheme="minorHAnsi" w:eastAsiaTheme="minorEastAsia" w:hAnsiTheme="minorHAnsi" w:cs="Arial"/>
                <w:bCs/>
                <w:color w:val="59595B"/>
                <w:sz w:val="20"/>
                <w:lang w:val="en-GB"/>
              </w:rPr>
              <w:t>Share-based compensation</w:t>
            </w:r>
          </w:p>
        </w:tc>
        <w:tc>
          <w:tcPr>
            <w:tcW w:w="900" w:type="dxa"/>
            <w:shd w:val="clear" w:color="auto" w:fill="FFFFFF" w:themeFill="background1"/>
          </w:tcPr>
          <w:p w14:paraId="2DB04592"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5E69C6EE"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440" w:type="dxa"/>
            <w:shd w:val="clear" w:color="auto" w:fill="FFFFFF" w:themeFill="background1"/>
          </w:tcPr>
          <w:p w14:paraId="1B0190F3"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262270C1"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r>
      <w:tr w:rsidR="0004342B" w:rsidRPr="00A96D90" w14:paraId="204C8E61" w14:textId="77777777" w:rsidTr="00691179">
        <w:trPr>
          <w:trHeight w:val="288"/>
          <w:jc w:val="center"/>
        </w:trPr>
        <w:tc>
          <w:tcPr>
            <w:tcW w:w="4315" w:type="dxa"/>
            <w:shd w:val="clear" w:color="auto" w:fill="FFFFFF" w:themeFill="background1"/>
          </w:tcPr>
          <w:p w14:paraId="14E3C20A" w14:textId="77777777" w:rsidR="0004342B" w:rsidRPr="004346F1" w:rsidRDefault="0004342B" w:rsidP="00691179">
            <w:pPr>
              <w:ind w:right="144"/>
              <w:rPr>
                <w:rFonts w:asciiTheme="minorHAnsi" w:eastAsiaTheme="minorEastAsia" w:hAnsiTheme="minorHAnsi" w:cs="Arial"/>
                <w:b/>
                <w:bCs/>
                <w:color w:val="59595B"/>
                <w:sz w:val="20"/>
                <w:lang w:val="en-GB"/>
              </w:rPr>
            </w:pPr>
            <w:r w:rsidRPr="004346F1">
              <w:rPr>
                <w:rFonts w:asciiTheme="minorHAnsi" w:eastAsiaTheme="minorEastAsia" w:hAnsiTheme="minorHAnsi" w:cs="Arial"/>
                <w:bCs/>
                <w:color w:val="59595B"/>
                <w:sz w:val="20"/>
                <w:lang w:val="en-GB"/>
              </w:rPr>
              <w:t>Bonuses settled in shares</w:t>
            </w:r>
          </w:p>
        </w:tc>
        <w:tc>
          <w:tcPr>
            <w:tcW w:w="900" w:type="dxa"/>
            <w:shd w:val="clear" w:color="auto" w:fill="FFFFFF" w:themeFill="background1"/>
          </w:tcPr>
          <w:p w14:paraId="0097B07C"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565A3706"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908,437</w:t>
            </w:r>
          </w:p>
        </w:tc>
        <w:tc>
          <w:tcPr>
            <w:tcW w:w="1440" w:type="dxa"/>
            <w:shd w:val="clear" w:color="auto" w:fill="FFFFFF" w:themeFill="background1"/>
          </w:tcPr>
          <w:p w14:paraId="5DFDC0F0"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9</w:t>
            </w:r>
          </w:p>
        </w:tc>
        <w:tc>
          <w:tcPr>
            <w:tcW w:w="1350" w:type="dxa"/>
            <w:tcBorders>
              <w:right w:val="nil"/>
            </w:tcBorders>
            <w:shd w:val="clear" w:color="auto" w:fill="FFFFFF" w:themeFill="background1"/>
          </w:tcPr>
          <w:p w14:paraId="6ADFA1BC"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246</w:t>
            </w:r>
          </w:p>
        </w:tc>
      </w:tr>
      <w:tr w:rsidR="0004342B" w:rsidRPr="00A96D90" w14:paraId="699620D0" w14:textId="77777777" w:rsidTr="00691179">
        <w:trPr>
          <w:trHeight w:val="288"/>
          <w:jc w:val="center"/>
        </w:trPr>
        <w:tc>
          <w:tcPr>
            <w:tcW w:w="4315" w:type="dxa"/>
            <w:shd w:val="clear" w:color="auto" w:fill="FFFFFF" w:themeFill="background1"/>
          </w:tcPr>
          <w:p w14:paraId="33FED410" w14:textId="77777777" w:rsidR="0004342B" w:rsidRPr="004346F1" w:rsidRDefault="0004342B" w:rsidP="00691179">
            <w:pPr>
              <w:ind w:right="144"/>
              <w:rPr>
                <w:rFonts w:asciiTheme="minorHAnsi" w:eastAsiaTheme="minorEastAsia" w:hAnsiTheme="minorHAnsi" w:cs="Arial"/>
                <w:b/>
                <w:bCs/>
                <w:color w:val="59595B"/>
                <w:sz w:val="20"/>
              </w:rPr>
            </w:pPr>
            <w:r w:rsidRPr="004346F1">
              <w:rPr>
                <w:rFonts w:asciiTheme="minorHAnsi" w:eastAsiaTheme="minorEastAsia" w:hAnsiTheme="minorHAnsi" w:cs="Arial"/>
                <w:bCs/>
                <w:color w:val="59595B"/>
                <w:sz w:val="20"/>
                <w:lang w:val="en-GB"/>
              </w:rPr>
              <w:t>Shares issued for cash</w:t>
            </w:r>
            <w:r w:rsidRPr="004346F1">
              <w:rPr>
                <w:rFonts w:asciiTheme="minorHAnsi" w:eastAsiaTheme="minorEastAsia" w:hAnsiTheme="minorHAnsi" w:cs="Arial"/>
                <w:bCs/>
                <w:color w:val="59595B"/>
                <w:sz w:val="20"/>
              </w:rPr>
              <w:t>/conversion of bonds</w:t>
            </w:r>
          </w:p>
        </w:tc>
        <w:tc>
          <w:tcPr>
            <w:tcW w:w="900" w:type="dxa"/>
            <w:shd w:val="clear" w:color="auto" w:fill="FFFFFF" w:themeFill="background1"/>
          </w:tcPr>
          <w:p w14:paraId="521A45D3"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54F58B97"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26,432,796</w:t>
            </w:r>
          </w:p>
        </w:tc>
        <w:tc>
          <w:tcPr>
            <w:tcW w:w="1440" w:type="dxa"/>
            <w:shd w:val="clear" w:color="auto" w:fill="FFFFFF" w:themeFill="background1"/>
          </w:tcPr>
          <w:p w14:paraId="6AF8F4D2"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264</w:t>
            </w:r>
          </w:p>
        </w:tc>
        <w:tc>
          <w:tcPr>
            <w:tcW w:w="1350" w:type="dxa"/>
            <w:tcBorders>
              <w:right w:val="nil"/>
            </w:tcBorders>
            <w:shd w:val="clear" w:color="auto" w:fill="FFFFFF" w:themeFill="background1"/>
          </w:tcPr>
          <w:p w14:paraId="6BD51BBD"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7,306</w:t>
            </w:r>
          </w:p>
        </w:tc>
      </w:tr>
      <w:tr w:rsidR="0004342B" w:rsidRPr="00A96D90" w14:paraId="3814A793" w14:textId="77777777" w:rsidTr="00691179">
        <w:trPr>
          <w:trHeight w:val="288"/>
          <w:jc w:val="center"/>
        </w:trPr>
        <w:tc>
          <w:tcPr>
            <w:tcW w:w="4315" w:type="dxa"/>
            <w:shd w:val="clear" w:color="auto" w:fill="FFFFFF" w:themeFill="background1"/>
          </w:tcPr>
          <w:p w14:paraId="3F75AED8" w14:textId="77777777" w:rsidR="0004342B" w:rsidRPr="004346F1" w:rsidRDefault="0004342B" w:rsidP="00691179">
            <w:pPr>
              <w:ind w:right="144"/>
              <w:rPr>
                <w:rFonts w:asciiTheme="minorHAnsi" w:eastAsiaTheme="minorEastAsia" w:hAnsiTheme="minorHAnsi" w:cs="Arial"/>
                <w:b/>
                <w:bCs/>
                <w:color w:val="59595B"/>
                <w:sz w:val="20"/>
                <w:lang w:val="en-GB"/>
              </w:rPr>
            </w:pPr>
            <w:r w:rsidRPr="004346F1">
              <w:rPr>
                <w:rFonts w:asciiTheme="minorHAnsi" w:eastAsiaTheme="minorEastAsia" w:hAnsiTheme="minorHAnsi" w:cs="Arial"/>
                <w:bCs/>
                <w:color w:val="59595B"/>
                <w:sz w:val="20"/>
                <w:lang w:val="en-GB"/>
              </w:rPr>
              <w:t>Warrants exercised/ issued</w:t>
            </w:r>
          </w:p>
        </w:tc>
        <w:tc>
          <w:tcPr>
            <w:tcW w:w="900" w:type="dxa"/>
            <w:shd w:val="clear" w:color="auto" w:fill="FFFFFF" w:themeFill="background1"/>
          </w:tcPr>
          <w:p w14:paraId="20C161CC"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35D193F8"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1,000,000</w:t>
            </w:r>
          </w:p>
        </w:tc>
        <w:tc>
          <w:tcPr>
            <w:tcW w:w="1440" w:type="dxa"/>
            <w:shd w:val="clear" w:color="auto" w:fill="FFFFFF" w:themeFill="background1"/>
          </w:tcPr>
          <w:p w14:paraId="44266829"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10</w:t>
            </w:r>
          </w:p>
        </w:tc>
        <w:tc>
          <w:tcPr>
            <w:tcW w:w="1350" w:type="dxa"/>
            <w:tcBorders>
              <w:right w:val="nil"/>
            </w:tcBorders>
            <w:shd w:val="clear" w:color="auto" w:fill="FFFFFF" w:themeFill="background1"/>
          </w:tcPr>
          <w:p w14:paraId="1076C949"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1,479</w:t>
            </w:r>
          </w:p>
        </w:tc>
      </w:tr>
      <w:tr w:rsidR="0004342B" w:rsidRPr="00A96D90" w14:paraId="4ED0B266" w14:textId="77777777" w:rsidTr="00691179">
        <w:trPr>
          <w:trHeight w:val="288"/>
          <w:jc w:val="center"/>
        </w:trPr>
        <w:tc>
          <w:tcPr>
            <w:tcW w:w="4315" w:type="dxa"/>
            <w:shd w:val="clear" w:color="auto" w:fill="FFFFFF" w:themeFill="background1"/>
          </w:tcPr>
          <w:p w14:paraId="0B6D72C5" w14:textId="77777777" w:rsidR="0004342B" w:rsidRPr="004346F1" w:rsidRDefault="0004342B" w:rsidP="00691179">
            <w:pPr>
              <w:ind w:right="144"/>
              <w:rPr>
                <w:rFonts w:asciiTheme="minorHAnsi" w:eastAsiaTheme="minorEastAsia" w:hAnsiTheme="minorHAnsi" w:cs="Arial"/>
                <w:bCs/>
                <w:color w:val="59595B"/>
                <w:sz w:val="20"/>
                <w:lang w:val="en-GB"/>
              </w:rPr>
            </w:pPr>
            <w:r w:rsidRPr="004346F1">
              <w:rPr>
                <w:rFonts w:asciiTheme="minorHAnsi" w:eastAsiaTheme="minorEastAsia" w:hAnsiTheme="minorHAnsi" w:cs="Arial"/>
                <w:bCs/>
                <w:color w:val="59595B"/>
                <w:sz w:val="20"/>
                <w:lang w:val="en-GB"/>
              </w:rPr>
              <w:t>Options exercised</w:t>
            </w:r>
          </w:p>
        </w:tc>
        <w:tc>
          <w:tcPr>
            <w:tcW w:w="900" w:type="dxa"/>
            <w:shd w:val="clear" w:color="auto" w:fill="FFFFFF" w:themeFill="background1"/>
          </w:tcPr>
          <w:p w14:paraId="00D8A42C"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121ECCBB"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440" w:type="dxa"/>
            <w:shd w:val="clear" w:color="auto" w:fill="FFFFFF" w:themeFill="background1"/>
          </w:tcPr>
          <w:p w14:paraId="42A0E3DF"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sidRPr="009C721F">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3152C15C"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w:t>
            </w:r>
          </w:p>
        </w:tc>
      </w:tr>
      <w:tr w:rsidR="0004342B" w:rsidRPr="0092142E" w14:paraId="7783B699" w14:textId="77777777" w:rsidTr="00691179">
        <w:trPr>
          <w:trHeight w:val="288"/>
          <w:jc w:val="center"/>
        </w:trPr>
        <w:tc>
          <w:tcPr>
            <w:tcW w:w="4315" w:type="dxa"/>
            <w:shd w:val="clear" w:color="auto" w:fill="FFFFFF" w:themeFill="background1"/>
          </w:tcPr>
          <w:p w14:paraId="3758D3F0" w14:textId="77777777" w:rsidR="0004342B" w:rsidRPr="0092142E" w:rsidRDefault="0004342B" w:rsidP="00691179">
            <w:pPr>
              <w:ind w:right="144"/>
              <w:rPr>
                <w:rFonts w:asciiTheme="minorHAnsi" w:eastAsiaTheme="minorEastAsia" w:hAnsiTheme="minorHAnsi" w:cs="Arial"/>
                <w:b/>
                <w:bCs/>
                <w:color w:val="59595B"/>
                <w:sz w:val="20"/>
                <w:lang w:val="en-GB"/>
              </w:rPr>
            </w:pPr>
            <w:r w:rsidRPr="0092142E">
              <w:rPr>
                <w:rFonts w:asciiTheme="minorHAnsi" w:eastAsiaTheme="minorEastAsia" w:hAnsiTheme="minorHAnsi" w:cs="Arial"/>
                <w:b/>
                <w:bCs/>
                <w:color w:val="59595B"/>
                <w:sz w:val="20"/>
                <w:lang w:val="en-GB"/>
              </w:rPr>
              <w:t>Total transactions with owners</w:t>
            </w:r>
          </w:p>
          <w:p w14:paraId="65C772B4" w14:textId="77777777" w:rsidR="0004342B" w:rsidRPr="0092142E" w:rsidRDefault="0004342B" w:rsidP="00691179">
            <w:pPr>
              <w:ind w:right="144"/>
              <w:rPr>
                <w:rFonts w:asciiTheme="minorHAnsi" w:eastAsiaTheme="minorEastAsia" w:hAnsiTheme="minorHAnsi" w:cs="Arial"/>
                <w:b/>
                <w:bCs/>
                <w:color w:val="59595B"/>
                <w:sz w:val="20"/>
                <w:lang w:val="en-GB"/>
              </w:rPr>
            </w:pPr>
            <w:r w:rsidRPr="0092142E">
              <w:rPr>
                <w:rFonts w:asciiTheme="minorHAnsi" w:eastAsiaTheme="minorEastAsia" w:hAnsiTheme="minorHAnsi" w:cs="Arial"/>
                <w:b/>
                <w:bCs/>
                <w:color w:val="59595B"/>
                <w:sz w:val="20"/>
                <w:lang w:val="en-GB"/>
              </w:rPr>
              <w:t>recognized directly in equity</w:t>
            </w:r>
          </w:p>
        </w:tc>
        <w:tc>
          <w:tcPr>
            <w:tcW w:w="900" w:type="dxa"/>
            <w:shd w:val="clear" w:color="auto" w:fill="FFFFFF" w:themeFill="background1"/>
          </w:tcPr>
          <w:p w14:paraId="2F885F66"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FFFFF" w:themeFill="background1"/>
          </w:tcPr>
          <w:p w14:paraId="1DC09723" w14:textId="77777777" w:rsidR="0004342B" w:rsidRDefault="0004342B" w:rsidP="00691179">
            <w:pPr>
              <w:ind w:right="144"/>
              <w:jc w:val="right"/>
              <w:rPr>
                <w:rFonts w:asciiTheme="minorHAnsi" w:eastAsiaTheme="minorEastAsia" w:hAnsiTheme="minorHAnsi" w:cs="Arial"/>
                <w:b/>
                <w:bCs/>
                <w:color w:val="59595B"/>
                <w:sz w:val="20"/>
                <w:szCs w:val="20"/>
                <w:lang w:val="en-GB"/>
              </w:rPr>
            </w:pPr>
          </w:p>
          <w:p w14:paraId="0072CD58"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r>
              <w:rPr>
                <w:rFonts w:asciiTheme="minorHAnsi" w:eastAsiaTheme="minorEastAsia" w:hAnsiTheme="minorHAnsi" w:cs="Arial"/>
                <w:b/>
                <w:bCs/>
                <w:color w:val="59595B"/>
                <w:sz w:val="20"/>
                <w:szCs w:val="20"/>
              </w:rPr>
              <w:t>28,341,233</w:t>
            </w:r>
          </w:p>
        </w:tc>
        <w:tc>
          <w:tcPr>
            <w:tcW w:w="1440" w:type="dxa"/>
            <w:shd w:val="clear" w:color="auto" w:fill="FFFFFF" w:themeFill="background1"/>
          </w:tcPr>
          <w:p w14:paraId="4F3C6237"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p>
          <w:p w14:paraId="5A90A921"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r>
              <w:rPr>
                <w:rFonts w:asciiTheme="minorHAnsi" w:eastAsiaTheme="minorEastAsia" w:hAnsiTheme="minorHAnsi" w:cs="Arial"/>
                <w:b/>
                <w:bCs/>
                <w:color w:val="59595B"/>
                <w:sz w:val="20"/>
                <w:szCs w:val="20"/>
              </w:rPr>
              <w:t>283</w:t>
            </w:r>
          </w:p>
        </w:tc>
        <w:tc>
          <w:tcPr>
            <w:tcW w:w="1350" w:type="dxa"/>
            <w:tcBorders>
              <w:right w:val="nil"/>
            </w:tcBorders>
            <w:shd w:val="clear" w:color="auto" w:fill="FFFFFF" w:themeFill="background1"/>
          </w:tcPr>
          <w:p w14:paraId="7AB5316C"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p>
          <w:p w14:paraId="143605A8" w14:textId="77777777" w:rsidR="0004342B" w:rsidRPr="0092142E" w:rsidRDefault="0004342B" w:rsidP="00691179">
            <w:pPr>
              <w:ind w:right="144"/>
              <w:jc w:val="right"/>
              <w:rPr>
                <w:rFonts w:asciiTheme="minorHAnsi" w:eastAsiaTheme="minorEastAsia" w:hAnsiTheme="minorHAnsi" w:cs="Arial"/>
                <w:b/>
                <w:bCs/>
                <w:color w:val="59595B"/>
                <w:sz w:val="20"/>
                <w:szCs w:val="20"/>
                <w:lang w:val="en-GB"/>
              </w:rPr>
            </w:pPr>
            <w:r>
              <w:rPr>
                <w:rFonts w:asciiTheme="minorHAnsi" w:eastAsiaTheme="minorEastAsia" w:hAnsiTheme="minorHAnsi" w:cs="Arial"/>
                <w:b/>
                <w:bCs/>
                <w:color w:val="59595B"/>
                <w:sz w:val="20"/>
                <w:szCs w:val="20"/>
              </w:rPr>
              <w:t>9,031</w:t>
            </w:r>
          </w:p>
        </w:tc>
      </w:tr>
      <w:tr w:rsidR="0004342B" w:rsidRPr="00A96D90" w14:paraId="6737B72E" w14:textId="77777777" w:rsidTr="00691179">
        <w:trPr>
          <w:trHeight w:val="288"/>
          <w:jc w:val="center"/>
        </w:trPr>
        <w:tc>
          <w:tcPr>
            <w:tcW w:w="4315" w:type="dxa"/>
            <w:tcBorders>
              <w:bottom w:val="single" w:sz="4" w:space="0" w:color="BFBFBF" w:themeColor="background1" w:themeShade="BF"/>
            </w:tcBorders>
            <w:shd w:val="clear" w:color="auto" w:fill="FFFFFF" w:themeFill="background1"/>
          </w:tcPr>
          <w:p w14:paraId="1301111B" w14:textId="77777777" w:rsidR="0004342B" w:rsidRPr="009C721F" w:rsidRDefault="0004342B" w:rsidP="00691179">
            <w:pPr>
              <w:ind w:right="144"/>
              <w:rPr>
                <w:rFonts w:asciiTheme="minorHAnsi" w:eastAsiaTheme="minorEastAsia" w:hAnsiTheme="minorHAnsi" w:cs="Arial"/>
                <w:bCs/>
                <w:color w:val="59595B"/>
                <w:sz w:val="20"/>
                <w:lang w:val="en-GB"/>
              </w:rPr>
            </w:pPr>
          </w:p>
        </w:tc>
        <w:tc>
          <w:tcPr>
            <w:tcW w:w="900" w:type="dxa"/>
            <w:tcBorders>
              <w:bottom w:val="single" w:sz="4" w:space="0" w:color="BFBFBF" w:themeColor="background1" w:themeShade="BF"/>
            </w:tcBorders>
            <w:shd w:val="clear" w:color="auto" w:fill="FFFFFF" w:themeFill="background1"/>
          </w:tcPr>
          <w:p w14:paraId="2AFA06A9"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bottom w:val="single" w:sz="4" w:space="0" w:color="BFBFBF" w:themeColor="background1" w:themeShade="BF"/>
            </w:tcBorders>
            <w:shd w:val="clear" w:color="auto" w:fill="FFFFFF" w:themeFill="background1"/>
          </w:tcPr>
          <w:p w14:paraId="54DE50AB"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bottom w:val="single" w:sz="4" w:space="0" w:color="BFBFBF" w:themeColor="background1" w:themeShade="BF"/>
            </w:tcBorders>
            <w:shd w:val="clear" w:color="auto" w:fill="FFFFFF" w:themeFill="background1"/>
          </w:tcPr>
          <w:p w14:paraId="6FC990B3"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c>
          <w:tcPr>
            <w:tcW w:w="1350" w:type="dxa"/>
            <w:tcBorders>
              <w:bottom w:val="single" w:sz="4" w:space="0" w:color="BFBFBF" w:themeColor="background1" w:themeShade="BF"/>
              <w:right w:val="nil"/>
            </w:tcBorders>
            <w:shd w:val="clear" w:color="auto" w:fill="FFFFFF" w:themeFill="background1"/>
          </w:tcPr>
          <w:p w14:paraId="22C12867" w14:textId="77777777" w:rsidR="0004342B" w:rsidRPr="009C721F" w:rsidRDefault="0004342B" w:rsidP="00691179">
            <w:pPr>
              <w:ind w:right="144"/>
              <w:jc w:val="right"/>
              <w:rPr>
                <w:rFonts w:asciiTheme="minorHAnsi" w:eastAsiaTheme="minorEastAsia" w:hAnsiTheme="minorHAnsi" w:cs="Arial"/>
                <w:bCs/>
                <w:color w:val="59595B"/>
                <w:sz w:val="20"/>
                <w:szCs w:val="20"/>
                <w:lang w:val="en-GB"/>
              </w:rPr>
            </w:pPr>
          </w:p>
        </w:tc>
      </w:tr>
      <w:tr w:rsidR="0004342B" w:rsidRPr="0092142E" w14:paraId="1960E1F1" w14:textId="77777777" w:rsidTr="00691179">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5F7B4FA7" w14:textId="77777777" w:rsidR="0004342B" w:rsidRPr="0092142E" w:rsidRDefault="0004342B" w:rsidP="00691179">
            <w:pPr>
              <w:ind w:right="144"/>
              <w:rPr>
                <w:rFonts w:asciiTheme="minorHAnsi" w:eastAsiaTheme="minorEastAsia" w:hAnsiTheme="minorHAnsi" w:cs="Arial"/>
                <w:b/>
                <w:bCs/>
                <w:color w:val="0070C0"/>
                <w:sz w:val="20"/>
              </w:rPr>
            </w:pPr>
            <w:r w:rsidRPr="0092142E">
              <w:rPr>
                <w:rFonts w:asciiTheme="minorHAnsi" w:eastAsiaTheme="minorEastAsia" w:hAnsiTheme="minorHAnsi" w:cs="Arial"/>
                <w:b/>
                <w:bCs/>
                <w:color w:val="0070C0"/>
                <w:sz w:val="20"/>
                <w:lang w:val="en-GB"/>
              </w:rPr>
              <w:t>Balance at 30 June 201</w:t>
            </w:r>
            <w:r>
              <w:rPr>
                <w:rFonts w:asciiTheme="minorHAnsi" w:eastAsiaTheme="minorEastAsia" w:hAnsiTheme="minorHAnsi" w:cs="Arial"/>
                <w:b/>
                <w:bCs/>
                <w:color w:val="0070C0"/>
                <w:sz w:val="20"/>
              </w:rPr>
              <w:t>7</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18ABA1BF" w14:textId="77777777" w:rsidR="0004342B" w:rsidRPr="0092142E" w:rsidRDefault="0004342B" w:rsidP="00691179">
            <w:pPr>
              <w:ind w:right="144"/>
              <w:jc w:val="right"/>
              <w:rPr>
                <w:rFonts w:asciiTheme="minorHAnsi" w:eastAsiaTheme="minorEastAsia" w:hAnsiTheme="minorHAnsi" w:cs="Arial"/>
                <w:b/>
                <w:bCs/>
                <w:color w:val="0070C0"/>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0B68DB54" w14:textId="77777777" w:rsidR="0004342B" w:rsidRPr="0092142E" w:rsidRDefault="0004342B" w:rsidP="00691179">
            <w:pPr>
              <w:ind w:right="144"/>
              <w:jc w:val="right"/>
              <w:rPr>
                <w:rFonts w:asciiTheme="minorHAnsi" w:eastAsiaTheme="minorEastAsia" w:hAnsiTheme="minorHAnsi" w:cs="Arial"/>
                <w:b/>
                <w:bCs/>
                <w:color w:val="0070C0"/>
                <w:sz w:val="20"/>
                <w:szCs w:val="20"/>
                <w:lang w:val="en-GB"/>
              </w:rPr>
            </w:pPr>
            <w:r w:rsidRPr="0092142E">
              <w:rPr>
                <w:rFonts w:asciiTheme="minorHAnsi" w:eastAsiaTheme="minorEastAsia" w:hAnsiTheme="minorHAnsi" w:cs="Arial"/>
                <w:b/>
                <w:bCs/>
                <w:color w:val="0070C0"/>
                <w:sz w:val="20"/>
                <w:szCs w:val="20"/>
                <w:lang w:val="en-GB"/>
              </w:rPr>
              <w:t>4</w:t>
            </w:r>
            <w:r>
              <w:rPr>
                <w:rFonts w:asciiTheme="minorHAnsi" w:eastAsiaTheme="minorEastAsia" w:hAnsiTheme="minorHAnsi" w:cs="Arial"/>
                <w:b/>
                <w:bCs/>
                <w:color w:val="0070C0"/>
                <w:sz w:val="20"/>
                <w:szCs w:val="20"/>
              </w:rPr>
              <w:t>83,928,545</w:t>
            </w: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50B2EF2B" w14:textId="77777777" w:rsidR="0004342B" w:rsidRPr="0092142E" w:rsidRDefault="0004342B" w:rsidP="00691179">
            <w:pPr>
              <w:ind w:right="144"/>
              <w:jc w:val="right"/>
              <w:rPr>
                <w:rFonts w:asciiTheme="minorHAnsi" w:eastAsiaTheme="minorEastAsia" w:hAnsiTheme="minorHAnsi" w:cs="Arial"/>
                <w:b/>
                <w:bCs/>
                <w:color w:val="0070C0"/>
                <w:sz w:val="20"/>
                <w:szCs w:val="20"/>
                <w:lang w:val="en-GB"/>
              </w:rPr>
            </w:pPr>
            <w:r w:rsidRPr="0092142E">
              <w:rPr>
                <w:rFonts w:asciiTheme="minorHAnsi" w:eastAsiaTheme="minorEastAsia" w:hAnsiTheme="minorHAnsi" w:cs="Arial"/>
                <w:b/>
                <w:bCs/>
                <w:color w:val="0070C0"/>
                <w:sz w:val="20"/>
                <w:szCs w:val="20"/>
                <w:lang w:val="en-GB"/>
              </w:rPr>
              <w:t>4,</w:t>
            </w:r>
            <w:r>
              <w:rPr>
                <w:rFonts w:asciiTheme="minorHAnsi" w:eastAsiaTheme="minorEastAsia" w:hAnsiTheme="minorHAnsi" w:cs="Arial"/>
                <w:b/>
                <w:bCs/>
                <w:color w:val="0070C0"/>
                <w:sz w:val="20"/>
                <w:szCs w:val="20"/>
              </w:rPr>
              <w:t>839</w:t>
            </w: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7B8E33A9" w14:textId="77777777" w:rsidR="0004342B" w:rsidRPr="0092142E" w:rsidRDefault="0004342B" w:rsidP="00691179">
            <w:pPr>
              <w:ind w:right="144"/>
              <w:jc w:val="right"/>
              <w:rPr>
                <w:rFonts w:asciiTheme="minorHAnsi" w:eastAsiaTheme="minorEastAsia" w:hAnsiTheme="minorHAnsi" w:cs="Arial"/>
                <w:b/>
                <w:bCs/>
                <w:color w:val="0070C0"/>
                <w:sz w:val="20"/>
                <w:szCs w:val="20"/>
                <w:lang w:val="en-GB"/>
              </w:rPr>
            </w:pPr>
            <w:r>
              <w:rPr>
                <w:rFonts w:asciiTheme="minorHAnsi" w:eastAsiaTheme="minorEastAsia" w:hAnsiTheme="minorHAnsi" w:cs="Arial"/>
                <w:b/>
                <w:bCs/>
                <w:color w:val="0070C0"/>
                <w:sz w:val="20"/>
                <w:szCs w:val="20"/>
              </w:rPr>
              <w:t>310,907</w:t>
            </w:r>
          </w:p>
        </w:tc>
      </w:tr>
      <w:tr w:rsidR="0004342B" w:rsidRPr="00A96D90" w14:paraId="3BB9833B" w14:textId="77777777" w:rsidTr="00691179">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34C8A4A8" w14:textId="77777777" w:rsidR="0004342B" w:rsidRPr="00E12C03" w:rsidRDefault="0004342B" w:rsidP="00691179">
            <w:pPr>
              <w:ind w:right="144"/>
              <w:rPr>
                <w:rFonts w:asciiTheme="minorHAnsi" w:eastAsiaTheme="minorEastAsia" w:hAnsiTheme="minorHAnsi" w:cs="Arial"/>
                <w:bCs/>
                <w:i/>
                <w:color w:val="59595B"/>
                <w:sz w:val="20"/>
                <w:highlight w:val="yellow"/>
                <w:lang w:val="en-GB"/>
              </w:rPr>
            </w:pP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10618D29" w14:textId="77777777" w:rsidR="0004342B" w:rsidRPr="00E12C03" w:rsidRDefault="0004342B" w:rsidP="00691179">
            <w:pPr>
              <w:ind w:right="144"/>
              <w:jc w:val="right"/>
              <w:rPr>
                <w:rFonts w:asciiTheme="minorHAnsi" w:eastAsiaTheme="minorEastAsia" w:hAnsiTheme="minorHAnsi" w:cs="Arial"/>
                <w:bCs/>
                <w:color w:val="59595B"/>
                <w:sz w:val="20"/>
                <w:szCs w:val="20"/>
                <w:highlight w:val="yellow"/>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0971265B" w14:textId="77777777" w:rsidR="0004342B" w:rsidRPr="00E12C03" w:rsidRDefault="0004342B" w:rsidP="00691179">
            <w:pPr>
              <w:ind w:right="144"/>
              <w:jc w:val="right"/>
              <w:rPr>
                <w:rFonts w:asciiTheme="minorHAnsi" w:eastAsiaTheme="minorEastAsia" w:hAnsiTheme="minorHAnsi" w:cs="Arial"/>
                <w:bCs/>
                <w:color w:val="59595B"/>
                <w:sz w:val="20"/>
                <w:szCs w:val="20"/>
                <w:highlight w:val="yellow"/>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54D916F9" w14:textId="77777777" w:rsidR="0004342B" w:rsidRPr="00E12C03" w:rsidRDefault="0004342B" w:rsidP="00691179">
            <w:pPr>
              <w:ind w:right="144"/>
              <w:jc w:val="right"/>
              <w:rPr>
                <w:rFonts w:asciiTheme="minorHAnsi" w:eastAsiaTheme="minorEastAsia" w:hAnsiTheme="minorHAnsi" w:cs="Arial"/>
                <w:bCs/>
                <w:color w:val="59595B"/>
                <w:sz w:val="20"/>
                <w:szCs w:val="20"/>
                <w:highlight w:val="yellow"/>
                <w:lang w:val="en-GB"/>
              </w:rPr>
            </w:pP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275324DA" w14:textId="77777777" w:rsidR="0004342B" w:rsidRPr="00E12C03" w:rsidRDefault="0004342B" w:rsidP="00691179">
            <w:pPr>
              <w:ind w:right="144"/>
              <w:jc w:val="right"/>
              <w:rPr>
                <w:rFonts w:asciiTheme="minorHAnsi" w:eastAsiaTheme="minorEastAsia" w:hAnsiTheme="minorHAnsi" w:cs="Arial"/>
                <w:bCs/>
                <w:color w:val="59595B"/>
                <w:sz w:val="20"/>
                <w:szCs w:val="20"/>
                <w:highlight w:val="yellow"/>
                <w:lang w:val="en-GB"/>
              </w:rPr>
            </w:pPr>
          </w:p>
        </w:tc>
      </w:tr>
      <w:tr w:rsidR="0004342B" w:rsidRPr="0092142E" w14:paraId="1260DD2E" w14:textId="77777777" w:rsidTr="00691179">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56EC4593" w14:textId="77777777" w:rsidR="0004342B" w:rsidRPr="001B2A6E" w:rsidRDefault="0004342B" w:rsidP="00691179">
            <w:pPr>
              <w:ind w:right="144"/>
              <w:rPr>
                <w:rFonts w:asciiTheme="minorHAnsi" w:eastAsiaTheme="minorEastAsia" w:hAnsiTheme="minorHAnsi" w:cs="Arial"/>
                <w:b/>
                <w:bCs/>
                <w:color w:val="0070C0"/>
                <w:sz w:val="20"/>
              </w:rPr>
            </w:pPr>
            <w:r w:rsidRPr="001B2A6E">
              <w:rPr>
                <w:rFonts w:asciiTheme="minorHAnsi" w:eastAsiaTheme="minorEastAsia" w:hAnsiTheme="minorHAnsi" w:cs="Arial"/>
                <w:b/>
                <w:bCs/>
                <w:color w:val="0070C0"/>
                <w:sz w:val="20"/>
                <w:lang w:val="en-GB"/>
              </w:rPr>
              <w:t>Balance at 1 January 201</w:t>
            </w:r>
            <w:r w:rsidRPr="001B2A6E">
              <w:rPr>
                <w:rFonts w:asciiTheme="minorHAnsi" w:eastAsiaTheme="minorEastAsia" w:hAnsiTheme="minorHAnsi" w:cs="Arial"/>
                <w:b/>
                <w:bCs/>
                <w:color w:val="0070C0"/>
                <w:sz w:val="20"/>
              </w:rPr>
              <w:t>8</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4135FBC2" w14:textId="77777777" w:rsidR="0004342B" w:rsidRPr="001B2A6E" w:rsidRDefault="0004342B" w:rsidP="00691179">
            <w:pPr>
              <w:ind w:right="144"/>
              <w:jc w:val="right"/>
              <w:rPr>
                <w:rFonts w:asciiTheme="minorHAnsi" w:hAnsiTheme="minorHAnsi"/>
                <w:b/>
                <w:color w:val="0070C0"/>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F0815C5" w14:textId="77777777" w:rsidR="0004342B" w:rsidRPr="001B2A6E" w:rsidRDefault="0004342B" w:rsidP="00691179">
            <w:pPr>
              <w:ind w:right="144"/>
              <w:jc w:val="right"/>
              <w:rPr>
                <w:rFonts w:asciiTheme="minorHAnsi" w:eastAsiaTheme="minorEastAsia" w:hAnsiTheme="minorHAnsi" w:cs="Arial"/>
                <w:b/>
                <w:bCs/>
                <w:color w:val="0070C0"/>
                <w:sz w:val="20"/>
                <w:szCs w:val="20"/>
                <w:lang w:val="en-GB"/>
              </w:rPr>
            </w:pPr>
            <w:r w:rsidRPr="001B2A6E">
              <w:rPr>
                <w:rFonts w:asciiTheme="minorHAnsi" w:hAnsiTheme="minorHAnsi"/>
                <w:b/>
                <w:color w:val="0070C0"/>
                <w:sz w:val="20"/>
                <w:szCs w:val="20"/>
              </w:rPr>
              <w:t>579,014,891</w:t>
            </w:r>
          </w:p>
        </w:tc>
        <w:tc>
          <w:tcPr>
            <w:tcW w:w="144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4380DAC" w14:textId="77777777" w:rsidR="0004342B" w:rsidRPr="001B2A6E" w:rsidRDefault="0004342B" w:rsidP="00691179">
            <w:pPr>
              <w:ind w:right="144"/>
              <w:jc w:val="right"/>
              <w:rPr>
                <w:rFonts w:asciiTheme="minorHAnsi" w:eastAsiaTheme="minorEastAsia" w:hAnsiTheme="minorHAnsi" w:cs="Arial"/>
                <w:b/>
                <w:bCs/>
                <w:color w:val="0070C0"/>
                <w:sz w:val="20"/>
                <w:szCs w:val="20"/>
                <w:lang w:val="en-GB"/>
              </w:rPr>
            </w:pPr>
            <w:r w:rsidRPr="001B2A6E">
              <w:rPr>
                <w:rFonts w:asciiTheme="minorHAnsi" w:hAnsiTheme="minorHAnsi"/>
                <w:b/>
                <w:color w:val="0070C0"/>
                <w:sz w:val="20"/>
                <w:szCs w:val="20"/>
              </w:rPr>
              <w:t>5,790</w:t>
            </w:r>
          </w:p>
        </w:tc>
        <w:tc>
          <w:tcPr>
            <w:tcW w:w="1350" w:type="dxa"/>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571308F" w14:textId="77777777" w:rsidR="0004342B" w:rsidRPr="001B2A6E" w:rsidRDefault="0004342B" w:rsidP="00691179">
            <w:pPr>
              <w:ind w:right="144"/>
              <w:jc w:val="right"/>
              <w:rPr>
                <w:rFonts w:asciiTheme="minorHAnsi" w:eastAsiaTheme="minorEastAsia" w:hAnsiTheme="minorHAnsi" w:cs="Arial"/>
                <w:b/>
                <w:bCs/>
                <w:color w:val="0070C0"/>
                <w:sz w:val="20"/>
                <w:szCs w:val="20"/>
                <w:lang w:val="en-GB"/>
              </w:rPr>
            </w:pPr>
            <w:r w:rsidRPr="001B2A6E">
              <w:rPr>
                <w:rFonts w:asciiTheme="minorHAnsi" w:hAnsiTheme="minorHAnsi"/>
                <w:b/>
                <w:color w:val="0070C0"/>
                <w:sz w:val="20"/>
                <w:szCs w:val="20"/>
                <w:lang w:val="en-GB"/>
              </w:rPr>
              <w:t>3</w:t>
            </w:r>
            <w:r w:rsidRPr="001B2A6E">
              <w:rPr>
                <w:rFonts w:asciiTheme="minorHAnsi" w:hAnsiTheme="minorHAnsi"/>
                <w:b/>
                <w:color w:val="0070C0"/>
                <w:sz w:val="20"/>
                <w:szCs w:val="20"/>
              </w:rPr>
              <w:t>70,220</w:t>
            </w:r>
          </w:p>
        </w:tc>
      </w:tr>
      <w:tr w:rsidR="0004342B" w:rsidRPr="00D069D3" w14:paraId="7ACA2DDB" w14:textId="77777777" w:rsidTr="00691179">
        <w:trPr>
          <w:trHeight w:val="288"/>
          <w:jc w:val="center"/>
        </w:trPr>
        <w:tc>
          <w:tcPr>
            <w:tcW w:w="4315" w:type="dxa"/>
            <w:tcBorders>
              <w:top w:val="single" w:sz="4" w:space="0" w:color="BFBFBF" w:themeColor="background1" w:themeShade="BF"/>
            </w:tcBorders>
            <w:shd w:val="clear" w:color="auto" w:fill="FFFFFF" w:themeFill="background1"/>
          </w:tcPr>
          <w:p w14:paraId="2911F1AC" w14:textId="77777777" w:rsidR="0004342B" w:rsidRPr="00E90ADC" w:rsidRDefault="0004342B" w:rsidP="00691179">
            <w:pPr>
              <w:ind w:right="144"/>
              <w:rPr>
                <w:rFonts w:asciiTheme="minorHAnsi" w:eastAsiaTheme="minorEastAsia" w:hAnsiTheme="minorHAnsi" w:cs="Arial"/>
                <w:bCs/>
                <w:color w:val="59595B"/>
                <w:sz w:val="20"/>
                <w:lang w:val="en-GB"/>
              </w:rPr>
            </w:pPr>
            <w:r w:rsidRPr="00E90ADC">
              <w:rPr>
                <w:rFonts w:asciiTheme="minorHAnsi" w:eastAsiaTheme="minorEastAsia" w:hAnsiTheme="minorHAnsi" w:cs="Arial"/>
                <w:bCs/>
                <w:color w:val="59595B"/>
                <w:sz w:val="20"/>
                <w:lang w:val="en-GB"/>
              </w:rPr>
              <w:t>Result for the period</w:t>
            </w:r>
          </w:p>
        </w:tc>
        <w:tc>
          <w:tcPr>
            <w:tcW w:w="900" w:type="dxa"/>
            <w:tcBorders>
              <w:top w:val="single" w:sz="4" w:space="0" w:color="BFBFBF" w:themeColor="background1" w:themeShade="BF"/>
            </w:tcBorders>
            <w:shd w:val="clear" w:color="auto" w:fill="FFFFFF" w:themeFill="background1"/>
          </w:tcPr>
          <w:p w14:paraId="307123A9"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2F2F2" w:themeFill="background1" w:themeFillShade="F2"/>
          </w:tcPr>
          <w:p w14:paraId="7F71CB81"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2F2F2" w:themeFill="background1" w:themeFillShade="F2"/>
          </w:tcPr>
          <w:p w14:paraId="4B990E25"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c>
          <w:tcPr>
            <w:tcW w:w="1350" w:type="dxa"/>
            <w:tcBorders>
              <w:top w:val="single" w:sz="4" w:space="0" w:color="BFBFBF" w:themeColor="background1" w:themeShade="BF"/>
              <w:right w:val="nil"/>
            </w:tcBorders>
            <w:shd w:val="clear" w:color="auto" w:fill="F2F2F2" w:themeFill="background1" w:themeFillShade="F2"/>
          </w:tcPr>
          <w:p w14:paraId="49C08C10"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r>
      <w:tr w:rsidR="0004342B" w:rsidRPr="00D069D3" w14:paraId="2D1DA875" w14:textId="77777777" w:rsidTr="00691179">
        <w:trPr>
          <w:trHeight w:val="288"/>
          <w:jc w:val="center"/>
        </w:trPr>
        <w:tc>
          <w:tcPr>
            <w:tcW w:w="4315" w:type="dxa"/>
            <w:shd w:val="clear" w:color="auto" w:fill="FFFFFF" w:themeFill="background1"/>
          </w:tcPr>
          <w:p w14:paraId="394E27EA" w14:textId="77777777" w:rsidR="0004342B" w:rsidRPr="00E90ADC" w:rsidRDefault="0004342B" w:rsidP="00691179">
            <w:pPr>
              <w:ind w:right="144"/>
              <w:rPr>
                <w:rFonts w:asciiTheme="minorHAnsi" w:eastAsiaTheme="minorEastAsia" w:hAnsiTheme="minorHAnsi" w:cs="Arial"/>
                <w:bCs/>
                <w:color w:val="59595B"/>
                <w:sz w:val="20"/>
                <w:lang w:val="en-GB"/>
              </w:rPr>
            </w:pPr>
            <w:r w:rsidRPr="00E90ADC">
              <w:rPr>
                <w:rFonts w:asciiTheme="minorHAnsi" w:eastAsiaTheme="minorEastAsia" w:hAnsiTheme="minorHAnsi" w:cs="Arial"/>
                <w:bCs/>
                <w:color w:val="59595B"/>
                <w:sz w:val="20"/>
                <w:lang w:val="en-GB"/>
              </w:rPr>
              <w:t>Other comprehensive income</w:t>
            </w:r>
          </w:p>
        </w:tc>
        <w:tc>
          <w:tcPr>
            <w:tcW w:w="900" w:type="dxa"/>
            <w:shd w:val="clear" w:color="auto" w:fill="FFFFFF" w:themeFill="background1"/>
          </w:tcPr>
          <w:p w14:paraId="065E1181"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61D23F01"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59C7EB98"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c>
          <w:tcPr>
            <w:tcW w:w="1350" w:type="dxa"/>
            <w:tcBorders>
              <w:right w:val="nil"/>
            </w:tcBorders>
            <w:shd w:val="clear" w:color="auto" w:fill="F2F2F2" w:themeFill="background1" w:themeFillShade="F2"/>
          </w:tcPr>
          <w:p w14:paraId="65A60513"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r>
      <w:tr w:rsidR="0004342B" w:rsidRPr="00D069D3" w14:paraId="7E2D117B" w14:textId="77777777" w:rsidTr="00691179">
        <w:trPr>
          <w:trHeight w:val="288"/>
          <w:jc w:val="center"/>
        </w:trPr>
        <w:tc>
          <w:tcPr>
            <w:tcW w:w="4315" w:type="dxa"/>
            <w:shd w:val="clear" w:color="auto" w:fill="FFFFFF" w:themeFill="background1"/>
          </w:tcPr>
          <w:p w14:paraId="65D46253"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
                <w:bCs/>
                <w:color w:val="59595B"/>
                <w:sz w:val="20"/>
                <w:lang w:val="en-GB"/>
              </w:rPr>
              <w:t xml:space="preserve">Total comprehensive income </w:t>
            </w:r>
          </w:p>
        </w:tc>
        <w:tc>
          <w:tcPr>
            <w:tcW w:w="900" w:type="dxa"/>
            <w:shd w:val="clear" w:color="auto" w:fill="FFFFFF" w:themeFill="background1"/>
          </w:tcPr>
          <w:p w14:paraId="1FCCF17B"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2F2F2" w:themeFill="background1" w:themeFillShade="F2"/>
          </w:tcPr>
          <w:p w14:paraId="1458C1AB"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2F2F2" w:themeFill="background1" w:themeFillShade="F2"/>
          </w:tcPr>
          <w:p w14:paraId="2C0A89A0" w14:textId="77777777" w:rsidR="0004342B" w:rsidRPr="00E90ADC" w:rsidRDefault="0004342B" w:rsidP="00691179">
            <w:pPr>
              <w:ind w:right="144"/>
              <w:jc w:val="right"/>
              <w:rPr>
                <w:rFonts w:asciiTheme="minorHAnsi" w:eastAsiaTheme="minorEastAsia" w:hAnsiTheme="minorHAnsi" w:cs="Arial"/>
                <w:b/>
                <w:bCs/>
                <w:color w:val="59595B"/>
                <w:sz w:val="20"/>
                <w:szCs w:val="20"/>
              </w:rPr>
            </w:pPr>
            <w:r w:rsidRPr="00E90ADC">
              <w:rPr>
                <w:rFonts w:asciiTheme="minorHAnsi" w:eastAsiaTheme="minorEastAsia" w:hAnsiTheme="minorHAnsi" w:cs="Arial"/>
                <w:b/>
                <w:bCs/>
                <w:color w:val="59595B"/>
                <w:sz w:val="20"/>
                <w:szCs w:val="20"/>
              </w:rPr>
              <w:t>-</w:t>
            </w:r>
          </w:p>
        </w:tc>
        <w:tc>
          <w:tcPr>
            <w:tcW w:w="1350" w:type="dxa"/>
            <w:tcBorders>
              <w:right w:val="nil"/>
            </w:tcBorders>
            <w:shd w:val="clear" w:color="auto" w:fill="F2F2F2" w:themeFill="background1" w:themeFillShade="F2"/>
          </w:tcPr>
          <w:p w14:paraId="2B4E8410" w14:textId="77777777" w:rsidR="0004342B" w:rsidRPr="00E90ADC" w:rsidRDefault="0004342B" w:rsidP="00691179">
            <w:pPr>
              <w:ind w:right="144"/>
              <w:jc w:val="right"/>
              <w:rPr>
                <w:rFonts w:asciiTheme="minorHAnsi" w:eastAsiaTheme="minorEastAsia" w:hAnsiTheme="minorHAnsi" w:cs="Arial"/>
                <w:b/>
                <w:bCs/>
                <w:color w:val="59595B"/>
                <w:sz w:val="20"/>
                <w:szCs w:val="20"/>
              </w:rPr>
            </w:pPr>
            <w:r w:rsidRPr="00E90ADC">
              <w:rPr>
                <w:rFonts w:asciiTheme="minorHAnsi" w:eastAsiaTheme="minorEastAsia" w:hAnsiTheme="minorHAnsi" w:cs="Arial"/>
                <w:b/>
                <w:bCs/>
                <w:color w:val="59595B"/>
                <w:sz w:val="20"/>
                <w:szCs w:val="20"/>
              </w:rPr>
              <w:t>-</w:t>
            </w:r>
          </w:p>
        </w:tc>
      </w:tr>
      <w:tr w:rsidR="0004342B" w:rsidRPr="00D069D3" w14:paraId="72432BDB" w14:textId="77777777" w:rsidTr="00691179">
        <w:trPr>
          <w:trHeight w:val="288"/>
          <w:jc w:val="center"/>
        </w:trPr>
        <w:tc>
          <w:tcPr>
            <w:tcW w:w="4315" w:type="dxa"/>
            <w:shd w:val="clear" w:color="auto" w:fill="FFFFFF" w:themeFill="background1"/>
          </w:tcPr>
          <w:p w14:paraId="22049A51"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Cs/>
                <w:color w:val="59595B"/>
                <w:sz w:val="20"/>
                <w:lang w:val="en-GB"/>
              </w:rPr>
              <w:t>Share-based compensation</w:t>
            </w:r>
          </w:p>
        </w:tc>
        <w:tc>
          <w:tcPr>
            <w:tcW w:w="900" w:type="dxa"/>
            <w:shd w:val="clear" w:color="auto" w:fill="FFFFFF" w:themeFill="background1"/>
          </w:tcPr>
          <w:p w14:paraId="25A0C801"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24259925"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5170DE8E"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c>
          <w:tcPr>
            <w:tcW w:w="1350" w:type="dxa"/>
            <w:tcBorders>
              <w:right w:val="nil"/>
            </w:tcBorders>
            <w:shd w:val="clear" w:color="auto" w:fill="F2F2F2" w:themeFill="background1" w:themeFillShade="F2"/>
          </w:tcPr>
          <w:p w14:paraId="7216DDAD"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w:t>
            </w:r>
          </w:p>
        </w:tc>
      </w:tr>
      <w:tr w:rsidR="0004342B" w:rsidRPr="00D069D3" w14:paraId="4D0FE4C9" w14:textId="77777777" w:rsidTr="00691179">
        <w:trPr>
          <w:trHeight w:val="288"/>
          <w:jc w:val="center"/>
        </w:trPr>
        <w:tc>
          <w:tcPr>
            <w:tcW w:w="4315" w:type="dxa"/>
            <w:shd w:val="clear" w:color="auto" w:fill="FFFFFF" w:themeFill="background1"/>
          </w:tcPr>
          <w:p w14:paraId="15F67410"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Cs/>
                <w:color w:val="59595B"/>
                <w:sz w:val="20"/>
                <w:lang w:val="en-GB"/>
              </w:rPr>
              <w:t>Bonuses settled in shares</w:t>
            </w:r>
          </w:p>
        </w:tc>
        <w:tc>
          <w:tcPr>
            <w:tcW w:w="900" w:type="dxa"/>
            <w:shd w:val="clear" w:color="auto" w:fill="FFFFFF" w:themeFill="background1"/>
          </w:tcPr>
          <w:p w14:paraId="2ACF34E6"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6A2D2009"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961,114</w:t>
            </w:r>
          </w:p>
        </w:tc>
        <w:tc>
          <w:tcPr>
            <w:tcW w:w="1440" w:type="dxa"/>
            <w:shd w:val="clear" w:color="auto" w:fill="F2F2F2" w:themeFill="background1" w:themeFillShade="F2"/>
          </w:tcPr>
          <w:p w14:paraId="6032FA38"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10</w:t>
            </w:r>
          </w:p>
        </w:tc>
        <w:tc>
          <w:tcPr>
            <w:tcW w:w="1350" w:type="dxa"/>
            <w:tcBorders>
              <w:right w:val="nil"/>
            </w:tcBorders>
            <w:shd w:val="clear" w:color="auto" w:fill="F2F2F2" w:themeFill="background1" w:themeFillShade="F2"/>
          </w:tcPr>
          <w:p w14:paraId="1EB62757"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354</w:t>
            </w:r>
          </w:p>
        </w:tc>
      </w:tr>
      <w:tr w:rsidR="0004342B" w:rsidRPr="00D069D3" w14:paraId="49960BB4" w14:textId="77777777" w:rsidTr="00691179">
        <w:trPr>
          <w:trHeight w:val="288"/>
          <w:jc w:val="center"/>
        </w:trPr>
        <w:tc>
          <w:tcPr>
            <w:tcW w:w="4315" w:type="dxa"/>
            <w:shd w:val="clear" w:color="auto" w:fill="FFFFFF" w:themeFill="background1"/>
          </w:tcPr>
          <w:p w14:paraId="75C8C4FD"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Cs/>
                <w:color w:val="59595B"/>
                <w:sz w:val="20"/>
                <w:lang w:val="en-GB"/>
              </w:rPr>
              <w:t>Shares issued</w:t>
            </w:r>
            <w:r w:rsidRPr="00E90ADC">
              <w:rPr>
                <w:rFonts w:asciiTheme="minorHAnsi" w:eastAsiaTheme="minorEastAsia" w:hAnsiTheme="minorHAnsi" w:cs="Arial"/>
                <w:bCs/>
                <w:color w:val="59595B"/>
                <w:sz w:val="20"/>
              </w:rPr>
              <w:t xml:space="preserve"> for cash/conversion of</w:t>
            </w:r>
            <w:r w:rsidRPr="00E90ADC">
              <w:rPr>
                <w:rFonts w:asciiTheme="minorHAnsi" w:eastAsiaTheme="minorEastAsia" w:hAnsiTheme="minorHAnsi" w:cs="Arial"/>
                <w:bCs/>
                <w:color w:val="59595B"/>
                <w:sz w:val="20"/>
                <w:lang w:val="en-GB"/>
              </w:rPr>
              <w:t xml:space="preserve"> </w:t>
            </w:r>
            <w:r w:rsidRPr="00E90ADC">
              <w:rPr>
                <w:rFonts w:asciiTheme="minorHAnsi" w:eastAsiaTheme="minorEastAsia" w:hAnsiTheme="minorHAnsi" w:cs="Arial"/>
                <w:bCs/>
                <w:color w:val="59595B"/>
                <w:sz w:val="20"/>
              </w:rPr>
              <w:t>b</w:t>
            </w:r>
            <w:r w:rsidRPr="00E90ADC">
              <w:rPr>
                <w:rFonts w:asciiTheme="minorHAnsi" w:eastAsiaTheme="minorEastAsia" w:hAnsiTheme="minorHAnsi" w:cs="Arial"/>
                <w:bCs/>
                <w:color w:val="59595B"/>
                <w:sz w:val="20"/>
                <w:lang w:val="en-GB"/>
              </w:rPr>
              <w:t>onds</w:t>
            </w:r>
          </w:p>
        </w:tc>
        <w:tc>
          <w:tcPr>
            <w:tcW w:w="900" w:type="dxa"/>
            <w:shd w:val="clear" w:color="auto" w:fill="FFFFFF" w:themeFill="background1"/>
          </w:tcPr>
          <w:p w14:paraId="323A132D"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78FE6329"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2,746,476</w:t>
            </w:r>
          </w:p>
        </w:tc>
        <w:tc>
          <w:tcPr>
            <w:tcW w:w="1440" w:type="dxa"/>
            <w:shd w:val="clear" w:color="auto" w:fill="F2F2F2" w:themeFill="background1" w:themeFillShade="F2"/>
          </w:tcPr>
          <w:p w14:paraId="522F167A"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27</w:t>
            </w:r>
          </w:p>
        </w:tc>
        <w:tc>
          <w:tcPr>
            <w:tcW w:w="1350" w:type="dxa"/>
            <w:tcBorders>
              <w:right w:val="nil"/>
            </w:tcBorders>
            <w:shd w:val="clear" w:color="auto" w:fill="F2F2F2" w:themeFill="background1" w:themeFillShade="F2"/>
          </w:tcPr>
          <w:p w14:paraId="737E2673"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753</w:t>
            </w:r>
          </w:p>
        </w:tc>
      </w:tr>
      <w:tr w:rsidR="0004342B" w:rsidRPr="00D069D3" w14:paraId="16A6BB33" w14:textId="77777777" w:rsidTr="00691179">
        <w:trPr>
          <w:trHeight w:val="288"/>
          <w:jc w:val="center"/>
        </w:trPr>
        <w:tc>
          <w:tcPr>
            <w:tcW w:w="4315" w:type="dxa"/>
            <w:shd w:val="clear" w:color="auto" w:fill="FFFFFF" w:themeFill="background1"/>
          </w:tcPr>
          <w:p w14:paraId="1C4BD109" w14:textId="77777777" w:rsidR="0004342B" w:rsidRPr="00E90ADC" w:rsidRDefault="0004342B" w:rsidP="00691179">
            <w:pPr>
              <w:ind w:right="144"/>
              <w:rPr>
                <w:rFonts w:asciiTheme="minorHAnsi" w:eastAsiaTheme="minorEastAsia" w:hAnsiTheme="minorHAnsi" w:cs="Arial"/>
                <w:b/>
                <w:bCs/>
                <w:color w:val="59595B"/>
                <w:sz w:val="20"/>
              </w:rPr>
            </w:pPr>
            <w:r w:rsidRPr="00E90ADC">
              <w:rPr>
                <w:rFonts w:asciiTheme="minorHAnsi" w:eastAsiaTheme="minorEastAsia" w:hAnsiTheme="minorHAnsi" w:cs="Arial"/>
                <w:bCs/>
                <w:color w:val="59595B"/>
                <w:sz w:val="20"/>
                <w:lang w:val="en-GB"/>
              </w:rPr>
              <w:t>Warrants exercised</w:t>
            </w:r>
            <w:r w:rsidRPr="00E90ADC">
              <w:rPr>
                <w:rFonts w:asciiTheme="minorHAnsi" w:eastAsiaTheme="minorEastAsia" w:hAnsiTheme="minorHAnsi" w:cs="Arial"/>
                <w:bCs/>
                <w:color w:val="59595B"/>
                <w:sz w:val="20"/>
              </w:rPr>
              <w:t>/issued</w:t>
            </w:r>
          </w:p>
        </w:tc>
        <w:tc>
          <w:tcPr>
            <w:tcW w:w="900" w:type="dxa"/>
            <w:shd w:val="clear" w:color="auto" w:fill="FFFFFF" w:themeFill="background1"/>
          </w:tcPr>
          <w:p w14:paraId="239EF52D"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24308DF3"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10,348,502</w:t>
            </w:r>
          </w:p>
        </w:tc>
        <w:tc>
          <w:tcPr>
            <w:tcW w:w="1440" w:type="dxa"/>
            <w:shd w:val="clear" w:color="auto" w:fill="F2F2F2" w:themeFill="background1" w:themeFillShade="F2"/>
          </w:tcPr>
          <w:p w14:paraId="75C26B81"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103</w:t>
            </w:r>
          </w:p>
        </w:tc>
        <w:tc>
          <w:tcPr>
            <w:tcW w:w="1350" w:type="dxa"/>
            <w:tcBorders>
              <w:right w:val="nil"/>
            </w:tcBorders>
            <w:shd w:val="clear" w:color="auto" w:fill="F2F2F2" w:themeFill="background1" w:themeFillShade="F2"/>
          </w:tcPr>
          <w:p w14:paraId="3EA337F6"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3726</w:t>
            </w:r>
          </w:p>
        </w:tc>
      </w:tr>
      <w:tr w:rsidR="0004342B" w:rsidRPr="00D069D3" w14:paraId="562B71D3" w14:textId="77777777" w:rsidTr="00691179">
        <w:trPr>
          <w:trHeight w:val="288"/>
          <w:jc w:val="center"/>
        </w:trPr>
        <w:tc>
          <w:tcPr>
            <w:tcW w:w="4315" w:type="dxa"/>
            <w:shd w:val="clear" w:color="auto" w:fill="FFFFFF" w:themeFill="background1"/>
          </w:tcPr>
          <w:p w14:paraId="15685D69" w14:textId="77777777" w:rsidR="0004342B" w:rsidRPr="00E90ADC" w:rsidRDefault="0004342B" w:rsidP="00691179">
            <w:pPr>
              <w:ind w:right="144"/>
              <w:rPr>
                <w:rFonts w:asciiTheme="minorHAnsi" w:eastAsiaTheme="minorEastAsia" w:hAnsiTheme="minorHAnsi" w:cs="Arial"/>
                <w:bCs/>
                <w:color w:val="59595B"/>
                <w:sz w:val="20"/>
                <w:lang w:val="en-GB"/>
              </w:rPr>
            </w:pPr>
            <w:r w:rsidRPr="00E90ADC">
              <w:rPr>
                <w:rFonts w:asciiTheme="minorHAnsi" w:eastAsiaTheme="minorEastAsia" w:hAnsiTheme="minorHAnsi" w:cs="Arial"/>
                <w:bCs/>
                <w:color w:val="59595B"/>
                <w:sz w:val="20"/>
                <w:lang w:val="en-GB"/>
              </w:rPr>
              <w:t>Options exercised</w:t>
            </w:r>
          </w:p>
        </w:tc>
        <w:tc>
          <w:tcPr>
            <w:tcW w:w="900" w:type="dxa"/>
            <w:shd w:val="clear" w:color="auto" w:fill="FFFFFF" w:themeFill="background1"/>
          </w:tcPr>
          <w:p w14:paraId="5FD43C5D" w14:textId="77777777" w:rsidR="0004342B" w:rsidRPr="00E90ADC" w:rsidRDefault="0004342B" w:rsidP="00691179">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6C1CB6F7"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17,34</w:t>
            </w:r>
            <w:r>
              <w:rPr>
                <w:rFonts w:asciiTheme="minorHAnsi" w:eastAsiaTheme="minorEastAsia" w:hAnsiTheme="minorHAnsi" w:cs="Arial"/>
                <w:bCs/>
                <w:color w:val="59595B"/>
                <w:sz w:val="20"/>
                <w:szCs w:val="20"/>
              </w:rPr>
              <w:t>0</w:t>
            </w:r>
            <w:r w:rsidRPr="00E90ADC">
              <w:rPr>
                <w:rFonts w:asciiTheme="minorHAnsi" w:eastAsiaTheme="minorEastAsia" w:hAnsiTheme="minorHAnsi" w:cs="Arial"/>
                <w:bCs/>
                <w:color w:val="59595B"/>
                <w:sz w:val="20"/>
                <w:szCs w:val="20"/>
              </w:rPr>
              <w:t>,0</w:t>
            </w:r>
            <w:r>
              <w:rPr>
                <w:rFonts w:asciiTheme="minorHAnsi" w:eastAsiaTheme="minorEastAsia" w:hAnsiTheme="minorHAnsi" w:cs="Arial"/>
                <w:bCs/>
                <w:color w:val="59595B"/>
                <w:sz w:val="20"/>
                <w:szCs w:val="20"/>
              </w:rPr>
              <w:t>79</w:t>
            </w:r>
          </w:p>
        </w:tc>
        <w:tc>
          <w:tcPr>
            <w:tcW w:w="1440" w:type="dxa"/>
            <w:shd w:val="clear" w:color="auto" w:fill="F2F2F2" w:themeFill="background1" w:themeFillShade="F2"/>
          </w:tcPr>
          <w:p w14:paraId="24A41340"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173</w:t>
            </w:r>
          </w:p>
        </w:tc>
        <w:tc>
          <w:tcPr>
            <w:tcW w:w="1350" w:type="dxa"/>
            <w:tcBorders>
              <w:right w:val="nil"/>
            </w:tcBorders>
            <w:shd w:val="clear" w:color="auto" w:fill="F2F2F2" w:themeFill="background1" w:themeFillShade="F2"/>
          </w:tcPr>
          <w:p w14:paraId="458338EB" w14:textId="77777777" w:rsidR="0004342B" w:rsidRPr="00E90ADC" w:rsidRDefault="0004342B" w:rsidP="00691179">
            <w:pPr>
              <w:ind w:right="144"/>
              <w:jc w:val="right"/>
              <w:rPr>
                <w:rFonts w:asciiTheme="minorHAnsi" w:eastAsiaTheme="minorEastAsia" w:hAnsiTheme="minorHAnsi" w:cs="Arial"/>
                <w:bCs/>
                <w:color w:val="59595B"/>
                <w:sz w:val="20"/>
                <w:szCs w:val="20"/>
              </w:rPr>
            </w:pPr>
            <w:r w:rsidRPr="00E90ADC">
              <w:rPr>
                <w:rFonts w:asciiTheme="minorHAnsi" w:eastAsiaTheme="minorEastAsia" w:hAnsiTheme="minorHAnsi" w:cs="Arial"/>
                <w:bCs/>
                <w:color w:val="59595B"/>
                <w:sz w:val="20"/>
                <w:szCs w:val="20"/>
              </w:rPr>
              <w:t>12,707</w:t>
            </w:r>
          </w:p>
        </w:tc>
      </w:tr>
      <w:tr w:rsidR="0004342B" w:rsidRPr="00D069D3" w14:paraId="1770AFB2" w14:textId="77777777" w:rsidTr="00691179">
        <w:trPr>
          <w:trHeight w:val="288"/>
          <w:jc w:val="center"/>
        </w:trPr>
        <w:tc>
          <w:tcPr>
            <w:tcW w:w="4315" w:type="dxa"/>
            <w:shd w:val="clear" w:color="auto" w:fill="FFFFFF" w:themeFill="background1"/>
          </w:tcPr>
          <w:p w14:paraId="5BBA9F6A"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
                <w:bCs/>
                <w:color w:val="59595B"/>
                <w:sz w:val="20"/>
                <w:lang w:val="en-GB"/>
              </w:rPr>
              <w:t>Total transactions with owners,</w:t>
            </w:r>
          </w:p>
          <w:p w14:paraId="218297B3" w14:textId="77777777" w:rsidR="0004342B" w:rsidRPr="00E90ADC" w:rsidRDefault="0004342B" w:rsidP="00691179">
            <w:pPr>
              <w:ind w:right="144"/>
              <w:rPr>
                <w:rFonts w:asciiTheme="minorHAnsi" w:eastAsiaTheme="minorEastAsia" w:hAnsiTheme="minorHAnsi" w:cs="Arial"/>
                <w:b/>
                <w:bCs/>
                <w:color w:val="59595B"/>
                <w:sz w:val="20"/>
                <w:lang w:val="en-GB"/>
              </w:rPr>
            </w:pPr>
            <w:r w:rsidRPr="00E90ADC">
              <w:rPr>
                <w:rFonts w:asciiTheme="minorHAnsi" w:eastAsiaTheme="minorEastAsia" w:hAnsiTheme="minorHAnsi" w:cs="Arial"/>
                <w:b/>
                <w:bCs/>
                <w:color w:val="59595B"/>
                <w:sz w:val="20"/>
                <w:lang w:val="en-GB"/>
              </w:rPr>
              <w:t>recognized directly in equity</w:t>
            </w:r>
          </w:p>
        </w:tc>
        <w:tc>
          <w:tcPr>
            <w:tcW w:w="900" w:type="dxa"/>
            <w:shd w:val="clear" w:color="auto" w:fill="FFFFFF" w:themeFill="background1"/>
          </w:tcPr>
          <w:p w14:paraId="2A0280FA"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shd w:val="clear" w:color="auto" w:fill="F2F2F2" w:themeFill="background1" w:themeFillShade="F2"/>
          </w:tcPr>
          <w:p w14:paraId="3D1AAD38"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p w14:paraId="4374123D" w14:textId="77777777" w:rsidR="0004342B" w:rsidRPr="00E90ADC" w:rsidRDefault="0004342B" w:rsidP="00691179">
            <w:pPr>
              <w:ind w:right="144"/>
              <w:jc w:val="right"/>
              <w:rPr>
                <w:rFonts w:asciiTheme="minorHAnsi" w:eastAsiaTheme="minorEastAsia" w:hAnsiTheme="minorHAnsi" w:cs="Arial"/>
                <w:b/>
                <w:bCs/>
                <w:color w:val="59595B"/>
                <w:sz w:val="20"/>
                <w:szCs w:val="20"/>
              </w:rPr>
            </w:pPr>
            <w:r w:rsidRPr="00E90ADC">
              <w:rPr>
                <w:rFonts w:asciiTheme="minorHAnsi" w:eastAsiaTheme="minorEastAsia" w:hAnsiTheme="minorHAnsi" w:cs="Arial"/>
                <w:b/>
                <w:bCs/>
                <w:color w:val="59595B"/>
                <w:sz w:val="20"/>
                <w:szCs w:val="20"/>
              </w:rPr>
              <w:t>31,</w:t>
            </w:r>
            <w:r>
              <w:rPr>
                <w:rFonts w:asciiTheme="minorHAnsi" w:eastAsiaTheme="minorEastAsia" w:hAnsiTheme="minorHAnsi" w:cs="Arial"/>
                <w:b/>
                <w:bCs/>
                <w:color w:val="59595B"/>
                <w:sz w:val="20"/>
                <w:szCs w:val="20"/>
              </w:rPr>
              <w:t>396,171</w:t>
            </w:r>
          </w:p>
        </w:tc>
        <w:tc>
          <w:tcPr>
            <w:tcW w:w="1440" w:type="dxa"/>
            <w:shd w:val="clear" w:color="auto" w:fill="F2F2F2" w:themeFill="background1" w:themeFillShade="F2"/>
          </w:tcPr>
          <w:p w14:paraId="56EC8048"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p w14:paraId="4A0226FE" w14:textId="77777777" w:rsidR="0004342B" w:rsidRPr="00E90ADC" w:rsidRDefault="0004342B" w:rsidP="00691179">
            <w:pPr>
              <w:ind w:right="144"/>
              <w:jc w:val="right"/>
              <w:rPr>
                <w:rFonts w:asciiTheme="minorHAnsi" w:eastAsiaTheme="minorEastAsia" w:hAnsiTheme="minorHAnsi" w:cs="Arial"/>
                <w:b/>
                <w:bCs/>
                <w:color w:val="59595B"/>
                <w:sz w:val="20"/>
                <w:szCs w:val="20"/>
              </w:rPr>
            </w:pPr>
            <w:r w:rsidRPr="00E90ADC">
              <w:rPr>
                <w:rFonts w:asciiTheme="minorHAnsi" w:eastAsiaTheme="minorEastAsia" w:hAnsiTheme="minorHAnsi" w:cs="Arial"/>
                <w:b/>
                <w:bCs/>
                <w:color w:val="59595B"/>
                <w:sz w:val="20"/>
                <w:szCs w:val="20"/>
              </w:rPr>
              <w:t>314</w:t>
            </w:r>
          </w:p>
        </w:tc>
        <w:tc>
          <w:tcPr>
            <w:tcW w:w="1350" w:type="dxa"/>
            <w:tcBorders>
              <w:right w:val="nil"/>
            </w:tcBorders>
            <w:shd w:val="clear" w:color="auto" w:fill="F2F2F2" w:themeFill="background1" w:themeFillShade="F2"/>
          </w:tcPr>
          <w:p w14:paraId="4F9EBA23"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p w14:paraId="17579EB8" w14:textId="77777777" w:rsidR="0004342B" w:rsidRPr="00E90ADC" w:rsidRDefault="0004342B" w:rsidP="00691179">
            <w:pPr>
              <w:ind w:right="144"/>
              <w:jc w:val="right"/>
              <w:rPr>
                <w:rFonts w:asciiTheme="minorHAnsi" w:eastAsiaTheme="minorEastAsia" w:hAnsiTheme="minorHAnsi" w:cs="Arial"/>
                <w:b/>
                <w:bCs/>
                <w:color w:val="59595B"/>
                <w:sz w:val="20"/>
                <w:szCs w:val="20"/>
              </w:rPr>
            </w:pPr>
            <w:r w:rsidRPr="00E90ADC">
              <w:rPr>
                <w:rFonts w:asciiTheme="minorHAnsi" w:eastAsiaTheme="minorEastAsia" w:hAnsiTheme="minorHAnsi" w:cs="Arial"/>
                <w:b/>
                <w:bCs/>
                <w:color w:val="59595B"/>
                <w:sz w:val="20"/>
                <w:szCs w:val="20"/>
              </w:rPr>
              <w:t>17,540</w:t>
            </w:r>
          </w:p>
        </w:tc>
      </w:tr>
      <w:tr w:rsidR="0004342B" w:rsidRPr="00D069D3" w14:paraId="715CAD18" w14:textId="77777777" w:rsidTr="00691179">
        <w:trPr>
          <w:trHeight w:val="288"/>
          <w:jc w:val="center"/>
        </w:trPr>
        <w:tc>
          <w:tcPr>
            <w:tcW w:w="4315" w:type="dxa"/>
            <w:tcBorders>
              <w:bottom w:val="single" w:sz="4" w:space="0" w:color="BFBFBF" w:themeColor="background1" w:themeShade="BF"/>
            </w:tcBorders>
            <w:shd w:val="clear" w:color="auto" w:fill="FFFFFF" w:themeFill="background1"/>
          </w:tcPr>
          <w:p w14:paraId="5910F1A4" w14:textId="77777777" w:rsidR="0004342B" w:rsidRPr="00E90ADC" w:rsidRDefault="0004342B" w:rsidP="00691179">
            <w:pPr>
              <w:ind w:right="144"/>
              <w:rPr>
                <w:rFonts w:asciiTheme="minorHAnsi" w:eastAsiaTheme="minorEastAsia" w:hAnsiTheme="minorHAnsi" w:cs="Arial"/>
                <w:b/>
                <w:bCs/>
                <w:color w:val="59595B"/>
                <w:sz w:val="20"/>
                <w:lang w:val="en-GB"/>
              </w:rPr>
            </w:pPr>
          </w:p>
        </w:tc>
        <w:tc>
          <w:tcPr>
            <w:tcW w:w="900" w:type="dxa"/>
            <w:tcBorders>
              <w:bottom w:val="single" w:sz="4" w:space="0" w:color="BFBFBF" w:themeColor="background1" w:themeShade="BF"/>
            </w:tcBorders>
            <w:shd w:val="clear" w:color="auto" w:fill="FFFFFF" w:themeFill="background1"/>
          </w:tcPr>
          <w:p w14:paraId="7A130055"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tcBorders>
              <w:bottom w:val="single" w:sz="4" w:space="0" w:color="BFBFBF" w:themeColor="background1" w:themeShade="BF"/>
            </w:tcBorders>
            <w:shd w:val="clear" w:color="auto" w:fill="F2F2F2" w:themeFill="background1" w:themeFillShade="F2"/>
          </w:tcPr>
          <w:p w14:paraId="4600C253"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440" w:type="dxa"/>
            <w:tcBorders>
              <w:bottom w:val="single" w:sz="4" w:space="0" w:color="BFBFBF" w:themeColor="background1" w:themeShade="BF"/>
            </w:tcBorders>
            <w:shd w:val="clear" w:color="auto" w:fill="F2F2F2" w:themeFill="background1" w:themeFillShade="F2"/>
          </w:tcPr>
          <w:p w14:paraId="262BD753"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c>
          <w:tcPr>
            <w:tcW w:w="1350" w:type="dxa"/>
            <w:tcBorders>
              <w:bottom w:val="single" w:sz="4" w:space="0" w:color="BFBFBF" w:themeColor="background1" w:themeShade="BF"/>
              <w:right w:val="nil"/>
            </w:tcBorders>
            <w:shd w:val="clear" w:color="auto" w:fill="F2F2F2" w:themeFill="background1" w:themeFillShade="F2"/>
          </w:tcPr>
          <w:p w14:paraId="7AF05793" w14:textId="77777777" w:rsidR="0004342B" w:rsidRPr="00E90ADC" w:rsidRDefault="0004342B" w:rsidP="00691179">
            <w:pPr>
              <w:ind w:right="144"/>
              <w:jc w:val="right"/>
              <w:rPr>
                <w:rFonts w:asciiTheme="minorHAnsi" w:eastAsiaTheme="minorEastAsia" w:hAnsiTheme="minorHAnsi" w:cs="Arial"/>
                <w:b/>
                <w:bCs/>
                <w:color w:val="59595B"/>
                <w:sz w:val="20"/>
                <w:szCs w:val="20"/>
                <w:lang w:val="en-GB"/>
              </w:rPr>
            </w:pPr>
          </w:p>
        </w:tc>
      </w:tr>
      <w:tr w:rsidR="0004342B" w:rsidRPr="0092142E" w14:paraId="1EE6E928" w14:textId="77777777" w:rsidTr="00691179">
        <w:trPr>
          <w:trHeight w:val="288"/>
          <w:jc w:val="center"/>
        </w:trPr>
        <w:tc>
          <w:tcPr>
            <w:tcW w:w="4315" w:type="dxa"/>
            <w:tcBorders>
              <w:top w:val="single" w:sz="4" w:space="0" w:color="BFBFBF" w:themeColor="background1" w:themeShade="BF"/>
              <w:bottom w:val="nil"/>
            </w:tcBorders>
            <w:shd w:val="clear" w:color="auto" w:fill="FFFFFF" w:themeFill="background1"/>
          </w:tcPr>
          <w:p w14:paraId="0B6953F4" w14:textId="77777777" w:rsidR="0004342B" w:rsidRPr="00E90ADC" w:rsidRDefault="0004342B" w:rsidP="00691179">
            <w:pPr>
              <w:ind w:right="144"/>
              <w:rPr>
                <w:rFonts w:asciiTheme="minorHAnsi" w:eastAsiaTheme="minorEastAsia" w:hAnsiTheme="minorHAnsi" w:cs="Arial"/>
                <w:b/>
                <w:bCs/>
                <w:color w:val="0070C0"/>
                <w:sz w:val="20"/>
              </w:rPr>
            </w:pPr>
            <w:r w:rsidRPr="00E90ADC">
              <w:rPr>
                <w:rFonts w:asciiTheme="minorHAnsi" w:eastAsiaTheme="minorEastAsia" w:hAnsiTheme="minorHAnsi" w:cs="Arial"/>
                <w:b/>
                <w:bCs/>
                <w:color w:val="0070C0"/>
                <w:sz w:val="20"/>
                <w:lang w:val="en-GB"/>
              </w:rPr>
              <w:t>Balance at 30 June 201</w:t>
            </w:r>
            <w:r w:rsidRPr="00E90ADC">
              <w:rPr>
                <w:rFonts w:asciiTheme="minorHAnsi" w:eastAsiaTheme="minorEastAsia" w:hAnsiTheme="minorHAnsi" w:cs="Arial"/>
                <w:b/>
                <w:bCs/>
                <w:color w:val="0070C0"/>
                <w:sz w:val="20"/>
              </w:rPr>
              <w:t>8</w:t>
            </w:r>
          </w:p>
        </w:tc>
        <w:tc>
          <w:tcPr>
            <w:tcW w:w="900" w:type="dxa"/>
            <w:tcBorders>
              <w:top w:val="single" w:sz="4" w:space="0" w:color="BFBFBF" w:themeColor="background1" w:themeShade="BF"/>
              <w:bottom w:val="nil"/>
            </w:tcBorders>
            <w:shd w:val="clear" w:color="auto" w:fill="FFFFFF" w:themeFill="background1"/>
          </w:tcPr>
          <w:p w14:paraId="62C67036" w14:textId="77777777" w:rsidR="0004342B" w:rsidRPr="00E90ADC" w:rsidRDefault="0004342B" w:rsidP="00691179">
            <w:pPr>
              <w:ind w:right="144"/>
              <w:jc w:val="right"/>
              <w:rPr>
                <w:rFonts w:asciiTheme="minorHAnsi" w:eastAsiaTheme="minorEastAsia" w:hAnsiTheme="minorHAnsi" w:cs="Arial"/>
                <w:b/>
                <w:bCs/>
                <w:color w:val="0070C0"/>
                <w:sz w:val="20"/>
                <w:szCs w:val="20"/>
                <w:lang w:val="en-GB"/>
              </w:rPr>
            </w:pPr>
          </w:p>
        </w:tc>
        <w:tc>
          <w:tcPr>
            <w:tcW w:w="1440" w:type="dxa"/>
            <w:tcBorders>
              <w:top w:val="single" w:sz="4" w:space="0" w:color="BFBFBF" w:themeColor="background1" w:themeShade="BF"/>
              <w:bottom w:val="nil"/>
            </w:tcBorders>
            <w:shd w:val="clear" w:color="auto" w:fill="F2F2F2" w:themeFill="background1" w:themeFillShade="F2"/>
          </w:tcPr>
          <w:p w14:paraId="71CBA6C6" w14:textId="77777777" w:rsidR="0004342B" w:rsidRPr="00E90ADC" w:rsidRDefault="0004342B" w:rsidP="00691179">
            <w:pPr>
              <w:ind w:right="144"/>
              <w:jc w:val="right"/>
              <w:rPr>
                <w:rFonts w:asciiTheme="minorHAnsi" w:eastAsiaTheme="minorEastAsia" w:hAnsiTheme="minorHAnsi" w:cs="Arial"/>
                <w:b/>
                <w:bCs/>
                <w:color w:val="0070C0"/>
                <w:sz w:val="20"/>
                <w:szCs w:val="20"/>
              </w:rPr>
            </w:pPr>
            <w:r w:rsidRPr="00E90ADC">
              <w:rPr>
                <w:rFonts w:asciiTheme="minorHAnsi" w:eastAsiaTheme="minorEastAsia" w:hAnsiTheme="minorHAnsi" w:cs="Arial"/>
                <w:b/>
                <w:bCs/>
                <w:color w:val="0070C0"/>
                <w:sz w:val="20"/>
                <w:szCs w:val="20"/>
              </w:rPr>
              <w:t>610,41</w:t>
            </w:r>
            <w:r>
              <w:rPr>
                <w:rFonts w:asciiTheme="minorHAnsi" w:eastAsiaTheme="minorEastAsia" w:hAnsiTheme="minorHAnsi" w:cs="Arial"/>
                <w:b/>
                <w:bCs/>
                <w:color w:val="0070C0"/>
                <w:sz w:val="20"/>
                <w:szCs w:val="20"/>
              </w:rPr>
              <w:t>1,</w:t>
            </w:r>
            <w:r w:rsidRPr="00E90ADC">
              <w:rPr>
                <w:rFonts w:asciiTheme="minorHAnsi" w:eastAsiaTheme="minorEastAsia" w:hAnsiTheme="minorHAnsi" w:cs="Arial"/>
                <w:b/>
                <w:bCs/>
                <w:color w:val="0070C0"/>
                <w:sz w:val="20"/>
                <w:szCs w:val="20"/>
              </w:rPr>
              <w:t>0</w:t>
            </w:r>
            <w:r>
              <w:rPr>
                <w:rFonts w:asciiTheme="minorHAnsi" w:eastAsiaTheme="minorEastAsia" w:hAnsiTheme="minorHAnsi" w:cs="Arial"/>
                <w:b/>
                <w:bCs/>
                <w:color w:val="0070C0"/>
                <w:sz w:val="20"/>
                <w:szCs w:val="20"/>
              </w:rPr>
              <w:t>62</w:t>
            </w:r>
          </w:p>
        </w:tc>
        <w:tc>
          <w:tcPr>
            <w:tcW w:w="1440" w:type="dxa"/>
            <w:tcBorders>
              <w:top w:val="single" w:sz="4" w:space="0" w:color="BFBFBF" w:themeColor="background1" w:themeShade="BF"/>
              <w:bottom w:val="nil"/>
            </w:tcBorders>
            <w:shd w:val="clear" w:color="auto" w:fill="F2F2F2" w:themeFill="background1" w:themeFillShade="F2"/>
          </w:tcPr>
          <w:p w14:paraId="2CC9EDFF" w14:textId="77777777" w:rsidR="0004342B" w:rsidRPr="00E90ADC" w:rsidRDefault="0004342B" w:rsidP="00691179">
            <w:pPr>
              <w:ind w:right="144"/>
              <w:jc w:val="right"/>
              <w:rPr>
                <w:rFonts w:asciiTheme="minorHAnsi" w:eastAsiaTheme="minorEastAsia" w:hAnsiTheme="minorHAnsi" w:cs="Arial"/>
                <w:b/>
                <w:bCs/>
                <w:color w:val="0070C0"/>
                <w:sz w:val="20"/>
                <w:szCs w:val="20"/>
              </w:rPr>
            </w:pPr>
            <w:r w:rsidRPr="00E90ADC">
              <w:rPr>
                <w:rFonts w:asciiTheme="minorHAnsi" w:eastAsiaTheme="minorEastAsia" w:hAnsiTheme="minorHAnsi" w:cs="Arial"/>
                <w:b/>
                <w:bCs/>
                <w:color w:val="0070C0"/>
                <w:sz w:val="20"/>
                <w:szCs w:val="20"/>
              </w:rPr>
              <w:t>6,104</w:t>
            </w:r>
          </w:p>
        </w:tc>
        <w:tc>
          <w:tcPr>
            <w:tcW w:w="1350" w:type="dxa"/>
            <w:tcBorders>
              <w:top w:val="single" w:sz="4" w:space="0" w:color="BFBFBF" w:themeColor="background1" w:themeShade="BF"/>
              <w:bottom w:val="nil"/>
              <w:right w:val="nil"/>
            </w:tcBorders>
            <w:shd w:val="clear" w:color="auto" w:fill="F2F2F2" w:themeFill="background1" w:themeFillShade="F2"/>
          </w:tcPr>
          <w:p w14:paraId="59BC110C" w14:textId="77777777" w:rsidR="0004342B" w:rsidRPr="00E90ADC" w:rsidRDefault="0004342B" w:rsidP="00691179">
            <w:pPr>
              <w:ind w:right="144"/>
              <w:jc w:val="right"/>
              <w:rPr>
                <w:rFonts w:asciiTheme="minorHAnsi" w:eastAsiaTheme="minorEastAsia" w:hAnsiTheme="minorHAnsi" w:cs="Arial"/>
                <w:b/>
                <w:bCs/>
                <w:color w:val="0070C0"/>
                <w:sz w:val="20"/>
                <w:szCs w:val="20"/>
              </w:rPr>
            </w:pPr>
            <w:r w:rsidRPr="00E90ADC">
              <w:rPr>
                <w:rFonts w:asciiTheme="minorHAnsi" w:eastAsiaTheme="minorEastAsia" w:hAnsiTheme="minorHAnsi" w:cs="Arial"/>
                <w:b/>
                <w:bCs/>
                <w:color w:val="0070C0"/>
                <w:sz w:val="20"/>
                <w:szCs w:val="20"/>
              </w:rPr>
              <w:t>387,760</w:t>
            </w:r>
          </w:p>
        </w:tc>
      </w:tr>
    </w:tbl>
    <w:p w14:paraId="1B8B574F" w14:textId="77777777" w:rsidR="0004342B" w:rsidRPr="00A96D90" w:rsidRDefault="0004342B" w:rsidP="0004342B">
      <w:pPr>
        <w:pStyle w:val="NoSpacing"/>
        <w:ind w:right="144"/>
        <w:rPr>
          <w:rFonts w:asciiTheme="minorHAnsi" w:hAnsiTheme="minorHAnsi" w:cs="Arial"/>
          <w:bCs/>
          <w:i/>
          <w:lang w:val="en-GB"/>
        </w:rPr>
      </w:pPr>
    </w:p>
    <w:p w14:paraId="4BA138E1" w14:textId="77777777" w:rsidR="0004342B" w:rsidRPr="00A96D90" w:rsidRDefault="0004342B" w:rsidP="0004342B">
      <w:pPr>
        <w:pStyle w:val="NoSpacing"/>
        <w:ind w:right="144"/>
        <w:rPr>
          <w:rFonts w:asciiTheme="minorHAnsi" w:hAnsiTheme="minorHAnsi" w:cs="Arial"/>
          <w:bCs/>
          <w:i/>
          <w:lang w:val="en-GB"/>
        </w:rPr>
      </w:pPr>
    </w:p>
    <w:p w14:paraId="030FFF03" w14:textId="77777777" w:rsidR="0004342B" w:rsidRPr="00A96D90" w:rsidRDefault="0004342B" w:rsidP="0004342B">
      <w:pPr>
        <w:pStyle w:val="NoSpacing"/>
        <w:ind w:right="144"/>
        <w:rPr>
          <w:rFonts w:asciiTheme="minorHAnsi" w:hAnsiTheme="minorHAnsi" w:cs="Arial"/>
          <w:bCs/>
          <w:i/>
          <w:lang w:val="en-GB"/>
        </w:rPr>
      </w:pPr>
    </w:p>
    <w:p w14:paraId="17B6BF74" w14:textId="77777777" w:rsidR="0004342B" w:rsidRPr="00A96D90" w:rsidRDefault="0004342B" w:rsidP="0004342B">
      <w:pPr>
        <w:pStyle w:val="NoSpacing"/>
        <w:ind w:right="144"/>
        <w:rPr>
          <w:rFonts w:asciiTheme="minorHAnsi" w:hAnsiTheme="minorHAnsi" w:cs="Arial"/>
          <w:bCs/>
          <w:i/>
          <w:lang w:val="en-GB"/>
        </w:rPr>
      </w:pPr>
    </w:p>
    <w:p w14:paraId="58DB82CF" w14:textId="77777777" w:rsidR="0004342B" w:rsidRPr="00A96D90" w:rsidRDefault="0004342B" w:rsidP="0004342B">
      <w:pPr>
        <w:pStyle w:val="NoSpacing"/>
        <w:ind w:right="144"/>
        <w:rPr>
          <w:rFonts w:cs="Arial"/>
          <w:bCs/>
          <w:i/>
          <w:lang w:val="en-GB"/>
        </w:rPr>
      </w:pPr>
    </w:p>
    <w:p w14:paraId="78361C7B" w14:textId="77777777" w:rsidR="0004342B" w:rsidRPr="00A96D90" w:rsidRDefault="0004342B" w:rsidP="0004342B">
      <w:pPr>
        <w:pStyle w:val="NoSpacing"/>
        <w:ind w:right="144"/>
        <w:rPr>
          <w:rFonts w:cs="Arial"/>
          <w:bCs/>
          <w:i/>
          <w:lang w:val="en-GB"/>
        </w:rPr>
      </w:pPr>
    </w:p>
    <w:p w14:paraId="4EEFA05B" w14:textId="77777777" w:rsidR="0004342B" w:rsidRPr="00A96D90" w:rsidRDefault="0004342B" w:rsidP="0004342B">
      <w:pPr>
        <w:pStyle w:val="NoSpacing"/>
        <w:ind w:right="144"/>
        <w:rPr>
          <w:rFonts w:cs="Arial"/>
          <w:bCs/>
          <w:i/>
          <w:lang w:val="en-GB"/>
        </w:rPr>
      </w:pPr>
    </w:p>
    <w:p w14:paraId="59E79EB2" w14:textId="77777777" w:rsidR="0004342B" w:rsidRPr="00A96D90" w:rsidRDefault="0004342B" w:rsidP="0004342B">
      <w:pPr>
        <w:pStyle w:val="NoSpacing"/>
        <w:ind w:right="144"/>
        <w:rPr>
          <w:rFonts w:cs="Arial"/>
          <w:bCs/>
          <w:i/>
          <w:lang w:val="en-GB"/>
        </w:rPr>
      </w:pPr>
    </w:p>
    <w:p w14:paraId="25BFF220" w14:textId="77777777" w:rsidR="0004342B" w:rsidRPr="00A96D90" w:rsidRDefault="0004342B" w:rsidP="0004342B">
      <w:pPr>
        <w:pStyle w:val="NoSpacing"/>
        <w:ind w:right="144"/>
        <w:rPr>
          <w:rFonts w:cs="Arial"/>
          <w:bCs/>
          <w:i/>
          <w:lang w:val="en-GB"/>
        </w:rPr>
      </w:pPr>
      <w:r w:rsidRPr="00A96D90">
        <w:rPr>
          <w:rFonts w:cs="Arial"/>
          <w:bCs/>
          <w:i/>
          <w:lang w:val="en-GB"/>
        </w:rPr>
        <w:br w:type="page"/>
      </w:r>
    </w:p>
    <w:p w14:paraId="4FB878D6" w14:textId="77777777" w:rsidR="0004342B" w:rsidRPr="00A96D90" w:rsidRDefault="0004342B" w:rsidP="0004342B">
      <w:pPr>
        <w:pStyle w:val="NoSpacing"/>
        <w:ind w:right="144"/>
        <w:rPr>
          <w:rFonts w:cs="Arial"/>
          <w:bCs/>
          <w:i/>
          <w:lang w:val="en-GB"/>
        </w:rPr>
      </w:pPr>
    </w:p>
    <w:p w14:paraId="730080F5" w14:textId="77777777" w:rsidR="0004342B" w:rsidRPr="00A96D90" w:rsidRDefault="0004342B" w:rsidP="0004342B">
      <w:pPr>
        <w:pStyle w:val="NoSpacing"/>
        <w:ind w:right="144"/>
        <w:rPr>
          <w:rFonts w:cs="Arial"/>
          <w:bCs/>
          <w:i/>
          <w:lang w:val="en-GB"/>
        </w:rPr>
      </w:pPr>
    </w:p>
    <w:p w14:paraId="75602153" w14:textId="77777777" w:rsidR="0004342B" w:rsidRPr="00A96D90" w:rsidRDefault="0004342B" w:rsidP="0004342B">
      <w:pPr>
        <w:pStyle w:val="NoSpacing"/>
        <w:ind w:right="144"/>
        <w:rPr>
          <w:rFonts w:cs="Arial"/>
          <w:bCs/>
          <w:i/>
          <w:lang w:val="en-GB"/>
        </w:rPr>
      </w:pPr>
    </w:p>
    <w:p w14:paraId="03EB63C5" w14:textId="77777777" w:rsidR="0004342B" w:rsidRPr="00A96D90" w:rsidRDefault="0004342B" w:rsidP="0004342B">
      <w:pPr>
        <w:pStyle w:val="NoSpacing"/>
        <w:ind w:right="144"/>
        <w:rPr>
          <w:rFonts w:cs="Arial"/>
          <w:bCs/>
          <w:i/>
          <w:color w:val="00679B"/>
          <w:sz w:val="8"/>
          <w:lang w:val="en-GB"/>
        </w:rPr>
      </w:pPr>
    </w:p>
    <w:tbl>
      <w:tblPr>
        <w:tblpPr w:leftFromText="180" w:rightFromText="180" w:vertAnchor="text" w:horzAnchor="margin" w:tblpXSpec="center" w:tblpY="-80"/>
        <w:tblW w:w="9368" w:type="dxa"/>
        <w:tblBorders>
          <w:top w:val="single" w:sz="4" w:space="0" w:color="BFBFBF" w:themeColor="background1" w:themeShade="BF"/>
          <w:left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320"/>
        <w:gridCol w:w="720"/>
        <w:gridCol w:w="1440"/>
        <w:gridCol w:w="1440"/>
        <w:gridCol w:w="1448"/>
      </w:tblGrid>
      <w:tr w:rsidR="0004342B" w:rsidRPr="00A96D90" w14:paraId="741C8630" w14:textId="77777777" w:rsidTr="00691179">
        <w:trPr>
          <w:trHeight w:val="288"/>
        </w:trPr>
        <w:tc>
          <w:tcPr>
            <w:tcW w:w="9368" w:type="dxa"/>
            <w:gridSpan w:val="5"/>
            <w:tcBorders>
              <w:top w:val="nil"/>
              <w:left w:val="nil"/>
              <w:bottom w:val="nil"/>
            </w:tcBorders>
            <w:shd w:val="clear" w:color="auto" w:fill="FFFFFF"/>
          </w:tcPr>
          <w:p w14:paraId="785F1E5B" w14:textId="77777777" w:rsidR="0004342B" w:rsidRPr="00A96D90" w:rsidRDefault="0004342B" w:rsidP="00691179">
            <w:pPr>
              <w:pStyle w:val="NoSpacing"/>
              <w:jc w:val="right"/>
              <w:rPr>
                <w:rFonts w:asciiTheme="minorHAnsi" w:hAnsiTheme="minorHAnsi"/>
                <w:color w:val="00679B"/>
                <w:u w:val="single"/>
                <w:lang w:val="en-GB"/>
              </w:rPr>
            </w:pPr>
            <w:r w:rsidRPr="00A96D90">
              <w:rPr>
                <w:rFonts w:asciiTheme="minorHAnsi" w:hAnsiTheme="minorHAnsi"/>
                <w:color w:val="00679B"/>
                <w:u w:val="single"/>
                <w:lang w:val="en-GB"/>
              </w:rPr>
              <w:t>Attributable to owners of the parent</w:t>
            </w:r>
          </w:p>
        </w:tc>
      </w:tr>
      <w:tr w:rsidR="0004342B" w:rsidRPr="00A96D90" w14:paraId="204E93C8" w14:textId="77777777" w:rsidTr="00691179">
        <w:trPr>
          <w:trHeight w:val="288"/>
        </w:trPr>
        <w:tc>
          <w:tcPr>
            <w:tcW w:w="9368" w:type="dxa"/>
            <w:gridSpan w:val="5"/>
            <w:tcBorders>
              <w:top w:val="nil"/>
              <w:left w:val="nil"/>
              <w:bottom w:val="single" w:sz="4" w:space="0" w:color="BFBFBF" w:themeColor="background1" w:themeShade="BF"/>
            </w:tcBorders>
            <w:shd w:val="clear" w:color="auto" w:fill="FFFFFF"/>
          </w:tcPr>
          <w:p w14:paraId="0554C678" w14:textId="77777777" w:rsidR="0004342B" w:rsidRPr="00A96D90" w:rsidRDefault="0004342B" w:rsidP="00691179">
            <w:pPr>
              <w:pStyle w:val="NoSpacing"/>
              <w:jc w:val="right"/>
              <w:rPr>
                <w:rFonts w:asciiTheme="minorHAnsi" w:hAnsiTheme="minorHAnsi"/>
                <w:color w:val="276E8B" w:themeColor="accent1" w:themeShade="BF"/>
                <w:u w:val="single"/>
                <w:lang w:val="en-GB"/>
              </w:rPr>
            </w:pPr>
          </w:p>
        </w:tc>
      </w:tr>
      <w:tr w:rsidR="0004342B" w:rsidRPr="00A96D90" w14:paraId="6F81351F" w14:textId="77777777" w:rsidTr="00691179">
        <w:trPr>
          <w:trHeight w:val="288"/>
        </w:trPr>
        <w:tc>
          <w:tcPr>
            <w:tcW w:w="432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14:paraId="01881D40" w14:textId="77777777" w:rsidR="0004342B" w:rsidRPr="00E12C03" w:rsidRDefault="0004342B" w:rsidP="00691179">
            <w:pPr>
              <w:pStyle w:val="NoSpacing"/>
              <w:rPr>
                <w:rFonts w:asciiTheme="minorHAnsi" w:hAnsiTheme="minorHAnsi"/>
                <w:b/>
                <w:i/>
                <w:color w:val="FFFFFF" w:themeColor="background1"/>
                <w:sz w:val="18"/>
                <w:szCs w:val="20"/>
                <w:lang w:val="en-GB"/>
              </w:rPr>
            </w:pPr>
            <w:r w:rsidRPr="00E12C03">
              <w:rPr>
                <w:rFonts w:asciiTheme="minorHAnsi" w:hAnsiTheme="minorHAnsi" w:cstheme="minorHAnsi"/>
                <w:b/>
                <w:i/>
                <w:color w:val="FFFFFF" w:themeColor="background1"/>
                <w:sz w:val="16"/>
                <w:szCs w:val="20"/>
                <w:lang w:val="en-GB"/>
              </w:rPr>
              <w:t>Amounts in €’000</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14:paraId="5DD6DF90" w14:textId="77777777" w:rsidR="0004342B" w:rsidRPr="00E12C03" w:rsidRDefault="0004342B" w:rsidP="00691179">
            <w:pPr>
              <w:pStyle w:val="NoSpacing"/>
              <w:rPr>
                <w:rFonts w:asciiTheme="minorHAnsi" w:hAnsiTheme="minorHAnsi"/>
                <w:b/>
                <w:color w:val="FFFFFF" w:themeColor="background1"/>
                <w:sz w:val="18"/>
                <w:lang w:val="en-GB"/>
              </w:rPr>
            </w:pPr>
            <w:r w:rsidRPr="00E12C03">
              <w:rPr>
                <w:rFonts w:asciiTheme="minorHAnsi" w:hAnsiTheme="minorHAnsi"/>
                <w:b/>
                <w:color w:val="FFFFFF" w:themeColor="background1"/>
                <w:sz w:val="16"/>
                <w:lang w:val="en-GB"/>
              </w:rPr>
              <w:t>Notes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14:paraId="174B83D0" w14:textId="77777777" w:rsidR="0004342B" w:rsidRPr="00E12C03" w:rsidRDefault="0004342B" w:rsidP="00691179">
            <w:pPr>
              <w:pStyle w:val="NoSpacing"/>
              <w:jc w:val="right"/>
              <w:rPr>
                <w:rFonts w:asciiTheme="minorHAnsi" w:hAnsiTheme="minorHAnsi"/>
                <w:b/>
                <w:color w:val="FFFFFF" w:themeColor="background1"/>
                <w:sz w:val="20"/>
                <w:szCs w:val="20"/>
                <w:lang w:val="en-GB"/>
              </w:rPr>
            </w:pPr>
            <w:r w:rsidRPr="00E12C03">
              <w:rPr>
                <w:rFonts w:asciiTheme="minorHAnsi" w:hAnsiTheme="minorHAnsi" w:cs="Arial"/>
                <w:b/>
                <w:color w:val="FFFFFF" w:themeColor="background1"/>
                <w:sz w:val="20"/>
                <w:szCs w:val="20"/>
                <w:lang w:val="en-GB"/>
              </w:rPr>
              <w:t>Legal reserves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14:paraId="470C821A" w14:textId="77777777" w:rsidR="0004342B" w:rsidRPr="00E12C03" w:rsidRDefault="0004342B" w:rsidP="00691179">
            <w:pPr>
              <w:pStyle w:val="NoSpacing"/>
              <w:jc w:val="right"/>
              <w:rPr>
                <w:rFonts w:asciiTheme="minorHAnsi" w:hAnsiTheme="minorHAnsi"/>
                <w:b/>
                <w:color w:val="FFFFFF" w:themeColor="background1"/>
                <w:sz w:val="20"/>
                <w:szCs w:val="20"/>
                <w:lang w:val="en-GB"/>
              </w:rPr>
            </w:pPr>
            <w:r w:rsidRPr="00E12C03">
              <w:rPr>
                <w:rFonts w:asciiTheme="minorHAnsi" w:hAnsiTheme="minorHAnsi"/>
                <w:b/>
                <w:color w:val="FFFFFF" w:themeColor="background1"/>
                <w:sz w:val="20"/>
                <w:szCs w:val="20"/>
                <w:lang w:val="en-GB"/>
              </w:rPr>
              <w:t>Accumulated Deficit</w:t>
            </w:r>
          </w:p>
        </w:tc>
        <w:tc>
          <w:tcPr>
            <w:tcW w:w="144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070C0"/>
          </w:tcPr>
          <w:p w14:paraId="45E7FA7C" w14:textId="77777777" w:rsidR="0004342B" w:rsidRPr="00E12C03" w:rsidRDefault="0004342B" w:rsidP="00691179">
            <w:pPr>
              <w:pStyle w:val="NoSpacing"/>
              <w:jc w:val="right"/>
              <w:rPr>
                <w:rFonts w:asciiTheme="minorHAnsi" w:hAnsiTheme="minorHAnsi"/>
                <w:b/>
                <w:color w:val="FFFFFF" w:themeColor="background1"/>
                <w:sz w:val="20"/>
                <w:szCs w:val="20"/>
                <w:lang w:val="en-GB"/>
              </w:rPr>
            </w:pPr>
            <w:r w:rsidRPr="00E12C03">
              <w:rPr>
                <w:rFonts w:asciiTheme="minorHAnsi" w:hAnsiTheme="minorHAnsi"/>
                <w:b/>
                <w:color w:val="FFFFFF" w:themeColor="background1"/>
                <w:sz w:val="20"/>
                <w:szCs w:val="20"/>
                <w:lang w:val="en-GB"/>
              </w:rPr>
              <w:t>Total Equity</w:t>
            </w:r>
          </w:p>
        </w:tc>
      </w:tr>
      <w:tr w:rsidR="0004342B" w:rsidRPr="001905AB" w14:paraId="3900CD89" w14:textId="77777777" w:rsidTr="00691179">
        <w:trPr>
          <w:trHeight w:val="288"/>
        </w:trPr>
        <w:tc>
          <w:tcPr>
            <w:tcW w:w="4320" w:type="dxa"/>
            <w:tcBorders>
              <w:bottom w:val="single" w:sz="4" w:space="0" w:color="BFBFBF" w:themeColor="background1" w:themeShade="BF"/>
              <w:right w:val="single" w:sz="4" w:space="0" w:color="BFBFBF" w:themeColor="background1" w:themeShade="BF"/>
            </w:tcBorders>
          </w:tcPr>
          <w:p w14:paraId="4ADFCA71" w14:textId="77777777" w:rsidR="0004342B" w:rsidRPr="001905AB" w:rsidRDefault="0004342B" w:rsidP="00691179">
            <w:pPr>
              <w:pStyle w:val="NoSpacing"/>
              <w:rPr>
                <w:rFonts w:asciiTheme="minorHAnsi" w:hAnsiTheme="minorHAnsi"/>
                <w:b/>
                <w:color w:val="0070C0"/>
                <w:sz w:val="20"/>
              </w:rPr>
            </w:pPr>
            <w:r w:rsidRPr="001905AB">
              <w:rPr>
                <w:rFonts w:asciiTheme="minorHAnsi" w:hAnsiTheme="minorHAnsi"/>
                <w:b/>
                <w:color w:val="0070C0"/>
                <w:sz w:val="20"/>
                <w:lang w:val="en-GB"/>
              </w:rPr>
              <w:t>Balance at 1 January 201</w:t>
            </w:r>
            <w:r w:rsidRPr="001905AB">
              <w:rPr>
                <w:rFonts w:asciiTheme="minorHAnsi" w:hAnsiTheme="minorHAnsi"/>
                <w:b/>
                <w:color w:val="0070C0"/>
                <w:sz w:val="20"/>
              </w:rPr>
              <w:t>7</w:t>
            </w: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6662559" w14:textId="77777777" w:rsidR="0004342B" w:rsidRPr="001905AB" w:rsidRDefault="0004342B" w:rsidP="00691179">
            <w:pPr>
              <w:pStyle w:val="NoSpacing"/>
              <w:rPr>
                <w:rFonts w:asciiTheme="minorHAnsi" w:hAnsiTheme="minorHAnsi"/>
                <w:b/>
                <w:color w:val="0070C0"/>
                <w:sz w:val="18"/>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7B38813" w14:textId="77777777" w:rsidR="0004342B" w:rsidRPr="001905AB" w:rsidRDefault="0004342B" w:rsidP="00691179">
            <w:pPr>
              <w:pStyle w:val="NoSpacing"/>
              <w:jc w:val="right"/>
              <w:rPr>
                <w:rFonts w:asciiTheme="minorHAnsi" w:hAnsiTheme="minorHAnsi"/>
                <w:b/>
                <w:color w:val="0070C0"/>
                <w:sz w:val="20"/>
                <w:szCs w:val="20"/>
                <w:lang w:val="en-GB"/>
              </w:rPr>
            </w:pPr>
            <w:r w:rsidRPr="001905AB">
              <w:rPr>
                <w:rFonts w:asciiTheme="minorHAnsi" w:hAnsiTheme="minorHAnsi" w:cs="Arial"/>
                <w:b/>
                <w:color w:val="0070C0"/>
                <w:sz w:val="20"/>
                <w:szCs w:val="20"/>
                <w:lang w:val="en-GB"/>
              </w:rPr>
              <w:t>6</w:t>
            </w:r>
            <w:r>
              <w:rPr>
                <w:rFonts w:asciiTheme="minorHAnsi" w:hAnsiTheme="minorHAnsi" w:cs="Arial"/>
                <w:b/>
                <w:color w:val="0070C0"/>
                <w:sz w:val="20"/>
                <w:szCs w:val="20"/>
              </w:rPr>
              <w:t>0</w:t>
            </w: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77F1FB" w14:textId="77777777" w:rsidR="0004342B" w:rsidRPr="001905AB" w:rsidRDefault="0004342B" w:rsidP="00691179">
            <w:pPr>
              <w:pStyle w:val="NoSpacing"/>
              <w:jc w:val="right"/>
              <w:rPr>
                <w:rFonts w:asciiTheme="minorHAnsi" w:hAnsiTheme="minorHAnsi"/>
                <w:b/>
                <w:color w:val="0070C0"/>
                <w:sz w:val="20"/>
                <w:szCs w:val="20"/>
                <w:lang w:val="en-GB"/>
              </w:rPr>
            </w:pPr>
            <w:r w:rsidRPr="001905AB">
              <w:rPr>
                <w:rFonts w:asciiTheme="minorHAnsi" w:hAnsiTheme="minorHAnsi"/>
                <w:b/>
                <w:color w:val="0070C0"/>
                <w:sz w:val="20"/>
                <w:szCs w:val="20"/>
                <w:lang w:val="en-GB"/>
              </w:rPr>
              <w:t>(2</w:t>
            </w:r>
            <w:r>
              <w:rPr>
                <w:rFonts w:asciiTheme="minorHAnsi" w:hAnsiTheme="minorHAnsi"/>
                <w:b/>
                <w:color w:val="0070C0"/>
                <w:sz w:val="20"/>
                <w:szCs w:val="20"/>
              </w:rPr>
              <w:t>79,025</w:t>
            </w:r>
            <w:r w:rsidRPr="001905AB">
              <w:rPr>
                <w:rFonts w:asciiTheme="minorHAnsi" w:hAnsiTheme="minorHAnsi"/>
                <w:b/>
                <w:color w:val="0070C0"/>
                <w:sz w:val="20"/>
                <w:szCs w:val="20"/>
                <w:lang w:val="en-GB"/>
              </w:rPr>
              <w:t>)</w:t>
            </w:r>
          </w:p>
        </w:tc>
        <w:tc>
          <w:tcPr>
            <w:tcW w:w="1448" w:type="dxa"/>
            <w:tcBorders>
              <w:left w:val="single" w:sz="4" w:space="0" w:color="BFBFBF" w:themeColor="background1" w:themeShade="BF"/>
              <w:bottom w:val="single" w:sz="4" w:space="0" w:color="BFBFBF" w:themeColor="background1" w:themeShade="BF"/>
            </w:tcBorders>
          </w:tcPr>
          <w:p w14:paraId="5D8B030C" w14:textId="77777777" w:rsidR="0004342B" w:rsidRPr="001905AB" w:rsidRDefault="0004342B" w:rsidP="00691179">
            <w:pPr>
              <w:pStyle w:val="NoSpacing"/>
              <w:jc w:val="right"/>
              <w:rPr>
                <w:rFonts w:asciiTheme="minorHAnsi" w:hAnsiTheme="minorHAnsi"/>
                <w:b/>
                <w:color w:val="0070C0"/>
                <w:sz w:val="20"/>
                <w:szCs w:val="20"/>
                <w:lang w:val="en-GB"/>
              </w:rPr>
            </w:pPr>
            <w:r w:rsidRPr="001905AB">
              <w:rPr>
                <w:rFonts w:asciiTheme="minorHAnsi" w:hAnsiTheme="minorHAnsi"/>
                <w:b/>
                <w:color w:val="0070C0"/>
                <w:sz w:val="20"/>
                <w:szCs w:val="20"/>
                <w:lang w:val="en-GB"/>
              </w:rPr>
              <w:t>2</w:t>
            </w:r>
            <w:r>
              <w:rPr>
                <w:rFonts w:asciiTheme="minorHAnsi" w:hAnsiTheme="minorHAnsi"/>
                <w:b/>
                <w:color w:val="0070C0"/>
                <w:sz w:val="20"/>
                <w:szCs w:val="20"/>
              </w:rPr>
              <w:t>7,467</w:t>
            </w:r>
          </w:p>
        </w:tc>
      </w:tr>
      <w:tr w:rsidR="0004342B" w:rsidRPr="00E12C03" w14:paraId="1915E41A" w14:textId="77777777" w:rsidTr="00691179">
        <w:trPr>
          <w:trHeight w:val="288"/>
        </w:trPr>
        <w:tc>
          <w:tcPr>
            <w:tcW w:w="4320" w:type="dxa"/>
            <w:tcBorders>
              <w:bottom w:val="nil"/>
              <w:right w:val="single" w:sz="4" w:space="0" w:color="BFBFBF" w:themeColor="background1" w:themeShade="BF"/>
            </w:tcBorders>
          </w:tcPr>
          <w:p w14:paraId="6ED9C301"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hAnsiTheme="minorHAnsi"/>
                <w:color w:val="59595B"/>
                <w:sz w:val="20"/>
                <w:lang w:val="en-GB"/>
              </w:rPr>
              <w:t>Result for the period</w:t>
            </w:r>
          </w:p>
        </w:tc>
        <w:tc>
          <w:tcPr>
            <w:tcW w:w="720" w:type="dxa"/>
            <w:tcBorders>
              <w:left w:val="single" w:sz="4" w:space="0" w:color="BFBFBF" w:themeColor="background1" w:themeShade="BF"/>
              <w:bottom w:val="nil"/>
              <w:right w:val="single" w:sz="4" w:space="0" w:color="BFBFBF" w:themeColor="background1" w:themeShade="BF"/>
            </w:tcBorders>
          </w:tcPr>
          <w:p w14:paraId="331AED15" w14:textId="77777777" w:rsidR="0004342B" w:rsidRPr="001905AB" w:rsidRDefault="0004342B" w:rsidP="00691179">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nil"/>
              <w:right w:val="single" w:sz="4" w:space="0" w:color="BFBFBF" w:themeColor="background1" w:themeShade="BF"/>
            </w:tcBorders>
          </w:tcPr>
          <w:p w14:paraId="2B0611E0"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0" w:type="dxa"/>
            <w:tcBorders>
              <w:left w:val="single" w:sz="4" w:space="0" w:color="BFBFBF" w:themeColor="background1" w:themeShade="BF"/>
              <w:bottom w:val="nil"/>
              <w:right w:val="single" w:sz="4" w:space="0" w:color="BFBFBF" w:themeColor="background1" w:themeShade="BF"/>
            </w:tcBorders>
          </w:tcPr>
          <w:p w14:paraId="22E890A6"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r>
              <w:rPr>
                <w:rFonts w:asciiTheme="minorHAnsi" w:hAnsiTheme="minorHAnsi"/>
                <w:color w:val="59595B"/>
                <w:sz w:val="20"/>
                <w:szCs w:val="20"/>
              </w:rPr>
              <w:t>30,218</w:t>
            </w:r>
            <w:r w:rsidRPr="001905AB">
              <w:rPr>
                <w:rFonts w:asciiTheme="minorHAnsi" w:hAnsiTheme="minorHAnsi"/>
                <w:color w:val="59595B"/>
                <w:sz w:val="20"/>
                <w:szCs w:val="20"/>
                <w:lang w:val="en-GB"/>
              </w:rPr>
              <w:t>)</w:t>
            </w:r>
          </w:p>
        </w:tc>
        <w:tc>
          <w:tcPr>
            <w:tcW w:w="1448" w:type="dxa"/>
            <w:tcBorders>
              <w:left w:val="single" w:sz="4" w:space="0" w:color="BFBFBF" w:themeColor="background1" w:themeShade="BF"/>
              <w:bottom w:val="nil"/>
            </w:tcBorders>
          </w:tcPr>
          <w:p w14:paraId="4F01F4B7"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r>
              <w:rPr>
                <w:rFonts w:asciiTheme="minorHAnsi" w:hAnsiTheme="minorHAnsi"/>
                <w:color w:val="59595B"/>
                <w:sz w:val="20"/>
                <w:szCs w:val="20"/>
              </w:rPr>
              <w:t>30,218</w:t>
            </w:r>
            <w:r w:rsidRPr="001905AB">
              <w:rPr>
                <w:rFonts w:asciiTheme="minorHAnsi" w:hAnsiTheme="minorHAnsi"/>
                <w:color w:val="59595B"/>
                <w:sz w:val="20"/>
                <w:szCs w:val="20"/>
                <w:lang w:val="en-GB"/>
              </w:rPr>
              <w:t>)</w:t>
            </w:r>
          </w:p>
        </w:tc>
      </w:tr>
      <w:tr w:rsidR="0004342B" w:rsidRPr="00E12C03" w14:paraId="20D1DDD7" w14:textId="77777777" w:rsidTr="00691179">
        <w:trPr>
          <w:trHeight w:val="288"/>
        </w:trPr>
        <w:tc>
          <w:tcPr>
            <w:tcW w:w="4320" w:type="dxa"/>
            <w:tcBorders>
              <w:top w:val="nil"/>
              <w:bottom w:val="nil"/>
              <w:right w:val="single" w:sz="4" w:space="0" w:color="BFBFBF" w:themeColor="background1" w:themeShade="BF"/>
            </w:tcBorders>
          </w:tcPr>
          <w:p w14:paraId="77DC8831"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hAnsiTheme="minorHAnsi"/>
                <w:color w:val="59595B"/>
                <w:sz w:val="20"/>
                <w:lang w:val="en-GB"/>
              </w:rPr>
              <w:t>Other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6261BC54"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5A82DE85"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hAnsiTheme="minorHAnsi" w:cs="Arial"/>
                <w:color w:val="59595B"/>
                <w:sz w:val="20"/>
                <w:szCs w:val="20"/>
              </w:rPr>
              <w:t>(672)</w:t>
            </w:r>
          </w:p>
        </w:tc>
        <w:tc>
          <w:tcPr>
            <w:tcW w:w="1440" w:type="dxa"/>
            <w:tcBorders>
              <w:top w:val="nil"/>
              <w:left w:val="single" w:sz="4" w:space="0" w:color="BFBFBF" w:themeColor="background1" w:themeShade="BF"/>
              <w:bottom w:val="nil"/>
              <w:right w:val="single" w:sz="4" w:space="0" w:color="BFBFBF" w:themeColor="background1" w:themeShade="BF"/>
            </w:tcBorders>
          </w:tcPr>
          <w:p w14:paraId="699F85C1"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27DB3D78"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hAnsiTheme="minorHAnsi"/>
                <w:color w:val="59595B"/>
                <w:sz w:val="20"/>
                <w:szCs w:val="20"/>
              </w:rPr>
              <w:t>(672)</w:t>
            </w:r>
          </w:p>
        </w:tc>
      </w:tr>
      <w:tr w:rsidR="0004342B" w:rsidRPr="001905AB" w14:paraId="7E778DE5" w14:textId="77777777" w:rsidTr="00691179">
        <w:trPr>
          <w:trHeight w:val="288"/>
        </w:trPr>
        <w:tc>
          <w:tcPr>
            <w:tcW w:w="4320" w:type="dxa"/>
            <w:tcBorders>
              <w:top w:val="nil"/>
              <w:bottom w:val="nil"/>
              <w:right w:val="single" w:sz="4" w:space="0" w:color="BFBFBF" w:themeColor="background1" w:themeShade="BF"/>
            </w:tcBorders>
          </w:tcPr>
          <w:p w14:paraId="2E385241" w14:textId="77777777" w:rsidR="0004342B" w:rsidRPr="001905AB" w:rsidRDefault="0004342B" w:rsidP="00691179">
            <w:pPr>
              <w:pStyle w:val="NoSpacing"/>
              <w:rPr>
                <w:rFonts w:asciiTheme="minorHAnsi" w:hAnsiTheme="minorHAnsi"/>
                <w:b/>
                <w:color w:val="59595B"/>
                <w:sz w:val="20"/>
                <w:lang w:val="en-GB"/>
              </w:rPr>
            </w:pPr>
            <w:r w:rsidRPr="001905AB">
              <w:rPr>
                <w:rFonts w:asciiTheme="minorHAnsi" w:hAnsiTheme="minorHAnsi"/>
                <w:b/>
                <w:color w:val="59595B"/>
                <w:sz w:val="20"/>
                <w:lang w:val="en-GB"/>
              </w:rPr>
              <w:t xml:space="preserve">Total comprehensive income </w:t>
            </w:r>
          </w:p>
        </w:tc>
        <w:tc>
          <w:tcPr>
            <w:tcW w:w="720" w:type="dxa"/>
            <w:tcBorders>
              <w:top w:val="nil"/>
              <w:left w:val="single" w:sz="4" w:space="0" w:color="BFBFBF" w:themeColor="background1" w:themeShade="BF"/>
              <w:bottom w:val="nil"/>
              <w:right w:val="single" w:sz="4" w:space="0" w:color="BFBFBF" w:themeColor="background1" w:themeShade="BF"/>
            </w:tcBorders>
          </w:tcPr>
          <w:p w14:paraId="41B85697" w14:textId="77777777" w:rsidR="0004342B" w:rsidRPr="001905AB" w:rsidRDefault="0004342B" w:rsidP="00691179">
            <w:pPr>
              <w:pStyle w:val="NoSpacing"/>
              <w:rPr>
                <w:rFonts w:asciiTheme="minorHAnsi" w:hAnsiTheme="minorHAnsi"/>
                <w:b/>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57DEA390" w14:textId="77777777" w:rsidR="0004342B" w:rsidRPr="001905AB" w:rsidRDefault="0004342B" w:rsidP="00691179">
            <w:pPr>
              <w:pStyle w:val="NoSpacing"/>
              <w:jc w:val="right"/>
              <w:rPr>
                <w:rFonts w:asciiTheme="minorHAnsi" w:hAnsiTheme="minorHAnsi"/>
                <w:b/>
                <w:color w:val="59595B"/>
                <w:sz w:val="20"/>
                <w:szCs w:val="20"/>
                <w:lang w:val="en-GB"/>
              </w:rPr>
            </w:pPr>
            <w:r>
              <w:rPr>
                <w:rFonts w:asciiTheme="minorHAnsi" w:hAnsiTheme="minorHAnsi" w:cs="Arial"/>
                <w:b/>
                <w:color w:val="59595B"/>
                <w:sz w:val="20"/>
                <w:szCs w:val="20"/>
              </w:rPr>
              <w:t>(672)</w:t>
            </w:r>
          </w:p>
        </w:tc>
        <w:tc>
          <w:tcPr>
            <w:tcW w:w="1440" w:type="dxa"/>
            <w:tcBorders>
              <w:top w:val="nil"/>
              <w:left w:val="single" w:sz="4" w:space="0" w:color="BFBFBF" w:themeColor="background1" w:themeShade="BF"/>
              <w:bottom w:val="nil"/>
              <w:right w:val="single" w:sz="4" w:space="0" w:color="BFBFBF" w:themeColor="background1" w:themeShade="BF"/>
            </w:tcBorders>
          </w:tcPr>
          <w:p w14:paraId="1335BACF" w14:textId="77777777" w:rsidR="0004342B" w:rsidRPr="001905AB" w:rsidRDefault="0004342B" w:rsidP="00691179">
            <w:pPr>
              <w:pStyle w:val="NoSpacing"/>
              <w:jc w:val="right"/>
              <w:rPr>
                <w:rFonts w:asciiTheme="minorHAnsi" w:hAnsiTheme="minorHAnsi"/>
                <w:b/>
                <w:color w:val="59595B"/>
                <w:sz w:val="20"/>
                <w:szCs w:val="20"/>
                <w:lang w:val="en-GB"/>
              </w:rPr>
            </w:pPr>
            <w:r w:rsidRPr="001905AB">
              <w:rPr>
                <w:rFonts w:asciiTheme="minorHAnsi" w:hAnsiTheme="minorHAnsi"/>
                <w:b/>
                <w:color w:val="59595B"/>
                <w:sz w:val="20"/>
                <w:szCs w:val="20"/>
                <w:lang w:val="en-GB"/>
              </w:rPr>
              <w:t>(</w:t>
            </w:r>
            <w:r>
              <w:rPr>
                <w:rFonts w:asciiTheme="minorHAnsi" w:hAnsiTheme="minorHAnsi"/>
                <w:b/>
                <w:color w:val="59595B"/>
                <w:sz w:val="20"/>
                <w:szCs w:val="20"/>
              </w:rPr>
              <w:t>30,218</w:t>
            </w:r>
            <w:r w:rsidRPr="001905AB">
              <w:rPr>
                <w:rFonts w:asciiTheme="minorHAnsi" w:hAnsiTheme="minorHAnsi"/>
                <w:b/>
                <w:color w:val="59595B"/>
                <w:sz w:val="20"/>
                <w:szCs w:val="20"/>
                <w:lang w:val="en-GB"/>
              </w:rPr>
              <w:t>)</w:t>
            </w:r>
          </w:p>
        </w:tc>
        <w:tc>
          <w:tcPr>
            <w:tcW w:w="1448" w:type="dxa"/>
            <w:tcBorders>
              <w:top w:val="nil"/>
              <w:left w:val="single" w:sz="4" w:space="0" w:color="BFBFBF" w:themeColor="background1" w:themeShade="BF"/>
              <w:bottom w:val="nil"/>
            </w:tcBorders>
          </w:tcPr>
          <w:p w14:paraId="0F4C5578" w14:textId="77777777" w:rsidR="0004342B" w:rsidRPr="001905AB" w:rsidRDefault="0004342B" w:rsidP="00691179">
            <w:pPr>
              <w:pStyle w:val="NoSpacing"/>
              <w:jc w:val="right"/>
              <w:rPr>
                <w:rFonts w:asciiTheme="minorHAnsi" w:hAnsiTheme="minorHAnsi"/>
                <w:b/>
                <w:color w:val="59595B"/>
                <w:sz w:val="20"/>
                <w:szCs w:val="20"/>
                <w:lang w:val="en-GB"/>
              </w:rPr>
            </w:pPr>
            <w:r w:rsidRPr="001905AB">
              <w:rPr>
                <w:rFonts w:asciiTheme="minorHAnsi" w:hAnsiTheme="minorHAnsi"/>
                <w:b/>
                <w:color w:val="59595B"/>
                <w:sz w:val="20"/>
                <w:szCs w:val="20"/>
                <w:lang w:val="en-GB"/>
              </w:rPr>
              <w:t>(</w:t>
            </w:r>
            <w:r>
              <w:rPr>
                <w:rFonts w:asciiTheme="minorHAnsi" w:hAnsiTheme="minorHAnsi"/>
                <w:b/>
                <w:color w:val="59595B"/>
                <w:sz w:val="20"/>
                <w:szCs w:val="20"/>
              </w:rPr>
              <w:t>30,890</w:t>
            </w:r>
            <w:r w:rsidRPr="001905AB">
              <w:rPr>
                <w:rFonts w:asciiTheme="minorHAnsi" w:hAnsiTheme="minorHAnsi"/>
                <w:b/>
                <w:color w:val="59595B"/>
                <w:sz w:val="20"/>
                <w:szCs w:val="20"/>
                <w:lang w:val="en-GB"/>
              </w:rPr>
              <w:t>)</w:t>
            </w:r>
          </w:p>
        </w:tc>
      </w:tr>
      <w:tr w:rsidR="0004342B" w:rsidRPr="00E12C03" w14:paraId="7132ACC3" w14:textId="77777777" w:rsidTr="00691179">
        <w:trPr>
          <w:trHeight w:val="288"/>
        </w:trPr>
        <w:tc>
          <w:tcPr>
            <w:tcW w:w="4320" w:type="dxa"/>
            <w:tcBorders>
              <w:top w:val="nil"/>
              <w:bottom w:val="nil"/>
              <w:right w:val="single" w:sz="4" w:space="0" w:color="BFBFBF" w:themeColor="background1" w:themeShade="BF"/>
            </w:tcBorders>
          </w:tcPr>
          <w:p w14:paraId="4B8B77F6"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hAnsiTheme="minorHAnsi"/>
                <w:color w:val="59595B"/>
                <w:sz w:val="20"/>
                <w:lang w:val="en-GB"/>
              </w:rPr>
              <w:t>Share-based compensation</w:t>
            </w:r>
          </w:p>
        </w:tc>
        <w:tc>
          <w:tcPr>
            <w:tcW w:w="720" w:type="dxa"/>
            <w:tcBorders>
              <w:top w:val="nil"/>
              <w:left w:val="single" w:sz="4" w:space="0" w:color="BFBFBF" w:themeColor="background1" w:themeShade="BF"/>
              <w:bottom w:val="nil"/>
              <w:right w:val="single" w:sz="4" w:space="0" w:color="BFBFBF" w:themeColor="background1" w:themeShade="BF"/>
            </w:tcBorders>
          </w:tcPr>
          <w:p w14:paraId="4085F641"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6E44E5F1"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64362F95"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hAnsiTheme="minorHAnsi"/>
                <w:color w:val="59595B"/>
                <w:sz w:val="20"/>
                <w:szCs w:val="20"/>
              </w:rPr>
              <w:t>873</w:t>
            </w:r>
          </w:p>
        </w:tc>
        <w:tc>
          <w:tcPr>
            <w:tcW w:w="1448" w:type="dxa"/>
            <w:tcBorders>
              <w:top w:val="nil"/>
              <w:left w:val="single" w:sz="4" w:space="0" w:color="BFBFBF" w:themeColor="background1" w:themeShade="BF"/>
              <w:bottom w:val="nil"/>
            </w:tcBorders>
          </w:tcPr>
          <w:p w14:paraId="0DCC49AA"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hAnsiTheme="minorHAnsi"/>
                <w:color w:val="59595B"/>
                <w:sz w:val="20"/>
                <w:szCs w:val="20"/>
              </w:rPr>
              <w:t>873</w:t>
            </w:r>
          </w:p>
        </w:tc>
      </w:tr>
      <w:tr w:rsidR="0004342B" w:rsidRPr="00E12C03" w14:paraId="417C1C12" w14:textId="77777777" w:rsidTr="00691179">
        <w:trPr>
          <w:trHeight w:val="288"/>
        </w:trPr>
        <w:tc>
          <w:tcPr>
            <w:tcW w:w="4320" w:type="dxa"/>
            <w:tcBorders>
              <w:top w:val="nil"/>
              <w:bottom w:val="nil"/>
              <w:right w:val="single" w:sz="4" w:space="0" w:color="BFBFBF" w:themeColor="background1" w:themeShade="BF"/>
            </w:tcBorders>
          </w:tcPr>
          <w:p w14:paraId="401AA2E9"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hAnsiTheme="minorHAnsi"/>
                <w:color w:val="59595B"/>
                <w:sz w:val="20"/>
                <w:lang w:val="en-GB"/>
              </w:rPr>
              <w:t>Bonuses settled in shares</w:t>
            </w:r>
          </w:p>
        </w:tc>
        <w:tc>
          <w:tcPr>
            <w:tcW w:w="720" w:type="dxa"/>
            <w:tcBorders>
              <w:top w:val="nil"/>
              <w:left w:val="single" w:sz="4" w:space="0" w:color="BFBFBF" w:themeColor="background1" w:themeShade="BF"/>
              <w:bottom w:val="nil"/>
              <w:right w:val="single" w:sz="4" w:space="0" w:color="BFBFBF" w:themeColor="background1" w:themeShade="BF"/>
            </w:tcBorders>
          </w:tcPr>
          <w:p w14:paraId="58E8980A"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6E1D97D7"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0056F5A4"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231A42A9"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eastAsiaTheme="minorEastAsia" w:hAnsiTheme="minorHAnsi" w:cs="Arial"/>
                <w:bCs/>
                <w:color w:val="59595B"/>
                <w:sz w:val="20"/>
                <w:szCs w:val="20"/>
              </w:rPr>
              <w:t>255</w:t>
            </w:r>
          </w:p>
        </w:tc>
      </w:tr>
      <w:tr w:rsidR="0004342B" w:rsidRPr="00E12C03" w14:paraId="4C9DF421" w14:textId="77777777" w:rsidTr="00691179">
        <w:trPr>
          <w:trHeight w:val="288"/>
        </w:trPr>
        <w:tc>
          <w:tcPr>
            <w:tcW w:w="4320" w:type="dxa"/>
            <w:tcBorders>
              <w:top w:val="nil"/>
              <w:bottom w:val="nil"/>
              <w:right w:val="single" w:sz="4" w:space="0" w:color="BFBFBF" w:themeColor="background1" w:themeShade="BF"/>
            </w:tcBorders>
          </w:tcPr>
          <w:p w14:paraId="514DBC20"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eastAsiaTheme="minorEastAsia" w:hAnsiTheme="minorHAnsi" w:cs="Arial"/>
                <w:bCs/>
                <w:color w:val="59595B"/>
                <w:sz w:val="20"/>
                <w:lang w:val="en-GB"/>
              </w:rPr>
              <w:t>Shares issued</w:t>
            </w:r>
            <w:r w:rsidRPr="00CD0E36">
              <w:rPr>
                <w:rFonts w:asciiTheme="minorHAnsi" w:eastAsiaTheme="minorEastAsia" w:hAnsiTheme="minorHAnsi" w:cs="Arial"/>
                <w:bCs/>
                <w:color w:val="59595B"/>
                <w:sz w:val="20"/>
              </w:rPr>
              <w:t xml:space="preserve"> for cash/conversion of bonds</w:t>
            </w:r>
          </w:p>
        </w:tc>
        <w:tc>
          <w:tcPr>
            <w:tcW w:w="720" w:type="dxa"/>
            <w:tcBorders>
              <w:top w:val="nil"/>
              <w:left w:val="single" w:sz="4" w:space="0" w:color="BFBFBF" w:themeColor="background1" w:themeShade="BF"/>
              <w:bottom w:val="nil"/>
              <w:right w:val="single" w:sz="4" w:space="0" w:color="BFBFBF" w:themeColor="background1" w:themeShade="BF"/>
            </w:tcBorders>
          </w:tcPr>
          <w:p w14:paraId="2E36EC72"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0C199C92"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4D9847A2"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6600ED56"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eastAsiaTheme="minorEastAsia" w:hAnsiTheme="minorHAnsi" w:cs="Arial"/>
                <w:bCs/>
                <w:color w:val="59595B"/>
                <w:sz w:val="20"/>
                <w:szCs w:val="20"/>
              </w:rPr>
              <w:t>7,570</w:t>
            </w:r>
          </w:p>
        </w:tc>
      </w:tr>
      <w:tr w:rsidR="0004342B" w:rsidRPr="00E12C03" w14:paraId="2597FE3C" w14:textId="77777777" w:rsidTr="00691179">
        <w:trPr>
          <w:trHeight w:val="288"/>
        </w:trPr>
        <w:tc>
          <w:tcPr>
            <w:tcW w:w="4320" w:type="dxa"/>
            <w:tcBorders>
              <w:top w:val="nil"/>
              <w:bottom w:val="nil"/>
              <w:right w:val="single" w:sz="4" w:space="0" w:color="BFBFBF" w:themeColor="background1" w:themeShade="BF"/>
            </w:tcBorders>
          </w:tcPr>
          <w:p w14:paraId="62AB6170" w14:textId="77777777" w:rsidR="0004342B" w:rsidRPr="00CD0E36" w:rsidRDefault="0004342B" w:rsidP="00691179">
            <w:pPr>
              <w:pStyle w:val="NoSpacing"/>
              <w:rPr>
                <w:rFonts w:asciiTheme="minorHAnsi" w:hAnsiTheme="minorHAnsi"/>
                <w:b/>
                <w:color w:val="59595B"/>
                <w:sz w:val="20"/>
                <w:lang w:val="en-GB"/>
              </w:rPr>
            </w:pPr>
            <w:r w:rsidRPr="00CD0E36">
              <w:rPr>
                <w:rFonts w:asciiTheme="minorHAnsi" w:hAnsiTheme="minorHAnsi"/>
                <w:color w:val="59595B"/>
                <w:sz w:val="20"/>
                <w:lang w:val="en-GB"/>
              </w:rPr>
              <w:t>Warrants exercised/ issued</w:t>
            </w:r>
          </w:p>
        </w:tc>
        <w:tc>
          <w:tcPr>
            <w:tcW w:w="720" w:type="dxa"/>
            <w:tcBorders>
              <w:top w:val="nil"/>
              <w:left w:val="single" w:sz="4" w:space="0" w:color="BFBFBF" w:themeColor="background1" w:themeShade="BF"/>
              <w:bottom w:val="nil"/>
              <w:right w:val="single" w:sz="4" w:space="0" w:color="BFBFBF" w:themeColor="background1" w:themeShade="BF"/>
            </w:tcBorders>
          </w:tcPr>
          <w:p w14:paraId="63C60284"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3E5B7352"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5563E3CF"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74275FED" w14:textId="77777777" w:rsidR="0004342B" w:rsidRPr="001905AB" w:rsidRDefault="0004342B" w:rsidP="00691179">
            <w:pPr>
              <w:pStyle w:val="NoSpacing"/>
              <w:jc w:val="right"/>
              <w:rPr>
                <w:rFonts w:asciiTheme="minorHAnsi" w:hAnsiTheme="minorHAnsi"/>
                <w:color w:val="59595B"/>
                <w:sz w:val="20"/>
                <w:szCs w:val="20"/>
                <w:lang w:val="en-GB"/>
              </w:rPr>
            </w:pPr>
            <w:r>
              <w:rPr>
                <w:rFonts w:asciiTheme="minorHAnsi" w:eastAsiaTheme="minorEastAsia" w:hAnsiTheme="minorHAnsi" w:cs="Arial"/>
                <w:bCs/>
                <w:color w:val="59595B"/>
                <w:sz w:val="20"/>
                <w:szCs w:val="20"/>
              </w:rPr>
              <w:t>1,489</w:t>
            </w:r>
          </w:p>
        </w:tc>
      </w:tr>
      <w:tr w:rsidR="0004342B" w:rsidRPr="00E12C03" w14:paraId="56DF6BC7" w14:textId="77777777" w:rsidTr="00691179">
        <w:trPr>
          <w:trHeight w:val="288"/>
        </w:trPr>
        <w:tc>
          <w:tcPr>
            <w:tcW w:w="4320" w:type="dxa"/>
            <w:tcBorders>
              <w:top w:val="nil"/>
              <w:bottom w:val="nil"/>
              <w:right w:val="single" w:sz="4" w:space="0" w:color="BFBFBF" w:themeColor="background1" w:themeShade="BF"/>
            </w:tcBorders>
          </w:tcPr>
          <w:p w14:paraId="53011671" w14:textId="77777777" w:rsidR="0004342B" w:rsidRPr="00CD0E36" w:rsidRDefault="0004342B" w:rsidP="00691179">
            <w:pPr>
              <w:pStyle w:val="NoSpacing"/>
              <w:rPr>
                <w:rFonts w:asciiTheme="minorHAnsi" w:hAnsiTheme="minorHAnsi"/>
                <w:color w:val="59595B"/>
                <w:sz w:val="20"/>
                <w:lang w:val="en-GB"/>
              </w:rPr>
            </w:pPr>
            <w:r w:rsidRPr="00CD0E36">
              <w:rPr>
                <w:rFonts w:asciiTheme="minorHAnsi" w:hAnsiTheme="minorHAnsi"/>
                <w:color w:val="59595B"/>
                <w:sz w:val="20"/>
                <w:lang w:val="en-GB"/>
              </w:rPr>
              <w:t>Options exercised</w:t>
            </w:r>
          </w:p>
        </w:tc>
        <w:tc>
          <w:tcPr>
            <w:tcW w:w="720" w:type="dxa"/>
            <w:tcBorders>
              <w:top w:val="nil"/>
              <w:left w:val="single" w:sz="4" w:space="0" w:color="BFBFBF" w:themeColor="background1" w:themeShade="BF"/>
              <w:bottom w:val="nil"/>
              <w:right w:val="single" w:sz="4" w:space="0" w:color="BFBFBF" w:themeColor="background1" w:themeShade="BF"/>
            </w:tcBorders>
          </w:tcPr>
          <w:p w14:paraId="6BC6D44D"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45CB735A"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s="Arial"/>
                <w:b/>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29151465"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28BC3239" w14:textId="77777777" w:rsidR="0004342B" w:rsidRPr="001905AB" w:rsidRDefault="0004342B" w:rsidP="00691179">
            <w:pPr>
              <w:pStyle w:val="NoSpacing"/>
              <w:jc w:val="right"/>
              <w:rPr>
                <w:rFonts w:asciiTheme="minorHAnsi" w:hAnsiTheme="minorHAnsi"/>
                <w:color w:val="59595B"/>
                <w:sz w:val="20"/>
                <w:szCs w:val="20"/>
                <w:lang w:val="en-GB"/>
              </w:rPr>
            </w:pPr>
            <w:r w:rsidRPr="001905AB">
              <w:rPr>
                <w:rFonts w:asciiTheme="minorHAnsi" w:eastAsiaTheme="minorEastAsia" w:hAnsiTheme="minorHAnsi" w:cs="Arial"/>
                <w:bCs/>
                <w:color w:val="59595B"/>
                <w:sz w:val="20"/>
                <w:szCs w:val="20"/>
                <w:lang w:val="en-GB"/>
              </w:rPr>
              <w:t>-</w:t>
            </w:r>
          </w:p>
        </w:tc>
      </w:tr>
      <w:tr w:rsidR="0004342B" w:rsidRPr="001905AB" w14:paraId="5CB25368" w14:textId="77777777" w:rsidTr="00691179">
        <w:trPr>
          <w:trHeight w:val="288"/>
        </w:trPr>
        <w:tc>
          <w:tcPr>
            <w:tcW w:w="4320" w:type="dxa"/>
            <w:tcBorders>
              <w:top w:val="nil"/>
              <w:bottom w:val="nil"/>
              <w:right w:val="single" w:sz="4" w:space="0" w:color="BFBFBF" w:themeColor="background1" w:themeShade="BF"/>
            </w:tcBorders>
          </w:tcPr>
          <w:p w14:paraId="54369E8A" w14:textId="77777777" w:rsidR="0004342B" w:rsidRPr="001905AB" w:rsidRDefault="0004342B" w:rsidP="00691179">
            <w:pPr>
              <w:pStyle w:val="NoSpacing"/>
              <w:rPr>
                <w:rFonts w:asciiTheme="minorHAnsi" w:hAnsiTheme="minorHAnsi"/>
                <w:b/>
                <w:color w:val="59595B"/>
                <w:sz w:val="20"/>
                <w:lang w:val="en-GB"/>
              </w:rPr>
            </w:pPr>
            <w:r w:rsidRPr="001905AB">
              <w:rPr>
                <w:rFonts w:asciiTheme="minorHAnsi" w:hAnsiTheme="minorHAnsi"/>
                <w:b/>
                <w:color w:val="59595B"/>
                <w:sz w:val="20"/>
                <w:lang w:val="en-GB"/>
              </w:rPr>
              <w:t xml:space="preserve">Total transactions with owners, </w:t>
            </w:r>
          </w:p>
          <w:p w14:paraId="4E6CE787" w14:textId="77777777" w:rsidR="0004342B" w:rsidRPr="001905AB" w:rsidRDefault="0004342B" w:rsidP="00691179">
            <w:pPr>
              <w:pStyle w:val="NoSpacing"/>
              <w:rPr>
                <w:rFonts w:asciiTheme="minorHAnsi" w:hAnsiTheme="minorHAnsi"/>
                <w:b/>
                <w:color w:val="59595B"/>
                <w:sz w:val="20"/>
                <w:lang w:val="en-GB"/>
              </w:rPr>
            </w:pPr>
            <w:r w:rsidRPr="001905AB">
              <w:rPr>
                <w:rFonts w:asciiTheme="minorHAnsi" w:hAnsiTheme="minorHAnsi"/>
                <w:b/>
                <w:color w:val="59595B"/>
                <w:sz w:val="20"/>
                <w:lang w:val="en-GB"/>
              </w:rPr>
              <w:t>recognized directly in equity</w:t>
            </w:r>
          </w:p>
        </w:tc>
        <w:tc>
          <w:tcPr>
            <w:tcW w:w="720" w:type="dxa"/>
            <w:tcBorders>
              <w:top w:val="nil"/>
              <w:left w:val="single" w:sz="4" w:space="0" w:color="BFBFBF" w:themeColor="background1" w:themeShade="BF"/>
              <w:bottom w:val="nil"/>
              <w:right w:val="single" w:sz="4" w:space="0" w:color="BFBFBF" w:themeColor="background1" w:themeShade="BF"/>
            </w:tcBorders>
          </w:tcPr>
          <w:p w14:paraId="42FB0640" w14:textId="77777777" w:rsidR="0004342B" w:rsidRPr="001905AB" w:rsidRDefault="0004342B" w:rsidP="00691179">
            <w:pPr>
              <w:pStyle w:val="NoSpacing"/>
              <w:rPr>
                <w:rFonts w:asciiTheme="minorHAnsi" w:hAnsiTheme="minorHAnsi"/>
                <w:b/>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332BA7C8" w14:textId="77777777" w:rsidR="0004342B" w:rsidRPr="001905AB" w:rsidRDefault="0004342B" w:rsidP="00691179">
            <w:pPr>
              <w:pStyle w:val="NoSpacing"/>
              <w:jc w:val="right"/>
              <w:rPr>
                <w:rFonts w:asciiTheme="minorHAnsi" w:hAnsiTheme="minorHAnsi"/>
                <w:b/>
                <w:color w:val="59595B"/>
                <w:sz w:val="20"/>
                <w:szCs w:val="20"/>
                <w:lang w:val="en-GB"/>
              </w:rPr>
            </w:pPr>
          </w:p>
          <w:p w14:paraId="2CD07807" w14:textId="77777777" w:rsidR="0004342B" w:rsidRPr="001905AB" w:rsidRDefault="0004342B" w:rsidP="00691179">
            <w:pPr>
              <w:pStyle w:val="NoSpacing"/>
              <w:jc w:val="right"/>
              <w:rPr>
                <w:rFonts w:asciiTheme="minorHAnsi" w:hAnsiTheme="minorHAnsi"/>
                <w:b/>
                <w:color w:val="59595B"/>
                <w:sz w:val="20"/>
                <w:szCs w:val="20"/>
                <w:lang w:val="en-GB"/>
              </w:rPr>
            </w:pPr>
            <w:r w:rsidRPr="001905AB">
              <w:rPr>
                <w:rFonts w:asciiTheme="minorHAnsi" w:hAnsiTheme="minorHAnsi"/>
                <w:b/>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54996C40" w14:textId="77777777" w:rsidR="0004342B" w:rsidRPr="001905AB" w:rsidRDefault="0004342B" w:rsidP="00691179">
            <w:pPr>
              <w:pStyle w:val="NoSpacing"/>
              <w:jc w:val="right"/>
              <w:rPr>
                <w:rFonts w:asciiTheme="minorHAnsi" w:hAnsiTheme="minorHAnsi"/>
                <w:b/>
                <w:color w:val="59595B"/>
                <w:sz w:val="20"/>
                <w:szCs w:val="20"/>
                <w:lang w:val="en-GB"/>
              </w:rPr>
            </w:pPr>
          </w:p>
          <w:p w14:paraId="1CDAA693" w14:textId="77777777" w:rsidR="0004342B" w:rsidRPr="001905AB" w:rsidRDefault="0004342B" w:rsidP="00691179">
            <w:pPr>
              <w:pStyle w:val="NoSpacing"/>
              <w:jc w:val="right"/>
              <w:rPr>
                <w:rFonts w:asciiTheme="minorHAnsi" w:hAnsiTheme="minorHAnsi"/>
                <w:b/>
                <w:color w:val="59595B"/>
                <w:sz w:val="20"/>
                <w:szCs w:val="20"/>
                <w:lang w:val="en-GB"/>
              </w:rPr>
            </w:pPr>
            <w:r>
              <w:rPr>
                <w:rFonts w:asciiTheme="minorHAnsi" w:hAnsiTheme="minorHAnsi"/>
                <w:b/>
                <w:color w:val="59595B"/>
                <w:sz w:val="20"/>
                <w:szCs w:val="20"/>
              </w:rPr>
              <w:t>873</w:t>
            </w:r>
          </w:p>
        </w:tc>
        <w:tc>
          <w:tcPr>
            <w:tcW w:w="1448" w:type="dxa"/>
            <w:tcBorders>
              <w:top w:val="nil"/>
              <w:left w:val="single" w:sz="4" w:space="0" w:color="BFBFBF" w:themeColor="background1" w:themeShade="BF"/>
              <w:bottom w:val="nil"/>
            </w:tcBorders>
          </w:tcPr>
          <w:p w14:paraId="0B350848" w14:textId="77777777" w:rsidR="0004342B" w:rsidRPr="001905AB" w:rsidRDefault="0004342B" w:rsidP="00691179">
            <w:pPr>
              <w:pStyle w:val="NoSpacing"/>
              <w:jc w:val="right"/>
              <w:rPr>
                <w:rFonts w:asciiTheme="minorHAnsi" w:hAnsiTheme="minorHAnsi"/>
                <w:b/>
                <w:color w:val="59595B"/>
                <w:sz w:val="20"/>
                <w:szCs w:val="20"/>
                <w:lang w:val="en-GB"/>
              </w:rPr>
            </w:pPr>
          </w:p>
          <w:p w14:paraId="0C8B7273" w14:textId="77777777" w:rsidR="0004342B" w:rsidRPr="001905AB" w:rsidRDefault="0004342B" w:rsidP="00691179">
            <w:pPr>
              <w:pStyle w:val="NoSpacing"/>
              <w:jc w:val="right"/>
              <w:rPr>
                <w:rFonts w:asciiTheme="minorHAnsi" w:hAnsiTheme="minorHAnsi"/>
                <w:b/>
                <w:color w:val="59595B"/>
                <w:sz w:val="20"/>
                <w:szCs w:val="20"/>
                <w:lang w:val="en-GB"/>
              </w:rPr>
            </w:pPr>
            <w:r w:rsidRPr="001905AB">
              <w:rPr>
                <w:rFonts w:asciiTheme="minorHAnsi" w:hAnsiTheme="minorHAnsi"/>
                <w:b/>
                <w:color w:val="59595B"/>
                <w:sz w:val="20"/>
                <w:szCs w:val="20"/>
                <w:lang w:val="en-GB"/>
              </w:rPr>
              <w:t>1</w:t>
            </w:r>
            <w:r>
              <w:rPr>
                <w:rFonts w:asciiTheme="minorHAnsi" w:hAnsiTheme="minorHAnsi"/>
                <w:b/>
                <w:color w:val="59595B"/>
                <w:sz w:val="20"/>
                <w:szCs w:val="20"/>
              </w:rPr>
              <w:t>0</w:t>
            </w:r>
            <w:r w:rsidRPr="001905AB">
              <w:rPr>
                <w:rFonts w:asciiTheme="minorHAnsi" w:hAnsiTheme="minorHAnsi"/>
                <w:b/>
                <w:color w:val="59595B"/>
                <w:sz w:val="20"/>
                <w:szCs w:val="20"/>
                <w:lang w:val="en-GB"/>
              </w:rPr>
              <w:t>,</w:t>
            </w:r>
            <w:r>
              <w:rPr>
                <w:rFonts w:asciiTheme="minorHAnsi" w:hAnsiTheme="minorHAnsi"/>
                <w:b/>
                <w:color w:val="59595B"/>
                <w:sz w:val="20"/>
                <w:szCs w:val="20"/>
              </w:rPr>
              <w:t>187</w:t>
            </w:r>
          </w:p>
        </w:tc>
      </w:tr>
      <w:tr w:rsidR="0004342B" w:rsidRPr="00E12C03" w14:paraId="4C35038C" w14:textId="77777777" w:rsidTr="00691179">
        <w:trPr>
          <w:trHeight w:val="288"/>
        </w:trPr>
        <w:tc>
          <w:tcPr>
            <w:tcW w:w="4320" w:type="dxa"/>
            <w:tcBorders>
              <w:top w:val="nil"/>
              <w:bottom w:val="single" w:sz="4" w:space="0" w:color="BFBFBF" w:themeColor="background1" w:themeShade="BF"/>
              <w:right w:val="single" w:sz="4" w:space="0" w:color="BFBFBF" w:themeColor="background1" w:themeShade="BF"/>
            </w:tcBorders>
          </w:tcPr>
          <w:p w14:paraId="4036AE5F" w14:textId="77777777" w:rsidR="0004342B" w:rsidRPr="001905AB" w:rsidRDefault="0004342B" w:rsidP="00691179">
            <w:pPr>
              <w:pStyle w:val="NoSpacing"/>
              <w:rPr>
                <w:rFonts w:asciiTheme="minorHAnsi" w:hAnsiTheme="minorHAnsi"/>
                <w:color w:val="59595B"/>
                <w:sz w:val="20"/>
                <w:lang w:val="en-GB"/>
              </w:rPr>
            </w:pPr>
          </w:p>
        </w:tc>
        <w:tc>
          <w:tcPr>
            <w:tcW w:w="7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CCC5A71" w14:textId="77777777" w:rsidR="0004342B" w:rsidRPr="001905AB"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6B6520F" w14:textId="77777777" w:rsidR="0004342B" w:rsidRPr="001905AB" w:rsidRDefault="0004342B" w:rsidP="00691179">
            <w:pPr>
              <w:pStyle w:val="NoSpacing"/>
              <w:jc w:val="right"/>
              <w:rPr>
                <w:rFonts w:asciiTheme="minorHAnsi" w:hAnsiTheme="minorHAnsi" w:cs="Arial"/>
                <w:color w:val="59595B"/>
                <w:sz w:val="20"/>
                <w:szCs w:val="20"/>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6B76B4FB" w14:textId="77777777" w:rsidR="0004342B" w:rsidRPr="001905AB" w:rsidRDefault="0004342B" w:rsidP="00691179">
            <w:pPr>
              <w:pStyle w:val="NoSpacing"/>
              <w:jc w:val="right"/>
              <w:rPr>
                <w:rFonts w:asciiTheme="minorHAnsi" w:hAnsiTheme="minorHAnsi"/>
                <w:color w:val="59595B"/>
                <w:sz w:val="20"/>
                <w:szCs w:val="20"/>
                <w:lang w:val="en-GB"/>
              </w:rPr>
            </w:pPr>
          </w:p>
        </w:tc>
        <w:tc>
          <w:tcPr>
            <w:tcW w:w="1448" w:type="dxa"/>
            <w:tcBorders>
              <w:top w:val="nil"/>
              <w:left w:val="single" w:sz="4" w:space="0" w:color="BFBFBF" w:themeColor="background1" w:themeShade="BF"/>
              <w:bottom w:val="single" w:sz="4" w:space="0" w:color="BFBFBF" w:themeColor="background1" w:themeShade="BF"/>
            </w:tcBorders>
          </w:tcPr>
          <w:p w14:paraId="4409EF7A" w14:textId="77777777" w:rsidR="0004342B" w:rsidRPr="001905AB" w:rsidRDefault="0004342B" w:rsidP="00691179">
            <w:pPr>
              <w:pStyle w:val="NoSpacing"/>
              <w:jc w:val="right"/>
              <w:rPr>
                <w:rFonts w:asciiTheme="minorHAnsi" w:hAnsiTheme="minorHAnsi"/>
                <w:color w:val="59595B"/>
                <w:sz w:val="20"/>
                <w:szCs w:val="20"/>
                <w:lang w:val="en-GB"/>
              </w:rPr>
            </w:pPr>
          </w:p>
        </w:tc>
      </w:tr>
      <w:tr w:rsidR="0004342B" w:rsidRPr="001905AB" w14:paraId="7E0D66E7" w14:textId="77777777" w:rsidTr="00691179">
        <w:trPr>
          <w:trHeight w:val="288"/>
        </w:trPr>
        <w:tc>
          <w:tcPr>
            <w:tcW w:w="4320" w:type="dxa"/>
            <w:tcBorders>
              <w:top w:val="single" w:sz="4" w:space="0" w:color="BFBFBF" w:themeColor="background1" w:themeShade="BF"/>
              <w:right w:val="single" w:sz="4" w:space="0" w:color="BFBFBF" w:themeColor="background1" w:themeShade="BF"/>
            </w:tcBorders>
          </w:tcPr>
          <w:p w14:paraId="28D5DEBD" w14:textId="77777777" w:rsidR="0004342B" w:rsidRPr="001905AB" w:rsidRDefault="0004342B" w:rsidP="00691179">
            <w:pPr>
              <w:pStyle w:val="NoSpacing"/>
              <w:rPr>
                <w:rFonts w:asciiTheme="minorHAnsi" w:hAnsiTheme="minorHAnsi"/>
                <w:b/>
                <w:color w:val="0070C0"/>
                <w:sz w:val="20"/>
              </w:rPr>
            </w:pPr>
            <w:r w:rsidRPr="001905AB">
              <w:rPr>
                <w:rFonts w:asciiTheme="minorHAnsi" w:eastAsiaTheme="minorEastAsia" w:hAnsiTheme="minorHAnsi" w:cs="Arial"/>
                <w:b/>
                <w:bCs/>
                <w:color w:val="0070C0"/>
                <w:sz w:val="20"/>
                <w:lang w:val="en-GB"/>
              </w:rPr>
              <w:t>Balance at 30 June 201</w:t>
            </w:r>
            <w:r w:rsidRPr="001905AB">
              <w:rPr>
                <w:rFonts w:asciiTheme="minorHAnsi" w:eastAsiaTheme="minorEastAsia" w:hAnsiTheme="minorHAnsi" w:cs="Arial"/>
                <w:b/>
                <w:bCs/>
                <w:color w:val="0070C0"/>
                <w:sz w:val="20"/>
              </w:rPr>
              <w:t>7</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EBA13" w14:textId="77777777" w:rsidR="0004342B" w:rsidRPr="001905AB" w:rsidRDefault="0004342B" w:rsidP="00691179">
            <w:pPr>
              <w:pStyle w:val="NoSpacing"/>
              <w:rPr>
                <w:rFonts w:asciiTheme="minorHAnsi" w:hAnsiTheme="minorHAnsi"/>
                <w:b/>
                <w:color w:val="0070C0"/>
                <w:sz w:val="18"/>
                <w:lang w:val="en-GB"/>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C53455" w14:textId="77777777" w:rsidR="0004342B" w:rsidRPr="001905AB" w:rsidRDefault="0004342B" w:rsidP="00691179">
            <w:pPr>
              <w:pStyle w:val="NoSpacing"/>
              <w:jc w:val="right"/>
              <w:rPr>
                <w:rFonts w:asciiTheme="minorHAnsi" w:hAnsiTheme="minorHAnsi"/>
                <w:b/>
                <w:color w:val="0070C0"/>
                <w:sz w:val="20"/>
                <w:szCs w:val="20"/>
                <w:lang w:val="en-GB"/>
              </w:rPr>
            </w:pPr>
            <w:r>
              <w:rPr>
                <w:rFonts w:asciiTheme="minorHAnsi" w:hAnsiTheme="minorHAnsi" w:cs="Arial"/>
                <w:b/>
                <w:color w:val="0070C0"/>
                <w:sz w:val="20"/>
                <w:szCs w:val="20"/>
              </w:rPr>
              <w:t>(612)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57B05" w14:textId="77777777" w:rsidR="0004342B" w:rsidRPr="001905AB" w:rsidRDefault="0004342B" w:rsidP="00691179">
            <w:pPr>
              <w:pStyle w:val="NoSpacing"/>
              <w:jc w:val="right"/>
              <w:rPr>
                <w:rFonts w:asciiTheme="minorHAnsi" w:hAnsiTheme="minorHAnsi"/>
                <w:b/>
                <w:color w:val="0070C0"/>
                <w:sz w:val="20"/>
                <w:szCs w:val="20"/>
                <w:lang w:val="en-GB"/>
              </w:rPr>
            </w:pPr>
            <w:r w:rsidRPr="001905AB">
              <w:rPr>
                <w:rFonts w:asciiTheme="minorHAnsi" w:hAnsiTheme="minorHAnsi"/>
                <w:b/>
                <w:color w:val="0070C0"/>
                <w:sz w:val="20"/>
                <w:szCs w:val="20"/>
                <w:lang w:val="en-GB"/>
              </w:rPr>
              <w:t>(</w:t>
            </w:r>
            <w:r>
              <w:rPr>
                <w:rFonts w:asciiTheme="minorHAnsi" w:hAnsiTheme="minorHAnsi"/>
                <w:b/>
                <w:color w:val="0070C0"/>
                <w:sz w:val="20"/>
                <w:szCs w:val="20"/>
              </w:rPr>
              <w:t>308,370</w:t>
            </w:r>
            <w:r w:rsidRPr="001905AB">
              <w:rPr>
                <w:rFonts w:asciiTheme="minorHAnsi" w:hAnsiTheme="minorHAnsi"/>
                <w:b/>
                <w:color w:val="0070C0"/>
                <w:sz w:val="20"/>
                <w:szCs w:val="20"/>
                <w:lang w:val="en-GB"/>
              </w:rPr>
              <w:t>)</w:t>
            </w:r>
          </w:p>
        </w:tc>
        <w:tc>
          <w:tcPr>
            <w:tcW w:w="144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5FD3600" w14:textId="77777777" w:rsidR="0004342B" w:rsidRPr="001905AB" w:rsidRDefault="0004342B" w:rsidP="00691179">
            <w:pPr>
              <w:pStyle w:val="NoSpacing"/>
              <w:jc w:val="right"/>
              <w:rPr>
                <w:rFonts w:asciiTheme="minorHAnsi" w:hAnsiTheme="minorHAnsi"/>
                <w:b/>
                <w:color w:val="0070C0"/>
                <w:sz w:val="20"/>
                <w:szCs w:val="20"/>
                <w:lang w:val="en-GB"/>
              </w:rPr>
            </w:pPr>
            <w:r>
              <w:rPr>
                <w:rFonts w:asciiTheme="minorHAnsi" w:hAnsiTheme="minorHAnsi"/>
                <w:b/>
                <w:color w:val="0070C0"/>
                <w:sz w:val="20"/>
                <w:szCs w:val="20"/>
              </w:rPr>
              <w:t>6,764</w:t>
            </w:r>
          </w:p>
        </w:tc>
      </w:tr>
      <w:tr w:rsidR="0004342B" w:rsidRPr="00E12C03" w14:paraId="5E5641A1" w14:textId="77777777" w:rsidTr="00691179">
        <w:trPr>
          <w:trHeight w:val="288"/>
        </w:trPr>
        <w:tc>
          <w:tcPr>
            <w:tcW w:w="4320" w:type="dxa"/>
            <w:tcBorders>
              <w:right w:val="single" w:sz="4" w:space="0" w:color="BFBFBF" w:themeColor="background1" w:themeShade="BF"/>
            </w:tcBorders>
          </w:tcPr>
          <w:p w14:paraId="6331A201" w14:textId="77777777" w:rsidR="0004342B" w:rsidRPr="00E12C03" w:rsidRDefault="0004342B" w:rsidP="00691179">
            <w:pPr>
              <w:pStyle w:val="NoSpacing"/>
              <w:rPr>
                <w:rFonts w:asciiTheme="minorHAnsi" w:hAnsiTheme="minorHAnsi"/>
                <w:i/>
                <w:color w:val="59595B"/>
                <w:sz w:val="20"/>
                <w:highlight w:val="yellow"/>
                <w:lang w:val="en-GB"/>
              </w:rPr>
            </w:pP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220E466" w14:textId="77777777" w:rsidR="0004342B" w:rsidRPr="00E12C03" w:rsidRDefault="0004342B" w:rsidP="00691179">
            <w:pPr>
              <w:pStyle w:val="NoSpacing"/>
              <w:rPr>
                <w:rFonts w:asciiTheme="minorHAnsi" w:hAnsiTheme="minorHAnsi"/>
                <w:color w:val="59595B"/>
                <w:sz w:val="18"/>
                <w:highlight w:val="yellow"/>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2E6BCF9" w14:textId="77777777" w:rsidR="0004342B" w:rsidRPr="00E12C03" w:rsidRDefault="0004342B" w:rsidP="00691179">
            <w:pPr>
              <w:pStyle w:val="NoSpacing"/>
              <w:jc w:val="right"/>
              <w:rPr>
                <w:rFonts w:asciiTheme="minorHAnsi" w:hAnsiTheme="minorHAnsi"/>
                <w:color w:val="59595B"/>
                <w:sz w:val="20"/>
                <w:szCs w:val="20"/>
                <w:highlight w:val="yellow"/>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8EC84D6" w14:textId="77777777" w:rsidR="0004342B" w:rsidRPr="00E12C03" w:rsidRDefault="0004342B" w:rsidP="00691179">
            <w:pPr>
              <w:pStyle w:val="NoSpacing"/>
              <w:jc w:val="right"/>
              <w:rPr>
                <w:rFonts w:asciiTheme="minorHAnsi" w:hAnsiTheme="minorHAnsi"/>
                <w:color w:val="59595B"/>
                <w:sz w:val="20"/>
                <w:szCs w:val="20"/>
                <w:highlight w:val="yellow"/>
                <w:lang w:val="en-GB"/>
              </w:rPr>
            </w:pPr>
          </w:p>
        </w:tc>
        <w:tc>
          <w:tcPr>
            <w:tcW w:w="1448" w:type="dxa"/>
            <w:tcBorders>
              <w:left w:val="single" w:sz="4" w:space="0" w:color="BFBFBF" w:themeColor="background1" w:themeShade="BF"/>
              <w:bottom w:val="single" w:sz="4" w:space="0" w:color="BFBFBF" w:themeColor="background1" w:themeShade="BF"/>
            </w:tcBorders>
          </w:tcPr>
          <w:p w14:paraId="14B0D133" w14:textId="77777777" w:rsidR="0004342B" w:rsidRPr="00E12C03" w:rsidRDefault="0004342B" w:rsidP="00691179">
            <w:pPr>
              <w:pStyle w:val="NoSpacing"/>
              <w:jc w:val="right"/>
              <w:rPr>
                <w:rFonts w:asciiTheme="minorHAnsi" w:hAnsiTheme="minorHAnsi"/>
                <w:color w:val="59595B"/>
                <w:sz w:val="20"/>
                <w:szCs w:val="20"/>
                <w:highlight w:val="yellow"/>
                <w:lang w:val="en-GB"/>
              </w:rPr>
            </w:pPr>
          </w:p>
        </w:tc>
      </w:tr>
      <w:tr w:rsidR="0004342B" w:rsidRPr="001B2A6E" w14:paraId="7D358E21" w14:textId="77777777" w:rsidTr="00691179">
        <w:trPr>
          <w:trHeight w:val="288"/>
        </w:trPr>
        <w:tc>
          <w:tcPr>
            <w:tcW w:w="4320" w:type="dxa"/>
            <w:tcBorders>
              <w:bottom w:val="single" w:sz="4" w:space="0" w:color="BFBFBF" w:themeColor="background1" w:themeShade="BF"/>
              <w:right w:val="single" w:sz="4" w:space="0" w:color="BFBFBF" w:themeColor="background1" w:themeShade="BF"/>
            </w:tcBorders>
          </w:tcPr>
          <w:p w14:paraId="2E20AEDB" w14:textId="77777777" w:rsidR="0004342B" w:rsidRPr="001B2A6E" w:rsidRDefault="0004342B" w:rsidP="00691179">
            <w:pPr>
              <w:pStyle w:val="NoSpacing"/>
              <w:rPr>
                <w:rFonts w:asciiTheme="minorHAnsi" w:hAnsiTheme="minorHAnsi"/>
                <w:i/>
                <w:color w:val="0070C0"/>
                <w:sz w:val="20"/>
              </w:rPr>
            </w:pPr>
            <w:r w:rsidRPr="001B2A6E">
              <w:rPr>
                <w:rFonts w:asciiTheme="minorHAnsi" w:eastAsiaTheme="minorEastAsia" w:hAnsiTheme="minorHAnsi" w:cs="Arial"/>
                <w:b/>
                <w:bCs/>
                <w:color w:val="0070C0"/>
                <w:sz w:val="20"/>
                <w:lang w:val="en-GB"/>
              </w:rPr>
              <w:t>Balance at 1 January 201</w:t>
            </w:r>
            <w:r w:rsidRPr="001B2A6E">
              <w:rPr>
                <w:rFonts w:asciiTheme="minorHAnsi" w:eastAsiaTheme="minorEastAsia" w:hAnsiTheme="minorHAnsi" w:cs="Arial"/>
                <w:b/>
                <w:bCs/>
                <w:color w:val="0070C0"/>
                <w:sz w:val="20"/>
              </w:rPr>
              <w:t>8</w:t>
            </w: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6E0DA94" w14:textId="77777777" w:rsidR="0004342B" w:rsidRPr="001B2A6E" w:rsidRDefault="0004342B" w:rsidP="00691179">
            <w:pPr>
              <w:pStyle w:val="NoSpacing"/>
              <w:rPr>
                <w:rFonts w:asciiTheme="minorHAnsi" w:hAnsiTheme="minorHAnsi"/>
                <w:color w:val="0070C0"/>
                <w:sz w:val="18"/>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2E437E" w14:textId="77777777" w:rsidR="0004342B" w:rsidRPr="001B2A6E" w:rsidRDefault="0004342B" w:rsidP="00691179">
            <w:pPr>
              <w:pStyle w:val="NoSpacing"/>
              <w:jc w:val="right"/>
              <w:rPr>
                <w:rFonts w:asciiTheme="minorHAnsi" w:hAnsiTheme="minorHAnsi"/>
                <w:color w:val="0070C0"/>
                <w:sz w:val="20"/>
                <w:szCs w:val="20"/>
                <w:lang w:val="en-GB"/>
              </w:rPr>
            </w:pPr>
            <w:r w:rsidRPr="001B2A6E">
              <w:rPr>
                <w:rFonts w:asciiTheme="minorHAnsi" w:hAnsiTheme="minorHAnsi" w:cs="Arial"/>
                <w:b/>
                <w:color w:val="0070C0"/>
                <w:sz w:val="20"/>
                <w:szCs w:val="20"/>
              </w:rPr>
              <w:t>(938)</w:t>
            </w: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8E02FE8" w14:textId="77777777" w:rsidR="0004342B" w:rsidRPr="001B2A6E" w:rsidRDefault="0004342B" w:rsidP="00691179">
            <w:pPr>
              <w:pStyle w:val="NoSpacing"/>
              <w:jc w:val="right"/>
              <w:rPr>
                <w:rFonts w:asciiTheme="minorHAnsi" w:hAnsiTheme="minorHAnsi"/>
                <w:color w:val="0070C0"/>
                <w:sz w:val="20"/>
                <w:szCs w:val="20"/>
                <w:lang w:val="en-GB"/>
              </w:rPr>
            </w:pPr>
            <w:r w:rsidRPr="001B2A6E">
              <w:rPr>
                <w:rFonts w:asciiTheme="minorHAnsi" w:hAnsiTheme="minorHAnsi"/>
                <w:b/>
                <w:color w:val="0070C0"/>
                <w:sz w:val="20"/>
                <w:szCs w:val="20"/>
                <w:lang w:val="en-GB"/>
              </w:rPr>
              <w:t>(</w:t>
            </w:r>
            <w:r w:rsidRPr="001B2A6E">
              <w:rPr>
                <w:rFonts w:asciiTheme="minorHAnsi" w:hAnsiTheme="minorHAnsi"/>
                <w:b/>
                <w:color w:val="0070C0"/>
                <w:sz w:val="20"/>
                <w:szCs w:val="20"/>
              </w:rPr>
              <w:t>356,270</w:t>
            </w:r>
            <w:r w:rsidRPr="001B2A6E">
              <w:rPr>
                <w:rFonts w:asciiTheme="minorHAnsi" w:hAnsiTheme="minorHAnsi"/>
                <w:b/>
                <w:color w:val="0070C0"/>
                <w:sz w:val="20"/>
                <w:szCs w:val="20"/>
                <w:lang w:val="en-GB"/>
              </w:rPr>
              <w:t>)</w:t>
            </w:r>
          </w:p>
        </w:tc>
        <w:tc>
          <w:tcPr>
            <w:tcW w:w="1448"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7B9AD04A" w14:textId="77777777" w:rsidR="0004342B" w:rsidRPr="001B2A6E" w:rsidRDefault="0004342B" w:rsidP="00691179">
            <w:pPr>
              <w:pStyle w:val="NoSpacing"/>
              <w:jc w:val="right"/>
              <w:rPr>
                <w:rFonts w:asciiTheme="minorHAnsi" w:hAnsiTheme="minorHAnsi"/>
                <w:color w:val="0070C0"/>
                <w:sz w:val="20"/>
                <w:szCs w:val="20"/>
                <w:lang w:val="en-GB"/>
              </w:rPr>
            </w:pPr>
            <w:r w:rsidRPr="001B2A6E">
              <w:rPr>
                <w:rFonts w:asciiTheme="minorHAnsi" w:hAnsiTheme="minorHAnsi"/>
                <w:b/>
                <w:color w:val="0070C0"/>
                <w:sz w:val="20"/>
                <w:szCs w:val="20"/>
              </w:rPr>
              <w:t>18,802</w:t>
            </w:r>
          </w:p>
        </w:tc>
      </w:tr>
      <w:tr w:rsidR="0004342B" w:rsidRPr="00E12C03" w14:paraId="51AFA324" w14:textId="77777777" w:rsidTr="00691179">
        <w:trPr>
          <w:trHeight w:val="288"/>
        </w:trPr>
        <w:tc>
          <w:tcPr>
            <w:tcW w:w="4320" w:type="dxa"/>
            <w:tcBorders>
              <w:bottom w:val="nil"/>
              <w:right w:val="single" w:sz="4" w:space="0" w:color="BFBFBF" w:themeColor="background1" w:themeShade="BF"/>
            </w:tcBorders>
          </w:tcPr>
          <w:p w14:paraId="0A9A93E2"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color w:val="59595B"/>
                <w:sz w:val="20"/>
                <w:lang w:val="en-GB"/>
              </w:rPr>
              <w:t>Result for the period</w:t>
            </w:r>
          </w:p>
        </w:tc>
        <w:tc>
          <w:tcPr>
            <w:tcW w:w="720" w:type="dxa"/>
            <w:tcBorders>
              <w:left w:val="single" w:sz="4" w:space="0" w:color="BFBFBF" w:themeColor="background1" w:themeShade="BF"/>
              <w:bottom w:val="nil"/>
              <w:right w:val="single" w:sz="4" w:space="0" w:color="BFBFBF" w:themeColor="background1" w:themeShade="BF"/>
            </w:tcBorders>
          </w:tcPr>
          <w:p w14:paraId="6727FD5F" w14:textId="77777777" w:rsidR="0004342B" w:rsidRPr="00E90ADC" w:rsidRDefault="0004342B" w:rsidP="00691179">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04300F2A"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2C27614"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6,355</w:t>
            </w:r>
          </w:p>
        </w:tc>
        <w:tc>
          <w:tcPr>
            <w:tcW w:w="1448" w:type="dxa"/>
            <w:tcBorders>
              <w:left w:val="single" w:sz="4" w:space="0" w:color="BFBFBF" w:themeColor="background1" w:themeShade="BF"/>
              <w:bottom w:val="nil"/>
            </w:tcBorders>
            <w:shd w:val="clear" w:color="auto" w:fill="F2F2F2" w:themeFill="background1" w:themeFillShade="F2"/>
          </w:tcPr>
          <w:p w14:paraId="3938C378"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6,355</w:t>
            </w:r>
          </w:p>
        </w:tc>
      </w:tr>
      <w:tr w:rsidR="0004342B" w:rsidRPr="00E12C03" w14:paraId="4DB2FC15" w14:textId="77777777" w:rsidTr="00691179">
        <w:trPr>
          <w:trHeight w:val="288"/>
        </w:trPr>
        <w:tc>
          <w:tcPr>
            <w:tcW w:w="4320" w:type="dxa"/>
            <w:tcBorders>
              <w:top w:val="nil"/>
              <w:bottom w:val="nil"/>
              <w:right w:val="single" w:sz="4" w:space="0" w:color="BFBFBF" w:themeColor="background1" w:themeShade="BF"/>
            </w:tcBorders>
          </w:tcPr>
          <w:p w14:paraId="5A128008"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color w:val="59595B"/>
                <w:sz w:val="20"/>
                <w:lang w:val="en-GB"/>
              </w:rPr>
              <w:t>Other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12C69896"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67D8789F"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(160)</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6986C8F"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8" w:type="dxa"/>
            <w:tcBorders>
              <w:top w:val="nil"/>
              <w:left w:val="single" w:sz="4" w:space="0" w:color="BFBFBF" w:themeColor="background1" w:themeShade="BF"/>
              <w:bottom w:val="nil"/>
            </w:tcBorders>
            <w:shd w:val="clear" w:color="auto" w:fill="F2F2F2" w:themeFill="background1" w:themeFillShade="F2"/>
          </w:tcPr>
          <w:p w14:paraId="5089B35E"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(160)</w:t>
            </w:r>
          </w:p>
        </w:tc>
      </w:tr>
      <w:tr w:rsidR="0004342B" w:rsidRPr="001905AB" w14:paraId="49F1A153" w14:textId="77777777" w:rsidTr="00691179">
        <w:trPr>
          <w:trHeight w:val="288"/>
        </w:trPr>
        <w:tc>
          <w:tcPr>
            <w:tcW w:w="4320" w:type="dxa"/>
            <w:tcBorders>
              <w:top w:val="nil"/>
              <w:bottom w:val="nil"/>
              <w:right w:val="single" w:sz="4" w:space="0" w:color="BFBFBF" w:themeColor="background1" w:themeShade="BF"/>
            </w:tcBorders>
          </w:tcPr>
          <w:p w14:paraId="667D90C9"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b/>
                <w:color w:val="59595B"/>
                <w:sz w:val="20"/>
                <w:lang w:val="en-GB"/>
              </w:rPr>
              <w:t>Total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7A286315" w14:textId="77777777" w:rsidR="0004342B" w:rsidRPr="00E90ADC" w:rsidRDefault="0004342B" w:rsidP="00691179">
            <w:pPr>
              <w:pStyle w:val="NoSpacing"/>
              <w:rPr>
                <w:rFonts w:asciiTheme="minorHAnsi" w:hAnsiTheme="minorHAnsi"/>
                <w:b/>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A6E0454"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(160)</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69A8F357"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6,355</w:t>
            </w:r>
          </w:p>
        </w:tc>
        <w:tc>
          <w:tcPr>
            <w:tcW w:w="1448" w:type="dxa"/>
            <w:tcBorders>
              <w:top w:val="nil"/>
              <w:left w:val="single" w:sz="4" w:space="0" w:color="BFBFBF" w:themeColor="background1" w:themeShade="BF"/>
              <w:bottom w:val="nil"/>
            </w:tcBorders>
            <w:shd w:val="clear" w:color="auto" w:fill="F2F2F2" w:themeFill="background1" w:themeFillShade="F2"/>
          </w:tcPr>
          <w:p w14:paraId="118C2EF1"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6,195</w:t>
            </w:r>
          </w:p>
        </w:tc>
      </w:tr>
      <w:tr w:rsidR="0004342B" w:rsidRPr="00E12C03" w14:paraId="1E355E25" w14:textId="77777777" w:rsidTr="00691179">
        <w:trPr>
          <w:trHeight w:val="288"/>
        </w:trPr>
        <w:tc>
          <w:tcPr>
            <w:tcW w:w="4320" w:type="dxa"/>
            <w:tcBorders>
              <w:top w:val="nil"/>
              <w:bottom w:val="nil"/>
              <w:right w:val="single" w:sz="4" w:space="0" w:color="BFBFBF" w:themeColor="background1" w:themeShade="BF"/>
            </w:tcBorders>
          </w:tcPr>
          <w:p w14:paraId="55C6DBD2"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color w:val="59595B"/>
                <w:sz w:val="20"/>
                <w:lang w:val="en-GB"/>
              </w:rPr>
              <w:t>Share-based compensation</w:t>
            </w:r>
          </w:p>
        </w:tc>
        <w:tc>
          <w:tcPr>
            <w:tcW w:w="720" w:type="dxa"/>
            <w:tcBorders>
              <w:top w:val="nil"/>
              <w:left w:val="single" w:sz="4" w:space="0" w:color="BFBFBF" w:themeColor="background1" w:themeShade="BF"/>
              <w:bottom w:val="nil"/>
              <w:right w:val="single" w:sz="4" w:space="0" w:color="BFBFBF" w:themeColor="background1" w:themeShade="BF"/>
            </w:tcBorders>
          </w:tcPr>
          <w:p w14:paraId="48EBEBFE"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1DC94DE9"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EBEA6EE"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1,133</w:t>
            </w:r>
          </w:p>
        </w:tc>
        <w:tc>
          <w:tcPr>
            <w:tcW w:w="1448" w:type="dxa"/>
            <w:tcBorders>
              <w:top w:val="nil"/>
              <w:left w:val="single" w:sz="4" w:space="0" w:color="BFBFBF" w:themeColor="background1" w:themeShade="BF"/>
              <w:bottom w:val="nil"/>
            </w:tcBorders>
            <w:shd w:val="clear" w:color="auto" w:fill="F2F2F2" w:themeFill="background1" w:themeFillShade="F2"/>
          </w:tcPr>
          <w:p w14:paraId="0316D6A6"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1,133</w:t>
            </w:r>
          </w:p>
        </w:tc>
      </w:tr>
      <w:tr w:rsidR="0004342B" w:rsidRPr="00E12C03" w14:paraId="4A741B0D" w14:textId="77777777" w:rsidTr="00691179">
        <w:trPr>
          <w:trHeight w:val="288"/>
        </w:trPr>
        <w:tc>
          <w:tcPr>
            <w:tcW w:w="4320" w:type="dxa"/>
            <w:tcBorders>
              <w:top w:val="nil"/>
              <w:bottom w:val="nil"/>
              <w:right w:val="single" w:sz="4" w:space="0" w:color="BFBFBF" w:themeColor="background1" w:themeShade="BF"/>
            </w:tcBorders>
          </w:tcPr>
          <w:p w14:paraId="006981FF"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color w:val="59595B"/>
                <w:sz w:val="20"/>
                <w:lang w:val="en-GB"/>
              </w:rPr>
              <w:t>Bonuses settled in shares</w:t>
            </w:r>
          </w:p>
        </w:tc>
        <w:tc>
          <w:tcPr>
            <w:tcW w:w="720" w:type="dxa"/>
            <w:tcBorders>
              <w:top w:val="nil"/>
              <w:left w:val="single" w:sz="4" w:space="0" w:color="BFBFBF" w:themeColor="background1" w:themeShade="BF"/>
              <w:bottom w:val="nil"/>
              <w:right w:val="single" w:sz="4" w:space="0" w:color="BFBFBF" w:themeColor="background1" w:themeShade="BF"/>
            </w:tcBorders>
          </w:tcPr>
          <w:p w14:paraId="6AACC1DD"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00963E44"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1EDF65AF"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8" w:type="dxa"/>
            <w:tcBorders>
              <w:top w:val="nil"/>
              <w:left w:val="single" w:sz="4" w:space="0" w:color="BFBFBF" w:themeColor="background1" w:themeShade="BF"/>
              <w:bottom w:val="nil"/>
            </w:tcBorders>
            <w:shd w:val="clear" w:color="auto" w:fill="F2F2F2" w:themeFill="background1" w:themeFillShade="F2"/>
          </w:tcPr>
          <w:p w14:paraId="7B4CC024"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364</w:t>
            </w:r>
          </w:p>
        </w:tc>
      </w:tr>
      <w:tr w:rsidR="0004342B" w:rsidRPr="00E12C03" w14:paraId="482C8598" w14:textId="77777777" w:rsidTr="00691179">
        <w:trPr>
          <w:trHeight w:val="288"/>
        </w:trPr>
        <w:tc>
          <w:tcPr>
            <w:tcW w:w="4320" w:type="dxa"/>
            <w:tcBorders>
              <w:top w:val="nil"/>
              <w:bottom w:val="nil"/>
              <w:right w:val="single" w:sz="4" w:space="0" w:color="BFBFBF" w:themeColor="background1" w:themeShade="BF"/>
            </w:tcBorders>
          </w:tcPr>
          <w:p w14:paraId="633EAE97" w14:textId="77777777" w:rsidR="0004342B" w:rsidRPr="00E90ADC" w:rsidRDefault="0004342B" w:rsidP="00691179">
            <w:pPr>
              <w:pStyle w:val="NoSpacing"/>
              <w:rPr>
                <w:rFonts w:asciiTheme="minorHAnsi" w:hAnsiTheme="minorHAnsi"/>
                <w:b/>
                <w:color w:val="59595B"/>
                <w:sz w:val="20"/>
              </w:rPr>
            </w:pPr>
            <w:r w:rsidRPr="00E90ADC">
              <w:rPr>
                <w:rFonts w:asciiTheme="minorHAnsi" w:hAnsiTheme="minorHAnsi"/>
                <w:color w:val="59595B"/>
                <w:sz w:val="20"/>
                <w:lang w:val="en-GB"/>
              </w:rPr>
              <w:t>Shares issued for cash</w:t>
            </w:r>
            <w:r w:rsidRPr="00E90ADC">
              <w:rPr>
                <w:rFonts w:asciiTheme="minorHAnsi" w:hAnsiTheme="minorHAnsi"/>
                <w:color w:val="59595B"/>
                <w:sz w:val="20"/>
              </w:rPr>
              <w:t>/conversion of bonds</w:t>
            </w:r>
          </w:p>
        </w:tc>
        <w:tc>
          <w:tcPr>
            <w:tcW w:w="720" w:type="dxa"/>
            <w:tcBorders>
              <w:top w:val="nil"/>
              <w:left w:val="single" w:sz="4" w:space="0" w:color="BFBFBF" w:themeColor="background1" w:themeShade="BF"/>
              <w:bottom w:val="nil"/>
              <w:right w:val="single" w:sz="4" w:space="0" w:color="BFBFBF" w:themeColor="background1" w:themeShade="BF"/>
            </w:tcBorders>
          </w:tcPr>
          <w:p w14:paraId="76BCD422"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523112A"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6D5658FD"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8" w:type="dxa"/>
            <w:tcBorders>
              <w:top w:val="nil"/>
              <w:left w:val="single" w:sz="4" w:space="0" w:color="BFBFBF" w:themeColor="background1" w:themeShade="BF"/>
              <w:bottom w:val="nil"/>
            </w:tcBorders>
            <w:shd w:val="clear" w:color="auto" w:fill="F2F2F2" w:themeFill="background1" w:themeFillShade="F2"/>
          </w:tcPr>
          <w:p w14:paraId="24A0CEDC"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780</w:t>
            </w:r>
          </w:p>
        </w:tc>
      </w:tr>
      <w:tr w:rsidR="0004342B" w:rsidRPr="00E12C03" w14:paraId="5322E40F" w14:textId="77777777" w:rsidTr="00691179">
        <w:trPr>
          <w:trHeight w:val="288"/>
        </w:trPr>
        <w:tc>
          <w:tcPr>
            <w:tcW w:w="4320" w:type="dxa"/>
            <w:tcBorders>
              <w:top w:val="nil"/>
              <w:bottom w:val="nil"/>
              <w:right w:val="single" w:sz="4" w:space="0" w:color="BFBFBF" w:themeColor="background1" w:themeShade="BF"/>
            </w:tcBorders>
          </w:tcPr>
          <w:p w14:paraId="6F0DF07B" w14:textId="77777777" w:rsidR="0004342B" w:rsidRPr="00E90ADC" w:rsidRDefault="0004342B" w:rsidP="00691179">
            <w:pPr>
              <w:pStyle w:val="NoSpacing"/>
              <w:rPr>
                <w:rFonts w:asciiTheme="minorHAnsi" w:hAnsiTheme="minorHAnsi"/>
                <w:b/>
                <w:color w:val="59595B"/>
                <w:sz w:val="20"/>
              </w:rPr>
            </w:pPr>
            <w:r w:rsidRPr="00E90ADC">
              <w:rPr>
                <w:rFonts w:asciiTheme="minorHAnsi" w:hAnsiTheme="minorHAnsi"/>
                <w:color w:val="59595B"/>
                <w:sz w:val="20"/>
                <w:lang w:val="en-GB"/>
              </w:rPr>
              <w:t>Warrants exercised</w:t>
            </w:r>
            <w:r w:rsidRPr="00E90ADC">
              <w:rPr>
                <w:rFonts w:asciiTheme="minorHAnsi" w:hAnsiTheme="minorHAnsi"/>
                <w:color w:val="59595B"/>
                <w:sz w:val="20"/>
              </w:rPr>
              <w:t>/issued</w:t>
            </w:r>
          </w:p>
        </w:tc>
        <w:tc>
          <w:tcPr>
            <w:tcW w:w="720" w:type="dxa"/>
            <w:tcBorders>
              <w:top w:val="nil"/>
              <w:left w:val="single" w:sz="4" w:space="0" w:color="BFBFBF" w:themeColor="background1" w:themeShade="BF"/>
              <w:bottom w:val="nil"/>
              <w:right w:val="single" w:sz="4" w:space="0" w:color="BFBFBF" w:themeColor="background1" w:themeShade="BF"/>
            </w:tcBorders>
          </w:tcPr>
          <w:p w14:paraId="04CF9DD7"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BE6FE06"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7ABF981"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8" w:type="dxa"/>
            <w:tcBorders>
              <w:top w:val="nil"/>
              <w:left w:val="single" w:sz="4" w:space="0" w:color="BFBFBF" w:themeColor="background1" w:themeShade="BF"/>
              <w:bottom w:val="nil"/>
            </w:tcBorders>
            <w:shd w:val="clear" w:color="auto" w:fill="F2F2F2" w:themeFill="background1" w:themeFillShade="F2"/>
          </w:tcPr>
          <w:p w14:paraId="7B8FB515"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3,829</w:t>
            </w:r>
          </w:p>
        </w:tc>
      </w:tr>
      <w:tr w:rsidR="0004342B" w:rsidRPr="00E12C03" w14:paraId="1BD7038D" w14:textId="77777777" w:rsidTr="00691179">
        <w:trPr>
          <w:trHeight w:val="288"/>
        </w:trPr>
        <w:tc>
          <w:tcPr>
            <w:tcW w:w="4320" w:type="dxa"/>
            <w:tcBorders>
              <w:top w:val="nil"/>
              <w:bottom w:val="nil"/>
              <w:right w:val="single" w:sz="4" w:space="0" w:color="BFBFBF" w:themeColor="background1" w:themeShade="BF"/>
            </w:tcBorders>
          </w:tcPr>
          <w:p w14:paraId="7C93EFFB" w14:textId="77777777" w:rsidR="0004342B" w:rsidRPr="00E90ADC" w:rsidRDefault="0004342B" w:rsidP="00691179">
            <w:pPr>
              <w:pStyle w:val="NoSpacing"/>
              <w:rPr>
                <w:rFonts w:asciiTheme="minorHAnsi" w:hAnsiTheme="minorHAnsi"/>
                <w:color w:val="59595B"/>
                <w:sz w:val="20"/>
                <w:lang w:val="en-GB"/>
              </w:rPr>
            </w:pPr>
            <w:r w:rsidRPr="00E90ADC">
              <w:rPr>
                <w:rFonts w:asciiTheme="minorHAnsi" w:hAnsiTheme="minorHAnsi"/>
                <w:color w:val="59595B"/>
                <w:sz w:val="20"/>
                <w:lang w:val="en-GB"/>
              </w:rPr>
              <w:t>Options exercised</w:t>
            </w:r>
          </w:p>
        </w:tc>
        <w:tc>
          <w:tcPr>
            <w:tcW w:w="720" w:type="dxa"/>
            <w:tcBorders>
              <w:top w:val="nil"/>
              <w:left w:val="single" w:sz="4" w:space="0" w:color="BFBFBF" w:themeColor="background1" w:themeShade="BF"/>
              <w:bottom w:val="nil"/>
              <w:right w:val="single" w:sz="4" w:space="0" w:color="BFBFBF" w:themeColor="background1" w:themeShade="BF"/>
            </w:tcBorders>
          </w:tcPr>
          <w:p w14:paraId="526A7CE6" w14:textId="77777777" w:rsidR="0004342B" w:rsidRPr="00E90ADC" w:rsidRDefault="0004342B" w:rsidP="00691179">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A466230"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931B516"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(3,319)</w:t>
            </w:r>
          </w:p>
        </w:tc>
        <w:tc>
          <w:tcPr>
            <w:tcW w:w="1448" w:type="dxa"/>
            <w:tcBorders>
              <w:top w:val="nil"/>
              <w:left w:val="single" w:sz="4" w:space="0" w:color="BFBFBF" w:themeColor="background1" w:themeShade="BF"/>
              <w:bottom w:val="nil"/>
            </w:tcBorders>
            <w:shd w:val="clear" w:color="auto" w:fill="F2F2F2" w:themeFill="background1" w:themeFillShade="F2"/>
          </w:tcPr>
          <w:p w14:paraId="62FCEB2D" w14:textId="77777777" w:rsidR="0004342B" w:rsidRPr="00E90ADC" w:rsidRDefault="0004342B" w:rsidP="00691179">
            <w:pPr>
              <w:pStyle w:val="NoSpacing"/>
              <w:jc w:val="right"/>
              <w:rPr>
                <w:rFonts w:asciiTheme="minorHAnsi" w:hAnsiTheme="minorHAnsi"/>
                <w:color w:val="59595B"/>
                <w:sz w:val="20"/>
                <w:szCs w:val="20"/>
              </w:rPr>
            </w:pPr>
            <w:r w:rsidRPr="00E90ADC">
              <w:rPr>
                <w:rFonts w:asciiTheme="minorHAnsi" w:hAnsiTheme="minorHAnsi"/>
                <w:color w:val="59595B"/>
                <w:sz w:val="20"/>
                <w:szCs w:val="20"/>
              </w:rPr>
              <w:t>9,562</w:t>
            </w:r>
          </w:p>
        </w:tc>
      </w:tr>
      <w:tr w:rsidR="0004342B" w:rsidRPr="001905AB" w14:paraId="06F13C53" w14:textId="77777777" w:rsidTr="00691179">
        <w:trPr>
          <w:trHeight w:val="288"/>
        </w:trPr>
        <w:tc>
          <w:tcPr>
            <w:tcW w:w="4320" w:type="dxa"/>
            <w:tcBorders>
              <w:top w:val="nil"/>
              <w:bottom w:val="nil"/>
              <w:right w:val="single" w:sz="4" w:space="0" w:color="BFBFBF" w:themeColor="background1" w:themeShade="BF"/>
            </w:tcBorders>
          </w:tcPr>
          <w:p w14:paraId="22B008C6"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b/>
                <w:color w:val="59595B"/>
                <w:sz w:val="20"/>
                <w:lang w:val="en-GB"/>
              </w:rPr>
              <w:t xml:space="preserve">Total transactions with owners, </w:t>
            </w:r>
          </w:p>
          <w:p w14:paraId="564D5185" w14:textId="77777777" w:rsidR="0004342B" w:rsidRPr="00E90ADC" w:rsidRDefault="0004342B" w:rsidP="00691179">
            <w:pPr>
              <w:pStyle w:val="NoSpacing"/>
              <w:rPr>
                <w:rFonts w:asciiTheme="minorHAnsi" w:hAnsiTheme="minorHAnsi"/>
                <w:b/>
                <w:color w:val="59595B"/>
                <w:sz w:val="20"/>
                <w:lang w:val="en-GB"/>
              </w:rPr>
            </w:pPr>
            <w:r w:rsidRPr="00E90ADC">
              <w:rPr>
                <w:rFonts w:asciiTheme="minorHAnsi" w:hAnsiTheme="minorHAnsi"/>
                <w:b/>
                <w:color w:val="59595B"/>
                <w:sz w:val="20"/>
                <w:lang w:val="en-GB"/>
              </w:rPr>
              <w:t>recognized directly in equity</w:t>
            </w:r>
          </w:p>
        </w:tc>
        <w:tc>
          <w:tcPr>
            <w:tcW w:w="720" w:type="dxa"/>
            <w:tcBorders>
              <w:top w:val="nil"/>
              <w:left w:val="single" w:sz="4" w:space="0" w:color="BFBFBF" w:themeColor="background1" w:themeShade="BF"/>
              <w:bottom w:val="nil"/>
              <w:right w:val="single" w:sz="4" w:space="0" w:color="BFBFBF" w:themeColor="background1" w:themeShade="BF"/>
            </w:tcBorders>
          </w:tcPr>
          <w:p w14:paraId="6F3D40FE" w14:textId="77777777" w:rsidR="0004342B" w:rsidRPr="00E90ADC" w:rsidRDefault="0004342B" w:rsidP="00691179">
            <w:pPr>
              <w:pStyle w:val="NoSpacing"/>
              <w:rPr>
                <w:rFonts w:asciiTheme="minorHAnsi" w:hAnsiTheme="minorHAnsi" w:cs="Arial"/>
                <w:b/>
                <w:color w:val="59595B"/>
                <w:sz w:val="18"/>
                <w:lang w:val="en-GB"/>
              </w:rPr>
            </w:pPr>
          </w:p>
          <w:p w14:paraId="1BF33CC6" w14:textId="77777777" w:rsidR="0004342B" w:rsidRPr="00E90ADC" w:rsidRDefault="0004342B" w:rsidP="00691179">
            <w:pPr>
              <w:pStyle w:val="NoSpacing"/>
              <w:rPr>
                <w:rFonts w:asciiTheme="minorHAnsi" w:hAnsiTheme="minorHAnsi"/>
                <w:b/>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D6F2C01" w14:textId="77777777" w:rsidR="0004342B" w:rsidRPr="00E90ADC" w:rsidRDefault="0004342B" w:rsidP="00691179">
            <w:pPr>
              <w:pStyle w:val="NoSpacing"/>
              <w:jc w:val="right"/>
              <w:rPr>
                <w:rFonts w:asciiTheme="minorHAnsi" w:hAnsiTheme="minorHAnsi"/>
                <w:b/>
                <w:color w:val="59595B"/>
                <w:sz w:val="20"/>
                <w:szCs w:val="20"/>
                <w:lang w:val="en-GB"/>
              </w:rPr>
            </w:pPr>
          </w:p>
          <w:p w14:paraId="0CF8056C"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w:t>
            </w:r>
          </w:p>
          <w:p w14:paraId="21F4B8A8" w14:textId="77777777" w:rsidR="0004342B" w:rsidRPr="00E90ADC" w:rsidRDefault="0004342B" w:rsidP="00691179">
            <w:pPr>
              <w:pStyle w:val="NoSpacing"/>
              <w:jc w:val="right"/>
              <w:rPr>
                <w:rFonts w:asciiTheme="minorHAnsi" w:hAnsiTheme="minorHAnsi"/>
                <w:b/>
                <w:color w:val="59595B"/>
                <w:sz w:val="20"/>
                <w:szCs w:val="20"/>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45CD641" w14:textId="77777777" w:rsidR="0004342B" w:rsidRPr="00E90ADC" w:rsidRDefault="0004342B" w:rsidP="00691179">
            <w:pPr>
              <w:pStyle w:val="NoSpacing"/>
              <w:jc w:val="right"/>
              <w:rPr>
                <w:rFonts w:asciiTheme="minorHAnsi" w:hAnsiTheme="minorHAnsi"/>
                <w:b/>
                <w:color w:val="59595B"/>
                <w:sz w:val="20"/>
                <w:szCs w:val="20"/>
                <w:lang w:val="en-GB"/>
              </w:rPr>
            </w:pPr>
          </w:p>
          <w:p w14:paraId="3894518F"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(2,186)</w:t>
            </w:r>
          </w:p>
        </w:tc>
        <w:tc>
          <w:tcPr>
            <w:tcW w:w="1448" w:type="dxa"/>
            <w:tcBorders>
              <w:top w:val="nil"/>
              <w:left w:val="single" w:sz="4" w:space="0" w:color="BFBFBF" w:themeColor="background1" w:themeShade="BF"/>
              <w:bottom w:val="nil"/>
            </w:tcBorders>
            <w:shd w:val="clear" w:color="auto" w:fill="F2F2F2" w:themeFill="background1" w:themeFillShade="F2"/>
          </w:tcPr>
          <w:p w14:paraId="2D099B8A" w14:textId="77777777" w:rsidR="0004342B" w:rsidRPr="00E90ADC" w:rsidRDefault="0004342B" w:rsidP="00691179">
            <w:pPr>
              <w:pStyle w:val="NoSpacing"/>
              <w:jc w:val="right"/>
              <w:rPr>
                <w:rFonts w:asciiTheme="minorHAnsi" w:hAnsiTheme="minorHAnsi"/>
                <w:b/>
                <w:color w:val="59595B"/>
                <w:sz w:val="20"/>
                <w:szCs w:val="20"/>
                <w:lang w:val="en-GB"/>
              </w:rPr>
            </w:pPr>
          </w:p>
          <w:p w14:paraId="64A0C6A3" w14:textId="77777777" w:rsidR="0004342B" w:rsidRPr="00E90ADC" w:rsidRDefault="0004342B" w:rsidP="00691179">
            <w:pPr>
              <w:pStyle w:val="NoSpacing"/>
              <w:jc w:val="right"/>
              <w:rPr>
                <w:rFonts w:asciiTheme="minorHAnsi" w:hAnsiTheme="minorHAnsi"/>
                <w:b/>
                <w:color w:val="59595B"/>
                <w:sz w:val="20"/>
                <w:szCs w:val="20"/>
              </w:rPr>
            </w:pPr>
            <w:r w:rsidRPr="00E90ADC">
              <w:rPr>
                <w:rFonts w:asciiTheme="minorHAnsi" w:hAnsiTheme="minorHAnsi"/>
                <w:b/>
                <w:color w:val="59595B"/>
                <w:sz w:val="20"/>
                <w:szCs w:val="20"/>
              </w:rPr>
              <w:t>15,66</w:t>
            </w:r>
            <w:r>
              <w:rPr>
                <w:rFonts w:asciiTheme="minorHAnsi" w:hAnsiTheme="minorHAnsi"/>
                <w:b/>
                <w:color w:val="59595B"/>
                <w:sz w:val="20"/>
                <w:szCs w:val="20"/>
              </w:rPr>
              <w:t>8</w:t>
            </w:r>
          </w:p>
        </w:tc>
      </w:tr>
      <w:tr w:rsidR="0004342B" w:rsidRPr="00E12C03" w14:paraId="37F14230" w14:textId="77777777" w:rsidTr="00691179">
        <w:trPr>
          <w:trHeight w:val="288"/>
        </w:trPr>
        <w:tc>
          <w:tcPr>
            <w:tcW w:w="4320" w:type="dxa"/>
            <w:tcBorders>
              <w:top w:val="nil"/>
              <w:bottom w:val="single" w:sz="4" w:space="0" w:color="BFBFBF" w:themeColor="background1" w:themeShade="BF"/>
              <w:right w:val="single" w:sz="4" w:space="0" w:color="BFBFBF" w:themeColor="background1" w:themeShade="BF"/>
            </w:tcBorders>
          </w:tcPr>
          <w:p w14:paraId="6FA3FF36" w14:textId="77777777" w:rsidR="0004342B" w:rsidRPr="00E90ADC" w:rsidRDefault="0004342B" w:rsidP="00691179">
            <w:pPr>
              <w:pStyle w:val="NoSpacing"/>
              <w:rPr>
                <w:rFonts w:asciiTheme="minorHAnsi" w:hAnsiTheme="minorHAnsi"/>
                <w:color w:val="59595B"/>
                <w:sz w:val="20"/>
                <w:lang w:val="en-GB"/>
              </w:rPr>
            </w:pPr>
          </w:p>
        </w:tc>
        <w:tc>
          <w:tcPr>
            <w:tcW w:w="7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182AA44" w14:textId="77777777" w:rsidR="0004342B" w:rsidRPr="00E90ADC" w:rsidRDefault="0004342B" w:rsidP="00691179">
            <w:pPr>
              <w:pStyle w:val="NoSpacing"/>
              <w:rPr>
                <w:rFonts w:asciiTheme="minorHAnsi" w:hAnsiTheme="minorHAnsi" w:cs="Arial"/>
                <w:color w:val="59595B"/>
                <w:sz w:val="18"/>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CCA98B2" w14:textId="77777777" w:rsidR="0004342B" w:rsidRPr="00E90ADC" w:rsidRDefault="0004342B" w:rsidP="00691179">
            <w:pPr>
              <w:pStyle w:val="NoSpacing"/>
              <w:jc w:val="right"/>
              <w:rPr>
                <w:rFonts w:asciiTheme="minorHAnsi" w:hAnsiTheme="minorHAnsi"/>
                <w:color w:val="59595B"/>
                <w:sz w:val="20"/>
                <w:szCs w:val="20"/>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509BA9" w14:textId="77777777" w:rsidR="0004342B" w:rsidRPr="00E90ADC" w:rsidRDefault="0004342B" w:rsidP="00691179">
            <w:pPr>
              <w:pStyle w:val="NoSpacing"/>
              <w:jc w:val="right"/>
              <w:rPr>
                <w:rFonts w:asciiTheme="minorHAnsi" w:hAnsiTheme="minorHAnsi"/>
                <w:color w:val="59595B"/>
                <w:sz w:val="20"/>
                <w:szCs w:val="20"/>
                <w:lang w:val="en-GB"/>
              </w:rPr>
            </w:pPr>
          </w:p>
        </w:tc>
        <w:tc>
          <w:tcPr>
            <w:tcW w:w="1448" w:type="dxa"/>
            <w:tcBorders>
              <w:top w:val="nil"/>
              <w:left w:val="single" w:sz="4" w:space="0" w:color="BFBFBF" w:themeColor="background1" w:themeShade="BF"/>
              <w:bottom w:val="single" w:sz="4" w:space="0" w:color="BFBFBF" w:themeColor="background1" w:themeShade="BF"/>
            </w:tcBorders>
            <w:shd w:val="clear" w:color="auto" w:fill="F2F2F2" w:themeFill="background1" w:themeFillShade="F2"/>
          </w:tcPr>
          <w:p w14:paraId="5670942C" w14:textId="77777777" w:rsidR="0004342B" w:rsidRPr="00E90ADC" w:rsidRDefault="0004342B" w:rsidP="00691179">
            <w:pPr>
              <w:pStyle w:val="NoSpacing"/>
              <w:jc w:val="right"/>
              <w:rPr>
                <w:rFonts w:asciiTheme="minorHAnsi" w:hAnsiTheme="minorHAnsi"/>
                <w:color w:val="59595B"/>
                <w:sz w:val="20"/>
                <w:szCs w:val="20"/>
                <w:lang w:val="en-GB"/>
              </w:rPr>
            </w:pPr>
          </w:p>
        </w:tc>
      </w:tr>
      <w:tr w:rsidR="0004342B" w:rsidRPr="001905AB" w14:paraId="0D1B9357" w14:textId="77777777" w:rsidTr="00691179">
        <w:trPr>
          <w:trHeight w:val="288"/>
        </w:trPr>
        <w:tc>
          <w:tcPr>
            <w:tcW w:w="4320" w:type="dxa"/>
            <w:tcBorders>
              <w:top w:val="single" w:sz="4" w:space="0" w:color="BFBFBF" w:themeColor="background1" w:themeShade="BF"/>
              <w:right w:val="single" w:sz="4" w:space="0" w:color="BFBFBF" w:themeColor="background1" w:themeShade="BF"/>
            </w:tcBorders>
          </w:tcPr>
          <w:p w14:paraId="3D84FBFC" w14:textId="77777777" w:rsidR="0004342B" w:rsidRPr="00E90ADC" w:rsidRDefault="0004342B" w:rsidP="00691179">
            <w:pPr>
              <w:pStyle w:val="NoSpacing"/>
              <w:rPr>
                <w:rFonts w:asciiTheme="minorHAnsi" w:hAnsiTheme="minorHAnsi"/>
                <w:b/>
                <w:color w:val="0070C0"/>
                <w:sz w:val="20"/>
              </w:rPr>
            </w:pPr>
            <w:r w:rsidRPr="00E90ADC">
              <w:rPr>
                <w:rFonts w:asciiTheme="minorHAnsi" w:eastAsiaTheme="minorEastAsia" w:hAnsiTheme="minorHAnsi" w:cs="Arial"/>
                <w:b/>
                <w:bCs/>
                <w:color w:val="0070C0"/>
                <w:sz w:val="20"/>
                <w:lang w:val="en-GB"/>
              </w:rPr>
              <w:t>Balance at 30 June 201</w:t>
            </w:r>
            <w:r w:rsidRPr="00E90ADC">
              <w:rPr>
                <w:rFonts w:asciiTheme="minorHAnsi" w:eastAsiaTheme="minorEastAsia" w:hAnsiTheme="minorHAnsi" w:cs="Arial"/>
                <w:b/>
                <w:bCs/>
                <w:color w:val="0070C0"/>
                <w:sz w:val="20"/>
              </w:rPr>
              <w:t>8</w:t>
            </w:r>
          </w:p>
        </w:tc>
        <w:tc>
          <w:tcPr>
            <w:tcW w:w="7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31C3D681" w14:textId="77777777" w:rsidR="0004342B" w:rsidRPr="00E90ADC" w:rsidRDefault="0004342B" w:rsidP="00691179">
            <w:pPr>
              <w:pStyle w:val="NoSpacing"/>
              <w:rPr>
                <w:rFonts w:asciiTheme="minorHAnsi" w:hAnsiTheme="minorHAnsi"/>
                <w:b/>
                <w:color w:val="0070C0"/>
                <w:lang w:val="en-GB"/>
              </w:rPr>
            </w:pPr>
          </w:p>
        </w:tc>
        <w:tc>
          <w:tcPr>
            <w:tcW w:w="144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108D22E" w14:textId="77777777" w:rsidR="0004342B" w:rsidRPr="00E90ADC" w:rsidRDefault="0004342B" w:rsidP="00691179">
            <w:pPr>
              <w:pStyle w:val="NoSpacing"/>
              <w:jc w:val="right"/>
              <w:rPr>
                <w:rFonts w:asciiTheme="minorHAnsi" w:hAnsiTheme="minorHAnsi"/>
                <w:b/>
                <w:color w:val="0070C0"/>
                <w:sz w:val="20"/>
                <w:szCs w:val="20"/>
              </w:rPr>
            </w:pPr>
            <w:r w:rsidRPr="00E90ADC">
              <w:rPr>
                <w:rFonts w:asciiTheme="minorHAnsi" w:hAnsiTheme="minorHAnsi"/>
                <w:b/>
                <w:color w:val="0070C0"/>
                <w:sz w:val="20"/>
                <w:szCs w:val="20"/>
              </w:rPr>
              <w:t>(1,098)</w:t>
            </w:r>
          </w:p>
        </w:tc>
        <w:tc>
          <w:tcPr>
            <w:tcW w:w="144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0A73F4D9" w14:textId="77777777" w:rsidR="0004342B" w:rsidRPr="00E90ADC" w:rsidRDefault="0004342B" w:rsidP="00691179">
            <w:pPr>
              <w:pStyle w:val="NoSpacing"/>
              <w:jc w:val="right"/>
              <w:rPr>
                <w:rFonts w:asciiTheme="minorHAnsi" w:hAnsiTheme="minorHAnsi"/>
                <w:b/>
                <w:color w:val="0070C0"/>
                <w:sz w:val="20"/>
                <w:szCs w:val="20"/>
              </w:rPr>
            </w:pPr>
            <w:r w:rsidRPr="00E90ADC">
              <w:rPr>
                <w:rFonts w:asciiTheme="minorHAnsi" w:hAnsiTheme="minorHAnsi"/>
                <w:b/>
                <w:color w:val="0070C0"/>
                <w:sz w:val="20"/>
                <w:szCs w:val="20"/>
              </w:rPr>
              <w:t>(352,101)</w:t>
            </w:r>
          </w:p>
        </w:tc>
        <w:tc>
          <w:tcPr>
            <w:tcW w:w="1448" w:type="dxa"/>
            <w:tcBorders>
              <w:top w:val="single" w:sz="4" w:space="0" w:color="BFBFBF" w:themeColor="background1" w:themeShade="BF"/>
              <w:left w:val="single" w:sz="4" w:space="0" w:color="BFBFBF" w:themeColor="background1" w:themeShade="BF"/>
              <w:bottom w:val="nil"/>
            </w:tcBorders>
            <w:shd w:val="clear" w:color="auto" w:fill="F2F2F2" w:themeFill="background1" w:themeFillShade="F2"/>
          </w:tcPr>
          <w:p w14:paraId="1D84DCE9" w14:textId="77777777" w:rsidR="0004342B" w:rsidRPr="00E90ADC" w:rsidRDefault="0004342B" w:rsidP="00691179">
            <w:pPr>
              <w:pStyle w:val="NoSpacing"/>
              <w:jc w:val="right"/>
              <w:rPr>
                <w:rFonts w:asciiTheme="minorHAnsi" w:hAnsiTheme="minorHAnsi"/>
                <w:b/>
                <w:color w:val="0070C0"/>
                <w:sz w:val="20"/>
                <w:szCs w:val="20"/>
              </w:rPr>
            </w:pPr>
            <w:r w:rsidRPr="00D069D3">
              <w:rPr>
                <w:rFonts w:asciiTheme="minorHAnsi" w:hAnsiTheme="minorHAnsi"/>
                <w:b/>
                <w:color w:val="0070C0"/>
                <w:sz w:val="20"/>
                <w:szCs w:val="20"/>
              </w:rPr>
              <w:t>40,665</w:t>
            </w:r>
          </w:p>
        </w:tc>
      </w:tr>
    </w:tbl>
    <w:p w14:paraId="75F02906" w14:textId="77777777" w:rsidR="0004342B" w:rsidRPr="00A96D90" w:rsidRDefault="0004342B" w:rsidP="0004342B">
      <w:pPr>
        <w:pStyle w:val="NoSpacing"/>
        <w:ind w:right="144"/>
        <w:rPr>
          <w:rFonts w:cs="Arial"/>
          <w:bCs/>
          <w:i/>
          <w:lang w:val="en-GB"/>
        </w:rPr>
      </w:pPr>
    </w:p>
    <w:p w14:paraId="1962C2C5" w14:textId="77777777" w:rsidR="0004342B" w:rsidRPr="00A96D90" w:rsidRDefault="0004342B" w:rsidP="0004342B">
      <w:pPr>
        <w:jc w:val="left"/>
        <w:rPr>
          <w:rFonts w:ascii="Calibri" w:eastAsia="Calibri" w:hAnsi="Calibri" w:cs="Arial"/>
          <w:bCs/>
          <w:i/>
          <w:color w:val="auto"/>
          <w:szCs w:val="22"/>
          <w:lang w:val="en-GB"/>
        </w:rPr>
      </w:pPr>
      <w:r w:rsidRPr="00A96D90">
        <w:rPr>
          <w:rFonts w:cs="Arial"/>
          <w:bCs/>
          <w:i/>
          <w:lang w:val="en-GB"/>
        </w:rPr>
        <w:br w:type="page"/>
      </w:r>
    </w:p>
    <w:p w14:paraId="7CD6AF24" w14:textId="77777777" w:rsidR="0004342B" w:rsidRPr="00A96D90" w:rsidRDefault="0004342B" w:rsidP="0004342B">
      <w:pPr>
        <w:rPr>
          <w:rFonts w:cstheme="minorHAnsi"/>
          <w:b/>
          <w:color w:val="276E8B" w:themeColor="accent1" w:themeShade="BF"/>
          <w:szCs w:val="22"/>
          <w:lang w:val="en-GB"/>
        </w:rPr>
      </w:pPr>
      <w:r w:rsidRPr="00A96D90">
        <w:rPr>
          <w:rFonts w:ascii="Calibri Light" w:eastAsiaTheme="majorEastAsia" w:hAnsi="Calibri Light" w:cstheme="majorBidi"/>
          <w:b/>
          <w:color w:val="59595B"/>
          <w:sz w:val="24"/>
          <w:szCs w:val="28"/>
          <w:lang w:val="en-GB" w:eastAsia="zh-CN"/>
        </w:rPr>
        <w:lastRenderedPageBreak/>
        <w:t>Notes to the Consolidated Interim Financial Statements</w:t>
      </w:r>
    </w:p>
    <w:p w14:paraId="530A0564" w14:textId="77777777" w:rsidR="0004342B" w:rsidRPr="00A96D90" w:rsidRDefault="0004342B" w:rsidP="0004342B">
      <w:pPr>
        <w:pStyle w:val="NoSpacing"/>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427DBD59" w14:textId="77777777" w:rsidR="0004342B" w:rsidRPr="00A96D90" w:rsidRDefault="0004342B" w:rsidP="0004342B">
      <w:pPr>
        <w:autoSpaceDE w:val="0"/>
        <w:autoSpaceDN w:val="0"/>
        <w:adjustRightInd w:val="0"/>
        <w:rPr>
          <w:rFonts w:cstheme="minorHAnsi"/>
          <w:color w:val="003F6A"/>
          <w:szCs w:val="22"/>
          <w:lang w:val="en-GB"/>
        </w:rPr>
      </w:pPr>
    </w:p>
    <w:p w14:paraId="6CD5C803" w14:textId="77777777" w:rsidR="0004342B" w:rsidRPr="00A96D90" w:rsidRDefault="0004342B" w:rsidP="0004342B">
      <w:pPr>
        <w:autoSpaceDE w:val="0"/>
        <w:autoSpaceDN w:val="0"/>
        <w:adjustRightInd w:val="0"/>
        <w:rPr>
          <w:rFonts w:cstheme="minorHAnsi"/>
          <w:color w:val="003F6A"/>
          <w:szCs w:val="22"/>
          <w:lang w:val="en-GB"/>
        </w:rPr>
      </w:pPr>
    </w:p>
    <w:p w14:paraId="6066FC45" w14:textId="77777777" w:rsidR="0004342B" w:rsidRPr="00A96D90" w:rsidRDefault="0004342B" w:rsidP="0004342B">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Company information</w:t>
      </w:r>
    </w:p>
    <w:p w14:paraId="69E8D388" w14:textId="77777777" w:rsidR="0004342B" w:rsidRPr="00A96D90" w:rsidRDefault="0004342B" w:rsidP="0004342B">
      <w:pPr>
        <w:pStyle w:val="AL"/>
        <w:spacing w:after="120"/>
        <w:rPr>
          <w:rFonts w:asciiTheme="minorHAnsi" w:hAnsiTheme="minorHAnsi" w:cstheme="minorHAnsi"/>
          <w:color w:val="59595B"/>
          <w:szCs w:val="20"/>
        </w:rPr>
      </w:pPr>
      <w:r w:rsidRPr="00A96D90">
        <w:rPr>
          <w:rFonts w:asciiTheme="minorHAnsi" w:hAnsiTheme="minorHAnsi" w:cstheme="minorHAnsi"/>
          <w:color w:val="59595B"/>
          <w:szCs w:val="20"/>
        </w:rPr>
        <w:t>Pharming Group N.V. is a limited liability public company which is listed on Euronext Amsterdam (PHARM), with its headquarters and registered office located at:</w:t>
      </w:r>
    </w:p>
    <w:p w14:paraId="2407FAE6" w14:textId="77777777" w:rsidR="0004342B" w:rsidRPr="00A96D90" w:rsidRDefault="0004342B" w:rsidP="0004342B">
      <w:pPr>
        <w:pStyle w:val="AL"/>
        <w:rPr>
          <w:rFonts w:asciiTheme="minorHAnsi" w:hAnsiTheme="minorHAnsi" w:cstheme="minorHAnsi"/>
          <w:color w:val="59595B"/>
          <w:szCs w:val="20"/>
        </w:rPr>
      </w:pPr>
      <w:r w:rsidRPr="00A96D90">
        <w:rPr>
          <w:rFonts w:asciiTheme="minorHAnsi" w:hAnsiTheme="minorHAnsi" w:cstheme="minorHAnsi"/>
          <w:color w:val="59595B"/>
          <w:szCs w:val="20"/>
        </w:rPr>
        <w:t>Darwinweg 24</w:t>
      </w:r>
    </w:p>
    <w:p w14:paraId="61311202" w14:textId="77777777" w:rsidR="0004342B" w:rsidRPr="00A96D90" w:rsidRDefault="0004342B" w:rsidP="0004342B">
      <w:pPr>
        <w:pStyle w:val="AL"/>
        <w:rPr>
          <w:rFonts w:asciiTheme="minorHAnsi" w:hAnsiTheme="minorHAnsi" w:cstheme="minorHAnsi"/>
          <w:color w:val="59595B"/>
          <w:szCs w:val="20"/>
        </w:rPr>
      </w:pPr>
      <w:r w:rsidRPr="00A96D90">
        <w:rPr>
          <w:rFonts w:asciiTheme="minorHAnsi" w:hAnsiTheme="minorHAnsi" w:cstheme="minorHAnsi"/>
          <w:color w:val="59595B"/>
          <w:szCs w:val="20"/>
        </w:rPr>
        <w:t>2333 CR Leiden</w:t>
      </w:r>
    </w:p>
    <w:p w14:paraId="328CC95E" w14:textId="77777777" w:rsidR="0004342B" w:rsidRPr="00A96D90" w:rsidRDefault="0004342B" w:rsidP="0004342B">
      <w:pPr>
        <w:pStyle w:val="AL"/>
        <w:rPr>
          <w:rFonts w:asciiTheme="minorHAnsi" w:hAnsiTheme="minorHAnsi" w:cstheme="minorHAnsi"/>
          <w:color w:val="59595B"/>
          <w:szCs w:val="20"/>
        </w:rPr>
      </w:pPr>
      <w:r w:rsidRPr="00A96D90">
        <w:rPr>
          <w:rFonts w:asciiTheme="minorHAnsi" w:hAnsiTheme="minorHAnsi" w:cstheme="minorHAnsi"/>
          <w:color w:val="59595B"/>
          <w:szCs w:val="20"/>
        </w:rPr>
        <w:t>The Netherlands</w:t>
      </w:r>
    </w:p>
    <w:p w14:paraId="5E15F18A"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Basis of preparation</w:t>
      </w:r>
    </w:p>
    <w:p w14:paraId="0AE02589" w14:textId="77777777" w:rsidR="0004342B" w:rsidRPr="00A96D90" w:rsidRDefault="0004342B" w:rsidP="0004342B">
      <w:pPr>
        <w:pStyle w:val="AL"/>
        <w:rPr>
          <w:rFonts w:asciiTheme="minorHAnsi" w:hAnsiTheme="minorHAnsi" w:cstheme="minorHAnsi"/>
          <w:color w:val="59595B"/>
          <w:szCs w:val="20"/>
        </w:rPr>
      </w:pPr>
      <w:r w:rsidRPr="00A96D90">
        <w:rPr>
          <w:rFonts w:asciiTheme="minorHAnsi" w:hAnsiTheme="minorHAnsi" w:cstheme="minorHAnsi"/>
          <w:color w:val="59595B"/>
          <w:szCs w:val="20"/>
        </w:rPr>
        <w:t>The consolidated interim financial statements for the six-month ended 30 June 201</w:t>
      </w:r>
      <w:r>
        <w:rPr>
          <w:rFonts w:asciiTheme="minorHAnsi" w:hAnsiTheme="minorHAnsi" w:cstheme="minorHAnsi"/>
          <w:color w:val="59595B"/>
          <w:szCs w:val="20"/>
        </w:rPr>
        <w:t>8</w:t>
      </w:r>
      <w:r w:rsidRPr="00A96D90">
        <w:rPr>
          <w:rFonts w:asciiTheme="minorHAnsi" w:hAnsiTheme="minorHAnsi" w:cstheme="minorHAnsi"/>
          <w:color w:val="59595B"/>
          <w:szCs w:val="20"/>
        </w:rPr>
        <w:t xml:space="preserve"> have been prepared in accordance with IAS 34, ‘Interim financial reporting’. The condensed interim financial statements should be read in conjunction with the annual financial statements for the year ended 31 December 201</w:t>
      </w:r>
      <w:r>
        <w:rPr>
          <w:rFonts w:asciiTheme="minorHAnsi" w:hAnsiTheme="minorHAnsi" w:cstheme="minorHAnsi"/>
          <w:color w:val="59595B"/>
          <w:szCs w:val="20"/>
        </w:rPr>
        <w:t>7</w:t>
      </w:r>
      <w:r w:rsidRPr="00A96D90">
        <w:rPr>
          <w:rFonts w:asciiTheme="minorHAnsi" w:hAnsiTheme="minorHAnsi" w:cstheme="minorHAnsi"/>
          <w:color w:val="59595B"/>
          <w:szCs w:val="20"/>
        </w:rPr>
        <w:t>, which have been prepared in accordance with International Financial Reporting Standards (IFRS) and IFRS Interpretations Committee (IFRS IC) interpretations applicable to companies reporting under IFRS as adopted by the European Union and valid as of the balance sheet date.</w:t>
      </w:r>
    </w:p>
    <w:p w14:paraId="540CA98C"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Accounting policies</w:t>
      </w:r>
    </w:p>
    <w:p w14:paraId="04D14338" w14:textId="77777777" w:rsidR="0004342B" w:rsidRPr="00182B93" w:rsidRDefault="0004342B" w:rsidP="0004342B">
      <w:pPr>
        <w:autoSpaceDE w:val="0"/>
        <w:autoSpaceDN w:val="0"/>
        <w:adjustRightInd w:val="0"/>
        <w:rPr>
          <w:rFonts w:asciiTheme="majorHAnsi" w:hAnsiTheme="majorHAnsi" w:cstheme="majorHAnsi"/>
          <w:color w:val="59595B"/>
          <w:szCs w:val="20"/>
        </w:rPr>
      </w:pPr>
      <w:r w:rsidRPr="003814CF">
        <w:rPr>
          <w:rFonts w:asciiTheme="majorHAnsi" w:hAnsiTheme="majorHAnsi" w:cstheme="majorHAnsi"/>
          <w:color w:val="59595B"/>
          <w:szCs w:val="20"/>
        </w:rPr>
        <w:t>The Company has adopted the new IFRS 15 – Revenue from contracts with customers - as at January 1, 2018. The adoption of this new standard has no material impact on these interim financial statements. The Company also adopted the new IFRS 9 – Financial instruments – as at January 1, 2018. The adoption of this new standard has no material impact on these interim financial statements. Other accoun</w:t>
      </w:r>
      <w:r w:rsidRPr="003814CF">
        <w:rPr>
          <w:rFonts w:asciiTheme="majorHAnsi" w:hAnsiTheme="majorHAnsi" w:cstheme="majorHAnsi"/>
          <w:color w:val="59595B"/>
          <w:szCs w:val="20"/>
          <w:lang w:val="en-GB"/>
        </w:rPr>
        <w:t>ting policies are consistent with those of the financial statements for the year ended 31 December 201</w:t>
      </w:r>
      <w:r w:rsidRPr="003814CF">
        <w:rPr>
          <w:rFonts w:asciiTheme="majorHAnsi" w:hAnsiTheme="majorHAnsi" w:cstheme="majorHAnsi"/>
          <w:color w:val="59595B"/>
          <w:szCs w:val="20"/>
        </w:rPr>
        <w:t>7</w:t>
      </w:r>
      <w:r w:rsidRPr="003B267A">
        <w:rPr>
          <w:rFonts w:asciiTheme="majorHAnsi" w:hAnsiTheme="majorHAnsi" w:cstheme="majorHAnsi"/>
          <w:color w:val="59595B"/>
          <w:szCs w:val="20"/>
          <w:lang w:val="en-GB"/>
        </w:rPr>
        <w:t>.</w:t>
      </w:r>
      <w:r>
        <w:rPr>
          <w:rFonts w:asciiTheme="majorHAnsi" w:hAnsiTheme="majorHAnsi" w:cstheme="majorHAnsi"/>
          <w:color w:val="59595B"/>
          <w:szCs w:val="20"/>
        </w:rPr>
        <w:t xml:space="preserve"> </w:t>
      </w:r>
    </w:p>
    <w:p w14:paraId="6B0C6946"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Cs w:val="22"/>
          <w:lang w:val="en-GB"/>
        </w:rPr>
      </w:pPr>
      <w:r w:rsidRPr="00A96D90">
        <w:rPr>
          <w:rFonts w:asciiTheme="majorHAnsi" w:hAnsiTheme="majorHAnsi" w:cstheme="minorHAnsi"/>
          <w:i/>
          <w:color w:val="59595B"/>
          <w:sz w:val="24"/>
          <w:szCs w:val="22"/>
          <w:lang w:val="en-GB"/>
        </w:rPr>
        <w:t>Estimates and judgements</w:t>
      </w:r>
    </w:p>
    <w:p w14:paraId="562F8988" w14:textId="46202530" w:rsidR="0004342B" w:rsidRPr="00032C26" w:rsidRDefault="0004342B" w:rsidP="0004342B">
      <w:pPr>
        <w:autoSpaceDE w:val="0"/>
        <w:autoSpaceDN w:val="0"/>
        <w:adjustRightInd w:val="0"/>
        <w:rPr>
          <w:rFonts w:ascii="Calibri" w:hAnsi="Calibri" w:cstheme="minorHAnsi"/>
          <w:color w:val="59595B"/>
          <w:szCs w:val="20"/>
        </w:rPr>
      </w:pPr>
      <w:r w:rsidRPr="00A96D90">
        <w:rPr>
          <w:rFonts w:asciiTheme="minorHAnsi" w:hAnsiTheme="minorHAnsi" w:cstheme="minorHAnsi"/>
          <w:color w:val="59595B"/>
          <w:szCs w:val="20"/>
          <w:lang w:val="en-GB"/>
        </w:rPr>
        <w:t>The preparation of interim financial statements in conformity with IFRS requires the use of certain critical accounting estimates. It also requires management to exercise its judgement in the process of applying the Company’s accounting policies. In preparing these condensed interim financial statements, the significant judgements made by management in applying the Company’s accounting policies were the same as those applied to the consolidated financial statements for the ended 31 December 201</w:t>
      </w:r>
      <w:r>
        <w:rPr>
          <w:rFonts w:asciiTheme="minorHAnsi" w:hAnsiTheme="minorHAnsi" w:cstheme="minorHAnsi"/>
          <w:color w:val="59595B"/>
          <w:szCs w:val="20"/>
        </w:rPr>
        <w:t>7</w:t>
      </w:r>
      <w:r w:rsidR="008C78B5">
        <w:rPr>
          <w:rFonts w:asciiTheme="minorHAnsi" w:hAnsiTheme="minorHAnsi" w:cstheme="minorHAnsi"/>
          <w:color w:val="59595B"/>
          <w:szCs w:val="20"/>
        </w:rPr>
        <w:t xml:space="preserve"> with one exception. T</w:t>
      </w:r>
      <w:r>
        <w:rPr>
          <w:rFonts w:asciiTheme="minorHAnsi" w:hAnsiTheme="minorHAnsi" w:cstheme="minorHAnsi"/>
          <w:color w:val="59595B"/>
          <w:szCs w:val="20"/>
        </w:rPr>
        <w:t xml:space="preserve">he balance of the intercompany account between the parent </w:t>
      </w:r>
      <w:r w:rsidR="002904A2">
        <w:rPr>
          <w:rFonts w:asciiTheme="minorHAnsi" w:hAnsiTheme="minorHAnsi" w:cstheme="minorHAnsi"/>
          <w:color w:val="59595B"/>
          <w:szCs w:val="20"/>
        </w:rPr>
        <w:t>and the</w:t>
      </w:r>
      <w:r w:rsidR="00032C26">
        <w:rPr>
          <w:rFonts w:asciiTheme="minorHAnsi" w:hAnsiTheme="minorHAnsi" w:cstheme="minorHAnsi"/>
          <w:color w:val="59595B"/>
          <w:szCs w:val="20"/>
        </w:rPr>
        <w:t xml:space="preserve"> US subsidiary Pharming Healthcare Inc. is now</w:t>
      </w:r>
      <w:r>
        <w:rPr>
          <w:rFonts w:asciiTheme="minorHAnsi" w:hAnsiTheme="minorHAnsi" w:cstheme="minorHAnsi"/>
          <w:color w:val="59595B"/>
          <w:szCs w:val="20"/>
        </w:rPr>
        <w:t xml:space="preserve"> treated as a </w:t>
      </w:r>
      <w:r w:rsidR="002904A2">
        <w:rPr>
          <w:rFonts w:asciiTheme="minorHAnsi" w:hAnsiTheme="minorHAnsi" w:cstheme="minorHAnsi"/>
          <w:color w:val="59595B"/>
          <w:szCs w:val="20"/>
        </w:rPr>
        <w:t>short-term</w:t>
      </w:r>
      <w:r w:rsidR="00032C26">
        <w:rPr>
          <w:rFonts w:asciiTheme="minorHAnsi" w:hAnsiTheme="minorHAnsi" w:cstheme="minorHAnsi"/>
          <w:color w:val="59595B"/>
          <w:szCs w:val="20"/>
        </w:rPr>
        <w:t xml:space="preserve"> </w:t>
      </w:r>
      <w:r>
        <w:rPr>
          <w:rFonts w:asciiTheme="minorHAnsi" w:hAnsiTheme="minorHAnsi" w:cstheme="minorHAnsi"/>
          <w:color w:val="59595B"/>
          <w:szCs w:val="20"/>
        </w:rPr>
        <w:t>cash balance in 2018, rather than informal capital</w:t>
      </w:r>
      <w:r w:rsidR="00032C26">
        <w:rPr>
          <w:rFonts w:asciiTheme="minorHAnsi" w:hAnsiTheme="minorHAnsi" w:cstheme="minorHAnsi"/>
          <w:color w:val="59595B"/>
          <w:szCs w:val="20"/>
        </w:rPr>
        <w:t xml:space="preserve"> as in previous years</w:t>
      </w:r>
      <w:r>
        <w:rPr>
          <w:rFonts w:asciiTheme="minorHAnsi" w:hAnsiTheme="minorHAnsi" w:cstheme="minorHAnsi"/>
          <w:color w:val="59595B"/>
          <w:szCs w:val="20"/>
        </w:rPr>
        <w:t xml:space="preserve">. </w:t>
      </w:r>
      <w:r w:rsidR="00032C26">
        <w:rPr>
          <w:rFonts w:asciiTheme="minorHAnsi" w:hAnsiTheme="minorHAnsi" w:cstheme="minorHAnsi"/>
          <w:color w:val="59595B"/>
          <w:szCs w:val="20"/>
        </w:rPr>
        <w:t>Accordingly, any change in recorded value in the reporting currency will be taken as a gain or loss as the case may be to the income sta</w:t>
      </w:r>
      <w:r w:rsidR="002904A2">
        <w:rPr>
          <w:rFonts w:asciiTheme="minorHAnsi" w:hAnsiTheme="minorHAnsi" w:cstheme="minorHAnsi"/>
          <w:color w:val="59595B"/>
          <w:szCs w:val="20"/>
        </w:rPr>
        <w:t>te</w:t>
      </w:r>
      <w:r w:rsidR="00032C26">
        <w:rPr>
          <w:rFonts w:asciiTheme="minorHAnsi" w:hAnsiTheme="minorHAnsi" w:cstheme="minorHAnsi"/>
          <w:color w:val="59595B"/>
          <w:szCs w:val="20"/>
        </w:rPr>
        <w:t xml:space="preserve">ment.  </w:t>
      </w:r>
      <w:r>
        <w:rPr>
          <w:rFonts w:asciiTheme="minorHAnsi" w:hAnsiTheme="minorHAnsi" w:cstheme="minorHAnsi"/>
          <w:color w:val="59595B"/>
          <w:szCs w:val="20"/>
        </w:rPr>
        <w:t>This change reflects the fact that the company has moved to a normal transfer pricing mechanism in which this balance is short term in nature and not equity-like</w:t>
      </w:r>
      <w:r w:rsidR="00032C26">
        <w:rPr>
          <w:rFonts w:asciiTheme="minorHAnsi" w:hAnsiTheme="minorHAnsi" w:cstheme="minorHAnsi"/>
          <w:color w:val="59595B"/>
          <w:szCs w:val="20"/>
        </w:rPr>
        <w:t xml:space="preserve"> informal capital as in previous years</w:t>
      </w:r>
      <w:r>
        <w:rPr>
          <w:rFonts w:asciiTheme="minorHAnsi" w:hAnsiTheme="minorHAnsi" w:cstheme="minorHAnsi"/>
          <w:color w:val="59595B"/>
          <w:szCs w:val="20"/>
        </w:rPr>
        <w:t>.  This impacts only the foreign exchange movement on net cash, as the large cash balances held in the US act as a natural hedge to movements in the recorded debt value due to movements in the exchange rate</w:t>
      </w:r>
      <w:r w:rsidRPr="00A96D90">
        <w:rPr>
          <w:rFonts w:ascii="Calibri" w:hAnsi="Calibri" w:cstheme="minorHAnsi"/>
          <w:color w:val="59595B"/>
          <w:szCs w:val="20"/>
          <w:lang w:val="en-GB"/>
        </w:rPr>
        <w:t>.</w:t>
      </w:r>
      <w:r>
        <w:rPr>
          <w:rFonts w:ascii="Calibri" w:hAnsi="Calibri" w:cstheme="minorHAnsi"/>
          <w:color w:val="59595B"/>
          <w:szCs w:val="20"/>
        </w:rPr>
        <w:t xml:space="preserve"> </w:t>
      </w:r>
      <w:r w:rsidR="001074ED">
        <w:rPr>
          <w:rFonts w:ascii="Calibri" w:hAnsi="Calibri" w:cstheme="minorHAnsi"/>
          <w:color w:val="59595B"/>
          <w:szCs w:val="20"/>
        </w:rPr>
        <w:t xml:space="preserve"> </w:t>
      </w:r>
      <w:r w:rsidRPr="001074ED">
        <w:rPr>
          <w:rFonts w:ascii="Calibri Light" w:hAnsi="Calibri Light" w:cs="Calibri Light"/>
          <w:color w:val="59595B"/>
          <w:szCs w:val="20"/>
        </w:rPr>
        <w:t>In the first half year of 2018</w:t>
      </w:r>
      <w:r w:rsidR="00032C26">
        <w:rPr>
          <w:rFonts w:ascii="Calibri Light" w:hAnsi="Calibri Light" w:cs="Calibri Light"/>
          <w:color w:val="59595B"/>
          <w:szCs w:val="20"/>
        </w:rPr>
        <w:t>,</w:t>
      </w:r>
      <w:r w:rsidRPr="001074ED">
        <w:rPr>
          <w:rFonts w:ascii="Calibri Light" w:hAnsi="Calibri Light" w:cs="Calibri Light"/>
          <w:color w:val="59595B"/>
          <w:szCs w:val="20"/>
        </w:rPr>
        <w:t xml:space="preserve"> a total amount of </w:t>
      </w:r>
      <w:r w:rsidR="001074ED">
        <w:rPr>
          <w:rFonts w:ascii="Calibri Light" w:hAnsi="Calibri Light" w:cs="Calibri Light"/>
          <w:color w:val="59595B"/>
          <w:szCs w:val="20"/>
        </w:rPr>
        <w:t>€</w:t>
      </w:r>
      <w:r w:rsidRPr="001074ED">
        <w:rPr>
          <w:rFonts w:ascii="Calibri Light" w:hAnsi="Calibri Light" w:cs="Calibri Light"/>
          <w:color w:val="59595B"/>
          <w:szCs w:val="20"/>
        </w:rPr>
        <w:t>1.6 million has been reported as a credit in the financial income and expenses, whereas in the first half year of 2017 a total amount of €</w:t>
      </w:r>
      <w:r w:rsidR="001074ED">
        <w:rPr>
          <w:rFonts w:ascii="Calibri Light" w:hAnsi="Calibri Light" w:cs="Calibri Light"/>
          <w:color w:val="59595B"/>
          <w:szCs w:val="20"/>
        </w:rPr>
        <w:t>2.0 million was</w:t>
      </w:r>
      <w:r w:rsidRPr="001074ED">
        <w:rPr>
          <w:rFonts w:ascii="Calibri Light" w:hAnsi="Calibri Light" w:cs="Calibri Light"/>
          <w:color w:val="59595B"/>
          <w:szCs w:val="20"/>
        </w:rPr>
        <w:t xml:space="preserve"> reported as an expense in the currency translation differences under other comprehensive income for the period</w:t>
      </w:r>
      <w:r w:rsidR="00032C26">
        <w:rPr>
          <w:rFonts w:ascii="Calibri Light" w:hAnsi="Calibri Light" w:cs="Calibri Light"/>
          <w:color w:val="59595B"/>
          <w:szCs w:val="20"/>
        </w:rPr>
        <w:t>, because the balance was regarded at that time as informal capital and therefore not subject to foreign exchange movements</w:t>
      </w:r>
      <w:r w:rsidRPr="001074ED">
        <w:rPr>
          <w:rFonts w:ascii="Calibri Light" w:hAnsi="Calibri Light" w:cs="Calibri Light"/>
          <w:color w:val="59595B"/>
          <w:szCs w:val="20"/>
        </w:rPr>
        <w:t>.</w:t>
      </w:r>
      <w:r>
        <w:rPr>
          <w:rFonts w:ascii="Calibri" w:hAnsi="Calibri" w:cs="Calibri"/>
          <w:color w:val="59595B"/>
          <w:szCs w:val="20"/>
        </w:rPr>
        <w:t xml:space="preserve"> </w:t>
      </w:r>
      <w:r>
        <w:rPr>
          <w:rFonts w:ascii="Calibri" w:hAnsi="Calibri" w:cstheme="minorHAnsi"/>
          <w:color w:val="59595B"/>
          <w:szCs w:val="20"/>
        </w:rPr>
        <w:t xml:space="preserve"> </w:t>
      </w:r>
      <w:r w:rsidR="00032C26">
        <w:rPr>
          <w:rFonts w:ascii="Calibri" w:hAnsi="Calibri" w:cstheme="minorHAnsi"/>
          <w:color w:val="59595B"/>
          <w:szCs w:val="20"/>
        </w:rPr>
        <w:t>This policy will be applied consistently going forward.</w:t>
      </w:r>
    </w:p>
    <w:p w14:paraId="78BBFDD8"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Seasonality of operations</w:t>
      </w:r>
    </w:p>
    <w:p w14:paraId="5F0646B2" w14:textId="79093C0A" w:rsidR="00032C26" w:rsidRDefault="0004342B" w:rsidP="0004342B">
      <w:pPr>
        <w:autoSpaceDE w:val="0"/>
        <w:autoSpaceDN w:val="0"/>
        <w:adjustRightInd w:val="0"/>
        <w:rPr>
          <w:rFonts w:asciiTheme="majorHAnsi" w:hAnsiTheme="majorHAnsi" w:cstheme="majorHAnsi"/>
          <w:color w:val="59595B"/>
          <w:szCs w:val="20"/>
          <w:lang w:val="en-GB"/>
        </w:rPr>
      </w:pPr>
      <w:r w:rsidRPr="00A96D90">
        <w:rPr>
          <w:rFonts w:asciiTheme="majorHAnsi" w:hAnsiTheme="majorHAnsi" w:cstheme="majorHAnsi"/>
          <w:color w:val="59595B"/>
          <w:szCs w:val="20"/>
          <w:lang w:val="en-GB"/>
        </w:rPr>
        <w:t>Seasonality has no material impact on Company’s interim financial statements.</w:t>
      </w:r>
    </w:p>
    <w:p w14:paraId="72513A99" w14:textId="77777777" w:rsidR="00032C26" w:rsidRDefault="00032C26">
      <w:pPr>
        <w:jc w:val="left"/>
        <w:rPr>
          <w:rFonts w:asciiTheme="majorHAnsi" w:hAnsiTheme="majorHAnsi" w:cstheme="majorHAnsi"/>
          <w:color w:val="59595B"/>
          <w:szCs w:val="20"/>
          <w:lang w:val="en-GB"/>
        </w:rPr>
      </w:pPr>
      <w:r>
        <w:rPr>
          <w:rFonts w:asciiTheme="majorHAnsi" w:hAnsiTheme="majorHAnsi" w:cstheme="majorHAnsi"/>
          <w:color w:val="59595B"/>
          <w:szCs w:val="20"/>
          <w:lang w:val="en-GB"/>
        </w:rPr>
        <w:lastRenderedPageBreak/>
        <w:br w:type="page"/>
      </w:r>
    </w:p>
    <w:p w14:paraId="0ED304FE" w14:textId="77777777" w:rsidR="0004342B" w:rsidRPr="00A96D90" w:rsidRDefault="0004342B" w:rsidP="0004342B">
      <w:pPr>
        <w:pStyle w:val="ListParagraph"/>
        <w:numPr>
          <w:ilvl w:val="0"/>
          <w:numId w:val="3"/>
        </w:numPr>
        <w:autoSpaceDE w:val="0"/>
        <w:autoSpaceDN w:val="0"/>
        <w:adjustRightInd w:val="0"/>
        <w:spacing w:before="240"/>
        <w:rPr>
          <w:rFonts w:ascii="Calibri" w:hAnsi="Calibri" w:cstheme="minorHAnsi"/>
          <w:color w:val="59595B"/>
          <w:sz w:val="24"/>
          <w:szCs w:val="22"/>
          <w:lang w:val="en-GB"/>
        </w:rPr>
      </w:pPr>
      <w:r w:rsidRPr="00A96D90">
        <w:rPr>
          <w:rFonts w:asciiTheme="majorHAnsi" w:hAnsiTheme="majorHAnsi" w:cstheme="minorHAnsi"/>
          <w:i/>
          <w:color w:val="59595B"/>
          <w:sz w:val="24"/>
          <w:szCs w:val="22"/>
          <w:lang w:val="en-GB"/>
        </w:rPr>
        <w:lastRenderedPageBreak/>
        <w:t>Segment information</w:t>
      </w:r>
    </w:p>
    <w:p w14:paraId="50732E15" w14:textId="77777777" w:rsidR="0004342B" w:rsidRPr="00A96D90" w:rsidRDefault="0004342B" w:rsidP="0004342B">
      <w:pPr>
        <w:pStyle w:val="AL"/>
        <w:rPr>
          <w:rFonts w:asciiTheme="minorHAnsi" w:hAnsiTheme="minorHAnsi" w:cstheme="minorHAnsi"/>
          <w:bCs w:val="0"/>
          <w:color w:val="59595B"/>
          <w:szCs w:val="20"/>
        </w:rPr>
      </w:pPr>
      <w:r w:rsidRPr="00A96D90">
        <w:rPr>
          <w:rFonts w:asciiTheme="minorHAnsi" w:hAnsiTheme="minorHAnsi" w:cstheme="minorHAnsi"/>
          <w:bCs w:val="0"/>
          <w:color w:val="59595B"/>
          <w:szCs w:val="20"/>
        </w:rPr>
        <w:t xml:space="preserve">The Board of Management is the chief operating decision-maker. The Board of Management considers the business from both a geographic and product perspective. From a product perspective, the Company’s business is almost exclusively related to the recombinant human C1 esterase inhibitor business. From a geographic perspective, the Company is operating in the areas: the US, Europe and Rest of the world (RoW). The Board of Management primarily measures revenues to assess the performance of the operating areas. Costs and assets are not allocated to the geographic areas. </w:t>
      </w:r>
    </w:p>
    <w:p w14:paraId="6DBBC31A" w14:textId="77777777" w:rsidR="0004342B" w:rsidRPr="00A96D90" w:rsidRDefault="0004342B" w:rsidP="0004342B">
      <w:pPr>
        <w:pStyle w:val="AL"/>
        <w:rPr>
          <w:rFonts w:ascii="Calibri" w:hAnsi="Calibri"/>
          <w:color w:val="59595B"/>
        </w:rPr>
      </w:pPr>
    </w:p>
    <w:p w14:paraId="5738B6BA" w14:textId="77777777" w:rsidR="0004342B" w:rsidRPr="00A96D90" w:rsidRDefault="0004342B" w:rsidP="0004342B">
      <w:pPr>
        <w:jc w:val="left"/>
        <w:rPr>
          <w:rFonts w:asciiTheme="minorHAnsi" w:hAnsiTheme="minorHAnsi" w:cstheme="minorHAnsi"/>
          <w:color w:val="59595B"/>
          <w:szCs w:val="20"/>
        </w:rPr>
      </w:pPr>
      <w:r w:rsidRPr="00A96D90">
        <w:rPr>
          <w:rFonts w:asciiTheme="minorHAnsi" w:hAnsiTheme="minorHAnsi" w:cstheme="minorHAnsi"/>
          <w:color w:val="59595B"/>
          <w:szCs w:val="20"/>
        </w:rPr>
        <w:t xml:space="preserve">Total revenues </w:t>
      </w:r>
      <w:r>
        <w:rPr>
          <w:rFonts w:asciiTheme="minorHAnsi" w:hAnsiTheme="minorHAnsi" w:cstheme="minorHAnsi"/>
          <w:color w:val="59595B"/>
          <w:szCs w:val="20"/>
        </w:rPr>
        <w:t xml:space="preserve">and gross profit </w:t>
      </w:r>
      <w:r w:rsidRPr="00A96D90">
        <w:rPr>
          <w:rFonts w:asciiTheme="minorHAnsi" w:hAnsiTheme="minorHAnsi" w:cstheme="minorHAnsi"/>
          <w:color w:val="59595B"/>
          <w:szCs w:val="20"/>
        </w:rPr>
        <w:t>per geographic segment for the first half year:</w:t>
      </w:r>
    </w:p>
    <w:tbl>
      <w:tblPr>
        <w:tblW w:w="8856" w:type="dxa"/>
        <w:jc w:val="center"/>
        <w:tblBorders>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5954"/>
        <w:gridCol w:w="1451"/>
        <w:gridCol w:w="1451"/>
      </w:tblGrid>
      <w:tr w:rsidR="0004342B" w:rsidRPr="00610400" w14:paraId="15AAA613" w14:textId="77777777" w:rsidTr="00691179">
        <w:trPr>
          <w:trHeight w:val="258"/>
          <w:jc w:val="center"/>
        </w:trPr>
        <w:tc>
          <w:tcPr>
            <w:tcW w:w="5954" w:type="dxa"/>
            <w:tcBorders>
              <w:top w:val="nil"/>
              <w:bottom w:val="single" w:sz="4" w:space="0" w:color="A6A6A6" w:themeColor="background1" w:themeShade="A6"/>
              <w:right w:val="nil"/>
            </w:tcBorders>
            <w:shd w:val="clear" w:color="auto" w:fill="0070C0"/>
          </w:tcPr>
          <w:p w14:paraId="35C6E832" w14:textId="77777777" w:rsidR="0004342B" w:rsidRPr="00E90ADC" w:rsidRDefault="0004342B" w:rsidP="00691179">
            <w:pPr>
              <w:rPr>
                <w:rFonts w:asciiTheme="minorHAnsi" w:eastAsiaTheme="minorEastAsia" w:hAnsiTheme="minorHAnsi"/>
                <w:b/>
                <w:i/>
                <w:color w:val="FFFFFF" w:themeColor="background1"/>
                <w:sz w:val="20"/>
                <w:szCs w:val="20"/>
                <w:lang w:val="en-GB"/>
              </w:rPr>
            </w:pPr>
            <w:r w:rsidRPr="00E90ADC">
              <w:rPr>
                <w:rFonts w:asciiTheme="minorHAnsi" w:eastAsiaTheme="minorEastAsia" w:hAnsiTheme="minorHAnsi"/>
                <w:b/>
                <w:i/>
                <w:color w:val="FFFFFF" w:themeColor="background1"/>
                <w:sz w:val="16"/>
                <w:szCs w:val="20"/>
                <w:lang w:val="en-GB"/>
              </w:rPr>
              <w:t>Amounts in € ‘000</w:t>
            </w:r>
          </w:p>
        </w:tc>
        <w:tc>
          <w:tcPr>
            <w:tcW w:w="1451" w:type="dxa"/>
            <w:tcBorders>
              <w:top w:val="nil"/>
              <w:left w:val="nil"/>
              <w:bottom w:val="single" w:sz="4" w:space="0" w:color="A6A6A6" w:themeColor="background1" w:themeShade="A6"/>
              <w:right w:val="nil"/>
            </w:tcBorders>
            <w:shd w:val="clear" w:color="auto" w:fill="0070C0"/>
          </w:tcPr>
          <w:p w14:paraId="2AC68BD9" w14:textId="77777777" w:rsidR="0004342B" w:rsidRPr="00E90ADC" w:rsidRDefault="0004342B" w:rsidP="00691179">
            <w:pPr>
              <w:jc w:val="right"/>
              <w:rPr>
                <w:rFonts w:asciiTheme="minorHAnsi" w:eastAsiaTheme="minorEastAsia" w:hAnsiTheme="minorHAnsi"/>
                <w:b/>
                <w:color w:val="FFFFFF" w:themeColor="background1"/>
                <w:sz w:val="20"/>
                <w:szCs w:val="20"/>
                <w:lang w:val="en-GB"/>
              </w:rPr>
            </w:pPr>
            <w:r w:rsidRPr="00E90ADC">
              <w:rPr>
                <w:rFonts w:asciiTheme="minorHAnsi" w:eastAsiaTheme="minorEastAsia" w:hAnsiTheme="minorHAnsi"/>
                <w:b/>
                <w:color w:val="FFFFFF" w:themeColor="background1"/>
                <w:sz w:val="20"/>
                <w:szCs w:val="20"/>
                <w:lang w:val="en-GB"/>
              </w:rPr>
              <w:t>HY 201</w:t>
            </w:r>
            <w:r w:rsidRPr="00E90ADC">
              <w:rPr>
                <w:rFonts w:asciiTheme="minorHAnsi" w:eastAsiaTheme="minorEastAsia" w:hAnsiTheme="minorHAnsi"/>
                <w:b/>
                <w:color w:val="FFFFFF" w:themeColor="background1"/>
                <w:sz w:val="20"/>
                <w:szCs w:val="20"/>
              </w:rPr>
              <w:t>8</w:t>
            </w:r>
          </w:p>
        </w:tc>
        <w:tc>
          <w:tcPr>
            <w:tcW w:w="1451" w:type="dxa"/>
            <w:tcBorders>
              <w:top w:val="nil"/>
              <w:left w:val="nil"/>
              <w:bottom w:val="single" w:sz="4" w:space="0" w:color="A6A6A6" w:themeColor="background1" w:themeShade="A6"/>
              <w:right w:val="nil"/>
            </w:tcBorders>
            <w:shd w:val="clear" w:color="auto" w:fill="0070C0"/>
          </w:tcPr>
          <w:p w14:paraId="1DEFDAD4" w14:textId="77777777" w:rsidR="0004342B" w:rsidRPr="00E90ADC" w:rsidRDefault="0004342B" w:rsidP="00691179">
            <w:pPr>
              <w:jc w:val="right"/>
              <w:rPr>
                <w:rFonts w:asciiTheme="minorHAnsi" w:eastAsiaTheme="minorEastAsia" w:hAnsiTheme="minorHAnsi"/>
                <w:b/>
                <w:color w:val="FFFFFF" w:themeColor="background1"/>
                <w:sz w:val="20"/>
                <w:szCs w:val="20"/>
                <w:lang w:val="en-GB"/>
              </w:rPr>
            </w:pPr>
            <w:r w:rsidRPr="00E90ADC">
              <w:rPr>
                <w:rFonts w:asciiTheme="minorHAnsi" w:eastAsiaTheme="minorEastAsia" w:hAnsiTheme="minorHAnsi"/>
                <w:b/>
                <w:color w:val="FFFFFF" w:themeColor="background1"/>
                <w:sz w:val="20"/>
                <w:szCs w:val="20"/>
                <w:lang w:val="en-GB"/>
              </w:rPr>
              <w:t>HY 201</w:t>
            </w:r>
            <w:r w:rsidRPr="00E90ADC">
              <w:rPr>
                <w:rFonts w:asciiTheme="minorHAnsi" w:eastAsiaTheme="minorEastAsia" w:hAnsiTheme="minorHAnsi"/>
                <w:b/>
                <w:color w:val="FFFFFF" w:themeColor="background1"/>
                <w:sz w:val="20"/>
                <w:szCs w:val="20"/>
              </w:rPr>
              <w:t>7</w:t>
            </w:r>
          </w:p>
        </w:tc>
      </w:tr>
      <w:tr w:rsidR="0004342B" w:rsidRPr="00A96D90" w14:paraId="52F08ECB" w14:textId="77777777" w:rsidTr="00691179">
        <w:trPr>
          <w:trHeight w:val="270"/>
          <w:jc w:val="center"/>
        </w:trPr>
        <w:tc>
          <w:tcPr>
            <w:tcW w:w="5954" w:type="dxa"/>
            <w:tcBorders>
              <w:top w:val="single" w:sz="4" w:space="0" w:color="A6A6A6" w:themeColor="background1" w:themeShade="A6"/>
              <w:bottom w:val="nil"/>
            </w:tcBorders>
            <w:shd w:val="clear" w:color="auto" w:fill="FFFFFF" w:themeFill="background1"/>
          </w:tcPr>
          <w:p w14:paraId="4EB1DD13" w14:textId="77777777" w:rsidR="0004342B" w:rsidRPr="00E90ADC" w:rsidRDefault="0004342B" w:rsidP="00691179">
            <w:pPr>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Revenues:</w:t>
            </w:r>
          </w:p>
        </w:tc>
        <w:tc>
          <w:tcPr>
            <w:tcW w:w="1451" w:type="dxa"/>
            <w:tcBorders>
              <w:top w:val="single" w:sz="4" w:space="0" w:color="A6A6A6" w:themeColor="background1" w:themeShade="A6"/>
              <w:bottom w:val="nil"/>
            </w:tcBorders>
            <w:shd w:val="clear" w:color="auto" w:fill="F2F2F2" w:themeFill="background1" w:themeFillShade="F2"/>
          </w:tcPr>
          <w:p w14:paraId="187B0842" w14:textId="77777777" w:rsidR="0004342B" w:rsidRDefault="0004342B" w:rsidP="00691179">
            <w:pPr>
              <w:jc w:val="right"/>
              <w:rPr>
                <w:rFonts w:asciiTheme="minorHAnsi" w:eastAsiaTheme="minorEastAsia" w:hAnsiTheme="minorHAnsi" w:cstheme="minorHAnsi"/>
                <w:color w:val="59595B"/>
                <w:sz w:val="20"/>
                <w:szCs w:val="20"/>
              </w:rPr>
            </w:pPr>
          </w:p>
        </w:tc>
        <w:tc>
          <w:tcPr>
            <w:tcW w:w="1451" w:type="dxa"/>
            <w:tcBorders>
              <w:top w:val="single" w:sz="4" w:space="0" w:color="A6A6A6" w:themeColor="background1" w:themeShade="A6"/>
              <w:bottom w:val="nil"/>
            </w:tcBorders>
            <w:shd w:val="clear" w:color="auto" w:fill="FFFFFF" w:themeFill="background1"/>
          </w:tcPr>
          <w:p w14:paraId="42F88419" w14:textId="77777777" w:rsidR="0004342B" w:rsidRDefault="0004342B" w:rsidP="00691179">
            <w:pPr>
              <w:jc w:val="right"/>
              <w:rPr>
                <w:rFonts w:asciiTheme="minorHAnsi" w:eastAsiaTheme="minorEastAsia" w:hAnsiTheme="minorHAnsi" w:cstheme="minorHAnsi"/>
                <w:color w:val="59595B"/>
                <w:sz w:val="20"/>
                <w:szCs w:val="20"/>
              </w:rPr>
            </w:pPr>
          </w:p>
        </w:tc>
      </w:tr>
      <w:tr w:rsidR="0004342B" w:rsidRPr="00A96D90" w14:paraId="78A51755" w14:textId="77777777" w:rsidTr="00691179">
        <w:trPr>
          <w:trHeight w:val="270"/>
          <w:jc w:val="center"/>
        </w:trPr>
        <w:tc>
          <w:tcPr>
            <w:tcW w:w="5954" w:type="dxa"/>
            <w:tcBorders>
              <w:top w:val="single" w:sz="4" w:space="0" w:color="A6A6A6" w:themeColor="background1" w:themeShade="A6"/>
              <w:bottom w:val="nil"/>
            </w:tcBorders>
            <w:shd w:val="clear" w:color="auto" w:fill="FFFFFF" w:themeFill="background1"/>
          </w:tcPr>
          <w:p w14:paraId="71A2E82C" w14:textId="77777777" w:rsidR="0004342B" w:rsidRPr="00A96D90" w:rsidRDefault="0004342B" w:rsidP="00691179">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US</w:t>
            </w:r>
          </w:p>
        </w:tc>
        <w:tc>
          <w:tcPr>
            <w:tcW w:w="1451" w:type="dxa"/>
            <w:tcBorders>
              <w:top w:val="single" w:sz="4" w:space="0" w:color="A6A6A6" w:themeColor="background1" w:themeShade="A6"/>
              <w:bottom w:val="nil"/>
            </w:tcBorders>
            <w:shd w:val="clear" w:color="auto" w:fill="F2F2F2" w:themeFill="background1" w:themeFillShade="F2"/>
          </w:tcPr>
          <w:p w14:paraId="11B1C571" w14:textId="77777777" w:rsidR="0004342B" w:rsidRPr="00A96D90" w:rsidRDefault="0004342B" w:rsidP="00691179">
            <w:pPr>
              <w:jc w:val="right"/>
              <w:rPr>
                <w:rFonts w:asciiTheme="minorHAnsi" w:eastAsiaTheme="minorEastAsia" w:hAnsiTheme="minorHAnsi" w:cstheme="minorHAnsi"/>
                <w:color w:val="59595B"/>
                <w:sz w:val="20"/>
                <w:szCs w:val="20"/>
                <w:lang w:val="en-GB"/>
              </w:rPr>
            </w:pPr>
            <w:r>
              <w:rPr>
                <w:rFonts w:asciiTheme="minorHAnsi" w:eastAsiaTheme="minorEastAsia" w:hAnsiTheme="minorHAnsi" w:cstheme="minorHAnsi"/>
                <w:color w:val="59595B"/>
                <w:sz w:val="20"/>
                <w:szCs w:val="20"/>
              </w:rPr>
              <w:t>56,328</w:t>
            </w:r>
          </w:p>
        </w:tc>
        <w:tc>
          <w:tcPr>
            <w:tcW w:w="1451" w:type="dxa"/>
            <w:tcBorders>
              <w:top w:val="single" w:sz="4" w:space="0" w:color="A6A6A6" w:themeColor="background1" w:themeShade="A6"/>
              <w:bottom w:val="nil"/>
            </w:tcBorders>
            <w:shd w:val="clear" w:color="auto" w:fill="FFFFFF" w:themeFill="background1"/>
          </w:tcPr>
          <w:p w14:paraId="6BF0316D" w14:textId="77777777" w:rsidR="0004342B" w:rsidRPr="00A96D90" w:rsidRDefault="0004342B" w:rsidP="00691179">
            <w:pPr>
              <w:jc w:val="right"/>
              <w:rPr>
                <w:rFonts w:asciiTheme="minorHAnsi" w:eastAsiaTheme="minorEastAsia" w:hAnsiTheme="minorHAnsi" w:cstheme="minorHAnsi"/>
                <w:color w:val="59595B"/>
                <w:sz w:val="20"/>
                <w:szCs w:val="20"/>
                <w:lang w:val="en-GB"/>
              </w:rPr>
            </w:pPr>
            <w:r>
              <w:rPr>
                <w:rFonts w:asciiTheme="minorHAnsi" w:eastAsiaTheme="minorEastAsia" w:hAnsiTheme="minorHAnsi" w:cstheme="minorHAnsi"/>
                <w:color w:val="59595B"/>
                <w:sz w:val="20"/>
                <w:szCs w:val="20"/>
              </w:rPr>
              <w:t>28,582</w:t>
            </w:r>
          </w:p>
        </w:tc>
      </w:tr>
      <w:tr w:rsidR="0004342B" w:rsidRPr="00A96D90" w14:paraId="070765C7" w14:textId="77777777" w:rsidTr="00691179">
        <w:trPr>
          <w:trHeight w:val="258"/>
          <w:jc w:val="center"/>
        </w:trPr>
        <w:tc>
          <w:tcPr>
            <w:tcW w:w="5954" w:type="dxa"/>
            <w:tcBorders>
              <w:top w:val="nil"/>
              <w:bottom w:val="nil"/>
            </w:tcBorders>
            <w:shd w:val="clear" w:color="auto" w:fill="FFFFFF" w:themeFill="background1"/>
          </w:tcPr>
          <w:p w14:paraId="707D1814" w14:textId="77777777" w:rsidR="0004342B" w:rsidRPr="00A96D90" w:rsidRDefault="0004342B" w:rsidP="00691179">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Europe</w:t>
            </w:r>
          </w:p>
        </w:tc>
        <w:tc>
          <w:tcPr>
            <w:tcW w:w="1451" w:type="dxa"/>
            <w:tcBorders>
              <w:top w:val="nil"/>
              <w:bottom w:val="nil"/>
            </w:tcBorders>
            <w:shd w:val="clear" w:color="auto" w:fill="F2F2F2" w:themeFill="background1" w:themeFillShade="F2"/>
          </w:tcPr>
          <w:p w14:paraId="0A11AF61" w14:textId="77777777" w:rsidR="0004342B" w:rsidRPr="0065788F"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2,627</w:t>
            </w:r>
          </w:p>
        </w:tc>
        <w:tc>
          <w:tcPr>
            <w:tcW w:w="1451" w:type="dxa"/>
            <w:tcBorders>
              <w:top w:val="nil"/>
              <w:bottom w:val="nil"/>
            </w:tcBorders>
            <w:shd w:val="clear" w:color="auto" w:fill="FFFFFF" w:themeFill="background1"/>
          </w:tcPr>
          <w:p w14:paraId="6381D64E" w14:textId="77777777" w:rsidR="0004342B" w:rsidRPr="00A96D90" w:rsidRDefault="0004342B" w:rsidP="00691179">
            <w:pPr>
              <w:jc w:val="right"/>
              <w:rPr>
                <w:rFonts w:asciiTheme="minorHAnsi" w:eastAsiaTheme="minorEastAsia" w:hAnsiTheme="minorHAnsi" w:cstheme="minorHAnsi"/>
                <w:color w:val="59595B"/>
                <w:sz w:val="20"/>
                <w:szCs w:val="20"/>
                <w:lang w:val="en-GB"/>
              </w:rPr>
            </w:pPr>
            <w:r>
              <w:rPr>
                <w:rFonts w:asciiTheme="minorHAnsi" w:eastAsiaTheme="minorEastAsia" w:hAnsiTheme="minorHAnsi" w:cstheme="minorHAnsi"/>
                <w:color w:val="59595B"/>
                <w:sz w:val="20"/>
                <w:szCs w:val="20"/>
              </w:rPr>
              <w:t>1,600</w:t>
            </w:r>
          </w:p>
        </w:tc>
      </w:tr>
      <w:tr w:rsidR="0004342B" w:rsidRPr="00A96D90" w14:paraId="599CA530" w14:textId="77777777" w:rsidTr="00691179">
        <w:trPr>
          <w:trHeight w:val="258"/>
          <w:jc w:val="center"/>
        </w:trPr>
        <w:tc>
          <w:tcPr>
            <w:tcW w:w="5954" w:type="dxa"/>
            <w:tcBorders>
              <w:top w:val="nil"/>
              <w:bottom w:val="nil"/>
            </w:tcBorders>
            <w:shd w:val="clear" w:color="auto" w:fill="FFFFFF" w:themeFill="background1"/>
          </w:tcPr>
          <w:p w14:paraId="41D824F0" w14:textId="77777777" w:rsidR="0004342B" w:rsidRPr="00A96D90" w:rsidRDefault="0004342B" w:rsidP="00691179">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RoW</w:t>
            </w:r>
          </w:p>
        </w:tc>
        <w:tc>
          <w:tcPr>
            <w:tcW w:w="1451" w:type="dxa"/>
            <w:tcBorders>
              <w:top w:val="nil"/>
              <w:bottom w:val="nil"/>
            </w:tcBorders>
            <w:shd w:val="clear" w:color="auto" w:fill="F2F2F2" w:themeFill="background1" w:themeFillShade="F2"/>
          </w:tcPr>
          <w:p w14:paraId="1C0DD405" w14:textId="77777777" w:rsidR="0004342B" w:rsidRPr="0065788F"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499</w:t>
            </w:r>
          </w:p>
        </w:tc>
        <w:tc>
          <w:tcPr>
            <w:tcW w:w="1451" w:type="dxa"/>
            <w:tcBorders>
              <w:top w:val="nil"/>
              <w:bottom w:val="nil"/>
            </w:tcBorders>
            <w:shd w:val="clear" w:color="auto" w:fill="FFFFFF" w:themeFill="background1"/>
          </w:tcPr>
          <w:p w14:paraId="598B8C92" w14:textId="77777777" w:rsidR="0004342B" w:rsidRPr="00A96D90" w:rsidRDefault="0004342B" w:rsidP="00691179">
            <w:pPr>
              <w:jc w:val="right"/>
              <w:rPr>
                <w:rFonts w:asciiTheme="minorHAnsi" w:eastAsiaTheme="minorEastAsia" w:hAnsiTheme="minorHAnsi" w:cstheme="minorHAnsi"/>
                <w:color w:val="59595B"/>
                <w:sz w:val="20"/>
                <w:szCs w:val="20"/>
                <w:lang w:val="en-GB"/>
              </w:rPr>
            </w:pPr>
            <w:r>
              <w:rPr>
                <w:rFonts w:asciiTheme="minorHAnsi" w:eastAsiaTheme="minorEastAsia" w:hAnsiTheme="minorHAnsi" w:cstheme="minorHAnsi"/>
                <w:color w:val="59595B"/>
                <w:sz w:val="20"/>
                <w:szCs w:val="20"/>
              </w:rPr>
              <w:t>463</w:t>
            </w:r>
          </w:p>
        </w:tc>
      </w:tr>
      <w:tr w:rsidR="0004342B" w:rsidRPr="00610400" w14:paraId="2080B2DF" w14:textId="77777777" w:rsidTr="00691179">
        <w:trPr>
          <w:trHeight w:val="270"/>
          <w:jc w:val="center"/>
        </w:trPr>
        <w:tc>
          <w:tcPr>
            <w:tcW w:w="5954" w:type="dxa"/>
            <w:tcBorders>
              <w:top w:val="single" w:sz="4" w:space="0" w:color="A6A6A6" w:themeColor="background1" w:themeShade="A6"/>
              <w:bottom w:val="single" w:sz="4" w:space="0" w:color="A6A6A6" w:themeColor="background1" w:themeShade="A6"/>
            </w:tcBorders>
            <w:shd w:val="clear" w:color="auto" w:fill="FFFFFF" w:themeFill="background1"/>
          </w:tcPr>
          <w:p w14:paraId="697A0EB5" w14:textId="77777777" w:rsidR="0004342B" w:rsidRPr="00E90ADC" w:rsidRDefault="0004342B" w:rsidP="00691179">
            <w:pPr>
              <w:rPr>
                <w:rFonts w:asciiTheme="minorHAnsi" w:eastAsiaTheme="minorEastAsia" w:hAnsiTheme="minorHAnsi" w:cstheme="minorHAnsi"/>
                <w:b/>
                <w:color w:val="0070C0"/>
                <w:sz w:val="20"/>
                <w:szCs w:val="20"/>
                <w:lang w:val="en-GB"/>
              </w:rPr>
            </w:pPr>
            <w:r w:rsidRPr="00E90ADC">
              <w:rPr>
                <w:rFonts w:asciiTheme="minorHAnsi" w:eastAsiaTheme="minorEastAsia" w:hAnsiTheme="minorHAnsi" w:cstheme="minorHAnsi"/>
                <w:b/>
                <w:color w:val="0070C0"/>
                <w:sz w:val="20"/>
                <w:szCs w:val="20"/>
                <w:lang w:val="en-GB"/>
              </w:rPr>
              <w:t>Total revenues</w:t>
            </w:r>
          </w:p>
        </w:tc>
        <w:tc>
          <w:tcPr>
            <w:tcW w:w="145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0A9321A7" w14:textId="77777777" w:rsidR="0004342B" w:rsidRPr="00E90ADC" w:rsidRDefault="0004342B" w:rsidP="00691179">
            <w:pPr>
              <w:jc w:val="right"/>
              <w:rPr>
                <w:rFonts w:asciiTheme="minorHAnsi" w:eastAsiaTheme="minorEastAsia" w:hAnsiTheme="minorHAnsi" w:cstheme="minorHAnsi"/>
                <w:b/>
                <w:color w:val="0070C0"/>
                <w:sz w:val="20"/>
                <w:szCs w:val="20"/>
                <w:lang w:val="en-GB"/>
              </w:rPr>
            </w:pPr>
            <w:r w:rsidRPr="00E90ADC">
              <w:rPr>
                <w:rFonts w:asciiTheme="minorHAnsi" w:eastAsiaTheme="minorEastAsia" w:hAnsiTheme="minorHAnsi" w:cstheme="minorHAnsi"/>
                <w:b/>
                <w:color w:val="0070C0"/>
                <w:sz w:val="20"/>
                <w:szCs w:val="20"/>
              </w:rPr>
              <w:t>59,454</w:t>
            </w:r>
          </w:p>
        </w:tc>
        <w:tc>
          <w:tcPr>
            <w:tcW w:w="1451" w:type="dxa"/>
            <w:tcBorders>
              <w:bottom w:val="single" w:sz="4" w:space="0" w:color="A6A6A6" w:themeColor="background1" w:themeShade="A6"/>
            </w:tcBorders>
            <w:shd w:val="clear" w:color="auto" w:fill="FFFFFF" w:themeFill="background1"/>
          </w:tcPr>
          <w:p w14:paraId="497ECCB9" w14:textId="77777777" w:rsidR="0004342B" w:rsidRPr="00E90ADC" w:rsidRDefault="0004342B" w:rsidP="00691179">
            <w:pPr>
              <w:jc w:val="right"/>
              <w:rPr>
                <w:rFonts w:asciiTheme="minorHAnsi" w:eastAsiaTheme="minorEastAsia" w:hAnsiTheme="minorHAnsi" w:cstheme="minorHAnsi"/>
                <w:b/>
                <w:color w:val="0070C0"/>
                <w:sz w:val="20"/>
                <w:szCs w:val="20"/>
                <w:lang w:val="en-GB"/>
              </w:rPr>
            </w:pPr>
            <w:r w:rsidRPr="00E90ADC">
              <w:rPr>
                <w:rFonts w:asciiTheme="minorHAnsi" w:eastAsiaTheme="minorEastAsia" w:hAnsiTheme="minorHAnsi" w:cstheme="minorHAnsi"/>
                <w:b/>
                <w:color w:val="0070C0"/>
                <w:sz w:val="20"/>
                <w:szCs w:val="20"/>
              </w:rPr>
              <w:t>30,645</w:t>
            </w:r>
          </w:p>
        </w:tc>
      </w:tr>
      <w:tr w:rsidR="0004342B" w:rsidRPr="00A96D90" w14:paraId="495BF350" w14:textId="77777777" w:rsidTr="00691179">
        <w:trPr>
          <w:trHeight w:val="270"/>
          <w:jc w:val="center"/>
        </w:trPr>
        <w:tc>
          <w:tcPr>
            <w:tcW w:w="5954" w:type="dxa"/>
            <w:tcBorders>
              <w:top w:val="single" w:sz="4" w:space="0" w:color="A6A6A6" w:themeColor="background1" w:themeShade="A6"/>
              <w:bottom w:val="single" w:sz="4" w:space="0" w:color="A6A6A6" w:themeColor="background1" w:themeShade="A6"/>
            </w:tcBorders>
            <w:shd w:val="clear" w:color="auto" w:fill="FFFFFF" w:themeFill="background1"/>
          </w:tcPr>
          <w:p w14:paraId="045ACA71" w14:textId="77777777" w:rsidR="0004342B" w:rsidRPr="00A96D90" w:rsidRDefault="0004342B" w:rsidP="00691179">
            <w:pPr>
              <w:rPr>
                <w:rFonts w:asciiTheme="minorHAnsi" w:eastAsiaTheme="minorEastAsia" w:hAnsiTheme="minorHAnsi" w:cstheme="minorHAnsi"/>
                <w:b/>
                <w:color w:val="59595B"/>
                <w:sz w:val="20"/>
                <w:szCs w:val="20"/>
                <w:lang w:val="en-GB"/>
              </w:rPr>
            </w:pPr>
          </w:p>
        </w:tc>
        <w:tc>
          <w:tcPr>
            <w:tcW w:w="145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2A14F1B9" w14:textId="77777777" w:rsidR="0004342B" w:rsidRDefault="0004342B" w:rsidP="00691179">
            <w:pPr>
              <w:jc w:val="right"/>
              <w:rPr>
                <w:rFonts w:asciiTheme="minorHAnsi" w:eastAsiaTheme="minorEastAsia" w:hAnsiTheme="minorHAnsi" w:cstheme="minorHAnsi"/>
                <w:b/>
                <w:color w:val="59595B"/>
                <w:sz w:val="20"/>
                <w:szCs w:val="20"/>
              </w:rPr>
            </w:pPr>
          </w:p>
        </w:tc>
        <w:tc>
          <w:tcPr>
            <w:tcW w:w="1451" w:type="dxa"/>
            <w:tcBorders>
              <w:bottom w:val="single" w:sz="4" w:space="0" w:color="A6A6A6" w:themeColor="background1" w:themeShade="A6"/>
            </w:tcBorders>
            <w:shd w:val="clear" w:color="auto" w:fill="FFFFFF" w:themeFill="background1"/>
          </w:tcPr>
          <w:p w14:paraId="008A012E" w14:textId="77777777" w:rsidR="0004342B" w:rsidRDefault="0004342B" w:rsidP="00691179">
            <w:pPr>
              <w:jc w:val="right"/>
              <w:rPr>
                <w:rFonts w:asciiTheme="minorHAnsi" w:eastAsiaTheme="minorEastAsia" w:hAnsiTheme="minorHAnsi" w:cstheme="minorHAnsi"/>
                <w:b/>
                <w:color w:val="59595B"/>
                <w:sz w:val="20"/>
                <w:szCs w:val="20"/>
              </w:rPr>
            </w:pPr>
          </w:p>
        </w:tc>
      </w:tr>
      <w:tr w:rsidR="0004342B" w:rsidRPr="00A96D90" w14:paraId="046E0BF0" w14:textId="77777777" w:rsidTr="00691179">
        <w:trPr>
          <w:trHeight w:val="270"/>
          <w:jc w:val="center"/>
        </w:trPr>
        <w:tc>
          <w:tcPr>
            <w:tcW w:w="5954" w:type="dxa"/>
            <w:tcBorders>
              <w:top w:val="single" w:sz="4" w:space="0" w:color="A6A6A6" w:themeColor="background1" w:themeShade="A6"/>
              <w:bottom w:val="single" w:sz="4" w:space="0" w:color="A6A6A6" w:themeColor="background1" w:themeShade="A6"/>
            </w:tcBorders>
            <w:shd w:val="clear" w:color="auto" w:fill="FFFFFF" w:themeFill="background1"/>
          </w:tcPr>
          <w:p w14:paraId="67922757" w14:textId="77777777" w:rsidR="0004342B" w:rsidRPr="00E90ADC" w:rsidRDefault="0004342B" w:rsidP="00691179">
            <w:pPr>
              <w:rPr>
                <w:rFonts w:asciiTheme="minorHAnsi" w:eastAsiaTheme="minorEastAsia" w:hAnsiTheme="minorHAnsi" w:cstheme="minorHAnsi"/>
                <w:b/>
                <w:color w:val="59595B"/>
                <w:sz w:val="20"/>
                <w:szCs w:val="20"/>
              </w:rPr>
            </w:pPr>
            <w:r>
              <w:rPr>
                <w:rFonts w:asciiTheme="minorHAnsi" w:eastAsiaTheme="minorEastAsia" w:hAnsiTheme="minorHAnsi" w:cstheme="minorHAnsi"/>
                <w:b/>
                <w:color w:val="59595B"/>
                <w:sz w:val="20"/>
                <w:szCs w:val="20"/>
              </w:rPr>
              <w:t>Gross profit:</w:t>
            </w:r>
          </w:p>
        </w:tc>
        <w:tc>
          <w:tcPr>
            <w:tcW w:w="145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6CFC33C2" w14:textId="77777777" w:rsidR="0004342B" w:rsidRDefault="0004342B" w:rsidP="00691179">
            <w:pPr>
              <w:jc w:val="right"/>
              <w:rPr>
                <w:rFonts w:asciiTheme="minorHAnsi" w:eastAsiaTheme="minorEastAsia" w:hAnsiTheme="minorHAnsi" w:cstheme="minorHAnsi"/>
                <w:b/>
                <w:color w:val="59595B"/>
                <w:sz w:val="20"/>
                <w:szCs w:val="20"/>
              </w:rPr>
            </w:pPr>
          </w:p>
        </w:tc>
        <w:tc>
          <w:tcPr>
            <w:tcW w:w="1451" w:type="dxa"/>
            <w:tcBorders>
              <w:bottom w:val="single" w:sz="4" w:space="0" w:color="A6A6A6" w:themeColor="background1" w:themeShade="A6"/>
            </w:tcBorders>
            <w:shd w:val="clear" w:color="auto" w:fill="FFFFFF" w:themeFill="background1"/>
          </w:tcPr>
          <w:p w14:paraId="225A7CAF" w14:textId="77777777" w:rsidR="0004342B" w:rsidRDefault="0004342B" w:rsidP="00691179">
            <w:pPr>
              <w:jc w:val="right"/>
              <w:rPr>
                <w:rFonts w:asciiTheme="minorHAnsi" w:eastAsiaTheme="minorEastAsia" w:hAnsiTheme="minorHAnsi" w:cstheme="minorHAnsi"/>
                <w:b/>
                <w:color w:val="59595B"/>
                <w:sz w:val="20"/>
                <w:szCs w:val="20"/>
              </w:rPr>
            </w:pPr>
          </w:p>
        </w:tc>
      </w:tr>
      <w:tr w:rsidR="0004342B" w:rsidRPr="00A96D90" w:rsidDel="005B124B" w14:paraId="63C4DE4C" w14:textId="77777777" w:rsidTr="00691179">
        <w:trPr>
          <w:trHeight w:val="299"/>
          <w:jc w:val="center"/>
        </w:trPr>
        <w:tc>
          <w:tcPr>
            <w:tcW w:w="5954" w:type="dxa"/>
            <w:tcBorders>
              <w:top w:val="single" w:sz="4" w:space="0" w:color="A6A6A6" w:themeColor="background1" w:themeShade="A6"/>
              <w:bottom w:val="nil"/>
            </w:tcBorders>
            <w:shd w:val="clear" w:color="auto" w:fill="FFFFFF" w:themeFill="background1"/>
          </w:tcPr>
          <w:p w14:paraId="0CCC98CF" w14:textId="77777777" w:rsidR="0004342B" w:rsidRPr="003814CF" w:rsidDel="005B124B" w:rsidRDefault="0004342B" w:rsidP="00691179">
            <w:pPr>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US</w:t>
            </w:r>
          </w:p>
        </w:tc>
        <w:tc>
          <w:tcPr>
            <w:tcW w:w="1451" w:type="dxa"/>
            <w:tcBorders>
              <w:top w:val="single" w:sz="4" w:space="0" w:color="A6A6A6" w:themeColor="background1" w:themeShade="A6"/>
              <w:bottom w:val="nil"/>
            </w:tcBorders>
            <w:shd w:val="clear" w:color="auto" w:fill="F2F2F2" w:themeFill="background1" w:themeFillShade="F2"/>
          </w:tcPr>
          <w:p w14:paraId="200EED88" w14:textId="77777777" w:rsidR="0004342B" w:rsidRPr="005B124B" w:rsidDel="005B124B"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49,365</w:t>
            </w:r>
          </w:p>
        </w:tc>
        <w:tc>
          <w:tcPr>
            <w:tcW w:w="1451" w:type="dxa"/>
            <w:tcBorders>
              <w:top w:val="single" w:sz="4" w:space="0" w:color="A6A6A6" w:themeColor="background1" w:themeShade="A6"/>
              <w:bottom w:val="nil"/>
            </w:tcBorders>
            <w:shd w:val="clear" w:color="auto" w:fill="FFFFFF" w:themeFill="background1"/>
          </w:tcPr>
          <w:p w14:paraId="77BB33F3" w14:textId="77777777" w:rsidR="0004342B" w:rsidRPr="005B124B" w:rsidDel="005B124B"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26,211</w:t>
            </w:r>
          </w:p>
        </w:tc>
      </w:tr>
      <w:tr w:rsidR="0004342B" w:rsidRPr="00A96D90" w14:paraId="289AE2DB" w14:textId="77777777" w:rsidTr="00691179">
        <w:trPr>
          <w:trHeight w:val="299"/>
          <w:jc w:val="center"/>
        </w:trPr>
        <w:tc>
          <w:tcPr>
            <w:tcW w:w="5954" w:type="dxa"/>
            <w:tcBorders>
              <w:top w:val="nil"/>
              <w:bottom w:val="nil"/>
            </w:tcBorders>
            <w:shd w:val="clear" w:color="auto" w:fill="FFFFFF" w:themeFill="background1"/>
          </w:tcPr>
          <w:p w14:paraId="1290EE8A" w14:textId="77777777" w:rsidR="0004342B" w:rsidRPr="00A96D90" w:rsidRDefault="0004342B" w:rsidP="00691179">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Europe</w:t>
            </w:r>
          </w:p>
        </w:tc>
        <w:tc>
          <w:tcPr>
            <w:tcW w:w="1451" w:type="dxa"/>
            <w:tcBorders>
              <w:top w:val="nil"/>
              <w:bottom w:val="nil"/>
            </w:tcBorders>
            <w:shd w:val="clear" w:color="auto" w:fill="F2F2F2" w:themeFill="background1" w:themeFillShade="F2"/>
          </w:tcPr>
          <w:p w14:paraId="5D1BF14F" w14:textId="77777777" w:rsidR="0004342B" w:rsidRPr="00E90ADC"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227</w:t>
            </w:r>
          </w:p>
        </w:tc>
        <w:tc>
          <w:tcPr>
            <w:tcW w:w="1451" w:type="dxa"/>
            <w:tcBorders>
              <w:top w:val="nil"/>
              <w:bottom w:val="nil"/>
            </w:tcBorders>
            <w:shd w:val="clear" w:color="auto" w:fill="FFFFFF" w:themeFill="background1"/>
          </w:tcPr>
          <w:p w14:paraId="140540FD" w14:textId="77777777" w:rsidR="0004342B" w:rsidRPr="00E90ADC"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411</w:t>
            </w:r>
          </w:p>
        </w:tc>
      </w:tr>
      <w:tr w:rsidR="0004342B" w:rsidRPr="00A96D90" w14:paraId="1F934B76" w14:textId="77777777" w:rsidTr="00691179">
        <w:trPr>
          <w:trHeight w:val="299"/>
          <w:jc w:val="center"/>
        </w:trPr>
        <w:tc>
          <w:tcPr>
            <w:tcW w:w="5954" w:type="dxa"/>
            <w:tcBorders>
              <w:top w:val="nil"/>
              <w:bottom w:val="nil"/>
            </w:tcBorders>
            <w:shd w:val="clear" w:color="auto" w:fill="FFFFFF" w:themeFill="background1"/>
          </w:tcPr>
          <w:p w14:paraId="58FDC732" w14:textId="77777777" w:rsidR="0004342B" w:rsidRPr="00A96D90" w:rsidRDefault="0004342B" w:rsidP="00691179">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RoW</w:t>
            </w:r>
          </w:p>
        </w:tc>
        <w:tc>
          <w:tcPr>
            <w:tcW w:w="1451" w:type="dxa"/>
            <w:tcBorders>
              <w:top w:val="nil"/>
              <w:bottom w:val="nil"/>
            </w:tcBorders>
            <w:shd w:val="clear" w:color="auto" w:fill="F2F2F2" w:themeFill="background1" w:themeFillShade="F2"/>
          </w:tcPr>
          <w:p w14:paraId="1ACFA8A0" w14:textId="77777777" w:rsidR="0004342B" w:rsidRPr="00E90ADC"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389</w:t>
            </w:r>
          </w:p>
        </w:tc>
        <w:tc>
          <w:tcPr>
            <w:tcW w:w="1451" w:type="dxa"/>
            <w:tcBorders>
              <w:top w:val="nil"/>
              <w:bottom w:val="nil"/>
            </w:tcBorders>
            <w:shd w:val="clear" w:color="auto" w:fill="FFFFFF" w:themeFill="background1"/>
          </w:tcPr>
          <w:p w14:paraId="2B84C556" w14:textId="77777777" w:rsidR="0004342B" w:rsidRPr="00E90ADC" w:rsidRDefault="0004342B" w:rsidP="00691179">
            <w:pPr>
              <w:jc w:val="right"/>
              <w:rPr>
                <w:rFonts w:asciiTheme="minorHAnsi" w:eastAsiaTheme="minorEastAsia" w:hAnsiTheme="minorHAnsi" w:cstheme="minorHAnsi"/>
                <w:color w:val="59595B"/>
                <w:sz w:val="20"/>
                <w:szCs w:val="20"/>
              </w:rPr>
            </w:pPr>
            <w:r>
              <w:rPr>
                <w:rFonts w:asciiTheme="minorHAnsi" w:eastAsiaTheme="minorEastAsia" w:hAnsiTheme="minorHAnsi" w:cstheme="minorHAnsi"/>
                <w:color w:val="59595B"/>
                <w:sz w:val="20"/>
                <w:szCs w:val="20"/>
              </w:rPr>
              <w:t>366</w:t>
            </w:r>
          </w:p>
        </w:tc>
      </w:tr>
      <w:tr w:rsidR="0004342B" w:rsidRPr="00610400" w14:paraId="0929CEBF" w14:textId="77777777" w:rsidTr="00691179">
        <w:trPr>
          <w:trHeight w:val="270"/>
          <w:jc w:val="center"/>
        </w:trPr>
        <w:tc>
          <w:tcPr>
            <w:tcW w:w="5954" w:type="dxa"/>
            <w:tcBorders>
              <w:top w:val="single" w:sz="4" w:space="0" w:color="A6A6A6" w:themeColor="background1" w:themeShade="A6"/>
              <w:bottom w:val="single" w:sz="4" w:space="0" w:color="A6A6A6" w:themeColor="background1" w:themeShade="A6"/>
            </w:tcBorders>
            <w:shd w:val="clear" w:color="auto" w:fill="FFFFFF" w:themeFill="background1"/>
          </w:tcPr>
          <w:p w14:paraId="70C2B1D3" w14:textId="77777777" w:rsidR="0004342B" w:rsidRPr="00E90ADC" w:rsidRDefault="0004342B" w:rsidP="00691179">
            <w:pPr>
              <w:rPr>
                <w:rFonts w:asciiTheme="minorHAnsi" w:eastAsiaTheme="minorEastAsia" w:hAnsiTheme="minorHAnsi" w:cstheme="minorHAnsi"/>
                <w:b/>
                <w:color w:val="0070C0"/>
                <w:sz w:val="20"/>
                <w:szCs w:val="20"/>
              </w:rPr>
            </w:pPr>
            <w:r w:rsidRPr="00E90ADC">
              <w:rPr>
                <w:rFonts w:asciiTheme="minorHAnsi" w:eastAsiaTheme="minorEastAsia" w:hAnsiTheme="minorHAnsi" w:cstheme="minorHAnsi"/>
                <w:b/>
                <w:color w:val="0070C0"/>
                <w:sz w:val="20"/>
                <w:szCs w:val="20"/>
                <w:lang w:val="en-GB"/>
              </w:rPr>
              <w:t xml:space="preserve">Total </w:t>
            </w:r>
            <w:r w:rsidRPr="00E90ADC">
              <w:rPr>
                <w:rFonts w:asciiTheme="minorHAnsi" w:eastAsiaTheme="minorEastAsia" w:hAnsiTheme="minorHAnsi" w:cstheme="minorHAnsi"/>
                <w:b/>
                <w:color w:val="0070C0"/>
                <w:sz w:val="20"/>
                <w:szCs w:val="20"/>
              </w:rPr>
              <w:t>gross profit</w:t>
            </w:r>
          </w:p>
        </w:tc>
        <w:tc>
          <w:tcPr>
            <w:tcW w:w="1451"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82CE230" w14:textId="77777777" w:rsidR="0004342B" w:rsidRPr="00E90ADC" w:rsidRDefault="0004342B" w:rsidP="00691179">
            <w:pPr>
              <w:jc w:val="right"/>
              <w:rPr>
                <w:rFonts w:asciiTheme="minorHAnsi" w:eastAsiaTheme="minorEastAsia" w:hAnsiTheme="minorHAnsi" w:cstheme="minorHAnsi"/>
                <w:b/>
                <w:color w:val="0070C0"/>
                <w:sz w:val="20"/>
                <w:szCs w:val="20"/>
              </w:rPr>
            </w:pPr>
            <w:r>
              <w:rPr>
                <w:rFonts w:asciiTheme="minorHAnsi" w:eastAsiaTheme="minorEastAsia" w:hAnsiTheme="minorHAnsi" w:cstheme="minorHAnsi"/>
                <w:b/>
                <w:color w:val="0070C0"/>
                <w:sz w:val="20"/>
                <w:szCs w:val="20"/>
              </w:rPr>
              <w:t>49,981</w:t>
            </w:r>
          </w:p>
        </w:tc>
        <w:tc>
          <w:tcPr>
            <w:tcW w:w="1451" w:type="dxa"/>
            <w:tcBorders>
              <w:bottom w:val="single" w:sz="4" w:space="0" w:color="A6A6A6" w:themeColor="background1" w:themeShade="A6"/>
            </w:tcBorders>
            <w:shd w:val="clear" w:color="auto" w:fill="FFFFFF" w:themeFill="background1"/>
          </w:tcPr>
          <w:p w14:paraId="6CEE3310" w14:textId="77777777" w:rsidR="0004342B" w:rsidRPr="00E90ADC" w:rsidRDefault="0004342B" w:rsidP="00691179">
            <w:pPr>
              <w:jc w:val="right"/>
              <w:rPr>
                <w:rFonts w:asciiTheme="minorHAnsi" w:eastAsiaTheme="minorEastAsia" w:hAnsiTheme="minorHAnsi" w:cstheme="minorHAnsi"/>
                <w:b/>
                <w:color w:val="0070C0"/>
                <w:sz w:val="20"/>
                <w:szCs w:val="20"/>
              </w:rPr>
            </w:pPr>
            <w:r>
              <w:rPr>
                <w:rFonts w:asciiTheme="minorHAnsi" w:eastAsiaTheme="minorEastAsia" w:hAnsiTheme="minorHAnsi" w:cstheme="minorHAnsi"/>
                <w:b/>
                <w:color w:val="0070C0"/>
                <w:sz w:val="20"/>
                <w:szCs w:val="20"/>
              </w:rPr>
              <w:t>26,988</w:t>
            </w:r>
          </w:p>
        </w:tc>
      </w:tr>
    </w:tbl>
    <w:p w14:paraId="5E9B5D0E" w14:textId="77777777" w:rsidR="0004342B" w:rsidRDefault="0004342B" w:rsidP="0004342B">
      <w:pPr>
        <w:pStyle w:val="ListParagraph"/>
        <w:autoSpaceDE w:val="0"/>
        <w:autoSpaceDN w:val="0"/>
        <w:adjustRightInd w:val="0"/>
        <w:spacing w:before="240"/>
        <w:rPr>
          <w:rFonts w:asciiTheme="majorHAnsi" w:hAnsiTheme="majorHAnsi" w:cstheme="minorHAnsi"/>
          <w:i/>
          <w:color w:val="59595B"/>
          <w:sz w:val="24"/>
          <w:szCs w:val="22"/>
          <w:lang w:val="en-GB"/>
        </w:rPr>
      </w:pPr>
    </w:p>
    <w:p w14:paraId="094DD4A8"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Expenses by nature</w:t>
      </w:r>
    </w:p>
    <w:p w14:paraId="09E3DA18" w14:textId="77777777" w:rsidR="0004342B" w:rsidRPr="00A96D90" w:rsidRDefault="0004342B" w:rsidP="0004342B">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Cost of product sales in the first half year of 201</w:t>
      </w:r>
      <w:r>
        <w:rPr>
          <w:rFonts w:ascii="Calibri Light" w:hAnsi="Calibri Light" w:cs="Calibri Light"/>
          <w:bCs w:val="0"/>
          <w:color w:val="59595B"/>
          <w:szCs w:val="20"/>
        </w:rPr>
        <w:t>8</w:t>
      </w:r>
      <w:r w:rsidRPr="00A96D90">
        <w:rPr>
          <w:rFonts w:ascii="Calibri Light" w:hAnsi="Calibri Light" w:cs="Calibri Light"/>
          <w:bCs w:val="0"/>
          <w:color w:val="59595B"/>
          <w:szCs w:val="20"/>
        </w:rPr>
        <w:t xml:space="preserve"> amounted to </w:t>
      </w:r>
      <w:r w:rsidRPr="00D12135">
        <w:rPr>
          <w:rFonts w:ascii="Calibri Light" w:hAnsi="Calibri Light" w:cs="Calibri Light"/>
          <w:bCs w:val="0"/>
          <w:color w:val="59595B"/>
          <w:szCs w:val="20"/>
        </w:rPr>
        <w:t>€9.5</w:t>
      </w:r>
      <w:r w:rsidRPr="00A96D90">
        <w:rPr>
          <w:rFonts w:ascii="Calibri Light" w:hAnsi="Calibri Light" w:cs="Calibri Light"/>
          <w:bCs w:val="0"/>
          <w:color w:val="59595B"/>
          <w:szCs w:val="20"/>
        </w:rPr>
        <w:t xml:space="preserve"> million (HY 201</w:t>
      </w:r>
      <w:r>
        <w:rPr>
          <w:rFonts w:ascii="Calibri Light" w:hAnsi="Calibri Light" w:cs="Calibri Light"/>
          <w:bCs w:val="0"/>
          <w:color w:val="59595B"/>
          <w:szCs w:val="20"/>
        </w:rPr>
        <w:t>7</w:t>
      </w:r>
      <w:r w:rsidRPr="00A96D90">
        <w:rPr>
          <w:rFonts w:ascii="Calibri Light" w:hAnsi="Calibri Light" w:cs="Calibri Light"/>
          <w:bCs w:val="0"/>
          <w:color w:val="59595B"/>
          <w:szCs w:val="20"/>
        </w:rPr>
        <w:t>: €</w:t>
      </w:r>
      <w:r>
        <w:rPr>
          <w:rFonts w:ascii="Calibri Light" w:hAnsi="Calibri Light" w:cs="Calibri Light"/>
          <w:bCs w:val="0"/>
          <w:color w:val="59595B"/>
          <w:szCs w:val="20"/>
        </w:rPr>
        <w:t>3.7</w:t>
      </w:r>
      <w:r w:rsidRPr="00A96D90">
        <w:rPr>
          <w:rFonts w:ascii="Calibri Light" w:hAnsi="Calibri Light" w:cs="Calibri Light"/>
          <w:bCs w:val="0"/>
          <w:color w:val="59595B"/>
          <w:szCs w:val="20"/>
        </w:rPr>
        <w:t xml:space="preserve"> million). Inventory impairments amounted to an addition of €0.</w:t>
      </w:r>
      <w:r>
        <w:rPr>
          <w:rFonts w:ascii="Calibri Light" w:hAnsi="Calibri Light" w:cs="Calibri Light"/>
          <w:bCs w:val="0"/>
          <w:color w:val="59595B"/>
          <w:szCs w:val="20"/>
        </w:rPr>
        <w:t>6</w:t>
      </w:r>
      <w:r w:rsidRPr="00A96D90">
        <w:rPr>
          <w:rFonts w:ascii="Calibri Light" w:hAnsi="Calibri Light" w:cs="Calibri Light"/>
          <w:bCs w:val="0"/>
          <w:color w:val="59595B"/>
          <w:szCs w:val="20"/>
        </w:rPr>
        <w:t xml:space="preserve"> million in the first half of 201</w:t>
      </w:r>
      <w:r>
        <w:rPr>
          <w:rFonts w:ascii="Calibri Light" w:hAnsi="Calibri Light" w:cs="Calibri Light"/>
          <w:bCs w:val="0"/>
          <w:color w:val="59595B"/>
          <w:szCs w:val="20"/>
        </w:rPr>
        <w:t>8</w:t>
      </w:r>
      <w:r w:rsidRPr="00A96D90">
        <w:rPr>
          <w:rFonts w:ascii="Calibri Light" w:hAnsi="Calibri Light" w:cs="Calibri Light"/>
          <w:bCs w:val="0"/>
          <w:color w:val="59595B"/>
          <w:szCs w:val="20"/>
        </w:rPr>
        <w:t xml:space="preserve"> (201</w:t>
      </w:r>
      <w:r>
        <w:rPr>
          <w:rFonts w:ascii="Calibri Light" w:hAnsi="Calibri Light" w:cs="Calibri Light"/>
          <w:bCs w:val="0"/>
          <w:color w:val="59595B"/>
          <w:szCs w:val="20"/>
        </w:rPr>
        <w:t>7</w:t>
      </w:r>
      <w:r w:rsidRPr="00A96D90">
        <w:rPr>
          <w:rFonts w:ascii="Calibri Light" w:hAnsi="Calibri Light" w:cs="Calibri Light"/>
          <w:bCs w:val="0"/>
          <w:color w:val="59595B"/>
          <w:szCs w:val="20"/>
        </w:rPr>
        <w:t>: addition of €0.</w:t>
      </w:r>
      <w:r>
        <w:rPr>
          <w:rFonts w:ascii="Calibri Light" w:hAnsi="Calibri Light" w:cs="Calibri Light"/>
          <w:bCs w:val="0"/>
          <w:color w:val="59595B"/>
          <w:szCs w:val="20"/>
        </w:rPr>
        <w:t>1</w:t>
      </w:r>
      <w:r w:rsidRPr="00A96D90">
        <w:rPr>
          <w:rFonts w:ascii="Calibri Light" w:hAnsi="Calibri Light" w:cs="Calibri Light"/>
          <w:bCs w:val="0"/>
          <w:color w:val="59595B"/>
          <w:szCs w:val="20"/>
        </w:rPr>
        <w:t xml:space="preserve"> million). The impairment stems from the valuation of the inventories against lower net reali</w:t>
      </w:r>
      <w:r>
        <w:rPr>
          <w:rFonts w:ascii="Calibri Light" w:hAnsi="Calibri Light" w:cs="Calibri Light"/>
          <w:bCs w:val="0"/>
          <w:color w:val="59595B"/>
          <w:szCs w:val="20"/>
        </w:rPr>
        <w:t>z</w:t>
      </w:r>
      <w:r w:rsidRPr="00A96D90">
        <w:rPr>
          <w:rFonts w:ascii="Calibri Light" w:hAnsi="Calibri Light" w:cs="Calibri Light"/>
          <w:bCs w:val="0"/>
          <w:color w:val="59595B"/>
          <w:szCs w:val="20"/>
        </w:rPr>
        <w:t xml:space="preserve">able value, related to reallocation of inventories to the different markets with different prices, based on sales forecasts by management and commercial partners, and clinical programmes. </w:t>
      </w:r>
    </w:p>
    <w:p w14:paraId="053292E1" w14:textId="5175771E" w:rsidR="0004342B" w:rsidRPr="00A96D90" w:rsidRDefault="0004342B" w:rsidP="0004342B">
      <w:pPr>
        <w:pStyle w:val="AL"/>
        <w:spacing w:after="120"/>
        <w:rPr>
          <w:rFonts w:ascii="Calibri Light" w:hAnsi="Calibri Light" w:cs="Calibri Light"/>
          <w:bCs w:val="0"/>
          <w:color w:val="59595B"/>
          <w:szCs w:val="20"/>
        </w:rPr>
      </w:pPr>
      <w:r w:rsidRPr="00CE7010">
        <w:rPr>
          <w:rFonts w:ascii="Calibri Light" w:hAnsi="Calibri Light" w:cs="Calibri Light"/>
          <w:bCs w:val="0"/>
          <w:color w:val="59595B"/>
          <w:szCs w:val="20"/>
        </w:rPr>
        <w:t>Operating costs increased to €34.0 million (€33.7 million net of research credit grant income) from €22.9 million in the first half year of 2017. The increase is a result of the increased sales activities in</w:t>
      </w:r>
      <w:r w:rsidRPr="00A96D90">
        <w:rPr>
          <w:rFonts w:ascii="Calibri Light" w:hAnsi="Calibri Light" w:cs="Calibri Light"/>
          <w:bCs w:val="0"/>
          <w:color w:val="59595B"/>
          <w:szCs w:val="20"/>
        </w:rPr>
        <w:t xml:space="preserve"> the US</w:t>
      </w:r>
      <w:r>
        <w:rPr>
          <w:rFonts w:ascii="Calibri Light" w:hAnsi="Calibri Light" w:cs="Calibri Light"/>
          <w:bCs w:val="0"/>
          <w:color w:val="59595B"/>
          <w:szCs w:val="20"/>
        </w:rPr>
        <w:t xml:space="preserve">, </w:t>
      </w:r>
      <w:r w:rsidRPr="00A96D90">
        <w:rPr>
          <w:rFonts w:ascii="Calibri Light" w:hAnsi="Calibri Light" w:cs="Calibri Light"/>
          <w:bCs w:val="0"/>
          <w:color w:val="59595B"/>
          <w:szCs w:val="20"/>
        </w:rPr>
        <w:t xml:space="preserve">increased </w:t>
      </w:r>
      <w:r>
        <w:rPr>
          <w:rFonts w:ascii="Calibri Light" w:hAnsi="Calibri Light" w:cs="Calibri Light"/>
          <w:bCs w:val="0"/>
          <w:color w:val="59595B"/>
          <w:szCs w:val="20"/>
        </w:rPr>
        <w:t xml:space="preserve">development </w:t>
      </w:r>
      <w:r w:rsidRPr="00A96D90">
        <w:rPr>
          <w:rFonts w:ascii="Calibri Light" w:hAnsi="Calibri Light" w:cs="Calibri Light"/>
          <w:bCs w:val="0"/>
          <w:color w:val="59595B"/>
          <w:szCs w:val="20"/>
        </w:rPr>
        <w:t xml:space="preserve">costs </w:t>
      </w:r>
      <w:r>
        <w:rPr>
          <w:rFonts w:ascii="Calibri Light" w:hAnsi="Calibri Light" w:cs="Calibri Light"/>
          <w:bCs w:val="0"/>
          <w:color w:val="59595B"/>
          <w:szCs w:val="20"/>
        </w:rPr>
        <w:t xml:space="preserve">for both our current product as the new pipeline, and </w:t>
      </w:r>
      <w:r w:rsidR="002904A2">
        <w:rPr>
          <w:rFonts w:ascii="Calibri Light" w:hAnsi="Calibri Light" w:cs="Calibri Light"/>
          <w:bCs w:val="0"/>
          <w:color w:val="59595B"/>
          <w:szCs w:val="20"/>
        </w:rPr>
        <w:t>increased cost</w:t>
      </w:r>
      <w:r>
        <w:rPr>
          <w:rFonts w:ascii="Calibri Light" w:hAnsi="Calibri Light" w:cs="Calibri Light"/>
          <w:bCs w:val="0"/>
          <w:color w:val="59595B"/>
          <w:szCs w:val="20"/>
        </w:rPr>
        <w:t xml:space="preserve"> for strengthening of supporting departments</w:t>
      </w:r>
      <w:r w:rsidRPr="00A96D90">
        <w:rPr>
          <w:rFonts w:ascii="Calibri Light" w:hAnsi="Calibri Light" w:cs="Calibri Light"/>
          <w:bCs w:val="0"/>
          <w:color w:val="59595B"/>
          <w:szCs w:val="20"/>
        </w:rPr>
        <w:t>.</w:t>
      </w:r>
    </w:p>
    <w:p w14:paraId="00397225" w14:textId="77777777" w:rsidR="0004342B" w:rsidRPr="00A96D90" w:rsidRDefault="0004342B" w:rsidP="0004342B">
      <w:pPr>
        <w:ind w:firstLine="720"/>
        <w:rPr>
          <w:rFonts w:ascii="Calibri" w:hAnsi="Calibri"/>
          <w:i/>
          <w:color w:val="00679B"/>
          <w:lang w:val="en-GB"/>
        </w:rPr>
      </w:pPr>
    </w:p>
    <w:p w14:paraId="36DCB5F5" w14:textId="77777777" w:rsidR="0004342B" w:rsidRPr="00A96D90" w:rsidRDefault="0004342B" w:rsidP="0004342B">
      <w:pPr>
        <w:ind w:firstLine="720"/>
        <w:rPr>
          <w:rFonts w:ascii="Calibri" w:hAnsi="Calibri"/>
          <w:i/>
          <w:color w:val="00679B"/>
          <w:lang w:val="en-GB"/>
        </w:rPr>
      </w:pPr>
      <w:r w:rsidRPr="00A96D90">
        <w:rPr>
          <w:rFonts w:ascii="Calibri" w:hAnsi="Calibri"/>
          <w:i/>
          <w:color w:val="00679B"/>
          <w:lang w:val="en-GB"/>
        </w:rPr>
        <w:t xml:space="preserve">Employee benefits </w:t>
      </w:r>
    </w:p>
    <w:p w14:paraId="4C3D3A8B" w14:textId="77777777" w:rsidR="0004342B" w:rsidRPr="00A96D90" w:rsidRDefault="0004342B" w:rsidP="0004342B">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Employee benefits are charged to </w:t>
      </w:r>
      <w:r>
        <w:rPr>
          <w:rFonts w:ascii="Calibri Light" w:hAnsi="Calibri Light" w:cs="Calibri Light"/>
          <w:bCs w:val="0"/>
          <w:color w:val="59595B"/>
          <w:szCs w:val="20"/>
        </w:rPr>
        <w:t>r</w:t>
      </w:r>
      <w:r w:rsidRPr="00A96D90">
        <w:rPr>
          <w:rFonts w:ascii="Calibri Light" w:hAnsi="Calibri Light" w:cs="Calibri Light"/>
          <w:bCs w:val="0"/>
          <w:color w:val="59595B"/>
          <w:szCs w:val="20"/>
        </w:rPr>
        <w:t>esearch and development costs</w:t>
      </w:r>
      <w:r>
        <w:rPr>
          <w:rFonts w:ascii="Calibri Light" w:hAnsi="Calibri Light" w:cs="Calibri Light"/>
          <w:bCs w:val="0"/>
          <w:color w:val="59595B"/>
          <w:szCs w:val="20"/>
        </w:rPr>
        <w:t>, g</w:t>
      </w:r>
      <w:r w:rsidRPr="00A96D90">
        <w:rPr>
          <w:rFonts w:ascii="Calibri Light" w:hAnsi="Calibri Light" w:cs="Calibri Light"/>
          <w:bCs w:val="0"/>
          <w:color w:val="59595B"/>
          <w:szCs w:val="20"/>
        </w:rPr>
        <w:t xml:space="preserve">eneral and administrative costs or </w:t>
      </w:r>
      <w:r>
        <w:rPr>
          <w:rFonts w:ascii="Calibri Light" w:hAnsi="Calibri Light" w:cs="Calibri Light"/>
          <w:bCs w:val="0"/>
          <w:color w:val="59595B"/>
          <w:szCs w:val="20"/>
        </w:rPr>
        <w:t>m</w:t>
      </w:r>
      <w:r w:rsidRPr="00A96D90">
        <w:rPr>
          <w:rFonts w:ascii="Calibri Light" w:hAnsi="Calibri Light" w:cs="Calibri Light"/>
          <w:bCs w:val="0"/>
          <w:color w:val="59595B"/>
          <w:szCs w:val="20"/>
        </w:rPr>
        <w:t xml:space="preserve">arketing and </w:t>
      </w:r>
      <w:r>
        <w:rPr>
          <w:rFonts w:ascii="Calibri Light" w:hAnsi="Calibri Light" w:cs="Calibri Light"/>
          <w:bCs w:val="0"/>
          <w:color w:val="59595B"/>
          <w:szCs w:val="20"/>
        </w:rPr>
        <w:t>s</w:t>
      </w:r>
      <w:r w:rsidRPr="00A96D90">
        <w:rPr>
          <w:rFonts w:ascii="Calibri Light" w:hAnsi="Calibri Light" w:cs="Calibri Light"/>
          <w:bCs w:val="0"/>
          <w:color w:val="59595B"/>
          <w:szCs w:val="20"/>
        </w:rPr>
        <w:t>ales costs based on the nature of the services provided.</w:t>
      </w:r>
    </w:p>
    <w:p w14:paraId="63FBB3BF" w14:textId="77777777" w:rsidR="0004342B" w:rsidRPr="00A96D90" w:rsidRDefault="0004342B" w:rsidP="0004342B">
      <w:pPr>
        <w:ind w:firstLine="720"/>
        <w:rPr>
          <w:rFonts w:ascii="Calibri" w:hAnsi="Calibri"/>
          <w:i/>
          <w:color w:val="00679B"/>
          <w:lang w:val="en-GB"/>
        </w:rPr>
      </w:pPr>
    </w:p>
    <w:p w14:paraId="4A2B8AA4" w14:textId="77777777" w:rsidR="0004342B" w:rsidRPr="00A96D90" w:rsidRDefault="0004342B" w:rsidP="0004342B">
      <w:pPr>
        <w:ind w:firstLine="720"/>
        <w:rPr>
          <w:rFonts w:ascii="Calibri" w:hAnsi="Calibri"/>
          <w:i/>
          <w:color w:val="00679B"/>
          <w:lang w:val="en-GB"/>
        </w:rPr>
      </w:pPr>
      <w:r w:rsidRPr="00A96D90">
        <w:rPr>
          <w:rFonts w:ascii="Calibri" w:hAnsi="Calibri"/>
          <w:i/>
          <w:color w:val="00679B"/>
          <w:lang w:val="en-GB"/>
        </w:rPr>
        <w:t>Depreciation and amorti</w:t>
      </w:r>
      <w:r>
        <w:rPr>
          <w:rFonts w:ascii="Calibri" w:hAnsi="Calibri"/>
          <w:i/>
          <w:color w:val="00679B"/>
        </w:rPr>
        <w:t>z</w:t>
      </w:r>
      <w:r w:rsidRPr="00A96D90">
        <w:rPr>
          <w:rFonts w:ascii="Calibri" w:hAnsi="Calibri"/>
          <w:i/>
          <w:color w:val="00679B"/>
          <w:lang w:val="en-GB"/>
        </w:rPr>
        <w:t>ation charges</w:t>
      </w:r>
    </w:p>
    <w:p w14:paraId="037290C5" w14:textId="77777777" w:rsidR="0004342B" w:rsidRPr="00A96D90" w:rsidRDefault="0004342B" w:rsidP="0004342B">
      <w:pPr>
        <w:rPr>
          <w:rFonts w:ascii="Calibri" w:hAnsi="Calibri"/>
          <w:b/>
          <w:color w:val="59595B"/>
          <w:lang w:val="en-GB"/>
        </w:rPr>
      </w:pPr>
    </w:p>
    <w:tbl>
      <w:tblPr>
        <w:tblW w:w="9310" w:type="dxa"/>
        <w:jc w:val="center"/>
        <w:shd w:val="clear" w:color="auto" w:fill="FFFFFF" w:themeFill="background1"/>
        <w:tblLook w:val="04A0" w:firstRow="1" w:lastRow="0" w:firstColumn="1" w:lastColumn="0" w:noHBand="0" w:noVBand="1"/>
      </w:tblPr>
      <w:tblGrid>
        <w:gridCol w:w="6237"/>
        <w:gridCol w:w="1536"/>
        <w:gridCol w:w="1537"/>
      </w:tblGrid>
      <w:tr w:rsidR="0004342B" w:rsidRPr="007516AE" w14:paraId="2ABE96D9" w14:textId="77777777" w:rsidTr="00691179">
        <w:trPr>
          <w:trHeight w:val="264"/>
          <w:jc w:val="center"/>
        </w:trPr>
        <w:tc>
          <w:tcPr>
            <w:tcW w:w="6237" w:type="dxa"/>
            <w:tcBorders>
              <w:bottom w:val="single" w:sz="2" w:space="0" w:color="BFBFBF" w:themeColor="background1" w:themeShade="BF"/>
            </w:tcBorders>
            <w:shd w:val="clear" w:color="auto" w:fill="0070C0"/>
          </w:tcPr>
          <w:p w14:paraId="5D288B37" w14:textId="77777777" w:rsidR="0004342B" w:rsidRPr="00E90ADC" w:rsidRDefault="0004342B" w:rsidP="00691179">
            <w:pPr>
              <w:rPr>
                <w:rFonts w:asciiTheme="minorHAnsi" w:hAnsiTheme="minorHAnsi"/>
                <w:b/>
                <w:bCs/>
                <w:i/>
                <w:color w:val="FFFFFF" w:themeColor="background1"/>
                <w:sz w:val="20"/>
                <w:szCs w:val="20"/>
                <w:lang w:val="en-GB"/>
              </w:rPr>
            </w:pPr>
            <w:r w:rsidRPr="00E90ADC">
              <w:rPr>
                <w:rFonts w:asciiTheme="minorHAnsi" w:hAnsiTheme="minorHAnsi"/>
                <w:b/>
                <w:bCs/>
                <w:i/>
                <w:color w:val="FFFFFF" w:themeColor="background1"/>
                <w:sz w:val="16"/>
                <w:szCs w:val="20"/>
                <w:lang w:val="en-GB"/>
              </w:rPr>
              <w:t>Amounts in € ‘000</w:t>
            </w:r>
          </w:p>
        </w:tc>
        <w:tc>
          <w:tcPr>
            <w:tcW w:w="1536" w:type="dxa"/>
            <w:tcBorders>
              <w:bottom w:val="single" w:sz="2" w:space="0" w:color="BFBFBF" w:themeColor="background1" w:themeShade="BF"/>
            </w:tcBorders>
            <w:shd w:val="clear" w:color="auto" w:fill="0070C0"/>
          </w:tcPr>
          <w:p w14:paraId="777198EA" w14:textId="77777777" w:rsidR="0004342B" w:rsidRPr="00E90ADC" w:rsidRDefault="0004342B" w:rsidP="00691179">
            <w:pPr>
              <w:jc w:val="right"/>
              <w:rPr>
                <w:rFonts w:asciiTheme="minorHAnsi" w:hAnsiTheme="minorHAnsi"/>
                <w:b/>
                <w:bCs/>
                <w:color w:val="FFFFFF" w:themeColor="background1"/>
                <w:sz w:val="20"/>
                <w:szCs w:val="20"/>
                <w:lang w:val="en-GB"/>
              </w:rPr>
            </w:pPr>
            <w:r w:rsidRPr="00E90ADC">
              <w:rPr>
                <w:rFonts w:asciiTheme="minorHAnsi" w:hAnsiTheme="minorHAnsi"/>
                <w:b/>
                <w:bCs/>
                <w:color w:val="FFFFFF" w:themeColor="background1"/>
                <w:sz w:val="20"/>
                <w:szCs w:val="20"/>
                <w:lang w:val="en-GB"/>
              </w:rPr>
              <w:t xml:space="preserve"> HY 201</w:t>
            </w:r>
            <w:r w:rsidRPr="00E90ADC">
              <w:rPr>
                <w:rFonts w:asciiTheme="minorHAnsi" w:hAnsiTheme="minorHAnsi"/>
                <w:b/>
                <w:bCs/>
                <w:color w:val="FFFFFF" w:themeColor="background1"/>
                <w:sz w:val="20"/>
                <w:szCs w:val="20"/>
              </w:rPr>
              <w:t>8</w:t>
            </w:r>
          </w:p>
        </w:tc>
        <w:tc>
          <w:tcPr>
            <w:tcW w:w="1537" w:type="dxa"/>
            <w:tcBorders>
              <w:bottom w:val="single" w:sz="2" w:space="0" w:color="BFBFBF" w:themeColor="background1" w:themeShade="BF"/>
            </w:tcBorders>
            <w:shd w:val="clear" w:color="auto" w:fill="0070C0"/>
          </w:tcPr>
          <w:p w14:paraId="5C044457" w14:textId="77777777" w:rsidR="0004342B" w:rsidRPr="00E90ADC" w:rsidRDefault="0004342B" w:rsidP="00691179">
            <w:pPr>
              <w:tabs>
                <w:tab w:val="center" w:pos="831"/>
                <w:tab w:val="right" w:pos="1662"/>
              </w:tabs>
              <w:rPr>
                <w:rFonts w:asciiTheme="minorHAnsi" w:hAnsiTheme="minorHAnsi"/>
                <w:b/>
                <w:bCs/>
                <w:color w:val="FFFFFF" w:themeColor="background1"/>
                <w:sz w:val="20"/>
                <w:szCs w:val="20"/>
                <w:lang w:val="en-GB"/>
              </w:rPr>
            </w:pPr>
            <w:r w:rsidRPr="00E90ADC">
              <w:rPr>
                <w:rFonts w:asciiTheme="minorHAnsi" w:hAnsiTheme="minorHAnsi"/>
                <w:b/>
                <w:bCs/>
                <w:color w:val="FFFFFF" w:themeColor="background1"/>
                <w:sz w:val="20"/>
                <w:szCs w:val="20"/>
                <w:lang w:val="en-GB"/>
              </w:rPr>
              <w:tab/>
              <w:t>HY 201</w:t>
            </w:r>
            <w:r w:rsidRPr="00E90ADC">
              <w:rPr>
                <w:rFonts w:asciiTheme="minorHAnsi" w:hAnsiTheme="minorHAnsi"/>
                <w:b/>
                <w:bCs/>
                <w:color w:val="FFFFFF" w:themeColor="background1"/>
                <w:sz w:val="20"/>
                <w:szCs w:val="20"/>
              </w:rPr>
              <w:t>7</w:t>
            </w:r>
          </w:p>
        </w:tc>
      </w:tr>
      <w:tr w:rsidR="0004342B" w:rsidRPr="00A96D90" w14:paraId="5718F5B0" w14:textId="77777777" w:rsidTr="00691179">
        <w:trPr>
          <w:trHeight w:val="264"/>
          <w:jc w:val="center"/>
        </w:trPr>
        <w:tc>
          <w:tcPr>
            <w:tcW w:w="6237" w:type="dxa"/>
            <w:tcBorders>
              <w:top w:val="single" w:sz="2" w:space="0" w:color="BFBFBF" w:themeColor="background1" w:themeShade="BF"/>
              <w:right w:val="single" w:sz="2" w:space="0" w:color="BFBFBF" w:themeColor="background1" w:themeShade="BF"/>
            </w:tcBorders>
            <w:shd w:val="clear" w:color="auto" w:fill="FFFFFF" w:themeFill="background1"/>
          </w:tcPr>
          <w:p w14:paraId="6CADC31E" w14:textId="77777777" w:rsidR="0004342B" w:rsidRPr="00A96D90" w:rsidRDefault="0004342B" w:rsidP="00691179">
            <w:pPr>
              <w:rPr>
                <w:rFonts w:asciiTheme="minorHAnsi" w:hAnsiTheme="minorHAnsi"/>
                <w:bCs/>
                <w:color w:val="59595B"/>
                <w:sz w:val="20"/>
                <w:szCs w:val="20"/>
                <w:lang w:val="en-GB"/>
              </w:rPr>
            </w:pPr>
            <w:r w:rsidRPr="00A96D90">
              <w:rPr>
                <w:rFonts w:asciiTheme="minorHAnsi" w:hAnsiTheme="minorHAnsi"/>
                <w:color w:val="59595B"/>
                <w:sz w:val="20"/>
                <w:szCs w:val="20"/>
                <w:lang w:val="en-GB"/>
              </w:rPr>
              <w:t>Property, plant and equipment</w:t>
            </w:r>
          </w:p>
        </w:tc>
        <w:tc>
          <w:tcPr>
            <w:tcW w:w="1536"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61235041" w14:textId="77777777" w:rsidR="0004342B" w:rsidRPr="003E0E8D" w:rsidRDefault="0004342B" w:rsidP="00691179">
            <w:pPr>
              <w:jc w:val="right"/>
              <w:rPr>
                <w:rFonts w:asciiTheme="minorHAnsi" w:hAnsiTheme="minorHAnsi"/>
                <w:bCs/>
                <w:color w:val="59595B"/>
                <w:sz w:val="20"/>
                <w:szCs w:val="20"/>
              </w:rPr>
            </w:pPr>
            <w:r>
              <w:rPr>
                <w:rFonts w:asciiTheme="minorHAnsi" w:hAnsiTheme="minorHAnsi"/>
                <w:bCs/>
                <w:color w:val="59595B"/>
                <w:sz w:val="20"/>
                <w:szCs w:val="20"/>
              </w:rPr>
              <w:t>(480)</w:t>
            </w:r>
          </w:p>
        </w:tc>
        <w:tc>
          <w:tcPr>
            <w:tcW w:w="1537"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22CABF48" w14:textId="77777777" w:rsidR="0004342B" w:rsidRPr="00A96D90" w:rsidRDefault="0004342B" w:rsidP="00691179">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(2</w:t>
            </w:r>
            <w:r>
              <w:rPr>
                <w:rFonts w:asciiTheme="minorHAnsi" w:hAnsiTheme="minorHAnsi"/>
                <w:bCs/>
                <w:color w:val="59595B"/>
                <w:sz w:val="20"/>
                <w:szCs w:val="20"/>
              </w:rPr>
              <w:t>66)</w:t>
            </w:r>
          </w:p>
        </w:tc>
      </w:tr>
      <w:tr w:rsidR="0004342B" w:rsidRPr="00A96D90" w14:paraId="19D70763" w14:textId="77777777" w:rsidTr="00691179">
        <w:trPr>
          <w:trHeight w:val="264"/>
          <w:jc w:val="center"/>
        </w:trPr>
        <w:tc>
          <w:tcPr>
            <w:tcW w:w="6237" w:type="dxa"/>
            <w:tcBorders>
              <w:bottom w:val="single" w:sz="2" w:space="0" w:color="BFBFBF" w:themeColor="background1" w:themeShade="BF"/>
              <w:right w:val="single" w:sz="2" w:space="0" w:color="BFBFBF" w:themeColor="background1" w:themeShade="BF"/>
            </w:tcBorders>
            <w:shd w:val="clear" w:color="auto" w:fill="FFFFFF" w:themeFill="background1"/>
          </w:tcPr>
          <w:p w14:paraId="7396342E" w14:textId="77777777" w:rsidR="0004342B" w:rsidRPr="00A96D90" w:rsidRDefault="0004342B" w:rsidP="00691179">
            <w:pPr>
              <w:rPr>
                <w:rFonts w:asciiTheme="minorHAnsi" w:hAnsiTheme="minorHAnsi"/>
                <w:bCs/>
                <w:color w:val="59595B"/>
                <w:sz w:val="20"/>
                <w:szCs w:val="20"/>
                <w:lang w:val="en-GB"/>
              </w:rPr>
            </w:pPr>
            <w:r w:rsidRPr="00A96D90">
              <w:rPr>
                <w:rFonts w:asciiTheme="minorHAnsi" w:hAnsiTheme="minorHAnsi"/>
                <w:color w:val="59595B"/>
                <w:sz w:val="20"/>
                <w:szCs w:val="20"/>
                <w:lang w:val="en-GB"/>
              </w:rPr>
              <w:t>Intangible assets</w:t>
            </w:r>
          </w:p>
        </w:tc>
        <w:tc>
          <w:tcPr>
            <w:tcW w:w="1536"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45CC158" w14:textId="77777777" w:rsidR="0004342B" w:rsidRPr="003E0E8D" w:rsidRDefault="0004342B" w:rsidP="00691179">
            <w:pPr>
              <w:jc w:val="right"/>
              <w:rPr>
                <w:rFonts w:asciiTheme="minorHAnsi" w:hAnsiTheme="minorHAnsi"/>
                <w:bCs/>
                <w:color w:val="59595B"/>
                <w:sz w:val="20"/>
                <w:szCs w:val="20"/>
              </w:rPr>
            </w:pPr>
            <w:r>
              <w:rPr>
                <w:rFonts w:asciiTheme="minorHAnsi" w:hAnsiTheme="minorHAnsi"/>
                <w:bCs/>
                <w:color w:val="59595B"/>
                <w:sz w:val="20"/>
                <w:szCs w:val="20"/>
              </w:rPr>
              <w:t>(1,423)</w:t>
            </w:r>
          </w:p>
        </w:tc>
        <w:tc>
          <w:tcPr>
            <w:tcW w:w="1537"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57237E4" w14:textId="77777777" w:rsidR="0004342B" w:rsidRPr="00A96D90" w:rsidRDefault="0004342B" w:rsidP="00691179">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w:t>
            </w:r>
            <w:r>
              <w:rPr>
                <w:rFonts w:asciiTheme="minorHAnsi" w:hAnsiTheme="minorHAnsi"/>
                <w:bCs/>
                <w:color w:val="59595B"/>
                <w:sz w:val="20"/>
                <w:szCs w:val="20"/>
              </w:rPr>
              <w:t>1,423</w:t>
            </w:r>
            <w:r w:rsidRPr="00A96D90">
              <w:rPr>
                <w:rFonts w:asciiTheme="minorHAnsi" w:hAnsiTheme="minorHAnsi"/>
                <w:bCs/>
                <w:color w:val="59595B"/>
                <w:sz w:val="20"/>
                <w:szCs w:val="20"/>
                <w:lang w:val="en-GB"/>
              </w:rPr>
              <w:t>)</w:t>
            </w:r>
          </w:p>
        </w:tc>
      </w:tr>
      <w:tr w:rsidR="0004342B" w:rsidRPr="00A96D90" w14:paraId="374F7D50" w14:textId="77777777" w:rsidTr="00691179">
        <w:trPr>
          <w:trHeight w:val="275"/>
          <w:jc w:val="center"/>
        </w:trPr>
        <w:tc>
          <w:tcPr>
            <w:tcW w:w="6237"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9432778" w14:textId="77777777" w:rsidR="0004342B" w:rsidRPr="003814CF" w:rsidRDefault="0004342B" w:rsidP="00691179">
            <w:pPr>
              <w:rPr>
                <w:rFonts w:asciiTheme="minorHAnsi" w:hAnsiTheme="minorHAnsi"/>
                <w:b/>
                <w:bCs/>
                <w:color w:val="59595B"/>
                <w:sz w:val="20"/>
                <w:szCs w:val="20"/>
              </w:rPr>
            </w:pPr>
            <w:r w:rsidRPr="00A96D90">
              <w:rPr>
                <w:rFonts w:asciiTheme="minorHAnsi" w:hAnsiTheme="minorHAnsi"/>
                <w:b/>
                <w:bCs/>
                <w:color w:val="59595B"/>
                <w:sz w:val="20"/>
                <w:szCs w:val="20"/>
                <w:lang w:val="en-GB"/>
              </w:rPr>
              <w:t>Total</w:t>
            </w:r>
            <w:r>
              <w:rPr>
                <w:rFonts w:asciiTheme="minorHAnsi" w:hAnsiTheme="minorHAnsi"/>
                <w:b/>
                <w:bCs/>
                <w:color w:val="59595B"/>
                <w:sz w:val="20"/>
                <w:szCs w:val="20"/>
              </w:rPr>
              <w:t xml:space="preserve"> depreciation and amortization</w:t>
            </w:r>
          </w:p>
        </w:tc>
        <w:tc>
          <w:tcPr>
            <w:tcW w:w="153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504E23E0" w14:textId="77777777" w:rsidR="0004342B" w:rsidRPr="003E0E8D" w:rsidRDefault="0004342B" w:rsidP="00691179">
            <w:pPr>
              <w:jc w:val="right"/>
              <w:rPr>
                <w:rFonts w:asciiTheme="minorHAnsi" w:hAnsiTheme="minorHAnsi"/>
                <w:b/>
                <w:bCs/>
                <w:color w:val="59595B"/>
                <w:sz w:val="20"/>
                <w:szCs w:val="20"/>
              </w:rPr>
            </w:pPr>
            <w:r>
              <w:rPr>
                <w:rFonts w:asciiTheme="minorHAnsi" w:hAnsiTheme="minorHAnsi"/>
                <w:b/>
                <w:bCs/>
                <w:color w:val="59595B"/>
                <w:sz w:val="20"/>
                <w:szCs w:val="20"/>
              </w:rPr>
              <w:t>(1,903)</w:t>
            </w:r>
          </w:p>
        </w:tc>
        <w:tc>
          <w:tcPr>
            <w:tcW w:w="153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0C316D3" w14:textId="77777777" w:rsidR="0004342B" w:rsidRPr="00A96D90" w:rsidRDefault="0004342B" w:rsidP="00691179">
            <w:pPr>
              <w:jc w:val="right"/>
              <w:rPr>
                <w:rFonts w:asciiTheme="minorHAnsi" w:hAnsiTheme="minorHAnsi"/>
                <w:b/>
                <w:bCs/>
                <w:color w:val="59595B"/>
                <w:sz w:val="20"/>
                <w:szCs w:val="20"/>
                <w:lang w:val="en-GB"/>
              </w:rPr>
            </w:pPr>
            <w:r w:rsidRPr="00A96D90">
              <w:rPr>
                <w:rFonts w:asciiTheme="minorHAnsi" w:hAnsiTheme="minorHAnsi"/>
                <w:b/>
                <w:bCs/>
                <w:color w:val="59595B"/>
                <w:sz w:val="20"/>
                <w:szCs w:val="20"/>
                <w:lang w:val="en-GB"/>
              </w:rPr>
              <w:t>(</w:t>
            </w:r>
            <w:r>
              <w:rPr>
                <w:rFonts w:asciiTheme="minorHAnsi" w:hAnsiTheme="minorHAnsi"/>
                <w:b/>
                <w:bCs/>
                <w:color w:val="59595B"/>
                <w:sz w:val="20"/>
                <w:szCs w:val="20"/>
              </w:rPr>
              <w:t>1,689</w:t>
            </w:r>
            <w:r w:rsidRPr="00A96D90">
              <w:rPr>
                <w:rFonts w:asciiTheme="minorHAnsi" w:hAnsiTheme="minorHAnsi"/>
                <w:b/>
                <w:bCs/>
                <w:color w:val="59595B"/>
                <w:sz w:val="20"/>
                <w:szCs w:val="20"/>
                <w:lang w:val="en-GB"/>
              </w:rPr>
              <w:t>)</w:t>
            </w:r>
          </w:p>
        </w:tc>
      </w:tr>
    </w:tbl>
    <w:p w14:paraId="7F8725AC" w14:textId="77777777" w:rsidR="0004342B" w:rsidRPr="00A96D90" w:rsidRDefault="0004342B" w:rsidP="0004342B">
      <w:pPr>
        <w:pStyle w:val="AL"/>
        <w:rPr>
          <w:rFonts w:ascii="Calibri" w:hAnsi="Calibri"/>
          <w:color w:val="59595B"/>
        </w:rPr>
      </w:pPr>
    </w:p>
    <w:p w14:paraId="7EBD3FDA" w14:textId="77777777" w:rsidR="0004342B" w:rsidRPr="00A96D90" w:rsidRDefault="0004342B" w:rsidP="0004342B">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The </w:t>
      </w:r>
      <w:r>
        <w:rPr>
          <w:rFonts w:ascii="Calibri Light" w:hAnsi="Calibri Light" w:cs="Calibri Light"/>
          <w:bCs w:val="0"/>
          <w:color w:val="59595B"/>
          <w:szCs w:val="20"/>
        </w:rPr>
        <w:t xml:space="preserve">increase </w:t>
      </w:r>
      <w:r w:rsidRPr="00A96D90">
        <w:rPr>
          <w:rFonts w:ascii="Calibri Light" w:hAnsi="Calibri Light" w:cs="Calibri Light"/>
          <w:bCs w:val="0"/>
          <w:color w:val="59595B"/>
          <w:szCs w:val="20"/>
        </w:rPr>
        <w:t>of depreciation charges of property, plant and equipment in the first half year of 201</w:t>
      </w:r>
      <w:r>
        <w:rPr>
          <w:rFonts w:ascii="Calibri Light" w:hAnsi="Calibri Light" w:cs="Calibri Light"/>
          <w:bCs w:val="0"/>
          <w:color w:val="59595B"/>
          <w:szCs w:val="20"/>
        </w:rPr>
        <w:t>8</w:t>
      </w:r>
      <w:r w:rsidRPr="00A96D90">
        <w:rPr>
          <w:rFonts w:ascii="Calibri Light" w:hAnsi="Calibri Light" w:cs="Calibri Light"/>
          <w:bCs w:val="0"/>
          <w:color w:val="59595B"/>
          <w:szCs w:val="20"/>
        </w:rPr>
        <w:t xml:space="preserve"> compared to 201</w:t>
      </w:r>
      <w:r>
        <w:rPr>
          <w:rFonts w:ascii="Calibri Light" w:hAnsi="Calibri Light" w:cs="Calibri Light"/>
          <w:bCs w:val="0"/>
          <w:color w:val="59595B"/>
          <w:szCs w:val="20"/>
        </w:rPr>
        <w:t>7 mainly relates to the new milk production site in Schaijk (NL)</w:t>
      </w:r>
      <w:r w:rsidRPr="00A96D90">
        <w:rPr>
          <w:rFonts w:ascii="Calibri Light" w:hAnsi="Calibri Light" w:cs="Calibri Light"/>
          <w:bCs w:val="0"/>
          <w:color w:val="59595B"/>
          <w:szCs w:val="20"/>
        </w:rPr>
        <w:t xml:space="preserve">. </w:t>
      </w:r>
      <w:r>
        <w:rPr>
          <w:rFonts w:ascii="Calibri Light" w:hAnsi="Calibri Light" w:cs="Calibri Light"/>
          <w:bCs w:val="0"/>
          <w:color w:val="59595B"/>
          <w:szCs w:val="20"/>
        </w:rPr>
        <w:br/>
      </w:r>
      <w:r>
        <w:rPr>
          <w:rFonts w:ascii="Calibri Light" w:hAnsi="Calibri Light" w:cs="Calibri Light"/>
          <w:bCs w:val="0"/>
          <w:color w:val="59595B"/>
          <w:szCs w:val="20"/>
        </w:rPr>
        <w:lastRenderedPageBreak/>
        <w:t>The amortization of the intangible assets mainly relates to the re-acquired US commercialization rights and are allocated to marketing and sales costs in the statement of income.</w:t>
      </w:r>
      <w:r w:rsidRPr="00A96D90">
        <w:rPr>
          <w:rFonts w:ascii="Calibri Light" w:hAnsi="Calibri Light" w:cs="Calibri Light"/>
          <w:bCs w:val="0"/>
          <w:color w:val="59595B"/>
          <w:szCs w:val="20"/>
        </w:rPr>
        <w:t xml:space="preserve"> </w:t>
      </w:r>
    </w:p>
    <w:p w14:paraId="3D477E83"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Financial expenses</w:t>
      </w:r>
    </w:p>
    <w:p w14:paraId="7ACD4C37" w14:textId="77777777" w:rsidR="0004342B" w:rsidRPr="00A96D90" w:rsidRDefault="0004342B" w:rsidP="0004342B">
      <w:pPr>
        <w:pStyle w:val="ListParagraph"/>
        <w:autoSpaceDE w:val="0"/>
        <w:autoSpaceDN w:val="0"/>
        <w:adjustRightInd w:val="0"/>
        <w:spacing w:before="240"/>
        <w:rPr>
          <w:rFonts w:asciiTheme="majorHAnsi" w:hAnsiTheme="majorHAnsi" w:cstheme="minorHAnsi"/>
          <w:i/>
          <w:color w:val="59595B"/>
          <w:sz w:val="24"/>
          <w:szCs w:val="22"/>
          <w:lang w:val="en-GB"/>
        </w:rPr>
      </w:pPr>
    </w:p>
    <w:tbl>
      <w:tblPr>
        <w:tblW w:w="9322" w:type="dxa"/>
        <w:shd w:val="clear" w:color="auto" w:fill="FFFFFF"/>
        <w:tblLook w:val="04A0" w:firstRow="1" w:lastRow="0" w:firstColumn="1" w:lastColumn="0" w:noHBand="0" w:noVBand="1"/>
      </w:tblPr>
      <w:tblGrid>
        <w:gridCol w:w="6204"/>
        <w:gridCol w:w="1559"/>
        <w:gridCol w:w="1559"/>
      </w:tblGrid>
      <w:tr w:rsidR="0004342B" w:rsidRPr="00A96D90" w14:paraId="42FFF46B" w14:textId="77777777" w:rsidTr="00691179">
        <w:trPr>
          <w:trHeight w:val="258"/>
        </w:trPr>
        <w:tc>
          <w:tcPr>
            <w:tcW w:w="6204" w:type="dxa"/>
            <w:tcBorders>
              <w:bottom w:val="single" w:sz="2" w:space="0" w:color="BFBFBF"/>
            </w:tcBorders>
            <w:shd w:val="clear" w:color="auto" w:fill="0070C0"/>
          </w:tcPr>
          <w:p w14:paraId="30F1D803" w14:textId="77777777" w:rsidR="0004342B" w:rsidRPr="00E12C03" w:rsidRDefault="0004342B" w:rsidP="00691179">
            <w:pPr>
              <w:rPr>
                <w:rFonts w:ascii="Calibri Light" w:eastAsia="Calibri Light" w:hAnsi="Calibri Light"/>
                <w:b/>
                <w:bCs/>
                <w:i/>
                <w:color w:val="FFFFFF" w:themeColor="background1"/>
                <w:sz w:val="20"/>
                <w:szCs w:val="20"/>
                <w:lang w:val="en-GB"/>
              </w:rPr>
            </w:pPr>
            <w:r w:rsidRPr="00E12C03">
              <w:rPr>
                <w:rFonts w:asciiTheme="minorHAnsi" w:hAnsiTheme="minorHAnsi"/>
                <w:b/>
                <w:bCs/>
                <w:i/>
                <w:color w:val="FFFFFF" w:themeColor="background1"/>
                <w:sz w:val="16"/>
                <w:szCs w:val="20"/>
                <w:lang w:val="en-GB"/>
              </w:rPr>
              <w:t>Amounts in € ‘000</w:t>
            </w:r>
          </w:p>
        </w:tc>
        <w:tc>
          <w:tcPr>
            <w:tcW w:w="1559" w:type="dxa"/>
            <w:tcBorders>
              <w:bottom w:val="single" w:sz="2" w:space="0" w:color="BFBFBF"/>
            </w:tcBorders>
            <w:shd w:val="clear" w:color="auto" w:fill="0070C0"/>
          </w:tcPr>
          <w:p w14:paraId="48F8B2A5" w14:textId="77777777" w:rsidR="0004342B" w:rsidRPr="00E12C03" w:rsidRDefault="0004342B" w:rsidP="00691179">
            <w:pPr>
              <w:jc w:val="right"/>
              <w:rPr>
                <w:rFonts w:ascii="Calibri Light" w:eastAsia="Calibri Light" w:hAnsi="Calibri Light"/>
                <w:b/>
                <w:bCs/>
                <w:color w:val="FFFFFF" w:themeColor="background1"/>
                <w:sz w:val="20"/>
                <w:szCs w:val="20"/>
                <w:lang w:val="en-GB"/>
              </w:rPr>
            </w:pPr>
            <w:r w:rsidRPr="00E12C03">
              <w:rPr>
                <w:rFonts w:ascii="Calibri Light" w:eastAsia="Calibri Light" w:hAnsi="Calibri Light"/>
                <w:b/>
                <w:bCs/>
                <w:color w:val="FFFFFF" w:themeColor="background1"/>
                <w:sz w:val="20"/>
                <w:szCs w:val="20"/>
                <w:lang w:val="en-GB"/>
              </w:rPr>
              <w:t>HY 201</w:t>
            </w:r>
            <w:r>
              <w:rPr>
                <w:rFonts w:ascii="Calibri Light" w:eastAsia="Calibri Light" w:hAnsi="Calibri Light"/>
                <w:b/>
                <w:bCs/>
                <w:color w:val="FFFFFF" w:themeColor="background1"/>
                <w:sz w:val="20"/>
                <w:szCs w:val="20"/>
              </w:rPr>
              <w:t>8</w:t>
            </w:r>
          </w:p>
        </w:tc>
        <w:tc>
          <w:tcPr>
            <w:tcW w:w="1559" w:type="dxa"/>
            <w:tcBorders>
              <w:bottom w:val="single" w:sz="2" w:space="0" w:color="BFBFBF"/>
            </w:tcBorders>
            <w:shd w:val="clear" w:color="auto" w:fill="0070C0"/>
          </w:tcPr>
          <w:p w14:paraId="07EA4FB1" w14:textId="77777777" w:rsidR="0004342B" w:rsidRPr="00E12C03" w:rsidRDefault="0004342B" w:rsidP="00691179">
            <w:pPr>
              <w:jc w:val="right"/>
              <w:rPr>
                <w:rFonts w:ascii="Calibri Light" w:eastAsia="Calibri Light" w:hAnsi="Calibri Light"/>
                <w:b/>
                <w:bCs/>
                <w:color w:val="FFFFFF" w:themeColor="background1"/>
                <w:sz w:val="20"/>
                <w:szCs w:val="20"/>
                <w:lang w:val="en-GB"/>
              </w:rPr>
            </w:pPr>
            <w:r w:rsidRPr="00E12C03">
              <w:rPr>
                <w:rFonts w:ascii="Calibri Light" w:eastAsia="Calibri Light" w:hAnsi="Calibri Light"/>
                <w:b/>
                <w:bCs/>
                <w:color w:val="FFFFFF" w:themeColor="background1"/>
                <w:sz w:val="20"/>
                <w:szCs w:val="20"/>
                <w:lang w:val="en-GB"/>
              </w:rPr>
              <w:t>HY 201</w:t>
            </w:r>
            <w:r w:rsidRPr="00E12C03">
              <w:rPr>
                <w:rFonts w:ascii="Calibri Light" w:eastAsia="Calibri Light" w:hAnsi="Calibri Light"/>
                <w:b/>
                <w:bCs/>
                <w:color w:val="FFFFFF" w:themeColor="background1"/>
                <w:sz w:val="20"/>
                <w:szCs w:val="20"/>
              </w:rPr>
              <w:t>7</w:t>
            </w:r>
          </w:p>
        </w:tc>
      </w:tr>
      <w:tr w:rsidR="0004342B" w:rsidRPr="00A96D90" w14:paraId="14015DAD" w14:textId="77777777" w:rsidTr="00691179">
        <w:trPr>
          <w:trHeight w:val="258"/>
        </w:trPr>
        <w:tc>
          <w:tcPr>
            <w:tcW w:w="6204" w:type="dxa"/>
            <w:tcBorders>
              <w:top w:val="single" w:sz="2" w:space="0" w:color="BFBFBF"/>
              <w:right w:val="single" w:sz="2" w:space="0" w:color="BFBFBF"/>
            </w:tcBorders>
            <w:shd w:val="clear" w:color="auto" w:fill="FFFFFF"/>
          </w:tcPr>
          <w:p w14:paraId="705092C5" w14:textId="77777777" w:rsidR="0004342B" w:rsidRPr="00A96D90" w:rsidRDefault="0004342B" w:rsidP="00691179">
            <w:pPr>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Interest income</w:t>
            </w:r>
          </w:p>
        </w:tc>
        <w:tc>
          <w:tcPr>
            <w:tcW w:w="1559" w:type="dxa"/>
            <w:tcBorders>
              <w:top w:val="single" w:sz="2" w:space="0" w:color="BFBFBF"/>
              <w:left w:val="single" w:sz="2" w:space="0" w:color="BFBFBF"/>
              <w:right w:val="single" w:sz="2" w:space="0" w:color="BFBFBF"/>
            </w:tcBorders>
            <w:shd w:val="clear" w:color="auto" w:fill="F2F2F2" w:themeFill="background1" w:themeFillShade="F2"/>
          </w:tcPr>
          <w:p w14:paraId="5E1B90F7" w14:textId="77777777" w:rsidR="0004342B" w:rsidRPr="003814CF" w:rsidRDefault="0004342B" w:rsidP="00691179">
            <w:pPr>
              <w:jc w:val="right"/>
              <w:rPr>
                <w:rFonts w:ascii="Calibri Light" w:eastAsia="Calibri Light" w:hAnsi="Calibri Light"/>
                <w:bCs/>
                <w:color w:val="59595B"/>
                <w:sz w:val="20"/>
                <w:szCs w:val="20"/>
                <w:lang w:val="en-GB"/>
              </w:rPr>
            </w:pPr>
            <w:r w:rsidRPr="003814CF">
              <w:rPr>
                <w:rFonts w:ascii="Calibri Light" w:eastAsia="Calibri Light" w:hAnsi="Calibri Light"/>
                <w:bCs/>
                <w:color w:val="59595B"/>
                <w:sz w:val="20"/>
                <w:szCs w:val="20"/>
              </w:rPr>
              <w:t>17</w:t>
            </w:r>
          </w:p>
        </w:tc>
        <w:tc>
          <w:tcPr>
            <w:tcW w:w="1559" w:type="dxa"/>
            <w:tcBorders>
              <w:top w:val="single" w:sz="2" w:space="0" w:color="BFBFBF"/>
              <w:left w:val="single" w:sz="2" w:space="0" w:color="BFBFBF"/>
              <w:right w:val="single" w:sz="2" w:space="0" w:color="BFBFBF"/>
            </w:tcBorders>
            <w:shd w:val="clear" w:color="auto" w:fill="FFFFFF"/>
          </w:tcPr>
          <w:p w14:paraId="6295483E" w14:textId="77777777" w:rsidR="0004342B" w:rsidRPr="00C60078" w:rsidRDefault="0004342B" w:rsidP="00691179">
            <w:pPr>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w:t>
            </w:r>
          </w:p>
        </w:tc>
      </w:tr>
      <w:tr w:rsidR="0004342B" w:rsidRPr="00A96D90" w14:paraId="685F67DC" w14:textId="77777777" w:rsidTr="00691179">
        <w:trPr>
          <w:trHeight w:val="258"/>
        </w:trPr>
        <w:tc>
          <w:tcPr>
            <w:tcW w:w="6204" w:type="dxa"/>
            <w:tcBorders>
              <w:right w:val="single" w:sz="2" w:space="0" w:color="BFBFBF"/>
            </w:tcBorders>
            <w:shd w:val="clear" w:color="auto" w:fill="FFFFFF"/>
          </w:tcPr>
          <w:p w14:paraId="13735F96" w14:textId="77777777" w:rsidR="0004342B" w:rsidRPr="00A96D90" w:rsidRDefault="0004342B" w:rsidP="00691179">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Interest expenses</w:t>
            </w:r>
          </w:p>
        </w:tc>
        <w:tc>
          <w:tcPr>
            <w:tcW w:w="1559" w:type="dxa"/>
            <w:tcBorders>
              <w:left w:val="single" w:sz="2" w:space="0" w:color="BFBFBF"/>
              <w:right w:val="single" w:sz="2" w:space="0" w:color="BFBFBF"/>
            </w:tcBorders>
            <w:shd w:val="clear" w:color="auto" w:fill="F2F2F2" w:themeFill="background1" w:themeFillShade="F2"/>
          </w:tcPr>
          <w:p w14:paraId="4C26B7A3" w14:textId="77777777" w:rsidR="0004342B" w:rsidRPr="003814CF" w:rsidRDefault="0004342B" w:rsidP="00691179">
            <w:pPr>
              <w:tabs>
                <w:tab w:val="center" w:pos="664"/>
                <w:tab w:val="right" w:pos="1328"/>
              </w:tabs>
              <w:jc w:val="right"/>
              <w:rPr>
                <w:rFonts w:ascii="Calibri Light" w:eastAsia="Calibri Light" w:hAnsi="Calibri Light"/>
                <w:bCs/>
                <w:color w:val="59595B"/>
                <w:sz w:val="20"/>
                <w:szCs w:val="20"/>
              </w:rPr>
            </w:pPr>
            <w:r w:rsidRPr="003814CF">
              <w:rPr>
                <w:rFonts w:ascii="Calibri Light" w:eastAsia="Calibri Light" w:hAnsi="Calibri Light"/>
                <w:bCs/>
                <w:color w:val="59595B"/>
                <w:sz w:val="20"/>
                <w:szCs w:val="20"/>
              </w:rPr>
              <w:t>(31)</w:t>
            </w:r>
          </w:p>
        </w:tc>
        <w:tc>
          <w:tcPr>
            <w:tcW w:w="1559" w:type="dxa"/>
            <w:tcBorders>
              <w:left w:val="single" w:sz="2" w:space="0" w:color="BFBFBF"/>
              <w:right w:val="single" w:sz="2" w:space="0" w:color="BFBFBF"/>
            </w:tcBorders>
            <w:shd w:val="clear" w:color="auto" w:fill="FFFFFF"/>
          </w:tcPr>
          <w:p w14:paraId="045FC042" w14:textId="77777777" w:rsidR="0004342B" w:rsidRPr="00C60078" w:rsidRDefault="0004342B" w:rsidP="00691179">
            <w:pPr>
              <w:tabs>
                <w:tab w:val="center" w:pos="664"/>
                <w:tab w:val="right" w:pos="1328"/>
              </w:tabs>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(44)</w:t>
            </w:r>
          </w:p>
        </w:tc>
      </w:tr>
      <w:tr w:rsidR="0004342B" w:rsidRPr="00A96D90" w14:paraId="66729E35" w14:textId="77777777" w:rsidTr="00691179">
        <w:trPr>
          <w:trHeight w:val="258"/>
        </w:trPr>
        <w:tc>
          <w:tcPr>
            <w:tcW w:w="6204" w:type="dxa"/>
            <w:tcBorders>
              <w:right w:val="single" w:sz="2" w:space="0" w:color="BFBFBF"/>
            </w:tcBorders>
            <w:shd w:val="clear" w:color="auto" w:fill="FFFFFF"/>
          </w:tcPr>
          <w:p w14:paraId="2F20527E" w14:textId="77777777" w:rsidR="0004342B" w:rsidRPr="00A96D90" w:rsidRDefault="0004342B" w:rsidP="00691179">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Foreign currency results</w:t>
            </w:r>
          </w:p>
        </w:tc>
        <w:tc>
          <w:tcPr>
            <w:tcW w:w="1559" w:type="dxa"/>
            <w:tcBorders>
              <w:left w:val="single" w:sz="2" w:space="0" w:color="BFBFBF"/>
              <w:right w:val="single" w:sz="2" w:space="0" w:color="BFBFBF"/>
            </w:tcBorders>
            <w:shd w:val="clear" w:color="auto" w:fill="F2F2F2" w:themeFill="background1" w:themeFillShade="F2"/>
          </w:tcPr>
          <w:p w14:paraId="06097103" w14:textId="77777777" w:rsidR="0004342B" w:rsidRPr="003814CF" w:rsidRDefault="0004342B" w:rsidP="00691179">
            <w:pPr>
              <w:jc w:val="right"/>
              <w:rPr>
                <w:rFonts w:ascii="Calibri Light" w:eastAsia="Calibri Light" w:hAnsi="Calibri Light"/>
                <w:bCs/>
                <w:color w:val="59595B"/>
                <w:sz w:val="20"/>
                <w:szCs w:val="20"/>
              </w:rPr>
            </w:pPr>
            <w:r w:rsidRPr="003814CF">
              <w:rPr>
                <w:rFonts w:ascii="Calibri Light" w:eastAsia="Calibri Light" w:hAnsi="Calibri Light"/>
                <w:bCs/>
                <w:color w:val="59595B"/>
                <w:sz w:val="20"/>
                <w:szCs w:val="20"/>
              </w:rPr>
              <w:t>(510)</w:t>
            </w:r>
          </w:p>
        </w:tc>
        <w:tc>
          <w:tcPr>
            <w:tcW w:w="1559" w:type="dxa"/>
            <w:tcBorders>
              <w:left w:val="single" w:sz="2" w:space="0" w:color="BFBFBF"/>
              <w:right w:val="single" w:sz="2" w:space="0" w:color="BFBFBF"/>
            </w:tcBorders>
            <w:shd w:val="clear" w:color="auto" w:fill="FFFFFF"/>
          </w:tcPr>
          <w:p w14:paraId="33412D46" w14:textId="77777777" w:rsidR="0004342B" w:rsidRPr="00C60078" w:rsidRDefault="0004342B" w:rsidP="00691179">
            <w:pPr>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2,761</w:t>
            </w:r>
          </w:p>
        </w:tc>
      </w:tr>
      <w:tr w:rsidR="0004342B" w:rsidRPr="00A96D90" w14:paraId="4E973A2D" w14:textId="77777777" w:rsidTr="00691179">
        <w:trPr>
          <w:trHeight w:val="258"/>
        </w:trPr>
        <w:tc>
          <w:tcPr>
            <w:tcW w:w="6204" w:type="dxa"/>
            <w:tcBorders>
              <w:right w:val="single" w:sz="2" w:space="0" w:color="BFBFBF"/>
            </w:tcBorders>
            <w:shd w:val="clear" w:color="auto" w:fill="FFFFFF"/>
          </w:tcPr>
          <w:p w14:paraId="562C57E8" w14:textId="77777777" w:rsidR="0004342B" w:rsidRPr="00A96D90" w:rsidRDefault="0004342B" w:rsidP="00691179">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Interest loans and borrowings</w:t>
            </w:r>
          </w:p>
        </w:tc>
        <w:tc>
          <w:tcPr>
            <w:tcW w:w="1559" w:type="dxa"/>
            <w:tcBorders>
              <w:left w:val="single" w:sz="2" w:space="0" w:color="BFBFBF"/>
              <w:right w:val="single" w:sz="2" w:space="0" w:color="BFBFBF"/>
            </w:tcBorders>
            <w:shd w:val="clear" w:color="auto" w:fill="F2F2F2" w:themeFill="background1" w:themeFillShade="F2"/>
          </w:tcPr>
          <w:p w14:paraId="7E353465" w14:textId="77777777" w:rsidR="0004342B" w:rsidRPr="003814CF" w:rsidRDefault="0004342B" w:rsidP="00691179">
            <w:pPr>
              <w:jc w:val="right"/>
              <w:rPr>
                <w:rFonts w:ascii="Calibri Light" w:eastAsia="Calibri Light" w:hAnsi="Calibri Light"/>
                <w:bCs/>
                <w:color w:val="59595B"/>
                <w:sz w:val="20"/>
                <w:szCs w:val="20"/>
              </w:rPr>
            </w:pPr>
            <w:r w:rsidRPr="003814CF">
              <w:rPr>
                <w:rFonts w:ascii="Calibri Light" w:eastAsia="Calibri Light" w:hAnsi="Calibri Light"/>
                <w:bCs/>
                <w:color w:val="59595B"/>
                <w:sz w:val="20"/>
                <w:szCs w:val="20"/>
              </w:rPr>
              <w:t>(6,306)</w:t>
            </w:r>
          </w:p>
        </w:tc>
        <w:tc>
          <w:tcPr>
            <w:tcW w:w="1559" w:type="dxa"/>
            <w:tcBorders>
              <w:left w:val="single" w:sz="2" w:space="0" w:color="BFBFBF"/>
              <w:right w:val="single" w:sz="2" w:space="0" w:color="BFBFBF"/>
            </w:tcBorders>
            <w:shd w:val="clear" w:color="auto" w:fill="FFFFFF"/>
          </w:tcPr>
          <w:p w14:paraId="5A281414" w14:textId="77777777" w:rsidR="0004342B" w:rsidRPr="00C60078" w:rsidRDefault="0004342B" w:rsidP="00691179">
            <w:pPr>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(12,157)</w:t>
            </w:r>
          </w:p>
        </w:tc>
      </w:tr>
      <w:tr w:rsidR="0004342B" w:rsidRPr="00A96D90" w14:paraId="5B0F59E9" w14:textId="77777777" w:rsidTr="00691179">
        <w:trPr>
          <w:trHeight w:val="258"/>
        </w:trPr>
        <w:tc>
          <w:tcPr>
            <w:tcW w:w="6204" w:type="dxa"/>
            <w:tcBorders>
              <w:right w:val="single" w:sz="2" w:space="0" w:color="BFBFBF"/>
            </w:tcBorders>
            <w:shd w:val="clear" w:color="auto" w:fill="FFFFFF"/>
          </w:tcPr>
          <w:p w14:paraId="1A9FB44E" w14:textId="77777777" w:rsidR="0004342B" w:rsidRPr="00E90ADC" w:rsidRDefault="0004342B" w:rsidP="00691179">
            <w:pPr>
              <w:rPr>
                <w:rFonts w:ascii="Calibri Light" w:eastAsia="Calibri Light" w:hAnsi="Calibri Light"/>
                <w:color w:val="59595B"/>
                <w:sz w:val="20"/>
                <w:szCs w:val="20"/>
              </w:rPr>
            </w:pPr>
            <w:r>
              <w:rPr>
                <w:rFonts w:ascii="Calibri Light" w:eastAsia="Calibri Light" w:hAnsi="Calibri Light"/>
                <w:color w:val="59595B"/>
                <w:sz w:val="20"/>
                <w:szCs w:val="20"/>
              </w:rPr>
              <w:t>Contingent consideration</w:t>
            </w:r>
          </w:p>
        </w:tc>
        <w:tc>
          <w:tcPr>
            <w:tcW w:w="1559" w:type="dxa"/>
            <w:tcBorders>
              <w:left w:val="single" w:sz="2" w:space="0" w:color="BFBFBF"/>
              <w:right w:val="single" w:sz="2" w:space="0" w:color="BFBFBF"/>
            </w:tcBorders>
            <w:shd w:val="clear" w:color="auto" w:fill="F2F2F2" w:themeFill="background1" w:themeFillShade="F2"/>
          </w:tcPr>
          <w:p w14:paraId="7BD4D3A6" w14:textId="77777777" w:rsidR="0004342B" w:rsidRPr="003814CF" w:rsidRDefault="0004342B" w:rsidP="00691179">
            <w:pPr>
              <w:jc w:val="right"/>
              <w:rPr>
                <w:rFonts w:ascii="Calibri Light" w:eastAsia="Calibri Light" w:hAnsi="Calibri Light"/>
                <w:bCs/>
                <w:color w:val="59595B"/>
                <w:sz w:val="20"/>
                <w:szCs w:val="20"/>
              </w:rPr>
            </w:pPr>
            <w:r w:rsidRPr="003814CF">
              <w:rPr>
                <w:rFonts w:ascii="Calibri Light" w:eastAsia="Calibri Light" w:hAnsi="Calibri Light"/>
                <w:bCs/>
                <w:color w:val="59595B"/>
                <w:sz w:val="20"/>
                <w:szCs w:val="20"/>
              </w:rPr>
              <w:t>1,164</w:t>
            </w:r>
          </w:p>
        </w:tc>
        <w:tc>
          <w:tcPr>
            <w:tcW w:w="1559" w:type="dxa"/>
            <w:tcBorders>
              <w:left w:val="single" w:sz="2" w:space="0" w:color="BFBFBF"/>
              <w:right w:val="single" w:sz="2" w:space="0" w:color="BFBFBF"/>
            </w:tcBorders>
            <w:shd w:val="clear" w:color="auto" w:fill="FFFFFF"/>
          </w:tcPr>
          <w:p w14:paraId="2EC873CD" w14:textId="77777777" w:rsidR="0004342B" w:rsidRPr="003814CF" w:rsidRDefault="0004342B" w:rsidP="00691179">
            <w:pPr>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w:t>
            </w:r>
          </w:p>
        </w:tc>
      </w:tr>
      <w:tr w:rsidR="0004342B" w:rsidRPr="00A96D90" w14:paraId="2BD503D6" w14:textId="77777777" w:rsidTr="00691179">
        <w:trPr>
          <w:trHeight w:val="258"/>
        </w:trPr>
        <w:tc>
          <w:tcPr>
            <w:tcW w:w="6204" w:type="dxa"/>
            <w:tcBorders>
              <w:bottom w:val="single" w:sz="2" w:space="0" w:color="BFBFBF"/>
              <w:right w:val="single" w:sz="2" w:space="0" w:color="BFBFBF"/>
            </w:tcBorders>
            <w:shd w:val="clear" w:color="auto" w:fill="FFFFFF"/>
          </w:tcPr>
          <w:p w14:paraId="76F922B2" w14:textId="77777777" w:rsidR="0004342B" w:rsidRPr="00A96D90" w:rsidRDefault="0004342B" w:rsidP="00691179">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Settlement fees and expenses</w:t>
            </w:r>
          </w:p>
        </w:tc>
        <w:tc>
          <w:tcPr>
            <w:tcW w:w="1559" w:type="dxa"/>
            <w:tcBorders>
              <w:left w:val="single" w:sz="2" w:space="0" w:color="BFBFBF"/>
              <w:bottom w:val="single" w:sz="2" w:space="0" w:color="BFBFBF"/>
              <w:right w:val="single" w:sz="2" w:space="0" w:color="BFBFBF"/>
            </w:tcBorders>
            <w:shd w:val="clear" w:color="auto" w:fill="F2F2F2" w:themeFill="background1" w:themeFillShade="F2"/>
          </w:tcPr>
          <w:p w14:paraId="4EB50BD0" w14:textId="77777777" w:rsidR="0004342B" w:rsidRPr="003814CF" w:rsidRDefault="0004342B" w:rsidP="00691179">
            <w:pPr>
              <w:jc w:val="right"/>
              <w:rPr>
                <w:rFonts w:ascii="Calibri Light" w:eastAsia="Calibri Light" w:hAnsi="Calibri Light"/>
                <w:bCs/>
                <w:color w:val="59595B"/>
                <w:sz w:val="20"/>
                <w:szCs w:val="20"/>
              </w:rPr>
            </w:pPr>
            <w:r w:rsidRPr="003814CF">
              <w:rPr>
                <w:rFonts w:ascii="Calibri Light" w:eastAsia="Calibri Light" w:hAnsi="Calibri Light"/>
                <w:bCs/>
                <w:color w:val="59595B"/>
                <w:sz w:val="20"/>
                <w:szCs w:val="20"/>
              </w:rPr>
              <w:t>(2,119)</w:t>
            </w:r>
          </w:p>
        </w:tc>
        <w:tc>
          <w:tcPr>
            <w:tcW w:w="1559" w:type="dxa"/>
            <w:tcBorders>
              <w:left w:val="single" w:sz="2" w:space="0" w:color="BFBFBF"/>
              <w:bottom w:val="single" w:sz="2" w:space="0" w:color="BFBFBF"/>
              <w:right w:val="single" w:sz="2" w:space="0" w:color="BFBFBF"/>
            </w:tcBorders>
            <w:shd w:val="clear" w:color="auto" w:fill="FFFFFF"/>
          </w:tcPr>
          <w:p w14:paraId="1292FBDD" w14:textId="77777777" w:rsidR="0004342B" w:rsidRPr="00C60078" w:rsidRDefault="0004342B" w:rsidP="00691179">
            <w:pPr>
              <w:jc w:val="right"/>
              <w:rPr>
                <w:rFonts w:ascii="Calibri Light" w:eastAsia="Calibri Light" w:hAnsi="Calibri Light"/>
                <w:bCs/>
                <w:color w:val="59595B"/>
                <w:sz w:val="20"/>
                <w:szCs w:val="20"/>
              </w:rPr>
            </w:pPr>
            <w:r>
              <w:rPr>
                <w:rFonts w:ascii="Calibri Light" w:eastAsia="Calibri Light" w:hAnsi="Calibri Light"/>
                <w:bCs/>
                <w:color w:val="59595B"/>
                <w:sz w:val="20"/>
                <w:szCs w:val="20"/>
              </w:rPr>
              <w:t>(23,786)</w:t>
            </w:r>
          </w:p>
        </w:tc>
      </w:tr>
      <w:tr w:rsidR="0004342B" w:rsidRPr="00C60078" w14:paraId="6E2AE106" w14:textId="77777777" w:rsidTr="00691179">
        <w:trPr>
          <w:trHeight w:val="258"/>
        </w:trPr>
        <w:tc>
          <w:tcPr>
            <w:tcW w:w="6204" w:type="dxa"/>
            <w:tcBorders>
              <w:top w:val="single" w:sz="2" w:space="0" w:color="BFBFBF"/>
              <w:bottom w:val="single" w:sz="2" w:space="0" w:color="BFBFBF"/>
              <w:right w:val="single" w:sz="2" w:space="0" w:color="BFBFBF"/>
            </w:tcBorders>
            <w:shd w:val="clear" w:color="auto" w:fill="FFFFFF"/>
          </w:tcPr>
          <w:p w14:paraId="2600E536" w14:textId="77777777" w:rsidR="0004342B" w:rsidRPr="003814CF" w:rsidRDefault="0004342B" w:rsidP="00691179">
            <w:pPr>
              <w:rPr>
                <w:rFonts w:ascii="Calibri Light" w:eastAsia="Calibri Light" w:hAnsi="Calibri Light"/>
                <w:bCs/>
                <w:color w:val="59595B"/>
                <w:sz w:val="20"/>
                <w:szCs w:val="20"/>
              </w:rPr>
            </w:pPr>
            <w:r w:rsidRPr="00A96D90">
              <w:rPr>
                <w:rFonts w:ascii="Calibri Light" w:eastAsia="Calibri Light" w:hAnsi="Calibri Light"/>
                <w:b/>
                <w:bCs/>
                <w:color w:val="59595B"/>
                <w:sz w:val="20"/>
                <w:szCs w:val="20"/>
                <w:lang w:val="en-GB"/>
              </w:rPr>
              <w:t>Total</w:t>
            </w:r>
            <w:r>
              <w:rPr>
                <w:rFonts w:ascii="Calibri Light" w:eastAsia="Calibri Light" w:hAnsi="Calibri Light"/>
                <w:b/>
                <w:bCs/>
                <w:color w:val="59595B"/>
                <w:sz w:val="20"/>
                <w:szCs w:val="20"/>
              </w:rPr>
              <w:t xml:space="preserve"> other financial income and expenses</w:t>
            </w:r>
          </w:p>
        </w:tc>
        <w:tc>
          <w:tcPr>
            <w:tcW w:w="1559"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0B661280" w14:textId="77777777" w:rsidR="0004342B" w:rsidRPr="003814CF" w:rsidRDefault="0004342B" w:rsidP="00691179">
            <w:pPr>
              <w:jc w:val="right"/>
              <w:rPr>
                <w:rFonts w:ascii="Calibri Light" w:eastAsia="Calibri Light" w:hAnsi="Calibri Light"/>
                <w:b/>
                <w:bCs/>
                <w:color w:val="59595B"/>
                <w:sz w:val="20"/>
                <w:szCs w:val="20"/>
              </w:rPr>
            </w:pPr>
            <w:r w:rsidRPr="003814CF">
              <w:rPr>
                <w:rFonts w:ascii="Calibri Light" w:eastAsia="Calibri Light" w:hAnsi="Calibri Light"/>
                <w:b/>
                <w:bCs/>
                <w:color w:val="59595B"/>
                <w:sz w:val="20"/>
                <w:szCs w:val="20"/>
              </w:rPr>
              <w:t>(7,785)</w:t>
            </w:r>
          </w:p>
        </w:tc>
        <w:tc>
          <w:tcPr>
            <w:tcW w:w="1559" w:type="dxa"/>
            <w:tcBorders>
              <w:top w:val="single" w:sz="2" w:space="0" w:color="BFBFBF"/>
              <w:left w:val="single" w:sz="2" w:space="0" w:color="BFBFBF"/>
              <w:bottom w:val="single" w:sz="2" w:space="0" w:color="BFBFBF"/>
              <w:right w:val="single" w:sz="2" w:space="0" w:color="BFBFBF"/>
            </w:tcBorders>
            <w:shd w:val="clear" w:color="auto" w:fill="FFFFFF"/>
          </w:tcPr>
          <w:p w14:paraId="65E06FB8" w14:textId="77777777" w:rsidR="0004342B" w:rsidRPr="00C60078" w:rsidRDefault="0004342B" w:rsidP="00691179">
            <w:pPr>
              <w:jc w:val="right"/>
              <w:rPr>
                <w:rFonts w:ascii="Calibri Light" w:eastAsia="Calibri Light" w:hAnsi="Calibri Light"/>
                <w:b/>
                <w:bCs/>
                <w:color w:val="59595B"/>
                <w:sz w:val="20"/>
                <w:szCs w:val="20"/>
              </w:rPr>
            </w:pPr>
            <w:r w:rsidRPr="00C60078">
              <w:rPr>
                <w:rFonts w:ascii="Calibri Light" w:eastAsia="Calibri Light" w:hAnsi="Calibri Light"/>
                <w:b/>
                <w:bCs/>
                <w:color w:val="59595B"/>
                <w:sz w:val="20"/>
                <w:szCs w:val="20"/>
              </w:rPr>
              <w:t>(33,226)</w:t>
            </w:r>
          </w:p>
        </w:tc>
      </w:tr>
    </w:tbl>
    <w:p w14:paraId="7E0794B1" w14:textId="77777777" w:rsidR="0004342B" w:rsidRPr="00A96D90" w:rsidRDefault="0004342B" w:rsidP="0004342B">
      <w:pPr>
        <w:pStyle w:val="AL"/>
        <w:spacing w:after="120"/>
        <w:rPr>
          <w:rFonts w:ascii="Calibri Light" w:hAnsi="Calibri Light" w:cs="Calibri Light"/>
          <w:bCs w:val="0"/>
          <w:color w:val="59595B"/>
          <w:szCs w:val="20"/>
        </w:rPr>
      </w:pPr>
    </w:p>
    <w:p w14:paraId="03E051B3" w14:textId="77777777" w:rsidR="0004342B" w:rsidRDefault="0004342B" w:rsidP="0004342B">
      <w:pPr>
        <w:pStyle w:val="AL"/>
        <w:spacing w:after="120"/>
        <w:rPr>
          <w:rFonts w:ascii="Calibri Light" w:hAnsi="Calibri Light" w:cs="Calibri Light"/>
          <w:bCs w:val="0"/>
          <w:color w:val="59595B"/>
          <w:szCs w:val="20"/>
        </w:rPr>
      </w:pPr>
      <w:r w:rsidRPr="00CE7010">
        <w:rPr>
          <w:rFonts w:ascii="Calibri Light" w:hAnsi="Calibri Light" w:cs="Calibri Light"/>
          <w:bCs w:val="0"/>
          <w:color w:val="59595B"/>
          <w:szCs w:val="20"/>
        </w:rPr>
        <w:t xml:space="preserve">The reduction of the financial expenses is mainly related to the elimination of the large adjustments required under IFRS in respect of the non-equity elements of the refinancing of the old loans and the </w:t>
      </w:r>
      <w:r>
        <w:rPr>
          <w:rFonts w:ascii="Calibri Light" w:hAnsi="Calibri Light" w:cs="Calibri Light"/>
          <w:bCs w:val="0"/>
          <w:color w:val="59595B"/>
          <w:szCs w:val="20"/>
        </w:rPr>
        <w:t>a</w:t>
      </w:r>
      <w:r w:rsidRPr="00CE7010">
        <w:rPr>
          <w:rFonts w:ascii="Calibri Light" w:hAnsi="Calibri Light" w:cs="Calibri Light"/>
          <w:bCs w:val="0"/>
          <w:color w:val="59595B"/>
          <w:szCs w:val="20"/>
        </w:rPr>
        <w:t xml:space="preserve">mortizing bonds by the new loan from Orbimed. </w:t>
      </w:r>
    </w:p>
    <w:p w14:paraId="4FAAFC32"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Inventories</w:t>
      </w:r>
    </w:p>
    <w:p w14:paraId="6D99DE88" w14:textId="77777777" w:rsidR="0004342B" w:rsidRPr="00A96D90" w:rsidRDefault="0004342B" w:rsidP="0004342B">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Inventories include batches </w:t>
      </w:r>
      <w:r>
        <w:rPr>
          <w:rFonts w:ascii="Calibri Light" w:hAnsi="Calibri Light" w:cs="Calibri Light"/>
          <w:bCs w:val="0"/>
          <w:color w:val="59595B"/>
          <w:szCs w:val="20"/>
        </w:rPr>
        <w:t xml:space="preserve">of </w:t>
      </w:r>
      <w:r w:rsidRPr="00A96D90">
        <w:rPr>
          <w:rFonts w:ascii="Calibri Light" w:hAnsi="Calibri Light" w:cs="Calibri Light"/>
          <w:bCs w:val="0"/>
          <w:color w:val="59595B"/>
          <w:szCs w:val="20"/>
        </w:rPr>
        <w:t xml:space="preserve">RUCONEST® </w:t>
      </w:r>
      <w:r>
        <w:rPr>
          <w:rFonts w:ascii="Calibri Light" w:hAnsi="Calibri Light" w:cs="Calibri Light"/>
          <w:bCs w:val="0"/>
          <w:color w:val="59595B"/>
          <w:szCs w:val="20"/>
        </w:rPr>
        <w:t xml:space="preserve">drug substance and product </w:t>
      </w:r>
      <w:r w:rsidRPr="00A96D90">
        <w:rPr>
          <w:rFonts w:ascii="Calibri Light" w:hAnsi="Calibri Light" w:cs="Calibri Light"/>
          <w:bCs w:val="0"/>
          <w:color w:val="59595B"/>
          <w:szCs w:val="20"/>
        </w:rPr>
        <w:t>and skimmed milk available for production of RUCONEST®.</w:t>
      </w:r>
    </w:p>
    <w:tbl>
      <w:tblPr>
        <w:tblW w:w="9140" w:type="dxa"/>
        <w:jc w:val="center"/>
        <w:shd w:val="clear" w:color="auto" w:fill="FFFFFF" w:themeFill="background1"/>
        <w:tblLook w:val="04A0" w:firstRow="1" w:lastRow="0" w:firstColumn="1" w:lastColumn="0" w:noHBand="0" w:noVBand="1"/>
      </w:tblPr>
      <w:tblGrid>
        <w:gridCol w:w="6237"/>
        <w:gridCol w:w="1560"/>
        <w:gridCol w:w="1343"/>
      </w:tblGrid>
      <w:tr w:rsidR="0004342B" w:rsidRPr="00A96D90" w14:paraId="17562871" w14:textId="77777777" w:rsidTr="00691179">
        <w:trPr>
          <w:trHeight w:val="488"/>
          <w:jc w:val="center"/>
        </w:trPr>
        <w:tc>
          <w:tcPr>
            <w:tcW w:w="6237" w:type="dxa"/>
            <w:tcBorders>
              <w:top w:val="nil"/>
              <w:left w:val="nil"/>
              <w:bottom w:val="single" w:sz="2" w:space="0" w:color="BFBFBF" w:themeColor="background1" w:themeShade="BF"/>
              <w:right w:val="nil"/>
            </w:tcBorders>
            <w:shd w:val="clear" w:color="auto" w:fill="0070C0"/>
            <w:hideMark/>
          </w:tcPr>
          <w:p w14:paraId="42FAF57A" w14:textId="77777777" w:rsidR="0004342B" w:rsidRPr="00E12C03" w:rsidRDefault="0004342B" w:rsidP="00691179">
            <w:pPr>
              <w:rPr>
                <w:rFonts w:asciiTheme="minorHAnsi" w:hAnsiTheme="minorHAnsi"/>
                <w:b/>
                <w:bCs/>
                <w:color w:val="FFFFFF" w:themeColor="background1"/>
                <w:sz w:val="20"/>
                <w:szCs w:val="20"/>
                <w:lang w:val="en-GB"/>
              </w:rPr>
            </w:pPr>
          </w:p>
          <w:p w14:paraId="30A81CB7" w14:textId="77777777" w:rsidR="0004342B" w:rsidRPr="00E12C03" w:rsidRDefault="0004342B" w:rsidP="00691179">
            <w:pPr>
              <w:rPr>
                <w:rFonts w:asciiTheme="minorHAnsi" w:hAnsiTheme="minorHAnsi"/>
                <w:b/>
                <w:bCs/>
                <w:i/>
                <w:color w:val="FFFFFF" w:themeColor="background1"/>
                <w:sz w:val="20"/>
                <w:szCs w:val="20"/>
                <w:lang w:val="en-GB"/>
              </w:rPr>
            </w:pPr>
            <w:r w:rsidRPr="00E12C03">
              <w:rPr>
                <w:rFonts w:asciiTheme="minorHAnsi" w:hAnsiTheme="minorHAnsi"/>
                <w:b/>
                <w:bCs/>
                <w:i/>
                <w:color w:val="FFFFFF" w:themeColor="background1"/>
                <w:sz w:val="16"/>
                <w:szCs w:val="20"/>
                <w:lang w:val="en-GB"/>
              </w:rPr>
              <w:t>Amounts in € ‘000</w:t>
            </w:r>
          </w:p>
        </w:tc>
        <w:tc>
          <w:tcPr>
            <w:tcW w:w="1560" w:type="dxa"/>
            <w:tcBorders>
              <w:top w:val="nil"/>
              <w:left w:val="nil"/>
              <w:bottom w:val="single" w:sz="2" w:space="0" w:color="BFBFBF" w:themeColor="background1" w:themeShade="BF"/>
              <w:right w:val="nil"/>
            </w:tcBorders>
            <w:shd w:val="clear" w:color="auto" w:fill="0070C0"/>
            <w:hideMark/>
          </w:tcPr>
          <w:p w14:paraId="3C6278B0" w14:textId="77777777" w:rsidR="0004342B" w:rsidRDefault="0004342B" w:rsidP="00691179">
            <w:pPr>
              <w:jc w:val="right"/>
              <w:rPr>
                <w:rFonts w:asciiTheme="minorHAnsi" w:hAnsiTheme="minorHAnsi"/>
                <w:b/>
                <w:bCs/>
                <w:color w:val="FFFFFF" w:themeColor="background1"/>
                <w:sz w:val="20"/>
                <w:szCs w:val="20"/>
                <w:lang w:val="en-GB"/>
              </w:rPr>
            </w:pPr>
            <w:r w:rsidRPr="00E12C03">
              <w:rPr>
                <w:rFonts w:asciiTheme="minorHAnsi" w:hAnsiTheme="minorHAnsi"/>
                <w:b/>
                <w:bCs/>
                <w:color w:val="FFFFFF" w:themeColor="background1"/>
                <w:sz w:val="20"/>
                <w:szCs w:val="20"/>
                <w:lang w:val="en-GB"/>
              </w:rPr>
              <w:t xml:space="preserve">30 June </w:t>
            </w:r>
          </w:p>
          <w:p w14:paraId="28BCDA78" w14:textId="77777777" w:rsidR="0004342B" w:rsidRPr="00E12C03" w:rsidRDefault="0004342B" w:rsidP="00691179">
            <w:pPr>
              <w:jc w:val="right"/>
              <w:rPr>
                <w:rFonts w:asciiTheme="minorHAnsi" w:hAnsiTheme="minorHAnsi"/>
                <w:b/>
                <w:bCs/>
                <w:color w:val="FFFFFF" w:themeColor="background1"/>
                <w:sz w:val="20"/>
                <w:szCs w:val="20"/>
                <w:lang w:val="en-GB"/>
              </w:rPr>
            </w:pPr>
            <w:r w:rsidRPr="00E12C03">
              <w:rPr>
                <w:rFonts w:asciiTheme="minorHAnsi" w:hAnsiTheme="minorHAnsi"/>
                <w:b/>
                <w:bCs/>
                <w:color w:val="FFFFFF" w:themeColor="background1"/>
                <w:sz w:val="20"/>
                <w:szCs w:val="20"/>
                <w:lang w:val="en-GB"/>
              </w:rPr>
              <w:t>20</w:t>
            </w:r>
            <w:r w:rsidRPr="00E12C03">
              <w:rPr>
                <w:rFonts w:asciiTheme="minorHAnsi" w:hAnsiTheme="minorHAnsi"/>
                <w:b/>
                <w:bCs/>
                <w:color w:val="FFFFFF" w:themeColor="background1"/>
                <w:sz w:val="20"/>
                <w:szCs w:val="20"/>
              </w:rPr>
              <w:t>18</w:t>
            </w:r>
          </w:p>
        </w:tc>
        <w:tc>
          <w:tcPr>
            <w:tcW w:w="1343" w:type="dxa"/>
            <w:tcBorders>
              <w:top w:val="nil"/>
              <w:left w:val="nil"/>
              <w:bottom w:val="single" w:sz="2" w:space="0" w:color="BFBFBF" w:themeColor="background1" w:themeShade="BF"/>
              <w:right w:val="nil"/>
            </w:tcBorders>
            <w:shd w:val="clear" w:color="auto" w:fill="0070C0"/>
            <w:hideMark/>
          </w:tcPr>
          <w:p w14:paraId="701601F6" w14:textId="77777777" w:rsidR="0004342B" w:rsidRPr="00E12C03" w:rsidRDefault="0004342B" w:rsidP="00691179">
            <w:pPr>
              <w:jc w:val="right"/>
              <w:rPr>
                <w:rFonts w:asciiTheme="minorHAnsi" w:hAnsiTheme="minorHAnsi"/>
                <w:b/>
                <w:bCs/>
                <w:color w:val="FFFFFF" w:themeColor="background1"/>
                <w:sz w:val="20"/>
                <w:szCs w:val="20"/>
                <w:lang w:val="en-GB"/>
              </w:rPr>
            </w:pPr>
            <w:r w:rsidRPr="00E12C03">
              <w:rPr>
                <w:rFonts w:asciiTheme="minorHAnsi" w:hAnsiTheme="minorHAnsi"/>
                <w:b/>
                <w:bCs/>
                <w:color w:val="FFFFFF" w:themeColor="background1"/>
                <w:sz w:val="20"/>
                <w:szCs w:val="20"/>
                <w:lang w:val="en-GB"/>
              </w:rPr>
              <w:t>31 December 201</w:t>
            </w:r>
            <w:r w:rsidRPr="00E12C03">
              <w:rPr>
                <w:rFonts w:asciiTheme="minorHAnsi" w:hAnsiTheme="minorHAnsi"/>
                <w:b/>
                <w:bCs/>
                <w:color w:val="FFFFFF" w:themeColor="background1"/>
                <w:sz w:val="20"/>
                <w:szCs w:val="20"/>
              </w:rPr>
              <w:t>7</w:t>
            </w:r>
          </w:p>
        </w:tc>
      </w:tr>
      <w:tr w:rsidR="0004342B" w:rsidRPr="00A96D90" w14:paraId="69CB96CC" w14:textId="77777777" w:rsidTr="00691179">
        <w:trPr>
          <w:trHeight w:val="488"/>
          <w:jc w:val="center"/>
        </w:trPr>
        <w:tc>
          <w:tcPr>
            <w:tcW w:w="6237" w:type="dxa"/>
            <w:tcBorders>
              <w:top w:val="single" w:sz="2" w:space="0" w:color="BFBFBF" w:themeColor="background1" w:themeShade="BF"/>
              <w:left w:val="nil"/>
              <w:bottom w:val="nil"/>
              <w:right w:val="single" w:sz="2" w:space="0" w:color="BFBFBF" w:themeColor="background1" w:themeShade="BF"/>
            </w:tcBorders>
            <w:shd w:val="clear" w:color="auto" w:fill="FFFFFF" w:themeFill="background1"/>
            <w:hideMark/>
          </w:tcPr>
          <w:p w14:paraId="5F5A2415"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Finished goods</w:t>
            </w:r>
          </w:p>
        </w:tc>
        <w:tc>
          <w:tcPr>
            <w:tcW w:w="1560"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202719D7" w14:textId="77777777" w:rsidR="0004342B" w:rsidRPr="003C1CC4" w:rsidRDefault="0004342B" w:rsidP="00691179">
            <w:pPr>
              <w:jc w:val="right"/>
              <w:rPr>
                <w:rFonts w:asciiTheme="minorHAnsi" w:hAnsiTheme="minorHAnsi"/>
                <w:color w:val="59595B"/>
                <w:sz w:val="20"/>
                <w:szCs w:val="20"/>
              </w:rPr>
            </w:pPr>
            <w:r>
              <w:rPr>
                <w:rFonts w:asciiTheme="minorHAnsi" w:hAnsiTheme="minorHAnsi"/>
                <w:color w:val="59595B"/>
                <w:sz w:val="20"/>
                <w:szCs w:val="20"/>
              </w:rPr>
              <w:t>17,703</w:t>
            </w:r>
          </w:p>
        </w:tc>
        <w:tc>
          <w:tcPr>
            <w:tcW w:w="1343"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hideMark/>
          </w:tcPr>
          <w:p w14:paraId="17170947" w14:textId="77777777" w:rsidR="0004342B" w:rsidRPr="00A96D90" w:rsidRDefault="0004342B" w:rsidP="00691179">
            <w:pPr>
              <w:jc w:val="right"/>
              <w:rPr>
                <w:rFonts w:asciiTheme="minorHAnsi" w:hAnsiTheme="minorHAnsi"/>
                <w:color w:val="59595B"/>
                <w:sz w:val="20"/>
                <w:szCs w:val="20"/>
                <w:lang w:val="en-GB"/>
              </w:rPr>
            </w:pPr>
            <w:r>
              <w:rPr>
                <w:rFonts w:asciiTheme="minorHAnsi" w:hAnsiTheme="minorHAnsi"/>
                <w:color w:val="59595B"/>
                <w:sz w:val="20"/>
                <w:szCs w:val="20"/>
              </w:rPr>
              <w:t>8,271</w:t>
            </w:r>
          </w:p>
        </w:tc>
      </w:tr>
      <w:tr w:rsidR="0004342B" w:rsidRPr="00A96D90" w14:paraId="2AB13C18" w14:textId="77777777" w:rsidTr="00691179">
        <w:trPr>
          <w:trHeight w:val="488"/>
          <w:jc w:val="center"/>
        </w:trPr>
        <w:tc>
          <w:tcPr>
            <w:tcW w:w="6237" w:type="dxa"/>
            <w:tcBorders>
              <w:top w:val="nil"/>
              <w:left w:val="nil"/>
              <w:bottom w:val="nil"/>
              <w:right w:val="single" w:sz="2" w:space="0" w:color="BFBFBF" w:themeColor="background1" w:themeShade="BF"/>
            </w:tcBorders>
            <w:shd w:val="clear" w:color="auto" w:fill="FFFFFF" w:themeFill="background1"/>
            <w:hideMark/>
          </w:tcPr>
          <w:p w14:paraId="4264FE2E"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Work in progress</w:t>
            </w:r>
          </w:p>
        </w:tc>
        <w:tc>
          <w:tcPr>
            <w:tcW w:w="1560"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3777FE08" w14:textId="77777777" w:rsidR="0004342B" w:rsidRPr="003C1CC4" w:rsidRDefault="0004342B" w:rsidP="00691179">
            <w:pPr>
              <w:jc w:val="right"/>
              <w:rPr>
                <w:rFonts w:asciiTheme="minorHAnsi" w:hAnsiTheme="minorHAnsi"/>
                <w:color w:val="59595B"/>
                <w:sz w:val="20"/>
                <w:szCs w:val="20"/>
              </w:rPr>
            </w:pPr>
            <w:r>
              <w:rPr>
                <w:rFonts w:asciiTheme="minorHAnsi" w:hAnsiTheme="minorHAnsi"/>
                <w:color w:val="59595B"/>
                <w:sz w:val="20"/>
                <w:szCs w:val="20"/>
              </w:rPr>
              <w:t>3,847</w:t>
            </w:r>
          </w:p>
        </w:tc>
        <w:tc>
          <w:tcPr>
            <w:tcW w:w="1343" w:type="dxa"/>
            <w:tcBorders>
              <w:left w:val="single" w:sz="2" w:space="0" w:color="BFBFBF" w:themeColor="background1" w:themeShade="BF"/>
              <w:right w:val="single" w:sz="2" w:space="0" w:color="BFBFBF" w:themeColor="background1" w:themeShade="BF"/>
            </w:tcBorders>
            <w:shd w:val="clear" w:color="auto" w:fill="FFFFFF" w:themeFill="background1"/>
            <w:hideMark/>
          </w:tcPr>
          <w:p w14:paraId="11595226" w14:textId="77777777" w:rsidR="0004342B" w:rsidRPr="00AE49E4" w:rsidRDefault="0004342B" w:rsidP="00691179">
            <w:pPr>
              <w:jc w:val="right"/>
              <w:rPr>
                <w:rFonts w:asciiTheme="minorHAnsi" w:hAnsiTheme="minorHAnsi"/>
                <w:color w:val="59595B"/>
                <w:sz w:val="20"/>
                <w:szCs w:val="20"/>
              </w:rPr>
            </w:pPr>
            <w:r>
              <w:rPr>
                <w:rFonts w:asciiTheme="minorHAnsi" w:hAnsiTheme="minorHAnsi"/>
                <w:color w:val="59595B"/>
                <w:sz w:val="20"/>
                <w:szCs w:val="20"/>
              </w:rPr>
              <w:t>6,334</w:t>
            </w:r>
          </w:p>
        </w:tc>
      </w:tr>
      <w:tr w:rsidR="0004342B" w:rsidRPr="00A96D90" w14:paraId="7F71BC93" w14:textId="77777777" w:rsidTr="00691179">
        <w:trPr>
          <w:trHeight w:val="488"/>
          <w:jc w:val="center"/>
        </w:trPr>
        <w:tc>
          <w:tcPr>
            <w:tcW w:w="6237" w:type="dxa"/>
            <w:tcBorders>
              <w:top w:val="nil"/>
              <w:left w:val="nil"/>
              <w:bottom w:val="single" w:sz="2" w:space="0" w:color="BFBFBF" w:themeColor="background1" w:themeShade="BF"/>
              <w:right w:val="single" w:sz="2" w:space="0" w:color="BFBFBF" w:themeColor="background1" w:themeShade="BF"/>
            </w:tcBorders>
            <w:shd w:val="clear" w:color="auto" w:fill="FFFFFF" w:themeFill="background1"/>
            <w:hideMark/>
          </w:tcPr>
          <w:p w14:paraId="6C5B38B6"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Raw materials</w:t>
            </w:r>
          </w:p>
        </w:tc>
        <w:tc>
          <w:tcPr>
            <w:tcW w:w="1560"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029B8FB6" w14:textId="77777777" w:rsidR="0004342B" w:rsidRPr="003C1CC4" w:rsidRDefault="0004342B" w:rsidP="00691179">
            <w:pPr>
              <w:jc w:val="right"/>
              <w:rPr>
                <w:rFonts w:asciiTheme="minorHAnsi" w:hAnsiTheme="minorHAnsi"/>
                <w:color w:val="59595B"/>
                <w:sz w:val="20"/>
                <w:szCs w:val="20"/>
              </w:rPr>
            </w:pPr>
            <w:r>
              <w:rPr>
                <w:rFonts w:asciiTheme="minorHAnsi" w:hAnsiTheme="minorHAnsi"/>
                <w:color w:val="59595B"/>
                <w:sz w:val="20"/>
                <w:szCs w:val="20"/>
              </w:rPr>
              <w:t>1,612</w:t>
            </w:r>
          </w:p>
        </w:tc>
        <w:tc>
          <w:tcPr>
            <w:tcW w:w="1343"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hideMark/>
          </w:tcPr>
          <w:p w14:paraId="24E4FAAE" w14:textId="77777777" w:rsidR="0004342B" w:rsidRPr="00AE49E4" w:rsidRDefault="0004342B" w:rsidP="00691179">
            <w:pPr>
              <w:jc w:val="right"/>
              <w:rPr>
                <w:rFonts w:asciiTheme="minorHAnsi" w:hAnsiTheme="minorHAnsi"/>
                <w:color w:val="59595B"/>
                <w:sz w:val="20"/>
                <w:szCs w:val="20"/>
              </w:rPr>
            </w:pPr>
            <w:r>
              <w:rPr>
                <w:rFonts w:asciiTheme="minorHAnsi" w:hAnsiTheme="minorHAnsi"/>
                <w:color w:val="59595B"/>
                <w:sz w:val="20"/>
                <w:szCs w:val="20"/>
              </w:rPr>
              <w:t>3,729</w:t>
            </w:r>
          </w:p>
        </w:tc>
      </w:tr>
      <w:tr w:rsidR="0004342B" w:rsidRPr="00A96D90" w14:paraId="29F7EE89" w14:textId="77777777" w:rsidTr="00691179">
        <w:trPr>
          <w:trHeight w:val="488"/>
          <w:jc w:val="center"/>
        </w:trPr>
        <w:tc>
          <w:tcPr>
            <w:tcW w:w="6237"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FFFFFF" w:themeFill="background1"/>
            <w:hideMark/>
          </w:tcPr>
          <w:p w14:paraId="495C62AA" w14:textId="77777777" w:rsidR="0004342B" w:rsidRPr="00A96D90" w:rsidRDefault="0004342B" w:rsidP="00691179">
            <w:pPr>
              <w:pStyle w:val="NoSpacing"/>
              <w:ind w:right="144"/>
              <w:jc w:val="both"/>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Balance at end of period</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841F8FC" w14:textId="77777777" w:rsidR="0004342B" w:rsidRPr="003C1CC4" w:rsidRDefault="0004342B" w:rsidP="00691179">
            <w:pPr>
              <w:pStyle w:val="NoSpacing"/>
              <w:ind w:right="-5"/>
              <w:jc w:val="right"/>
              <w:rPr>
                <w:rFonts w:asciiTheme="minorHAnsi" w:hAnsiTheme="minorHAnsi" w:cs="Arial"/>
                <w:b/>
                <w:bCs/>
                <w:color w:val="59595B"/>
                <w:sz w:val="20"/>
                <w:szCs w:val="20"/>
              </w:rPr>
            </w:pPr>
            <w:r>
              <w:rPr>
                <w:rFonts w:asciiTheme="minorHAnsi" w:hAnsiTheme="minorHAnsi" w:cs="Arial"/>
                <w:b/>
                <w:bCs/>
                <w:color w:val="59595B"/>
                <w:sz w:val="20"/>
                <w:szCs w:val="20"/>
              </w:rPr>
              <w:t>23,162</w:t>
            </w:r>
          </w:p>
        </w:tc>
        <w:tc>
          <w:tcPr>
            <w:tcW w:w="134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hideMark/>
          </w:tcPr>
          <w:p w14:paraId="15F9C499" w14:textId="77777777" w:rsidR="0004342B" w:rsidRPr="00A96D90" w:rsidRDefault="0004342B" w:rsidP="00691179">
            <w:pPr>
              <w:pStyle w:val="NoSpacing"/>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1</w:t>
            </w:r>
            <w:r>
              <w:rPr>
                <w:rFonts w:asciiTheme="minorHAnsi" w:hAnsiTheme="minorHAnsi" w:cs="Arial"/>
                <w:b/>
                <w:bCs/>
                <w:color w:val="59595B"/>
                <w:sz w:val="20"/>
                <w:szCs w:val="20"/>
              </w:rPr>
              <w:t>8,334</w:t>
            </w:r>
          </w:p>
        </w:tc>
      </w:tr>
    </w:tbl>
    <w:p w14:paraId="2786C627" w14:textId="77777777" w:rsidR="0004342B" w:rsidRPr="00A96D90" w:rsidRDefault="0004342B" w:rsidP="0004342B">
      <w:pPr>
        <w:pStyle w:val="NoSpacing"/>
        <w:rPr>
          <w:color w:val="59595B"/>
          <w:lang w:val="en-GB"/>
        </w:rPr>
      </w:pPr>
    </w:p>
    <w:p w14:paraId="786C8B79" w14:textId="77777777" w:rsidR="0004342B" w:rsidRDefault="0004342B" w:rsidP="0004342B">
      <w:pPr>
        <w:rPr>
          <w:color w:val="59595B"/>
          <w:sz w:val="20"/>
          <w:szCs w:val="20"/>
          <w:lang w:val="en-GB"/>
        </w:rPr>
      </w:pPr>
      <w:r w:rsidRPr="00A96D90">
        <w:rPr>
          <w:rFonts w:ascii="Calibri Light" w:hAnsi="Calibri Light" w:cs="Calibri Light"/>
          <w:color w:val="59595B"/>
          <w:szCs w:val="20"/>
          <w:lang w:val="en-GB"/>
        </w:rPr>
        <w:t>The inventory valuation at 30 June 201</w:t>
      </w:r>
      <w:r>
        <w:rPr>
          <w:rFonts w:ascii="Calibri Light" w:hAnsi="Calibri Light" w:cs="Calibri Light"/>
          <w:color w:val="59595B"/>
          <w:szCs w:val="20"/>
        </w:rPr>
        <w:t>8</w:t>
      </w:r>
      <w:r w:rsidRPr="00A96D90">
        <w:rPr>
          <w:rFonts w:ascii="Calibri Light" w:hAnsi="Calibri Light" w:cs="Calibri Light"/>
          <w:color w:val="59595B"/>
          <w:szCs w:val="20"/>
          <w:lang w:val="en-GB"/>
        </w:rPr>
        <w:t xml:space="preserve"> is stated net of a provision </w:t>
      </w:r>
      <w:r>
        <w:rPr>
          <w:rFonts w:ascii="Calibri Light" w:hAnsi="Calibri Light" w:cs="Calibri Light"/>
          <w:color w:val="59595B"/>
          <w:szCs w:val="20"/>
        </w:rPr>
        <w:t xml:space="preserve">for obsolescence </w:t>
      </w:r>
      <w:r w:rsidRPr="00A96D90">
        <w:rPr>
          <w:rFonts w:ascii="Calibri Light" w:hAnsi="Calibri Light" w:cs="Calibri Light"/>
          <w:color w:val="59595B"/>
          <w:szCs w:val="20"/>
          <w:lang w:val="en-GB"/>
        </w:rPr>
        <w:t>of</w:t>
      </w:r>
      <w:r>
        <w:rPr>
          <w:rFonts w:ascii="Calibri Light" w:hAnsi="Calibri Light" w:cs="Calibri Light"/>
          <w:color w:val="59595B"/>
          <w:szCs w:val="20"/>
        </w:rPr>
        <w:t xml:space="preserve"> </w:t>
      </w:r>
      <w:r w:rsidRPr="00A96D90">
        <w:rPr>
          <w:rFonts w:ascii="Calibri Light" w:hAnsi="Calibri Light" w:cs="Calibri Light"/>
          <w:color w:val="59595B"/>
          <w:szCs w:val="20"/>
          <w:lang w:val="en-GB"/>
        </w:rPr>
        <w:t>€</w:t>
      </w:r>
      <w:r>
        <w:rPr>
          <w:rFonts w:ascii="Calibri Light" w:hAnsi="Calibri Light" w:cs="Calibri Light"/>
          <w:color w:val="59595B"/>
          <w:szCs w:val="20"/>
        </w:rPr>
        <w:t xml:space="preserve">1.8 million (2017: €1.0 million) and </w:t>
      </w:r>
      <w:r w:rsidRPr="00A96D90">
        <w:rPr>
          <w:rFonts w:ascii="Calibri Light" w:hAnsi="Calibri Light" w:cs="Calibri Light"/>
          <w:color w:val="59595B"/>
          <w:szCs w:val="20"/>
          <w:lang w:val="en-GB"/>
        </w:rPr>
        <w:t>€0.</w:t>
      </w:r>
      <w:r>
        <w:rPr>
          <w:rFonts w:ascii="Calibri Light" w:hAnsi="Calibri Light" w:cs="Calibri Light"/>
          <w:color w:val="59595B"/>
          <w:szCs w:val="20"/>
        </w:rPr>
        <w:t>6</w:t>
      </w:r>
      <w:r w:rsidRPr="00A96D90">
        <w:rPr>
          <w:rFonts w:ascii="Calibri Light" w:hAnsi="Calibri Light" w:cs="Calibri Light"/>
          <w:color w:val="59595B"/>
          <w:szCs w:val="20"/>
          <w:lang w:val="en-GB"/>
        </w:rPr>
        <w:t xml:space="preserve"> million (201</w:t>
      </w:r>
      <w:r>
        <w:rPr>
          <w:rFonts w:ascii="Calibri Light" w:hAnsi="Calibri Light" w:cs="Calibri Light"/>
          <w:color w:val="59595B"/>
          <w:szCs w:val="20"/>
        </w:rPr>
        <w:t>7</w:t>
      </w:r>
      <w:r w:rsidRPr="00A96D90">
        <w:rPr>
          <w:rFonts w:ascii="Calibri Light" w:hAnsi="Calibri Light" w:cs="Calibri Light"/>
          <w:color w:val="59595B"/>
          <w:szCs w:val="20"/>
          <w:lang w:val="en-GB"/>
        </w:rPr>
        <w:t>: €0.</w:t>
      </w:r>
      <w:r>
        <w:rPr>
          <w:rFonts w:ascii="Calibri Light" w:hAnsi="Calibri Light" w:cs="Calibri Light"/>
          <w:color w:val="59595B"/>
          <w:szCs w:val="20"/>
        </w:rPr>
        <w:t>3</w:t>
      </w:r>
      <w:r w:rsidRPr="00A96D90">
        <w:rPr>
          <w:rFonts w:ascii="Calibri Light" w:hAnsi="Calibri Light" w:cs="Calibri Light"/>
          <w:color w:val="59595B"/>
          <w:szCs w:val="20"/>
          <w:lang w:val="en-GB"/>
        </w:rPr>
        <w:t xml:space="preserve"> million) to write inventories down to their net reali</w:t>
      </w:r>
      <w:r>
        <w:rPr>
          <w:rFonts w:ascii="Calibri Light" w:hAnsi="Calibri Light" w:cs="Calibri Light"/>
          <w:color w:val="59595B"/>
          <w:szCs w:val="20"/>
        </w:rPr>
        <w:t>z</w:t>
      </w:r>
      <w:r w:rsidRPr="00A96D90">
        <w:rPr>
          <w:rFonts w:ascii="Calibri Light" w:hAnsi="Calibri Light" w:cs="Calibri Light"/>
          <w:color w:val="59595B"/>
          <w:szCs w:val="20"/>
          <w:lang w:val="en-GB"/>
        </w:rPr>
        <w:t>able value.</w:t>
      </w:r>
      <w:r w:rsidRPr="00A96D90">
        <w:rPr>
          <w:color w:val="59595B"/>
          <w:sz w:val="20"/>
          <w:szCs w:val="20"/>
          <w:lang w:val="en-GB"/>
        </w:rPr>
        <w:t xml:space="preserve"> </w:t>
      </w:r>
    </w:p>
    <w:p w14:paraId="772FA1D5" w14:textId="77777777" w:rsidR="0004342B" w:rsidRDefault="0004342B" w:rsidP="0004342B">
      <w:pPr>
        <w:rPr>
          <w:rFonts w:ascii="Calibri Light" w:hAnsi="Calibri Light" w:cs="Calibri Light"/>
          <w:color w:val="59595B"/>
          <w:szCs w:val="20"/>
          <w:lang w:val="en-GB"/>
        </w:rPr>
      </w:pPr>
      <w:r w:rsidRPr="00A96D90">
        <w:rPr>
          <w:rFonts w:ascii="Calibri Light" w:hAnsi="Calibri Light" w:cs="Calibri Light"/>
          <w:color w:val="59595B"/>
          <w:szCs w:val="20"/>
          <w:lang w:val="en-GB"/>
        </w:rPr>
        <w:t>Changes in the adjustment to net reali</w:t>
      </w:r>
      <w:r>
        <w:rPr>
          <w:rFonts w:ascii="Calibri Light" w:hAnsi="Calibri Light" w:cs="Calibri Light"/>
          <w:color w:val="59595B"/>
          <w:szCs w:val="20"/>
        </w:rPr>
        <w:t>z</w:t>
      </w:r>
      <w:r w:rsidRPr="00A96D90">
        <w:rPr>
          <w:rFonts w:ascii="Calibri Light" w:hAnsi="Calibri Light" w:cs="Calibri Light"/>
          <w:color w:val="59595B"/>
          <w:szCs w:val="20"/>
          <w:lang w:val="en-GB"/>
        </w:rPr>
        <w:t>able value:</w:t>
      </w:r>
    </w:p>
    <w:p w14:paraId="79605266" w14:textId="77777777" w:rsidR="0004342B" w:rsidRPr="00A96D90" w:rsidRDefault="0004342B" w:rsidP="0004342B">
      <w:pPr>
        <w:pStyle w:val="NoSpacing"/>
        <w:spacing w:after="120"/>
        <w:rPr>
          <w:color w:val="59595B"/>
          <w:lang w:val="en-GB"/>
        </w:rPr>
      </w:pPr>
    </w:p>
    <w:tbl>
      <w:tblPr>
        <w:tblW w:w="9218" w:type="dxa"/>
        <w:jc w:val="center"/>
        <w:shd w:val="clear" w:color="auto" w:fill="FFFFFF" w:themeFill="background1"/>
        <w:tblLook w:val="04A0" w:firstRow="1" w:lastRow="0" w:firstColumn="1" w:lastColumn="0" w:noHBand="0" w:noVBand="1"/>
      </w:tblPr>
      <w:tblGrid>
        <w:gridCol w:w="6237"/>
        <w:gridCol w:w="1490"/>
        <w:gridCol w:w="1491"/>
      </w:tblGrid>
      <w:tr w:rsidR="0004342B" w:rsidRPr="00A96D90" w14:paraId="369AA5D2" w14:textId="77777777" w:rsidTr="00691179">
        <w:trPr>
          <w:trHeight w:val="263"/>
          <w:jc w:val="center"/>
        </w:trPr>
        <w:tc>
          <w:tcPr>
            <w:tcW w:w="6237" w:type="dxa"/>
            <w:tcBorders>
              <w:bottom w:val="single" w:sz="2" w:space="0" w:color="BFBFBF" w:themeColor="background1" w:themeShade="BF"/>
            </w:tcBorders>
            <w:shd w:val="clear" w:color="auto" w:fill="0070C0"/>
          </w:tcPr>
          <w:p w14:paraId="7F461427" w14:textId="77777777" w:rsidR="0004342B" w:rsidRPr="00246E1F" w:rsidRDefault="0004342B" w:rsidP="00691179">
            <w:pPr>
              <w:rPr>
                <w:rFonts w:asciiTheme="minorHAnsi" w:hAnsiTheme="minorHAnsi"/>
                <w:b/>
                <w:bCs/>
                <w:color w:val="FFFFFF" w:themeColor="background1"/>
                <w:sz w:val="20"/>
                <w:szCs w:val="20"/>
                <w:lang w:val="en-GB"/>
              </w:rPr>
            </w:pPr>
          </w:p>
          <w:p w14:paraId="3E801B2C" w14:textId="77777777" w:rsidR="0004342B" w:rsidRPr="00246E1F" w:rsidRDefault="0004342B" w:rsidP="00691179">
            <w:pPr>
              <w:rPr>
                <w:rFonts w:asciiTheme="minorHAnsi" w:hAnsiTheme="minorHAnsi"/>
                <w:b/>
                <w:bCs/>
                <w:i/>
                <w:color w:val="FFFFFF" w:themeColor="background1"/>
                <w:sz w:val="20"/>
                <w:szCs w:val="20"/>
                <w:lang w:val="en-GB"/>
              </w:rPr>
            </w:pPr>
            <w:r w:rsidRPr="00246E1F">
              <w:rPr>
                <w:rFonts w:asciiTheme="minorHAnsi" w:hAnsiTheme="minorHAnsi"/>
                <w:b/>
                <w:bCs/>
                <w:i/>
                <w:color w:val="FFFFFF" w:themeColor="background1"/>
                <w:sz w:val="16"/>
                <w:szCs w:val="20"/>
                <w:lang w:val="en-GB"/>
              </w:rPr>
              <w:t>Amounts in € ‘000</w:t>
            </w:r>
          </w:p>
        </w:tc>
        <w:tc>
          <w:tcPr>
            <w:tcW w:w="1490" w:type="dxa"/>
            <w:tcBorders>
              <w:bottom w:val="single" w:sz="2" w:space="0" w:color="BFBFBF" w:themeColor="background1" w:themeShade="BF"/>
            </w:tcBorders>
            <w:shd w:val="clear" w:color="auto" w:fill="0070C0"/>
          </w:tcPr>
          <w:p w14:paraId="539F3C54" w14:textId="77777777" w:rsidR="0004342B" w:rsidRDefault="0004342B" w:rsidP="00691179">
            <w:pPr>
              <w:jc w:val="right"/>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 xml:space="preserve">Period to </w:t>
            </w:r>
          </w:p>
          <w:p w14:paraId="1EDA3816" w14:textId="77777777" w:rsidR="0004342B" w:rsidRPr="00246E1F" w:rsidRDefault="0004342B" w:rsidP="00AA4E3C">
            <w:pPr>
              <w:jc w:val="right"/>
              <w:rPr>
                <w:rFonts w:asciiTheme="minorHAnsi" w:hAnsiTheme="minorHAnsi"/>
                <w:b/>
                <w:bCs/>
                <w:color w:val="FFFFFF" w:themeColor="background1"/>
                <w:sz w:val="20"/>
                <w:szCs w:val="20"/>
                <w:lang w:val="en-GB"/>
              </w:rPr>
            </w:pPr>
            <w:r w:rsidRPr="00246E1F">
              <w:rPr>
                <w:rFonts w:asciiTheme="minorHAnsi" w:hAnsiTheme="minorHAnsi"/>
                <w:b/>
                <w:bCs/>
                <w:color w:val="FFFFFF" w:themeColor="background1"/>
                <w:sz w:val="20"/>
                <w:szCs w:val="20"/>
                <w:lang w:val="en-GB"/>
              </w:rPr>
              <w:t>30 June</w:t>
            </w:r>
            <w:r w:rsidR="00AA4E3C">
              <w:rPr>
                <w:rFonts w:asciiTheme="minorHAnsi" w:hAnsiTheme="minorHAnsi"/>
                <w:b/>
                <w:bCs/>
                <w:color w:val="FFFFFF" w:themeColor="background1"/>
                <w:sz w:val="20"/>
                <w:szCs w:val="20"/>
              </w:rPr>
              <w:t xml:space="preserve"> </w:t>
            </w:r>
            <w:r w:rsidRPr="00246E1F">
              <w:rPr>
                <w:rFonts w:asciiTheme="minorHAnsi" w:hAnsiTheme="minorHAnsi"/>
                <w:b/>
                <w:bCs/>
                <w:color w:val="FFFFFF" w:themeColor="background1"/>
                <w:sz w:val="20"/>
                <w:szCs w:val="20"/>
                <w:lang w:val="en-GB"/>
              </w:rPr>
              <w:t>201</w:t>
            </w:r>
            <w:r w:rsidRPr="00246E1F">
              <w:rPr>
                <w:rFonts w:asciiTheme="minorHAnsi" w:hAnsiTheme="minorHAnsi"/>
                <w:b/>
                <w:bCs/>
                <w:color w:val="FFFFFF" w:themeColor="background1"/>
                <w:sz w:val="20"/>
                <w:szCs w:val="20"/>
              </w:rPr>
              <w:t>8</w:t>
            </w:r>
          </w:p>
        </w:tc>
        <w:tc>
          <w:tcPr>
            <w:tcW w:w="1491" w:type="dxa"/>
            <w:tcBorders>
              <w:bottom w:val="single" w:sz="2" w:space="0" w:color="BFBFBF" w:themeColor="background1" w:themeShade="BF"/>
            </w:tcBorders>
            <w:shd w:val="clear" w:color="auto" w:fill="0070C0"/>
          </w:tcPr>
          <w:p w14:paraId="34A6681A" w14:textId="77777777" w:rsidR="0004342B" w:rsidRDefault="0004342B" w:rsidP="00691179">
            <w:pPr>
              <w:ind w:right="111"/>
              <w:jc w:val="right"/>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Year to</w:t>
            </w:r>
          </w:p>
          <w:p w14:paraId="6EF48B8D" w14:textId="77777777" w:rsidR="0004342B" w:rsidRPr="00246E1F" w:rsidRDefault="0004342B" w:rsidP="00691179">
            <w:pPr>
              <w:ind w:right="111"/>
              <w:jc w:val="right"/>
              <w:rPr>
                <w:rFonts w:asciiTheme="minorHAnsi" w:hAnsiTheme="minorHAnsi"/>
                <w:b/>
                <w:bCs/>
                <w:color w:val="FFFFFF" w:themeColor="background1"/>
                <w:sz w:val="20"/>
                <w:szCs w:val="20"/>
                <w:lang w:val="en-GB"/>
              </w:rPr>
            </w:pPr>
            <w:r w:rsidRPr="00246E1F">
              <w:rPr>
                <w:rFonts w:asciiTheme="minorHAnsi" w:hAnsiTheme="minorHAnsi"/>
                <w:b/>
                <w:bCs/>
                <w:color w:val="FFFFFF" w:themeColor="background1"/>
                <w:sz w:val="20"/>
                <w:szCs w:val="20"/>
                <w:lang w:val="en-GB"/>
              </w:rPr>
              <w:t>31 December 201</w:t>
            </w:r>
            <w:r w:rsidRPr="00246E1F">
              <w:rPr>
                <w:rFonts w:asciiTheme="minorHAnsi" w:hAnsiTheme="minorHAnsi"/>
                <w:b/>
                <w:bCs/>
                <w:color w:val="FFFFFF" w:themeColor="background1"/>
                <w:sz w:val="20"/>
                <w:szCs w:val="20"/>
              </w:rPr>
              <w:t>7</w:t>
            </w:r>
          </w:p>
        </w:tc>
      </w:tr>
      <w:tr w:rsidR="0004342B" w:rsidRPr="00A96D90" w14:paraId="47C60575" w14:textId="77777777" w:rsidTr="00691179">
        <w:trPr>
          <w:trHeight w:val="263"/>
          <w:jc w:val="center"/>
        </w:trPr>
        <w:tc>
          <w:tcPr>
            <w:tcW w:w="6237"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5D83E08" w14:textId="77777777" w:rsidR="0004342B" w:rsidRPr="003814CF" w:rsidRDefault="0004342B" w:rsidP="00691179">
            <w:pPr>
              <w:rPr>
                <w:rFonts w:asciiTheme="minorHAnsi" w:hAnsiTheme="minorHAnsi"/>
                <w:b/>
                <w:color w:val="59595B"/>
                <w:sz w:val="20"/>
                <w:szCs w:val="20"/>
                <w:lang w:val="en-GB"/>
              </w:rPr>
            </w:pPr>
            <w:r w:rsidRPr="003814CF">
              <w:rPr>
                <w:rFonts w:asciiTheme="minorHAnsi" w:hAnsiTheme="minorHAnsi"/>
                <w:b/>
                <w:color w:val="59595B"/>
                <w:sz w:val="20"/>
                <w:szCs w:val="20"/>
                <w:lang w:val="en-GB"/>
              </w:rPr>
              <w:t>Balance at 1 January</w:t>
            </w:r>
          </w:p>
        </w:tc>
        <w:tc>
          <w:tcPr>
            <w:tcW w:w="14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3D0A375" w14:textId="77777777" w:rsidR="0004342B" w:rsidRPr="003814CF" w:rsidRDefault="0004342B" w:rsidP="00691179">
            <w:pPr>
              <w:jc w:val="right"/>
              <w:rPr>
                <w:rFonts w:asciiTheme="minorHAnsi" w:hAnsiTheme="minorHAnsi"/>
                <w:b/>
                <w:color w:val="59595B"/>
                <w:sz w:val="20"/>
                <w:szCs w:val="20"/>
                <w:lang w:val="en-GB"/>
              </w:rPr>
            </w:pPr>
            <w:r w:rsidRPr="003814CF">
              <w:rPr>
                <w:rFonts w:asciiTheme="minorHAnsi" w:hAnsiTheme="minorHAnsi"/>
                <w:b/>
                <w:color w:val="59595B"/>
                <w:sz w:val="20"/>
                <w:szCs w:val="20"/>
                <w:lang w:val="en-GB"/>
              </w:rPr>
              <w:t>(</w:t>
            </w:r>
            <w:r w:rsidRPr="003814CF">
              <w:rPr>
                <w:rFonts w:asciiTheme="minorHAnsi" w:hAnsiTheme="minorHAnsi"/>
                <w:b/>
                <w:color w:val="59595B"/>
                <w:sz w:val="20"/>
                <w:szCs w:val="20"/>
              </w:rPr>
              <w:t>336</w:t>
            </w:r>
            <w:r w:rsidRPr="003814CF">
              <w:rPr>
                <w:rFonts w:asciiTheme="minorHAnsi" w:hAnsiTheme="minorHAnsi"/>
                <w:b/>
                <w:color w:val="59595B"/>
                <w:sz w:val="20"/>
                <w:szCs w:val="20"/>
                <w:lang w:val="en-GB"/>
              </w:rPr>
              <w:t>)</w:t>
            </w:r>
          </w:p>
        </w:tc>
        <w:tc>
          <w:tcPr>
            <w:tcW w:w="14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61B7E38" w14:textId="77777777" w:rsidR="0004342B" w:rsidRPr="003814CF" w:rsidRDefault="0004342B" w:rsidP="00691179">
            <w:pPr>
              <w:ind w:right="111"/>
              <w:jc w:val="right"/>
              <w:rPr>
                <w:rFonts w:asciiTheme="minorHAnsi" w:hAnsiTheme="minorHAnsi"/>
                <w:b/>
                <w:color w:val="59595B"/>
                <w:sz w:val="20"/>
                <w:szCs w:val="20"/>
                <w:lang w:val="en-GB"/>
              </w:rPr>
            </w:pPr>
            <w:r w:rsidRPr="003814CF">
              <w:rPr>
                <w:rFonts w:asciiTheme="minorHAnsi" w:hAnsiTheme="minorHAnsi"/>
                <w:b/>
                <w:color w:val="59595B"/>
                <w:sz w:val="20"/>
                <w:szCs w:val="20"/>
                <w:lang w:val="en-GB"/>
              </w:rPr>
              <w:t>(</w:t>
            </w:r>
            <w:r w:rsidRPr="003814CF">
              <w:rPr>
                <w:rFonts w:asciiTheme="minorHAnsi" w:hAnsiTheme="minorHAnsi"/>
                <w:b/>
                <w:color w:val="59595B"/>
                <w:sz w:val="20"/>
                <w:szCs w:val="20"/>
              </w:rPr>
              <w:t>642</w:t>
            </w:r>
            <w:r w:rsidRPr="003814CF">
              <w:rPr>
                <w:rFonts w:asciiTheme="minorHAnsi" w:hAnsiTheme="minorHAnsi"/>
                <w:b/>
                <w:color w:val="59595B"/>
                <w:sz w:val="20"/>
                <w:szCs w:val="20"/>
                <w:lang w:val="en-GB"/>
              </w:rPr>
              <w:t>)</w:t>
            </w:r>
          </w:p>
        </w:tc>
      </w:tr>
      <w:tr w:rsidR="0004342B" w:rsidRPr="00A96D90" w14:paraId="5ABAEF57" w14:textId="77777777" w:rsidTr="00691179">
        <w:trPr>
          <w:trHeight w:val="249"/>
          <w:jc w:val="center"/>
        </w:trPr>
        <w:tc>
          <w:tcPr>
            <w:tcW w:w="6237" w:type="dxa"/>
            <w:tcBorders>
              <w:top w:val="single" w:sz="2" w:space="0" w:color="BFBFBF" w:themeColor="background1" w:themeShade="BF"/>
              <w:right w:val="single" w:sz="2" w:space="0" w:color="BFBFBF" w:themeColor="background1" w:themeShade="BF"/>
            </w:tcBorders>
            <w:shd w:val="clear" w:color="auto" w:fill="FFFFFF" w:themeFill="background1"/>
          </w:tcPr>
          <w:p w14:paraId="12CC2E8D"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 xml:space="preserve">Reversal of (addition to) impairment for the </w:t>
            </w:r>
            <w:r>
              <w:rPr>
                <w:rFonts w:asciiTheme="minorHAnsi" w:hAnsiTheme="minorHAnsi"/>
                <w:color w:val="59595B"/>
                <w:sz w:val="20"/>
                <w:szCs w:val="20"/>
              </w:rPr>
              <w:t>period</w:t>
            </w:r>
          </w:p>
        </w:tc>
        <w:tc>
          <w:tcPr>
            <w:tcW w:w="1490"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3E2290EB" w14:textId="77777777" w:rsidR="0004342B" w:rsidRPr="00A96D90" w:rsidRDefault="0004342B" w:rsidP="00691179">
            <w:pPr>
              <w:jc w:val="right"/>
              <w:rPr>
                <w:rFonts w:asciiTheme="minorHAnsi" w:hAnsiTheme="minorHAnsi"/>
                <w:color w:val="59595B"/>
                <w:sz w:val="20"/>
                <w:szCs w:val="20"/>
                <w:lang w:val="en-GB"/>
              </w:rPr>
            </w:pPr>
            <w:r>
              <w:rPr>
                <w:rFonts w:asciiTheme="minorHAnsi" w:hAnsiTheme="minorHAnsi"/>
                <w:color w:val="59595B"/>
                <w:sz w:val="20"/>
                <w:szCs w:val="20"/>
              </w:rPr>
              <w:t>(646)</w:t>
            </w:r>
          </w:p>
        </w:tc>
        <w:tc>
          <w:tcPr>
            <w:tcW w:w="1491"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4F1E5BF7" w14:textId="77777777" w:rsidR="0004342B" w:rsidRPr="00A96D90" w:rsidRDefault="0004342B" w:rsidP="00691179">
            <w:pPr>
              <w:ind w:right="111"/>
              <w:jc w:val="right"/>
              <w:rPr>
                <w:rFonts w:asciiTheme="minorHAnsi" w:eastAsiaTheme="minorEastAsia" w:hAnsiTheme="minorHAnsi" w:cs="Arial"/>
                <w:bCs/>
                <w:color w:val="59595B"/>
                <w:sz w:val="20"/>
                <w:szCs w:val="20"/>
                <w:lang w:val="en-GB"/>
              </w:rPr>
            </w:pPr>
            <w:r>
              <w:rPr>
                <w:rFonts w:asciiTheme="minorHAnsi" w:eastAsiaTheme="minorEastAsia" w:hAnsiTheme="minorHAnsi" w:cs="Arial"/>
                <w:bCs/>
                <w:color w:val="59595B"/>
                <w:sz w:val="20"/>
                <w:szCs w:val="20"/>
              </w:rPr>
              <w:t>90</w:t>
            </w:r>
          </w:p>
        </w:tc>
      </w:tr>
      <w:tr w:rsidR="0004342B" w:rsidRPr="00A96D90" w14:paraId="689D508B" w14:textId="77777777" w:rsidTr="00691179">
        <w:trPr>
          <w:trHeight w:val="249"/>
          <w:jc w:val="center"/>
        </w:trPr>
        <w:tc>
          <w:tcPr>
            <w:tcW w:w="6237" w:type="dxa"/>
            <w:tcBorders>
              <w:right w:val="single" w:sz="2" w:space="0" w:color="BFBFBF" w:themeColor="background1" w:themeShade="BF"/>
            </w:tcBorders>
            <w:shd w:val="clear" w:color="auto" w:fill="FFFFFF" w:themeFill="background1"/>
          </w:tcPr>
          <w:p w14:paraId="507CC9ED"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Related to costs of product sales</w:t>
            </w:r>
          </w:p>
        </w:tc>
        <w:tc>
          <w:tcPr>
            <w:tcW w:w="1490"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5E5B6376" w14:textId="77777777" w:rsidR="0004342B" w:rsidRPr="00286823" w:rsidRDefault="0004342B" w:rsidP="00691179">
            <w:pPr>
              <w:jc w:val="right"/>
              <w:rPr>
                <w:rFonts w:asciiTheme="minorHAnsi" w:hAnsiTheme="minorHAnsi"/>
                <w:color w:val="59595B"/>
                <w:sz w:val="20"/>
                <w:szCs w:val="20"/>
              </w:rPr>
            </w:pPr>
            <w:r>
              <w:rPr>
                <w:rFonts w:asciiTheme="minorHAnsi" w:hAnsiTheme="minorHAnsi"/>
                <w:color w:val="59595B"/>
                <w:sz w:val="20"/>
                <w:szCs w:val="20"/>
              </w:rPr>
              <w:t>345</w:t>
            </w:r>
          </w:p>
        </w:tc>
        <w:tc>
          <w:tcPr>
            <w:tcW w:w="1491" w:type="dxa"/>
            <w:tcBorders>
              <w:left w:val="single" w:sz="2" w:space="0" w:color="BFBFBF" w:themeColor="background1" w:themeShade="BF"/>
              <w:right w:val="single" w:sz="2" w:space="0" w:color="BFBFBF" w:themeColor="background1" w:themeShade="BF"/>
            </w:tcBorders>
            <w:shd w:val="clear" w:color="auto" w:fill="FFFFFF" w:themeFill="background1"/>
          </w:tcPr>
          <w:p w14:paraId="730381F4" w14:textId="77777777" w:rsidR="0004342B" w:rsidRPr="00A96D90" w:rsidRDefault="0004342B" w:rsidP="00691179">
            <w:pPr>
              <w:ind w:right="111"/>
              <w:jc w:val="right"/>
              <w:rPr>
                <w:rFonts w:asciiTheme="minorHAnsi" w:eastAsiaTheme="minorEastAsia" w:hAnsiTheme="minorHAnsi" w:cs="Arial"/>
                <w:bCs/>
                <w:color w:val="59595B"/>
                <w:sz w:val="20"/>
                <w:szCs w:val="20"/>
                <w:lang w:val="en-GB"/>
              </w:rPr>
            </w:pPr>
            <w:r>
              <w:rPr>
                <w:rFonts w:asciiTheme="minorHAnsi" w:hAnsiTheme="minorHAnsi"/>
                <w:color w:val="59595B"/>
                <w:sz w:val="20"/>
                <w:szCs w:val="20"/>
              </w:rPr>
              <w:t>207</w:t>
            </w:r>
          </w:p>
        </w:tc>
      </w:tr>
      <w:tr w:rsidR="0004342B" w:rsidRPr="00A96D90" w14:paraId="2769B295" w14:textId="77777777" w:rsidTr="00691179">
        <w:trPr>
          <w:trHeight w:val="249"/>
          <w:jc w:val="center"/>
        </w:trPr>
        <w:tc>
          <w:tcPr>
            <w:tcW w:w="6237" w:type="dxa"/>
            <w:tcBorders>
              <w:bottom w:val="single" w:sz="2" w:space="0" w:color="BFBFBF" w:themeColor="background1" w:themeShade="BF"/>
              <w:right w:val="single" w:sz="2" w:space="0" w:color="BFBFBF" w:themeColor="background1" w:themeShade="BF"/>
            </w:tcBorders>
            <w:shd w:val="clear" w:color="auto" w:fill="FFFFFF" w:themeFill="background1"/>
          </w:tcPr>
          <w:p w14:paraId="7627DBB4" w14:textId="77777777" w:rsidR="0004342B" w:rsidRPr="00A96D90" w:rsidRDefault="0004342B" w:rsidP="00691179">
            <w:pPr>
              <w:rPr>
                <w:rFonts w:asciiTheme="minorHAnsi" w:hAnsiTheme="minorHAnsi"/>
                <w:color w:val="59595B"/>
                <w:sz w:val="20"/>
                <w:szCs w:val="20"/>
                <w:lang w:val="en-GB"/>
              </w:rPr>
            </w:pPr>
            <w:r w:rsidRPr="00A96D90">
              <w:rPr>
                <w:rFonts w:asciiTheme="minorHAnsi" w:hAnsiTheme="minorHAnsi"/>
                <w:color w:val="59595B"/>
                <w:sz w:val="20"/>
                <w:szCs w:val="20"/>
                <w:lang w:val="en-GB"/>
              </w:rPr>
              <w:t>Related to operating costs</w:t>
            </w:r>
          </w:p>
        </w:tc>
        <w:tc>
          <w:tcPr>
            <w:tcW w:w="1490"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2248837" w14:textId="77777777" w:rsidR="0004342B" w:rsidRPr="00286823" w:rsidRDefault="0004342B" w:rsidP="00691179">
            <w:pPr>
              <w:jc w:val="right"/>
              <w:rPr>
                <w:rFonts w:asciiTheme="minorHAnsi" w:hAnsiTheme="minorHAnsi"/>
                <w:color w:val="59595B"/>
                <w:sz w:val="20"/>
                <w:szCs w:val="20"/>
              </w:rPr>
            </w:pPr>
            <w:r>
              <w:rPr>
                <w:rFonts w:asciiTheme="minorHAnsi" w:hAnsiTheme="minorHAnsi"/>
                <w:color w:val="59595B"/>
                <w:sz w:val="20"/>
                <w:szCs w:val="20"/>
              </w:rPr>
              <w:t>-</w:t>
            </w:r>
          </w:p>
        </w:tc>
        <w:tc>
          <w:tcPr>
            <w:tcW w:w="1491"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E8AA1AF" w14:textId="77777777" w:rsidR="0004342B" w:rsidRPr="00A96D90" w:rsidRDefault="0004342B" w:rsidP="00691179">
            <w:pPr>
              <w:ind w:right="111"/>
              <w:jc w:val="right"/>
              <w:rPr>
                <w:rFonts w:asciiTheme="minorHAnsi" w:eastAsiaTheme="minorEastAsia" w:hAnsiTheme="minorHAnsi" w:cs="Arial"/>
                <w:bCs/>
                <w:color w:val="59595B"/>
                <w:sz w:val="20"/>
                <w:szCs w:val="20"/>
                <w:lang w:val="en-GB"/>
              </w:rPr>
            </w:pPr>
            <w:r>
              <w:rPr>
                <w:rFonts w:asciiTheme="minorHAnsi" w:hAnsiTheme="minorHAnsi"/>
                <w:color w:val="59595B"/>
                <w:sz w:val="20"/>
                <w:szCs w:val="20"/>
              </w:rPr>
              <w:t>9</w:t>
            </w:r>
          </w:p>
        </w:tc>
      </w:tr>
      <w:tr w:rsidR="0004342B" w:rsidRPr="00A96D90" w14:paraId="4AA9CBC7" w14:textId="77777777" w:rsidTr="00691179">
        <w:trPr>
          <w:trHeight w:val="249"/>
          <w:jc w:val="center"/>
        </w:trPr>
        <w:tc>
          <w:tcPr>
            <w:tcW w:w="6237"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CF4C949" w14:textId="77777777" w:rsidR="0004342B" w:rsidRPr="00A96D90" w:rsidRDefault="0004342B" w:rsidP="00691179">
            <w:pPr>
              <w:ind w:right="144"/>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Balance at end of period</w:t>
            </w:r>
          </w:p>
        </w:tc>
        <w:tc>
          <w:tcPr>
            <w:tcW w:w="14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5DAB01C" w14:textId="77777777" w:rsidR="0004342B" w:rsidRPr="00A96D90" w:rsidRDefault="0004342B" w:rsidP="00691179">
            <w:pPr>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
                <w:bCs/>
                <w:color w:val="59595B"/>
                <w:sz w:val="20"/>
                <w:szCs w:val="20"/>
                <w:lang w:val="en-GB"/>
              </w:rPr>
              <w:t>(6</w:t>
            </w:r>
            <w:r>
              <w:rPr>
                <w:rFonts w:asciiTheme="minorHAnsi" w:eastAsiaTheme="minorEastAsia" w:hAnsiTheme="minorHAnsi" w:cs="Arial"/>
                <w:b/>
                <w:bCs/>
                <w:color w:val="59595B"/>
                <w:sz w:val="20"/>
                <w:szCs w:val="20"/>
              </w:rPr>
              <w:t>37</w:t>
            </w:r>
            <w:r w:rsidRPr="00A96D90">
              <w:rPr>
                <w:rFonts w:asciiTheme="minorHAnsi" w:eastAsiaTheme="minorEastAsia" w:hAnsiTheme="minorHAnsi" w:cs="Arial"/>
                <w:b/>
                <w:bCs/>
                <w:color w:val="59595B"/>
                <w:sz w:val="20"/>
                <w:szCs w:val="20"/>
                <w:lang w:val="en-GB"/>
              </w:rPr>
              <w:t>)</w:t>
            </w:r>
          </w:p>
        </w:tc>
        <w:tc>
          <w:tcPr>
            <w:tcW w:w="149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61A32405" w14:textId="77777777" w:rsidR="0004342B" w:rsidRPr="00A96D90" w:rsidRDefault="0004342B" w:rsidP="00691179">
            <w:pPr>
              <w:ind w:right="66"/>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w:t>
            </w:r>
            <w:r>
              <w:rPr>
                <w:rFonts w:asciiTheme="minorHAnsi" w:eastAsiaTheme="minorEastAsia" w:hAnsiTheme="minorHAnsi" w:cs="Arial"/>
                <w:b/>
                <w:bCs/>
                <w:color w:val="59595B"/>
                <w:sz w:val="20"/>
                <w:szCs w:val="20"/>
              </w:rPr>
              <w:t>336</w:t>
            </w:r>
            <w:r w:rsidRPr="00A96D90">
              <w:rPr>
                <w:rFonts w:asciiTheme="minorHAnsi" w:eastAsiaTheme="minorEastAsia" w:hAnsiTheme="minorHAnsi" w:cs="Arial"/>
                <w:b/>
                <w:bCs/>
                <w:color w:val="59595B"/>
                <w:sz w:val="20"/>
                <w:szCs w:val="20"/>
                <w:lang w:val="en-GB"/>
              </w:rPr>
              <w:t>)</w:t>
            </w:r>
          </w:p>
        </w:tc>
      </w:tr>
    </w:tbl>
    <w:p w14:paraId="6EFB63B6" w14:textId="77777777" w:rsidR="0004342B" w:rsidRPr="00A96D90" w:rsidRDefault="0004342B" w:rsidP="0004342B">
      <w:pPr>
        <w:pStyle w:val="NoSpacing"/>
        <w:rPr>
          <w:color w:val="59595B"/>
          <w:lang w:val="en-GB"/>
        </w:rPr>
      </w:pPr>
    </w:p>
    <w:p w14:paraId="3D2D35D4" w14:textId="77777777" w:rsidR="0004342B" w:rsidRPr="00A96D90" w:rsidRDefault="0004342B" w:rsidP="0004342B">
      <w:pPr>
        <w:pStyle w:val="NoSpacing"/>
        <w:rPr>
          <w:rFonts w:ascii="Calibri Light" w:hAnsi="Calibri Light" w:cs="Calibri Light"/>
          <w:color w:val="59595B"/>
          <w:lang w:val="en-GB"/>
        </w:rPr>
      </w:pPr>
      <w:r w:rsidRPr="00A96D90">
        <w:rPr>
          <w:rFonts w:ascii="Calibri Light" w:hAnsi="Calibri Light" w:cs="Calibri Light"/>
          <w:color w:val="59595B"/>
          <w:lang w:val="en-GB"/>
        </w:rPr>
        <w:t>In 201</w:t>
      </w:r>
      <w:r>
        <w:rPr>
          <w:rFonts w:ascii="Calibri Light" w:hAnsi="Calibri Light" w:cs="Calibri Light"/>
          <w:color w:val="59595B"/>
        </w:rPr>
        <w:t>8</w:t>
      </w:r>
      <w:r w:rsidRPr="00A96D90">
        <w:rPr>
          <w:rFonts w:ascii="Calibri Light" w:hAnsi="Calibri Light" w:cs="Calibri Light"/>
          <w:color w:val="59595B"/>
          <w:lang w:val="en-GB"/>
        </w:rPr>
        <w:t xml:space="preserve">, the addition </w:t>
      </w:r>
      <w:r>
        <w:rPr>
          <w:rFonts w:ascii="Calibri Light" w:hAnsi="Calibri Light" w:cs="Calibri Light"/>
          <w:color w:val="59595B"/>
        </w:rPr>
        <w:t xml:space="preserve">to the impairment </w:t>
      </w:r>
      <w:r w:rsidRPr="00A96D90">
        <w:rPr>
          <w:rFonts w:ascii="Calibri Light" w:hAnsi="Calibri Light" w:cs="Calibri Light"/>
          <w:color w:val="59595B"/>
          <w:lang w:val="en-GB"/>
        </w:rPr>
        <w:t>of €0.</w:t>
      </w:r>
      <w:r>
        <w:rPr>
          <w:rFonts w:ascii="Calibri Light" w:hAnsi="Calibri Light" w:cs="Calibri Light"/>
          <w:color w:val="59595B"/>
        </w:rPr>
        <w:t>6</w:t>
      </w:r>
      <w:r w:rsidRPr="00A96D90">
        <w:rPr>
          <w:rFonts w:ascii="Calibri Light" w:hAnsi="Calibri Light" w:cs="Calibri Light"/>
          <w:color w:val="59595B"/>
          <w:lang w:val="en-GB"/>
        </w:rPr>
        <w:t xml:space="preserve"> million was based on adjusted sales forecasts. </w:t>
      </w:r>
    </w:p>
    <w:p w14:paraId="0A76D179" w14:textId="77777777" w:rsidR="0004342B" w:rsidRPr="00A96D90" w:rsidRDefault="0004342B" w:rsidP="0004342B">
      <w:pPr>
        <w:pStyle w:val="NoSpacing"/>
        <w:rPr>
          <w:rFonts w:ascii="Calibri Light" w:hAnsi="Calibri Light" w:cs="Calibri Light"/>
          <w:color w:val="59595B"/>
          <w:lang w:val="en-GB"/>
        </w:rPr>
      </w:pPr>
      <w:r w:rsidRPr="00A96D90">
        <w:rPr>
          <w:rFonts w:ascii="Calibri Light" w:hAnsi="Calibri Light" w:cs="Calibri Light"/>
          <w:color w:val="59595B"/>
          <w:lang w:val="en-GB"/>
        </w:rPr>
        <w:t>Cost of inventories included in the cost of product sales in the first half year 201</w:t>
      </w:r>
      <w:r>
        <w:rPr>
          <w:rFonts w:ascii="Calibri Light" w:hAnsi="Calibri Light" w:cs="Calibri Light"/>
          <w:color w:val="59595B"/>
        </w:rPr>
        <w:t>8</w:t>
      </w:r>
      <w:r w:rsidRPr="00A96D90">
        <w:rPr>
          <w:rFonts w:ascii="Calibri Light" w:hAnsi="Calibri Light" w:cs="Calibri Light"/>
          <w:color w:val="59595B"/>
          <w:lang w:val="en-GB"/>
        </w:rPr>
        <w:t xml:space="preserve"> amounted €</w:t>
      </w:r>
      <w:r>
        <w:rPr>
          <w:rFonts w:ascii="Calibri Light" w:hAnsi="Calibri Light" w:cs="Calibri Light"/>
          <w:color w:val="59595B"/>
        </w:rPr>
        <w:t>9.5</w:t>
      </w:r>
      <w:r w:rsidRPr="00A96D90">
        <w:rPr>
          <w:rFonts w:ascii="Calibri Light" w:hAnsi="Calibri Light" w:cs="Calibri Light"/>
          <w:color w:val="59595B"/>
          <w:lang w:val="en-GB"/>
        </w:rPr>
        <w:t xml:space="preserve"> million (2016: €</w:t>
      </w:r>
      <w:r>
        <w:rPr>
          <w:rFonts w:ascii="Calibri Light" w:hAnsi="Calibri Light" w:cs="Calibri Light"/>
          <w:color w:val="59595B"/>
        </w:rPr>
        <w:t>3.7</w:t>
      </w:r>
      <w:r w:rsidRPr="00A96D90">
        <w:rPr>
          <w:rFonts w:ascii="Calibri Light" w:hAnsi="Calibri Light" w:cs="Calibri Light"/>
          <w:color w:val="59595B"/>
          <w:lang w:val="en-GB"/>
        </w:rPr>
        <w:t> million). The main portion of inventories at 30 June 201</w:t>
      </w:r>
      <w:r>
        <w:rPr>
          <w:rFonts w:ascii="Calibri Light" w:hAnsi="Calibri Light" w:cs="Calibri Light"/>
          <w:color w:val="59595B"/>
        </w:rPr>
        <w:t>8</w:t>
      </w:r>
      <w:r w:rsidRPr="00A96D90">
        <w:rPr>
          <w:rFonts w:ascii="Calibri Light" w:hAnsi="Calibri Light" w:cs="Calibri Light"/>
          <w:color w:val="59595B"/>
          <w:lang w:val="en-GB"/>
        </w:rPr>
        <w:t xml:space="preserve"> has expiration dates starting beyond 201</w:t>
      </w:r>
      <w:r>
        <w:rPr>
          <w:rFonts w:ascii="Calibri Light" w:hAnsi="Calibri Light" w:cs="Calibri Light"/>
          <w:color w:val="59595B"/>
        </w:rPr>
        <w:t>9</w:t>
      </w:r>
      <w:r w:rsidRPr="00A96D90">
        <w:rPr>
          <w:rFonts w:ascii="Calibri Light" w:hAnsi="Calibri Light" w:cs="Calibri Light"/>
          <w:color w:val="59595B"/>
          <w:lang w:val="en-GB"/>
        </w:rPr>
        <w:t xml:space="preserve"> and is expected to be sold or used before expiration.</w:t>
      </w:r>
    </w:p>
    <w:p w14:paraId="0B4EBF11"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lastRenderedPageBreak/>
        <w:t>Equity</w:t>
      </w:r>
    </w:p>
    <w:p w14:paraId="670493D0" w14:textId="77777777" w:rsidR="0004342B" w:rsidRPr="003814CF" w:rsidRDefault="0004342B" w:rsidP="0004342B">
      <w:pPr>
        <w:pStyle w:val="NoSpacing"/>
        <w:spacing w:after="120"/>
        <w:rPr>
          <w:rFonts w:ascii="Calibri Light" w:hAnsi="Calibri Light" w:cs="Calibri Light"/>
          <w:color w:val="59595B"/>
        </w:rPr>
      </w:pPr>
      <w:r w:rsidRPr="003814CF">
        <w:rPr>
          <w:rFonts w:ascii="Calibri Light" w:hAnsi="Calibri Light" w:cs="Calibri Light"/>
          <w:color w:val="59595B"/>
          <w:lang w:val="en-GB"/>
        </w:rPr>
        <w:t xml:space="preserve">The Company’s authorised share capital amounts to €8.0 million and is divided into 800,000,000 ordinary shares with a nominal value of €0.01 each. All </w:t>
      </w:r>
      <w:r w:rsidRPr="003814CF">
        <w:rPr>
          <w:rFonts w:ascii="Calibri Light" w:hAnsi="Calibri Light" w:cs="Calibri Light"/>
          <w:color w:val="59595B"/>
        </w:rPr>
        <w:t>610,411,062</w:t>
      </w:r>
      <w:r w:rsidRPr="003814CF">
        <w:rPr>
          <w:rFonts w:ascii="Calibri Light" w:hAnsi="Calibri Light" w:cs="Calibri Light"/>
          <w:color w:val="59595B"/>
          <w:lang w:val="en-GB"/>
        </w:rPr>
        <w:t xml:space="preserve"> shares outstanding at 30 June 201</w:t>
      </w:r>
      <w:r w:rsidRPr="003814CF">
        <w:rPr>
          <w:rFonts w:ascii="Calibri Light" w:hAnsi="Calibri Light" w:cs="Calibri Light"/>
          <w:color w:val="59595B"/>
        </w:rPr>
        <w:t>8</w:t>
      </w:r>
      <w:r w:rsidRPr="003814CF">
        <w:rPr>
          <w:rFonts w:ascii="Calibri Light" w:hAnsi="Calibri Light" w:cs="Calibri Light"/>
          <w:color w:val="59595B"/>
          <w:lang w:val="en-GB"/>
        </w:rPr>
        <w:t xml:space="preserve"> have been fully paid-up. Other reserves include those reserves related to currency translation, share-based compensation expenses and other equity-settled transactions. </w:t>
      </w:r>
      <w:r>
        <w:rPr>
          <w:rFonts w:ascii="Calibri Light" w:hAnsi="Calibri Light" w:cs="Calibri Light"/>
          <w:color w:val="59595B"/>
        </w:rPr>
        <w:t>In the first half year of 2018 a total of 31,396,171 new shares have been issued resulting from bonusses settled in shares, conversion of a convertible bond and warrants, and the exercise of options.</w:t>
      </w:r>
    </w:p>
    <w:p w14:paraId="35A78BF3" w14:textId="77777777" w:rsidR="0004342B" w:rsidRPr="00A96D90" w:rsidRDefault="0004342B" w:rsidP="0004342B">
      <w:pPr>
        <w:pStyle w:val="NoSpacing"/>
        <w:spacing w:after="120"/>
        <w:rPr>
          <w:rFonts w:ascii="Calibri Light" w:hAnsi="Calibri Light" w:cs="Calibri Light"/>
          <w:color w:val="59595B"/>
          <w:lang w:val="en-GB"/>
        </w:rPr>
      </w:pPr>
      <w:r w:rsidRPr="003814CF">
        <w:rPr>
          <w:rFonts w:ascii="Calibri Light" w:hAnsi="Calibri Light" w:cs="Calibri Light"/>
          <w:color w:val="59595B"/>
          <w:lang w:val="en-GB"/>
        </w:rPr>
        <w:t>Please refer to the Consolidated statement of changes in equity.</w:t>
      </w:r>
    </w:p>
    <w:p w14:paraId="77B0A6A4" w14:textId="77777777" w:rsidR="0004342B" w:rsidRPr="00A96D90"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bookmarkStart w:id="2" w:name="_Toc444768942"/>
      <w:r w:rsidRPr="00A96D90">
        <w:rPr>
          <w:rFonts w:asciiTheme="majorHAnsi" w:hAnsiTheme="majorHAnsi" w:cstheme="minorHAnsi"/>
          <w:i/>
          <w:color w:val="59595B"/>
          <w:sz w:val="24"/>
          <w:szCs w:val="22"/>
          <w:lang w:val="en-GB"/>
        </w:rPr>
        <w:t>Loans and borrowings</w:t>
      </w:r>
      <w:bookmarkEnd w:id="2"/>
      <w:r w:rsidRPr="00A96D90">
        <w:rPr>
          <w:rFonts w:asciiTheme="majorHAnsi" w:hAnsiTheme="majorHAnsi" w:cstheme="minorHAnsi"/>
          <w:i/>
          <w:color w:val="59595B"/>
          <w:sz w:val="24"/>
          <w:szCs w:val="22"/>
          <w:lang w:val="en-GB"/>
        </w:rPr>
        <w:t xml:space="preserve"> </w:t>
      </w:r>
    </w:p>
    <w:p w14:paraId="4EF5D8B7" w14:textId="77777777" w:rsidR="0004342B" w:rsidRPr="00692021" w:rsidRDefault="0004342B" w:rsidP="0004342B">
      <w:pPr>
        <w:spacing w:before="120" w:after="120"/>
        <w:jc w:val="left"/>
        <w:rPr>
          <w:rFonts w:ascii="Calibri Light" w:eastAsia="Calibri" w:hAnsi="Calibri Light" w:cs="Calibri Light"/>
          <w:color w:val="59595B"/>
          <w:szCs w:val="22"/>
          <w:lang w:val="en-GB"/>
        </w:rPr>
      </w:pPr>
      <w:r>
        <w:rPr>
          <w:rFonts w:ascii="Calibri Light" w:eastAsia="Calibri" w:hAnsi="Calibri Light" w:cs="Calibri Light"/>
          <w:color w:val="59595B"/>
          <w:szCs w:val="22"/>
        </w:rPr>
        <w:t>In 2017 t</w:t>
      </w:r>
      <w:r w:rsidRPr="00692021">
        <w:rPr>
          <w:rFonts w:ascii="Calibri Light" w:eastAsia="Calibri" w:hAnsi="Calibri Light" w:cs="Calibri Light"/>
          <w:color w:val="59595B"/>
          <w:szCs w:val="22"/>
        </w:rPr>
        <w:t xml:space="preserve">he Company </w:t>
      </w:r>
      <w:r>
        <w:rPr>
          <w:rFonts w:ascii="Calibri Light" w:eastAsia="Calibri" w:hAnsi="Calibri Light" w:cs="Calibri Light"/>
          <w:color w:val="59595B"/>
          <w:szCs w:val="22"/>
        </w:rPr>
        <w:t xml:space="preserve">entered into </w:t>
      </w:r>
      <w:r w:rsidRPr="00692021">
        <w:rPr>
          <w:rFonts w:ascii="Calibri Light" w:eastAsia="Calibri" w:hAnsi="Calibri Light" w:cs="Calibri Light"/>
          <w:color w:val="59595B"/>
          <w:szCs w:val="22"/>
        </w:rPr>
        <w:t>a debt facility with Orbimed Royalty Opportunities</w:t>
      </w:r>
      <w:r>
        <w:rPr>
          <w:rFonts w:ascii="Calibri Light" w:eastAsia="Calibri" w:hAnsi="Calibri Light" w:cs="Calibri Light"/>
          <w:color w:val="59595B"/>
          <w:szCs w:val="22"/>
        </w:rPr>
        <w:t xml:space="preserve"> </w:t>
      </w:r>
      <w:r w:rsidRPr="00692021">
        <w:rPr>
          <w:rFonts w:ascii="Calibri Light" w:eastAsia="Calibri" w:hAnsi="Calibri Light" w:cs="Calibri Light"/>
          <w:color w:val="59595B"/>
          <w:szCs w:val="22"/>
        </w:rPr>
        <w:t>II</w:t>
      </w:r>
      <w:r>
        <w:rPr>
          <w:rFonts w:ascii="Calibri Light" w:eastAsia="Calibri" w:hAnsi="Calibri Light" w:cs="Calibri Light"/>
          <w:color w:val="59595B"/>
          <w:szCs w:val="22"/>
        </w:rPr>
        <w:t>, LP</w:t>
      </w:r>
      <w:r w:rsidRPr="00692021">
        <w:rPr>
          <w:rFonts w:ascii="Calibri Light" w:eastAsia="Calibri" w:hAnsi="Calibri Light" w:cs="Calibri Light"/>
          <w:color w:val="59595B"/>
          <w:szCs w:val="22"/>
        </w:rPr>
        <w:t xml:space="preserve"> of </w:t>
      </w:r>
      <w:r w:rsidRPr="00692021">
        <w:rPr>
          <w:rFonts w:ascii="Calibri Light" w:eastAsia="Calibri" w:hAnsi="Calibri Light" w:cs="Calibri Light"/>
          <w:color w:val="59595B"/>
          <w:szCs w:val="22"/>
          <w:lang w:val="en-GB"/>
        </w:rPr>
        <w:t xml:space="preserve">US$100 million (€91.3 million) secured senior debt funding against 48 months promissory notes with interest of the sum of (i) the Applicable Margin of 11% plus (ii) the greater of (x) One-Month LIBOR and (y) 1.00%. Repayment of the loan </w:t>
      </w:r>
      <w:r w:rsidRPr="00692021">
        <w:rPr>
          <w:rFonts w:ascii="Calibri Light" w:eastAsia="Calibri" w:hAnsi="Calibri Light" w:cs="Calibri Light"/>
          <w:color w:val="59595B"/>
          <w:szCs w:val="22"/>
        </w:rPr>
        <w:t>will</w:t>
      </w:r>
      <w:r w:rsidRPr="00692021">
        <w:rPr>
          <w:rFonts w:ascii="Calibri Light" w:eastAsia="Calibri" w:hAnsi="Calibri Light" w:cs="Calibri Light"/>
          <w:color w:val="59595B"/>
          <w:szCs w:val="22"/>
          <w:lang w:val="en-GB"/>
        </w:rPr>
        <w:t xml:space="preserve"> start in September 2018 in quarterly instalments. The Company has the option to prepay the loan before its maturity date. As further consideration for the facility, the </w:t>
      </w:r>
      <w:r>
        <w:rPr>
          <w:rFonts w:ascii="Calibri Light" w:eastAsia="Calibri" w:hAnsi="Calibri Light" w:cs="Calibri Light"/>
          <w:color w:val="59595B"/>
          <w:szCs w:val="22"/>
        </w:rPr>
        <w:t>l</w:t>
      </w:r>
      <w:r w:rsidRPr="00692021">
        <w:rPr>
          <w:rFonts w:ascii="Calibri Light" w:eastAsia="Calibri" w:hAnsi="Calibri Light" w:cs="Calibri Light"/>
          <w:color w:val="59595B"/>
          <w:szCs w:val="22"/>
          <w:lang w:val="en-GB"/>
        </w:rPr>
        <w:t>enders received a 4% warrant coverage (9,174,372 warrants) with a strike price of €0.455 representing the closing price of Pharming shares immediately prior to the closing date, plus a 2.5% commitment fee of the principal sum and an assignment fee on the maturity date of $3.7 million. Other facility fees of €0.6 million have been deferred from the original loans. The warrants have been separated from the loan and recognised in Equity.</w:t>
      </w:r>
    </w:p>
    <w:p w14:paraId="4887B720" w14:textId="77777777" w:rsidR="0004342B" w:rsidRDefault="0004342B" w:rsidP="0004342B">
      <w:pPr>
        <w:spacing w:before="120" w:after="120"/>
        <w:jc w:val="left"/>
        <w:rPr>
          <w:rFonts w:ascii="Calibri Light" w:eastAsia="Calibri" w:hAnsi="Calibri Light" w:cs="Calibri Light"/>
          <w:color w:val="59595B"/>
          <w:szCs w:val="22"/>
          <w:lang w:val="en-GB"/>
        </w:rPr>
      </w:pPr>
      <w:r w:rsidRPr="00692021">
        <w:rPr>
          <w:rFonts w:ascii="Calibri Light" w:eastAsia="Calibri" w:hAnsi="Calibri Light" w:cs="Calibri Light"/>
          <w:color w:val="59595B"/>
          <w:szCs w:val="22"/>
          <w:lang w:val="en-GB"/>
        </w:rPr>
        <w:t>The Company, and its subsidiaries, have pledged all receivables, movable assets and intellectual property rights as security to the new lenders, in the same way as those assets were pledged to the original lenders.</w:t>
      </w:r>
    </w:p>
    <w:p w14:paraId="19892DE1" w14:textId="7CE03134" w:rsidR="0004342B" w:rsidRPr="0031040F" w:rsidRDefault="0004342B" w:rsidP="0004342B">
      <w:pPr>
        <w:spacing w:before="120" w:after="120"/>
        <w:jc w:val="left"/>
        <w:rPr>
          <w:rFonts w:ascii="Calibri Light" w:eastAsia="Calibri" w:hAnsi="Calibri Light" w:cs="Calibri Light"/>
          <w:b/>
          <w:color w:val="595959" w:themeColor="text1" w:themeTint="A6"/>
          <w:sz w:val="28"/>
          <w:szCs w:val="22"/>
        </w:rPr>
      </w:pPr>
      <w:r w:rsidRPr="003814CF">
        <w:rPr>
          <w:rFonts w:ascii="Calibri Light" w:eastAsia="Calibri" w:hAnsi="Calibri Light" w:cs="Calibri Light"/>
          <w:color w:val="59595B"/>
          <w:szCs w:val="22"/>
        </w:rPr>
        <w:t xml:space="preserve">In the first </w:t>
      </w:r>
      <w:r>
        <w:rPr>
          <w:rFonts w:ascii="Calibri Light" w:eastAsia="Calibri" w:hAnsi="Calibri Light" w:cs="Calibri Light"/>
          <w:color w:val="59595B"/>
          <w:szCs w:val="22"/>
        </w:rPr>
        <w:t>half year</w:t>
      </w:r>
      <w:r w:rsidRPr="003814CF">
        <w:rPr>
          <w:rFonts w:ascii="Calibri Light" w:eastAsia="Calibri" w:hAnsi="Calibri Light" w:cs="Calibri Light"/>
          <w:color w:val="59595B"/>
          <w:szCs w:val="22"/>
        </w:rPr>
        <w:t xml:space="preserve"> 2018 all 9,174,372 warrants </w:t>
      </w:r>
      <w:r w:rsidR="002904A2" w:rsidRPr="003814CF">
        <w:rPr>
          <w:rFonts w:ascii="Calibri Light" w:eastAsia="Calibri" w:hAnsi="Calibri Light" w:cs="Calibri Light"/>
          <w:color w:val="59595B"/>
          <w:szCs w:val="22"/>
        </w:rPr>
        <w:t>have</w:t>
      </w:r>
      <w:r w:rsidRPr="003814CF">
        <w:rPr>
          <w:rFonts w:ascii="Calibri Light" w:eastAsia="Calibri" w:hAnsi="Calibri Light" w:cs="Calibri Light"/>
          <w:color w:val="59595B"/>
          <w:szCs w:val="22"/>
        </w:rPr>
        <w:t xml:space="preserve"> been </w:t>
      </w:r>
      <w:r w:rsidRPr="0031040F">
        <w:rPr>
          <w:rFonts w:ascii="Calibri Light" w:eastAsia="Calibri" w:hAnsi="Calibri Light" w:cs="Calibri Light"/>
          <w:color w:val="595959" w:themeColor="text1" w:themeTint="A6"/>
          <w:szCs w:val="22"/>
        </w:rPr>
        <w:t xml:space="preserve">exercised by the lender and have been </w:t>
      </w:r>
      <w:r w:rsidRPr="0031040F">
        <w:rPr>
          <w:rFonts w:ascii="Calibri Light" w:eastAsia="Calibri" w:hAnsi="Calibri Light" w:cs="Calibri Light"/>
          <w:color w:val="595959" w:themeColor="text1" w:themeTint="A6"/>
          <w:szCs w:val="22"/>
          <w:lang w:val="en-GB"/>
        </w:rPr>
        <w:t xml:space="preserve">converted </w:t>
      </w:r>
      <w:r w:rsidRPr="0031040F">
        <w:rPr>
          <w:rFonts w:ascii="Calibri Light" w:eastAsia="Calibri" w:hAnsi="Calibri Light" w:cs="Calibri Light"/>
          <w:color w:val="595959" w:themeColor="text1" w:themeTint="A6"/>
          <w:szCs w:val="22"/>
        </w:rPr>
        <w:t xml:space="preserve">into 6,315,235 ordinary shares. </w:t>
      </w:r>
    </w:p>
    <w:p w14:paraId="3EB1CFC1" w14:textId="77777777" w:rsidR="0004342B" w:rsidRPr="00E12C03" w:rsidRDefault="0004342B" w:rsidP="0004342B">
      <w:pPr>
        <w:jc w:val="left"/>
        <w:rPr>
          <w:rFonts w:asciiTheme="minorHAnsi" w:eastAsia="Calibri Light" w:hAnsiTheme="minorHAnsi" w:cstheme="minorHAnsi"/>
          <w:b/>
          <w:bCs/>
          <w:color w:val="59595B"/>
          <w:sz w:val="20"/>
          <w:szCs w:val="20"/>
          <w:lang w:val="en-GB"/>
        </w:rPr>
      </w:pPr>
      <w:r w:rsidRPr="00E12C03">
        <w:rPr>
          <w:rFonts w:asciiTheme="minorHAnsi" w:eastAsia="Calibri Light" w:hAnsiTheme="minorHAnsi" w:cstheme="minorHAnsi"/>
          <w:b/>
          <w:bCs/>
          <w:color w:val="59595B"/>
          <w:sz w:val="20"/>
          <w:szCs w:val="20"/>
          <w:lang w:val="en-GB"/>
        </w:rPr>
        <w:t>Initial recognition and movements of the loan w</w:t>
      </w:r>
      <w:r w:rsidRPr="00E12C03">
        <w:rPr>
          <w:rFonts w:asciiTheme="minorHAnsi" w:eastAsia="Calibri Light" w:hAnsiTheme="minorHAnsi" w:cstheme="minorHAnsi"/>
          <w:b/>
          <w:bCs/>
          <w:color w:val="59595B"/>
          <w:sz w:val="20"/>
          <w:szCs w:val="20"/>
        </w:rPr>
        <w:t>as</w:t>
      </w:r>
      <w:r w:rsidRPr="00E12C03">
        <w:rPr>
          <w:rFonts w:asciiTheme="minorHAnsi" w:eastAsia="Calibri Light" w:hAnsiTheme="minorHAnsi" w:cstheme="minorHAnsi"/>
          <w:b/>
          <w:bCs/>
          <w:color w:val="59595B"/>
          <w:sz w:val="20"/>
          <w:szCs w:val="20"/>
          <w:lang w:val="en-GB"/>
        </w:rPr>
        <w:t xml:space="preserve"> as follows:</w:t>
      </w:r>
    </w:p>
    <w:tbl>
      <w:tblPr>
        <w:tblW w:w="9072" w:type="dxa"/>
        <w:shd w:val="clear" w:color="auto" w:fill="FFFFFF" w:themeFill="background1"/>
        <w:tblLook w:val="04A0" w:firstRow="1" w:lastRow="0" w:firstColumn="1" w:lastColumn="0" w:noHBand="0" w:noVBand="1"/>
      </w:tblPr>
      <w:tblGrid>
        <w:gridCol w:w="4962"/>
        <w:gridCol w:w="2055"/>
        <w:gridCol w:w="2055"/>
      </w:tblGrid>
      <w:tr w:rsidR="0004342B" w:rsidRPr="007516AE" w14:paraId="6C004513" w14:textId="77777777" w:rsidTr="00AA4E3C">
        <w:trPr>
          <w:trHeight w:val="236"/>
        </w:trPr>
        <w:tc>
          <w:tcPr>
            <w:tcW w:w="4962" w:type="dxa"/>
            <w:tcBorders>
              <w:bottom w:val="single" w:sz="2" w:space="0" w:color="BFBFBF" w:themeColor="background1" w:themeShade="BF"/>
            </w:tcBorders>
            <w:shd w:val="clear" w:color="auto" w:fill="0070C0"/>
          </w:tcPr>
          <w:p w14:paraId="467BEFBC" w14:textId="77777777" w:rsidR="0004342B" w:rsidRPr="00E90ADC" w:rsidRDefault="0004342B" w:rsidP="00691179">
            <w:pPr>
              <w:rPr>
                <w:rFonts w:asciiTheme="minorHAnsi" w:hAnsiTheme="minorHAnsi"/>
                <w:b/>
                <w:bCs/>
                <w:color w:val="FFFFFF" w:themeColor="background1"/>
                <w:sz w:val="20"/>
                <w:szCs w:val="20"/>
                <w:lang w:val="en-GB"/>
              </w:rPr>
            </w:pPr>
          </w:p>
          <w:p w14:paraId="1BA8EA39" w14:textId="77777777" w:rsidR="0004342B" w:rsidRPr="00E90ADC" w:rsidRDefault="0004342B" w:rsidP="00691179">
            <w:pPr>
              <w:rPr>
                <w:rFonts w:asciiTheme="minorHAnsi" w:hAnsiTheme="minorHAnsi"/>
                <w:b/>
                <w:bCs/>
                <w:i/>
                <w:color w:val="FFFFFF" w:themeColor="background1"/>
                <w:sz w:val="20"/>
                <w:szCs w:val="20"/>
                <w:lang w:val="en-GB"/>
              </w:rPr>
            </w:pPr>
            <w:r w:rsidRPr="00E90ADC">
              <w:rPr>
                <w:rFonts w:asciiTheme="minorHAnsi" w:hAnsiTheme="minorHAnsi"/>
                <w:b/>
                <w:bCs/>
                <w:i/>
                <w:color w:val="FFFFFF" w:themeColor="background1"/>
                <w:sz w:val="16"/>
                <w:szCs w:val="20"/>
                <w:lang w:val="en-GB"/>
              </w:rPr>
              <w:t>Amounts in € ‘000</w:t>
            </w:r>
          </w:p>
        </w:tc>
        <w:tc>
          <w:tcPr>
            <w:tcW w:w="2055" w:type="dxa"/>
            <w:tcBorders>
              <w:bottom w:val="single" w:sz="2" w:space="0" w:color="BFBFBF" w:themeColor="background1" w:themeShade="BF"/>
            </w:tcBorders>
            <w:shd w:val="clear" w:color="auto" w:fill="0070C0"/>
          </w:tcPr>
          <w:p w14:paraId="3A2E47E7" w14:textId="77777777" w:rsidR="0004342B" w:rsidRDefault="0004342B" w:rsidP="00691179">
            <w:pPr>
              <w:jc w:val="right"/>
              <w:rPr>
                <w:rFonts w:asciiTheme="minorHAnsi" w:hAnsiTheme="minorHAnsi"/>
                <w:b/>
                <w:bCs/>
                <w:color w:val="FFFFFF" w:themeColor="background1"/>
                <w:sz w:val="20"/>
                <w:szCs w:val="20"/>
              </w:rPr>
            </w:pPr>
            <w:r w:rsidRPr="00E90ADC">
              <w:rPr>
                <w:rFonts w:asciiTheme="minorHAnsi" w:hAnsiTheme="minorHAnsi"/>
                <w:b/>
                <w:bCs/>
                <w:color w:val="FFFFFF" w:themeColor="background1"/>
                <w:sz w:val="20"/>
                <w:szCs w:val="20"/>
              </w:rPr>
              <w:t xml:space="preserve">Period to </w:t>
            </w:r>
          </w:p>
          <w:p w14:paraId="1C892F6E" w14:textId="77777777" w:rsidR="0004342B" w:rsidRPr="00E90ADC" w:rsidRDefault="0004342B" w:rsidP="00AA4E3C">
            <w:pPr>
              <w:jc w:val="right"/>
              <w:rPr>
                <w:rFonts w:asciiTheme="minorHAnsi" w:hAnsiTheme="minorHAnsi"/>
                <w:b/>
                <w:bCs/>
                <w:color w:val="FFFFFF" w:themeColor="background1"/>
                <w:sz w:val="20"/>
                <w:szCs w:val="20"/>
              </w:rPr>
            </w:pPr>
            <w:r w:rsidRPr="00E90ADC">
              <w:rPr>
                <w:rFonts w:asciiTheme="minorHAnsi" w:hAnsiTheme="minorHAnsi"/>
                <w:b/>
                <w:bCs/>
                <w:color w:val="FFFFFF" w:themeColor="background1"/>
                <w:sz w:val="20"/>
                <w:szCs w:val="20"/>
              </w:rPr>
              <w:t>30 June</w:t>
            </w:r>
            <w:r w:rsidR="00AA4E3C">
              <w:rPr>
                <w:rFonts w:asciiTheme="minorHAnsi" w:hAnsiTheme="minorHAnsi"/>
                <w:b/>
                <w:bCs/>
                <w:color w:val="FFFFFF" w:themeColor="background1"/>
                <w:sz w:val="20"/>
                <w:szCs w:val="20"/>
              </w:rPr>
              <w:t xml:space="preserve"> </w:t>
            </w:r>
            <w:r w:rsidRPr="00E90ADC">
              <w:rPr>
                <w:rFonts w:asciiTheme="minorHAnsi" w:hAnsiTheme="minorHAnsi"/>
                <w:b/>
                <w:bCs/>
                <w:color w:val="FFFFFF" w:themeColor="background1"/>
                <w:sz w:val="20"/>
                <w:szCs w:val="20"/>
              </w:rPr>
              <w:t>2018</w:t>
            </w:r>
          </w:p>
        </w:tc>
        <w:tc>
          <w:tcPr>
            <w:tcW w:w="2055" w:type="dxa"/>
            <w:tcBorders>
              <w:bottom w:val="single" w:sz="2" w:space="0" w:color="BFBFBF" w:themeColor="background1" w:themeShade="BF"/>
            </w:tcBorders>
            <w:shd w:val="clear" w:color="auto" w:fill="0070C0"/>
          </w:tcPr>
          <w:p w14:paraId="55ED3F83" w14:textId="77777777" w:rsidR="0004342B" w:rsidRDefault="0004342B" w:rsidP="00691179">
            <w:pPr>
              <w:jc w:val="right"/>
              <w:rPr>
                <w:rFonts w:asciiTheme="minorHAnsi" w:hAnsiTheme="minorHAnsi"/>
                <w:b/>
                <w:bCs/>
                <w:color w:val="FFFFFF" w:themeColor="background1"/>
                <w:sz w:val="20"/>
                <w:szCs w:val="20"/>
              </w:rPr>
            </w:pPr>
            <w:r w:rsidRPr="00E90ADC">
              <w:rPr>
                <w:rFonts w:asciiTheme="minorHAnsi" w:hAnsiTheme="minorHAnsi"/>
                <w:b/>
                <w:bCs/>
                <w:color w:val="FFFFFF" w:themeColor="background1"/>
                <w:sz w:val="20"/>
                <w:szCs w:val="20"/>
              </w:rPr>
              <w:t xml:space="preserve">Year to </w:t>
            </w:r>
          </w:p>
          <w:p w14:paraId="09AA7968" w14:textId="77777777" w:rsidR="0004342B" w:rsidRPr="00E90ADC" w:rsidRDefault="0004342B" w:rsidP="00691179">
            <w:pPr>
              <w:jc w:val="right"/>
              <w:rPr>
                <w:rFonts w:asciiTheme="minorHAnsi" w:hAnsiTheme="minorHAnsi"/>
                <w:b/>
                <w:bCs/>
                <w:color w:val="FFFFFF" w:themeColor="background1"/>
                <w:sz w:val="20"/>
                <w:szCs w:val="20"/>
              </w:rPr>
            </w:pPr>
            <w:r w:rsidRPr="00E90ADC">
              <w:rPr>
                <w:rFonts w:asciiTheme="minorHAnsi" w:hAnsiTheme="minorHAnsi"/>
                <w:b/>
                <w:bCs/>
                <w:color w:val="FFFFFF" w:themeColor="background1"/>
                <w:sz w:val="20"/>
                <w:szCs w:val="20"/>
              </w:rPr>
              <w:t>31 December 2017</w:t>
            </w:r>
          </w:p>
        </w:tc>
      </w:tr>
      <w:tr w:rsidR="0004342B" w:rsidRPr="00E12C03" w14:paraId="4846A90D" w14:textId="77777777" w:rsidTr="00AA4E3C">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166CFE1" w14:textId="77777777" w:rsidR="0004342B" w:rsidRPr="00E90ADC" w:rsidRDefault="0004342B" w:rsidP="00691179">
            <w:pPr>
              <w:ind w:right="144"/>
              <w:rPr>
                <w:rFonts w:ascii="Calibri Light" w:eastAsiaTheme="minorEastAsia" w:hAnsi="Calibri Light"/>
                <w:b/>
                <w:color w:val="59595B"/>
                <w:sz w:val="20"/>
                <w:szCs w:val="20"/>
              </w:rPr>
            </w:pPr>
            <w:r>
              <w:rPr>
                <w:rFonts w:ascii="Calibri Light" w:eastAsiaTheme="minorEastAsia" w:hAnsi="Calibri Light"/>
                <w:b/>
                <w:color w:val="59595B"/>
                <w:sz w:val="20"/>
                <w:szCs w:val="20"/>
              </w:rPr>
              <w:t>Carrying value initial recognition</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041CCD2" w14:textId="77777777" w:rsidR="0004342B" w:rsidRPr="00E12C03" w:rsidRDefault="0004342B" w:rsidP="00691179">
            <w:pPr>
              <w:jc w:val="right"/>
              <w:rPr>
                <w:rFonts w:ascii="Calibri Light" w:eastAsiaTheme="minorEastAsia" w:hAnsi="Calibri Light"/>
                <w:b/>
                <w:color w:val="59595B"/>
                <w:sz w:val="20"/>
                <w:szCs w:val="20"/>
              </w:rPr>
            </w:pP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75B6536" w14:textId="77777777" w:rsidR="0004342B" w:rsidRPr="00A01280" w:rsidRDefault="0004342B" w:rsidP="00691179">
            <w:pPr>
              <w:jc w:val="right"/>
              <w:rPr>
                <w:rFonts w:ascii="Calibri Light" w:eastAsiaTheme="minorEastAsia" w:hAnsi="Calibri Light"/>
                <w:b/>
                <w:color w:val="59595B"/>
                <w:sz w:val="20"/>
                <w:szCs w:val="20"/>
              </w:rPr>
            </w:pPr>
            <w:r w:rsidRPr="00A01280">
              <w:rPr>
                <w:rFonts w:ascii="Calibri Light" w:eastAsiaTheme="minorEastAsia" w:hAnsi="Calibri Light"/>
                <w:b/>
                <w:color w:val="59595B"/>
                <w:sz w:val="20"/>
                <w:szCs w:val="20"/>
              </w:rPr>
              <w:t>85,544</w:t>
            </w:r>
          </w:p>
        </w:tc>
      </w:tr>
      <w:tr w:rsidR="0004342B" w:rsidRPr="00E12C03" w14:paraId="55C60BB0" w14:textId="77777777" w:rsidTr="00AA4E3C">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9D028CB" w14:textId="77777777" w:rsidR="0004342B" w:rsidRPr="00E12C03" w:rsidRDefault="0004342B" w:rsidP="00691179">
            <w:pPr>
              <w:ind w:right="144"/>
              <w:rPr>
                <w:rFonts w:ascii="Calibri Light" w:eastAsiaTheme="minorEastAsia" w:hAnsi="Calibri Light"/>
                <w:b/>
                <w:color w:val="59595B"/>
                <w:sz w:val="20"/>
                <w:szCs w:val="20"/>
                <w:lang w:val="en-GB"/>
              </w:rPr>
            </w:pPr>
            <w:r w:rsidRPr="00E12C03">
              <w:rPr>
                <w:rFonts w:ascii="Calibri Light" w:eastAsiaTheme="minorEastAsia" w:hAnsi="Calibri Light"/>
                <w:b/>
                <w:color w:val="59595B"/>
                <w:sz w:val="20"/>
                <w:szCs w:val="20"/>
                <w:lang w:val="en-GB"/>
              </w:rPr>
              <w:t xml:space="preserve">Carrying value at </w:t>
            </w:r>
            <w:r>
              <w:rPr>
                <w:rFonts w:ascii="Calibri Light" w:eastAsiaTheme="minorEastAsia" w:hAnsi="Calibri Light"/>
                <w:b/>
                <w:color w:val="59595B"/>
                <w:sz w:val="20"/>
                <w:szCs w:val="20"/>
              </w:rPr>
              <w:t>1 January</w:t>
            </w:r>
            <w:r w:rsidRPr="00E12C03">
              <w:rPr>
                <w:rFonts w:ascii="Calibri Light" w:eastAsiaTheme="minorEastAsia" w:hAnsi="Calibri Light"/>
                <w:b/>
                <w:color w:val="59595B"/>
                <w:sz w:val="20"/>
                <w:szCs w:val="20"/>
                <w:lang w:val="en-GB"/>
              </w:rPr>
              <w:t xml:space="preserve"> 201</w:t>
            </w:r>
            <w:r>
              <w:rPr>
                <w:rFonts w:ascii="Calibri Light" w:eastAsiaTheme="minorEastAsia" w:hAnsi="Calibri Light"/>
                <w:b/>
                <w:color w:val="59595B"/>
                <w:sz w:val="20"/>
                <w:szCs w:val="20"/>
              </w:rPr>
              <w:t>8</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1B9E21E" w14:textId="77777777" w:rsidR="0004342B" w:rsidRPr="00E12C03" w:rsidRDefault="0004342B" w:rsidP="00691179">
            <w:pPr>
              <w:jc w:val="right"/>
              <w:rPr>
                <w:rFonts w:ascii="Calibri Light" w:eastAsiaTheme="minorEastAsia" w:hAnsi="Calibri Light"/>
                <w:b/>
                <w:color w:val="59595B"/>
                <w:sz w:val="20"/>
                <w:szCs w:val="20"/>
                <w:lang w:val="en-GB"/>
              </w:rPr>
            </w:pPr>
            <w:r w:rsidRPr="00E12C03">
              <w:rPr>
                <w:rFonts w:ascii="Calibri Light" w:eastAsiaTheme="minorEastAsia" w:hAnsi="Calibri Light"/>
                <w:b/>
                <w:color w:val="59595B"/>
                <w:sz w:val="20"/>
                <w:szCs w:val="20"/>
              </w:rPr>
              <w:t>79,812</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32461BA" w14:textId="77777777" w:rsidR="0004342B" w:rsidRPr="00A01280" w:rsidRDefault="0004342B" w:rsidP="00691179">
            <w:pPr>
              <w:jc w:val="right"/>
              <w:rPr>
                <w:rFonts w:ascii="Calibri Light" w:eastAsiaTheme="minorEastAsia" w:hAnsi="Calibri Light"/>
                <w:b/>
                <w:color w:val="59595B"/>
                <w:sz w:val="20"/>
                <w:szCs w:val="20"/>
              </w:rPr>
            </w:pPr>
          </w:p>
        </w:tc>
      </w:tr>
      <w:tr w:rsidR="0004342B" w:rsidRPr="00E12C03" w14:paraId="0471F66C" w14:textId="77777777" w:rsidTr="00AA4E3C">
        <w:trPr>
          <w:trHeight w:val="246"/>
        </w:trPr>
        <w:tc>
          <w:tcPr>
            <w:tcW w:w="4962" w:type="dxa"/>
            <w:tcBorders>
              <w:top w:val="single" w:sz="2" w:space="0" w:color="BFBFBF" w:themeColor="background1" w:themeShade="BF"/>
              <w:right w:val="single" w:sz="2" w:space="0" w:color="BFBFBF" w:themeColor="background1" w:themeShade="BF"/>
            </w:tcBorders>
            <w:shd w:val="clear" w:color="auto" w:fill="auto"/>
          </w:tcPr>
          <w:p w14:paraId="29BB472A" w14:textId="77777777" w:rsidR="0004342B" w:rsidRPr="00E12C03" w:rsidRDefault="0004342B" w:rsidP="00691179">
            <w:pPr>
              <w:ind w:right="144"/>
              <w:rPr>
                <w:rFonts w:ascii="Calibri Light" w:eastAsiaTheme="minorEastAsia" w:hAnsi="Calibri Light"/>
                <w:color w:val="59595B"/>
                <w:sz w:val="20"/>
                <w:szCs w:val="20"/>
                <w:lang w:val="en-GB"/>
              </w:rPr>
            </w:pPr>
            <w:r w:rsidRPr="00E12C03">
              <w:rPr>
                <w:rFonts w:ascii="Calibri Light" w:eastAsiaTheme="minorEastAsia" w:hAnsi="Calibri Light"/>
                <w:color w:val="59595B"/>
                <w:sz w:val="20"/>
                <w:szCs w:val="20"/>
                <w:lang w:val="en-GB"/>
              </w:rPr>
              <w:t>Amorti</w:t>
            </w:r>
            <w:r>
              <w:rPr>
                <w:rFonts w:ascii="Calibri Light" w:eastAsiaTheme="minorEastAsia" w:hAnsi="Calibri Light"/>
                <w:color w:val="59595B"/>
                <w:sz w:val="20"/>
                <w:szCs w:val="20"/>
              </w:rPr>
              <w:t>z</w:t>
            </w:r>
            <w:r w:rsidRPr="00E12C03">
              <w:rPr>
                <w:rFonts w:ascii="Calibri Light" w:eastAsiaTheme="minorEastAsia" w:hAnsi="Calibri Light"/>
                <w:color w:val="59595B"/>
                <w:sz w:val="20"/>
                <w:szCs w:val="20"/>
                <w:lang w:val="en-GB"/>
              </w:rPr>
              <w:t>ed costs</w:t>
            </w:r>
          </w:p>
        </w:tc>
        <w:tc>
          <w:tcPr>
            <w:tcW w:w="2055" w:type="dxa"/>
            <w:tcBorders>
              <w:top w:val="single" w:sz="2" w:space="0" w:color="BFBFBF" w:themeColor="background1" w:themeShade="BF"/>
              <w:right w:val="single" w:sz="2" w:space="0" w:color="BFBFBF" w:themeColor="background1" w:themeShade="BF"/>
            </w:tcBorders>
            <w:shd w:val="clear" w:color="auto" w:fill="F2F2F2" w:themeFill="background1" w:themeFillShade="F2"/>
          </w:tcPr>
          <w:p w14:paraId="10A5E323" w14:textId="77777777" w:rsidR="0004342B" w:rsidRPr="00E12C03" w:rsidRDefault="0004342B" w:rsidP="00691179">
            <w:pPr>
              <w:jc w:val="right"/>
              <w:rPr>
                <w:rFonts w:ascii="Calibri Light" w:eastAsiaTheme="minorEastAsia" w:hAnsi="Calibri Light"/>
                <w:color w:val="59595B"/>
                <w:sz w:val="20"/>
                <w:szCs w:val="20"/>
                <w:lang w:val="en-GB"/>
              </w:rPr>
            </w:pPr>
            <w:r w:rsidRPr="00E12C03">
              <w:rPr>
                <w:rFonts w:ascii="Calibri Light" w:eastAsiaTheme="minorEastAsia" w:hAnsi="Calibri Light"/>
                <w:color w:val="59595B"/>
                <w:sz w:val="20"/>
                <w:szCs w:val="20"/>
              </w:rPr>
              <w:t>6,286</w:t>
            </w:r>
          </w:p>
        </w:tc>
        <w:tc>
          <w:tcPr>
            <w:tcW w:w="2055" w:type="dxa"/>
            <w:tcBorders>
              <w:top w:val="single" w:sz="2" w:space="0" w:color="BFBFBF" w:themeColor="background1" w:themeShade="BF"/>
              <w:right w:val="single" w:sz="2" w:space="0" w:color="BFBFBF" w:themeColor="background1" w:themeShade="BF"/>
            </w:tcBorders>
            <w:shd w:val="clear" w:color="auto" w:fill="auto"/>
          </w:tcPr>
          <w:p w14:paraId="47077721" w14:textId="77777777" w:rsidR="0004342B" w:rsidRPr="00A01280" w:rsidRDefault="0004342B" w:rsidP="00691179">
            <w:pPr>
              <w:jc w:val="right"/>
              <w:rPr>
                <w:rFonts w:ascii="Calibri Light" w:eastAsiaTheme="minorEastAsia" w:hAnsi="Calibri Light"/>
                <w:color w:val="59595B"/>
                <w:sz w:val="20"/>
                <w:szCs w:val="20"/>
              </w:rPr>
            </w:pPr>
            <w:r w:rsidRPr="00A01280">
              <w:rPr>
                <w:rFonts w:ascii="Calibri Light" w:eastAsiaTheme="minorEastAsia" w:hAnsi="Calibri Light"/>
                <w:color w:val="59595B"/>
                <w:sz w:val="20"/>
                <w:szCs w:val="20"/>
              </w:rPr>
              <w:t>7,406</w:t>
            </w:r>
          </w:p>
        </w:tc>
      </w:tr>
      <w:tr w:rsidR="0004342B" w:rsidRPr="00E12C03" w14:paraId="1B12EFF8" w14:textId="77777777" w:rsidTr="00AA4E3C">
        <w:trPr>
          <w:trHeight w:val="246"/>
        </w:trPr>
        <w:tc>
          <w:tcPr>
            <w:tcW w:w="4962" w:type="dxa"/>
            <w:tcBorders>
              <w:right w:val="single" w:sz="2" w:space="0" w:color="BFBFBF" w:themeColor="background1" w:themeShade="BF"/>
            </w:tcBorders>
            <w:shd w:val="clear" w:color="auto" w:fill="auto"/>
          </w:tcPr>
          <w:p w14:paraId="23074103" w14:textId="77777777" w:rsidR="0004342B" w:rsidRPr="00E12C03" w:rsidRDefault="0004342B" w:rsidP="00691179">
            <w:pPr>
              <w:ind w:right="144"/>
              <w:rPr>
                <w:rFonts w:ascii="Calibri Light" w:eastAsiaTheme="minorEastAsia" w:hAnsi="Calibri Light"/>
                <w:color w:val="59595B"/>
                <w:sz w:val="20"/>
                <w:szCs w:val="20"/>
                <w:lang w:val="en-GB"/>
              </w:rPr>
            </w:pPr>
            <w:r w:rsidRPr="00E12C03">
              <w:rPr>
                <w:rFonts w:ascii="Calibri Light" w:eastAsiaTheme="minorEastAsia" w:hAnsi="Calibri Light"/>
                <w:color w:val="59595B"/>
                <w:sz w:val="20"/>
                <w:szCs w:val="20"/>
                <w:lang w:val="en-GB"/>
              </w:rPr>
              <w:t>Interest paid</w:t>
            </w:r>
          </w:p>
        </w:tc>
        <w:tc>
          <w:tcPr>
            <w:tcW w:w="2055" w:type="dxa"/>
            <w:tcBorders>
              <w:right w:val="single" w:sz="2" w:space="0" w:color="BFBFBF" w:themeColor="background1" w:themeShade="BF"/>
            </w:tcBorders>
            <w:shd w:val="clear" w:color="auto" w:fill="F2F2F2" w:themeFill="background1" w:themeFillShade="F2"/>
          </w:tcPr>
          <w:p w14:paraId="6855D745" w14:textId="77777777" w:rsidR="0004342B" w:rsidRPr="00E12C03" w:rsidRDefault="0004342B" w:rsidP="00691179">
            <w:pPr>
              <w:jc w:val="right"/>
              <w:rPr>
                <w:rFonts w:ascii="Calibri Light" w:eastAsiaTheme="minorEastAsia" w:hAnsi="Calibri Light"/>
                <w:color w:val="59595B"/>
                <w:sz w:val="20"/>
                <w:szCs w:val="20"/>
              </w:rPr>
            </w:pPr>
            <w:r w:rsidRPr="00E12C03">
              <w:rPr>
                <w:rFonts w:ascii="Calibri Light" w:eastAsiaTheme="minorEastAsia" w:hAnsi="Calibri Light"/>
                <w:color w:val="59595B"/>
                <w:sz w:val="20"/>
                <w:szCs w:val="20"/>
              </w:rPr>
              <w:t>(5,384)</w:t>
            </w:r>
          </w:p>
        </w:tc>
        <w:tc>
          <w:tcPr>
            <w:tcW w:w="2055" w:type="dxa"/>
            <w:tcBorders>
              <w:right w:val="single" w:sz="2" w:space="0" w:color="BFBFBF" w:themeColor="background1" w:themeShade="BF"/>
            </w:tcBorders>
            <w:shd w:val="clear" w:color="auto" w:fill="auto"/>
          </w:tcPr>
          <w:p w14:paraId="40306156" w14:textId="77777777" w:rsidR="0004342B" w:rsidRPr="00A01280" w:rsidRDefault="0004342B" w:rsidP="00691179">
            <w:pPr>
              <w:jc w:val="right"/>
              <w:rPr>
                <w:rFonts w:ascii="Calibri Light" w:eastAsiaTheme="minorEastAsia" w:hAnsi="Calibri Light"/>
                <w:color w:val="59595B"/>
                <w:sz w:val="20"/>
                <w:szCs w:val="20"/>
              </w:rPr>
            </w:pPr>
            <w:r w:rsidRPr="00A01280">
              <w:rPr>
                <w:rFonts w:ascii="Calibri Light" w:eastAsiaTheme="minorEastAsia" w:hAnsi="Calibri Light"/>
                <w:color w:val="59595B"/>
                <w:sz w:val="20"/>
                <w:szCs w:val="20"/>
              </w:rPr>
              <w:t>(5,726)</w:t>
            </w:r>
          </w:p>
        </w:tc>
      </w:tr>
      <w:tr w:rsidR="0004342B" w:rsidRPr="00E12C03" w14:paraId="23BF5A1B" w14:textId="77777777" w:rsidTr="00AA4E3C">
        <w:trPr>
          <w:trHeight w:val="246"/>
        </w:trPr>
        <w:tc>
          <w:tcPr>
            <w:tcW w:w="4962" w:type="dxa"/>
            <w:tcBorders>
              <w:right w:val="single" w:sz="2" w:space="0" w:color="BFBFBF" w:themeColor="background1" w:themeShade="BF"/>
            </w:tcBorders>
            <w:shd w:val="clear" w:color="auto" w:fill="auto"/>
          </w:tcPr>
          <w:p w14:paraId="408CBAC3" w14:textId="77777777" w:rsidR="0004342B" w:rsidRPr="00E12C03" w:rsidRDefault="0004342B" w:rsidP="00691179">
            <w:pPr>
              <w:ind w:right="144"/>
              <w:rPr>
                <w:rFonts w:ascii="Calibri Light" w:eastAsiaTheme="minorEastAsia" w:hAnsi="Calibri Light"/>
                <w:color w:val="59595B"/>
                <w:sz w:val="20"/>
                <w:szCs w:val="20"/>
                <w:lang w:val="en-GB"/>
              </w:rPr>
            </w:pPr>
            <w:r w:rsidRPr="00E12C03">
              <w:rPr>
                <w:rFonts w:ascii="Calibri Light" w:eastAsiaTheme="minorEastAsia" w:hAnsi="Calibri Light"/>
                <w:color w:val="59595B"/>
                <w:sz w:val="20"/>
                <w:szCs w:val="20"/>
                <w:lang w:val="en-GB"/>
              </w:rPr>
              <w:t>Revaluation loan</w:t>
            </w:r>
          </w:p>
        </w:tc>
        <w:tc>
          <w:tcPr>
            <w:tcW w:w="2055" w:type="dxa"/>
            <w:tcBorders>
              <w:right w:val="single" w:sz="2" w:space="0" w:color="BFBFBF" w:themeColor="background1" w:themeShade="BF"/>
            </w:tcBorders>
            <w:shd w:val="clear" w:color="auto" w:fill="F2F2F2" w:themeFill="background1" w:themeFillShade="F2"/>
          </w:tcPr>
          <w:p w14:paraId="71E5911F" w14:textId="77777777" w:rsidR="0004342B" w:rsidRPr="00E12C03" w:rsidRDefault="0004342B" w:rsidP="00691179">
            <w:pPr>
              <w:jc w:val="right"/>
              <w:rPr>
                <w:rFonts w:ascii="Calibri Light" w:eastAsiaTheme="minorEastAsia" w:hAnsi="Calibri Light"/>
                <w:color w:val="59595B"/>
                <w:sz w:val="20"/>
                <w:szCs w:val="20"/>
                <w:lang w:val="en-GB"/>
              </w:rPr>
            </w:pPr>
            <w:r w:rsidRPr="00E12C03">
              <w:rPr>
                <w:rFonts w:ascii="Calibri Light" w:eastAsiaTheme="minorEastAsia" w:hAnsi="Calibri Light"/>
                <w:color w:val="59595B"/>
                <w:sz w:val="20"/>
                <w:szCs w:val="20"/>
              </w:rPr>
              <w:t>2,320</w:t>
            </w:r>
          </w:p>
        </w:tc>
        <w:tc>
          <w:tcPr>
            <w:tcW w:w="2055" w:type="dxa"/>
            <w:tcBorders>
              <w:right w:val="single" w:sz="2" w:space="0" w:color="BFBFBF" w:themeColor="background1" w:themeShade="BF"/>
            </w:tcBorders>
            <w:shd w:val="clear" w:color="auto" w:fill="auto"/>
          </w:tcPr>
          <w:p w14:paraId="0EFD3AA4" w14:textId="77777777" w:rsidR="0004342B" w:rsidRPr="00A01280" w:rsidRDefault="0004342B" w:rsidP="00691179">
            <w:pPr>
              <w:jc w:val="right"/>
              <w:rPr>
                <w:rFonts w:ascii="Calibri Light" w:eastAsiaTheme="minorEastAsia" w:hAnsi="Calibri Light"/>
                <w:color w:val="59595B"/>
                <w:sz w:val="20"/>
                <w:szCs w:val="20"/>
              </w:rPr>
            </w:pPr>
            <w:r w:rsidRPr="00A01280">
              <w:rPr>
                <w:rFonts w:ascii="Calibri Light" w:eastAsiaTheme="minorEastAsia" w:hAnsi="Calibri Light"/>
                <w:color w:val="59595B"/>
                <w:sz w:val="20"/>
                <w:szCs w:val="20"/>
              </w:rPr>
              <w:t>(7,412)</w:t>
            </w:r>
          </w:p>
        </w:tc>
      </w:tr>
      <w:tr w:rsidR="0004342B" w:rsidRPr="00E12C03" w14:paraId="21EF4C3E" w14:textId="77777777" w:rsidTr="00AA4E3C">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EF07DF2" w14:textId="77777777" w:rsidR="0004342B" w:rsidRPr="00E12C03" w:rsidRDefault="0004342B" w:rsidP="00691179">
            <w:pPr>
              <w:ind w:right="144"/>
              <w:rPr>
                <w:rFonts w:ascii="Calibri Light" w:eastAsiaTheme="minorEastAsia" w:hAnsi="Calibri Light"/>
                <w:b/>
                <w:color w:val="59595B"/>
                <w:sz w:val="20"/>
                <w:szCs w:val="20"/>
                <w:lang w:val="en-GB"/>
              </w:rPr>
            </w:pPr>
            <w:r w:rsidRPr="00E12C03">
              <w:rPr>
                <w:rFonts w:ascii="Calibri Light" w:eastAsiaTheme="minorEastAsia" w:hAnsi="Calibri Light"/>
                <w:b/>
                <w:color w:val="59595B"/>
                <w:sz w:val="20"/>
                <w:szCs w:val="20"/>
                <w:lang w:val="en-GB"/>
              </w:rPr>
              <w:t xml:space="preserve">Carrying value at </w:t>
            </w:r>
            <w:r>
              <w:rPr>
                <w:rFonts w:ascii="Calibri Light" w:eastAsiaTheme="minorEastAsia" w:hAnsi="Calibri Light"/>
                <w:b/>
                <w:color w:val="59595B"/>
                <w:sz w:val="20"/>
                <w:szCs w:val="20"/>
              </w:rPr>
              <w:t>end of period</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B1C9955" w14:textId="77777777" w:rsidR="0004342B" w:rsidRPr="00E12C03" w:rsidRDefault="0004342B" w:rsidP="00691179">
            <w:pPr>
              <w:jc w:val="right"/>
              <w:rPr>
                <w:rFonts w:ascii="Calibri Light" w:eastAsiaTheme="minorEastAsia" w:hAnsi="Calibri Light"/>
                <w:b/>
                <w:color w:val="59595B"/>
                <w:sz w:val="20"/>
                <w:szCs w:val="20"/>
                <w:lang w:val="en-GB"/>
              </w:rPr>
            </w:pPr>
            <w:r w:rsidRPr="00E12C03">
              <w:rPr>
                <w:rFonts w:ascii="Calibri Light" w:eastAsiaTheme="minorEastAsia" w:hAnsi="Calibri Light"/>
                <w:b/>
                <w:color w:val="59595B"/>
                <w:sz w:val="20"/>
                <w:szCs w:val="20"/>
                <w:lang w:val="en-GB"/>
              </w:rPr>
              <w:t>8</w:t>
            </w:r>
            <w:r w:rsidRPr="00E12C03">
              <w:rPr>
                <w:rFonts w:ascii="Calibri Light" w:eastAsiaTheme="minorEastAsia" w:hAnsi="Calibri Light"/>
                <w:b/>
                <w:color w:val="59595B"/>
                <w:sz w:val="20"/>
                <w:szCs w:val="20"/>
              </w:rPr>
              <w:t>3,034</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334BCA" w14:textId="77777777" w:rsidR="0004342B" w:rsidRPr="00A01280" w:rsidRDefault="0004342B" w:rsidP="00691179">
            <w:pPr>
              <w:jc w:val="right"/>
              <w:rPr>
                <w:rFonts w:ascii="Calibri Light" w:eastAsiaTheme="minorEastAsia" w:hAnsi="Calibri Light"/>
                <w:b/>
                <w:color w:val="59595B"/>
                <w:sz w:val="20"/>
                <w:szCs w:val="20"/>
              </w:rPr>
            </w:pPr>
            <w:r w:rsidRPr="00A01280">
              <w:rPr>
                <w:rFonts w:ascii="Calibri Light" w:eastAsiaTheme="minorEastAsia" w:hAnsi="Calibri Light"/>
                <w:b/>
                <w:color w:val="59595B"/>
                <w:sz w:val="20"/>
                <w:szCs w:val="20"/>
              </w:rPr>
              <w:t>79,812</w:t>
            </w:r>
          </w:p>
        </w:tc>
      </w:tr>
      <w:tr w:rsidR="0004342B" w:rsidRPr="0047442F" w14:paraId="2882218C" w14:textId="77777777" w:rsidTr="00AA4E3C">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44CA16A" w14:textId="77777777" w:rsidR="0004342B" w:rsidRPr="00E90ADC" w:rsidRDefault="0004342B" w:rsidP="00691179">
            <w:pPr>
              <w:ind w:right="144"/>
              <w:rPr>
                <w:rFonts w:ascii="Calibri Light" w:eastAsiaTheme="minorEastAsia" w:hAnsi="Calibri Light"/>
                <w:color w:val="59595B"/>
                <w:sz w:val="20"/>
                <w:szCs w:val="20"/>
              </w:rPr>
            </w:pPr>
            <w:r w:rsidRPr="00E90ADC">
              <w:rPr>
                <w:rFonts w:ascii="Calibri Light" w:eastAsiaTheme="minorEastAsia" w:hAnsi="Calibri Light"/>
                <w:color w:val="59595B"/>
                <w:sz w:val="20"/>
                <w:szCs w:val="20"/>
              </w:rPr>
              <w:t>-/- current portion</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AD956DF" w14:textId="77777777" w:rsidR="0004342B" w:rsidRPr="00E90ADC" w:rsidRDefault="0004342B" w:rsidP="00691179">
            <w:pPr>
              <w:jc w:val="right"/>
              <w:rPr>
                <w:rFonts w:ascii="Calibri Light" w:eastAsiaTheme="minorEastAsia" w:hAnsi="Calibri Light"/>
                <w:color w:val="59595B"/>
                <w:sz w:val="20"/>
                <w:szCs w:val="20"/>
                <w:lang w:val="en-GB"/>
              </w:rPr>
            </w:pP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EE66A20" w14:textId="77777777" w:rsidR="0004342B" w:rsidRPr="00A01280" w:rsidRDefault="0004342B" w:rsidP="00691179">
            <w:pPr>
              <w:jc w:val="right"/>
              <w:rPr>
                <w:rFonts w:ascii="Calibri Light" w:eastAsiaTheme="minorEastAsia" w:hAnsi="Calibri Light"/>
                <w:color w:val="59595B"/>
                <w:sz w:val="20"/>
                <w:szCs w:val="20"/>
              </w:rPr>
            </w:pPr>
            <w:r w:rsidRPr="00A01280">
              <w:rPr>
                <w:rFonts w:ascii="Calibri Light" w:eastAsiaTheme="minorEastAsia" w:hAnsi="Calibri Light"/>
                <w:color w:val="59595B"/>
                <w:sz w:val="20"/>
                <w:szCs w:val="20"/>
              </w:rPr>
              <w:t>(21,451)</w:t>
            </w:r>
          </w:p>
        </w:tc>
      </w:tr>
      <w:tr w:rsidR="0004342B" w:rsidRPr="00E12C03" w14:paraId="5734F1C6" w14:textId="77777777" w:rsidTr="00AA4E3C">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34DBC1F" w14:textId="77777777" w:rsidR="0004342B" w:rsidRPr="00E90ADC" w:rsidRDefault="0004342B" w:rsidP="00691179">
            <w:pPr>
              <w:ind w:right="144"/>
              <w:rPr>
                <w:rFonts w:ascii="Calibri Light" w:eastAsiaTheme="minorEastAsia" w:hAnsi="Calibri Light"/>
                <w:b/>
                <w:color w:val="59595B"/>
                <w:sz w:val="20"/>
                <w:szCs w:val="20"/>
              </w:rPr>
            </w:pPr>
            <w:r>
              <w:rPr>
                <w:rFonts w:ascii="Calibri Light" w:eastAsiaTheme="minorEastAsia" w:hAnsi="Calibri Light"/>
                <w:b/>
                <w:color w:val="59595B"/>
                <w:sz w:val="20"/>
                <w:szCs w:val="20"/>
              </w:rPr>
              <w:t>Non-current portion</w:t>
            </w: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836B6F1" w14:textId="77777777" w:rsidR="0004342B" w:rsidRPr="00E12C03" w:rsidRDefault="0004342B" w:rsidP="00691179">
            <w:pPr>
              <w:jc w:val="right"/>
              <w:rPr>
                <w:rFonts w:ascii="Calibri Light" w:eastAsiaTheme="minorEastAsia" w:hAnsi="Calibri Light"/>
                <w:b/>
                <w:color w:val="59595B"/>
                <w:sz w:val="20"/>
                <w:szCs w:val="20"/>
                <w:lang w:val="en-GB"/>
              </w:rPr>
            </w:pPr>
          </w:p>
        </w:tc>
        <w:tc>
          <w:tcPr>
            <w:tcW w:w="2055"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61538E7" w14:textId="77777777" w:rsidR="0004342B" w:rsidRPr="00A01280" w:rsidRDefault="0004342B" w:rsidP="00691179">
            <w:pPr>
              <w:jc w:val="right"/>
              <w:rPr>
                <w:rFonts w:ascii="Calibri Light" w:eastAsiaTheme="minorEastAsia" w:hAnsi="Calibri Light"/>
                <w:b/>
                <w:color w:val="59595B"/>
                <w:sz w:val="20"/>
                <w:szCs w:val="20"/>
              </w:rPr>
            </w:pPr>
            <w:r w:rsidRPr="00A01280">
              <w:rPr>
                <w:rFonts w:ascii="Calibri Light" w:eastAsiaTheme="minorEastAsia" w:hAnsi="Calibri Light"/>
                <w:b/>
                <w:color w:val="59595B"/>
                <w:sz w:val="20"/>
                <w:szCs w:val="20"/>
              </w:rPr>
              <w:t>58,361</w:t>
            </w:r>
          </w:p>
        </w:tc>
      </w:tr>
    </w:tbl>
    <w:p w14:paraId="252C1C70" w14:textId="77777777" w:rsidR="0004342B" w:rsidRPr="00480FC5" w:rsidRDefault="0004342B" w:rsidP="0004342B">
      <w:pPr>
        <w:autoSpaceDE w:val="0"/>
        <w:autoSpaceDN w:val="0"/>
        <w:adjustRightInd w:val="0"/>
        <w:jc w:val="left"/>
        <w:rPr>
          <w:rFonts w:eastAsia="Calibri Light" w:cs="Arial"/>
          <w:b/>
          <w:bCs/>
          <w:color w:val="808080"/>
          <w:szCs w:val="22"/>
          <w:highlight w:val="yellow"/>
          <w:lang w:val="en-GB"/>
        </w:rPr>
      </w:pPr>
    </w:p>
    <w:p w14:paraId="284BB08F" w14:textId="77777777" w:rsidR="0004342B" w:rsidRPr="00CE7010" w:rsidRDefault="0004342B" w:rsidP="0004342B">
      <w:pPr>
        <w:pStyle w:val="NoSpacing"/>
        <w:spacing w:before="120"/>
        <w:ind w:right="142"/>
        <w:jc w:val="both"/>
        <w:rPr>
          <w:rFonts w:ascii="Calibri Light" w:hAnsi="Calibri Light" w:cs="Calibri Light"/>
          <w:b/>
          <w:color w:val="59595B"/>
          <w:lang w:val="en-GB"/>
        </w:rPr>
      </w:pPr>
      <w:r w:rsidRPr="00CE7010">
        <w:rPr>
          <w:rFonts w:ascii="Calibri Light" w:hAnsi="Calibri Light" w:cs="Calibri Light"/>
          <w:b/>
          <w:color w:val="59595B"/>
          <w:lang w:val="en-GB"/>
        </w:rPr>
        <w:t>Ordinary Convertible Bonds</w:t>
      </w:r>
    </w:p>
    <w:p w14:paraId="7AC11671" w14:textId="77777777" w:rsidR="0004342B" w:rsidRPr="00CE7010" w:rsidRDefault="0004342B" w:rsidP="0004342B">
      <w:pPr>
        <w:spacing w:before="120" w:after="120"/>
        <w:jc w:val="left"/>
        <w:rPr>
          <w:rFonts w:ascii="Calibri Light" w:eastAsia="Calibri" w:hAnsi="Calibri Light" w:cs="Calibri Light"/>
          <w:color w:val="59595B"/>
          <w:szCs w:val="22"/>
          <w:lang w:val="en-GB"/>
        </w:rPr>
      </w:pPr>
      <w:r w:rsidRPr="00CE7010">
        <w:rPr>
          <w:rFonts w:ascii="Calibri Light" w:eastAsia="Calibri" w:hAnsi="Calibri Light" w:cs="Calibri Light"/>
          <w:color w:val="59595B"/>
          <w:szCs w:val="22"/>
        </w:rPr>
        <w:t>All of the Ordinary Convertible Bonds issued in 2016 have now been converted or redeemed in accordance with their terms.</w:t>
      </w:r>
    </w:p>
    <w:p w14:paraId="4C0FD2FD" w14:textId="77777777" w:rsidR="00032C26" w:rsidRDefault="00032C26">
      <w:pPr>
        <w:jc w:val="left"/>
        <w:rPr>
          <w:rFonts w:ascii="Calibri Light" w:eastAsia="Calibri" w:hAnsi="Calibri Light" w:cs="Calibri Light"/>
          <w:b/>
          <w:color w:val="59595B"/>
          <w:szCs w:val="22"/>
          <w:lang w:val="en-GB"/>
        </w:rPr>
      </w:pPr>
      <w:r>
        <w:rPr>
          <w:rFonts w:ascii="Calibri Light" w:hAnsi="Calibri Light" w:cs="Calibri Light"/>
          <w:b/>
          <w:color w:val="59595B"/>
          <w:lang w:val="en-GB"/>
        </w:rPr>
        <w:br w:type="page"/>
      </w:r>
    </w:p>
    <w:p w14:paraId="5C86EB9A" w14:textId="3142003C" w:rsidR="0004342B" w:rsidRPr="00222967" w:rsidRDefault="0004342B" w:rsidP="0004342B">
      <w:pPr>
        <w:pStyle w:val="NoSpacing"/>
        <w:spacing w:before="120"/>
        <w:ind w:right="142"/>
        <w:jc w:val="both"/>
        <w:rPr>
          <w:rFonts w:ascii="Calibri Light" w:eastAsia="Calibri Light" w:hAnsi="Calibri Light" w:cs="Calibri Light"/>
          <w:b/>
          <w:bCs/>
          <w:color w:val="59595B"/>
          <w:lang w:val="en-GB"/>
        </w:rPr>
      </w:pPr>
      <w:r w:rsidRPr="00222967">
        <w:rPr>
          <w:rFonts w:ascii="Calibri Light" w:hAnsi="Calibri Light" w:cs="Calibri Light"/>
          <w:b/>
          <w:color w:val="59595B"/>
          <w:lang w:val="en-GB"/>
        </w:rPr>
        <w:lastRenderedPageBreak/>
        <w:t>Initial recognition and movements of the convertible bonds were as follows:</w:t>
      </w:r>
    </w:p>
    <w:tbl>
      <w:tblPr>
        <w:tblW w:w="9072" w:type="dxa"/>
        <w:shd w:val="clear" w:color="auto" w:fill="FFFFFF" w:themeFill="background1"/>
        <w:tblLook w:val="04A0" w:firstRow="1" w:lastRow="0" w:firstColumn="1" w:lastColumn="0" w:noHBand="0" w:noVBand="1"/>
      </w:tblPr>
      <w:tblGrid>
        <w:gridCol w:w="4962"/>
        <w:gridCol w:w="2055"/>
        <w:gridCol w:w="2055"/>
      </w:tblGrid>
      <w:tr w:rsidR="0004342B" w:rsidRPr="0047442F" w14:paraId="25749696" w14:textId="77777777" w:rsidTr="00AA4E3C">
        <w:trPr>
          <w:trHeight w:val="253"/>
        </w:trPr>
        <w:tc>
          <w:tcPr>
            <w:tcW w:w="4962" w:type="dxa"/>
            <w:tcBorders>
              <w:bottom w:val="single" w:sz="2" w:space="0" w:color="BFBFBF" w:themeColor="background1" w:themeShade="BF"/>
            </w:tcBorders>
            <w:shd w:val="clear" w:color="auto" w:fill="0070C0"/>
          </w:tcPr>
          <w:p w14:paraId="3F096B35" w14:textId="77777777" w:rsidR="0004342B" w:rsidRPr="00E90ADC" w:rsidRDefault="0004342B" w:rsidP="00691179">
            <w:pPr>
              <w:rPr>
                <w:rFonts w:asciiTheme="minorHAnsi" w:hAnsiTheme="minorHAnsi"/>
                <w:b/>
                <w:bCs/>
                <w:color w:val="FFFFFF" w:themeColor="background1"/>
                <w:sz w:val="20"/>
                <w:szCs w:val="20"/>
                <w:lang w:val="en-GB"/>
              </w:rPr>
            </w:pPr>
          </w:p>
          <w:p w14:paraId="6762982F" w14:textId="77777777" w:rsidR="0004342B" w:rsidRPr="00E90ADC" w:rsidRDefault="0004342B" w:rsidP="00691179">
            <w:pPr>
              <w:rPr>
                <w:rFonts w:asciiTheme="minorHAnsi" w:hAnsiTheme="minorHAnsi"/>
                <w:b/>
                <w:bCs/>
                <w:i/>
                <w:color w:val="FFFFFF" w:themeColor="background1"/>
                <w:sz w:val="20"/>
                <w:szCs w:val="20"/>
                <w:lang w:val="en-GB"/>
              </w:rPr>
            </w:pPr>
            <w:r w:rsidRPr="00E90ADC">
              <w:rPr>
                <w:rFonts w:asciiTheme="minorHAnsi" w:hAnsiTheme="minorHAnsi"/>
                <w:b/>
                <w:bCs/>
                <w:i/>
                <w:color w:val="FFFFFF" w:themeColor="background1"/>
                <w:sz w:val="16"/>
                <w:szCs w:val="20"/>
                <w:lang w:val="en-GB"/>
              </w:rPr>
              <w:t>Amounts in € ‘000</w:t>
            </w:r>
          </w:p>
        </w:tc>
        <w:tc>
          <w:tcPr>
            <w:tcW w:w="2055" w:type="dxa"/>
            <w:tcBorders>
              <w:bottom w:val="single" w:sz="2" w:space="0" w:color="BFBFBF" w:themeColor="background1" w:themeShade="BF"/>
            </w:tcBorders>
            <w:shd w:val="clear" w:color="auto" w:fill="0070C0"/>
          </w:tcPr>
          <w:p w14:paraId="4C752B4D" w14:textId="77777777" w:rsidR="00AA4E3C"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 xml:space="preserve">Period to </w:t>
            </w:r>
          </w:p>
          <w:p w14:paraId="460AF5D9" w14:textId="77777777" w:rsidR="0004342B" w:rsidRPr="00E90ADC"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30 June 201</w:t>
            </w:r>
            <w:r w:rsidRPr="00E90ADC">
              <w:rPr>
                <w:rFonts w:asciiTheme="minorHAnsi" w:hAnsiTheme="minorHAnsi"/>
                <w:b/>
                <w:bCs/>
                <w:color w:val="FFFFFF" w:themeColor="background1"/>
                <w:sz w:val="18"/>
                <w:szCs w:val="20"/>
              </w:rPr>
              <w:t>8</w:t>
            </w:r>
          </w:p>
        </w:tc>
        <w:tc>
          <w:tcPr>
            <w:tcW w:w="2055" w:type="dxa"/>
            <w:tcBorders>
              <w:bottom w:val="single" w:sz="2" w:space="0" w:color="BFBFBF" w:themeColor="background1" w:themeShade="BF"/>
            </w:tcBorders>
            <w:shd w:val="clear" w:color="auto" w:fill="0070C0"/>
          </w:tcPr>
          <w:p w14:paraId="2D866D9C" w14:textId="77777777" w:rsidR="00AA4E3C"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 xml:space="preserve">Year to </w:t>
            </w:r>
          </w:p>
          <w:p w14:paraId="1927C31B" w14:textId="77777777" w:rsidR="0004342B" w:rsidRPr="00E90ADC"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31 December</w:t>
            </w:r>
            <w:r w:rsidRPr="00E90ADC">
              <w:rPr>
                <w:rFonts w:asciiTheme="minorHAnsi" w:hAnsiTheme="minorHAnsi"/>
                <w:b/>
                <w:bCs/>
                <w:color w:val="FFFFFF" w:themeColor="background1"/>
                <w:sz w:val="18"/>
                <w:szCs w:val="20"/>
              </w:rPr>
              <w:t xml:space="preserve"> </w:t>
            </w:r>
            <w:r w:rsidRPr="00E90ADC">
              <w:rPr>
                <w:rFonts w:asciiTheme="minorHAnsi" w:hAnsiTheme="minorHAnsi"/>
                <w:b/>
                <w:bCs/>
                <w:color w:val="FFFFFF" w:themeColor="background1"/>
                <w:sz w:val="18"/>
                <w:szCs w:val="20"/>
                <w:lang w:val="en-GB"/>
              </w:rPr>
              <w:t>201</w:t>
            </w:r>
            <w:r w:rsidRPr="00E90ADC">
              <w:rPr>
                <w:rFonts w:asciiTheme="minorHAnsi" w:hAnsiTheme="minorHAnsi"/>
                <w:b/>
                <w:bCs/>
                <w:color w:val="FFFFFF" w:themeColor="background1"/>
                <w:sz w:val="18"/>
                <w:szCs w:val="20"/>
              </w:rPr>
              <w:t>7</w:t>
            </w:r>
          </w:p>
        </w:tc>
      </w:tr>
      <w:tr w:rsidR="0004342B" w:rsidRPr="00222967" w14:paraId="7D1DBCC5" w14:textId="77777777" w:rsidTr="00AA4E3C">
        <w:trPr>
          <w:trHeight w:val="253"/>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C1BFAE" w14:textId="77777777" w:rsidR="0004342B" w:rsidRPr="00222967" w:rsidRDefault="0004342B" w:rsidP="00691179">
            <w:pPr>
              <w:ind w:right="144"/>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lang w:val="en-GB"/>
              </w:rPr>
              <w:t>Balance at 1 January</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17E318C1"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834</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E3973D5"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5,333</w:t>
            </w:r>
          </w:p>
        </w:tc>
      </w:tr>
      <w:tr w:rsidR="0004342B" w:rsidRPr="00222967" w14:paraId="4495117D" w14:textId="77777777" w:rsidTr="00AA4E3C">
        <w:trPr>
          <w:trHeight w:val="264"/>
        </w:trPr>
        <w:tc>
          <w:tcPr>
            <w:tcW w:w="4962" w:type="dxa"/>
            <w:tcBorders>
              <w:right w:val="single" w:sz="2" w:space="0" w:color="BFBFBF" w:themeColor="background1" w:themeShade="BF"/>
            </w:tcBorders>
            <w:shd w:val="clear" w:color="auto" w:fill="auto"/>
          </w:tcPr>
          <w:p w14:paraId="78DFBE49" w14:textId="77777777" w:rsidR="0004342B" w:rsidRPr="00222967" w:rsidRDefault="0004342B" w:rsidP="00691179">
            <w:pPr>
              <w:ind w:right="144"/>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lang w:val="en-GB"/>
              </w:rPr>
              <w:t>Amorti</w:t>
            </w:r>
            <w:r>
              <w:rPr>
                <w:rFonts w:ascii="Calibri Light" w:eastAsiaTheme="minorEastAsia" w:hAnsi="Calibri Light" w:cs="Arial"/>
                <w:color w:val="59595B"/>
                <w:sz w:val="20"/>
                <w:szCs w:val="20"/>
              </w:rPr>
              <w:t>z</w:t>
            </w:r>
            <w:r w:rsidRPr="00222967">
              <w:rPr>
                <w:rFonts w:ascii="Calibri Light" w:eastAsiaTheme="minorEastAsia" w:hAnsi="Calibri Light" w:cs="Arial"/>
                <w:color w:val="59595B"/>
                <w:sz w:val="20"/>
                <w:szCs w:val="20"/>
                <w:lang w:val="en-GB"/>
              </w:rPr>
              <w:t>ed costs</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3A93E5F0"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19</w:t>
            </w:r>
          </w:p>
        </w:tc>
        <w:tc>
          <w:tcPr>
            <w:tcW w:w="2055" w:type="dxa"/>
            <w:tcBorders>
              <w:left w:val="single" w:sz="2" w:space="0" w:color="BFBFBF" w:themeColor="background1" w:themeShade="BF"/>
              <w:right w:val="single" w:sz="2" w:space="0" w:color="BFBFBF" w:themeColor="background1" w:themeShade="BF"/>
            </w:tcBorders>
          </w:tcPr>
          <w:p w14:paraId="56E905EC"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1,251</w:t>
            </w:r>
          </w:p>
        </w:tc>
      </w:tr>
      <w:tr w:rsidR="0004342B" w:rsidRPr="00222967" w14:paraId="4D17909F" w14:textId="77777777" w:rsidTr="00AA4E3C">
        <w:trPr>
          <w:trHeight w:val="264"/>
        </w:trPr>
        <w:tc>
          <w:tcPr>
            <w:tcW w:w="4962" w:type="dxa"/>
            <w:tcBorders>
              <w:right w:val="single" w:sz="2" w:space="0" w:color="BFBFBF" w:themeColor="background1" w:themeShade="BF"/>
            </w:tcBorders>
            <w:shd w:val="clear" w:color="auto" w:fill="auto"/>
          </w:tcPr>
          <w:p w14:paraId="25CCD1B0" w14:textId="77777777" w:rsidR="0004342B" w:rsidRPr="00222967" w:rsidRDefault="0004342B" w:rsidP="00691179">
            <w:pPr>
              <w:ind w:right="144"/>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lang w:val="en-GB"/>
              </w:rPr>
              <w:t>Interest paid</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3D950848"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w:t>
            </w:r>
          </w:p>
        </w:tc>
        <w:tc>
          <w:tcPr>
            <w:tcW w:w="2055" w:type="dxa"/>
            <w:tcBorders>
              <w:left w:val="single" w:sz="2" w:space="0" w:color="BFBFBF" w:themeColor="background1" w:themeShade="BF"/>
              <w:right w:val="single" w:sz="2" w:space="0" w:color="BFBFBF" w:themeColor="background1" w:themeShade="BF"/>
            </w:tcBorders>
          </w:tcPr>
          <w:p w14:paraId="196B869A"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(860)</w:t>
            </w:r>
          </w:p>
        </w:tc>
      </w:tr>
      <w:tr w:rsidR="0004342B" w:rsidRPr="00222967" w14:paraId="6A4B02D0" w14:textId="77777777" w:rsidTr="00AA4E3C">
        <w:trPr>
          <w:trHeight w:val="264"/>
        </w:trPr>
        <w:tc>
          <w:tcPr>
            <w:tcW w:w="4962" w:type="dxa"/>
            <w:tcBorders>
              <w:right w:val="single" w:sz="2" w:space="0" w:color="BFBFBF" w:themeColor="background1" w:themeShade="BF"/>
            </w:tcBorders>
            <w:shd w:val="clear" w:color="auto" w:fill="auto"/>
          </w:tcPr>
          <w:p w14:paraId="1C13F2F7" w14:textId="77777777" w:rsidR="0004342B" w:rsidRPr="00222967" w:rsidRDefault="0004342B" w:rsidP="00691179">
            <w:pPr>
              <w:ind w:right="144"/>
              <w:rPr>
                <w:rFonts w:ascii="Calibri Light" w:eastAsiaTheme="minorEastAsia" w:hAnsi="Calibri Light" w:cs="Arial"/>
                <w:color w:val="59595B"/>
                <w:sz w:val="20"/>
                <w:szCs w:val="20"/>
              </w:rPr>
            </w:pPr>
            <w:r w:rsidRPr="00222967">
              <w:rPr>
                <w:rFonts w:ascii="Calibri Light" w:eastAsiaTheme="minorEastAsia" w:hAnsi="Calibri Light" w:cs="Arial"/>
                <w:color w:val="59595B"/>
                <w:sz w:val="20"/>
                <w:szCs w:val="20"/>
              </w:rPr>
              <w:t>Adjustment net present value</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445CA0FB" w14:textId="77777777" w:rsidR="0004342B" w:rsidRPr="00222967" w:rsidRDefault="0004342B" w:rsidP="00691179">
            <w:pPr>
              <w:jc w:val="right"/>
              <w:rPr>
                <w:rFonts w:ascii="Calibri Light" w:eastAsiaTheme="minorEastAsia" w:hAnsi="Calibri Light" w:cs="Arial"/>
                <w:color w:val="59595B"/>
                <w:sz w:val="20"/>
                <w:szCs w:val="20"/>
              </w:rPr>
            </w:pPr>
            <w:r w:rsidRPr="00222967">
              <w:rPr>
                <w:rFonts w:ascii="Calibri Light" w:eastAsiaTheme="minorEastAsia" w:hAnsi="Calibri Light" w:cs="Arial"/>
                <w:color w:val="59595B"/>
                <w:sz w:val="20"/>
                <w:szCs w:val="20"/>
              </w:rPr>
              <w:t>396</w:t>
            </w:r>
          </w:p>
        </w:tc>
        <w:tc>
          <w:tcPr>
            <w:tcW w:w="2055" w:type="dxa"/>
            <w:tcBorders>
              <w:left w:val="single" w:sz="2" w:space="0" w:color="BFBFBF" w:themeColor="background1" w:themeShade="BF"/>
              <w:right w:val="single" w:sz="2" w:space="0" w:color="BFBFBF" w:themeColor="background1" w:themeShade="BF"/>
            </w:tcBorders>
          </w:tcPr>
          <w:p w14:paraId="3098A051" w14:textId="77777777" w:rsidR="0004342B" w:rsidRPr="00222967" w:rsidRDefault="0004342B" w:rsidP="00691179">
            <w:pPr>
              <w:jc w:val="right"/>
              <w:rPr>
                <w:rFonts w:ascii="Calibri Light" w:eastAsiaTheme="minorEastAsia" w:hAnsi="Calibri Light" w:cs="Arial"/>
                <w:color w:val="59595B"/>
                <w:sz w:val="20"/>
                <w:szCs w:val="20"/>
              </w:rPr>
            </w:pPr>
            <w:r w:rsidRPr="00222967">
              <w:rPr>
                <w:rFonts w:ascii="Calibri Light" w:eastAsiaTheme="minorEastAsia" w:hAnsi="Calibri Light" w:cs="Arial"/>
                <w:color w:val="59595B"/>
                <w:sz w:val="20"/>
                <w:szCs w:val="20"/>
              </w:rPr>
              <w:t>6,402</w:t>
            </w:r>
          </w:p>
        </w:tc>
      </w:tr>
      <w:tr w:rsidR="0004342B" w:rsidRPr="00222967" w14:paraId="272495F6" w14:textId="77777777" w:rsidTr="00AA4E3C">
        <w:trPr>
          <w:trHeight w:val="264"/>
        </w:trPr>
        <w:tc>
          <w:tcPr>
            <w:tcW w:w="4962" w:type="dxa"/>
            <w:tcBorders>
              <w:right w:val="single" w:sz="2" w:space="0" w:color="BFBFBF" w:themeColor="background1" w:themeShade="BF"/>
            </w:tcBorders>
            <w:shd w:val="clear" w:color="auto" w:fill="auto"/>
          </w:tcPr>
          <w:p w14:paraId="5AB7D907" w14:textId="77777777" w:rsidR="0004342B" w:rsidRPr="003814CF" w:rsidRDefault="0004342B" w:rsidP="00691179">
            <w:pPr>
              <w:ind w:right="144"/>
              <w:rPr>
                <w:rFonts w:ascii="Calibri Light" w:eastAsiaTheme="minorEastAsia" w:hAnsi="Calibri Light" w:cs="Arial"/>
                <w:color w:val="59595B"/>
                <w:sz w:val="20"/>
                <w:szCs w:val="20"/>
              </w:rPr>
            </w:pPr>
            <w:r w:rsidRPr="00222967">
              <w:rPr>
                <w:rFonts w:ascii="Calibri Light" w:eastAsiaTheme="minorEastAsia" w:hAnsi="Calibri Light" w:cs="Arial"/>
                <w:color w:val="59595B"/>
                <w:sz w:val="20"/>
                <w:szCs w:val="20"/>
                <w:lang w:val="en-GB"/>
              </w:rPr>
              <w:t>Redemption</w:t>
            </w:r>
            <w:r>
              <w:rPr>
                <w:rFonts w:ascii="Calibri Light" w:eastAsiaTheme="minorEastAsia" w:hAnsi="Calibri Light" w:cs="Arial"/>
                <w:color w:val="59595B"/>
                <w:sz w:val="20"/>
                <w:szCs w:val="20"/>
              </w:rPr>
              <w:t>/conversion</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5A0DB7DC"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lang w:val="en-GB"/>
              </w:rPr>
              <w:t>(</w:t>
            </w:r>
            <w:r w:rsidRPr="00222967">
              <w:rPr>
                <w:rFonts w:ascii="Calibri Light" w:eastAsiaTheme="minorEastAsia" w:hAnsi="Calibri Light" w:cs="Arial"/>
                <w:color w:val="59595B"/>
                <w:sz w:val="20"/>
                <w:szCs w:val="20"/>
              </w:rPr>
              <w:t>1,249</w:t>
            </w:r>
            <w:r w:rsidRPr="00222967">
              <w:rPr>
                <w:rFonts w:ascii="Calibri Light" w:eastAsiaTheme="minorEastAsia" w:hAnsi="Calibri Light" w:cs="Arial"/>
                <w:color w:val="59595B"/>
                <w:sz w:val="20"/>
                <w:szCs w:val="20"/>
                <w:lang w:val="en-GB"/>
              </w:rPr>
              <w:t>)</w:t>
            </w:r>
          </w:p>
        </w:tc>
        <w:tc>
          <w:tcPr>
            <w:tcW w:w="2055" w:type="dxa"/>
            <w:tcBorders>
              <w:left w:val="single" w:sz="2" w:space="0" w:color="BFBFBF" w:themeColor="background1" w:themeShade="BF"/>
              <w:right w:val="single" w:sz="2" w:space="0" w:color="BFBFBF" w:themeColor="background1" w:themeShade="BF"/>
            </w:tcBorders>
          </w:tcPr>
          <w:p w14:paraId="5B53565A"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(11,292)</w:t>
            </w:r>
          </w:p>
        </w:tc>
      </w:tr>
      <w:tr w:rsidR="0004342B" w:rsidRPr="00222967" w14:paraId="7884AD8E" w14:textId="77777777" w:rsidTr="00AA4E3C">
        <w:trPr>
          <w:trHeight w:val="264"/>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199BAFC" w14:textId="77777777" w:rsidR="0004342B" w:rsidRPr="00222967" w:rsidRDefault="0004342B" w:rsidP="00691179">
            <w:pPr>
              <w:ind w:right="144"/>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lang w:val="en-GB"/>
              </w:rPr>
              <w:t>Balance at end of period</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1A72D5D" w14:textId="77777777" w:rsidR="0004342B" w:rsidRPr="00222967" w:rsidRDefault="0004342B" w:rsidP="00691179">
            <w:pPr>
              <w:jc w:val="right"/>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rPr>
              <w:t>-</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841E21" w14:textId="77777777" w:rsidR="0004342B" w:rsidRPr="00222967" w:rsidRDefault="0004342B" w:rsidP="00691179">
            <w:pPr>
              <w:jc w:val="right"/>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rPr>
              <w:t>834</w:t>
            </w:r>
          </w:p>
        </w:tc>
      </w:tr>
      <w:tr w:rsidR="0004342B" w:rsidRPr="00222967" w14:paraId="612C3EA2" w14:textId="77777777" w:rsidTr="00AA4E3C">
        <w:trPr>
          <w:trHeight w:val="264"/>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5030B10" w14:textId="77777777" w:rsidR="0004342B" w:rsidRPr="00222967" w:rsidRDefault="0004342B" w:rsidP="00691179">
            <w:pPr>
              <w:ind w:right="144"/>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 xml:space="preserve">-/- </w:t>
            </w:r>
            <w:r w:rsidRPr="00222967">
              <w:rPr>
                <w:rFonts w:ascii="Calibri Light" w:eastAsiaTheme="minorEastAsia" w:hAnsi="Calibri Light" w:cs="Arial"/>
                <w:color w:val="59595B"/>
                <w:sz w:val="20"/>
                <w:szCs w:val="20"/>
                <w:lang w:val="en-GB"/>
              </w:rPr>
              <w:t>current portion</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0CC1CA3"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rPr>
              <w:t>-</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173590E" w14:textId="77777777" w:rsidR="0004342B" w:rsidRPr="00222967" w:rsidRDefault="0004342B" w:rsidP="00691179">
            <w:pPr>
              <w:jc w:val="right"/>
              <w:rPr>
                <w:rFonts w:ascii="Calibri Light" w:eastAsiaTheme="minorEastAsia" w:hAnsi="Calibri Light" w:cs="Arial"/>
                <w:color w:val="59595B"/>
                <w:sz w:val="20"/>
                <w:szCs w:val="20"/>
                <w:lang w:val="en-GB"/>
              </w:rPr>
            </w:pPr>
            <w:r w:rsidRPr="00222967">
              <w:rPr>
                <w:rFonts w:ascii="Calibri Light" w:eastAsiaTheme="minorEastAsia" w:hAnsi="Calibri Light" w:cs="Arial"/>
                <w:color w:val="59595B"/>
                <w:sz w:val="20"/>
                <w:szCs w:val="20"/>
                <w:lang w:val="en-GB"/>
              </w:rPr>
              <w:t>(</w:t>
            </w:r>
            <w:r w:rsidRPr="00222967">
              <w:rPr>
                <w:rFonts w:ascii="Calibri Light" w:eastAsiaTheme="minorEastAsia" w:hAnsi="Calibri Light" w:cs="Arial"/>
                <w:color w:val="59595B"/>
                <w:sz w:val="20"/>
                <w:szCs w:val="20"/>
              </w:rPr>
              <w:t>511</w:t>
            </w:r>
            <w:r w:rsidRPr="00222967">
              <w:rPr>
                <w:rFonts w:ascii="Calibri Light" w:eastAsiaTheme="minorEastAsia" w:hAnsi="Calibri Light" w:cs="Arial"/>
                <w:color w:val="59595B"/>
                <w:sz w:val="20"/>
                <w:szCs w:val="20"/>
                <w:lang w:val="en-GB"/>
              </w:rPr>
              <w:t>)</w:t>
            </w:r>
          </w:p>
        </w:tc>
      </w:tr>
      <w:tr w:rsidR="0004342B" w:rsidRPr="00222967" w14:paraId="3CA5F04D" w14:textId="77777777" w:rsidTr="00AA4E3C">
        <w:trPr>
          <w:trHeight w:val="264"/>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96BB0CD" w14:textId="77777777" w:rsidR="0004342B" w:rsidRPr="00222967" w:rsidRDefault="0004342B" w:rsidP="00691179">
            <w:pPr>
              <w:ind w:right="144"/>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rPr>
              <w:t>Non-c</w:t>
            </w:r>
            <w:r w:rsidRPr="00222967">
              <w:rPr>
                <w:rFonts w:ascii="Calibri Light" w:eastAsiaTheme="minorEastAsia" w:hAnsi="Calibri Light" w:cs="Arial"/>
                <w:b/>
                <w:color w:val="59595B"/>
                <w:sz w:val="20"/>
                <w:szCs w:val="20"/>
                <w:lang w:val="en-GB"/>
              </w:rPr>
              <w:t>urrent portion</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36AB484" w14:textId="77777777" w:rsidR="0004342B" w:rsidRPr="00222967" w:rsidRDefault="0004342B" w:rsidP="00691179">
            <w:pPr>
              <w:jc w:val="right"/>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rPr>
              <w:t>-</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F9BF22A" w14:textId="77777777" w:rsidR="0004342B" w:rsidRPr="00222967" w:rsidRDefault="0004342B" w:rsidP="00691179">
            <w:pPr>
              <w:jc w:val="right"/>
              <w:rPr>
                <w:rFonts w:ascii="Calibri Light" w:eastAsiaTheme="minorEastAsia" w:hAnsi="Calibri Light" w:cs="Arial"/>
                <w:b/>
                <w:color w:val="59595B"/>
                <w:sz w:val="20"/>
                <w:szCs w:val="20"/>
                <w:lang w:val="en-GB"/>
              </w:rPr>
            </w:pPr>
            <w:r w:rsidRPr="00222967">
              <w:rPr>
                <w:rFonts w:ascii="Calibri Light" w:eastAsiaTheme="minorEastAsia" w:hAnsi="Calibri Light" w:cs="Arial"/>
                <w:b/>
                <w:color w:val="59595B"/>
                <w:sz w:val="20"/>
                <w:szCs w:val="20"/>
              </w:rPr>
              <w:t>323</w:t>
            </w:r>
          </w:p>
        </w:tc>
      </w:tr>
    </w:tbl>
    <w:p w14:paraId="42F6DB71" w14:textId="77777777" w:rsidR="0004342B" w:rsidRPr="00480FC5" w:rsidRDefault="0004342B" w:rsidP="0004342B">
      <w:pPr>
        <w:jc w:val="left"/>
        <w:rPr>
          <w:rFonts w:ascii="Calibri Light" w:eastAsia="Calibri Light" w:hAnsi="Calibri Light" w:cs="Calibri Light"/>
          <w:b/>
          <w:bCs/>
          <w:color w:val="59595B"/>
          <w:szCs w:val="22"/>
          <w:highlight w:val="yellow"/>
          <w:lang w:val="en-GB"/>
        </w:rPr>
      </w:pPr>
    </w:p>
    <w:p w14:paraId="134D4BC1" w14:textId="77777777" w:rsidR="0004342B" w:rsidRPr="00E90ADC" w:rsidRDefault="0004342B" w:rsidP="0004342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E90ADC">
        <w:rPr>
          <w:rFonts w:asciiTheme="majorHAnsi" w:hAnsiTheme="majorHAnsi" w:cstheme="minorHAnsi"/>
          <w:i/>
          <w:color w:val="59595B"/>
          <w:sz w:val="24"/>
          <w:szCs w:val="22"/>
          <w:lang w:val="en-GB"/>
        </w:rPr>
        <w:t>Derivative financial liabilities</w:t>
      </w:r>
    </w:p>
    <w:p w14:paraId="175FEC74" w14:textId="77777777" w:rsidR="0004342B" w:rsidRPr="00C315C9" w:rsidRDefault="0004342B" w:rsidP="0004342B">
      <w:pPr>
        <w:spacing w:before="120" w:after="120"/>
        <w:jc w:val="left"/>
        <w:rPr>
          <w:rFonts w:ascii="Calibri Light" w:eastAsia="Calibri" w:hAnsi="Calibri Light" w:cs="Calibri Light"/>
          <w:color w:val="59595B"/>
          <w:szCs w:val="22"/>
          <w:lang w:val="en-GB"/>
        </w:rPr>
      </w:pPr>
      <w:r w:rsidRPr="00E90ADC">
        <w:rPr>
          <w:rFonts w:ascii="Calibri Light" w:eastAsia="Calibri" w:hAnsi="Calibri Light" w:cs="Calibri Light"/>
          <w:color w:val="59595B"/>
          <w:szCs w:val="22"/>
          <w:lang w:val="en-GB"/>
        </w:rPr>
        <w:t>Derivative financial liabilities include conversion options embedded in borrowings and warrants issued in relation to the issue of equity and loans in 2013</w:t>
      </w:r>
      <w:r>
        <w:rPr>
          <w:rFonts w:ascii="Calibri Light" w:eastAsia="Calibri" w:hAnsi="Calibri Light" w:cs="Calibri Light"/>
          <w:color w:val="59595B"/>
          <w:szCs w:val="22"/>
        </w:rPr>
        <w:t>,</w:t>
      </w:r>
      <w:r w:rsidRPr="00E90ADC">
        <w:rPr>
          <w:rFonts w:ascii="Calibri Light" w:eastAsia="Calibri" w:hAnsi="Calibri Light" w:cs="Calibri Light"/>
          <w:color w:val="59595B"/>
          <w:szCs w:val="22"/>
          <w:lang w:val="en-GB"/>
        </w:rPr>
        <w:t xml:space="preserve"> 2015</w:t>
      </w:r>
      <w:r>
        <w:rPr>
          <w:rFonts w:ascii="Calibri Light" w:eastAsia="Calibri" w:hAnsi="Calibri Light" w:cs="Calibri Light"/>
          <w:color w:val="59595B"/>
          <w:szCs w:val="22"/>
        </w:rPr>
        <w:t xml:space="preserve"> and 2016</w:t>
      </w:r>
      <w:r w:rsidRPr="00E90ADC">
        <w:rPr>
          <w:rFonts w:ascii="Calibri Light" w:eastAsia="Calibri" w:hAnsi="Calibri Light" w:cs="Calibri Light"/>
          <w:color w:val="59595B"/>
          <w:szCs w:val="22"/>
          <w:lang w:val="en-GB"/>
        </w:rPr>
        <w:t xml:space="preserve">. </w:t>
      </w:r>
      <w:r w:rsidRPr="00D108D2">
        <w:rPr>
          <w:rFonts w:ascii="Calibri Light" w:eastAsia="Calibri" w:hAnsi="Calibri Light" w:cs="Calibri Light"/>
          <w:color w:val="59595B"/>
          <w:szCs w:val="22"/>
          <w:lang w:val="en-GB"/>
        </w:rPr>
        <w:t>Derivative financial liabilities include the initial fair value of warrants as well as changes in the fair value of the warrants resulting from adjustments of their exercise prices.</w:t>
      </w:r>
      <w:r w:rsidRPr="00C315C9">
        <w:rPr>
          <w:rFonts w:ascii="Calibri Light" w:eastAsia="Calibri" w:hAnsi="Calibri Light" w:cs="Calibri Light"/>
          <w:color w:val="59595B"/>
          <w:szCs w:val="22"/>
          <w:lang w:val="en-GB"/>
        </w:rPr>
        <w:t xml:space="preserve"> </w:t>
      </w:r>
    </w:p>
    <w:p w14:paraId="55FEE09A" w14:textId="77777777" w:rsidR="0004342B" w:rsidRPr="00E90ADC" w:rsidRDefault="0004342B" w:rsidP="0004342B">
      <w:pPr>
        <w:spacing w:before="120" w:after="120"/>
        <w:jc w:val="left"/>
        <w:rPr>
          <w:rFonts w:ascii="Calibri Light" w:eastAsia="Calibri" w:hAnsi="Calibri Light" w:cs="Calibri Light"/>
          <w:color w:val="59595B"/>
          <w:szCs w:val="22"/>
          <w:lang w:val="en-GB"/>
        </w:rPr>
      </w:pPr>
    </w:p>
    <w:p w14:paraId="2DFB5235" w14:textId="289D0F54" w:rsidR="0004342B" w:rsidRDefault="0004342B" w:rsidP="0004342B">
      <w:pPr>
        <w:spacing w:before="120" w:after="120"/>
        <w:jc w:val="left"/>
        <w:rPr>
          <w:rFonts w:ascii="Calibri Light" w:eastAsia="Calibri" w:hAnsi="Calibri Light" w:cs="Calibri Light"/>
          <w:color w:val="59595B"/>
          <w:szCs w:val="22"/>
        </w:rPr>
      </w:pPr>
      <w:r>
        <w:rPr>
          <w:rFonts w:ascii="Calibri Light" w:eastAsia="Calibri" w:hAnsi="Calibri Light" w:cs="Calibri Light"/>
          <w:color w:val="59595B"/>
          <w:szCs w:val="22"/>
        </w:rPr>
        <w:t xml:space="preserve">In 2018 a total number of 4.9 million of warrants have been exercised out of the warrants with </w:t>
      </w:r>
      <w:r w:rsidR="002904A2">
        <w:rPr>
          <w:rFonts w:ascii="Calibri Light" w:eastAsia="Calibri" w:hAnsi="Calibri Light" w:cs="Calibri Light"/>
          <w:color w:val="59595B"/>
          <w:szCs w:val="22"/>
        </w:rPr>
        <w:t>expiration</w:t>
      </w:r>
      <w:r>
        <w:rPr>
          <w:rFonts w:ascii="Calibri Light" w:eastAsia="Calibri" w:hAnsi="Calibri Light" w:cs="Calibri Light"/>
          <w:color w:val="59595B"/>
          <w:szCs w:val="22"/>
        </w:rPr>
        <w:t xml:space="preserve"> date in 2021, with a total fair value of € 4.6 million. </w:t>
      </w:r>
    </w:p>
    <w:p w14:paraId="1D8D8210" w14:textId="3E2BBBF8" w:rsidR="0004342B" w:rsidRPr="00E90ADC" w:rsidRDefault="0004342B" w:rsidP="0004342B">
      <w:pPr>
        <w:spacing w:before="120" w:after="120"/>
        <w:jc w:val="left"/>
        <w:rPr>
          <w:rFonts w:ascii="Calibri Light" w:eastAsia="Calibri" w:hAnsi="Calibri Light" w:cs="Calibri Light"/>
          <w:color w:val="59595B"/>
          <w:szCs w:val="22"/>
        </w:rPr>
      </w:pPr>
      <w:r>
        <w:rPr>
          <w:rFonts w:ascii="Calibri Light" w:eastAsia="Calibri" w:hAnsi="Calibri Light" w:cs="Calibri Light"/>
          <w:color w:val="59595B"/>
          <w:szCs w:val="22"/>
        </w:rPr>
        <w:t xml:space="preserve">Also in 2018, the ordinary convertible bond issued in 2016 has been converted or </w:t>
      </w:r>
      <w:r w:rsidR="002904A2">
        <w:rPr>
          <w:rFonts w:ascii="Calibri Light" w:eastAsia="Calibri" w:hAnsi="Calibri Light" w:cs="Calibri Light"/>
          <w:color w:val="59595B"/>
          <w:szCs w:val="22"/>
        </w:rPr>
        <w:t>redeemed</w:t>
      </w:r>
      <w:r>
        <w:rPr>
          <w:rFonts w:ascii="Calibri Light" w:eastAsia="Calibri" w:hAnsi="Calibri Light" w:cs="Calibri Light"/>
          <w:color w:val="59595B"/>
          <w:szCs w:val="22"/>
        </w:rPr>
        <w:t xml:space="preserve"> in accordance with their terms. A total amount with a fair value of € 2.6 million has been converted. </w:t>
      </w:r>
    </w:p>
    <w:p w14:paraId="58C36C3D" w14:textId="77777777" w:rsidR="0004342B" w:rsidRPr="00E90ADC" w:rsidRDefault="0004342B" w:rsidP="0004342B">
      <w:pPr>
        <w:spacing w:before="120" w:after="120"/>
        <w:jc w:val="left"/>
        <w:rPr>
          <w:rFonts w:ascii="Calibri Light" w:eastAsia="Calibri Light" w:hAnsi="Calibri Light" w:cs="Calibri Light"/>
          <w:b/>
          <w:bCs/>
          <w:color w:val="59595B"/>
          <w:szCs w:val="22"/>
          <w:lang w:val="en-GB"/>
        </w:rPr>
      </w:pPr>
      <w:r w:rsidRPr="00E90ADC">
        <w:rPr>
          <w:rFonts w:ascii="Calibri Light" w:eastAsia="Calibri Light" w:hAnsi="Calibri Light" w:cs="Calibri Light"/>
          <w:b/>
          <w:bCs/>
          <w:color w:val="59595B"/>
          <w:szCs w:val="22"/>
          <w:lang w:val="en-GB"/>
        </w:rPr>
        <w:t>Movement of derivative financial liabilities can be summari</w:t>
      </w:r>
      <w:r w:rsidRPr="00E90ADC">
        <w:rPr>
          <w:rFonts w:ascii="Calibri Light" w:eastAsia="Calibri Light" w:hAnsi="Calibri Light" w:cs="Calibri Light"/>
          <w:b/>
          <w:bCs/>
          <w:color w:val="59595B"/>
          <w:szCs w:val="22"/>
        </w:rPr>
        <w:t>z</w:t>
      </w:r>
      <w:r w:rsidRPr="00E90ADC">
        <w:rPr>
          <w:rFonts w:ascii="Calibri Light" w:eastAsia="Calibri Light" w:hAnsi="Calibri Light" w:cs="Calibri Light"/>
          <w:b/>
          <w:bCs/>
          <w:color w:val="59595B"/>
          <w:szCs w:val="22"/>
          <w:lang w:val="en-GB"/>
        </w:rPr>
        <w:t>ed as follows:</w:t>
      </w:r>
    </w:p>
    <w:tbl>
      <w:tblPr>
        <w:tblW w:w="8931" w:type="dxa"/>
        <w:jc w:val="center"/>
        <w:shd w:val="clear" w:color="auto" w:fill="FFFFFF" w:themeFill="background1"/>
        <w:tblLook w:val="04A0" w:firstRow="1" w:lastRow="0" w:firstColumn="1" w:lastColumn="0" w:noHBand="0" w:noVBand="1"/>
      </w:tblPr>
      <w:tblGrid>
        <w:gridCol w:w="4820"/>
        <w:gridCol w:w="2055"/>
        <w:gridCol w:w="2056"/>
      </w:tblGrid>
      <w:tr w:rsidR="0004342B" w:rsidRPr="00717423" w14:paraId="0B0DC7E0" w14:textId="77777777" w:rsidTr="00AA4E3C">
        <w:trPr>
          <w:trHeight w:val="213"/>
          <w:jc w:val="center"/>
        </w:trPr>
        <w:tc>
          <w:tcPr>
            <w:tcW w:w="4820" w:type="dxa"/>
            <w:tcBorders>
              <w:bottom w:val="single" w:sz="2" w:space="0" w:color="BFBFBF" w:themeColor="background1" w:themeShade="BF"/>
            </w:tcBorders>
            <w:shd w:val="clear" w:color="auto" w:fill="0070C0"/>
          </w:tcPr>
          <w:p w14:paraId="5C1C447D" w14:textId="77777777" w:rsidR="0004342B" w:rsidRPr="00E90ADC" w:rsidRDefault="0004342B" w:rsidP="00691179">
            <w:pPr>
              <w:rPr>
                <w:rFonts w:asciiTheme="minorHAnsi" w:hAnsiTheme="minorHAnsi"/>
                <w:b/>
                <w:bCs/>
                <w:color w:val="FFFFFF" w:themeColor="background1"/>
                <w:sz w:val="20"/>
                <w:szCs w:val="20"/>
                <w:lang w:val="en-GB"/>
              </w:rPr>
            </w:pPr>
          </w:p>
          <w:p w14:paraId="437C5191" w14:textId="77777777" w:rsidR="0004342B" w:rsidRPr="00E90ADC" w:rsidRDefault="0004342B" w:rsidP="00691179">
            <w:pPr>
              <w:rPr>
                <w:rFonts w:asciiTheme="minorHAnsi" w:hAnsiTheme="minorHAnsi"/>
                <w:b/>
                <w:bCs/>
                <w:color w:val="FFFFFF" w:themeColor="background1"/>
                <w:sz w:val="20"/>
                <w:szCs w:val="20"/>
                <w:lang w:val="en-GB"/>
              </w:rPr>
            </w:pPr>
            <w:r w:rsidRPr="00E90ADC">
              <w:rPr>
                <w:rFonts w:asciiTheme="minorHAnsi" w:hAnsiTheme="minorHAnsi"/>
                <w:b/>
                <w:bCs/>
                <w:color w:val="FFFFFF" w:themeColor="background1"/>
                <w:sz w:val="20"/>
                <w:szCs w:val="20"/>
                <w:lang w:val="en-GB"/>
              </w:rPr>
              <w:t>Amounts in € ‘000</w:t>
            </w:r>
          </w:p>
        </w:tc>
        <w:tc>
          <w:tcPr>
            <w:tcW w:w="2055" w:type="dxa"/>
            <w:tcBorders>
              <w:bottom w:val="single" w:sz="2" w:space="0" w:color="BFBFBF" w:themeColor="background1" w:themeShade="BF"/>
            </w:tcBorders>
            <w:shd w:val="clear" w:color="auto" w:fill="0070C0"/>
          </w:tcPr>
          <w:p w14:paraId="1351FF92" w14:textId="77777777" w:rsidR="0004342B"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 xml:space="preserve">Period to </w:t>
            </w:r>
          </w:p>
          <w:p w14:paraId="4BC639FD" w14:textId="77777777" w:rsidR="0004342B" w:rsidRPr="00E90ADC" w:rsidRDefault="0004342B" w:rsidP="00AA4E3C">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30 June</w:t>
            </w:r>
            <w:r w:rsidR="00AA4E3C">
              <w:rPr>
                <w:rFonts w:asciiTheme="minorHAnsi" w:hAnsiTheme="minorHAnsi"/>
                <w:b/>
                <w:bCs/>
                <w:color w:val="FFFFFF" w:themeColor="background1"/>
                <w:sz w:val="18"/>
                <w:szCs w:val="20"/>
              </w:rPr>
              <w:t xml:space="preserve"> </w:t>
            </w:r>
            <w:r w:rsidRPr="00E90ADC">
              <w:rPr>
                <w:rFonts w:asciiTheme="minorHAnsi" w:hAnsiTheme="minorHAnsi"/>
                <w:b/>
                <w:bCs/>
                <w:color w:val="FFFFFF" w:themeColor="background1"/>
                <w:sz w:val="18"/>
                <w:szCs w:val="20"/>
                <w:lang w:val="en-GB"/>
              </w:rPr>
              <w:t>201</w:t>
            </w:r>
            <w:r w:rsidRPr="00E90ADC">
              <w:rPr>
                <w:rFonts w:asciiTheme="minorHAnsi" w:hAnsiTheme="minorHAnsi"/>
                <w:b/>
                <w:bCs/>
                <w:color w:val="FFFFFF" w:themeColor="background1"/>
                <w:sz w:val="18"/>
                <w:szCs w:val="20"/>
              </w:rPr>
              <w:t>8</w:t>
            </w:r>
          </w:p>
        </w:tc>
        <w:tc>
          <w:tcPr>
            <w:tcW w:w="2056" w:type="dxa"/>
            <w:tcBorders>
              <w:bottom w:val="single" w:sz="2" w:space="0" w:color="BFBFBF" w:themeColor="background1" w:themeShade="BF"/>
            </w:tcBorders>
            <w:shd w:val="clear" w:color="auto" w:fill="0070C0"/>
          </w:tcPr>
          <w:p w14:paraId="0EAB705C" w14:textId="77777777" w:rsidR="0004342B" w:rsidRPr="00E90ADC" w:rsidRDefault="0004342B" w:rsidP="00691179">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 xml:space="preserve">Year to </w:t>
            </w:r>
          </w:p>
          <w:p w14:paraId="62023DE8" w14:textId="77777777" w:rsidR="0004342B" w:rsidRPr="00E90ADC" w:rsidRDefault="0004342B" w:rsidP="00AA4E3C">
            <w:pPr>
              <w:jc w:val="right"/>
              <w:rPr>
                <w:rFonts w:asciiTheme="minorHAnsi" w:hAnsiTheme="minorHAnsi"/>
                <w:b/>
                <w:bCs/>
                <w:color w:val="FFFFFF" w:themeColor="background1"/>
                <w:sz w:val="18"/>
                <w:szCs w:val="20"/>
                <w:lang w:val="en-GB"/>
              </w:rPr>
            </w:pPr>
            <w:r w:rsidRPr="00E90ADC">
              <w:rPr>
                <w:rFonts w:asciiTheme="minorHAnsi" w:hAnsiTheme="minorHAnsi"/>
                <w:b/>
                <w:bCs/>
                <w:color w:val="FFFFFF" w:themeColor="background1"/>
                <w:sz w:val="18"/>
                <w:szCs w:val="20"/>
                <w:lang w:val="en-GB"/>
              </w:rPr>
              <w:t>31 December</w:t>
            </w:r>
            <w:r w:rsidR="00AA4E3C">
              <w:rPr>
                <w:rFonts w:asciiTheme="minorHAnsi" w:hAnsiTheme="minorHAnsi"/>
                <w:b/>
                <w:bCs/>
                <w:color w:val="FFFFFF" w:themeColor="background1"/>
                <w:sz w:val="18"/>
                <w:szCs w:val="20"/>
              </w:rPr>
              <w:t xml:space="preserve"> </w:t>
            </w:r>
            <w:r w:rsidRPr="00E90ADC">
              <w:rPr>
                <w:rFonts w:asciiTheme="minorHAnsi" w:hAnsiTheme="minorHAnsi"/>
                <w:b/>
                <w:bCs/>
                <w:color w:val="FFFFFF" w:themeColor="background1"/>
                <w:sz w:val="18"/>
                <w:szCs w:val="20"/>
                <w:lang w:val="en-GB"/>
              </w:rPr>
              <w:t>201</w:t>
            </w:r>
            <w:r>
              <w:rPr>
                <w:rFonts w:asciiTheme="minorHAnsi" w:hAnsiTheme="minorHAnsi"/>
                <w:b/>
                <w:bCs/>
                <w:color w:val="FFFFFF" w:themeColor="background1"/>
                <w:sz w:val="18"/>
                <w:szCs w:val="20"/>
              </w:rPr>
              <w:t>7</w:t>
            </w:r>
          </w:p>
        </w:tc>
      </w:tr>
      <w:tr w:rsidR="0004342B" w:rsidRPr="00C315C9" w14:paraId="4F59C1B2" w14:textId="77777777" w:rsidTr="00AA4E3C">
        <w:trPr>
          <w:trHeight w:val="213"/>
          <w:jc w:val="center"/>
        </w:trPr>
        <w:tc>
          <w:tcPr>
            <w:tcW w:w="4820"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AB980A4" w14:textId="77777777" w:rsidR="0004342B" w:rsidRPr="00E90ADC" w:rsidRDefault="0004342B" w:rsidP="00691179">
            <w:pPr>
              <w:ind w:right="144"/>
              <w:rPr>
                <w:rFonts w:ascii="Calibri Light" w:eastAsiaTheme="minorEastAsia" w:hAnsi="Calibri Light" w:cs="Arial"/>
                <w:b/>
                <w:color w:val="59595B"/>
                <w:sz w:val="20"/>
                <w:szCs w:val="20"/>
                <w:lang w:val="en-GB"/>
              </w:rPr>
            </w:pPr>
            <w:r w:rsidRPr="00E90ADC">
              <w:rPr>
                <w:rFonts w:ascii="Calibri Light" w:eastAsiaTheme="minorEastAsia" w:hAnsi="Calibri Light" w:cs="Arial"/>
                <w:b/>
                <w:color w:val="59595B"/>
                <w:sz w:val="20"/>
                <w:szCs w:val="20"/>
                <w:lang w:val="en-GB"/>
              </w:rPr>
              <w:t>Balance at 1 January</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988EA1F" w14:textId="77777777" w:rsidR="0004342B" w:rsidRPr="00E90ADC" w:rsidRDefault="0004342B" w:rsidP="00691179">
            <w:pPr>
              <w:jc w:val="right"/>
              <w:rPr>
                <w:rFonts w:ascii="Calibri Light" w:eastAsiaTheme="minorEastAsia" w:hAnsi="Calibri Light" w:cs="Arial"/>
                <w:color w:val="59595B"/>
                <w:sz w:val="20"/>
                <w:szCs w:val="20"/>
                <w:lang w:val="en-GB"/>
              </w:rPr>
            </w:pPr>
            <w:r>
              <w:rPr>
                <w:rFonts w:ascii="Calibri Light" w:eastAsiaTheme="minorEastAsia" w:hAnsi="Calibri Light" w:cs="Arial"/>
                <w:color w:val="59595B"/>
                <w:sz w:val="20"/>
                <w:szCs w:val="20"/>
              </w:rPr>
              <w:t>8,301</w:t>
            </w:r>
          </w:p>
        </w:tc>
        <w:tc>
          <w:tcPr>
            <w:tcW w:w="205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48A793D" w14:textId="77777777" w:rsidR="0004342B" w:rsidRPr="00E90ADC" w:rsidRDefault="0004342B" w:rsidP="00691179">
            <w:pPr>
              <w:jc w:val="right"/>
              <w:rPr>
                <w:rFonts w:ascii="Calibri Light" w:eastAsiaTheme="minorEastAsia" w:hAnsi="Calibri Light" w:cs="Arial"/>
                <w:color w:val="59595B"/>
                <w:sz w:val="20"/>
                <w:szCs w:val="20"/>
                <w:lang w:val="en-GB"/>
              </w:rPr>
            </w:pPr>
            <w:r>
              <w:rPr>
                <w:rFonts w:ascii="Calibri Light" w:eastAsiaTheme="minorEastAsia" w:hAnsi="Calibri Light" w:cs="Arial"/>
                <w:color w:val="59595B"/>
                <w:sz w:val="20"/>
                <w:szCs w:val="20"/>
              </w:rPr>
              <w:t>9,982</w:t>
            </w:r>
          </w:p>
        </w:tc>
      </w:tr>
      <w:tr w:rsidR="0004342B" w:rsidRPr="00C315C9" w14:paraId="701F20E5" w14:textId="77777777" w:rsidTr="00AA4E3C">
        <w:trPr>
          <w:trHeight w:val="222"/>
          <w:jc w:val="center"/>
        </w:trPr>
        <w:tc>
          <w:tcPr>
            <w:tcW w:w="4820" w:type="dxa"/>
            <w:tcBorders>
              <w:right w:val="single" w:sz="2" w:space="0" w:color="BFBFBF" w:themeColor="background1" w:themeShade="BF"/>
            </w:tcBorders>
            <w:shd w:val="clear" w:color="auto" w:fill="auto"/>
          </w:tcPr>
          <w:p w14:paraId="4168ADC5" w14:textId="77777777" w:rsidR="0004342B" w:rsidRPr="00E90ADC" w:rsidRDefault="0004342B" w:rsidP="00691179">
            <w:pPr>
              <w:ind w:right="144"/>
              <w:rPr>
                <w:rFonts w:ascii="Calibri Light" w:eastAsiaTheme="minorEastAsia" w:hAnsi="Calibri Light" w:cs="Arial"/>
                <w:color w:val="59595B"/>
                <w:sz w:val="20"/>
                <w:szCs w:val="20"/>
                <w:lang w:val="en-GB"/>
              </w:rPr>
            </w:pPr>
            <w:r w:rsidRPr="00E90ADC">
              <w:rPr>
                <w:rFonts w:ascii="Calibri Light" w:eastAsiaTheme="minorEastAsia" w:hAnsi="Calibri Light" w:cs="Arial"/>
                <w:color w:val="59595B"/>
                <w:sz w:val="20"/>
                <w:szCs w:val="20"/>
                <w:lang w:val="en-GB"/>
              </w:rPr>
              <w:t>Re</w:t>
            </w:r>
            <w:r>
              <w:rPr>
                <w:rFonts w:ascii="Calibri Light" w:eastAsiaTheme="minorEastAsia" w:hAnsi="Calibri Light" w:cs="Arial"/>
                <w:color w:val="59595B"/>
                <w:sz w:val="20"/>
                <w:szCs w:val="20"/>
              </w:rPr>
              <w:t>classification from equity</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67DF2BD1" w14:textId="77777777" w:rsidR="0004342B" w:rsidRPr="00E90ADC" w:rsidRDefault="0004342B" w:rsidP="00691179">
            <w:pPr>
              <w:jc w:val="right"/>
              <w:rPr>
                <w:rFonts w:ascii="Calibri Light" w:eastAsiaTheme="minorEastAsia" w:hAnsi="Calibri Light" w:cs="Arial"/>
                <w:color w:val="59595B"/>
                <w:sz w:val="20"/>
                <w:szCs w:val="20"/>
                <w:lang w:val="en-GB"/>
              </w:rPr>
            </w:pPr>
          </w:p>
        </w:tc>
        <w:tc>
          <w:tcPr>
            <w:tcW w:w="2056" w:type="dxa"/>
            <w:tcBorders>
              <w:left w:val="single" w:sz="2" w:space="0" w:color="BFBFBF" w:themeColor="background1" w:themeShade="BF"/>
              <w:right w:val="single" w:sz="2" w:space="0" w:color="BFBFBF" w:themeColor="background1" w:themeShade="BF"/>
            </w:tcBorders>
          </w:tcPr>
          <w:p w14:paraId="77A0D52D" w14:textId="77777777" w:rsidR="0004342B" w:rsidRPr="00E90ADC" w:rsidRDefault="0004342B" w:rsidP="00691179">
            <w:pPr>
              <w:jc w:val="right"/>
              <w:rPr>
                <w:rFonts w:ascii="Calibri Light" w:eastAsiaTheme="minorEastAsia" w:hAnsi="Calibri Light" w:cs="Arial"/>
                <w:color w:val="59595B"/>
                <w:sz w:val="20"/>
                <w:szCs w:val="20"/>
              </w:rPr>
            </w:pPr>
            <w:r>
              <w:rPr>
                <w:rFonts w:ascii="Calibri Light" w:eastAsiaTheme="minorEastAsia" w:hAnsi="Calibri Light" w:cs="Arial"/>
                <w:color w:val="59595B"/>
                <w:sz w:val="20"/>
                <w:szCs w:val="20"/>
              </w:rPr>
              <w:t>19,552</w:t>
            </w:r>
          </w:p>
        </w:tc>
      </w:tr>
      <w:tr w:rsidR="0004342B" w:rsidRPr="00C315C9" w14:paraId="08738A6C" w14:textId="77777777" w:rsidTr="00AA4E3C">
        <w:trPr>
          <w:trHeight w:val="222"/>
          <w:jc w:val="center"/>
        </w:trPr>
        <w:tc>
          <w:tcPr>
            <w:tcW w:w="4820" w:type="dxa"/>
            <w:tcBorders>
              <w:right w:val="single" w:sz="2" w:space="0" w:color="BFBFBF" w:themeColor="background1" w:themeShade="BF"/>
            </w:tcBorders>
            <w:shd w:val="clear" w:color="auto" w:fill="auto"/>
          </w:tcPr>
          <w:p w14:paraId="753DF3A3" w14:textId="77777777" w:rsidR="0004342B" w:rsidRPr="00E90ADC" w:rsidRDefault="0004342B" w:rsidP="00691179">
            <w:pPr>
              <w:ind w:right="144"/>
              <w:rPr>
                <w:rFonts w:ascii="Calibri Light" w:eastAsiaTheme="minorEastAsia" w:hAnsi="Calibri Light" w:cs="Arial"/>
                <w:color w:val="59595B"/>
                <w:sz w:val="20"/>
                <w:szCs w:val="20"/>
                <w:lang w:val="en-GB"/>
              </w:rPr>
            </w:pPr>
            <w:r w:rsidRPr="00E90ADC">
              <w:rPr>
                <w:rFonts w:ascii="Calibri Light" w:eastAsiaTheme="minorEastAsia" w:hAnsi="Calibri Light" w:cs="Arial"/>
                <w:color w:val="59595B"/>
                <w:sz w:val="20"/>
                <w:szCs w:val="20"/>
                <w:lang w:val="en-GB"/>
              </w:rPr>
              <w:t>Fair value losses (gains) derivatives</w:t>
            </w:r>
          </w:p>
        </w:tc>
        <w:tc>
          <w:tcPr>
            <w:tcW w:w="205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64B8BD8E" w14:textId="77777777" w:rsidR="0004342B" w:rsidRPr="00E90ADC" w:rsidRDefault="0004342B" w:rsidP="00691179">
            <w:pPr>
              <w:jc w:val="right"/>
              <w:rPr>
                <w:rFonts w:ascii="Calibri Light" w:eastAsiaTheme="minorEastAsia" w:hAnsi="Calibri Light" w:cs="Arial"/>
                <w:color w:val="59595B"/>
                <w:sz w:val="20"/>
                <w:szCs w:val="20"/>
                <w:lang w:val="en-GB"/>
              </w:rPr>
            </w:pPr>
            <w:r>
              <w:rPr>
                <w:rFonts w:ascii="Calibri Light" w:eastAsiaTheme="minorEastAsia" w:hAnsi="Calibri Light" w:cs="Arial"/>
                <w:color w:val="59595B"/>
                <w:sz w:val="20"/>
                <w:szCs w:val="20"/>
              </w:rPr>
              <w:t>244</w:t>
            </w:r>
          </w:p>
        </w:tc>
        <w:tc>
          <w:tcPr>
            <w:tcW w:w="2056" w:type="dxa"/>
            <w:tcBorders>
              <w:left w:val="single" w:sz="2" w:space="0" w:color="BFBFBF" w:themeColor="background1" w:themeShade="BF"/>
              <w:right w:val="single" w:sz="2" w:space="0" w:color="BFBFBF" w:themeColor="background1" w:themeShade="BF"/>
            </w:tcBorders>
          </w:tcPr>
          <w:p w14:paraId="1E4CEED8" w14:textId="77777777" w:rsidR="0004342B" w:rsidRPr="00E90ADC" w:rsidRDefault="0004342B" w:rsidP="00691179">
            <w:pPr>
              <w:jc w:val="right"/>
              <w:rPr>
                <w:rFonts w:ascii="Calibri Light" w:eastAsiaTheme="minorEastAsia" w:hAnsi="Calibri Light" w:cs="Arial"/>
                <w:color w:val="59595B"/>
                <w:sz w:val="20"/>
                <w:szCs w:val="20"/>
                <w:lang w:val="en-GB"/>
              </w:rPr>
            </w:pPr>
            <w:r>
              <w:rPr>
                <w:rFonts w:ascii="Calibri Light" w:eastAsiaTheme="minorEastAsia" w:hAnsi="Calibri Light" w:cs="Arial"/>
                <w:color w:val="59595B"/>
                <w:sz w:val="20"/>
                <w:szCs w:val="20"/>
              </w:rPr>
              <w:t>40,284</w:t>
            </w:r>
          </w:p>
        </w:tc>
      </w:tr>
      <w:tr w:rsidR="0004342B" w:rsidRPr="00C315C9" w14:paraId="04546C73" w14:textId="77777777" w:rsidTr="00AA4E3C">
        <w:trPr>
          <w:trHeight w:val="222"/>
          <w:jc w:val="center"/>
        </w:trPr>
        <w:tc>
          <w:tcPr>
            <w:tcW w:w="4820" w:type="dxa"/>
            <w:tcBorders>
              <w:bottom w:val="single" w:sz="2" w:space="0" w:color="BFBFBF" w:themeColor="background1" w:themeShade="BF"/>
              <w:right w:val="single" w:sz="2" w:space="0" w:color="BFBFBF" w:themeColor="background1" w:themeShade="BF"/>
            </w:tcBorders>
            <w:shd w:val="clear" w:color="auto" w:fill="auto"/>
          </w:tcPr>
          <w:p w14:paraId="5391FC51" w14:textId="77777777" w:rsidR="0004342B" w:rsidRPr="00E90ADC" w:rsidRDefault="0004342B" w:rsidP="00691179">
            <w:pPr>
              <w:ind w:right="144"/>
              <w:rPr>
                <w:rFonts w:ascii="Calibri Light" w:eastAsiaTheme="minorEastAsia" w:hAnsi="Calibri Light" w:cs="Arial"/>
                <w:color w:val="59595B"/>
                <w:sz w:val="20"/>
                <w:szCs w:val="20"/>
                <w:lang w:val="en-GB"/>
              </w:rPr>
            </w:pPr>
            <w:r>
              <w:rPr>
                <w:rFonts w:ascii="Calibri Light" w:eastAsiaTheme="minorEastAsia" w:hAnsi="Calibri Light" w:cs="Arial"/>
                <w:color w:val="59595B"/>
                <w:sz w:val="20"/>
                <w:szCs w:val="20"/>
              </w:rPr>
              <w:t>Conversion into shares</w:t>
            </w:r>
          </w:p>
        </w:tc>
        <w:tc>
          <w:tcPr>
            <w:tcW w:w="2055"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2899A47" w14:textId="77777777" w:rsidR="0004342B" w:rsidRPr="00E90ADC" w:rsidRDefault="0004342B" w:rsidP="00691179">
            <w:pPr>
              <w:jc w:val="right"/>
              <w:rPr>
                <w:rFonts w:ascii="Calibri Light" w:eastAsiaTheme="minorEastAsia" w:hAnsi="Calibri Light" w:cs="Arial"/>
                <w:color w:val="59595B"/>
                <w:sz w:val="20"/>
                <w:szCs w:val="20"/>
              </w:rPr>
            </w:pPr>
            <w:r>
              <w:rPr>
                <w:rFonts w:ascii="Calibri Light" w:eastAsiaTheme="minorEastAsia" w:hAnsi="Calibri Light" w:cs="Arial"/>
                <w:color w:val="59595B"/>
                <w:sz w:val="20"/>
                <w:szCs w:val="20"/>
              </w:rPr>
              <w:t>(7,163)</w:t>
            </w:r>
          </w:p>
        </w:tc>
        <w:tc>
          <w:tcPr>
            <w:tcW w:w="2056"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13F04A05" w14:textId="77777777" w:rsidR="0004342B" w:rsidRPr="00E90ADC" w:rsidRDefault="0004342B" w:rsidP="00691179">
            <w:pPr>
              <w:jc w:val="right"/>
              <w:rPr>
                <w:rFonts w:ascii="Calibri Light" w:eastAsiaTheme="minorEastAsia" w:hAnsi="Calibri Light" w:cs="Arial"/>
                <w:color w:val="59595B"/>
                <w:sz w:val="20"/>
                <w:szCs w:val="20"/>
                <w:lang w:val="en-GB"/>
              </w:rPr>
            </w:pPr>
            <w:r w:rsidRPr="00E90ADC">
              <w:rPr>
                <w:rFonts w:ascii="Calibri Light" w:eastAsiaTheme="minorEastAsia" w:hAnsi="Calibri Light" w:cs="Arial"/>
                <w:color w:val="59595B"/>
                <w:sz w:val="20"/>
                <w:szCs w:val="20"/>
                <w:lang w:val="en-GB"/>
              </w:rPr>
              <w:t>(6</w:t>
            </w:r>
            <w:r>
              <w:rPr>
                <w:rFonts w:ascii="Calibri Light" w:eastAsiaTheme="minorEastAsia" w:hAnsi="Calibri Light" w:cs="Arial"/>
                <w:color w:val="59595B"/>
                <w:sz w:val="20"/>
                <w:szCs w:val="20"/>
              </w:rPr>
              <w:t>1,517</w:t>
            </w:r>
            <w:r w:rsidRPr="00E90ADC">
              <w:rPr>
                <w:rFonts w:ascii="Calibri Light" w:eastAsiaTheme="minorEastAsia" w:hAnsi="Calibri Light" w:cs="Arial"/>
                <w:color w:val="59595B"/>
                <w:sz w:val="20"/>
                <w:szCs w:val="20"/>
                <w:lang w:val="en-GB"/>
              </w:rPr>
              <w:t>)</w:t>
            </w:r>
          </w:p>
        </w:tc>
      </w:tr>
      <w:tr w:rsidR="0004342B" w:rsidRPr="00C315C9" w14:paraId="6E8312F2" w14:textId="77777777" w:rsidTr="00AA4E3C">
        <w:trPr>
          <w:trHeight w:val="222"/>
          <w:jc w:val="center"/>
        </w:trPr>
        <w:tc>
          <w:tcPr>
            <w:tcW w:w="4820"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D127F5" w14:textId="77777777" w:rsidR="0004342B" w:rsidRPr="00E90ADC" w:rsidRDefault="0004342B" w:rsidP="00691179">
            <w:pPr>
              <w:ind w:right="144"/>
              <w:rPr>
                <w:rFonts w:ascii="Calibri Light" w:eastAsiaTheme="minorEastAsia" w:hAnsi="Calibri Light" w:cs="Arial"/>
                <w:b/>
                <w:color w:val="59595B"/>
                <w:sz w:val="20"/>
                <w:szCs w:val="20"/>
                <w:lang w:val="en-GB"/>
              </w:rPr>
            </w:pPr>
            <w:r w:rsidRPr="00E90ADC">
              <w:rPr>
                <w:rFonts w:ascii="Calibri Light" w:eastAsiaTheme="minorEastAsia" w:hAnsi="Calibri Light" w:cs="Arial"/>
                <w:b/>
                <w:color w:val="59595B"/>
                <w:sz w:val="20"/>
                <w:szCs w:val="20"/>
                <w:lang w:val="en-GB"/>
              </w:rPr>
              <w:t>Balance at end of period</w:t>
            </w:r>
          </w:p>
        </w:tc>
        <w:tc>
          <w:tcPr>
            <w:tcW w:w="20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3F6B3FA" w14:textId="77777777" w:rsidR="0004342B" w:rsidRPr="00E90ADC" w:rsidRDefault="0004342B" w:rsidP="00691179">
            <w:pPr>
              <w:jc w:val="right"/>
              <w:rPr>
                <w:rFonts w:ascii="Calibri Light" w:eastAsiaTheme="minorEastAsia" w:hAnsi="Calibri Light" w:cs="Arial"/>
                <w:b/>
                <w:color w:val="59595B"/>
                <w:sz w:val="20"/>
                <w:szCs w:val="20"/>
                <w:lang w:val="en-GB"/>
              </w:rPr>
            </w:pPr>
            <w:r>
              <w:rPr>
                <w:rFonts w:ascii="Calibri Light" w:eastAsiaTheme="minorEastAsia" w:hAnsi="Calibri Light" w:cs="Arial"/>
                <w:b/>
                <w:color w:val="59595B"/>
                <w:sz w:val="20"/>
                <w:szCs w:val="20"/>
              </w:rPr>
              <w:t>1,382</w:t>
            </w:r>
          </w:p>
        </w:tc>
        <w:tc>
          <w:tcPr>
            <w:tcW w:w="205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634CB9" w14:textId="77777777" w:rsidR="0004342B" w:rsidRPr="00E90ADC" w:rsidRDefault="0004342B" w:rsidP="00691179">
            <w:pPr>
              <w:jc w:val="right"/>
              <w:rPr>
                <w:rFonts w:ascii="Calibri Light" w:eastAsiaTheme="minorEastAsia" w:hAnsi="Calibri Light" w:cs="Arial"/>
                <w:b/>
                <w:color w:val="59595B"/>
                <w:sz w:val="20"/>
                <w:szCs w:val="20"/>
                <w:lang w:val="en-GB"/>
              </w:rPr>
            </w:pPr>
            <w:r>
              <w:rPr>
                <w:rFonts w:ascii="Calibri Light" w:eastAsiaTheme="minorEastAsia" w:hAnsi="Calibri Light" w:cs="Arial"/>
                <w:b/>
                <w:color w:val="59595B"/>
                <w:sz w:val="20"/>
                <w:szCs w:val="20"/>
              </w:rPr>
              <w:t>8,301</w:t>
            </w:r>
          </w:p>
        </w:tc>
      </w:tr>
    </w:tbl>
    <w:p w14:paraId="357AC188" w14:textId="77777777" w:rsidR="0004342B" w:rsidRPr="00E90ADC" w:rsidRDefault="0004342B" w:rsidP="0004342B">
      <w:pPr>
        <w:spacing w:before="120" w:after="120"/>
        <w:jc w:val="left"/>
        <w:rPr>
          <w:rFonts w:ascii="Calibri Light" w:eastAsia="Calibri" w:hAnsi="Calibri Light" w:cs="Calibri Light"/>
          <w:color w:val="59595B"/>
          <w:szCs w:val="22"/>
          <w:lang w:val="en-GB"/>
        </w:rPr>
      </w:pPr>
      <w:r w:rsidRPr="00E90ADC">
        <w:rPr>
          <w:rFonts w:ascii="Calibri Light" w:eastAsia="Calibri" w:hAnsi="Calibri Light" w:cs="Calibri Light"/>
          <w:color w:val="59595B"/>
          <w:szCs w:val="22"/>
          <w:lang w:val="en-GB"/>
        </w:rPr>
        <w:t>Fair value gains and losses on derivatives have been presented within financial income and expenses.</w:t>
      </w:r>
    </w:p>
    <w:p w14:paraId="415F3C5F" w14:textId="77777777" w:rsidR="0004342B" w:rsidRPr="009B1BAD" w:rsidRDefault="0004342B" w:rsidP="0004342B">
      <w:pPr>
        <w:spacing w:before="120" w:after="120"/>
        <w:jc w:val="left"/>
        <w:rPr>
          <w:rFonts w:ascii="Calibri Light" w:eastAsia="Calibri" w:hAnsi="Calibri Light" w:cs="Calibri Light"/>
          <w:color w:val="59595B"/>
          <w:szCs w:val="22"/>
          <w:highlight w:val="yellow"/>
          <w:lang w:val="en-GB"/>
        </w:rPr>
      </w:pPr>
    </w:p>
    <w:p w14:paraId="7D9BEAAA" w14:textId="77777777" w:rsidR="0004342B" w:rsidRPr="00E90ADC" w:rsidRDefault="0004342B" w:rsidP="0004342B">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E90ADC">
        <w:rPr>
          <w:rFonts w:asciiTheme="majorHAnsi" w:hAnsiTheme="majorHAnsi" w:cstheme="minorHAnsi"/>
          <w:i/>
          <w:color w:val="59595B"/>
          <w:sz w:val="24"/>
          <w:szCs w:val="22"/>
          <w:lang w:val="en-GB"/>
        </w:rPr>
        <w:t>Commitments and contingencies</w:t>
      </w:r>
    </w:p>
    <w:p w14:paraId="61867A03" w14:textId="77777777" w:rsidR="0004342B" w:rsidRPr="00E90ADC" w:rsidRDefault="0004342B" w:rsidP="0004342B">
      <w:pPr>
        <w:pStyle w:val="NoSpacing"/>
        <w:rPr>
          <w:rFonts w:ascii="Calibri Light" w:hAnsi="Calibri Light" w:cs="Calibri Light"/>
          <w:color w:val="59595B"/>
          <w:lang w:val="en-GB"/>
        </w:rPr>
      </w:pPr>
      <w:r>
        <w:rPr>
          <w:rFonts w:ascii="Calibri Light" w:hAnsi="Calibri Light" w:cs="Calibri Light"/>
          <w:color w:val="59595B"/>
        </w:rPr>
        <w:t>T</w:t>
      </w:r>
      <w:r w:rsidRPr="00E90ADC">
        <w:rPr>
          <w:rFonts w:ascii="Calibri Light" w:hAnsi="Calibri Light" w:cs="Calibri Light"/>
          <w:color w:val="59595B"/>
          <w:lang w:val="en-GB"/>
        </w:rPr>
        <w:t xml:space="preserve">here were no material changes to the commitments and contingent liabilities from those disclosed in Note </w:t>
      </w:r>
      <w:r>
        <w:rPr>
          <w:rFonts w:ascii="Calibri Light" w:hAnsi="Calibri Light" w:cs="Calibri Light"/>
          <w:color w:val="59595B"/>
        </w:rPr>
        <w:t>30</w:t>
      </w:r>
      <w:r w:rsidRPr="00E90ADC">
        <w:rPr>
          <w:rFonts w:ascii="Calibri Light" w:hAnsi="Calibri Light" w:cs="Calibri Light"/>
          <w:color w:val="59595B"/>
          <w:lang w:val="en-GB"/>
        </w:rPr>
        <w:t xml:space="preserve"> of the 201</w:t>
      </w:r>
      <w:r>
        <w:rPr>
          <w:rFonts w:ascii="Calibri Light" w:hAnsi="Calibri Light" w:cs="Calibri Light"/>
          <w:color w:val="59595B"/>
        </w:rPr>
        <w:t>7</w:t>
      </w:r>
      <w:r w:rsidRPr="00E90ADC">
        <w:rPr>
          <w:rFonts w:ascii="Calibri Light" w:hAnsi="Calibri Light" w:cs="Calibri Light"/>
          <w:color w:val="59595B"/>
          <w:lang w:val="en-GB"/>
        </w:rPr>
        <w:t xml:space="preserve"> Annual Report.</w:t>
      </w:r>
    </w:p>
    <w:p w14:paraId="7F03A179" w14:textId="77777777" w:rsidR="0004342B" w:rsidRDefault="0004342B" w:rsidP="0004342B">
      <w:pPr>
        <w:jc w:val="left"/>
        <w:rPr>
          <w:rFonts w:ascii="Calibri Light" w:hAnsi="Calibri Light" w:cs="Calibri Light"/>
          <w:color w:val="59595B"/>
          <w:highlight w:val="yellow"/>
          <w:lang w:val="en-GB"/>
        </w:rPr>
      </w:pPr>
    </w:p>
    <w:p w14:paraId="49569DBC" w14:textId="77777777" w:rsidR="0004342B" w:rsidRPr="003814CF" w:rsidRDefault="0004342B" w:rsidP="0004342B">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3814CF">
        <w:rPr>
          <w:rFonts w:asciiTheme="majorHAnsi" w:hAnsiTheme="majorHAnsi" w:cstheme="minorHAnsi"/>
          <w:i/>
          <w:color w:val="59595B"/>
          <w:sz w:val="24"/>
          <w:szCs w:val="22"/>
          <w:lang w:val="en-GB"/>
        </w:rPr>
        <w:t>Fully-diluted shares</w:t>
      </w:r>
    </w:p>
    <w:p w14:paraId="1AEE1C07" w14:textId="77777777" w:rsidR="0004342B" w:rsidRPr="003814CF" w:rsidRDefault="0004342B" w:rsidP="0004342B">
      <w:pPr>
        <w:pStyle w:val="NoSpacing"/>
        <w:spacing w:after="120"/>
        <w:rPr>
          <w:rFonts w:ascii="Calibri Light" w:hAnsi="Calibri Light" w:cs="Calibri Light"/>
          <w:color w:val="59595B"/>
        </w:rPr>
      </w:pPr>
      <w:r w:rsidRPr="003814CF">
        <w:rPr>
          <w:rFonts w:ascii="Calibri Light" w:hAnsi="Calibri Light" w:cs="Calibri Light"/>
          <w:color w:val="59595B"/>
          <w:lang w:val="en-GB"/>
        </w:rPr>
        <w:t>The total number of outstanding shares at 30 June 201</w:t>
      </w:r>
      <w:r w:rsidRPr="003814CF">
        <w:rPr>
          <w:rFonts w:ascii="Calibri Light" w:hAnsi="Calibri Light" w:cs="Calibri Light"/>
          <w:color w:val="59595B"/>
        </w:rPr>
        <w:t>8</w:t>
      </w:r>
      <w:r w:rsidRPr="003814CF">
        <w:rPr>
          <w:rFonts w:ascii="Calibri Light" w:hAnsi="Calibri Light" w:cs="Calibri Light"/>
          <w:color w:val="59595B"/>
          <w:lang w:val="en-GB"/>
        </w:rPr>
        <w:t xml:space="preserve"> was </w:t>
      </w:r>
      <w:r w:rsidRPr="003814CF">
        <w:rPr>
          <w:rFonts w:ascii="Calibri Light" w:hAnsi="Calibri Light" w:cs="Calibri Light"/>
          <w:color w:val="59595B"/>
        </w:rPr>
        <w:t>610,411,062</w:t>
      </w:r>
      <w:r w:rsidRPr="003814CF">
        <w:rPr>
          <w:rFonts w:ascii="Calibri Light" w:hAnsi="Calibri Light" w:cs="Calibri Light"/>
          <w:color w:val="59595B"/>
          <w:lang w:val="en-GB"/>
        </w:rPr>
        <w:t>.</w:t>
      </w:r>
      <w:r w:rsidRPr="003814CF">
        <w:rPr>
          <w:rFonts w:ascii="Calibri Light" w:hAnsi="Calibri Light" w:cs="Calibri Light"/>
          <w:color w:val="59595B"/>
        </w:rPr>
        <w:t xml:space="preserve"> The weighted average shares outstanding over the first half year were 605,667,099. The basic earnings per share, based on the weighted average, was € 0.010 for the first half year 2018.</w:t>
      </w:r>
    </w:p>
    <w:p w14:paraId="4D576B8C" w14:textId="688CF0D2" w:rsidR="0004342B" w:rsidRPr="003814CF" w:rsidRDefault="0004342B" w:rsidP="001074ED">
      <w:pPr>
        <w:pStyle w:val="NoSpacing"/>
        <w:ind w:right="144"/>
        <w:jc w:val="both"/>
        <w:rPr>
          <w:rFonts w:ascii="Calibri Light" w:hAnsi="Calibri Light" w:cs="Calibri Light"/>
          <w:color w:val="59595B"/>
          <w:lang w:val="en-GB"/>
        </w:rPr>
      </w:pPr>
      <w:r w:rsidRPr="003814CF">
        <w:rPr>
          <w:rFonts w:ascii="Calibri Light" w:hAnsi="Calibri Light" w:cs="Calibri Light"/>
          <w:color w:val="59595B"/>
          <w:lang w:val="en-GB"/>
        </w:rPr>
        <w:t xml:space="preserve">Since the reporting date, the company has issued </w:t>
      </w:r>
      <w:r w:rsidR="005470BC">
        <w:rPr>
          <w:rFonts w:ascii="Calibri Light" w:hAnsi="Calibri Light" w:cs="Calibri Light"/>
          <w:color w:val="59595B"/>
        </w:rPr>
        <w:t>80</w:t>
      </w:r>
      <w:r w:rsidR="0090222A">
        <w:rPr>
          <w:rFonts w:ascii="Calibri Light" w:hAnsi="Calibri Light" w:cs="Calibri Light"/>
          <w:color w:val="59595B"/>
        </w:rPr>
        <w:t>9</w:t>
      </w:r>
      <w:r w:rsidRPr="001074ED">
        <w:rPr>
          <w:rFonts w:ascii="Calibri Light" w:hAnsi="Calibri Light" w:cs="Calibri Light"/>
          <w:color w:val="59595B"/>
          <w:lang w:val="en-GB"/>
        </w:rPr>
        <w:t xml:space="preserve"> s</w:t>
      </w:r>
      <w:r w:rsidR="001074ED" w:rsidRPr="001074ED">
        <w:rPr>
          <w:rFonts w:ascii="Calibri Light" w:hAnsi="Calibri Light" w:cs="Calibri Light"/>
          <w:color w:val="59595B"/>
          <w:lang w:val="en-GB"/>
        </w:rPr>
        <w:t>hares</w:t>
      </w:r>
      <w:r w:rsidR="0090222A">
        <w:rPr>
          <w:rFonts w:ascii="Calibri Light" w:hAnsi="Calibri Light" w:cs="Calibri Light"/>
          <w:color w:val="59595B"/>
        </w:rPr>
        <w:t xml:space="preserve"> through the exercise of employee options</w:t>
      </w:r>
      <w:r w:rsidRPr="003814CF">
        <w:rPr>
          <w:rFonts w:ascii="Calibri Light" w:hAnsi="Calibri Light" w:cs="Calibri Light"/>
          <w:color w:val="59595B"/>
          <w:lang w:val="en-GB"/>
        </w:rPr>
        <w:t>.</w:t>
      </w:r>
      <w:r w:rsidR="001074ED">
        <w:rPr>
          <w:rFonts w:ascii="Calibri Light" w:hAnsi="Calibri Light" w:cs="Calibri Light"/>
          <w:color w:val="59595B"/>
        </w:rPr>
        <w:t xml:space="preserve"> </w:t>
      </w:r>
      <w:r w:rsidRPr="003814CF">
        <w:rPr>
          <w:rFonts w:ascii="Calibri Light" w:hAnsi="Calibri Light" w:cs="Calibri Light"/>
          <w:color w:val="59595B"/>
          <w:lang w:val="en-GB"/>
        </w:rPr>
        <w:t xml:space="preserve"> The number of issued shares as at 26 July 201</w:t>
      </w:r>
      <w:r w:rsidRPr="003814CF">
        <w:rPr>
          <w:rFonts w:ascii="Calibri Light" w:hAnsi="Calibri Light" w:cs="Calibri Light"/>
          <w:color w:val="59595B"/>
        </w:rPr>
        <w:t>8</w:t>
      </w:r>
      <w:r w:rsidRPr="003814CF">
        <w:rPr>
          <w:rFonts w:ascii="Calibri Light" w:hAnsi="Calibri Light" w:cs="Calibri Light"/>
          <w:color w:val="59595B"/>
          <w:lang w:val="en-GB"/>
        </w:rPr>
        <w:t xml:space="preserve"> is </w:t>
      </w:r>
      <w:r w:rsidR="001074ED">
        <w:rPr>
          <w:rFonts w:ascii="Calibri Light" w:hAnsi="Calibri Light" w:cs="Calibri Light"/>
          <w:color w:val="59595B"/>
        </w:rPr>
        <w:t>610,411,</w:t>
      </w:r>
      <w:r w:rsidR="0090222A">
        <w:rPr>
          <w:rFonts w:ascii="Calibri Light" w:hAnsi="Calibri Light" w:cs="Calibri Light"/>
          <w:color w:val="59595B"/>
        </w:rPr>
        <w:t>871</w:t>
      </w:r>
      <w:r w:rsidRPr="003814CF">
        <w:rPr>
          <w:rFonts w:ascii="Calibri Light" w:hAnsi="Calibri Light" w:cs="Calibri Light"/>
          <w:color w:val="59595B"/>
          <w:lang w:val="en-GB"/>
        </w:rPr>
        <w:t>.</w:t>
      </w:r>
    </w:p>
    <w:p w14:paraId="2DC5C229" w14:textId="442A916C" w:rsidR="0004342B" w:rsidRPr="0090222A" w:rsidRDefault="0090222A" w:rsidP="0004342B">
      <w:pPr>
        <w:jc w:val="left"/>
        <w:rPr>
          <w:rFonts w:ascii="Calibri Light" w:eastAsia="Calibri" w:hAnsi="Calibri Light" w:cs="Calibri Light"/>
          <w:color w:val="59595B"/>
          <w:szCs w:val="22"/>
          <w:highlight w:val="yellow"/>
        </w:rPr>
      </w:pPr>
      <w:r>
        <w:rPr>
          <w:rFonts w:ascii="Calibri Light" w:hAnsi="Calibri Light" w:cs="Calibri Light"/>
          <w:color w:val="59595B"/>
          <w:highlight w:val="yellow"/>
        </w:rPr>
        <w:t xml:space="preserve"> </w:t>
      </w:r>
    </w:p>
    <w:p w14:paraId="16B672BE" w14:textId="43E20A22" w:rsidR="0004342B" w:rsidRPr="003814CF" w:rsidRDefault="0004342B" w:rsidP="0004342B">
      <w:pPr>
        <w:pStyle w:val="NoSpacing"/>
        <w:spacing w:after="120"/>
        <w:rPr>
          <w:rFonts w:ascii="Calibri Light" w:hAnsi="Calibri Light" w:cs="Calibri Light"/>
          <w:color w:val="59595B"/>
          <w:lang w:val="en-GB"/>
        </w:rPr>
      </w:pPr>
      <w:r w:rsidRPr="003814CF">
        <w:rPr>
          <w:rFonts w:ascii="Calibri Light" w:hAnsi="Calibri Light" w:cs="Calibri Light"/>
          <w:color w:val="59595B"/>
          <w:lang w:val="en-GB"/>
        </w:rPr>
        <w:t xml:space="preserve">The composition of the number of shares and share rights outstanding as well as authorised share capital </w:t>
      </w:r>
      <w:r w:rsidR="0090222A" w:rsidRPr="00032C26">
        <w:rPr>
          <w:rFonts w:ascii="Calibri Light" w:hAnsi="Calibri Light"/>
          <w:color w:val="59595B"/>
        </w:rPr>
        <w:t xml:space="preserve">as </w:t>
      </w:r>
      <w:r w:rsidR="0090222A">
        <w:rPr>
          <w:rFonts w:ascii="Calibri Light" w:hAnsi="Calibri Light" w:cs="Calibri Light"/>
          <w:color w:val="59595B"/>
        </w:rPr>
        <w:t>at</w:t>
      </w:r>
      <w:r w:rsidRPr="003814CF">
        <w:rPr>
          <w:rFonts w:ascii="Calibri Light" w:hAnsi="Calibri Light" w:cs="Calibri Light"/>
          <w:color w:val="59595B"/>
          <w:lang w:val="en-GB"/>
        </w:rPr>
        <w:t xml:space="preserve"> </w:t>
      </w:r>
      <w:r w:rsidRPr="003814CF">
        <w:rPr>
          <w:rFonts w:ascii="Calibri Light" w:hAnsi="Calibri Light" w:cs="Calibri Light"/>
          <w:color w:val="59595B"/>
        </w:rPr>
        <w:t>30 June 2018</w:t>
      </w:r>
      <w:r w:rsidRPr="003814CF">
        <w:rPr>
          <w:rFonts w:ascii="Calibri Light" w:hAnsi="Calibri Light" w:cs="Calibri Light"/>
          <w:color w:val="59595B"/>
          <w:lang w:val="en-GB"/>
        </w:rPr>
        <w:t xml:space="preserve"> </w:t>
      </w:r>
      <w:r>
        <w:rPr>
          <w:rFonts w:ascii="Calibri Light" w:hAnsi="Calibri Light" w:cs="Calibri Light"/>
          <w:color w:val="59595B"/>
        </w:rPr>
        <w:t xml:space="preserve">is </w:t>
      </w:r>
      <w:r w:rsidRPr="003814CF">
        <w:rPr>
          <w:rFonts w:ascii="Calibri Light" w:hAnsi="Calibri Light" w:cs="Calibri Light"/>
          <w:color w:val="59595B"/>
          <w:lang w:val="en-GB"/>
        </w:rPr>
        <w:t xml:space="preserve">provided in the following table. </w:t>
      </w:r>
    </w:p>
    <w:tbl>
      <w:tblPr>
        <w:tblW w:w="8364" w:type="dxa"/>
        <w:jc w:val="center"/>
        <w:tblLayout w:type="fixed"/>
        <w:tblLook w:val="04A0" w:firstRow="1" w:lastRow="0" w:firstColumn="1" w:lastColumn="0" w:noHBand="0" w:noVBand="1"/>
      </w:tblPr>
      <w:tblGrid>
        <w:gridCol w:w="3119"/>
        <w:gridCol w:w="1408"/>
        <w:gridCol w:w="1267"/>
        <w:gridCol w:w="1267"/>
        <w:gridCol w:w="1303"/>
      </w:tblGrid>
      <w:tr w:rsidR="0004342B" w:rsidRPr="009B1BAD" w14:paraId="3C39D674" w14:textId="77777777" w:rsidTr="001074ED">
        <w:trPr>
          <w:trHeight w:val="256"/>
          <w:jc w:val="center"/>
        </w:trPr>
        <w:tc>
          <w:tcPr>
            <w:tcW w:w="3119" w:type="dxa"/>
            <w:tcBorders>
              <w:bottom w:val="single" w:sz="4" w:space="0" w:color="BFBFBF" w:themeColor="background1" w:themeShade="BF"/>
            </w:tcBorders>
            <w:shd w:val="clear" w:color="auto" w:fill="0070C0"/>
          </w:tcPr>
          <w:p w14:paraId="705CA050" w14:textId="77777777" w:rsidR="0004342B" w:rsidRPr="003814CF" w:rsidRDefault="0004342B" w:rsidP="00691179">
            <w:pPr>
              <w:rPr>
                <w:rFonts w:asciiTheme="minorHAnsi" w:hAnsiTheme="minorHAnsi"/>
                <w:b/>
                <w:bCs/>
                <w:color w:val="FFFFFF" w:themeColor="background1"/>
                <w:sz w:val="20"/>
                <w:szCs w:val="20"/>
                <w:lang w:val="en-GB"/>
              </w:rPr>
            </w:pPr>
          </w:p>
        </w:tc>
        <w:tc>
          <w:tcPr>
            <w:tcW w:w="1408" w:type="dxa"/>
            <w:tcBorders>
              <w:bottom w:val="single" w:sz="4" w:space="0" w:color="BFBFBF" w:themeColor="background1" w:themeShade="BF"/>
            </w:tcBorders>
            <w:shd w:val="clear" w:color="auto" w:fill="0070C0"/>
          </w:tcPr>
          <w:p w14:paraId="2C7F0D3B" w14:textId="0785E8C0" w:rsidR="0004342B" w:rsidRPr="003814CF" w:rsidRDefault="002904A2" w:rsidP="00691179">
            <w:pPr>
              <w:jc w:val="right"/>
              <w:rPr>
                <w:rFonts w:asciiTheme="minorHAnsi" w:hAnsiTheme="minorHAnsi"/>
                <w:b/>
                <w:bCs/>
                <w:color w:val="FFFFFF" w:themeColor="background1"/>
                <w:sz w:val="20"/>
                <w:szCs w:val="20"/>
              </w:rPr>
            </w:pPr>
            <w:r w:rsidRPr="003814CF">
              <w:rPr>
                <w:rFonts w:asciiTheme="minorHAnsi" w:hAnsiTheme="minorHAnsi"/>
                <w:b/>
                <w:bCs/>
                <w:color w:val="FFFFFF" w:themeColor="background1"/>
                <w:sz w:val="20"/>
                <w:szCs w:val="20"/>
              </w:rPr>
              <w:t>31 December</w:t>
            </w:r>
            <w:r w:rsidR="0004342B" w:rsidRPr="003814CF">
              <w:rPr>
                <w:rFonts w:asciiTheme="minorHAnsi" w:hAnsiTheme="minorHAnsi"/>
                <w:b/>
                <w:bCs/>
                <w:color w:val="FFFFFF" w:themeColor="background1"/>
                <w:sz w:val="20"/>
                <w:szCs w:val="20"/>
              </w:rPr>
              <w:t xml:space="preserve"> 201</w:t>
            </w:r>
            <w:r w:rsidR="0004342B">
              <w:rPr>
                <w:rFonts w:asciiTheme="minorHAnsi" w:hAnsiTheme="minorHAnsi"/>
                <w:b/>
                <w:bCs/>
                <w:color w:val="FFFFFF" w:themeColor="background1"/>
                <w:sz w:val="20"/>
                <w:szCs w:val="20"/>
              </w:rPr>
              <w:t>7</w:t>
            </w:r>
          </w:p>
        </w:tc>
        <w:tc>
          <w:tcPr>
            <w:tcW w:w="1267" w:type="dxa"/>
            <w:tcBorders>
              <w:bottom w:val="single" w:sz="4" w:space="0" w:color="BFBFBF" w:themeColor="background1" w:themeShade="BF"/>
            </w:tcBorders>
            <w:shd w:val="clear" w:color="auto" w:fill="0070C0"/>
          </w:tcPr>
          <w:p w14:paraId="212B6721" w14:textId="77777777" w:rsidR="0004342B" w:rsidRPr="003814CF" w:rsidRDefault="0004342B" w:rsidP="00691179">
            <w:pPr>
              <w:jc w:val="right"/>
              <w:rPr>
                <w:rFonts w:asciiTheme="minorHAnsi" w:hAnsiTheme="minorHAnsi"/>
                <w:b/>
                <w:bCs/>
                <w:color w:val="FFFFFF" w:themeColor="background1"/>
                <w:sz w:val="20"/>
                <w:szCs w:val="20"/>
              </w:rPr>
            </w:pPr>
            <w:r w:rsidRPr="003814CF">
              <w:rPr>
                <w:rFonts w:asciiTheme="minorHAnsi" w:hAnsiTheme="minorHAnsi"/>
                <w:b/>
                <w:bCs/>
                <w:color w:val="FFFFFF" w:themeColor="background1"/>
                <w:sz w:val="20"/>
                <w:szCs w:val="20"/>
              </w:rPr>
              <w:t>Shares issued</w:t>
            </w:r>
          </w:p>
        </w:tc>
        <w:tc>
          <w:tcPr>
            <w:tcW w:w="1267" w:type="dxa"/>
            <w:tcBorders>
              <w:bottom w:val="single" w:sz="4" w:space="0" w:color="BFBFBF" w:themeColor="background1" w:themeShade="BF"/>
            </w:tcBorders>
            <w:shd w:val="clear" w:color="auto" w:fill="0070C0"/>
          </w:tcPr>
          <w:p w14:paraId="19201689" w14:textId="77777777" w:rsidR="0004342B" w:rsidRPr="003814CF" w:rsidRDefault="0004342B" w:rsidP="00691179">
            <w:pPr>
              <w:jc w:val="right"/>
              <w:rPr>
                <w:rFonts w:asciiTheme="minorHAnsi" w:hAnsiTheme="minorHAnsi"/>
                <w:b/>
                <w:bCs/>
                <w:color w:val="FFFFFF" w:themeColor="background1"/>
                <w:sz w:val="20"/>
                <w:szCs w:val="20"/>
              </w:rPr>
            </w:pPr>
            <w:r w:rsidRPr="003814CF">
              <w:rPr>
                <w:rFonts w:asciiTheme="minorHAnsi" w:hAnsiTheme="minorHAnsi"/>
                <w:b/>
                <w:bCs/>
                <w:color w:val="FFFFFF" w:themeColor="background1"/>
                <w:sz w:val="20"/>
                <w:szCs w:val="20"/>
              </w:rPr>
              <w:t>Shares reserved</w:t>
            </w:r>
          </w:p>
        </w:tc>
        <w:tc>
          <w:tcPr>
            <w:tcW w:w="1303" w:type="dxa"/>
            <w:tcBorders>
              <w:bottom w:val="single" w:sz="4" w:space="0" w:color="BFBFBF" w:themeColor="background1" w:themeShade="BF"/>
            </w:tcBorders>
            <w:shd w:val="clear" w:color="auto" w:fill="0070C0"/>
          </w:tcPr>
          <w:p w14:paraId="7F0D4C6C" w14:textId="77777777" w:rsidR="0004342B" w:rsidRPr="003814CF" w:rsidRDefault="0004342B" w:rsidP="00691179">
            <w:pPr>
              <w:jc w:val="right"/>
              <w:rPr>
                <w:rFonts w:asciiTheme="minorHAnsi" w:hAnsiTheme="minorHAnsi"/>
                <w:b/>
                <w:bCs/>
                <w:color w:val="FFFFFF" w:themeColor="background1"/>
                <w:sz w:val="20"/>
                <w:szCs w:val="20"/>
                <w:lang w:val="en-GB"/>
              </w:rPr>
            </w:pPr>
            <w:r>
              <w:rPr>
                <w:rFonts w:asciiTheme="minorHAnsi" w:hAnsiTheme="minorHAnsi"/>
                <w:b/>
                <w:bCs/>
                <w:color w:val="FFFFFF" w:themeColor="background1"/>
                <w:sz w:val="20"/>
                <w:szCs w:val="20"/>
              </w:rPr>
              <w:t>30</w:t>
            </w:r>
            <w:r w:rsidRPr="003814CF">
              <w:rPr>
                <w:rFonts w:asciiTheme="minorHAnsi" w:hAnsiTheme="minorHAnsi"/>
                <w:b/>
                <w:bCs/>
                <w:color w:val="FFFFFF" w:themeColor="background1"/>
                <w:sz w:val="20"/>
                <w:szCs w:val="20"/>
                <w:lang w:val="en-GB"/>
              </w:rPr>
              <w:t xml:space="preserve"> Ju</w:t>
            </w:r>
            <w:r>
              <w:rPr>
                <w:rFonts w:asciiTheme="minorHAnsi" w:hAnsiTheme="minorHAnsi"/>
                <w:b/>
                <w:bCs/>
                <w:color w:val="FFFFFF" w:themeColor="background1"/>
                <w:sz w:val="20"/>
                <w:szCs w:val="20"/>
              </w:rPr>
              <w:t>ne</w:t>
            </w:r>
            <w:r w:rsidRPr="003814CF">
              <w:rPr>
                <w:rFonts w:asciiTheme="minorHAnsi" w:hAnsiTheme="minorHAnsi"/>
                <w:b/>
                <w:bCs/>
                <w:color w:val="FFFFFF" w:themeColor="background1"/>
                <w:sz w:val="20"/>
                <w:szCs w:val="20"/>
                <w:lang w:val="en-GB"/>
              </w:rPr>
              <w:t xml:space="preserve"> 201</w:t>
            </w:r>
            <w:r>
              <w:rPr>
                <w:rFonts w:asciiTheme="minorHAnsi" w:hAnsiTheme="minorHAnsi"/>
                <w:b/>
                <w:bCs/>
                <w:color w:val="FFFFFF" w:themeColor="background1"/>
                <w:sz w:val="20"/>
                <w:szCs w:val="20"/>
              </w:rPr>
              <w:t>8</w:t>
            </w:r>
          </w:p>
        </w:tc>
      </w:tr>
      <w:tr w:rsidR="0004342B" w:rsidRPr="009B1BAD" w14:paraId="31A9C2B4" w14:textId="77777777" w:rsidTr="001074ED">
        <w:trPr>
          <w:trHeight w:val="268"/>
          <w:jc w:val="center"/>
        </w:trPr>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1E4E680"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color w:val="59595B"/>
                <w:sz w:val="20"/>
                <w:szCs w:val="20"/>
                <w:lang w:val="en-GB"/>
              </w:rPr>
              <w:t>Shares</w:t>
            </w: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156B857C"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579,014,891</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58EC9660"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31,396,171</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0751C0C9"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665DA5AD"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bookmarkStart w:id="3" w:name="_Hlk488408230"/>
            <w:r>
              <w:rPr>
                <w:rFonts w:asciiTheme="minorHAnsi" w:hAnsiTheme="minorHAnsi" w:cstheme="minorHAnsi"/>
                <w:color w:val="59595B"/>
                <w:sz w:val="20"/>
                <w:szCs w:val="20"/>
              </w:rPr>
              <w:t>610,411,062</w:t>
            </w:r>
            <w:bookmarkEnd w:id="3"/>
          </w:p>
        </w:tc>
      </w:tr>
      <w:tr w:rsidR="0004342B" w:rsidRPr="009B1BAD" w14:paraId="344898E7" w14:textId="77777777" w:rsidTr="001074ED">
        <w:trPr>
          <w:trHeight w:val="256"/>
          <w:jc w:val="center"/>
        </w:trPr>
        <w:tc>
          <w:tcPr>
            <w:tcW w:w="3119" w:type="dxa"/>
            <w:tcBorders>
              <w:left w:val="single" w:sz="4" w:space="0" w:color="BFBFBF" w:themeColor="background1" w:themeShade="BF"/>
              <w:right w:val="single" w:sz="4" w:space="0" w:color="BFBFBF" w:themeColor="background1" w:themeShade="BF"/>
            </w:tcBorders>
          </w:tcPr>
          <w:p w14:paraId="589F3999"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color w:val="59595B"/>
                <w:sz w:val="20"/>
                <w:szCs w:val="20"/>
                <w:lang w:val="en-GB"/>
              </w:rPr>
              <w:t>Warrants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7183FC"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15,251,000</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0E15FD7"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(14,028,289</w:t>
            </w:r>
            <w:r>
              <w:rPr>
                <w:rFonts w:asciiTheme="minorHAnsi" w:hAnsiTheme="minorHAnsi" w:cstheme="minorHAnsi"/>
                <w:color w:val="59595B"/>
                <w:sz w:val="20"/>
                <w:szCs w:val="20"/>
              </w:rPr>
              <w:t>)</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1126C0B5"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left w:val="single" w:sz="4" w:space="0" w:color="BFBFBF" w:themeColor="background1" w:themeShade="BF"/>
            </w:tcBorders>
            <w:shd w:val="clear" w:color="auto" w:fill="F2F2F2" w:themeFill="background1" w:themeFillShade="F2"/>
          </w:tcPr>
          <w:p w14:paraId="16BB8E23"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1,222,711</w:t>
            </w:r>
          </w:p>
        </w:tc>
      </w:tr>
      <w:tr w:rsidR="0004342B" w:rsidRPr="009B1BAD" w14:paraId="3A1E474B" w14:textId="77777777" w:rsidTr="001074ED">
        <w:trPr>
          <w:trHeight w:val="256"/>
          <w:jc w:val="center"/>
        </w:trPr>
        <w:tc>
          <w:tcPr>
            <w:tcW w:w="3119" w:type="dxa"/>
            <w:tcBorders>
              <w:left w:val="single" w:sz="4" w:space="0" w:color="BFBFBF" w:themeColor="background1" w:themeShade="BF"/>
              <w:right w:val="single" w:sz="4" w:space="0" w:color="BFBFBF" w:themeColor="background1" w:themeShade="BF"/>
            </w:tcBorders>
          </w:tcPr>
          <w:p w14:paraId="601E94A2"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color w:val="59595B"/>
                <w:sz w:val="20"/>
                <w:szCs w:val="20"/>
                <w:lang w:val="en-GB"/>
              </w:rPr>
              <w:t>Options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1038E5F8"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54,901,629</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1DB09C5"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(17,052,550)</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B12D0FC"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(250,000)</w:t>
            </w:r>
          </w:p>
        </w:tc>
        <w:tc>
          <w:tcPr>
            <w:tcW w:w="1303" w:type="dxa"/>
            <w:tcBorders>
              <w:left w:val="single" w:sz="4" w:space="0" w:color="BFBFBF" w:themeColor="background1" w:themeShade="BF"/>
            </w:tcBorders>
            <w:shd w:val="clear" w:color="auto" w:fill="F2F2F2" w:themeFill="background1" w:themeFillShade="F2"/>
          </w:tcPr>
          <w:p w14:paraId="1BE84EA8"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37,599,079</w:t>
            </w:r>
          </w:p>
        </w:tc>
      </w:tr>
      <w:tr w:rsidR="0004342B" w:rsidRPr="009B1BAD" w14:paraId="00C4FD6A" w14:textId="77777777" w:rsidTr="001074ED">
        <w:trPr>
          <w:trHeight w:val="256"/>
          <w:jc w:val="center"/>
        </w:trPr>
        <w:tc>
          <w:tcPr>
            <w:tcW w:w="3119" w:type="dxa"/>
            <w:tcBorders>
              <w:left w:val="single" w:sz="4" w:space="0" w:color="BFBFBF" w:themeColor="background1" w:themeShade="BF"/>
              <w:right w:val="single" w:sz="4" w:space="0" w:color="BFBFBF" w:themeColor="background1" w:themeShade="BF"/>
            </w:tcBorders>
          </w:tcPr>
          <w:p w14:paraId="36A1CDEE" w14:textId="77777777" w:rsidR="0004342B" w:rsidRPr="003814CF" w:rsidRDefault="0004342B" w:rsidP="00691179">
            <w:pPr>
              <w:autoSpaceDE w:val="0"/>
              <w:autoSpaceDN w:val="0"/>
              <w:adjustRightInd w:val="0"/>
              <w:rPr>
                <w:rFonts w:asciiTheme="minorHAnsi" w:hAnsiTheme="minorHAnsi" w:cstheme="minorHAnsi"/>
                <w:color w:val="59595B"/>
                <w:sz w:val="20"/>
                <w:szCs w:val="20"/>
              </w:rPr>
            </w:pPr>
            <w:r w:rsidRPr="003814CF">
              <w:rPr>
                <w:rFonts w:asciiTheme="minorHAnsi" w:hAnsiTheme="minorHAnsi" w:cstheme="minorHAnsi"/>
                <w:color w:val="59595B"/>
                <w:sz w:val="20"/>
                <w:szCs w:val="20"/>
              </w:rPr>
              <w:t>Convertible bonds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865FA73"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2,746,476</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B46098E"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(2,746,476)</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48E98F7C"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left w:val="single" w:sz="4" w:space="0" w:color="BFBFBF" w:themeColor="background1" w:themeShade="BF"/>
            </w:tcBorders>
            <w:shd w:val="clear" w:color="auto" w:fill="F2F2F2" w:themeFill="background1" w:themeFillShade="F2"/>
          </w:tcPr>
          <w:p w14:paraId="43326E79" w14:textId="77777777" w:rsidR="0004342B" w:rsidRPr="003814CF" w:rsidDel="006D12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04342B" w:rsidRPr="009B1BAD" w14:paraId="57BC7311" w14:textId="77777777" w:rsidTr="001074ED">
        <w:trPr>
          <w:trHeight w:val="268"/>
          <w:jc w:val="center"/>
        </w:trPr>
        <w:tc>
          <w:tcPr>
            <w:tcW w:w="311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03A7CBD"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color w:val="59595B"/>
                <w:sz w:val="20"/>
                <w:szCs w:val="20"/>
                <w:lang w:val="en-GB"/>
              </w:rPr>
              <w:t>LTIP</w:t>
            </w: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ED01F19"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7,974,803</w:t>
            </w: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45EF85"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(961,114)</w:t>
            </w: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026CB3"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1,050,175</w:t>
            </w:r>
          </w:p>
        </w:tc>
        <w:tc>
          <w:tcPr>
            <w:tcW w:w="1303"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4F10EF62"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8,063,864</w:t>
            </w:r>
          </w:p>
        </w:tc>
      </w:tr>
      <w:tr w:rsidR="0004342B" w:rsidRPr="009B1BAD" w14:paraId="10CFDE22" w14:textId="77777777" w:rsidTr="001074ED">
        <w:trPr>
          <w:trHeight w:val="256"/>
          <w:jc w:val="center"/>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745AA"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b/>
                <w:color w:val="59595B"/>
                <w:sz w:val="20"/>
                <w:szCs w:val="20"/>
                <w:lang w:val="en-GB"/>
              </w:rPr>
              <w:t>Issued</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D587995"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rPr>
            </w:pPr>
            <w:r w:rsidRPr="003814CF">
              <w:rPr>
                <w:rFonts w:asciiTheme="minorHAnsi" w:hAnsiTheme="minorHAnsi" w:cstheme="minorHAnsi"/>
                <w:b/>
                <w:color w:val="59595B"/>
                <w:sz w:val="20"/>
                <w:szCs w:val="20"/>
              </w:rPr>
              <w:t>659,888,799</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63CEF1F"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AE2F42"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30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757DD41"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rPr>
              <w:t>657,296,716</w:t>
            </w:r>
          </w:p>
        </w:tc>
      </w:tr>
      <w:tr w:rsidR="0004342B" w:rsidRPr="009B1BAD" w14:paraId="5B3EEEC9" w14:textId="77777777" w:rsidTr="001074ED">
        <w:trPr>
          <w:trHeight w:val="256"/>
          <w:jc w:val="center"/>
        </w:trPr>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118977D3"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61C69957"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1AF58795"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585F24F6"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5519D64B"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r>
      <w:tr w:rsidR="0004342B" w:rsidRPr="009B1BAD" w14:paraId="47532C5F" w14:textId="77777777" w:rsidTr="001074ED">
        <w:trPr>
          <w:trHeight w:val="268"/>
          <w:jc w:val="center"/>
        </w:trPr>
        <w:tc>
          <w:tcPr>
            <w:tcW w:w="3119" w:type="dxa"/>
            <w:tcBorders>
              <w:left w:val="single" w:sz="4" w:space="0" w:color="BFBFBF" w:themeColor="background1" w:themeShade="BF"/>
              <w:right w:val="single" w:sz="4" w:space="0" w:color="BFBFBF" w:themeColor="background1" w:themeShade="BF"/>
            </w:tcBorders>
          </w:tcPr>
          <w:p w14:paraId="185B724F"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color w:val="59595B"/>
                <w:sz w:val="20"/>
                <w:szCs w:val="20"/>
                <w:lang w:val="en-GB"/>
              </w:rPr>
              <w:t>Available for issue</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073CF9A6"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140,111,201</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49420A94"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059CAF3A"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left w:val="single" w:sz="4" w:space="0" w:color="BFBFBF" w:themeColor="background1" w:themeShade="BF"/>
            </w:tcBorders>
            <w:shd w:val="clear" w:color="auto" w:fill="F2F2F2" w:themeFill="background1" w:themeFillShade="F2"/>
          </w:tcPr>
          <w:p w14:paraId="66FB0747"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rPr>
              <w:t>142,703,284</w:t>
            </w:r>
          </w:p>
        </w:tc>
      </w:tr>
      <w:tr w:rsidR="0004342B" w:rsidRPr="009B1BAD" w14:paraId="03C689BF" w14:textId="77777777" w:rsidTr="001074ED">
        <w:trPr>
          <w:trHeight w:val="256"/>
          <w:jc w:val="center"/>
        </w:trPr>
        <w:tc>
          <w:tcPr>
            <w:tcW w:w="311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CDA22D5"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773BEB"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42677B"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88D3F8"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303"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4638955A"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lang w:val="en-GB"/>
              </w:rPr>
            </w:pPr>
          </w:p>
        </w:tc>
      </w:tr>
      <w:tr w:rsidR="0004342B" w:rsidRPr="009B1BAD" w14:paraId="66336A28" w14:textId="77777777" w:rsidTr="001074ED">
        <w:trPr>
          <w:trHeight w:val="256"/>
          <w:jc w:val="center"/>
        </w:trPr>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F1503" w14:textId="77777777" w:rsidR="0004342B" w:rsidRPr="003814CF" w:rsidRDefault="0004342B" w:rsidP="00691179">
            <w:pPr>
              <w:autoSpaceDE w:val="0"/>
              <w:autoSpaceDN w:val="0"/>
              <w:adjustRightInd w:val="0"/>
              <w:rPr>
                <w:rFonts w:asciiTheme="minorHAnsi" w:hAnsiTheme="minorHAnsi" w:cstheme="minorHAnsi"/>
                <w:color w:val="59595B"/>
                <w:sz w:val="20"/>
                <w:szCs w:val="20"/>
                <w:lang w:val="en-GB"/>
              </w:rPr>
            </w:pPr>
            <w:r w:rsidRPr="003814CF">
              <w:rPr>
                <w:rFonts w:asciiTheme="minorHAnsi" w:hAnsiTheme="minorHAnsi" w:cstheme="minorHAnsi"/>
                <w:b/>
                <w:color w:val="59595B"/>
                <w:sz w:val="20"/>
                <w:szCs w:val="20"/>
                <w:lang w:val="en-GB"/>
              </w:rPr>
              <w:t>Authorised share capital</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F60FDF"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rPr>
            </w:pPr>
            <w:r w:rsidRPr="003814CF">
              <w:rPr>
                <w:rFonts w:asciiTheme="minorHAnsi" w:hAnsiTheme="minorHAnsi" w:cstheme="minorHAnsi"/>
                <w:b/>
                <w:color w:val="59595B"/>
                <w:sz w:val="20"/>
                <w:szCs w:val="20"/>
              </w:rPr>
              <w:t>800,000,000</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CBBA8D"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C07336"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303"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D10BD1A" w14:textId="77777777" w:rsidR="0004342B" w:rsidRPr="003814CF" w:rsidRDefault="0004342B" w:rsidP="00691179">
            <w:pPr>
              <w:autoSpaceDE w:val="0"/>
              <w:autoSpaceDN w:val="0"/>
              <w:adjustRightInd w:val="0"/>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rPr>
              <w:t>800,000,000</w:t>
            </w:r>
          </w:p>
        </w:tc>
      </w:tr>
    </w:tbl>
    <w:p w14:paraId="5D7C66F5" w14:textId="77777777" w:rsidR="0004342B" w:rsidRDefault="0004342B" w:rsidP="0004342B">
      <w:pPr>
        <w:pStyle w:val="NoSpacing"/>
        <w:spacing w:after="120"/>
        <w:rPr>
          <w:color w:val="59595B"/>
          <w:highlight w:val="yellow"/>
          <w:lang w:val="en-GB"/>
        </w:rPr>
      </w:pPr>
    </w:p>
    <w:p w14:paraId="0886AA76" w14:textId="77777777" w:rsidR="0004342B" w:rsidRPr="009F3F63" w:rsidRDefault="0004342B" w:rsidP="0004342B">
      <w:pPr>
        <w:pStyle w:val="NoSpacing"/>
        <w:spacing w:after="120"/>
        <w:rPr>
          <w:rFonts w:ascii="Calibri Light" w:hAnsi="Calibri Light" w:cs="Calibri Light"/>
          <w:color w:val="59595B"/>
          <w:lang w:val="en-GB"/>
        </w:rPr>
      </w:pPr>
      <w:r w:rsidRPr="009F3F63">
        <w:rPr>
          <w:rFonts w:ascii="Calibri Light" w:hAnsi="Calibri Light" w:cs="Calibri Light"/>
          <w:color w:val="59595B"/>
          <w:lang w:val="en-GB"/>
        </w:rPr>
        <w:t>The composition of the number of shares and share rights outstanding as well as authorised share capital as per</w:t>
      </w:r>
      <w:r>
        <w:rPr>
          <w:rFonts w:ascii="Calibri Light" w:hAnsi="Calibri Light" w:cs="Calibri Light"/>
          <w:color w:val="59595B"/>
        </w:rPr>
        <w:t xml:space="preserve"> the date of these interim financial statements</w:t>
      </w:r>
      <w:r w:rsidRPr="009F3F63">
        <w:rPr>
          <w:rFonts w:ascii="Calibri Light" w:hAnsi="Calibri Light" w:cs="Calibri Light"/>
          <w:color w:val="59595B"/>
          <w:lang w:val="en-GB"/>
        </w:rPr>
        <w:t xml:space="preserve"> </w:t>
      </w:r>
      <w:r>
        <w:rPr>
          <w:rFonts w:ascii="Calibri Light" w:hAnsi="Calibri Light" w:cs="Calibri Light"/>
          <w:color w:val="59595B"/>
        </w:rPr>
        <w:t xml:space="preserve">is provided </w:t>
      </w:r>
      <w:r w:rsidRPr="009F3F63">
        <w:rPr>
          <w:rFonts w:ascii="Calibri Light" w:hAnsi="Calibri Light" w:cs="Calibri Light"/>
          <w:color w:val="59595B"/>
          <w:lang w:val="en-GB"/>
        </w:rPr>
        <w:t xml:space="preserve">in the following table. </w:t>
      </w:r>
    </w:p>
    <w:tbl>
      <w:tblPr>
        <w:tblW w:w="8470" w:type="dxa"/>
        <w:jc w:val="center"/>
        <w:tblLayout w:type="fixed"/>
        <w:tblLook w:val="04A0" w:firstRow="1" w:lastRow="0" w:firstColumn="1" w:lastColumn="0" w:noHBand="0" w:noVBand="1"/>
      </w:tblPr>
      <w:tblGrid>
        <w:gridCol w:w="3261"/>
        <w:gridCol w:w="1408"/>
        <w:gridCol w:w="1267"/>
        <w:gridCol w:w="1267"/>
        <w:gridCol w:w="1267"/>
      </w:tblGrid>
      <w:tr w:rsidR="0004342B" w:rsidRPr="009B1BAD" w14:paraId="0E7D9035" w14:textId="77777777" w:rsidTr="007C324B">
        <w:trPr>
          <w:trHeight w:val="256"/>
          <w:jc w:val="center"/>
        </w:trPr>
        <w:tc>
          <w:tcPr>
            <w:tcW w:w="3261" w:type="dxa"/>
            <w:tcBorders>
              <w:bottom w:val="single" w:sz="4" w:space="0" w:color="BFBFBF" w:themeColor="background1" w:themeShade="BF"/>
            </w:tcBorders>
            <w:shd w:val="clear" w:color="auto" w:fill="0070C0"/>
          </w:tcPr>
          <w:p w14:paraId="31462219" w14:textId="77777777" w:rsidR="0004342B" w:rsidRPr="009F3F63" w:rsidRDefault="0004342B" w:rsidP="00691179">
            <w:pPr>
              <w:rPr>
                <w:rFonts w:asciiTheme="minorHAnsi" w:hAnsiTheme="minorHAnsi"/>
                <w:b/>
                <w:bCs/>
                <w:color w:val="FFFFFF" w:themeColor="background1"/>
                <w:sz w:val="20"/>
                <w:szCs w:val="20"/>
                <w:lang w:val="en-GB"/>
              </w:rPr>
            </w:pPr>
          </w:p>
        </w:tc>
        <w:tc>
          <w:tcPr>
            <w:tcW w:w="1408" w:type="dxa"/>
            <w:tcBorders>
              <w:bottom w:val="single" w:sz="4" w:space="0" w:color="BFBFBF" w:themeColor="background1" w:themeShade="BF"/>
            </w:tcBorders>
            <w:shd w:val="clear" w:color="auto" w:fill="0070C0"/>
          </w:tcPr>
          <w:p w14:paraId="6A96D985" w14:textId="77777777" w:rsidR="0004342B" w:rsidRPr="009F3F63" w:rsidRDefault="0004342B" w:rsidP="00691179">
            <w:pPr>
              <w:jc w:val="right"/>
              <w:rPr>
                <w:rFonts w:asciiTheme="minorHAnsi" w:hAnsiTheme="minorHAnsi"/>
                <w:b/>
                <w:bCs/>
                <w:color w:val="FFFFFF" w:themeColor="background1"/>
                <w:sz w:val="20"/>
                <w:szCs w:val="20"/>
              </w:rPr>
            </w:pPr>
            <w:r w:rsidRPr="009F3F63">
              <w:rPr>
                <w:rFonts w:asciiTheme="minorHAnsi" w:hAnsiTheme="minorHAnsi"/>
                <w:b/>
                <w:bCs/>
                <w:color w:val="FFFFFF" w:themeColor="background1"/>
                <w:sz w:val="20"/>
                <w:szCs w:val="20"/>
              </w:rPr>
              <w:t>3</w:t>
            </w:r>
            <w:r>
              <w:rPr>
                <w:rFonts w:asciiTheme="minorHAnsi" w:hAnsiTheme="minorHAnsi"/>
                <w:b/>
                <w:bCs/>
                <w:color w:val="FFFFFF" w:themeColor="background1"/>
                <w:sz w:val="20"/>
                <w:szCs w:val="20"/>
              </w:rPr>
              <w:t>0 June</w:t>
            </w:r>
            <w:r w:rsidRPr="009F3F63">
              <w:rPr>
                <w:rFonts w:asciiTheme="minorHAnsi" w:hAnsiTheme="minorHAnsi"/>
                <w:b/>
                <w:bCs/>
                <w:color w:val="FFFFFF" w:themeColor="background1"/>
                <w:sz w:val="20"/>
                <w:szCs w:val="20"/>
              </w:rPr>
              <w:t xml:space="preserve"> 201</w:t>
            </w:r>
            <w:r>
              <w:rPr>
                <w:rFonts w:asciiTheme="minorHAnsi" w:hAnsiTheme="minorHAnsi"/>
                <w:b/>
                <w:bCs/>
                <w:color w:val="FFFFFF" w:themeColor="background1"/>
                <w:sz w:val="20"/>
                <w:szCs w:val="20"/>
              </w:rPr>
              <w:t>8</w:t>
            </w:r>
          </w:p>
        </w:tc>
        <w:tc>
          <w:tcPr>
            <w:tcW w:w="1267" w:type="dxa"/>
            <w:tcBorders>
              <w:bottom w:val="single" w:sz="4" w:space="0" w:color="BFBFBF" w:themeColor="background1" w:themeShade="BF"/>
            </w:tcBorders>
            <w:shd w:val="clear" w:color="auto" w:fill="0070C0"/>
          </w:tcPr>
          <w:p w14:paraId="3823A540" w14:textId="77777777" w:rsidR="0004342B" w:rsidRPr="009F3F63" w:rsidRDefault="0004342B" w:rsidP="00691179">
            <w:pPr>
              <w:jc w:val="right"/>
              <w:rPr>
                <w:rFonts w:asciiTheme="minorHAnsi" w:hAnsiTheme="minorHAnsi"/>
                <w:b/>
                <w:bCs/>
                <w:color w:val="FFFFFF" w:themeColor="background1"/>
                <w:sz w:val="20"/>
                <w:szCs w:val="20"/>
              </w:rPr>
            </w:pPr>
            <w:r w:rsidRPr="009F3F63">
              <w:rPr>
                <w:rFonts w:asciiTheme="minorHAnsi" w:hAnsiTheme="minorHAnsi"/>
                <w:b/>
                <w:bCs/>
                <w:color w:val="FFFFFF" w:themeColor="background1"/>
                <w:sz w:val="20"/>
                <w:szCs w:val="20"/>
              </w:rPr>
              <w:t>Shares issued</w:t>
            </w:r>
          </w:p>
        </w:tc>
        <w:tc>
          <w:tcPr>
            <w:tcW w:w="1267" w:type="dxa"/>
            <w:tcBorders>
              <w:bottom w:val="single" w:sz="4" w:space="0" w:color="BFBFBF" w:themeColor="background1" w:themeShade="BF"/>
            </w:tcBorders>
            <w:shd w:val="clear" w:color="auto" w:fill="0070C0"/>
          </w:tcPr>
          <w:p w14:paraId="4A874B3C" w14:textId="77777777" w:rsidR="0004342B" w:rsidRPr="009F3F63" w:rsidRDefault="0004342B" w:rsidP="00691179">
            <w:pPr>
              <w:jc w:val="right"/>
              <w:rPr>
                <w:rFonts w:asciiTheme="minorHAnsi" w:hAnsiTheme="minorHAnsi"/>
                <w:b/>
                <w:bCs/>
                <w:color w:val="FFFFFF" w:themeColor="background1"/>
                <w:sz w:val="20"/>
                <w:szCs w:val="20"/>
              </w:rPr>
            </w:pPr>
            <w:r w:rsidRPr="009F3F63">
              <w:rPr>
                <w:rFonts w:asciiTheme="minorHAnsi" w:hAnsiTheme="minorHAnsi"/>
                <w:b/>
                <w:bCs/>
                <w:color w:val="FFFFFF" w:themeColor="background1"/>
                <w:sz w:val="20"/>
                <w:szCs w:val="20"/>
              </w:rPr>
              <w:t>Shares reserved</w:t>
            </w:r>
          </w:p>
        </w:tc>
        <w:tc>
          <w:tcPr>
            <w:tcW w:w="1267" w:type="dxa"/>
            <w:tcBorders>
              <w:bottom w:val="single" w:sz="4" w:space="0" w:color="BFBFBF" w:themeColor="background1" w:themeShade="BF"/>
            </w:tcBorders>
            <w:shd w:val="clear" w:color="auto" w:fill="0070C0"/>
          </w:tcPr>
          <w:p w14:paraId="435E2579" w14:textId="77777777" w:rsidR="0004342B" w:rsidRDefault="0004342B" w:rsidP="00691179">
            <w:pPr>
              <w:jc w:val="right"/>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26 July</w:t>
            </w:r>
          </w:p>
          <w:p w14:paraId="0DD06349" w14:textId="77777777" w:rsidR="0004342B" w:rsidRPr="009F3F63" w:rsidRDefault="0004342B" w:rsidP="00691179">
            <w:pPr>
              <w:jc w:val="right"/>
              <w:rPr>
                <w:rFonts w:asciiTheme="minorHAnsi" w:hAnsiTheme="minorHAnsi"/>
                <w:b/>
                <w:bCs/>
                <w:color w:val="FFFFFF" w:themeColor="background1"/>
                <w:sz w:val="20"/>
                <w:szCs w:val="20"/>
                <w:lang w:val="en-GB"/>
              </w:rPr>
            </w:pPr>
            <w:r w:rsidRPr="009F3F63">
              <w:rPr>
                <w:rFonts w:asciiTheme="minorHAnsi" w:hAnsiTheme="minorHAnsi"/>
                <w:b/>
                <w:bCs/>
                <w:color w:val="FFFFFF" w:themeColor="background1"/>
                <w:sz w:val="20"/>
                <w:szCs w:val="20"/>
                <w:lang w:val="en-GB"/>
              </w:rPr>
              <w:t>201</w:t>
            </w:r>
            <w:r>
              <w:rPr>
                <w:rFonts w:asciiTheme="minorHAnsi" w:hAnsiTheme="minorHAnsi"/>
                <w:b/>
                <w:bCs/>
                <w:color w:val="FFFFFF" w:themeColor="background1"/>
                <w:sz w:val="20"/>
                <w:szCs w:val="20"/>
              </w:rPr>
              <w:t>8</w:t>
            </w:r>
          </w:p>
        </w:tc>
      </w:tr>
      <w:tr w:rsidR="0004342B" w:rsidRPr="009B1BAD" w14:paraId="537DD016" w14:textId="77777777" w:rsidTr="007C324B">
        <w:trPr>
          <w:trHeight w:val="268"/>
          <w:jc w:val="center"/>
        </w:trPr>
        <w:tc>
          <w:tcPr>
            <w:tcW w:w="326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2120CF0"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color w:val="59595B"/>
                <w:sz w:val="20"/>
                <w:szCs w:val="20"/>
                <w:lang w:val="en-GB"/>
              </w:rPr>
              <w:t>Shares</w:t>
            </w: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0986F1D6" w14:textId="77777777" w:rsidR="0004342B" w:rsidRPr="003D0B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610,411,062</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18F85D63" w14:textId="1743847C" w:rsidR="0004342B" w:rsidRPr="0090222A" w:rsidRDefault="0090222A"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809</w:t>
            </w: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0B2363BE"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67B630DF" w14:textId="51AB8B47" w:rsidR="0004342B" w:rsidRPr="0090222A" w:rsidRDefault="001074ED"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610,411,</w:t>
            </w:r>
            <w:r w:rsidR="0090222A">
              <w:rPr>
                <w:rFonts w:asciiTheme="minorHAnsi" w:hAnsiTheme="minorHAnsi" w:cstheme="minorHAnsi"/>
                <w:color w:val="59595B"/>
                <w:sz w:val="20"/>
                <w:szCs w:val="20"/>
              </w:rPr>
              <w:t>871</w:t>
            </w:r>
          </w:p>
        </w:tc>
      </w:tr>
      <w:tr w:rsidR="0004342B" w:rsidRPr="009B1BAD" w14:paraId="68039EEA" w14:textId="77777777" w:rsidTr="007C324B">
        <w:trPr>
          <w:trHeight w:val="256"/>
          <w:jc w:val="center"/>
        </w:trPr>
        <w:tc>
          <w:tcPr>
            <w:tcW w:w="3261" w:type="dxa"/>
            <w:tcBorders>
              <w:left w:val="single" w:sz="4" w:space="0" w:color="BFBFBF" w:themeColor="background1" w:themeShade="BF"/>
              <w:right w:val="single" w:sz="4" w:space="0" w:color="BFBFBF" w:themeColor="background1" w:themeShade="BF"/>
            </w:tcBorders>
          </w:tcPr>
          <w:p w14:paraId="1CA4C1E6"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color w:val="59595B"/>
                <w:sz w:val="20"/>
                <w:szCs w:val="20"/>
                <w:lang w:val="en-GB"/>
              </w:rPr>
              <w:t>Warrants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7AF493A" w14:textId="77777777" w:rsidR="0004342B" w:rsidRPr="003D0B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1,222,711</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1A992A83"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0100A18F"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tcBorders>
            <w:shd w:val="clear" w:color="auto" w:fill="F2F2F2" w:themeFill="background1" w:themeFillShade="F2"/>
          </w:tcPr>
          <w:p w14:paraId="1042A6BF"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1,222,711</w:t>
            </w:r>
          </w:p>
        </w:tc>
      </w:tr>
      <w:tr w:rsidR="0004342B" w:rsidRPr="009B1BAD" w14:paraId="6235DC69" w14:textId="77777777" w:rsidTr="007C324B">
        <w:trPr>
          <w:trHeight w:val="256"/>
          <w:jc w:val="center"/>
        </w:trPr>
        <w:tc>
          <w:tcPr>
            <w:tcW w:w="3261" w:type="dxa"/>
            <w:tcBorders>
              <w:left w:val="single" w:sz="4" w:space="0" w:color="BFBFBF" w:themeColor="background1" w:themeShade="BF"/>
              <w:right w:val="single" w:sz="4" w:space="0" w:color="BFBFBF" w:themeColor="background1" w:themeShade="BF"/>
            </w:tcBorders>
          </w:tcPr>
          <w:p w14:paraId="6DF45ED2"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color w:val="59595B"/>
                <w:sz w:val="20"/>
                <w:szCs w:val="20"/>
                <w:lang w:val="en-GB"/>
              </w:rPr>
              <w:t>Options</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52E67E59" w14:textId="77777777" w:rsidR="0004342B" w:rsidRPr="003D0B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37,599,079</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6F89F113" w14:textId="0321A44C" w:rsidR="0004342B" w:rsidRPr="0090222A" w:rsidRDefault="0004342B" w:rsidP="00691179">
            <w:pPr>
              <w:autoSpaceDE w:val="0"/>
              <w:autoSpaceDN w:val="0"/>
              <w:adjustRightInd w:val="0"/>
              <w:jc w:val="right"/>
              <w:rPr>
                <w:rFonts w:asciiTheme="minorHAnsi" w:hAnsiTheme="minorHAnsi" w:cstheme="minorHAnsi"/>
                <w:color w:val="59595B"/>
                <w:sz w:val="20"/>
                <w:szCs w:val="20"/>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19F25074" w14:textId="35E08D1B" w:rsidR="0004342B" w:rsidRPr="0090222A" w:rsidRDefault="0090222A"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(809)</w:t>
            </w:r>
          </w:p>
        </w:tc>
        <w:tc>
          <w:tcPr>
            <w:tcW w:w="1267" w:type="dxa"/>
            <w:tcBorders>
              <w:left w:val="single" w:sz="4" w:space="0" w:color="BFBFBF" w:themeColor="background1" w:themeShade="BF"/>
            </w:tcBorders>
            <w:shd w:val="clear" w:color="auto" w:fill="F2F2F2" w:themeFill="background1" w:themeFillShade="F2"/>
          </w:tcPr>
          <w:p w14:paraId="00053102" w14:textId="3D0AF3DE" w:rsidR="0004342B" w:rsidRPr="0090222A" w:rsidRDefault="0090222A"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37,598,274</w:t>
            </w:r>
          </w:p>
        </w:tc>
      </w:tr>
      <w:tr w:rsidR="0004342B" w:rsidRPr="009B1BAD" w14:paraId="698534D0" w14:textId="77777777" w:rsidTr="007C324B">
        <w:trPr>
          <w:trHeight w:val="268"/>
          <w:jc w:val="center"/>
        </w:trPr>
        <w:tc>
          <w:tcPr>
            <w:tcW w:w="326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7559B50"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color w:val="59595B"/>
                <w:sz w:val="20"/>
                <w:szCs w:val="20"/>
                <w:lang w:val="en-GB"/>
              </w:rPr>
              <w:t>LTIP</w:t>
            </w: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34145E" w14:textId="77777777" w:rsidR="0004342B" w:rsidRPr="003D0B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8,063,864</w:t>
            </w: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AFE3ED9"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BE0FD5"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rPr>
            </w:pPr>
          </w:p>
        </w:tc>
        <w:tc>
          <w:tcPr>
            <w:tcW w:w="126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447221BD" w14:textId="77777777" w:rsidR="0004342B" w:rsidRPr="003814CF"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8,063,864</w:t>
            </w:r>
          </w:p>
        </w:tc>
      </w:tr>
      <w:tr w:rsidR="0004342B" w:rsidRPr="009B1BAD" w14:paraId="5602A937" w14:textId="77777777" w:rsidTr="007C324B">
        <w:trPr>
          <w:trHeight w:val="25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7F1A5"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b/>
                <w:color w:val="59595B"/>
                <w:sz w:val="20"/>
                <w:szCs w:val="20"/>
                <w:lang w:val="en-GB"/>
              </w:rPr>
              <w:t>Issued</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0E17DE" w14:textId="77777777" w:rsidR="0004342B" w:rsidRPr="003D0B45" w:rsidRDefault="0004342B" w:rsidP="00691179">
            <w:pPr>
              <w:autoSpaceDE w:val="0"/>
              <w:autoSpaceDN w:val="0"/>
              <w:adjustRightInd w:val="0"/>
              <w:jc w:val="right"/>
              <w:rPr>
                <w:rFonts w:asciiTheme="minorHAnsi" w:hAnsiTheme="minorHAnsi" w:cstheme="minorHAnsi"/>
                <w:b/>
                <w:color w:val="59595B"/>
                <w:sz w:val="20"/>
                <w:szCs w:val="20"/>
              </w:rPr>
            </w:pPr>
            <w:r>
              <w:rPr>
                <w:rFonts w:asciiTheme="minorHAnsi" w:hAnsiTheme="minorHAnsi" w:cstheme="minorHAnsi"/>
                <w:b/>
                <w:color w:val="59595B"/>
                <w:sz w:val="20"/>
                <w:szCs w:val="20"/>
              </w:rPr>
              <w:t>657,296,716</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4B659B9" w14:textId="77777777" w:rsidR="0004342B" w:rsidRPr="009F3F63"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9CB8EB" w14:textId="77777777" w:rsidR="0004342B" w:rsidRPr="009F3F63"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16EE2E1" w14:textId="2984F8E0" w:rsidR="0004342B" w:rsidRPr="001074ED" w:rsidRDefault="001074ED" w:rsidP="00691179">
            <w:pPr>
              <w:autoSpaceDE w:val="0"/>
              <w:autoSpaceDN w:val="0"/>
              <w:adjustRightInd w:val="0"/>
              <w:jc w:val="right"/>
              <w:rPr>
                <w:rFonts w:asciiTheme="minorHAnsi" w:hAnsiTheme="minorHAnsi" w:cstheme="minorHAnsi"/>
                <w:b/>
                <w:color w:val="59595B"/>
                <w:sz w:val="20"/>
                <w:szCs w:val="20"/>
              </w:rPr>
            </w:pPr>
            <w:r>
              <w:rPr>
                <w:rFonts w:asciiTheme="minorHAnsi" w:hAnsiTheme="minorHAnsi" w:cstheme="minorHAnsi"/>
                <w:b/>
                <w:color w:val="59595B"/>
                <w:sz w:val="20"/>
                <w:szCs w:val="20"/>
              </w:rPr>
              <w:t>657,296,716</w:t>
            </w:r>
          </w:p>
        </w:tc>
      </w:tr>
      <w:tr w:rsidR="0004342B" w:rsidRPr="009B1BAD" w14:paraId="08214362" w14:textId="77777777" w:rsidTr="007C324B">
        <w:trPr>
          <w:trHeight w:val="256"/>
          <w:jc w:val="center"/>
        </w:trPr>
        <w:tc>
          <w:tcPr>
            <w:tcW w:w="3261"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F229279"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p>
        </w:tc>
        <w:tc>
          <w:tcPr>
            <w:tcW w:w="1408"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2C5A1096"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163B2229"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tcPr>
          <w:p w14:paraId="759A464C"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3A87D5C9"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r>
      <w:tr w:rsidR="0004342B" w:rsidRPr="009B1BAD" w14:paraId="44A51A7C" w14:textId="77777777" w:rsidTr="007C324B">
        <w:trPr>
          <w:trHeight w:val="268"/>
          <w:jc w:val="center"/>
        </w:trPr>
        <w:tc>
          <w:tcPr>
            <w:tcW w:w="3261" w:type="dxa"/>
            <w:tcBorders>
              <w:left w:val="single" w:sz="4" w:space="0" w:color="BFBFBF" w:themeColor="background1" w:themeShade="BF"/>
              <w:right w:val="single" w:sz="4" w:space="0" w:color="BFBFBF" w:themeColor="background1" w:themeShade="BF"/>
            </w:tcBorders>
          </w:tcPr>
          <w:p w14:paraId="7F22C563"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color w:val="59595B"/>
                <w:sz w:val="20"/>
                <w:szCs w:val="20"/>
                <w:lang w:val="en-GB"/>
              </w:rPr>
              <w:t>Available for issue</w:t>
            </w:r>
          </w:p>
        </w:tc>
        <w:tc>
          <w:tcPr>
            <w:tcW w:w="1408"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73FB6F68" w14:textId="77777777" w:rsidR="0004342B" w:rsidRPr="003D0B45" w:rsidRDefault="0004342B"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142,703,284</w:t>
            </w: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0FEDE025"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right w:val="single" w:sz="4" w:space="0" w:color="BFBFBF" w:themeColor="background1" w:themeShade="BF"/>
            </w:tcBorders>
            <w:shd w:val="clear" w:color="auto" w:fill="F2F2F2" w:themeFill="background1" w:themeFillShade="F2"/>
          </w:tcPr>
          <w:p w14:paraId="33BCAC8E"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tcBorders>
            <w:shd w:val="clear" w:color="auto" w:fill="F2F2F2" w:themeFill="background1" w:themeFillShade="F2"/>
          </w:tcPr>
          <w:p w14:paraId="68349781" w14:textId="6910D33F" w:rsidR="0004342B" w:rsidRPr="001074ED" w:rsidRDefault="001074ED" w:rsidP="00691179">
            <w:pPr>
              <w:autoSpaceDE w:val="0"/>
              <w:autoSpaceDN w:val="0"/>
              <w:adjustRightInd w:val="0"/>
              <w:jc w:val="right"/>
              <w:rPr>
                <w:rFonts w:asciiTheme="minorHAnsi" w:hAnsiTheme="minorHAnsi" w:cstheme="minorHAnsi"/>
                <w:color w:val="59595B"/>
                <w:sz w:val="20"/>
                <w:szCs w:val="20"/>
              </w:rPr>
            </w:pPr>
            <w:r>
              <w:rPr>
                <w:rFonts w:asciiTheme="minorHAnsi" w:hAnsiTheme="minorHAnsi" w:cstheme="minorHAnsi"/>
                <w:color w:val="59595B"/>
                <w:sz w:val="20"/>
                <w:szCs w:val="20"/>
              </w:rPr>
              <w:t>142,703,284</w:t>
            </w:r>
          </w:p>
        </w:tc>
      </w:tr>
      <w:tr w:rsidR="0004342B" w:rsidRPr="009B1BAD" w14:paraId="24823D4B" w14:textId="77777777" w:rsidTr="007C324B">
        <w:trPr>
          <w:trHeight w:val="256"/>
          <w:jc w:val="center"/>
        </w:trPr>
        <w:tc>
          <w:tcPr>
            <w:tcW w:w="326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CF5F319"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p>
        </w:tc>
        <w:tc>
          <w:tcPr>
            <w:tcW w:w="1408"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27BB6B6"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1D3988"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F35194E"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c>
          <w:tcPr>
            <w:tcW w:w="126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4318ABC3" w14:textId="77777777" w:rsidR="0004342B" w:rsidRPr="009F3F63" w:rsidRDefault="0004342B" w:rsidP="00691179">
            <w:pPr>
              <w:autoSpaceDE w:val="0"/>
              <w:autoSpaceDN w:val="0"/>
              <w:adjustRightInd w:val="0"/>
              <w:jc w:val="right"/>
              <w:rPr>
                <w:rFonts w:asciiTheme="minorHAnsi" w:hAnsiTheme="minorHAnsi" w:cstheme="minorHAnsi"/>
                <w:color w:val="59595B"/>
                <w:sz w:val="20"/>
                <w:szCs w:val="20"/>
                <w:lang w:val="en-GB"/>
              </w:rPr>
            </w:pPr>
          </w:p>
        </w:tc>
      </w:tr>
      <w:tr w:rsidR="0004342B" w:rsidRPr="009B1BAD" w14:paraId="01DD9A2F" w14:textId="77777777" w:rsidTr="007C324B">
        <w:trPr>
          <w:trHeight w:val="25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63DD7" w14:textId="77777777" w:rsidR="0004342B" w:rsidRPr="009F3F63" w:rsidRDefault="0004342B" w:rsidP="00691179">
            <w:pPr>
              <w:autoSpaceDE w:val="0"/>
              <w:autoSpaceDN w:val="0"/>
              <w:adjustRightInd w:val="0"/>
              <w:rPr>
                <w:rFonts w:asciiTheme="minorHAnsi" w:hAnsiTheme="minorHAnsi" w:cstheme="minorHAnsi"/>
                <w:color w:val="59595B"/>
                <w:sz w:val="20"/>
                <w:szCs w:val="20"/>
                <w:lang w:val="en-GB"/>
              </w:rPr>
            </w:pPr>
            <w:r w:rsidRPr="009F3F63">
              <w:rPr>
                <w:rFonts w:asciiTheme="minorHAnsi" w:hAnsiTheme="minorHAnsi" w:cstheme="minorHAnsi"/>
                <w:b/>
                <w:color w:val="59595B"/>
                <w:sz w:val="20"/>
                <w:szCs w:val="20"/>
                <w:lang w:val="en-GB"/>
              </w:rPr>
              <w:t>Authorised share capital</w:t>
            </w:r>
          </w:p>
        </w:tc>
        <w:tc>
          <w:tcPr>
            <w:tcW w:w="14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2F218B" w14:textId="77777777" w:rsidR="0004342B" w:rsidRPr="003D0B45" w:rsidRDefault="0004342B" w:rsidP="00691179">
            <w:pPr>
              <w:autoSpaceDE w:val="0"/>
              <w:autoSpaceDN w:val="0"/>
              <w:adjustRightInd w:val="0"/>
              <w:jc w:val="right"/>
              <w:rPr>
                <w:rFonts w:asciiTheme="minorHAnsi" w:hAnsiTheme="minorHAnsi" w:cstheme="minorHAnsi"/>
                <w:b/>
                <w:color w:val="59595B"/>
                <w:sz w:val="20"/>
                <w:szCs w:val="20"/>
              </w:rPr>
            </w:pPr>
            <w:r>
              <w:rPr>
                <w:rFonts w:asciiTheme="minorHAnsi" w:hAnsiTheme="minorHAnsi" w:cstheme="minorHAnsi"/>
                <w:b/>
                <w:color w:val="59595B"/>
                <w:sz w:val="20"/>
                <w:szCs w:val="20"/>
              </w:rPr>
              <w:t>800,000,000</w:t>
            </w: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D26B36D" w14:textId="77777777" w:rsidR="0004342B" w:rsidRPr="009F3F63"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BE45F3" w14:textId="77777777" w:rsidR="0004342B" w:rsidRPr="009F3F63" w:rsidRDefault="0004342B" w:rsidP="00691179">
            <w:pPr>
              <w:autoSpaceDE w:val="0"/>
              <w:autoSpaceDN w:val="0"/>
              <w:adjustRightInd w:val="0"/>
              <w:jc w:val="right"/>
              <w:rPr>
                <w:rFonts w:asciiTheme="minorHAnsi" w:hAnsiTheme="minorHAnsi" w:cstheme="minorHAnsi"/>
                <w:b/>
                <w:color w:val="59595B"/>
                <w:sz w:val="20"/>
                <w:szCs w:val="20"/>
                <w:lang w:val="en-GB"/>
              </w:rPr>
            </w:pPr>
          </w:p>
        </w:tc>
        <w:tc>
          <w:tcPr>
            <w:tcW w:w="12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E8E3D98" w14:textId="77777777" w:rsidR="0004342B" w:rsidRPr="009F3F63" w:rsidRDefault="0004342B" w:rsidP="00691179">
            <w:pPr>
              <w:autoSpaceDE w:val="0"/>
              <w:autoSpaceDN w:val="0"/>
              <w:adjustRightInd w:val="0"/>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rPr>
              <w:t>800,000,000</w:t>
            </w:r>
          </w:p>
        </w:tc>
      </w:tr>
    </w:tbl>
    <w:p w14:paraId="2D70A5C3" w14:textId="77777777" w:rsidR="0004342B" w:rsidRDefault="0004342B" w:rsidP="0004342B">
      <w:pPr>
        <w:pStyle w:val="NoSpacing"/>
        <w:spacing w:after="120"/>
        <w:rPr>
          <w:color w:val="59595B"/>
          <w:highlight w:val="yellow"/>
          <w:lang w:val="en-GB"/>
        </w:rPr>
      </w:pPr>
    </w:p>
    <w:p w14:paraId="5593F585" w14:textId="77777777" w:rsidR="0004342B" w:rsidRPr="00CE7010" w:rsidRDefault="0004342B" w:rsidP="0004342B">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CE7010">
        <w:rPr>
          <w:rFonts w:asciiTheme="majorHAnsi" w:hAnsiTheme="majorHAnsi" w:cstheme="minorHAnsi"/>
          <w:i/>
          <w:color w:val="59595B"/>
          <w:sz w:val="24"/>
          <w:szCs w:val="22"/>
          <w:lang w:val="en-GB"/>
        </w:rPr>
        <w:t>Events since the end of the reporting period</w:t>
      </w:r>
    </w:p>
    <w:p w14:paraId="283ECB55" w14:textId="77777777" w:rsidR="0004342B" w:rsidRPr="00A96D90" w:rsidRDefault="0004342B" w:rsidP="0004342B">
      <w:pPr>
        <w:pStyle w:val="NoSpacing"/>
        <w:ind w:right="144"/>
        <w:jc w:val="both"/>
        <w:rPr>
          <w:rFonts w:ascii="Calibri Light" w:hAnsi="Calibri Light" w:cs="Calibri Light"/>
          <w:color w:val="59595B"/>
          <w:lang w:val="en-GB"/>
        </w:rPr>
      </w:pPr>
      <w:r w:rsidRPr="00CE7010">
        <w:rPr>
          <w:rFonts w:ascii="Calibri Light" w:hAnsi="Calibri Light" w:cs="Calibri Light"/>
          <w:color w:val="59595B"/>
          <w:lang w:val="en-GB"/>
        </w:rPr>
        <w:t xml:space="preserve">There have been no significant </w:t>
      </w:r>
      <w:r>
        <w:rPr>
          <w:rFonts w:ascii="Calibri Light" w:hAnsi="Calibri Light" w:cs="Calibri Light"/>
          <w:color w:val="59595B"/>
          <w:lang w:val="en-GB"/>
        </w:rPr>
        <w:t xml:space="preserve">changes </w:t>
      </w:r>
      <w:r w:rsidRPr="00CE7010">
        <w:rPr>
          <w:rFonts w:ascii="Calibri Light" w:hAnsi="Calibri Light" w:cs="Calibri Light"/>
          <w:color w:val="59595B"/>
          <w:lang w:val="en-GB"/>
        </w:rPr>
        <w:t>or material events since the reporting date.</w:t>
      </w:r>
    </w:p>
    <w:p w14:paraId="0C0B3175" w14:textId="77777777" w:rsidR="0004342B" w:rsidRDefault="0004342B" w:rsidP="0004342B">
      <w:pPr>
        <w:jc w:val="left"/>
        <w:rPr>
          <w:rFonts w:ascii="Calibri Light" w:hAnsi="Calibri Light" w:cs="Calibri Light"/>
          <w:color w:val="auto"/>
          <w:sz w:val="20"/>
          <w:szCs w:val="20"/>
          <w:lang w:val="en-GB" w:eastAsia="en-GB"/>
        </w:rPr>
      </w:pPr>
    </w:p>
    <w:p w14:paraId="2475041C" w14:textId="77777777" w:rsidR="0004342B" w:rsidRDefault="0004342B" w:rsidP="0004342B">
      <w:pPr>
        <w:jc w:val="left"/>
        <w:rPr>
          <w:rFonts w:ascii="Calibri Light" w:hAnsi="Calibri Light" w:cs="Calibri Light"/>
          <w:color w:val="auto"/>
          <w:sz w:val="20"/>
          <w:szCs w:val="20"/>
          <w:lang w:val="en-GB" w:eastAsia="en-GB"/>
        </w:rPr>
      </w:pPr>
      <w:r>
        <w:rPr>
          <w:rFonts w:ascii="Calibri Light" w:hAnsi="Calibri Light" w:cs="Calibri Light"/>
          <w:color w:val="auto"/>
          <w:sz w:val="20"/>
          <w:szCs w:val="20"/>
          <w:lang w:val="en-GB" w:eastAsia="en-GB"/>
        </w:rPr>
        <w:br/>
      </w:r>
    </w:p>
    <w:p w14:paraId="382B7F43" w14:textId="77777777" w:rsidR="0004342B" w:rsidRDefault="0004342B" w:rsidP="0004342B">
      <w:pPr>
        <w:jc w:val="left"/>
        <w:rPr>
          <w:rFonts w:ascii="Calibri Light" w:hAnsi="Calibri Light" w:cs="Calibri Light"/>
          <w:color w:val="auto"/>
          <w:sz w:val="20"/>
          <w:szCs w:val="20"/>
          <w:lang w:val="en-GB" w:eastAsia="en-GB"/>
        </w:rPr>
      </w:pPr>
      <w:r>
        <w:rPr>
          <w:rFonts w:ascii="Calibri Light" w:hAnsi="Calibri Light" w:cs="Calibri Light"/>
          <w:color w:val="auto"/>
          <w:sz w:val="20"/>
          <w:szCs w:val="20"/>
          <w:lang w:val="en-GB" w:eastAsia="en-GB"/>
        </w:rPr>
        <w:br w:type="page"/>
      </w:r>
    </w:p>
    <w:p w14:paraId="77BE060D" w14:textId="77777777" w:rsidR="0004342B" w:rsidRPr="00A96D90" w:rsidRDefault="0004342B" w:rsidP="0004342B">
      <w:pPr>
        <w:jc w:val="left"/>
        <w:rPr>
          <w:rFonts w:ascii="Calibri Light" w:hAnsi="Calibri Light" w:cs="Calibri Light"/>
          <w:color w:val="auto"/>
          <w:sz w:val="20"/>
          <w:szCs w:val="20"/>
          <w:lang w:val="en-GB" w:eastAsia="en-GB"/>
        </w:rPr>
      </w:pPr>
    </w:p>
    <w:p w14:paraId="4FFB2352" w14:textId="160B6B19" w:rsidR="0004342B" w:rsidRPr="00032C26" w:rsidRDefault="0004342B" w:rsidP="0004342B">
      <w:pPr>
        <w:pStyle w:val="NoSpacing"/>
        <w:spacing w:after="120"/>
        <w:rPr>
          <w:color w:val="0070C0"/>
          <w:sz w:val="28"/>
        </w:rPr>
      </w:pPr>
      <w:r w:rsidRPr="00032C26">
        <w:rPr>
          <w:color w:val="0070C0"/>
          <w:sz w:val="28"/>
        </w:rPr>
        <w:t>Appendix</w:t>
      </w:r>
      <w:r w:rsidR="001074ED" w:rsidRPr="00032C26">
        <w:rPr>
          <w:color w:val="0070C0"/>
          <w:sz w:val="28"/>
        </w:rPr>
        <w:t xml:space="preserve">: </w:t>
      </w:r>
      <w:r w:rsidR="00032C26">
        <w:rPr>
          <w:color w:val="0070C0"/>
          <w:sz w:val="28"/>
        </w:rPr>
        <w:t xml:space="preserve">Main </w:t>
      </w:r>
      <w:r w:rsidR="001074ED" w:rsidRPr="00032C26">
        <w:rPr>
          <w:color w:val="0070C0"/>
          <w:sz w:val="28"/>
        </w:rPr>
        <w:t>Financial Statements reported in US dollars</w:t>
      </w:r>
    </w:p>
    <w:p w14:paraId="7086F1B4" w14:textId="77777777" w:rsidR="0004342B" w:rsidRDefault="0004342B" w:rsidP="0004342B">
      <w:pPr>
        <w:jc w:val="left"/>
        <w:rPr>
          <w:rFonts w:asciiTheme="minorHAnsi" w:eastAsiaTheme="majorEastAsia" w:hAnsiTheme="minorHAnsi" w:cstheme="majorBidi"/>
          <w:b/>
          <w:color w:val="59595B"/>
          <w:sz w:val="24"/>
          <w:szCs w:val="28"/>
          <w:lang w:val="en-GB" w:eastAsia="zh-CN"/>
        </w:rPr>
      </w:pPr>
      <w:r>
        <w:rPr>
          <w:rFonts w:asciiTheme="minorHAnsi" w:eastAsiaTheme="majorEastAsia" w:hAnsiTheme="minorHAnsi" w:cstheme="majorBidi"/>
          <w:b/>
          <w:color w:val="59595B"/>
          <w:sz w:val="24"/>
          <w:szCs w:val="28"/>
          <w:lang w:val="en-GB" w:eastAsia="zh-CN"/>
        </w:rPr>
        <w:br w:type="page"/>
      </w:r>
    </w:p>
    <w:p w14:paraId="03F37C55" w14:textId="14220601" w:rsidR="0004342B" w:rsidRPr="0011563F" w:rsidRDefault="0004342B" w:rsidP="0004342B">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sidRPr="003814CF">
        <w:rPr>
          <w:rFonts w:asciiTheme="minorHAnsi" w:eastAsiaTheme="majorEastAsia" w:hAnsiTheme="minorHAnsi" w:cstheme="majorBidi"/>
          <w:b/>
          <w:color w:val="59595B"/>
          <w:sz w:val="24"/>
          <w:szCs w:val="28"/>
          <w:u w:val="single"/>
          <w:lang w:eastAsia="zh-CN"/>
        </w:rPr>
        <w:t>in US Dollar</w:t>
      </w:r>
      <w:r w:rsidR="001074ED">
        <w:rPr>
          <w:rFonts w:asciiTheme="minorHAnsi" w:eastAsiaTheme="majorEastAsia" w:hAnsiTheme="minorHAnsi" w:cstheme="majorBidi"/>
          <w:b/>
          <w:color w:val="59595B"/>
          <w:sz w:val="24"/>
          <w:szCs w:val="28"/>
          <w:u w:val="single"/>
          <w:lang w:eastAsia="zh-CN"/>
        </w:rPr>
        <w:t>s</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2EF578C2" w14:textId="77777777" w:rsidR="0004342B" w:rsidRPr="00A96D90" w:rsidRDefault="0004342B" w:rsidP="0004342B">
      <w:pPr>
        <w:rPr>
          <w:rFonts w:asciiTheme="minorHAnsi" w:hAnsiTheme="minorHAnsi"/>
          <w:color w:val="00679B"/>
          <w:sz w:val="24"/>
          <w:lang w:val="en-GB"/>
        </w:rPr>
      </w:pPr>
      <w:r w:rsidRPr="00A96D90">
        <w:rPr>
          <w:rFonts w:asciiTheme="minorHAnsi" w:hAnsiTheme="minorHAnsi"/>
          <w:color w:val="00679B"/>
          <w:sz w:val="24"/>
          <w:lang w:val="en-GB"/>
        </w:rPr>
        <w:t>For the first six months ended 30 June</w:t>
      </w:r>
    </w:p>
    <w:p w14:paraId="1A2686F1" w14:textId="77777777" w:rsidR="0004342B" w:rsidRPr="00A96D90" w:rsidRDefault="0004342B" w:rsidP="0004342B">
      <w:pPr>
        <w:rPr>
          <w:rFonts w:ascii="Calibri" w:hAnsi="Calibri" w:cstheme="minorHAnsi"/>
          <w:b/>
          <w:color w:val="276E8B" w:themeColor="accent1" w:themeShade="BF"/>
          <w:szCs w:val="22"/>
          <w:lang w:val="en-GB"/>
        </w:rPr>
      </w:pPr>
    </w:p>
    <w:tbl>
      <w:tblPr>
        <w:tblW w:w="8277"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1596"/>
        <w:gridCol w:w="1551"/>
      </w:tblGrid>
      <w:tr w:rsidR="0004342B" w:rsidRPr="00A96D90" w14:paraId="2BA05DBE" w14:textId="77777777" w:rsidTr="00691179">
        <w:trPr>
          <w:trHeight w:val="144"/>
          <w:jc w:val="center"/>
        </w:trPr>
        <w:tc>
          <w:tcPr>
            <w:tcW w:w="5130" w:type="dxa"/>
            <w:tcBorders>
              <w:bottom w:val="single" w:sz="4" w:space="0" w:color="BFBFBF" w:themeColor="background1" w:themeShade="BF"/>
            </w:tcBorders>
            <w:shd w:val="clear" w:color="auto" w:fill="0070C0"/>
            <w:tcMar>
              <w:top w:w="28" w:type="dxa"/>
            </w:tcMar>
          </w:tcPr>
          <w:p w14:paraId="53138492" w14:textId="77777777" w:rsidR="0004342B" w:rsidRPr="007707C3" w:rsidRDefault="0004342B" w:rsidP="00691179">
            <w:pPr>
              <w:rPr>
                <w:rFonts w:asciiTheme="minorHAnsi" w:hAnsiTheme="minorHAnsi" w:cstheme="minorHAnsi"/>
                <w:b/>
                <w:i/>
                <w:color w:val="FFFFFF" w:themeColor="background1"/>
                <w:sz w:val="20"/>
                <w:szCs w:val="20"/>
                <w:lang w:val="en-GB"/>
              </w:rPr>
            </w:pPr>
            <w:r w:rsidRPr="00E12C03">
              <w:rPr>
                <w:rFonts w:asciiTheme="minorHAnsi" w:hAnsiTheme="minorHAnsi" w:cstheme="minorHAnsi"/>
                <w:b/>
                <w:i/>
                <w:color w:val="FFFFFF" w:themeColor="background1"/>
                <w:sz w:val="16"/>
                <w:szCs w:val="20"/>
                <w:lang w:val="en-GB"/>
              </w:rPr>
              <w:t xml:space="preserve">Amounts in </w:t>
            </w:r>
            <w:r>
              <w:rPr>
                <w:rFonts w:asciiTheme="minorHAnsi" w:hAnsiTheme="minorHAnsi" w:cstheme="minorHAnsi"/>
                <w:b/>
                <w:i/>
                <w:color w:val="FFFFFF" w:themeColor="background1"/>
                <w:sz w:val="16"/>
                <w:szCs w:val="20"/>
              </w:rPr>
              <w:t>$</w:t>
            </w:r>
            <w:r w:rsidRPr="00E12C03">
              <w:rPr>
                <w:rFonts w:asciiTheme="minorHAnsi" w:hAnsiTheme="minorHAnsi" w:cstheme="minorHAnsi"/>
                <w:b/>
                <w:i/>
                <w:color w:val="FFFFFF" w:themeColor="background1"/>
                <w:sz w:val="16"/>
                <w:szCs w:val="20"/>
                <w:lang w:val="en-GB"/>
              </w:rPr>
              <w:t>’000, except per share data</w:t>
            </w:r>
          </w:p>
        </w:tc>
        <w:tc>
          <w:tcPr>
            <w:tcW w:w="1596" w:type="dxa"/>
            <w:tcBorders>
              <w:bottom w:val="single" w:sz="4" w:space="0" w:color="BFBFBF" w:themeColor="background1" w:themeShade="BF"/>
            </w:tcBorders>
            <w:shd w:val="clear" w:color="auto" w:fill="0070C0"/>
            <w:tcMar>
              <w:top w:w="28" w:type="dxa"/>
            </w:tcMar>
          </w:tcPr>
          <w:p w14:paraId="2ED1B7A5" w14:textId="77777777" w:rsidR="0004342B" w:rsidRPr="00CF1D25" w:rsidRDefault="0004342B" w:rsidP="00691179">
            <w:pPr>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8</w:t>
            </w:r>
          </w:p>
        </w:tc>
        <w:tc>
          <w:tcPr>
            <w:tcW w:w="1551" w:type="dxa"/>
            <w:tcBorders>
              <w:bottom w:val="single" w:sz="4" w:space="0" w:color="BFBFBF" w:themeColor="background1" w:themeShade="BF"/>
            </w:tcBorders>
            <w:shd w:val="clear" w:color="auto" w:fill="0070C0"/>
            <w:tcMar>
              <w:top w:w="28" w:type="dxa"/>
            </w:tcMar>
          </w:tcPr>
          <w:p w14:paraId="3E7F1048" w14:textId="77777777" w:rsidR="0004342B" w:rsidRPr="00CF1D25" w:rsidRDefault="0004342B" w:rsidP="00691179">
            <w:pPr>
              <w:jc w:val="right"/>
              <w:rPr>
                <w:rFonts w:asciiTheme="minorHAnsi" w:hAnsiTheme="minorHAnsi" w:cstheme="minorHAnsi"/>
                <w:b/>
                <w:color w:val="FFFFFF" w:themeColor="background1"/>
                <w:sz w:val="20"/>
                <w:szCs w:val="20"/>
                <w:lang w:val="en-GB"/>
              </w:rPr>
            </w:pPr>
            <w:r w:rsidRPr="00CF1D25">
              <w:rPr>
                <w:rFonts w:asciiTheme="minorHAnsi" w:hAnsiTheme="minorHAnsi" w:cstheme="minorHAnsi"/>
                <w:b/>
                <w:color w:val="FFFFFF" w:themeColor="background1"/>
                <w:sz w:val="20"/>
                <w:szCs w:val="20"/>
                <w:lang w:val="en-GB"/>
              </w:rPr>
              <w:t>HY 201</w:t>
            </w:r>
            <w:r w:rsidRPr="00CF1D25">
              <w:rPr>
                <w:rFonts w:asciiTheme="minorHAnsi" w:hAnsiTheme="minorHAnsi" w:cstheme="minorHAnsi"/>
                <w:b/>
                <w:color w:val="FFFFFF" w:themeColor="background1"/>
                <w:sz w:val="20"/>
                <w:szCs w:val="20"/>
              </w:rPr>
              <w:t>7</w:t>
            </w:r>
          </w:p>
        </w:tc>
      </w:tr>
      <w:tr w:rsidR="0004342B" w:rsidRPr="00A96D90" w14:paraId="03C4BE4B" w14:textId="77777777" w:rsidTr="00691179">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423915B8" w14:textId="77777777" w:rsidR="0004342B" w:rsidRPr="00A96D90" w:rsidRDefault="0004342B" w:rsidP="00691179">
            <w:pPr>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23030990"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4692AB5C"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0B345EB" w14:textId="77777777" w:rsidTr="00691179">
        <w:trPr>
          <w:trHeight w:val="144"/>
          <w:jc w:val="center"/>
        </w:trPr>
        <w:tc>
          <w:tcPr>
            <w:tcW w:w="5130" w:type="dxa"/>
            <w:tcBorders>
              <w:top w:val="nil"/>
              <w:left w:val="single" w:sz="4" w:space="0" w:color="BFBFBF" w:themeColor="background1" w:themeShade="BF"/>
              <w:bottom w:val="nil"/>
            </w:tcBorders>
            <w:tcMar>
              <w:top w:w="28" w:type="dxa"/>
            </w:tcMar>
          </w:tcPr>
          <w:p w14:paraId="2DC4FCDE"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1596" w:type="dxa"/>
            <w:tcBorders>
              <w:top w:val="nil"/>
              <w:bottom w:val="nil"/>
            </w:tcBorders>
            <w:shd w:val="clear" w:color="auto" w:fill="F2F2F2" w:themeFill="background1" w:themeFillShade="F2"/>
            <w:tcMar>
              <w:top w:w="28" w:type="dxa"/>
            </w:tcMar>
          </w:tcPr>
          <w:p w14:paraId="79259E45"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71,459</w:t>
            </w:r>
          </w:p>
        </w:tc>
        <w:tc>
          <w:tcPr>
            <w:tcW w:w="1551" w:type="dxa"/>
            <w:tcBorders>
              <w:top w:val="nil"/>
              <w:bottom w:val="nil"/>
              <w:right w:val="nil"/>
            </w:tcBorders>
            <w:tcMar>
              <w:top w:w="28" w:type="dxa"/>
            </w:tcMar>
          </w:tcPr>
          <w:p w14:paraId="3335C42A"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32,662</w:t>
            </w:r>
          </w:p>
        </w:tc>
      </w:tr>
      <w:tr w:rsidR="0004342B" w:rsidRPr="00A96D90" w14:paraId="7261BCA4" w14:textId="77777777" w:rsidTr="00691179">
        <w:trPr>
          <w:trHeight w:val="144"/>
          <w:jc w:val="center"/>
        </w:trPr>
        <w:tc>
          <w:tcPr>
            <w:tcW w:w="5130" w:type="dxa"/>
            <w:tcBorders>
              <w:top w:val="nil"/>
              <w:left w:val="single" w:sz="4" w:space="0" w:color="BFBFBF" w:themeColor="background1" w:themeShade="BF"/>
              <w:bottom w:val="single" w:sz="4" w:space="0" w:color="BFBFBF" w:themeColor="background1" w:themeShade="BF"/>
            </w:tcBorders>
            <w:tcMar>
              <w:top w:w="28" w:type="dxa"/>
            </w:tcMar>
          </w:tcPr>
          <w:p w14:paraId="688E06DC" w14:textId="77777777" w:rsidR="0004342B" w:rsidRPr="00A96D90" w:rsidRDefault="0004342B" w:rsidP="00691179">
            <w:pPr>
              <w:rPr>
                <w:rFonts w:asciiTheme="minorHAnsi" w:hAnsiTheme="minorHAnsi" w:cstheme="minorHAnsi"/>
                <w:color w:val="59595B"/>
                <w:sz w:val="20"/>
                <w:szCs w:val="20"/>
                <w:lang w:val="en-GB"/>
              </w:rPr>
            </w:pPr>
            <w:r>
              <w:rPr>
                <w:rFonts w:asciiTheme="minorHAnsi" w:hAnsiTheme="minorHAnsi" w:cstheme="minorHAnsi"/>
                <w:color w:val="59595B"/>
                <w:sz w:val="20"/>
                <w:szCs w:val="20"/>
              </w:rPr>
              <w:t>L</w:t>
            </w:r>
            <w:r w:rsidRPr="00A96D90">
              <w:rPr>
                <w:rFonts w:asciiTheme="minorHAnsi" w:hAnsiTheme="minorHAnsi" w:cstheme="minorHAnsi"/>
                <w:color w:val="59595B"/>
                <w:sz w:val="20"/>
                <w:szCs w:val="20"/>
                <w:lang w:val="en-GB"/>
              </w:rPr>
              <w:t>icense fee</w:t>
            </w:r>
            <w:r>
              <w:rPr>
                <w:rFonts w:asciiTheme="minorHAnsi" w:hAnsiTheme="minorHAnsi" w:cstheme="minorHAnsi"/>
                <w:color w:val="59595B"/>
                <w:sz w:val="20"/>
                <w:szCs w:val="20"/>
              </w:rPr>
              <w:t>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BAA127F"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488</w:t>
            </w:r>
          </w:p>
        </w:tc>
        <w:tc>
          <w:tcPr>
            <w:tcW w:w="1551" w:type="dxa"/>
            <w:tcBorders>
              <w:top w:val="nil"/>
              <w:bottom w:val="single" w:sz="4" w:space="0" w:color="BFBFBF" w:themeColor="background1" w:themeShade="BF"/>
              <w:right w:val="nil"/>
            </w:tcBorders>
            <w:tcMar>
              <w:top w:w="28" w:type="dxa"/>
            </w:tcMar>
          </w:tcPr>
          <w:p w14:paraId="36944D2E"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581</w:t>
            </w:r>
          </w:p>
        </w:tc>
      </w:tr>
      <w:tr w:rsidR="0004342B" w:rsidRPr="00A96D90" w14:paraId="625AECAF"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2A8EE51A"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Revenues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46F7E44C"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71,947</w:t>
            </w:r>
          </w:p>
        </w:tc>
        <w:tc>
          <w:tcPr>
            <w:tcW w:w="1551" w:type="dxa"/>
            <w:tcBorders>
              <w:top w:val="single" w:sz="4" w:space="0" w:color="BFBFBF" w:themeColor="background1" w:themeShade="BF"/>
              <w:bottom w:val="single" w:sz="4" w:space="0" w:color="BFBFBF" w:themeColor="background1" w:themeShade="BF"/>
            </w:tcBorders>
            <w:tcMar>
              <w:top w:w="28" w:type="dxa"/>
            </w:tcMar>
          </w:tcPr>
          <w:p w14:paraId="2EFE06E3" w14:textId="77777777" w:rsidR="0004342B" w:rsidRPr="003814CF"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33,243</w:t>
            </w:r>
          </w:p>
        </w:tc>
      </w:tr>
      <w:tr w:rsidR="0004342B" w:rsidRPr="00A96D90" w14:paraId="2239B6AA" w14:textId="77777777" w:rsidTr="00691179">
        <w:trPr>
          <w:trHeight w:val="144"/>
          <w:jc w:val="center"/>
        </w:trPr>
        <w:tc>
          <w:tcPr>
            <w:tcW w:w="5130" w:type="dxa"/>
            <w:tcBorders>
              <w:bottom w:val="nil"/>
            </w:tcBorders>
            <w:tcMar>
              <w:top w:w="28" w:type="dxa"/>
            </w:tcMar>
          </w:tcPr>
          <w:p w14:paraId="5536D495"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33863E42"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400F338E"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2BAA82CC"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1B2156B3"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 of sales</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6907DAAE" w14:textId="77777777" w:rsidR="0004342B" w:rsidRPr="00C33738" w:rsidRDefault="0004342B" w:rsidP="00691179">
            <w:pPr>
              <w:jc w:val="right"/>
              <w:rPr>
                <w:rFonts w:asciiTheme="minorHAnsi" w:hAnsiTheme="minorHAnsi" w:cstheme="minorHAnsi"/>
                <w:b/>
                <w:color w:val="59595B"/>
                <w:sz w:val="20"/>
                <w:szCs w:val="20"/>
              </w:rPr>
            </w:pPr>
            <w:r w:rsidRPr="00C33738">
              <w:rPr>
                <w:rFonts w:asciiTheme="minorHAnsi" w:hAnsiTheme="minorHAnsi" w:cstheme="minorHAnsi"/>
                <w:b/>
                <w:color w:val="59595B"/>
                <w:sz w:val="20"/>
                <w:szCs w:val="20"/>
              </w:rPr>
              <w:t>(</w:t>
            </w:r>
            <w:r>
              <w:rPr>
                <w:rFonts w:asciiTheme="minorHAnsi" w:hAnsiTheme="minorHAnsi" w:cstheme="minorHAnsi"/>
                <w:b/>
                <w:color w:val="59595B"/>
                <w:sz w:val="20"/>
                <w:szCs w:val="20"/>
              </w:rPr>
              <w:t>11,464</w:t>
            </w:r>
            <w:r w:rsidRPr="00C33738">
              <w:rPr>
                <w:rFonts w:asciiTheme="minorHAnsi" w:hAnsiTheme="minorHAnsi" w:cstheme="minorHAnsi"/>
                <w:b/>
                <w:color w:val="59595B"/>
                <w:sz w:val="20"/>
                <w:szCs w:val="20"/>
              </w:rPr>
              <w:t>)</w:t>
            </w:r>
          </w:p>
        </w:tc>
        <w:tc>
          <w:tcPr>
            <w:tcW w:w="1551" w:type="dxa"/>
            <w:tcBorders>
              <w:top w:val="single" w:sz="4" w:space="0" w:color="BFBFBF" w:themeColor="background1" w:themeShade="BF"/>
              <w:bottom w:val="single" w:sz="4" w:space="0" w:color="BFBFBF" w:themeColor="background1" w:themeShade="BF"/>
            </w:tcBorders>
            <w:tcMar>
              <w:top w:w="28" w:type="dxa"/>
            </w:tcMar>
          </w:tcPr>
          <w:p w14:paraId="6D5D3441" w14:textId="77777777" w:rsidR="0004342B" w:rsidRPr="003814CF" w:rsidRDefault="0004342B" w:rsidP="00691179">
            <w:pPr>
              <w:jc w:val="right"/>
              <w:rPr>
                <w:rFonts w:asciiTheme="minorHAnsi" w:hAnsiTheme="minorHAnsi" w:cstheme="minorHAnsi"/>
                <w:b/>
                <w:color w:val="59595B"/>
                <w:sz w:val="20"/>
                <w:szCs w:val="20"/>
              </w:rPr>
            </w:pPr>
            <w:r w:rsidRPr="003814CF">
              <w:rPr>
                <w:rFonts w:asciiTheme="minorHAnsi" w:hAnsiTheme="minorHAnsi" w:cstheme="minorHAnsi"/>
                <w:b/>
                <w:color w:val="59595B"/>
                <w:sz w:val="20"/>
                <w:szCs w:val="20"/>
              </w:rPr>
              <w:t>(3,967)</w:t>
            </w:r>
          </w:p>
        </w:tc>
      </w:tr>
      <w:tr w:rsidR="0004342B" w:rsidRPr="00A96D90" w14:paraId="738D86C3" w14:textId="77777777" w:rsidTr="00691179">
        <w:trPr>
          <w:trHeight w:val="144"/>
          <w:jc w:val="center"/>
        </w:trPr>
        <w:tc>
          <w:tcPr>
            <w:tcW w:w="5130" w:type="dxa"/>
            <w:tcBorders>
              <w:bottom w:val="single" w:sz="4" w:space="0" w:color="BFBFBF" w:themeColor="background1" w:themeShade="BF"/>
            </w:tcBorders>
            <w:tcMar>
              <w:top w:w="28" w:type="dxa"/>
            </w:tcMar>
          </w:tcPr>
          <w:p w14:paraId="47689637" w14:textId="77777777" w:rsidR="0004342B" w:rsidRPr="00A96D90" w:rsidRDefault="0004342B" w:rsidP="00691179">
            <w:pPr>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257881C"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430D62A1"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40A65761" w14:textId="77777777" w:rsidTr="00691179">
        <w:trPr>
          <w:trHeight w:val="144"/>
          <w:jc w:val="center"/>
        </w:trPr>
        <w:tc>
          <w:tcPr>
            <w:tcW w:w="5130" w:type="dxa"/>
            <w:tcBorders>
              <w:top w:val="single" w:sz="4" w:space="0" w:color="BFBFBF" w:themeColor="background1" w:themeShade="BF"/>
            </w:tcBorders>
            <w:tcMar>
              <w:top w:w="28" w:type="dxa"/>
            </w:tcMar>
          </w:tcPr>
          <w:p w14:paraId="1777E399"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Gross profit</w:t>
            </w:r>
          </w:p>
        </w:tc>
        <w:tc>
          <w:tcPr>
            <w:tcW w:w="1596" w:type="dxa"/>
            <w:tcBorders>
              <w:top w:val="single" w:sz="4" w:space="0" w:color="BFBFBF" w:themeColor="background1" w:themeShade="BF"/>
            </w:tcBorders>
            <w:shd w:val="clear" w:color="auto" w:fill="F2F2F2" w:themeFill="background1" w:themeFillShade="F2"/>
            <w:tcMar>
              <w:top w:w="28" w:type="dxa"/>
            </w:tcMar>
          </w:tcPr>
          <w:p w14:paraId="6D6328B0"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60,483</w:t>
            </w:r>
          </w:p>
        </w:tc>
        <w:tc>
          <w:tcPr>
            <w:tcW w:w="1551" w:type="dxa"/>
            <w:tcBorders>
              <w:top w:val="single" w:sz="4" w:space="0" w:color="BFBFBF" w:themeColor="background1" w:themeShade="BF"/>
            </w:tcBorders>
            <w:tcMar>
              <w:top w:w="28" w:type="dxa"/>
            </w:tcMar>
          </w:tcPr>
          <w:p w14:paraId="101CEC6A" w14:textId="77777777" w:rsidR="0004342B" w:rsidRPr="003814CF"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29,276</w:t>
            </w:r>
          </w:p>
        </w:tc>
      </w:tr>
      <w:tr w:rsidR="0004342B" w:rsidRPr="00A96D90" w14:paraId="0DD63401" w14:textId="77777777" w:rsidTr="00691179">
        <w:trPr>
          <w:trHeight w:val="144"/>
          <w:jc w:val="center"/>
        </w:trPr>
        <w:tc>
          <w:tcPr>
            <w:tcW w:w="5130" w:type="dxa"/>
            <w:tcMar>
              <w:top w:w="28" w:type="dxa"/>
            </w:tcMar>
          </w:tcPr>
          <w:p w14:paraId="4872F8E8" w14:textId="77777777" w:rsidR="0004342B" w:rsidRPr="00A96D90" w:rsidRDefault="0004342B" w:rsidP="00691179">
            <w:pPr>
              <w:rPr>
                <w:rFonts w:asciiTheme="minorHAnsi" w:hAnsiTheme="minorHAnsi" w:cstheme="minorHAnsi"/>
                <w:b/>
                <w:color w:val="59595B"/>
                <w:sz w:val="20"/>
                <w:szCs w:val="20"/>
                <w:lang w:val="en-GB"/>
              </w:rPr>
            </w:pPr>
          </w:p>
        </w:tc>
        <w:tc>
          <w:tcPr>
            <w:tcW w:w="1596" w:type="dxa"/>
            <w:shd w:val="clear" w:color="auto" w:fill="F2F2F2" w:themeFill="background1" w:themeFillShade="F2"/>
            <w:tcMar>
              <w:top w:w="28" w:type="dxa"/>
            </w:tcMar>
          </w:tcPr>
          <w:p w14:paraId="7DC3BFDC"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59A4441F"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4A907539" w14:textId="77777777" w:rsidTr="00691179">
        <w:trPr>
          <w:trHeight w:val="144"/>
          <w:jc w:val="center"/>
        </w:trPr>
        <w:tc>
          <w:tcPr>
            <w:tcW w:w="5130" w:type="dxa"/>
            <w:tcBorders>
              <w:bottom w:val="single" w:sz="4" w:space="0" w:color="BFBFBF" w:themeColor="background1" w:themeShade="BF"/>
            </w:tcBorders>
            <w:tcMar>
              <w:top w:w="28" w:type="dxa"/>
            </w:tcMar>
          </w:tcPr>
          <w:p w14:paraId="6D95BC90"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1596" w:type="dxa"/>
            <w:tcBorders>
              <w:bottom w:val="single" w:sz="4" w:space="0" w:color="BFBFBF" w:themeColor="background1" w:themeShade="BF"/>
            </w:tcBorders>
            <w:shd w:val="clear" w:color="auto" w:fill="F2F2F2" w:themeFill="background1" w:themeFillShade="F2"/>
            <w:tcMar>
              <w:top w:w="28" w:type="dxa"/>
            </w:tcMar>
          </w:tcPr>
          <w:p w14:paraId="246FD4FA" w14:textId="77777777" w:rsidR="0004342B" w:rsidRPr="00456F27"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362</w:t>
            </w:r>
          </w:p>
        </w:tc>
        <w:tc>
          <w:tcPr>
            <w:tcW w:w="1551" w:type="dxa"/>
            <w:tcBorders>
              <w:bottom w:val="single" w:sz="4" w:space="0" w:color="BFBFBF" w:themeColor="background1" w:themeShade="BF"/>
            </w:tcBorders>
            <w:tcMar>
              <w:top w:w="28" w:type="dxa"/>
            </w:tcMar>
          </w:tcPr>
          <w:p w14:paraId="714A4D9D" w14:textId="77777777" w:rsidR="0004342B" w:rsidRPr="003814CF"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182</w:t>
            </w:r>
          </w:p>
        </w:tc>
      </w:tr>
      <w:tr w:rsidR="0004342B" w:rsidRPr="00A96D90" w14:paraId="33A9E042" w14:textId="77777777" w:rsidTr="00691179">
        <w:trPr>
          <w:trHeight w:val="144"/>
          <w:jc w:val="center"/>
        </w:trPr>
        <w:tc>
          <w:tcPr>
            <w:tcW w:w="5130" w:type="dxa"/>
            <w:tcBorders>
              <w:bottom w:val="nil"/>
            </w:tcBorders>
            <w:tcMar>
              <w:top w:w="28" w:type="dxa"/>
            </w:tcMar>
          </w:tcPr>
          <w:p w14:paraId="22EDE8D8"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1C0A77D8"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58A456FC"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D51E5E" w14:paraId="39FBEE95" w14:textId="77777777" w:rsidTr="00691179">
        <w:trPr>
          <w:trHeight w:val="144"/>
          <w:jc w:val="center"/>
        </w:trPr>
        <w:tc>
          <w:tcPr>
            <w:tcW w:w="5130" w:type="dxa"/>
            <w:tcBorders>
              <w:top w:val="nil"/>
              <w:bottom w:val="nil"/>
            </w:tcBorders>
            <w:tcMar>
              <w:top w:w="28" w:type="dxa"/>
            </w:tcMar>
          </w:tcPr>
          <w:p w14:paraId="170D0E3C"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1596" w:type="dxa"/>
            <w:tcBorders>
              <w:top w:val="nil"/>
              <w:bottom w:val="nil"/>
            </w:tcBorders>
            <w:shd w:val="clear" w:color="auto" w:fill="F2F2F2" w:themeFill="background1" w:themeFillShade="F2"/>
            <w:tcMar>
              <w:top w:w="28" w:type="dxa"/>
            </w:tcMar>
          </w:tcPr>
          <w:p w14:paraId="6AE7C77F" w14:textId="77777777" w:rsidR="0004342B" w:rsidRPr="0043573E" w:rsidRDefault="0004342B" w:rsidP="00691179">
            <w:pPr>
              <w:jc w:val="right"/>
              <w:rPr>
                <w:rFonts w:asciiTheme="minorHAnsi" w:hAnsiTheme="minorHAnsi" w:cstheme="minorHAnsi"/>
                <w:color w:val="59595B"/>
                <w:sz w:val="20"/>
                <w:szCs w:val="20"/>
              </w:rPr>
            </w:pPr>
            <w:r w:rsidRPr="0043573E">
              <w:rPr>
                <w:rFonts w:asciiTheme="minorHAnsi" w:hAnsiTheme="minorHAnsi" w:cstheme="minorHAnsi"/>
                <w:color w:val="59595B"/>
                <w:sz w:val="20"/>
                <w:szCs w:val="20"/>
              </w:rPr>
              <w:t>(1</w:t>
            </w:r>
            <w:r>
              <w:rPr>
                <w:rFonts w:asciiTheme="minorHAnsi" w:hAnsiTheme="minorHAnsi" w:cstheme="minorHAnsi"/>
                <w:color w:val="59595B"/>
                <w:sz w:val="20"/>
                <w:szCs w:val="20"/>
              </w:rPr>
              <w:t>4,537</w:t>
            </w:r>
            <w:r w:rsidRPr="0043573E">
              <w:rPr>
                <w:rFonts w:asciiTheme="minorHAnsi" w:hAnsiTheme="minorHAnsi" w:cstheme="minorHAnsi"/>
                <w:color w:val="59595B"/>
                <w:sz w:val="20"/>
                <w:szCs w:val="20"/>
              </w:rPr>
              <w:t>)</w:t>
            </w:r>
          </w:p>
        </w:tc>
        <w:tc>
          <w:tcPr>
            <w:tcW w:w="1551" w:type="dxa"/>
            <w:tcBorders>
              <w:top w:val="nil"/>
              <w:bottom w:val="nil"/>
            </w:tcBorders>
            <w:tcMar>
              <w:top w:w="28" w:type="dxa"/>
            </w:tcMar>
          </w:tcPr>
          <w:p w14:paraId="58DD39B6" w14:textId="77777777" w:rsidR="0004342B" w:rsidRPr="003814CF" w:rsidRDefault="0004342B" w:rsidP="00691179">
            <w:pPr>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(9,930)</w:t>
            </w:r>
          </w:p>
        </w:tc>
      </w:tr>
      <w:tr w:rsidR="0004342B" w:rsidRPr="00A96D90" w14:paraId="50C14434" w14:textId="77777777" w:rsidTr="00691179">
        <w:trPr>
          <w:trHeight w:val="144"/>
          <w:jc w:val="center"/>
        </w:trPr>
        <w:tc>
          <w:tcPr>
            <w:tcW w:w="5130" w:type="dxa"/>
            <w:tcBorders>
              <w:top w:val="nil"/>
              <w:bottom w:val="single" w:sz="4" w:space="0" w:color="BFBFBF" w:themeColor="background1" w:themeShade="BF"/>
            </w:tcBorders>
            <w:tcMar>
              <w:top w:w="28" w:type="dxa"/>
            </w:tcMar>
          </w:tcPr>
          <w:p w14:paraId="10FCA073"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46A418D8"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059F1BC" w14:textId="77777777" w:rsidR="0004342B"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(6,343)</w:t>
            </w:r>
          </w:p>
          <w:p w14:paraId="359B75EA" w14:textId="77777777" w:rsidR="0004342B" w:rsidRPr="00AA593E"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(20,253)</w:t>
            </w:r>
          </w:p>
        </w:tc>
        <w:tc>
          <w:tcPr>
            <w:tcW w:w="1551" w:type="dxa"/>
            <w:tcBorders>
              <w:top w:val="nil"/>
              <w:bottom w:val="single" w:sz="4" w:space="0" w:color="BFBFBF" w:themeColor="background1" w:themeShade="BF"/>
            </w:tcBorders>
            <w:tcMar>
              <w:top w:w="28" w:type="dxa"/>
            </w:tcMar>
          </w:tcPr>
          <w:p w14:paraId="280769D3" w14:textId="77777777" w:rsidR="0004342B"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(2,851)</w:t>
            </w:r>
          </w:p>
          <w:p w14:paraId="3F7398FF"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(12,085)</w:t>
            </w:r>
          </w:p>
        </w:tc>
      </w:tr>
      <w:tr w:rsidR="0004342B" w:rsidRPr="00A96D90" w14:paraId="14B99C45" w14:textId="77777777" w:rsidTr="00691179">
        <w:trPr>
          <w:trHeight w:val="144"/>
          <w:jc w:val="center"/>
        </w:trPr>
        <w:tc>
          <w:tcPr>
            <w:tcW w:w="5130" w:type="dxa"/>
            <w:tcBorders>
              <w:top w:val="single" w:sz="4" w:space="0" w:color="BFBFBF" w:themeColor="background1" w:themeShade="BF"/>
            </w:tcBorders>
            <w:tcMar>
              <w:top w:w="28" w:type="dxa"/>
            </w:tcMar>
          </w:tcPr>
          <w:p w14:paraId="2162695E"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Costs</w:t>
            </w:r>
          </w:p>
        </w:tc>
        <w:tc>
          <w:tcPr>
            <w:tcW w:w="1596" w:type="dxa"/>
            <w:tcBorders>
              <w:top w:val="single" w:sz="4" w:space="0" w:color="BFBFBF" w:themeColor="background1" w:themeShade="BF"/>
            </w:tcBorders>
            <w:shd w:val="clear" w:color="auto" w:fill="F2F2F2" w:themeFill="background1" w:themeFillShade="F2"/>
            <w:tcMar>
              <w:top w:w="28" w:type="dxa"/>
            </w:tcMar>
          </w:tcPr>
          <w:p w14:paraId="5770F2E5" w14:textId="77777777" w:rsidR="0004342B" w:rsidRPr="00456F27" w:rsidRDefault="0004342B" w:rsidP="00691179">
            <w:pPr>
              <w:jc w:val="right"/>
              <w:rPr>
                <w:rFonts w:asciiTheme="minorHAnsi" w:hAnsiTheme="minorHAnsi" w:cstheme="minorHAnsi"/>
                <w:b/>
                <w:color w:val="59595B"/>
                <w:sz w:val="20"/>
                <w:szCs w:val="20"/>
              </w:rPr>
            </w:pPr>
            <w:r w:rsidRPr="00456F27">
              <w:rPr>
                <w:rFonts w:asciiTheme="minorHAnsi" w:hAnsiTheme="minorHAnsi" w:cstheme="minorHAnsi"/>
                <w:b/>
                <w:color w:val="59595B"/>
                <w:sz w:val="20"/>
                <w:szCs w:val="20"/>
              </w:rPr>
              <w:t>(</w:t>
            </w:r>
            <w:r>
              <w:rPr>
                <w:rFonts w:asciiTheme="minorHAnsi" w:hAnsiTheme="minorHAnsi" w:cstheme="minorHAnsi"/>
                <w:b/>
                <w:color w:val="59595B"/>
                <w:sz w:val="20"/>
                <w:szCs w:val="20"/>
              </w:rPr>
              <w:t>41,133</w:t>
            </w:r>
            <w:r w:rsidRPr="00456F27">
              <w:rPr>
                <w:rFonts w:asciiTheme="minorHAnsi" w:hAnsiTheme="minorHAnsi" w:cstheme="minorHAnsi"/>
                <w:b/>
                <w:color w:val="59595B"/>
                <w:sz w:val="20"/>
                <w:szCs w:val="20"/>
              </w:rPr>
              <w:t>)</w:t>
            </w:r>
          </w:p>
        </w:tc>
        <w:tc>
          <w:tcPr>
            <w:tcW w:w="1551" w:type="dxa"/>
            <w:tcBorders>
              <w:top w:val="single" w:sz="4" w:space="0" w:color="BFBFBF" w:themeColor="background1" w:themeShade="BF"/>
            </w:tcBorders>
            <w:tcMar>
              <w:top w:w="28" w:type="dxa"/>
            </w:tcMar>
          </w:tcPr>
          <w:p w14:paraId="23231A6D" w14:textId="77777777" w:rsidR="0004342B" w:rsidRPr="00B30277" w:rsidRDefault="0004342B" w:rsidP="00691179">
            <w:pPr>
              <w:jc w:val="right"/>
              <w:rPr>
                <w:rFonts w:asciiTheme="minorHAnsi" w:hAnsiTheme="minorHAnsi" w:cstheme="minorHAnsi"/>
                <w:b/>
                <w:color w:val="59595B"/>
                <w:sz w:val="20"/>
                <w:szCs w:val="20"/>
              </w:rPr>
            </w:pPr>
            <w:r w:rsidRPr="00B30277">
              <w:rPr>
                <w:rFonts w:asciiTheme="minorHAnsi" w:hAnsiTheme="minorHAnsi" w:cstheme="minorHAnsi"/>
                <w:b/>
                <w:color w:val="59595B"/>
                <w:sz w:val="20"/>
                <w:szCs w:val="20"/>
              </w:rPr>
              <w:t>(24,866)</w:t>
            </w:r>
          </w:p>
        </w:tc>
      </w:tr>
      <w:tr w:rsidR="0004342B" w:rsidRPr="00A96D90" w14:paraId="587B1EAC" w14:textId="77777777" w:rsidTr="00691179">
        <w:trPr>
          <w:trHeight w:val="144"/>
          <w:jc w:val="center"/>
        </w:trPr>
        <w:tc>
          <w:tcPr>
            <w:tcW w:w="5130" w:type="dxa"/>
            <w:tcMar>
              <w:top w:w="28" w:type="dxa"/>
            </w:tcMar>
          </w:tcPr>
          <w:p w14:paraId="2FACC049" w14:textId="77777777" w:rsidR="0004342B" w:rsidRPr="00A96D90" w:rsidRDefault="0004342B" w:rsidP="00691179">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1159735C"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2FAB44CC"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35E5DBE3" w14:textId="77777777" w:rsidTr="00691179">
        <w:trPr>
          <w:trHeight w:val="144"/>
          <w:jc w:val="center"/>
        </w:trPr>
        <w:tc>
          <w:tcPr>
            <w:tcW w:w="5130" w:type="dxa"/>
            <w:tcBorders>
              <w:bottom w:val="single" w:sz="4" w:space="0" w:color="BFBFBF" w:themeColor="background1" w:themeShade="BF"/>
            </w:tcBorders>
            <w:tcMar>
              <w:top w:w="28" w:type="dxa"/>
            </w:tcMar>
          </w:tcPr>
          <w:p w14:paraId="0654A127"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Operating result</w:t>
            </w:r>
          </w:p>
        </w:tc>
        <w:tc>
          <w:tcPr>
            <w:tcW w:w="1596" w:type="dxa"/>
            <w:tcBorders>
              <w:bottom w:val="single" w:sz="4" w:space="0" w:color="BFBFBF" w:themeColor="background1" w:themeShade="BF"/>
            </w:tcBorders>
            <w:shd w:val="clear" w:color="auto" w:fill="F2F2F2" w:themeFill="background1" w:themeFillShade="F2"/>
            <w:tcMar>
              <w:top w:w="28" w:type="dxa"/>
            </w:tcMar>
          </w:tcPr>
          <w:p w14:paraId="77B70186"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19,712</w:t>
            </w:r>
          </w:p>
        </w:tc>
        <w:tc>
          <w:tcPr>
            <w:tcW w:w="1551" w:type="dxa"/>
            <w:tcBorders>
              <w:bottom w:val="single" w:sz="4" w:space="0" w:color="BFBFBF" w:themeColor="background1" w:themeShade="BF"/>
            </w:tcBorders>
            <w:tcMar>
              <w:top w:w="28" w:type="dxa"/>
            </w:tcMar>
          </w:tcPr>
          <w:p w14:paraId="42C25FE6" w14:textId="77777777" w:rsidR="0004342B" w:rsidRPr="003814CF"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4,592</w:t>
            </w:r>
          </w:p>
        </w:tc>
      </w:tr>
      <w:tr w:rsidR="0004342B" w:rsidRPr="00A96D90" w14:paraId="675F790D" w14:textId="77777777" w:rsidTr="00691179">
        <w:trPr>
          <w:trHeight w:val="144"/>
          <w:jc w:val="center"/>
        </w:trPr>
        <w:tc>
          <w:tcPr>
            <w:tcW w:w="5130" w:type="dxa"/>
            <w:tcBorders>
              <w:bottom w:val="nil"/>
            </w:tcBorders>
            <w:tcMar>
              <w:top w:w="28" w:type="dxa"/>
            </w:tcMar>
          </w:tcPr>
          <w:p w14:paraId="4E316B6E"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bottom w:val="nil"/>
            </w:tcBorders>
            <w:shd w:val="clear" w:color="auto" w:fill="F2F2F2" w:themeFill="background1" w:themeFillShade="F2"/>
            <w:tcMar>
              <w:top w:w="28" w:type="dxa"/>
            </w:tcMar>
          </w:tcPr>
          <w:p w14:paraId="58F33E3D"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06A79DDA"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D51E5E" w14:paraId="553153BA" w14:textId="77777777" w:rsidTr="00691179">
        <w:trPr>
          <w:trHeight w:val="144"/>
          <w:jc w:val="center"/>
        </w:trPr>
        <w:tc>
          <w:tcPr>
            <w:tcW w:w="5130" w:type="dxa"/>
            <w:tcBorders>
              <w:top w:val="nil"/>
              <w:bottom w:val="nil"/>
            </w:tcBorders>
            <w:tcMar>
              <w:top w:w="28" w:type="dxa"/>
            </w:tcMar>
          </w:tcPr>
          <w:p w14:paraId="54B3E527"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Fair value gain</w:t>
            </w:r>
            <w:r>
              <w:rPr>
                <w:rFonts w:asciiTheme="minorHAnsi" w:hAnsiTheme="minorHAnsi" w:cs="Arial"/>
                <w:bCs/>
                <w:color w:val="59595B"/>
                <w:sz w:val="20"/>
                <w:szCs w:val="20"/>
              </w:rPr>
              <w:t xml:space="preserve"> </w:t>
            </w:r>
            <w:r w:rsidRPr="00A96D90">
              <w:rPr>
                <w:rFonts w:asciiTheme="minorHAnsi" w:hAnsiTheme="minorHAnsi" w:cs="Arial"/>
                <w:bCs/>
                <w:color w:val="59595B"/>
                <w:sz w:val="20"/>
                <w:szCs w:val="20"/>
                <w:lang w:val="en-GB"/>
              </w:rPr>
              <w:t>(loss) on revaluation derivatives</w:t>
            </w:r>
          </w:p>
        </w:tc>
        <w:tc>
          <w:tcPr>
            <w:tcW w:w="1596" w:type="dxa"/>
            <w:tcBorders>
              <w:top w:val="nil"/>
              <w:bottom w:val="nil"/>
            </w:tcBorders>
            <w:shd w:val="clear" w:color="auto" w:fill="F2F2F2" w:themeFill="background1" w:themeFillShade="F2"/>
            <w:tcMar>
              <w:top w:w="28" w:type="dxa"/>
            </w:tcMar>
          </w:tcPr>
          <w:p w14:paraId="146AE58F" w14:textId="77777777" w:rsidR="0004342B" w:rsidRPr="00456F27" w:rsidRDefault="0004342B" w:rsidP="00691179">
            <w:pPr>
              <w:jc w:val="right"/>
              <w:rPr>
                <w:rFonts w:asciiTheme="minorHAnsi" w:hAnsiTheme="minorHAnsi" w:cstheme="minorHAnsi"/>
                <w:color w:val="59595B"/>
                <w:sz w:val="20"/>
                <w:szCs w:val="20"/>
              </w:rPr>
            </w:pPr>
            <w:r w:rsidRPr="00456F27">
              <w:rPr>
                <w:rFonts w:asciiTheme="minorHAnsi" w:hAnsiTheme="minorHAnsi" w:cstheme="minorHAnsi"/>
                <w:color w:val="59595B"/>
                <w:sz w:val="20"/>
                <w:szCs w:val="20"/>
              </w:rPr>
              <w:t>(1,</w:t>
            </w:r>
            <w:r>
              <w:rPr>
                <w:rFonts w:asciiTheme="minorHAnsi" w:hAnsiTheme="minorHAnsi" w:cstheme="minorHAnsi"/>
                <w:color w:val="59595B"/>
                <w:sz w:val="20"/>
                <w:szCs w:val="20"/>
              </w:rPr>
              <w:t>474</w:t>
            </w:r>
            <w:r w:rsidRPr="00456F27">
              <w:rPr>
                <w:rFonts w:asciiTheme="minorHAnsi" w:hAnsiTheme="minorHAnsi" w:cstheme="minorHAnsi"/>
                <w:color w:val="59595B"/>
                <w:sz w:val="20"/>
                <w:szCs w:val="20"/>
              </w:rPr>
              <w:t>)</w:t>
            </w:r>
          </w:p>
        </w:tc>
        <w:tc>
          <w:tcPr>
            <w:tcW w:w="1551" w:type="dxa"/>
            <w:tcBorders>
              <w:top w:val="nil"/>
              <w:bottom w:val="nil"/>
            </w:tcBorders>
            <w:tcMar>
              <w:top w:w="28" w:type="dxa"/>
            </w:tcMar>
          </w:tcPr>
          <w:p w14:paraId="63F55100" w14:textId="77777777" w:rsidR="0004342B" w:rsidRPr="003814CF" w:rsidRDefault="0004342B" w:rsidP="00691179">
            <w:pPr>
              <w:jc w:val="right"/>
              <w:rPr>
                <w:rFonts w:asciiTheme="minorHAnsi" w:hAnsiTheme="minorHAnsi" w:cstheme="minorHAnsi"/>
                <w:color w:val="59595B"/>
                <w:sz w:val="20"/>
                <w:szCs w:val="20"/>
              </w:rPr>
            </w:pPr>
            <w:r w:rsidRPr="003814CF">
              <w:rPr>
                <w:rFonts w:asciiTheme="minorHAnsi" w:hAnsiTheme="minorHAnsi" w:cstheme="minorHAnsi"/>
                <w:color w:val="59595B"/>
                <w:sz w:val="20"/>
                <w:szCs w:val="20"/>
              </w:rPr>
              <w:t>(1,329)</w:t>
            </w:r>
          </w:p>
        </w:tc>
      </w:tr>
      <w:tr w:rsidR="0004342B" w:rsidRPr="00A96D90" w14:paraId="638058B1" w14:textId="77777777" w:rsidTr="00691179">
        <w:trPr>
          <w:trHeight w:val="144"/>
          <w:jc w:val="center"/>
        </w:trPr>
        <w:tc>
          <w:tcPr>
            <w:tcW w:w="5130" w:type="dxa"/>
            <w:tcBorders>
              <w:top w:val="nil"/>
              <w:bottom w:val="single" w:sz="4" w:space="0" w:color="BFBFBF" w:themeColor="background1" w:themeShade="BF"/>
            </w:tcBorders>
            <w:tcMar>
              <w:top w:w="28" w:type="dxa"/>
            </w:tcMar>
          </w:tcPr>
          <w:p w14:paraId="6065E188" w14:textId="77777777" w:rsidR="0004342B" w:rsidRPr="00A96D90" w:rsidRDefault="0004342B" w:rsidP="00691179">
            <w:pPr>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3F8A0BE0"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(9,711)</w:t>
            </w:r>
          </w:p>
        </w:tc>
        <w:tc>
          <w:tcPr>
            <w:tcW w:w="1551" w:type="dxa"/>
            <w:tcBorders>
              <w:top w:val="nil"/>
              <w:bottom w:val="single" w:sz="4" w:space="0" w:color="BFBFBF" w:themeColor="background1" w:themeShade="BF"/>
            </w:tcBorders>
            <w:tcMar>
              <w:top w:w="28" w:type="dxa"/>
            </w:tcMar>
          </w:tcPr>
          <w:p w14:paraId="2DF678AD"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(37,706)</w:t>
            </w:r>
          </w:p>
        </w:tc>
      </w:tr>
      <w:tr w:rsidR="0004342B" w:rsidRPr="00A96D90" w14:paraId="1DF71EDE" w14:textId="77777777" w:rsidTr="00691179">
        <w:trPr>
          <w:trHeight w:val="144"/>
          <w:jc w:val="center"/>
        </w:trPr>
        <w:tc>
          <w:tcPr>
            <w:tcW w:w="5130" w:type="dxa"/>
            <w:tcBorders>
              <w:top w:val="single" w:sz="4" w:space="0" w:color="BFBFBF" w:themeColor="background1" w:themeShade="BF"/>
            </w:tcBorders>
            <w:tcMar>
              <w:top w:w="28" w:type="dxa"/>
            </w:tcMar>
          </w:tcPr>
          <w:p w14:paraId="4DD761F4" w14:textId="77777777" w:rsidR="0004342B" w:rsidRPr="00A96D90" w:rsidRDefault="0004342B" w:rsidP="00691179">
            <w:pPr>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1596" w:type="dxa"/>
            <w:tcBorders>
              <w:top w:val="single" w:sz="4" w:space="0" w:color="BFBFBF" w:themeColor="background1" w:themeShade="BF"/>
            </w:tcBorders>
            <w:shd w:val="clear" w:color="auto" w:fill="F2F2F2" w:themeFill="background1" w:themeFillShade="F2"/>
            <w:tcMar>
              <w:top w:w="28" w:type="dxa"/>
            </w:tcMar>
          </w:tcPr>
          <w:p w14:paraId="5AD5BDCF" w14:textId="77777777" w:rsidR="0004342B" w:rsidRPr="00456F27" w:rsidRDefault="0004342B" w:rsidP="00691179">
            <w:pPr>
              <w:jc w:val="right"/>
              <w:rPr>
                <w:rFonts w:asciiTheme="minorHAnsi" w:hAnsiTheme="minorHAnsi" w:cstheme="minorHAnsi"/>
                <w:b/>
                <w:color w:val="59595B"/>
                <w:sz w:val="20"/>
                <w:szCs w:val="20"/>
              </w:rPr>
            </w:pPr>
            <w:r w:rsidRPr="00456F27">
              <w:rPr>
                <w:rFonts w:asciiTheme="minorHAnsi" w:hAnsiTheme="minorHAnsi" w:cstheme="minorHAnsi"/>
                <w:b/>
                <w:color w:val="59595B"/>
                <w:sz w:val="20"/>
                <w:szCs w:val="20"/>
              </w:rPr>
              <w:t>(</w:t>
            </w:r>
            <w:r>
              <w:rPr>
                <w:rFonts w:asciiTheme="minorHAnsi" w:hAnsiTheme="minorHAnsi" w:cstheme="minorHAnsi"/>
                <w:b/>
                <w:color w:val="59595B"/>
                <w:sz w:val="20"/>
                <w:szCs w:val="20"/>
              </w:rPr>
              <w:t>11,185</w:t>
            </w:r>
            <w:r w:rsidRPr="00456F27">
              <w:rPr>
                <w:rFonts w:asciiTheme="minorHAnsi" w:hAnsiTheme="minorHAnsi" w:cstheme="minorHAnsi"/>
                <w:b/>
                <w:color w:val="59595B"/>
                <w:sz w:val="20"/>
                <w:szCs w:val="20"/>
              </w:rPr>
              <w:t>)</w:t>
            </w:r>
          </w:p>
        </w:tc>
        <w:tc>
          <w:tcPr>
            <w:tcW w:w="1551" w:type="dxa"/>
            <w:tcBorders>
              <w:top w:val="single" w:sz="4" w:space="0" w:color="BFBFBF" w:themeColor="background1" w:themeShade="BF"/>
            </w:tcBorders>
            <w:tcMar>
              <w:top w:w="28" w:type="dxa"/>
            </w:tcMar>
          </w:tcPr>
          <w:p w14:paraId="54DF84D1" w14:textId="77777777" w:rsidR="0004342B" w:rsidRPr="00B30277" w:rsidRDefault="0004342B" w:rsidP="00691179">
            <w:pPr>
              <w:jc w:val="right"/>
              <w:rPr>
                <w:rFonts w:asciiTheme="minorHAnsi" w:hAnsiTheme="minorHAnsi" w:cstheme="minorHAnsi"/>
                <w:b/>
                <w:color w:val="59595B"/>
                <w:sz w:val="20"/>
                <w:szCs w:val="20"/>
              </w:rPr>
            </w:pPr>
            <w:r w:rsidRPr="00B30277">
              <w:rPr>
                <w:rFonts w:asciiTheme="minorHAnsi" w:hAnsiTheme="minorHAnsi" w:cstheme="minorHAnsi"/>
                <w:b/>
                <w:color w:val="59595B"/>
                <w:sz w:val="20"/>
                <w:szCs w:val="20"/>
              </w:rPr>
              <w:t>(39,035)</w:t>
            </w:r>
          </w:p>
        </w:tc>
      </w:tr>
      <w:tr w:rsidR="0004342B" w:rsidRPr="00A96D90" w14:paraId="6FD30148" w14:textId="77777777" w:rsidTr="00691179">
        <w:trPr>
          <w:trHeight w:val="144"/>
          <w:jc w:val="center"/>
        </w:trPr>
        <w:tc>
          <w:tcPr>
            <w:tcW w:w="5130" w:type="dxa"/>
            <w:tcMar>
              <w:top w:w="28" w:type="dxa"/>
            </w:tcMar>
          </w:tcPr>
          <w:p w14:paraId="2C67F56E" w14:textId="77777777" w:rsidR="0004342B" w:rsidRPr="00A96D90" w:rsidRDefault="0004342B" w:rsidP="00691179">
            <w:pPr>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2B3F3B14"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Mar>
              <w:top w:w="28" w:type="dxa"/>
            </w:tcMar>
          </w:tcPr>
          <w:p w14:paraId="33CA37FF"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48992CE6" w14:textId="77777777" w:rsidTr="00691179">
        <w:trPr>
          <w:trHeight w:val="144"/>
          <w:jc w:val="center"/>
        </w:trPr>
        <w:tc>
          <w:tcPr>
            <w:tcW w:w="5130" w:type="dxa"/>
            <w:tcBorders>
              <w:bottom w:val="single" w:sz="4" w:space="0" w:color="BFBFBF" w:themeColor="background1" w:themeShade="BF"/>
            </w:tcBorders>
            <w:tcMar>
              <w:top w:w="28" w:type="dxa"/>
            </w:tcMar>
          </w:tcPr>
          <w:p w14:paraId="0CE52A95" w14:textId="77777777" w:rsidR="0004342B" w:rsidRPr="00CF1D25" w:rsidRDefault="0004342B" w:rsidP="00691179">
            <w:pPr>
              <w:rPr>
                <w:rFonts w:asciiTheme="minorHAnsi" w:hAnsiTheme="minorHAnsi" w:cstheme="minorHAnsi"/>
                <w:b/>
                <w:color w:val="0070C0"/>
                <w:sz w:val="20"/>
                <w:szCs w:val="20"/>
                <w:lang w:val="en-GB"/>
              </w:rPr>
            </w:pPr>
            <w:r w:rsidRPr="00CF1D25">
              <w:rPr>
                <w:rFonts w:asciiTheme="minorHAnsi" w:hAnsiTheme="minorHAnsi" w:cstheme="minorHAnsi"/>
                <w:b/>
                <w:color w:val="0070C0"/>
                <w:sz w:val="20"/>
                <w:szCs w:val="20"/>
                <w:lang w:val="en-GB"/>
              </w:rPr>
              <w:t>Result before income tax</w:t>
            </w:r>
          </w:p>
        </w:tc>
        <w:tc>
          <w:tcPr>
            <w:tcW w:w="1596" w:type="dxa"/>
            <w:tcBorders>
              <w:bottom w:val="single" w:sz="4" w:space="0" w:color="BFBFBF" w:themeColor="background1" w:themeShade="BF"/>
            </w:tcBorders>
            <w:shd w:val="clear" w:color="auto" w:fill="F2F2F2" w:themeFill="background1" w:themeFillShade="F2"/>
            <w:tcMar>
              <w:top w:w="28" w:type="dxa"/>
            </w:tcMar>
          </w:tcPr>
          <w:p w14:paraId="4E9F60AF"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8,527</w:t>
            </w:r>
          </w:p>
        </w:tc>
        <w:tc>
          <w:tcPr>
            <w:tcW w:w="1551" w:type="dxa"/>
            <w:tcBorders>
              <w:bottom w:val="single" w:sz="4" w:space="0" w:color="BFBFBF" w:themeColor="background1" w:themeShade="BF"/>
            </w:tcBorders>
            <w:tcMar>
              <w:top w:w="28" w:type="dxa"/>
            </w:tcMar>
          </w:tcPr>
          <w:p w14:paraId="534CE926" w14:textId="77777777" w:rsidR="0004342B" w:rsidRPr="003814CF"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(34,443)</w:t>
            </w:r>
          </w:p>
        </w:tc>
      </w:tr>
      <w:tr w:rsidR="0004342B" w:rsidRPr="00A96D90" w14:paraId="1BAD57F5" w14:textId="77777777" w:rsidTr="00691179">
        <w:trPr>
          <w:trHeight w:val="144"/>
          <w:jc w:val="center"/>
        </w:trPr>
        <w:tc>
          <w:tcPr>
            <w:tcW w:w="5130" w:type="dxa"/>
            <w:tcBorders>
              <w:bottom w:val="nil"/>
            </w:tcBorders>
            <w:tcMar>
              <w:top w:w="28" w:type="dxa"/>
            </w:tcMar>
          </w:tcPr>
          <w:p w14:paraId="375C4215"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Income tax expense</w:t>
            </w:r>
          </w:p>
        </w:tc>
        <w:tc>
          <w:tcPr>
            <w:tcW w:w="1596" w:type="dxa"/>
            <w:tcBorders>
              <w:bottom w:val="nil"/>
            </w:tcBorders>
            <w:shd w:val="clear" w:color="auto" w:fill="F2F2F2" w:themeFill="background1" w:themeFillShade="F2"/>
            <w:tcMar>
              <w:top w:w="28" w:type="dxa"/>
            </w:tcMar>
          </w:tcPr>
          <w:p w14:paraId="695FE0E4"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(1,128)</w:t>
            </w:r>
          </w:p>
        </w:tc>
        <w:tc>
          <w:tcPr>
            <w:tcW w:w="1551" w:type="dxa"/>
            <w:tcBorders>
              <w:bottom w:val="nil"/>
            </w:tcBorders>
            <w:tcMar>
              <w:top w:w="28" w:type="dxa"/>
            </w:tcMar>
          </w:tcPr>
          <w:p w14:paraId="1E436CB0"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w:t>
            </w:r>
          </w:p>
        </w:tc>
      </w:tr>
      <w:tr w:rsidR="0004342B" w:rsidRPr="00A96D90" w14:paraId="79A5B273" w14:textId="77777777" w:rsidTr="00691179">
        <w:trPr>
          <w:trHeight w:val="144"/>
          <w:jc w:val="center"/>
        </w:trPr>
        <w:tc>
          <w:tcPr>
            <w:tcW w:w="5130" w:type="dxa"/>
            <w:tcBorders>
              <w:top w:val="nil"/>
              <w:bottom w:val="single" w:sz="4" w:space="0" w:color="BFBFBF" w:themeColor="background1" w:themeShade="BF"/>
            </w:tcBorders>
            <w:tcMar>
              <w:top w:w="28" w:type="dxa"/>
            </w:tcMar>
          </w:tcPr>
          <w:p w14:paraId="6414186F"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71FA50A2" w14:textId="77777777" w:rsidR="0004342B" w:rsidRPr="00A96D90" w:rsidRDefault="0004342B" w:rsidP="00691179">
            <w:pPr>
              <w:jc w:val="right"/>
              <w:rPr>
                <w:rFonts w:asciiTheme="minorHAnsi" w:hAnsiTheme="minorHAnsi" w:cstheme="minorHAnsi"/>
                <w:b/>
                <w:color w:val="59595B"/>
                <w:sz w:val="20"/>
                <w:szCs w:val="20"/>
                <w:lang w:val="en-GB"/>
              </w:rPr>
            </w:pPr>
          </w:p>
        </w:tc>
        <w:tc>
          <w:tcPr>
            <w:tcW w:w="1551" w:type="dxa"/>
            <w:tcBorders>
              <w:top w:val="nil"/>
              <w:bottom w:val="single" w:sz="4" w:space="0" w:color="BFBFBF" w:themeColor="background1" w:themeShade="BF"/>
            </w:tcBorders>
            <w:tcMar>
              <w:top w:w="28" w:type="dxa"/>
            </w:tcMar>
          </w:tcPr>
          <w:p w14:paraId="2AF44FCA"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4611FD8F" w14:textId="77777777" w:rsidTr="00691179">
        <w:trPr>
          <w:trHeight w:val="144"/>
          <w:jc w:val="center"/>
        </w:trPr>
        <w:tc>
          <w:tcPr>
            <w:tcW w:w="5130" w:type="dxa"/>
            <w:tcBorders>
              <w:top w:val="single" w:sz="4" w:space="0" w:color="BFBFBF" w:themeColor="background1" w:themeShade="BF"/>
            </w:tcBorders>
            <w:tcMar>
              <w:top w:w="28" w:type="dxa"/>
            </w:tcMar>
          </w:tcPr>
          <w:p w14:paraId="64BBDD36" w14:textId="77777777" w:rsidR="0004342B" w:rsidRPr="00CF1D25" w:rsidRDefault="0004342B" w:rsidP="00691179">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Net result for the period</w:t>
            </w:r>
          </w:p>
        </w:tc>
        <w:tc>
          <w:tcPr>
            <w:tcW w:w="1596" w:type="dxa"/>
            <w:tcBorders>
              <w:top w:val="single" w:sz="4" w:space="0" w:color="BFBFBF" w:themeColor="background1" w:themeShade="BF"/>
            </w:tcBorders>
            <w:shd w:val="clear" w:color="auto" w:fill="F2F2F2" w:themeFill="background1" w:themeFillShade="F2"/>
            <w:tcMar>
              <w:top w:w="28" w:type="dxa"/>
            </w:tcMar>
          </w:tcPr>
          <w:p w14:paraId="16224F24" w14:textId="77777777" w:rsidR="0004342B" w:rsidRPr="00456F27"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7,399</w:t>
            </w:r>
          </w:p>
        </w:tc>
        <w:tc>
          <w:tcPr>
            <w:tcW w:w="1551" w:type="dxa"/>
            <w:tcBorders>
              <w:top w:val="single" w:sz="4" w:space="0" w:color="BFBFBF" w:themeColor="background1" w:themeShade="BF"/>
            </w:tcBorders>
            <w:tcMar>
              <w:top w:w="28" w:type="dxa"/>
            </w:tcMar>
          </w:tcPr>
          <w:p w14:paraId="3D42C87B" w14:textId="77777777" w:rsidR="0004342B" w:rsidRPr="003814CF"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(34,443)</w:t>
            </w:r>
          </w:p>
        </w:tc>
      </w:tr>
      <w:tr w:rsidR="0004342B" w:rsidRPr="00A96D90" w14:paraId="71D1F84C" w14:textId="77777777" w:rsidTr="00691179">
        <w:trPr>
          <w:trHeight w:val="144"/>
          <w:jc w:val="center"/>
        </w:trPr>
        <w:tc>
          <w:tcPr>
            <w:tcW w:w="5130" w:type="dxa"/>
            <w:tcBorders>
              <w:bottom w:val="single" w:sz="4" w:space="0" w:color="BFBFBF" w:themeColor="background1" w:themeShade="BF"/>
            </w:tcBorders>
            <w:tcMar>
              <w:top w:w="28" w:type="dxa"/>
            </w:tcMar>
          </w:tcPr>
          <w:p w14:paraId="3B393FD9"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E534D10"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7CC0217F"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7B91039C" w14:textId="77777777" w:rsidTr="00691179">
        <w:trPr>
          <w:trHeight w:val="144"/>
          <w:jc w:val="center"/>
        </w:trPr>
        <w:tc>
          <w:tcPr>
            <w:tcW w:w="5130" w:type="dxa"/>
            <w:tcBorders>
              <w:bottom w:val="nil"/>
            </w:tcBorders>
            <w:tcMar>
              <w:top w:w="28" w:type="dxa"/>
            </w:tcMar>
          </w:tcPr>
          <w:p w14:paraId="1F2F82DB" w14:textId="77777777" w:rsidR="0004342B" w:rsidRPr="00A96D90" w:rsidRDefault="0004342B" w:rsidP="00691179">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596" w:type="dxa"/>
            <w:tcBorders>
              <w:bottom w:val="nil"/>
            </w:tcBorders>
            <w:shd w:val="clear" w:color="auto" w:fill="F2F2F2" w:themeFill="background1" w:themeFillShade="F2"/>
            <w:tcMar>
              <w:top w:w="28" w:type="dxa"/>
            </w:tcMar>
          </w:tcPr>
          <w:p w14:paraId="7CBBE026" w14:textId="77777777" w:rsidR="0004342B" w:rsidRPr="00A96D90" w:rsidRDefault="0004342B" w:rsidP="00691179">
            <w:pPr>
              <w:jc w:val="right"/>
              <w:rPr>
                <w:rFonts w:asciiTheme="minorHAnsi" w:hAnsiTheme="minorHAnsi" w:cstheme="minorHAnsi"/>
                <w:b/>
                <w:color w:val="59595B"/>
                <w:sz w:val="20"/>
                <w:szCs w:val="20"/>
                <w:lang w:val="en-GB"/>
              </w:rPr>
            </w:pPr>
          </w:p>
        </w:tc>
        <w:tc>
          <w:tcPr>
            <w:tcW w:w="1551" w:type="dxa"/>
            <w:tcBorders>
              <w:bottom w:val="nil"/>
            </w:tcBorders>
            <w:tcMar>
              <w:top w:w="28" w:type="dxa"/>
            </w:tcMar>
          </w:tcPr>
          <w:p w14:paraId="4E9314C7" w14:textId="77777777" w:rsidR="0004342B" w:rsidRPr="00A96D90" w:rsidRDefault="0004342B" w:rsidP="00691179">
            <w:pPr>
              <w:jc w:val="right"/>
              <w:rPr>
                <w:rFonts w:asciiTheme="minorHAnsi" w:hAnsiTheme="minorHAnsi" w:cstheme="minorHAnsi"/>
                <w:b/>
                <w:color w:val="59595B"/>
                <w:sz w:val="20"/>
                <w:szCs w:val="20"/>
                <w:lang w:val="en-GB"/>
              </w:rPr>
            </w:pPr>
          </w:p>
        </w:tc>
      </w:tr>
      <w:tr w:rsidR="0004342B" w:rsidRPr="00A96D90" w14:paraId="2F6D982D" w14:textId="77777777" w:rsidTr="00691179">
        <w:trPr>
          <w:trHeight w:val="144"/>
          <w:jc w:val="center"/>
        </w:trPr>
        <w:tc>
          <w:tcPr>
            <w:tcW w:w="5130" w:type="dxa"/>
            <w:tcBorders>
              <w:top w:val="nil"/>
              <w:bottom w:val="nil"/>
            </w:tcBorders>
            <w:tcMar>
              <w:top w:w="28" w:type="dxa"/>
            </w:tcMar>
          </w:tcPr>
          <w:p w14:paraId="05447867" w14:textId="77777777" w:rsidR="0004342B" w:rsidRPr="00A96D90"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color w:val="59595B"/>
                <w:sz w:val="20"/>
                <w:szCs w:val="20"/>
                <w:lang w:val="en-GB"/>
              </w:rPr>
              <w:t>Owners of the parent</w:t>
            </w:r>
          </w:p>
        </w:tc>
        <w:tc>
          <w:tcPr>
            <w:tcW w:w="1596" w:type="dxa"/>
            <w:tcBorders>
              <w:top w:val="nil"/>
              <w:bottom w:val="nil"/>
            </w:tcBorders>
            <w:shd w:val="clear" w:color="auto" w:fill="F2F2F2" w:themeFill="background1" w:themeFillShade="F2"/>
            <w:tcMar>
              <w:top w:w="28" w:type="dxa"/>
            </w:tcMar>
          </w:tcPr>
          <w:p w14:paraId="2ECBBD4B" w14:textId="77777777" w:rsidR="0004342B" w:rsidRPr="00456F27"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7,399</w:t>
            </w:r>
          </w:p>
        </w:tc>
        <w:tc>
          <w:tcPr>
            <w:tcW w:w="1551" w:type="dxa"/>
            <w:tcBorders>
              <w:top w:val="nil"/>
              <w:bottom w:val="nil"/>
            </w:tcBorders>
            <w:tcMar>
              <w:top w:w="28" w:type="dxa"/>
            </w:tcMar>
          </w:tcPr>
          <w:p w14:paraId="5929B0B9" w14:textId="77777777" w:rsidR="0004342B" w:rsidRPr="003814CF" w:rsidRDefault="0004342B" w:rsidP="00691179">
            <w:pPr>
              <w:jc w:val="right"/>
              <w:rPr>
                <w:rFonts w:asciiTheme="minorHAnsi" w:hAnsiTheme="minorHAnsi" w:cstheme="minorHAnsi"/>
                <w:color w:val="59595B"/>
                <w:sz w:val="20"/>
                <w:szCs w:val="20"/>
              </w:rPr>
            </w:pPr>
            <w:r>
              <w:rPr>
                <w:rFonts w:asciiTheme="minorHAnsi" w:hAnsiTheme="minorHAnsi" w:cstheme="minorHAnsi"/>
                <w:color w:val="59595B"/>
                <w:sz w:val="20"/>
                <w:szCs w:val="20"/>
              </w:rPr>
              <w:t>(34,443)</w:t>
            </w:r>
          </w:p>
        </w:tc>
      </w:tr>
      <w:tr w:rsidR="0004342B" w:rsidRPr="00A96D90" w14:paraId="3D235D8D" w14:textId="77777777" w:rsidTr="00691179">
        <w:trPr>
          <w:trHeight w:val="144"/>
          <w:jc w:val="center"/>
        </w:trPr>
        <w:tc>
          <w:tcPr>
            <w:tcW w:w="5130" w:type="dxa"/>
            <w:tcBorders>
              <w:top w:val="nil"/>
              <w:bottom w:val="single" w:sz="4" w:space="0" w:color="BFBFBF" w:themeColor="background1" w:themeShade="BF"/>
            </w:tcBorders>
            <w:tcMar>
              <w:top w:w="28" w:type="dxa"/>
            </w:tcMar>
          </w:tcPr>
          <w:p w14:paraId="1A73D090"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814F276"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06A68405"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CF1D25" w14:paraId="01FD71F7" w14:textId="77777777" w:rsidTr="00691179">
        <w:trPr>
          <w:trHeight w:val="144"/>
          <w:jc w:val="center"/>
        </w:trPr>
        <w:tc>
          <w:tcPr>
            <w:tcW w:w="5130" w:type="dxa"/>
            <w:tcBorders>
              <w:top w:val="single" w:sz="4" w:space="0" w:color="BFBFBF" w:themeColor="background1" w:themeShade="BF"/>
              <w:bottom w:val="nil"/>
            </w:tcBorders>
            <w:tcMar>
              <w:top w:w="28" w:type="dxa"/>
            </w:tcMar>
          </w:tcPr>
          <w:p w14:paraId="10C8CABC" w14:textId="77777777" w:rsidR="0004342B" w:rsidRPr="00CF1D25" w:rsidRDefault="0004342B" w:rsidP="00691179">
            <w:pPr>
              <w:rPr>
                <w:rFonts w:asciiTheme="minorHAnsi" w:hAnsiTheme="minorHAnsi" w:cstheme="minorHAnsi"/>
                <w:color w:val="0070C0"/>
                <w:sz w:val="20"/>
                <w:szCs w:val="20"/>
                <w:lang w:val="en-GB"/>
              </w:rPr>
            </w:pPr>
            <w:r w:rsidRPr="00CF1D25">
              <w:rPr>
                <w:rFonts w:asciiTheme="minorHAnsi" w:hAnsiTheme="minorHAnsi" w:cstheme="minorHAnsi"/>
                <w:b/>
                <w:color w:val="0070C0"/>
                <w:sz w:val="20"/>
                <w:szCs w:val="20"/>
                <w:lang w:val="en-GB"/>
              </w:rPr>
              <w:t>Total net result</w:t>
            </w: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02163FFA" w14:textId="77777777" w:rsidR="0004342B" w:rsidRPr="007C20A6" w:rsidRDefault="0004342B" w:rsidP="00691179">
            <w:pPr>
              <w:jc w:val="right"/>
              <w:rPr>
                <w:rFonts w:asciiTheme="minorHAnsi" w:hAnsiTheme="minorHAnsi" w:cstheme="minorHAnsi"/>
                <w:b/>
                <w:color w:val="0070C0"/>
                <w:sz w:val="20"/>
                <w:szCs w:val="20"/>
              </w:rPr>
            </w:pPr>
            <w:r>
              <w:rPr>
                <w:rFonts w:asciiTheme="minorHAnsi" w:hAnsiTheme="minorHAnsi" w:cstheme="minorHAnsi"/>
                <w:b/>
                <w:color w:val="0070C0"/>
                <w:sz w:val="20"/>
                <w:szCs w:val="20"/>
              </w:rPr>
              <w:t>7,399</w:t>
            </w:r>
          </w:p>
        </w:tc>
        <w:tc>
          <w:tcPr>
            <w:tcW w:w="1551" w:type="dxa"/>
            <w:tcBorders>
              <w:top w:val="single" w:sz="4" w:space="0" w:color="BFBFBF" w:themeColor="background1" w:themeShade="BF"/>
              <w:bottom w:val="nil"/>
            </w:tcBorders>
            <w:tcMar>
              <w:top w:w="28" w:type="dxa"/>
            </w:tcMar>
          </w:tcPr>
          <w:p w14:paraId="2AA11DB5" w14:textId="77777777" w:rsidR="0004342B" w:rsidRPr="00B30277" w:rsidRDefault="0004342B" w:rsidP="00691179">
            <w:pPr>
              <w:jc w:val="right"/>
              <w:rPr>
                <w:rFonts w:asciiTheme="minorHAnsi" w:hAnsiTheme="minorHAnsi" w:cstheme="minorHAnsi"/>
                <w:b/>
                <w:color w:val="0070C0"/>
                <w:sz w:val="20"/>
                <w:szCs w:val="20"/>
              </w:rPr>
            </w:pPr>
            <w:r w:rsidRPr="00B30277">
              <w:rPr>
                <w:rFonts w:asciiTheme="minorHAnsi" w:hAnsiTheme="minorHAnsi" w:cstheme="minorHAnsi"/>
                <w:b/>
                <w:color w:val="0070C0"/>
                <w:sz w:val="20"/>
                <w:szCs w:val="20"/>
              </w:rPr>
              <w:t>(34,443)</w:t>
            </w:r>
          </w:p>
        </w:tc>
      </w:tr>
      <w:tr w:rsidR="0004342B" w:rsidRPr="00A96D90" w14:paraId="5755D74A" w14:textId="77777777" w:rsidTr="00691179">
        <w:trPr>
          <w:trHeight w:val="144"/>
          <w:jc w:val="center"/>
        </w:trPr>
        <w:tc>
          <w:tcPr>
            <w:tcW w:w="5130" w:type="dxa"/>
            <w:tcBorders>
              <w:top w:val="nil"/>
              <w:bottom w:val="single" w:sz="4" w:space="0" w:color="BFBFBF" w:themeColor="background1" w:themeShade="BF"/>
            </w:tcBorders>
            <w:tcMar>
              <w:top w:w="28" w:type="dxa"/>
            </w:tcMar>
          </w:tcPr>
          <w:p w14:paraId="7309C69A" w14:textId="77777777" w:rsidR="0004342B" w:rsidRPr="00A96D90" w:rsidRDefault="0004342B" w:rsidP="00691179">
            <w:pPr>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5914F2CA" w14:textId="77777777" w:rsidR="0004342B" w:rsidRPr="00A96D90" w:rsidRDefault="0004342B" w:rsidP="00691179">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13B30F12" w14:textId="77777777" w:rsidR="0004342B" w:rsidRPr="00A96D90" w:rsidRDefault="0004342B" w:rsidP="00691179">
            <w:pPr>
              <w:jc w:val="right"/>
              <w:rPr>
                <w:rFonts w:asciiTheme="minorHAnsi" w:hAnsiTheme="minorHAnsi" w:cstheme="minorHAnsi"/>
                <w:color w:val="59595B"/>
                <w:sz w:val="20"/>
                <w:szCs w:val="20"/>
                <w:lang w:val="en-GB"/>
              </w:rPr>
            </w:pPr>
          </w:p>
        </w:tc>
      </w:tr>
      <w:tr w:rsidR="0004342B" w:rsidRPr="00A96D90" w14:paraId="698AAD80" w14:textId="77777777" w:rsidTr="00691179">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1331231A" w14:textId="77777777" w:rsidR="0004342B" w:rsidRDefault="0004342B" w:rsidP="00691179">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Basic earnings per share (</w:t>
            </w:r>
            <w:r>
              <w:rPr>
                <w:rFonts w:asciiTheme="minorHAnsi" w:hAnsiTheme="minorHAnsi" w:cstheme="minorHAnsi"/>
                <w:b/>
                <w:color w:val="59595B"/>
                <w:sz w:val="20"/>
                <w:szCs w:val="20"/>
              </w:rPr>
              <w:t>$</w:t>
            </w:r>
            <w:r w:rsidRPr="00A96D90">
              <w:rPr>
                <w:rFonts w:asciiTheme="minorHAnsi" w:hAnsiTheme="minorHAnsi" w:cstheme="minorHAnsi"/>
                <w:b/>
                <w:color w:val="59595B"/>
                <w:sz w:val="20"/>
                <w:szCs w:val="20"/>
                <w:lang w:val="en-GB"/>
              </w:rPr>
              <w:t xml:space="preserve">) </w:t>
            </w:r>
          </w:p>
          <w:p w14:paraId="5F1C6187" w14:textId="77777777" w:rsidR="0004342B" w:rsidRPr="00A96D90" w:rsidRDefault="0004342B" w:rsidP="00691179">
            <w:pPr>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Fully-diluted earnings per share (</w:t>
            </w:r>
            <w:r>
              <w:rPr>
                <w:rFonts w:asciiTheme="minorHAnsi" w:hAnsiTheme="minorHAnsi" w:cstheme="minorHAnsi"/>
                <w:b/>
                <w:color w:val="59595B"/>
                <w:sz w:val="20"/>
                <w:szCs w:val="20"/>
              </w:rPr>
              <w:t>$</w:t>
            </w:r>
            <w:r>
              <w:rPr>
                <w:rFonts w:asciiTheme="minorHAnsi" w:hAnsiTheme="minorHAnsi" w:cstheme="minorHAnsi"/>
                <w:b/>
                <w:color w:val="59595B"/>
                <w:sz w:val="20"/>
                <w:szCs w:val="20"/>
                <w:lang w:val="en-GB"/>
              </w:rPr>
              <w:t>)</w:t>
            </w:r>
          </w:p>
        </w:tc>
        <w:tc>
          <w:tcPr>
            <w:tcW w:w="1596" w:type="dxa"/>
            <w:tcBorders>
              <w:bottom w:val="single" w:sz="4" w:space="0" w:color="BFBFBF" w:themeColor="background1" w:themeShade="BF"/>
            </w:tcBorders>
            <w:shd w:val="clear" w:color="auto" w:fill="F2F2F2" w:themeFill="background1" w:themeFillShade="F2"/>
            <w:tcMar>
              <w:top w:w="28" w:type="dxa"/>
            </w:tcMar>
          </w:tcPr>
          <w:p w14:paraId="5ED66403" w14:textId="77777777" w:rsidR="0004342B" w:rsidRPr="006250C6" w:rsidRDefault="0004342B" w:rsidP="00691179">
            <w:pPr>
              <w:jc w:val="right"/>
              <w:rPr>
                <w:rFonts w:asciiTheme="minorHAnsi" w:hAnsiTheme="minorHAnsi" w:cstheme="minorHAnsi"/>
                <w:b/>
                <w:color w:val="59595B"/>
                <w:sz w:val="20"/>
                <w:szCs w:val="20"/>
              </w:rPr>
            </w:pPr>
            <w:r w:rsidRPr="006250C6">
              <w:rPr>
                <w:rFonts w:asciiTheme="minorHAnsi" w:hAnsiTheme="minorHAnsi" w:cstheme="minorHAnsi"/>
                <w:b/>
                <w:color w:val="59595B"/>
                <w:sz w:val="20"/>
                <w:szCs w:val="20"/>
              </w:rPr>
              <w:t>0.012</w:t>
            </w:r>
          </w:p>
          <w:p w14:paraId="61C7BD7A" w14:textId="77777777" w:rsidR="0004342B" w:rsidRPr="00DD3D1B" w:rsidRDefault="006250C6" w:rsidP="00691179">
            <w:pPr>
              <w:jc w:val="right"/>
              <w:rPr>
                <w:rFonts w:asciiTheme="minorHAnsi" w:hAnsiTheme="minorHAnsi" w:cstheme="minorHAnsi"/>
                <w:b/>
                <w:color w:val="59595B"/>
                <w:sz w:val="20"/>
                <w:szCs w:val="20"/>
                <w:highlight w:val="yellow"/>
              </w:rPr>
            </w:pPr>
            <w:r w:rsidRPr="006250C6">
              <w:rPr>
                <w:rFonts w:asciiTheme="minorHAnsi" w:hAnsiTheme="minorHAnsi" w:cstheme="minorHAnsi"/>
                <w:b/>
                <w:color w:val="59595B"/>
                <w:sz w:val="20"/>
                <w:szCs w:val="20"/>
              </w:rPr>
              <w:t>0.012</w:t>
            </w:r>
          </w:p>
        </w:tc>
        <w:tc>
          <w:tcPr>
            <w:tcW w:w="1551" w:type="dxa"/>
            <w:tcBorders>
              <w:top w:val="single" w:sz="4" w:space="0" w:color="BFBFBF" w:themeColor="background1" w:themeShade="BF"/>
              <w:bottom w:val="single" w:sz="4" w:space="0" w:color="BFBFBF" w:themeColor="background1" w:themeShade="BF"/>
            </w:tcBorders>
            <w:tcMar>
              <w:top w:w="28" w:type="dxa"/>
            </w:tcMar>
          </w:tcPr>
          <w:p w14:paraId="46BCCADC" w14:textId="77777777" w:rsidR="0004342B"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(0.072)</w:t>
            </w:r>
          </w:p>
          <w:p w14:paraId="53BF3615" w14:textId="77777777" w:rsidR="0004342B" w:rsidRPr="003814CF" w:rsidRDefault="0004342B" w:rsidP="00691179">
            <w:pPr>
              <w:jc w:val="right"/>
              <w:rPr>
                <w:rFonts w:asciiTheme="minorHAnsi" w:hAnsiTheme="minorHAnsi" w:cstheme="minorHAnsi"/>
                <w:b/>
                <w:color w:val="59595B"/>
                <w:sz w:val="20"/>
                <w:szCs w:val="20"/>
              </w:rPr>
            </w:pPr>
            <w:r>
              <w:rPr>
                <w:rFonts w:asciiTheme="minorHAnsi" w:hAnsiTheme="minorHAnsi" w:cstheme="minorHAnsi"/>
                <w:b/>
                <w:color w:val="59595B"/>
                <w:sz w:val="20"/>
                <w:szCs w:val="20"/>
              </w:rPr>
              <w:t>n/a</w:t>
            </w:r>
          </w:p>
        </w:tc>
      </w:tr>
    </w:tbl>
    <w:p w14:paraId="082EFA98" w14:textId="77777777" w:rsidR="0004342B" w:rsidRDefault="0004342B" w:rsidP="0004342B">
      <w:pPr>
        <w:rPr>
          <w:color w:val="59595B"/>
          <w:lang w:val="en-GB"/>
        </w:rPr>
      </w:pPr>
    </w:p>
    <w:p w14:paraId="0D504CB3" w14:textId="77777777" w:rsidR="0004342B" w:rsidRDefault="0004342B" w:rsidP="0004342B">
      <w:pPr>
        <w:rPr>
          <w:color w:val="59595B"/>
          <w:lang w:val="en-GB"/>
        </w:rPr>
      </w:pPr>
    </w:p>
    <w:p w14:paraId="5C9B1A56" w14:textId="77777777" w:rsidR="0004342B" w:rsidRDefault="0004342B" w:rsidP="0004342B">
      <w:pPr>
        <w:rPr>
          <w:color w:val="59595B"/>
          <w:lang w:val="en-GB"/>
        </w:rPr>
      </w:pPr>
    </w:p>
    <w:p w14:paraId="454E2EA2" w14:textId="77777777" w:rsidR="0004342B" w:rsidRDefault="0004342B" w:rsidP="0004342B">
      <w:pPr>
        <w:rPr>
          <w:color w:val="59595B"/>
          <w:lang w:val="en-GB"/>
        </w:rPr>
      </w:pPr>
    </w:p>
    <w:p w14:paraId="635FCB13" w14:textId="77777777" w:rsidR="0004342B" w:rsidRDefault="0004342B" w:rsidP="0004342B">
      <w:pPr>
        <w:rPr>
          <w:color w:val="59595B"/>
          <w:lang w:val="en-GB"/>
        </w:rPr>
      </w:pPr>
    </w:p>
    <w:p w14:paraId="6CFE8A04" w14:textId="77777777" w:rsidR="0004342B" w:rsidRDefault="0004342B" w:rsidP="0004342B">
      <w:pPr>
        <w:jc w:val="left"/>
        <w:rPr>
          <w:color w:val="59595B"/>
          <w:lang w:val="en-GB"/>
        </w:rPr>
      </w:pPr>
      <w:r>
        <w:rPr>
          <w:color w:val="59595B"/>
          <w:lang w:val="en-GB"/>
        </w:rPr>
        <w:br w:type="page"/>
      </w:r>
    </w:p>
    <w:p w14:paraId="7C01ADCA" w14:textId="77777777" w:rsidR="0004342B" w:rsidRDefault="0004342B" w:rsidP="0004342B">
      <w:pPr>
        <w:rPr>
          <w:color w:val="59595B"/>
          <w:lang w:val="en-GB"/>
        </w:rPr>
      </w:pPr>
    </w:p>
    <w:p w14:paraId="677525C7" w14:textId="15C9F48E" w:rsidR="0004342B" w:rsidRPr="001074ED" w:rsidRDefault="0004342B" w:rsidP="0004342B">
      <w:pPr>
        <w:rPr>
          <w:rFonts w:ascii="Calibri Light" w:eastAsiaTheme="majorEastAsia" w:hAnsi="Calibri Light" w:cstheme="majorBidi"/>
          <w:b/>
          <w:color w:val="59595B"/>
          <w:sz w:val="24"/>
          <w:szCs w:val="28"/>
          <w:lang w:eastAsia="zh-CN"/>
        </w:rPr>
      </w:pPr>
      <w:r w:rsidRPr="00A96D90">
        <w:rPr>
          <w:rFonts w:ascii="Calibri Light" w:eastAsiaTheme="majorEastAsia" w:hAnsi="Calibri Light" w:cstheme="majorBidi"/>
          <w:b/>
          <w:color w:val="59595B"/>
          <w:sz w:val="24"/>
          <w:szCs w:val="28"/>
          <w:lang w:val="en-GB" w:eastAsia="zh-CN"/>
        </w:rPr>
        <w:t xml:space="preserve">Consolidated Balance </w:t>
      </w:r>
      <w:r w:rsidR="002904A2" w:rsidRPr="00A96D90">
        <w:rPr>
          <w:rFonts w:ascii="Calibri Light" w:eastAsiaTheme="majorEastAsia" w:hAnsi="Calibri Light" w:cstheme="majorBidi"/>
          <w:b/>
          <w:color w:val="59595B"/>
          <w:sz w:val="24"/>
          <w:szCs w:val="28"/>
          <w:lang w:val="en-GB" w:eastAsia="zh-CN"/>
        </w:rPr>
        <w:t xml:space="preserve">Sheet </w:t>
      </w:r>
      <w:r w:rsidR="002904A2">
        <w:rPr>
          <w:rFonts w:ascii="Calibri Light" w:eastAsiaTheme="majorEastAsia" w:hAnsi="Calibri Light" w:cstheme="majorBidi"/>
          <w:b/>
          <w:color w:val="59595B"/>
          <w:sz w:val="24"/>
          <w:szCs w:val="28"/>
          <w:lang w:eastAsia="zh-CN"/>
        </w:rPr>
        <w:t>in</w:t>
      </w:r>
      <w:r w:rsidRPr="003814CF">
        <w:rPr>
          <w:rFonts w:ascii="Calibri Light" w:eastAsiaTheme="majorEastAsia" w:hAnsi="Calibri Light" w:cstheme="majorBidi"/>
          <w:b/>
          <w:color w:val="59595B"/>
          <w:sz w:val="24"/>
          <w:szCs w:val="28"/>
          <w:u w:val="single"/>
          <w:lang w:eastAsia="zh-CN"/>
        </w:rPr>
        <w:t xml:space="preserve"> US Dollar</w:t>
      </w:r>
      <w:r w:rsidR="001074ED">
        <w:rPr>
          <w:rFonts w:ascii="Calibri Light" w:eastAsiaTheme="majorEastAsia" w:hAnsi="Calibri Light" w:cstheme="majorBidi"/>
          <w:b/>
          <w:color w:val="59595B"/>
          <w:sz w:val="24"/>
          <w:szCs w:val="28"/>
          <w:u w:val="single"/>
          <w:lang w:eastAsia="zh-CN"/>
        </w:rPr>
        <w:t>s</w:t>
      </w:r>
    </w:p>
    <w:p w14:paraId="143725D4" w14:textId="77777777" w:rsidR="0004342B" w:rsidRPr="00A96D90" w:rsidRDefault="0004342B" w:rsidP="0004342B">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22B2E406" w14:textId="77777777" w:rsidR="0004342B" w:rsidRPr="00A96D90" w:rsidRDefault="0004342B" w:rsidP="0004342B">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07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0"/>
        <w:gridCol w:w="1580"/>
        <w:gridCol w:w="1712"/>
      </w:tblGrid>
      <w:tr w:rsidR="0004342B" w:rsidRPr="00EB583B" w14:paraId="6E32E75A" w14:textId="77777777" w:rsidTr="00691179">
        <w:trPr>
          <w:jc w:val="center"/>
        </w:trPr>
        <w:tc>
          <w:tcPr>
            <w:tcW w:w="4780" w:type="dxa"/>
            <w:tcBorders>
              <w:bottom w:val="single" w:sz="4" w:space="0" w:color="BFBFBF" w:themeColor="background1" w:themeShade="BF"/>
            </w:tcBorders>
            <w:shd w:val="clear" w:color="auto" w:fill="0070C0"/>
          </w:tcPr>
          <w:p w14:paraId="43E281E3" w14:textId="77777777" w:rsidR="0004342B" w:rsidRPr="00E12C03"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i/>
                <w:color w:val="FFFFFF" w:themeColor="background1"/>
                <w:sz w:val="16"/>
                <w:szCs w:val="20"/>
                <w:lang w:val="en-GB"/>
              </w:rPr>
            </w:pPr>
            <w:r w:rsidRPr="00E12C03">
              <w:rPr>
                <w:rFonts w:asciiTheme="minorHAnsi" w:hAnsiTheme="minorHAnsi" w:cs="Arial"/>
                <w:b/>
                <w:bCs/>
                <w:i/>
                <w:color w:val="FFFFFF" w:themeColor="background1"/>
                <w:sz w:val="16"/>
                <w:szCs w:val="20"/>
                <w:lang w:val="en-GB"/>
              </w:rPr>
              <w:t xml:space="preserve">Amounts in </w:t>
            </w:r>
            <w:r>
              <w:rPr>
                <w:rFonts w:asciiTheme="minorHAnsi" w:hAnsiTheme="minorHAnsi" w:cs="Arial"/>
                <w:b/>
                <w:bCs/>
                <w:i/>
                <w:color w:val="FFFFFF" w:themeColor="background1"/>
                <w:sz w:val="16"/>
                <w:szCs w:val="20"/>
              </w:rPr>
              <w:t>$</w:t>
            </w:r>
            <w:r w:rsidRPr="00E12C03">
              <w:rPr>
                <w:rFonts w:asciiTheme="minorHAnsi" w:hAnsiTheme="minorHAnsi" w:cs="Arial"/>
                <w:b/>
                <w:bCs/>
                <w:i/>
                <w:color w:val="FFFFFF" w:themeColor="background1"/>
                <w:sz w:val="16"/>
                <w:szCs w:val="20"/>
                <w:lang w:val="en-GB"/>
              </w:rPr>
              <w:t>’000</w:t>
            </w:r>
          </w:p>
          <w:p w14:paraId="639DB4C9" w14:textId="77777777" w:rsidR="0004342B" w:rsidRPr="00EB583B"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i/>
                <w:color w:val="FFFFFF" w:themeColor="background1"/>
                <w:sz w:val="20"/>
                <w:szCs w:val="20"/>
                <w:lang w:val="en-GB"/>
              </w:rPr>
            </w:pPr>
          </w:p>
        </w:tc>
        <w:tc>
          <w:tcPr>
            <w:tcW w:w="1580" w:type="dxa"/>
            <w:tcBorders>
              <w:bottom w:val="single" w:sz="4" w:space="0" w:color="BFBFBF" w:themeColor="background1" w:themeShade="BF"/>
            </w:tcBorders>
            <w:shd w:val="clear" w:color="auto" w:fill="0070C0"/>
          </w:tcPr>
          <w:p w14:paraId="342D5C43"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30 June</w:t>
            </w:r>
          </w:p>
          <w:p w14:paraId="4B3936A1"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8</w:t>
            </w:r>
          </w:p>
        </w:tc>
        <w:tc>
          <w:tcPr>
            <w:tcW w:w="1712" w:type="dxa"/>
            <w:tcBorders>
              <w:bottom w:val="single" w:sz="4" w:space="0" w:color="BFBFBF" w:themeColor="background1" w:themeShade="BF"/>
            </w:tcBorders>
            <w:shd w:val="clear" w:color="auto" w:fill="0070C0"/>
          </w:tcPr>
          <w:p w14:paraId="6CF1927B"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31 December</w:t>
            </w:r>
          </w:p>
          <w:p w14:paraId="0A8D6A47" w14:textId="77777777" w:rsidR="0004342B" w:rsidRPr="00EB583B"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FFFFFF" w:themeColor="background1"/>
                <w:sz w:val="20"/>
                <w:szCs w:val="20"/>
                <w:lang w:val="en-GB"/>
              </w:rPr>
            </w:pPr>
            <w:r w:rsidRPr="00EB583B">
              <w:rPr>
                <w:rFonts w:asciiTheme="minorHAnsi" w:hAnsiTheme="minorHAnsi" w:cs="Arial"/>
                <w:b/>
                <w:bCs/>
                <w:color w:val="FFFFFF" w:themeColor="background1"/>
                <w:sz w:val="20"/>
                <w:szCs w:val="20"/>
                <w:lang w:val="en-GB"/>
              </w:rPr>
              <w:t>201</w:t>
            </w:r>
            <w:r>
              <w:rPr>
                <w:rFonts w:asciiTheme="minorHAnsi" w:hAnsiTheme="minorHAnsi" w:cs="Arial"/>
                <w:b/>
                <w:bCs/>
                <w:color w:val="FFFFFF" w:themeColor="background1"/>
                <w:sz w:val="20"/>
                <w:szCs w:val="20"/>
              </w:rPr>
              <w:t>7</w:t>
            </w:r>
          </w:p>
        </w:tc>
      </w:tr>
      <w:tr w:rsidR="0004342B" w:rsidRPr="00A96D90" w14:paraId="0B0D7030" w14:textId="77777777" w:rsidTr="00691179">
        <w:trPr>
          <w:jc w:val="center"/>
        </w:trPr>
        <w:tc>
          <w:tcPr>
            <w:tcW w:w="4780" w:type="dxa"/>
            <w:tcBorders>
              <w:bottom w:val="nil"/>
            </w:tcBorders>
          </w:tcPr>
          <w:p w14:paraId="31E2656D"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5559D8A5" w14:textId="77777777" w:rsidR="0004342B" w:rsidRPr="00636BCA"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72D907CE"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65033352" w14:textId="77777777" w:rsidTr="00691179">
        <w:trPr>
          <w:jc w:val="center"/>
        </w:trPr>
        <w:tc>
          <w:tcPr>
            <w:tcW w:w="4780" w:type="dxa"/>
            <w:tcBorders>
              <w:top w:val="nil"/>
              <w:bottom w:val="nil"/>
            </w:tcBorders>
          </w:tcPr>
          <w:p w14:paraId="1D9588C7"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1580" w:type="dxa"/>
            <w:tcBorders>
              <w:top w:val="nil"/>
              <w:bottom w:val="nil"/>
            </w:tcBorders>
            <w:shd w:val="clear" w:color="auto" w:fill="F2F2F2" w:themeFill="background1" w:themeFillShade="F2"/>
          </w:tcPr>
          <w:p w14:paraId="0CACFBA2"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65,022</w:t>
            </w:r>
          </w:p>
        </w:tc>
        <w:tc>
          <w:tcPr>
            <w:tcW w:w="1712" w:type="dxa"/>
            <w:tcBorders>
              <w:top w:val="nil"/>
              <w:bottom w:val="nil"/>
            </w:tcBorders>
          </w:tcPr>
          <w:p w14:paraId="633E3850"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67,827</w:t>
            </w:r>
          </w:p>
        </w:tc>
      </w:tr>
      <w:tr w:rsidR="0004342B" w:rsidRPr="00A96D90" w14:paraId="5F3E2D0F" w14:textId="77777777" w:rsidTr="00691179">
        <w:trPr>
          <w:jc w:val="center"/>
        </w:trPr>
        <w:tc>
          <w:tcPr>
            <w:tcW w:w="4780" w:type="dxa"/>
            <w:tcBorders>
              <w:top w:val="nil"/>
              <w:bottom w:val="nil"/>
            </w:tcBorders>
          </w:tcPr>
          <w:p w14:paraId="46D4BDF6"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1580" w:type="dxa"/>
            <w:tcBorders>
              <w:top w:val="nil"/>
              <w:bottom w:val="nil"/>
            </w:tcBorders>
            <w:shd w:val="clear" w:color="auto" w:fill="F2F2F2" w:themeFill="background1" w:themeFillShade="F2"/>
          </w:tcPr>
          <w:p w14:paraId="6A8852CB"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9,654</w:t>
            </w:r>
          </w:p>
        </w:tc>
        <w:tc>
          <w:tcPr>
            <w:tcW w:w="1712" w:type="dxa"/>
            <w:tcBorders>
              <w:top w:val="nil"/>
              <w:bottom w:val="nil"/>
            </w:tcBorders>
          </w:tcPr>
          <w:p w14:paraId="0ADD1A14"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9,862</w:t>
            </w:r>
          </w:p>
        </w:tc>
      </w:tr>
      <w:tr w:rsidR="0004342B" w:rsidRPr="00375771" w14:paraId="095621DA" w14:textId="77777777" w:rsidTr="00691179">
        <w:trPr>
          <w:jc w:val="center"/>
        </w:trPr>
        <w:tc>
          <w:tcPr>
            <w:tcW w:w="4780" w:type="dxa"/>
            <w:tcBorders>
              <w:top w:val="nil"/>
              <w:bottom w:val="nil"/>
            </w:tcBorders>
          </w:tcPr>
          <w:p w14:paraId="6F537056"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1580" w:type="dxa"/>
            <w:tcBorders>
              <w:top w:val="nil"/>
              <w:bottom w:val="nil"/>
            </w:tcBorders>
            <w:shd w:val="clear" w:color="auto" w:fill="F2F2F2" w:themeFill="background1" w:themeFillShade="F2"/>
          </w:tcPr>
          <w:p w14:paraId="6F0995EA"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2,171</w:t>
            </w:r>
          </w:p>
        </w:tc>
        <w:tc>
          <w:tcPr>
            <w:tcW w:w="1712" w:type="dxa"/>
            <w:tcBorders>
              <w:top w:val="nil"/>
              <w:bottom w:val="nil"/>
            </w:tcBorders>
          </w:tcPr>
          <w:p w14:paraId="5DC929D1"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3814CF">
              <w:rPr>
                <w:rFonts w:asciiTheme="minorHAnsi" w:hAnsiTheme="minorHAnsi" w:cs="Arial"/>
                <w:bCs/>
                <w:color w:val="59595B"/>
                <w:sz w:val="20"/>
                <w:szCs w:val="20"/>
              </w:rPr>
              <w:t>2,749</w:t>
            </w:r>
          </w:p>
        </w:tc>
      </w:tr>
      <w:tr w:rsidR="0004342B" w:rsidRPr="00A96D90" w14:paraId="2216AAD9" w14:textId="77777777" w:rsidTr="00691179">
        <w:trPr>
          <w:jc w:val="center"/>
        </w:trPr>
        <w:tc>
          <w:tcPr>
            <w:tcW w:w="4780" w:type="dxa"/>
            <w:tcBorders>
              <w:top w:val="nil"/>
              <w:bottom w:val="nil"/>
            </w:tcBorders>
          </w:tcPr>
          <w:p w14:paraId="485D6363" w14:textId="77777777" w:rsidR="0004342B" w:rsidRPr="00571F24"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Pr>
                <w:rFonts w:asciiTheme="minorHAnsi" w:hAnsiTheme="minorHAnsi" w:cs="Arial"/>
                <w:bCs/>
                <w:color w:val="59595B"/>
                <w:sz w:val="20"/>
                <w:szCs w:val="20"/>
              </w:rPr>
              <w:t>Deferred tax asset</w:t>
            </w:r>
          </w:p>
        </w:tc>
        <w:tc>
          <w:tcPr>
            <w:tcW w:w="1580" w:type="dxa"/>
            <w:tcBorders>
              <w:top w:val="nil"/>
              <w:bottom w:val="nil"/>
            </w:tcBorders>
            <w:shd w:val="clear" w:color="auto" w:fill="F2F2F2" w:themeFill="background1" w:themeFillShade="F2"/>
          </w:tcPr>
          <w:p w14:paraId="41BAB9D6"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9,928</w:t>
            </w:r>
          </w:p>
        </w:tc>
        <w:tc>
          <w:tcPr>
            <w:tcW w:w="1712" w:type="dxa"/>
            <w:tcBorders>
              <w:top w:val="nil"/>
              <w:bottom w:val="nil"/>
            </w:tcBorders>
          </w:tcPr>
          <w:p w14:paraId="33781DA9"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11,309</w:t>
            </w:r>
          </w:p>
        </w:tc>
      </w:tr>
      <w:tr w:rsidR="0004342B" w:rsidRPr="00A96D90" w14:paraId="2E315999" w14:textId="77777777" w:rsidTr="00691179">
        <w:trPr>
          <w:jc w:val="center"/>
        </w:trPr>
        <w:tc>
          <w:tcPr>
            <w:tcW w:w="4780" w:type="dxa"/>
            <w:tcBorders>
              <w:top w:val="nil"/>
              <w:bottom w:val="nil"/>
            </w:tcBorders>
          </w:tcPr>
          <w:p w14:paraId="5AA50120"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1580" w:type="dxa"/>
            <w:tcBorders>
              <w:top w:val="nil"/>
              <w:bottom w:val="nil"/>
            </w:tcBorders>
            <w:shd w:val="clear" w:color="auto" w:fill="F2F2F2" w:themeFill="background1" w:themeFillShade="F2"/>
          </w:tcPr>
          <w:p w14:paraId="07290E9B"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1,</w:t>
            </w:r>
            <w:r>
              <w:rPr>
                <w:rFonts w:asciiTheme="minorHAnsi" w:hAnsiTheme="minorHAnsi" w:cs="Arial"/>
                <w:bCs/>
                <w:color w:val="59595B"/>
                <w:sz w:val="20"/>
                <w:szCs w:val="20"/>
              </w:rPr>
              <w:t>592</w:t>
            </w:r>
          </w:p>
        </w:tc>
        <w:tc>
          <w:tcPr>
            <w:tcW w:w="1712" w:type="dxa"/>
            <w:tcBorders>
              <w:top w:val="nil"/>
              <w:bottom w:val="nil"/>
            </w:tcBorders>
          </w:tcPr>
          <w:p w14:paraId="4D220BF3"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1,600</w:t>
            </w:r>
          </w:p>
        </w:tc>
      </w:tr>
      <w:tr w:rsidR="0004342B" w:rsidRPr="00A96D90" w14:paraId="2FC98EE4" w14:textId="77777777" w:rsidTr="00691179">
        <w:trPr>
          <w:jc w:val="center"/>
        </w:trPr>
        <w:tc>
          <w:tcPr>
            <w:tcW w:w="4780" w:type="dxa"/>
            <w:tcBorders>
              <w:top w:val="nil"/>
              <w:bottom w:val="nil"/>
            </w:tcBorders>
          </w:tcPr>
          <w:p w14:paraId="364700C6"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1580" w:type="dxa"/>
            <w:tcBorders>
              <w:top w:val="nil"/>
              <w:bottom w:val="nil"/>
            </w:tcBorders>
            <w:shd w:val="clear" w:color="auto" w:fill="F2F2F2" w:themeFill="background1" w:themeFillShade="F2"/>
          </w:tcPr>
          <w:p w14:paraId="5CF57CA0"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88,367</w:t>
            </w:r>
          </w:p>
        </w:tc>
        <w:tc>
          <w:tcPr>
            <w:tcW w:w="1712" w:type="dxa"/>
            <w:tcBorders>
              <w:top w:val="nil"/>
              <w:bottom w:val="nil"/>
            </w:tcBorders>
          </w:tcPr>
          <w:p w14:paraId="50BAF804"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93,347</w:t>
            </w:r>
          </w:p>
        </w:tc>
      </w:tr>
      <w:tr w:rsidR="0004342B" w:rsidRPr="00A96D90" w14:paraId="0FF295A5" w14:textId="77777777" w:rsidTr="00691179">
        <w:trPr>
          <w:jc w:val="center"/>
        </w:trPr>
        <w:tc>
          <w:tcPr>
            <w:tcW w:w="4780" w:type="dxa"/>
            <w:tcBorders>
              <w:top w:val="nil"/>
              <w:bottom w:val="nil"/>
            </w:tcBorders>
          </w:tcPr>
          <w:p w14:paraId="627B87B5"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38122483"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2B0F95C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1CD0BCE4" w14:textId="77777777" w:rsidTr="00691179">
        <w:trPr>
          <w:jc w:val="center"/>
        </w:trPr>
        <w:tc>
          <w:tcPr>
            <w:tcW w:w="4780" w:type="dxa"/>
            <w:tcBorders>
              <w:top w:val="nil"/>
              <w:bottom w:val="nil"/>
            </w:tcBorders>
          </w:tcPr>
          <w:p w14:paraId="686388F2"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1580" w:type="dxa"/>
            <w:tcBorders>
              <w:top w:val="nil"/>
              <w:bottom w:val="nil"/>
            </w:tcBorders>
            <w:shd w:val="clear" w:color="auto" w:fill="F2F2F2" w:themeFill="background1" w:themeFillShade="F2"/>
          </w:tcPr>
          <w:p w14:paraId="4D8999FC"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2</w:t>
            </w:r>
            <w:r>
              <w:rPr>
                <w:rFonts w:asciiTheme="minorHAnsi" w:hAnsiTheme="minorHAnsi" w:cs="Arial"/>
                <w:bCs/>
                <w:color w:val="59595B"/>
                <w:sz w:val="20"/>
                <w:szCs w:val="20"/>
              </w:rPr>
              <w:t>6,971</w:t>
            </w:r>
          </w:p>
        </w:tc>
        <w:tc>
          <w:tcPr>
            <w:tcW w:w="1712" w:type="dxa"/>
            <w:tcBorders>
              <w:top w:val="nil"/>
              <w:bottom w:val="nil"/>
            </w:tcBorders>
          </w:tcPr>
          <w:p w14:paraId="32E52BDE"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21,958</w:t>
            </w:r>
          </w:p>
        </w:tc>
      </w:tr>
      <w:tr w:rsidR="0004342B" w:rsidRPr="00A96D90" w14:paraId="141591CD" w14:textId="77777777" w:rsidTr="00691179">
        <w:trPr>
          <w:jc w:val="center"/>
        </w:trPr>
        <w:tc>
          <w:tcPr>
            <w:tcW w:w="4780" w:type="dxa"/>
            <w:tcBorders>
              <w:top w:val="nil"/>
              <w:bottom w:val="nil"/>
            </w:tcBorders>
          </w:tcPr>
          <w:p w14:paraId="0EEB371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1580" w:type="dxa"/>
            <w:tcBorders>
              <w:top w:val="nil"/>
              <w:bottom w:val="nil"/>
            </w:tcBorders>
            <w:shd w:val="clear" w:color="auto" w:fill="F2F2F2" w:themeFill="background1" w:themeFillShade="F2"/>
          </w:tcPr>
          <w:p w14:paraId="70AE4DE4"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B9452E">
              <w:rPr>
                <w:rFonts w:asciiTheme="minorHAnsi" w:hAnsiTheme="minorHAnsi" w:cs="Arial"/>
                <w:bCs/>
                <w:color w:val="59595B"/>
                <w:sz w:val="20"/>
                <w:szCs w:val="20"/>
              </w:rPr>
              <w:t>1</w:t>
            </w:r>
            <w:r>
              <w:rPr>
                <w:rFonts w:asciiTheme="minorHAnsi" w:hAnsiTheme="minorHAnsi" w:cs="Arial"/>
                <w:bCs/>
                <w:color w:val="59595B"/>
                <w:sz w:val="20"/>
                <w:szCs w:val="20"/>
              </w:rPr>
              <w:t>9,533</w:t>
            </w:r>
          </w:p>
        </w:tc>
        <w:tc>
          <w:tcPr>
            <w:tcW w:w="1712" w:type="dxa"/>
            <w:tcBorders>
              <w:top w:val="nil"/>
              <w:bottom w:val="nil"/>
            </w:tcBorders>
          </w:tcPr>
          <w:p w14:paraId="69EF156B"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13,487</w:t>
            </w:r>
          </w:p>
        </w:tc>
      </w:tr>
      <w:tr w:rsidR="0004342B" w:rsidRPr="00A96D90" w14:paraId="6DC139A7" w14:textId="77777777" w:rsidTr="00691179">
        <w:trPr>
          <w:jc w:val="center"/>
        </w:trPr>
        <w:tc>
          <w:tcPr>
            <w:tcW w:w="4780" w:type="dxa"/>
            <w:tcBorders>
              <w:top w:val="nil"/>
              <w:bottom w:val="nil"/>
            </w:tcBorders>
          </w:tcPr>
          <w:p w14:paraId="1A87167A"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1580" w:type="dxa"/>
            <w:tcBorders>
              <w:top w:val="nil"/>
              <w:bottom w:val="nil"/>
            </w:tcBorders>
            <w:shd w:val="clear" w:color="auto" w:fill="F2F2F2" w:themeFill="background1" w:themeFillShade="F2"/>
          </w:tcPr>
          <w:p w14:paraId="4B761837"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76,313</w:t>
            </w:r>
          </w:p>
        </w:tc>
        <w:tc>
          <w:tcPr>
            <w:tcW w:w="1712" w:type="dxa"/>
            <w:tcBorders>
              <w:top w:val="nil"/>
              <w:bottom w:val="nil"/>
            </w:tcBorders>
          </w:tcPr>
          <w:p w14:paraId="0C8BE447"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70,254</w:t>
            </w:r>
          </w:p>
        </w:tc>
      </w:tr>
      <w:tr w:rsidR="0004342B" w:rsidRPr="00A96D90" w14:paraId="4BBFBFCF" w14:textId="77777777" w:rsidTr="00691179">
        <w:trPr>
          <w:jc w:val="center"/>
        </w:trPr>
        <w:tc>
          <w:tcPr>
            <w:tcW w:w="4780" w:type="dxa"/>
            <w:tcBorders>
              <w:top w:val="nil"/>
              <w:bottom w:val="nil"/>
            </w:tcBorders>
          </w:tcPr>
          <w:p w14:paraId="28CDAEE9"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1580" w:type="dxa"/>
            <w:tcBorders>
              <w:top w:val="nil"/>
              <w:bottom w:val="nil"/>
            </w:tcBorders>
            <w:shd w:val="clear" w:color="auto" w:fill="F2F2F2" w:themeFill="background1" w:themeFillShade="F2"/>
          </w:tcPr>
          <w:p w14:paraId="75BBE234"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B9452E">
              <w:rPr>
                <w:rFonts w:asciiTheme="minorHAnsi" w:hAnsiTheme="minorHAnsi" w:cs="Arial"/>
                <w:b/>
                <w:bCs/>
                <w:color w:val="59595B"/>
                <w:sz w:val="20"/>
                <w:szCs w:val="20"/>
              </w:rPr>
              <w:t>1</w:t>
            </w:r>
            <w:r>
              <w:rPr>
                <w:rFonts w:asciiTheme="minorHAnsi" w:hAnsiTheme="minorHAnsi" w:cs="Arial"/>
                <w:b/>
                <w:bCs/>
                <w:color w:val="59595B"/>
                <w:sz w:val="20"/>
                <w:szCs w:val="20"/>
              </w:rPr>
              <w:t>22,817</w:t>
            </w:r>
          </w:p>
        </w:tc>
        <w:tc>
          <w:tcPr>
            <w:tcW w:w="1712" w:type="dxa"/>
            <w:tcBorders>
              <w:top w:val="nil"/>
              <w:bottom w:val="nil"/>
            </w:tcBorders>
          </w:tcPr>
          <w:p w14:paraId="43E1E29F"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105,699</w:t>
            </w:r>
          </w:p>
        </w:tc>
      </w:tr>
      <w:tr w:rsidR="0004342B" w:rsidRPr="00A96D90" w14:paraId="201DBB0D" w14:textId="77777777" w:rsidTr="00691179">
        <w:trPr>
          <w:jc w:val="center"/>
        </w:trPr>
        <w:tc>
          <w:tcPr>
            <w:tcW w:w="4780" w:type="dxa"/>
            <w:tcBorders>
              <w:top w:val="nil"/>
              <w:bottom w:val="single" w:sz="4" w:space="0" w:color="BFBFBF" w:themeColor="background1" w:themeShade="BF"/>
            </w:tcBorders>
          </w:tcPr>
          <w:p w14:paraId="162E3E12"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070FF22A"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09C9DC86"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81B8E" w14:paraId="06DDE14E" w14:textId="77777777" w:rsidTr="00691179">
        <w:trPr>
          <w:jc w:val="center"/>
        </w:trPr>
        <w:tc>
          <w:tcPr>
            <w:tcW w:w="4780" w:type="dxa"/>
            <w:tcBorders>
              <w:top w:val="single" w:sz="4" w:space="0" w:color="BFBFBF" w:themeColor="background1" w:themeShade="BF"/>
              <w:bottom w:val="single" w:sz="4" w:space="0" w:color="BFBFBF" w:themeColor="background1" w:themeShade="BF"/>
            </w:tcBorders>
          </w:tcPr>
          <w:p w14:paraId="2F9DA84E"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assets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E4E9638" w14:textId="77777777" w:rsidR="0004342B" w:rsidRPr="00B9452E"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211,184</w:t>
            </w:r>
          </w:p>
        </w:tc>
        <w:tc>
          <w:tcPr>
            <w:tcW w:w="1712" w:type="dxa"/>
            <w:tcBorders>
              <w:top w:val="single" w:sz="4" w:space="0" w:color="BFBFBF" w:themeColor="background1" w:themeShade="BF"/>
              <w:bottom w:val="single" w:sz="4" w:space="0" w:color="BFBFBF" w:themeColor="background1" w:themeShade="BF"/>
            </w:tcBorders>
          </w:tcPr>
          <w:p w14:paraId="37E5D309"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199,046</w:t>
            </w:r>
          </w:p>
        </w:tc>
      </w:tr>
      <w:tr w:rsidR="0004342B" w:rsidRPr="00A96D90" w14:paraId="6C0566FA" w14:textId="77777777" w:rsidTr="00691179">
        <w:trPr>
          <w:jc w:val="center"/>
        </w:trPr>
        <w:tc>
          <w:tcPr>
            <w:tcW w:w="4780" w:type="dxa"/>
            <w:tcBorders>
              <w:bottom w:val="nil"/>
            </w:tcBorders>
          </w:tcPr>
          <w:p w14:paraId="0919296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bottom w:val="nil"/>
            </w:tcBorders>
            <w:shd w:val="clear" w:color="auto" w:fill="F2F2F2" w:themeFill="background1" w:themeFillShade="F2"/>
          </w:tcPr>
          <w:p w14:paraId="25572E5D" w14:textId="77777777" w:rsidR="0004342B" w:rsidRPr="00636BCA"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highlight w:val="yellow"/>
                <w:lang w:val="en-GB"/>
              </w:rPr>
            </w:pPr>
          </w:p>
        </w:tc>
        <w:tc>
          <w:tcPr>
            <w:tcW w:w="1712" w:type="dxa"/>
            <w:tcBorders>
              <w:bottom w:val="nil"/>
            </w:tcBorders>
          </w:tcPr>
          <w:p w14:paraId="1C9A719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26B79069" w14:textId="77777777" w:rsidTr="00691179">
        <w:trPr>
          <w:jc w:val="center"/>
        </w:trPr>
        <w:tc>
          <w:tcPr>
            <w:tcW w:w="4780" w:type="dxa"/>
            <w:tcBorders>
              <w:top w:val="nil"/>
              <w:bottom w:val="nil"/>
            </w:tcBorders>
          </w:tcPr>
          <w:p w14:paraId="264C87F2"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1580" w:type="dxa"/>
            <w:tcBorders>
              <w:top w:val="nil"/>
              <w:bottom w:val="nil"/>
            </w:tcBorders>
            <w:shd w:val="clear" w:color="auto" w:fill="F2F2F2" w:themeFill="background1" w:themeFillShade="F2"/>
          </w:tcPr>
          <w:p w14:paraId="610823F5"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7,108</w:t>
            </w:r>
          </w:p>
        </w:tc>
        <w:tc>
          <w:tcPr>
            <w:tcW w:w="1712" w:type="dxa"/>
            <w:tcBorders>
              <w:top w:val="nil"/>
              <w:bottom w:val="nil"/>
            </w:tcBorders>
          </w:tcPr>
          <w:p w14:paraId="10584E11"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6,935</w:t>
            </w:r>
          </w:p>
        </w:tc>
      </w:tr>
      <w:tr w:rsidR="0004342B" w:rsidRPr="00A96D90" w14:paraId="79D3A913" w14:textId="77777777" w:rsidTr="00691179">
        <w:trPr>
          <w:jc w:val="center"/>
        </w:trPr>
        <w:tc>
          <w:tcPr>
            <w:tcW w:w="4780" w:type="dxa"/>
            <w:tcBorders>
              <w:top w:val="nil"/>
              <w:bottom w:val="nil"/>
            </w:tcBorders>
          </w:tcPr>
          <w:p w14:paraId="6B2BC264"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1580" w:type="dxa"/>
            <w:tcBorders>
              <w:top w:val="nil"/>
              <w:bottom w:val="nil"/>
            </w:tcBorders>
            <w:shd w:val="clear" w:color="auto" w:fill="F2F2F2" w:themeFill="background1" w:themeFillShade="F2"/>
          </w:tcPr>
          <w:p w14:paraId="08CD63A7"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451,508</w:t>
            </w:r>
          </w:p>
        </w:tc>
        <w:tc>
          <w:tcPr>
            <w:tcW w:w="1712" w:type="dxa"/>
            <w:tcBorders>
              <w:top w:val="nil"/>
              <w:bottom w:val="nil"/>
            </w:tcBorders>
          </w:tcPr>
          <w:p w14:paraId="4A74B1BE"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443,412</w:t>
            </w:r>
          </w:p>
        </w:tc>
      </w:tr>
      <w:tr w:rsidR="0004342B" w:rsidRPr="00A96D90" w14:paraId="7B19A166" w14:textId="77777777" w:rsidTr="00691179">
        <w:trPr>
          <w:jc w:val="center"/>
        </w:trPr>
        <w:tc>
          <w:tcPr>
            <w:tcW w:w="4780" w:type="dxa"/>
            <w:tcBorders>
              <w:top w:val="nil"/>
              <w:bottom w:val="nil"/>
            </w:tcBorders>
          </w:tcPr>
          <w:p w14:paraId="480A430D"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1580" w:type="dxa"/>
            <w:tcBorders>
              <w:top w:val="nil"/>
              <w:bottom w:val="nil"/>
            </w:tcBorders>
            <w:shd w:val="clear" w:color="auto" w:fill="F2F2F2" w:themeFill="background1" w:themeFillShade="F2"/>
          </w:tcPr>
          <w:p w14:paraId="4CBB1B05"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w:t>
            </w:r>
            <w:r>
              <w:rPr>
                <w:rFonts w:asciiTheme="minorHAnsi" w:hAnsiTheme="minorHAnsi" w:cs="Arial"/>
                <w:bCs/>
                <w:color w:val="59595B"/>
                <w:sz w:val="20"/>
                <w:szCs w:val="20"/>
              </w:rPr>
              <w:t>1,280</w:t>
            </w:r>
            <w:r w:rsidRPr="00757B1C">
              <w:rPr>
                <w:rFonts w:asciiTheme="minorHAnsi" w:hAnsiTheme="minorHAnsi" w:cs="Arial"/>
                <w:bCs/>
                <w:color w:val="59595B"/>
                <w:sz w:val="20"/>
                <w:szCs w:val="20"/>
              </w:rPr>
              <w:t>)</w:t>
            </w:r>
          </w:p>
        </w:tc>
        <w:tc>
          <w:tcPr>
            <w:tcW w:w="1712" w:type="dxa"/>
            <w:tcBorders>
              <w:top w:val="nil"/>
              <w:bottom w:val="nil"/>
            </w:tcBorders>
          </w:tcPr>
          <w:p w14:paraId="41086BBA"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(1,124)</w:t>
            </w:r>
          </w:p>
        </w:tc>
      </w:tr>
      <w:tr w:rsidR="0004342B" w:rsidRPr="00A96D90" w14:paraId="7E1DC37A" w14:textId="77777777" w:rsidTr="00691179">
        <w:trPr>
          <w:jc w:val="center"/>
        </w:trPr>
        <w:tc>
          <w:tcPr>
            <w:tcW w:w="4780" w:type="dxa"/>
            <w:tcBorders>
              <w:top w:val="nil"/>
              <w:bottom w:val="nil"/>
            </w:tcBorders>
          </w:tcPr>
          <w:p w14:paraId="2151B64D"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1580" w:type="dxa"/>
            <w:tcBorders>
              <w:top w:val="nil"/>
              <w:bottom w:val="nil"/>
            </w:tcBorders>
            <w:shd w:val="clear" w:color="auto" w:fill="F2F2F2" w:themeFill="background1" w:themeFillShade="F2"/>
          </w:tcPr>
          <w:p w14:paraId="56CB5F58"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sidRPr="00757B1C">
              <w:rPr>
                <w:rFonts w:asciiTheme="minorHAnsi" w:hAnsiTheme="minorHAnsi" w:cs="Arial"/>
                <w:bCs/>
                <w:color w:val="59595B"/>
                <w:sz w:val="20"/>
                <w:szCs w:val="20"/>
              </w:rPr>
              <w:t>(</w:t>
            </w:r>
            <w:r>
              <w:rPr>
                <w:rFonts w:asciiTheme="minorHAnsi" w:hAnsiTheme="minorHAnsi" w:cs="Arial"/>
                <w:bCs/>
                <w:color w:val="59595B"/>
                <w:sz w:val="20"/>
                <w:szCs w:val="20"/>
              </w:rPr>
              <w:t>409,986</w:t>
            </w:r>
            <w:r w:rsidRPr="00757B1C">
              <w:rPr>
                <w:rFonts w:asciiTheme="minorHAnsi" w:hAnsiTheme="minorHAnsi" w:cs="Arial"/>
                <w:bCs/>
                <w:color w:val="59595B"/>
                <w:sz w:val="20"/>
                <w:szCs w:val="20"/>
              </w:rPr>
              <w:t>)</w:t>
            </w:r>
          </w:p>
        </w:tc>
        <w:tc>
          <w:tcPr>
            <w:tcW w:w="1712" w:type="dxa"/>
            <w:tcBorders>
              <w:top w:val="nil"/>
              <w:bottom w:val="nil"/>
            </w:tcBorders>
          </w:tcPr>
          <w:p w14:paraId="531595B9"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(426,703)</w:t>
            </w:r>
          </w:p>
        </w:tc>
      </w:tr>
      <w:tr w:rsidR="0004342B" w:rsidRPr="00A96D90" w14:paraId="06F26E83" w14:textId="77777777" w:rsidTr="00691179">
        <w:trPr>
          <w:jc w:val="center"/>
        </w:trPr>
        <w:tc>
          <w:tcPr>
            <w:tcW w:w="4780" w:type="dxa"/>
            <w:tcBorders>
              <w:top w:val="nil"/>
              <w:bottom w:val="nil"/>
            </w:tcBorders>
          </w:tcPr>
          <w:p w14:paraId="56E12764"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1580" w:type="dxa"/>
            <w:tcBorders>
              <w:top w:val="nil"/>
              <w:bottom w:val="nil"/>
            </w:tcBorders>
            <w:shd w:val="clear" w:color="auto" w:fill="F2F2F2" w:themeFill="background1" w:themeFillShade="F2"/>
          </w:tcPr>
          <w:p w14:paraId="16B0FBC6"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sidRPr="00757B1C">
              <w:rPr>
                <w:rFonts w:asciiTheme="minorHAnsi" w:hAnsiTheme="minorHAnsi" w:cs="Arial"/>
                <w:b/>
                <w:bCs/>
                <w:color w:val="59595B"/>
                <w:sz w:val="20"/>
                <w:szCs w:val="20"/>
              </w:rPr>
              <w:t>4</w:t>
            </w:r>
            <w:r>
              <w:rPr>
                <w:rFonts w:asciiTheme="minorHAnsi" w:hAnsiTheme="minorHAnsi" w:cs="Arial"/>
                <w:b/>
                <w:bCs/>
                <w:color w:val="59595B"/>
                <w:sz w:val="20"/>
                <w:szCs w:val="20"/>
              </w:rPr>
              <w:t>7,350</w:t>
            </w:r>
          </w:p>
        </w:tc>
        <w:tc>
          <w:tcPr>
            <w:tcW w:w="1712" w:type="dxa"/>
            <w:tcBorders>
              <w:top w:val="nil"/>
              <w:bottom w:val="nil"/>
            </w:tcBorders>
          </w:tcPr>
          <w:p w14:paraId="1EB7A99B"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22,520</w:t>
            </w:r>
          </w:p>
        </w:tc>
      </w:tr>
      <w:tr w:rsidR="0004342B" w:rsidRPr="00A96D90" w14:paraId="75900A52" w14:textId="77777777" w:rsidTr="00691179">
        <w:trPr>
          <w:jc w:val="center"/>
        </w:trPr>
        <w:tc>
          <w:tcPr>
            <w:tcW w:w="4780" w:type="dxa"/>
            <w:tcBorders>
              <w:top w:val="nil"/>
              <w:bottom w:val="nil"/>
            </w:tcBorders>
          </w:tcPr>
          <w:p w14:paraId="1D864AD8"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43F1FD3C"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358CCC8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176F8E09" w14:textId="77777777" w:rsidTr="00691179">
        <w:trPr>
          <w:jc w:val="center"/>
        </w:trPr>
        <w:tc>
          <w:tcPr>
            <w:tcW w:w="4780" w:type="dxa"/>
            <w:tcBorders>
              <w:top w:val="nil"/>
              <w:bottom w:val="nil"/>
            </w:tcBorders>
          </w:tcPr>
          <w:p w14:paraId="31E8E879"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4F2B2706"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55,729</w:t>
            </w:r>
          </w:p>
        </w:tc>
        <w:tc>
          <w:tcPr>
            <w:tcW w:w="1712" w:type="dxa"/>
            <w:tcBorders>
              <w:top w:val="nil"/>
              <w:bottom w:val="nil"/>
            </w:tcBorders>
          </w:tcPr>
          <w:p w14:paraId="4584EC71"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70,286</w:t>
            </w:r>
          </w:p>
        </w:tc>
      </w:tr>
      <w:tr w:rsidR="0004342B" w:rsidRPr="00A96D90" w14:paraId="37FE2BDB" w14:textId="77777777" w:rsidTr="00691179">
        <w:trPr>
          <w:jc w:val="center"/>
        </w:trPr>
        <w:tc>
          <w:tcPr>
            <w:tcW w:w="4780" w:type="dxa"/>
            <w:tcBorders>
              <w:top w:val="nil"/>
              <w:bottom w:val="nil"/>
            </w:tcBorders>
          </w:tcPr>
          <w:p w14:paraId="2DA8A0B9"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1580" w:type="dxa"/>
            <w:tcBorders>
              <w:top w:val="nil"/>
              <w:bottom w:val="nil"/>
            </w:tcBorders>
            <w:shd w:val="clear" w:color="auto" w:fill="F2F2F2" w:themeFill="background1" w:themeFillShade="F2"/>
          </w:tcPr>
          <w:p w14:paraId="392AAE8D"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1,242</w:t>
            </w:r>
          </w:p>
        </w:tc>
        <w:tc>
          <w:tcPr>
            <w:tcW w:w="1712" w:type="dxa"/>
            <w:tcBorders>
              <w:top w:val="nil"/>
              <w:bottom w:val="nil"/>
            </w:tcBorders>
          </w:tcPr>
          <w:p w14:paraId="35772CCB"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1,757</w:t>
            </w:r>
          </w:p>
        </w:tc>
      </w:tr>
      <w:tr w:rsidR="0004342B" w:rsidRPr="00A96D90" w14:paraId="2ED73B4D" w14:textId="77777777" w:rsidTr="00691179">
        <w:trPr>
          <w:jc w:val="center"/>
        </w:trPr>
        <w:tc>
          <w:tcPr>
            <w:tcW w:w="4780" w:type="dxa"/>
            <w:tcBorders>
              <w:top w:val="nil"/>
              <w:bottom w:val="nil"/>
            </w:tcBorders>
          </w:tcPr>
          <w:p w14:paraId="2CE54EAC"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7407D55A"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288</w:t>
            </w:r>
          </w:p>
        </w:tc>
        <w:tc>
          <w:tcPr>
            <w:tcW w:w="1712" w:type="dxa"/>
            <w:tcBorders>
              <w:top w:val="nil"/>
              <w:bottom w:val="nil"/>
            </w:tcBorders>
          </w:tcPr>
          <w:p w14:paraId="6B90D8BA"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467</w:t>
            </w:r>
          </w:p>
        </w:tc>
      </w:tr>
      <w:tr w:rsidR="0004342B" w:rsidRPr="00A96D90" w14:paraId="1AC04155" w14:textId="77777777" w:rsidTr="00691179">
        <w:trPr>
          <w:jc w:val="center"/>
        </w:trPr>
        <w:tc>
          <w:tcPr>
            <w:tcW w:w="4780" w:type="dxa"/>
            <w:tcBorders>
              <w:top w:val="nil"/>
              <w:bottom w:val="nil"/>
            </w:tcBorders>
          </w:tcPr>
          <w:p w14:paraId="120AC9D3"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rPr>
            </w:pPr>
            <w:r w:rsidRPr="00A96D90">
              <w:rPr>
                <w:rFonts w:asciiTheme="minorHAnsi" w:hAnsiTheme="minorHAnsi" w:cs="Arial"/>
                <w:bCs/>
                <w:color w:val="59595B"/>
                <w:sz w:val="20"/>
                <w:szCs w:val="20"/>
                <w:lang w:val="en-GB"/>
              </w:rPr>
              <w:t xml:space="preserve">Other </w:t>
            </w:r>
            <w:r>
              <w:rPr>
                <w:rFonts w:asciiTheme="minorHAnsi" w:hAnsiTheme="minorHAnsi" w:cs="Arial"/>
                <w:bCs/>
                <w:color w:val="59595B"/>
                <w:sz w:val="20"/>
                <w:szCs w:val="20"/>
              </w:rPr>
              <w:t>financial liabilities</w:t>
            </w:r>
          </w:p>
        </w:tc>
        <w:tc>
          <w:tcPr>
            <w:tcW w:w="1580" w:type="dxa"/>
            <w:tcBorders>
              <w:top w:val="nil"/>
              <w:bottom w:val="nil"/>
            </w:tcBorders>
            <w:shd w:val="clear" w:color="auto" w:fill="F2F2F2" w:themeFill="background1" w:themeFillShade="F2"/>
          </w:tcPr>
          <w:p w14:paraId="42ED56C1"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31,619</w:t>
            </w:r>
          </w:p>
        </w:tc>
        <w:tc>
          <w:tcPr>
            <w:tcW w:w="1712" w:type="dxa"/>
            <w:tcBorders>
              <w:top w:val="nil"/>
              <w:bottom w:val="nil"/>
            </w:tcBorders>
          </w:tcPr>
          <w:p w14:paraId="2625FF4F"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rPr>
            </w:pPr>
            <w:r>
              <w:rPr>
                <w:rFonts w:asciiTheme="minorHAnsi" w:hAnsiTheme="minorHAnsi" w:cs="Arial"/>
                <w:bCs/>
                <w:color w:val="59595B"/>
                <w:sz w:val="20"/>
              </w:rPr>
              <w:t>33,918</w:t>
            </w:r>
          </w:p>
        </w:tc>
      </w:tr>
      <w:tr w:rsidR="0004342B" w:rsidRPr="00A96D90" w14:paraId="348899B2" w14:textId="77777777" w:rsidTr="00691179">
        <w:trPr>
          <w:jc w:val="center"/>
        </w:trPr>
        <w:tc>
          <w:tcPr>
            <w:tcW w:w="4780" w:type="dxa"/>
            <w:tcBorders>
              <w:top w:val="nil"/>
              <w:bottom w:val="nil"/>
            </w:tcBorders>
          </w:tcPr>
          <w:p w14:paraId="5C97263B"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1580" w:type="dxa"/>
            <w:tcBorders>
              <w:top w:val="nil"/>
              <w:bottom w:val="nil"/>
            </w:tcBorders>
            <w:shd w:val="clear" w:color="auto" w:fill="F2F2F2" w:themeFill="background1" w:themeFillShade="F2"/>
          </w:tcPr>
          <w:p w14:paraId="2DA282CC"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88,878</w:t>
            </w:r>
          </w:p>
        </w:tc>
        <w:tc>
          <w:tcPr>
            <w:tcW w:w="1712" w:type="dxa"/>
            <w:tcBorders>
              <w:top w:val="nil"/>
              <w:bottom w:val="nil"/>
            </w:tcBorders>
          </w:tcPr>
          <w:p w14:paraId="4E808C06"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106,428</w:t>
            </w:r>
          </w:p>
        </w:tc>
      </w:tr>
      <w:tr w:rsidR="0004342B" w:rsidRPr="00A96D90" w14:paraId="284D5D16" w14:textId="77777777" w:rsidTr="00691179">
        <w:trPr>
          <w:jc w:val="center"/>
        </w:trPr>
        <w:tc>
          <w:tcPr>
            <w:tcW w:w="4780" w:type="dxa"/>
            <w:tcBorders>
              <w:top w:val="nil"/>
              <w:bottom w:val="nil"/>
            </w:tcBorders>
          </w:tcPr>
          <w:p w14:paraId="777D217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167AEB31"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049D7991"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96D90" w14:paraId="31E2CDBA" w14:textId="77777777" w:rsidTr="00691179">
        <w:trPr>
          <w:jc w:val="center"/>
        </w:trPr>
        <w:tc>
          <w:tcPr>
            <w:tcW w:w="4780" w:type="dxa"/>
            <w:tcBorders>
              <w:top w:val="nil"/>
              <w:bottom w:val="nil"/>
            </w:tcBorders>
          </w:tcPr>
          <w:p w14:paraId="3AF8CB51"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p>
        </w:tc>
        <w:tc>
          <w:tcPr>
            <w:tcW w:w="1580" w:type="dxa"/>
            <w:tcBorders>
              <w:top w:val="nil"/>
              <w:bottom w:val="nil"/>
            </w:tcBorders>
            <w:shd w:val="clear" w:color="auto" w:fill="F2F2F2" w:themeFill="background1" w:themeFillShade="F2"/>
          </w:tcPr>
          <w:p w14:paraId="759CB059"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40,957</w:t>
            </w:r>
          </w:p>
        </w:tc>
        <w:tc>
          <w:tcPr>
            <w:tcW w:w="1712" w:type="dxa"/>
            <w:tcBorders>
              <w:top w:val="nil"/>
              <w:bottom w:val="nil"/>
            </w:tcBorders>
          </w:tcPr>
          <w:p w14:paraId="172642F1"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26,304</w:t>
            </w:r>
          </w:p>
        </w:tc>
      </w:tr>
      <w:tr w:rsidR="0004342B" w:rsidRPr="00A96D90" w14:paraId="152A29B3" w14:textId="77777777" w:rsidTr="00691179">
        <w:trPr>
          <w:jc w:val="center"/>
        </w:trPr>
        <w:tc>
          <w:tcPr>
            <w:tcW w:w="4780" w:type="dxa"/>
            <w:tcBorders>
              <w:top w:val="nil"/>
              <w:bottom w:val="nil"/>
            </w:tcBorders>
          </w:tcPr>
          <w:p w14:paraId="64FB188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1580" w:type="dxa"/>
            <w:tcBorders>
              <w:top w:val="nil"/>
              <w:bottom w:val="nil"/>
            </w:tcBorders>
            <w:shd w:val="clear" w:color="auto" w:fill="F2F2F2" w:themeFill="background1" w:themeFillShade="F2"/>
          </w:tcPr>
          <w:p w14:paraId="0FEA0470"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932</w:t>
            </w:r>
          </w:p>
        </w:tc>
        <w:tc>
          <w:tcPr>
            <w:tcW w:w="1712" w:type="dxa"/>
            <w:tcBorders>
              <w:top w:val="nil"/>
              <w:bottom w:val="nil"/>
            </w:tcBorders>
          </w:tcPr>
          <w:p w14:paraId="1FB8F20A"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962</w:t>
            </w:r>
          </w:p>
        </w:tc>
      </w:tr>
      <w:tr w:rsidR="0004342B" w:rsidRPr="00A96D90" w14:paraId="0479AC8D" w14:textId="77777777" w:rsidTr="00691179">
        <w:trPr>
          <w:jc w:val="center"/>
        </w:trPr>
        <w:tc>
          <w:tcPr>
            <w:tcW w:w="4780" w:type="dxa"/>
            <w:tcBorders>
              <w:top w:val="nil"/>
              <w:bottom w:val="nil"/>
            </w:tcBorders>
          </w:tcPr>
          <w:p w14:paraId="0D8E771F"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1580" w:type="dxa"/>
            <w:tcBorders>
              <w:top w:val="nil"/>
              <w:bottom w:val="nil"/>
            </w:tcBorders>
            <w:shd w:val="clear" w:color="auto" w:fill="F2F2F2" w:themeFill="background1" w:themeFillShade="F2"/>
          </w:tcPr>
          <w:p w14:paraId="2D7C917E"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1,609</w:t>
            </w:r>
          </w:p>
        </w:tc>
        <w:tc>
          <w:tcPr>
            <w:tcW w:w="1712" w:type="dxa"/>
            <w:tcBorders>
              <w:top w:val="nil"/>
              <w:bottom w:val="nil"/>
            </w:tcBorders>
          </w:tcPr>
          <w:p w14:paraId="1EE64F37"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9,942</w:t>
            </w:r>
          </w:p>
        </w:tc>
      </w:tr>
      <w:tr w:rsidR="0004342B" w:rsidRPr="00A96D90" w14:paraId="45C98112" w14:textId="77777777" w:rsidTr="00691179">
        <w:trPr>
          <w:jc w:val="center"/>
        </w:trPr>
        <w:tc>
          <w:tcPr>
            <w:tcW w:w="4780" w:type="dxa"/>
            <w:tcBorders>
              <w:top w:val="nil"/>
              <w:bottom w:val="nil"/>
            </w:tcBorders>
          </w:tcPr>
          <w:p w14:paraId="4ADD6035"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1580" w:type="dxa"/>
            <w:tcBorders>
              <w:top w:val="nil"/>
              <w:bottom w:val="nil"/>
            </w:tcBorders>
            <w:shd w:val="clear" w:color="auto" w:fill="F2F2F2" w:themeFill="background1" w:themeFillShade="F2"/>
          </w:tcPr>
          <w:p w14:paraId="29C0B9EE"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31,152</w:t>
            </w:r>
          </w:p>
        </w:tc>
        <w:tc>
          <w:tcPr>
            <w:tcW w:w="1712" w:type="dxa"/>
            <w:tcBorders>
              <w:top w:val="nil"/>
              <w:bottom w:val="nil"/>
            </w:tcBorders>
          </w:tcPr>
          <w:p w14:paraId="61A9AFC8"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32,575</w:t>
            </w:r>
          </w:p>
        </w:tc>
      </w:tr>
      <w:tr w:rsidR="0004342B" w:rsidRPr="00A96D90" w14:paraId="002BDC2D" w14:textId="77777777" w:rsidTr="00691179">
        <w:trPr>
          <w:jc w:val="center"/>
        </w:trPr>
        <w:tc>
          <w:tcPr>
            <w:tcW w:w="4780" w:type="dxa"/>
            <w:tcBorders>
              <w:top w:val="nil"/>
              <w:bottom w:val="nil"/>
            </w:tcBorders>
          </w:tcPr>
          <w:p w14:paraId="5E695B37"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1580" w:type="dxa"/>
            <w:tcBorders>
              <w:top w:val="nil"/>
              <w:bottom w:val="nil"/>
            </w:tcBorders>
            <w:shd w:val="clear" w:color="auto" w:fill="F2F2F2" w:themeFill="background1" w:themeFillShade="F2"/>
          </w:tcPr>
          <w:p w14:paraId="0ADD385B"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306</w:t>
            </w:r>
          </w:p>
        </w:tc>
        <w:tc>
          <w:tcPr>
            <w:tcW w:w="1712" w:type="dxa"/>
            <w:tcBorders>
              <w:top w:val="nil"/>
              <w:bottom w:val="nil"/>
            </w:tcBorders>
          </w:tcPr>
          <w:p w14:paraId="63C7B9B2"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rPr>
            </w:pPr>
            <w:r>
              <w:rPr>
                <w:rFonts w:asciiTheme="minorHAnsi" w:hAnsiTheme="minorHAnsi" w:cs="Arial"/>
                <w:bCs/>
                <w:color w:val="59595B"/>
                <w:sz w:val="20"/>
                <w:szCs w:val="20"/>
              </w:rPr>
              <w:t>315</w:t>
            </w:r>
          </w:p>
        </w:tc>
      </w:tr>
      <w:tr w:rsidR="0004342B" w:rsidRPr="00A96D90" w14:paraId="712FFE10" w14:textId="77777777" w:rsidTr="00691179">
        <w:trPr>
          <w:jc w:val="center"/>
        </w:trPr>
        <w:tc>
          <w:tcPr>
            <w:tcW w:w="4780" w:type="dxa"/>
            <w:tcBorders>
              <w:top w:val="nil"/>
              <w:bottom w:val="nil"/>
            </w:tcBorders>
          </w:tcPr>
          <w:p w14:paraId="2DAA5D27"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1580" w:type="dxa"/>
            <w:tcBorders>
              <w:top w:val="nil"/>
              <w:bottom w:val="nil"/>
            </w:tcBorders>
            <w:shd w:val="clear" w:color="auto" w:fill="F2F2F2" w:themeFill="background1" w:themeFillShade="F2"/>
          </w:tcPr>
          <w:p w14:paraId="7BC45A7C"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74,956</w:t>
            </w:r>
          </w:p>
        </w:tc>
        <w:tc>
          <w:tcPr>
            <w:tcW w:w="1712" w:type="dxa"/>
            <w:tcBorders>
              <w:top w:val="nil"/>
              <w:bottom w:val="nil"/>
            </w:tcBorders>
          </w:tcPr>
          <w:p w14:paraId="36D053EA"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rPr>
            </w:pPr>
            <w:r>
              <w:rPr>
                <w:rFonts w:asciiTheme="minorHAnsi" w:hAnsiTheme="minorHAnsi" w:cs="Arial"/>
                <w:b/>
                <w:bCs/>
                <w:color w:val="59595B"/>
                <w:sz w:val="20"/>
                <w:szCs w:val="20"/>
              </w:rPr>
              <w:t>70,098</w:t>
            </w:r>
          </w:p>
        </w:tc>
      </w:tr>
      <w:tr w:rsidR="0004342B" w:rsidRPr="00A96D90" w14:paraId="660FEA39" w14:textId="77777777" w:rsidTr="00691179">
        <w:trPr>
          <w:jc w:val="center"/>
        </w:trPr>
        <w:tc>
          <w:tcPr>
            <w:tcW w:w="4780" w:type="dxa"/>
            <w:tcBorders>
              <w:top w:val="nil"/>
              <w:bottom w:val="single" w:sz="4" w:space="0" w:color="BFBFBF" w:themeColor="background1" w:themeShade="BF"/>
            </w:tcBorders>
          </w:tcPr>
          <w:p w14:paraId="5932A5A5" w14:textId="77777777" w:rsidR="0004342B" w:rsidRPr="00A96D90"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07099245"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153D270D" w14:textId="77777777" w:rsidR="0004342B" w:rsidRPr="00A96D90"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04342B" w:rsidRPr="00A81B8E" w14:paraId="7E229B93" w14:textId="77777777" w:rsidTr="00691179">
        <w:trPr>
          <w:jc w:val="center"/>
        </w:trPr>
        <w:tc>
          <w:tcPr>
            <w:tcW w:w="4780" w:type="dxa"/>
            <w:tcBorders>
              <w:top w:val="single" w:sz="4" w:space="0" w:color="BFBFBF" w:themeColor="background1" w:themeShade="BF"/>
              <w:bottom w:val="single" w:sz="4" w:space="0" w:color="BFBFBF" w:themeColor="background1" w:themeShade="BF"/>
            </w:tcBorders>
          </w:tcPr>
          <w:p w14:paraId="0B997802" w14:textId="77777777" w:rsidR="0004342B" w:rsidRPr="00A81B8E" w:rsidRDefault="0004342B" w:rsidP="00691179">
            <w:pPr>
              <w:tabs>
                <w:tab w:val="left" w:pos="3686"/>
                <w:tab w:val="right" w:pos="7200"/>
                <w:tab w:val="right" w:pos="8789"/>
                <w:tab w:val="right" w:pos="8820"/>
              </w:tabs>
              <w:autoSpaceDE w:val="0"/>
              <w:autoSpaceDN w:val="0"/>
              <w:adjustRightInd w:val="0"/>
              <w:rPr>
                <w:rFonts w:asciiTheme="minorHAnsi" w:hAnsiTheme="minorHAnsi" w:cs="Arial"/>
                <w:b/>
                <w:bCs/>
                <w:color w:val="0070C0"/>
                <w:sz w:val="20"/>
                <w:szCs w:val="20"/>
                <w:lang w:val="en-GB"/>
              </w:rPr>
            </w:pPr>
            <w:r w:rsidRPr="00A81B8E">
              <w:rPr>
                <w:rFonts w:asciiTheme="minorHAnsi" w:hAnsiTheme="minorHAnsi" w:cs="Arial"/>
                <w:b/>
                <w:bCs/>
                <w:color w:val="0070C0"/>
                <w:sz w:val="20"/>
                <w:szCs w:val="20"/>
                <w:lang w:val="en-GB"/>
              </w:rPr>
              <w:t>Total equity and liabilities</w:t>
            </w: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99D9C67" w14:textId="77777777" w:rsidR="0004342B" w:rsidRPr="00757B1C"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211,184</w:t>
            </w:r>
          </w:p>
        </w:tc>
        <w:tc>
          <w:tcPr>
            <w:tcW w:w="1712" w:type="dxa"/>
            <w:tcBorders>
              <w:top w:val="single" w:sz="4" w:space="0" w:color="BFBFBF" w:themeColor="background1" w:themeShade="BF"/>
              <w:bottom w:val="single" w:sz="4" w:space="0" w:color="BFBFBF" w:themeColor="background1" w:themeShade="BF"/>
            </w:tcBorders>
          </w:tcPr>
          <w:p w14:paraId="4E85CD52" w14:textId="77777777" w:rsidR="0004342B" w:rsidRPr="003814CF" w:rsidRDefault="0004342B" w:rsidP="00691179">
            <w:pPr>
              <w:tabs>
                <w:tab w:val="left" w:pos="3686"/>
                <w:tab w:val="right" w:pos="7200"/>
                <w:tab w:val="right" w:pos="8789"/>
                <w:tab w:val="right" w:pos="8820"/>
              </w:tabs>
              <w:autoSpaceDE w:val="0"/>
              <w:autoSpaceDN w:val="0"/>
              <w:adjustRightInd w:val="0"/>
              <w:jc w:val="right"/>
              <w:rPr>
                <w:rFonts w:asciiTheme="minorHAnsi" w:hAnsiTheme="minorHAnsi" w:cs="Arial"/>
                <w:b/>
                <w:bCs/>
                <w:color w:val="0070C0"/>
                <w:sz w:val="20"/>
                <w:szCs w:val="20"/>
              </w:rPr>
            </w:pPr>
            <w:r>
              <w:rPr>
                <w:rFonts w:asciiTheme="minorHAnsi" w:hAnsiTheme="minorHAnsi" w:cs="Arial"/>
                <w:b/>
                <w:bCs/>
                <w:color w:val="0070C0"/>
                <w:sz w:val="20"/>
                <w:szCs w:val="20"/>
              </w:rPr>
              <w:t>199,046</w:t>
            </w:r>
          </w:p>
        </w:tc>
      </w:tr>
    </w:tbl>
    <w:p w14:paraId="10B75FF9" w14:textId="77777777" w:rsidR="0004342B" w:rsidRPr="00A81B8E" w:rsidRDefault="0004342B" w:rsidP="0004342B">
      <w:pPr>
        <w:rPr>
          <w:rFonts w:ascii="Calibri" w:hAnsi="Calibri" w:cstheme="minorHAnsi"/>
          <w:color w:val="0070C0"/>
          <w:szCs w:val="22"/>
          <w:lang w:val="en-GB"/>
        </w:rPr>
      </w:pPr>
    </w:p>
    <w:p w14:paraId="65E999D0" w14:textId="77777777" w:rsidR="0004342B" w:rsidRPr="00A96D90" w:rsidRDefault="0004342B" w:rsidP="0004342B">
      <w:pPr>
        <w:rPr>
          <w:color w:val="59595B"/>
          <w:lang w:val="en-GB"/>
        </w:rPr>
      </w:pPr>
    </w:p>
    <w:p w14:paraId="4DBEAFE8" w14:textId="77777777" w:rsidR="0004342B" w:rsidRPr="00A96D90" w:rsidRDefault="0004342B" w:rsidP="004339CB">
      <w:pPr>
        <w:jc w:val="left"/>
        <w:rPr>
          <w:color w:val="59595B"/>
          <w:lang w:val="en-GB"/>
        </w:rPr>
      </w:pPr>
    </w:p>
    <w:sectPr w:rsidR="0004342B" w:rsidRPr="00A96D90" w:rsidSect="000700EB">
      <w:headerReference w:type="default" r:id="rId12"/>
      <w:footerReference w:type="default" r:id="rId13"/>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7E2C1" w14:textId="77777777" w:rsidR="007879C7" w:rsidRDefault="007879C7">
      <w:r>
        <w:separator/>
      </w:r>
    </w:p>
  </w:endnote>
  <w:endnote w:type="continuationSeparator" w:id="0">
    <w:p w14:paraId="4943B0F4" w14:textId="77777777" w:rsidR="007879C7" w:rsidRDefault="007879C7">
      <w:r>
        <w:continuationSeparator/>
      </w:r>
    </w:p>
  </w:endnote>
  <w:endnote w:type="continuationNotice" w:id="1">
    <w:p w14:paraId="1EEA091E" w14:textId="77777777" w:rsidR="007879C7" w:rsidRDefault="00787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Calibri Light" w:hAnsi="Calibri Light"/>
        <w:noProof/>
        <w:color w:val="59595B"/>
        <w:sz w:val="20"/>
      </w:rPr>
    </w:sdtEndPr>
    <w:sdtContent>
      <w:p w14:paraId="7090B128" w14:textId="77777777" w:rsidR="008742A0" w:rsidRPr="00116682" w:rsidRDefault="008742A0">
        <w:pPr>
          <w:pStyle w:val="Footer"/>
          <w:jc w:val="center"/>
          <w:rPr>
            <w:rFonts w:ascii="Calibri Light" w:hAnsi="Calibri Light"/>
            <w:color w:val="59595B"/>
            <w:sz w:val="20"/>
          </w:rPr>
        </w:pPr>
        <w:r w:rsidRPr="00116682">
          <w:rPr>
            <w:rFonts w:ascii="Calibri Light" w:hAnsi="Calibri Light"/>
            <w:color w:val="59595B"/>
            <w:sz w:val="20"/>
          </w:rPr>
          <w:fldChar w:fldCharType="begin"/>
        </w:r>
        <w:r w:rsidRPr="00116682">
          <w:rPr>
            <w:rFonts w:ascii="Calibri Light" w:hAnsi="Calibri Light"/>
            <w:color w:val="59595B"/>
            <w:sz w:val="20"/>
          </w:rPr>
          <w:instrText xml:space="preserve"> PAGE   \* MERGEFORMAT </w:instrText>
        </w:r>
        <w:r w:rsidRPr="00116682">
          <w:rPr>
            <w:rFonts w:ascii="Calibri Light" w:hAnsi="Calibri Light"/>
            <w:color w:val="59595B"/>
            <w:sz w:val="20"/>
          </w:rPr>
          <w:fldChar w:fldCharType="separate"/>
        </w:r>
        <w:r w:rsidR="000A1ECE">
          <w:rPr>
            <w:rFonts w:ascii="Calibri Light" w:hAnsi="Calibri Light"/>
            <w:noProof/>
            <w:color w:val="59595B"/>
            <w:sz w:val="20"/>
          </w:rPr>
          <w:t>12</w:t>
        </w:r>
        <w:r w:rsidRPr="00116682">
          <w:rPr>
            <w:rFonts w:ascii="Calibri Light" w:hAnsi="Calibri Light"/>
            <w:noProof/>
            <w:color w:val="59595B"/>
            <w:sz w:val="20"/>
          </w:rPr>
          <w:fldChar w:fldCharType="end"/>
        </w:r>
      </w:p>
    </w:sdtContent>
  </w:sdt>
  <w:p w14:paraId="79E93AA6" w14:textId="77777777" w:rsidR="008742A0" w:rsidRDefault="0087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3DB9F" w14:textId="77777777" w:rsidR="007879C7" w:rsidRDefault="007879C7">
      <w:r>
        <w:separator/>
      </w:r>
    </w:p>
  </w:footnote>
  <w:footnote w:type="continuationSeparator" w:id="0">
    <w:p w14:paraId="09B1E23F" w14:textId="77777777" w:rsidR="007879C7" w:rsidRDefault="007879C7">
      <w:r>
        <w:continuationSeparator/>
      </w:r>
    </w:p>
  </w:footnote>
  <w:footnote w:type="continuationNotice" w:id="1">
    <w:p w14:paraId="4C2FEE5E" w14:textId="77777777" w:rsidR="007879C7" w:rsidRDefault="007879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1BCA" w14:textId="77777777" w:rsidR="008742A0" w:rsidRPr="004038DD" w:rsidRDefault="008742A0" w:rsidP="004038DD">
    <w:pPr>
      <w:pStyle w:val="Header"/>
    </w:pPr>
    <w:r>
      <w:rPr>
        <w:noProof/>
        <w:lang w:val="en-GB" w:eastAsia="en-GB"/>
      </w:rPr>
      <w:drawing>
        <wp:anchor distT="0" distB="0" distL="114300" distR="114300" simplePos="0" relativeHeight="251658240" behindDoc="1" locked="0" layoutInCell="1" allowOverlap="1" wp14:anchorId="352C71CE" wp14:editId="0516B126">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6"/>
  </w:num>
  <w:num w:numId="5">
    <w:abstractNumId w:val="6"/>
  </w:num>
  <w:num w:numId="6">
    <w:abstractNumId w:val="12"/>
  </w:num>
  <w:num w:numId="7">
    <w:abstractNumId w:val="4"/>
  </w:num>
  <w:num w:numId="8">
    <w:abstractNumId w:val="1"/>
  </w:num>
  <w:num w:numId="9">
    <w:abstractNumId w:val="0"/>
  </w:num>
  <w:num w:numId="10">
    <w:abstractNumId w:val="2"/>
  </w:num>
  <w:num w:numId="11">
    <w:abstractNumId w:val="3"/>
  </w:num>
  <w:num w:numId="12">
    <w:abstractNumId w:val="15"/>
  </w:num>
  <w:num w:numId="13">
    <w:abstractNumId w:val="11"/>
  </w:num>
  <w:num w:numId="14">
    <w:abstractNumId w:val="8"/>
  </w:num>
  <w:num w:numId="15">
    <w:abstractNumId w:val="10"/>
  </w:num>
  <w:num w:numId="16">
    <w:abstractNumId w:val="7"/>
  </w:num>
  <w:num w:numId="17">
    <w:abstractNumId w:val="17"/>
  </w:num>
  <w:num w:numId="18">
    <w:abstractNumId w:val="1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3EA9"/>
    <w:rsid w:val="0000411D"/>
    <w:rsid w:val="00004FA4"/>
    <w:rsid w:val="0000518D"/>
    <w:rsid w:val="00005415"/>
    <w:rsid w:val="000060DA"/>
    <w:rsid w:val="000061B6"/>
    <w:rsid w:val="000100F3"/>
    <w:rsid w:val="00010434"/>
    <w:rsid w:val="00010664"/>
    <w:rsid w:val="00010CAD"/>
    <w:rsid w:val="00011383"/>
    <w:rsid w:val="00011B5D"/>
    <w:rsid w:val="00013F40"/>
    <w:rsid w:val="00014197"/>
    <w:rsid w:val="00014D70"/>
    <w:rsid w:val="000151BE"/>
    <w:rsid w:val="000157FD"/>
    <w:rsid w:val="000159F1"/>
    <w:rsid w:val="00016506"/>
    <w:rsid w:val="00020BA3"/>
    <w:rsid w:val="00020C90"/>
    <w:rsid w:val="00022E64"/>
    <w:rsid w:val="00022F63"/>
    <w:rsid w:val="000231AC"/>
    <w:rsid w:val="00023636"/>
    <w:rsid w:val="00023657"/>
    <w:rsid w:val="00023A49"/>
    <w:rsid w:val="00023D00"/>
    <w:rsid w:val="00023EF2"/>
    <w:rsid w:val="00024B7A"/>
    <w:rsid w:val="00027B5D"/>
    <w:rsid w:val="00027DD2"/>
    <w:rsid w:val="0003055D"/>
    <w:rsid w:val="00030DD1"/>
    <w:rsid w:val="0003120C"/>
    <w:rsid w:val="000312DE"/>
    <w:rsid w:val="000313D6"/>
    <w:rsid w:val="00031BA0"/>
    <w:rsid w:val="0003282F"/>
    <w:rsid w:val="00032C26"/>
    <w:rsid w:val="000339EC"/>
    <w:rsid w:val="00033A93"/>
    <w:rsid w:val="000347CF"/>
    <w:rsid w:val="00034A76"/>
    <w:rsid w:val="00034F8C"/>
    <w:rsid w:val="00035153"/>
    <w:rsid w:val="00037C72"/>
    <w:rsid w:val="0004052C"/>
    <w:rsid w:val="00041484"/>
    <w:rsid w:val="0004173B"/>
    <w:rsid w:val="00041E4C"/>
    <w:rsid w:val="00042FAE"/>
    <w:rsid w:val="0004342B"/>
    <w:rsid w:val="0004365F"/>
    <w:rsid w:val="00043D95"/>
    <w:rsid w:val="00043F66"/>
    <w:rsid w:val="00044D06"/>
    <w:rsid w:val="00044EC5"/>
    <w:rsid w:val="000457DF"/>
    <w:rsid w:val="00046F4A"/>
    <w:rsid w:val="000475B2"/>
    <w:rsid w:val="0005010B"/>
    <w:rsid w:val="0005115D"/>
    <w:rsid w:val="000513BE"/>
    <w:rsid w:val="000515E9"/>
    <w:rsid w:val="00051A48"/>
    <w:rsid w:val="00051BCB"/>
    <w:rsid w:val="00051E47"/>
    <w:rsid w:val="000526E7"/>
    <w:rsid w:val="00053A56"/>
    <w:rsid w:val="00053B25"/>
    <w:rsid w:val="00053B5B"/>
    <w:rsid w:val="00055598"/>
    <w:rsid w:val="00057F18"/>
    <w:rsid w:val="00062E3A"/>
    <w:rsid w:val="0006349D"/>
    <w:rsid w:val="00063697"/>
    <w:rsid w:val="0006386F"/>
    <w:rsid w:val="00063A83"/>
    <w:rsid w:val="00064603"/>
    <w:rsid w:val="00064D2B"/>
    <w:rsid w:val="00065334"/>
    <w:rsid w:val="000660F4"/>
    <w:rsid w:val="00066382"/>
    <w:rsid w:val="000666B5"/>
    <w:rsid w:val="00067036"/>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EE1"/>
    <w:rsid w:val="000813CC"/>
    <w:rsid w:val="00081AA2"/>
    <w:rsid w:val="00081D0A"/>
    <w:rsid w:val="000834E0"/>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392"/>
    <w:rsid w:val="00097BA9"/>
    <w:rsid w:val="00097FDE"/>
    <w:rsid w:val="000A0338"/>
    <w:rsid w:val="000A15DC"/>
    <w:rsid w:val="000A1BD4"/>
    <w:rsid w:val="000A1C77"/>
    <w:rsid w:val="000A1D96"/>
    <w:rsid w:val="000A1ECE"/>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58A"/>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A1C"/>
    <w:rsid w:val="000E1DAC"/>
    <w:rsid w:val="000E21D2"/>
    <w:rsid w:val="000E29F0"/>
    <w:rsid w:val="000E2E61"/>
    <w:rsid w:val="000E363E"/>
    <w:rsid w:val="000E4012"/>
    <w:rsid w:val="000E4B21"/>
    <w:rsid w:val="000E4C0D"/>
    <w:rsid w:val="000E5411"/>
    <w:rsid w:val="000E599B"/>
    <w:rsid w:val="000E736D"/>
    <w:rsid w:val="000E7C59"/>
    <w:rsid w:val="000F0582"/>
    <w:rsid w:val="000F1E34"/>
    <w:rsid w:val="000F1F2A"/>
    <w:rsid w:val="000F1F6B"/>
    <w:rsid w:val="000F3279"/>
    <w:rsid w:val="000F3B8E"/>
    <w:rsid w:val="000F3D55"/>
    <w:rsid w:val="000F46E7"/>
    <w:rsid w:val="000F47BD"/>
    <w:rsid w:val="000F4995"/>
    <w:rsid w:val="000F5D37"/>
    <w:rsid w:val="000F7664"/>
    <w:rsid w:val="000F78D1"/>
    <w:rsid w:val="00100C46"/>
    <w:rsid w:val="0010121D"/>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4ED"/>
    <w:rsid w:val="00107940"/>
    <w:rsid w:val="00110A88"/>
    <w:rsid w:val="00111043"/>
    <w:rsid w:val="001110C3"/>
    <w:rsid w:val="0011178B"/>
    <w:rsid w:val="00111CC6"/>
    <w:rsid w:val="0011236D"/>
    <w:rsid w:val="00112A31"/>
    <w:rsid w:val="00112A64"/>
    <w:rsid w:val="001137DA"/>
    <w:rsid w:val="00114417"/>
    <w:rsid w:val="001155FB"/>
    <w:rsid w:val="001163F5"/>
    <w:rsid w:val="00116682"/>
    <w:rsid w:val="00116C59"/>
    <w:rsid w:val="00116E9A"/>
    <w:rsid w:val="00116FB2"/>
    <w:rsid w:val="00117DFA"/>
    <w:rsid w:val="00117E4A"/>
    <w:rsid w:val="001200BD"/>
    <w:rsid w:val="00120958"/>
    <w:rsid w:val="00120CBC"/>
    <w:rsid w:val="0012141C"/>
    <w:rsid w:val="001216AD"/>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1CCB"/>
    <w:rsid w:val="001332F9"/>
    <w:rsid w:val="001344B1"/>
    <w:rsid w:val="00134E79"/>
    <w:rsid w:val="00135B0C"/>
    <w:rsid w:val="00136601"/>
    <w:rsid w:val="00136F4D"/>
    <w:rsid w:val="00140194"/>
    <w:rsid w:val="0014244F"/>
    <w:rsid w:val="00142B2A"/>
    <w:rsid w:val="00144021"/>
    <w:rsid w:val="001445EE"/>
    <w:rsid w:val="001461AA"/>
    <w:rsid w:val="001466DD"/>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571DD"/>
    <w:rsid w:val="00157536"/>
    <w:rsid w:val="00160523"/>
    <w:rsid w:val="00160E88"/>
    <w:rsid w:val="00161016"/>
    <w:rsid w:val="00161537"/>
    <w:rsid w:val="001617AF"/>
    <w:rsid w:val="00161DF3"/>
    <w:rsid w:val="00162678"/>
    <w:rsid w:val="00162799"/>
    <w:rsid w:val="00164F12"/>
    <w:rsid w:val="00165069"/>
    <w:rsid w:val="00166BE7"/>
    <w:rsid w:val="0016790A"/>
    <w:rsid w:val="00170220"/>
    <w:rsid w:val="0017101E"/>
    <w:rsid w:val="001713BB"/>
    <w:rsid w:val="00171652"/>
    <w:rsid w:val="00172374"/>
    <w:rsid w:val="0017277B"/>
    <w:rsid w:val="00172AFF"/>
    <w:rsid w:val="0017362E"/>
    <w:rsid w:val="00175FFD"/>
    <w:rsid w:val="001760BF"/>
    <w:rsid w:val="00176152"/>
    <w:rsid w:val="00176179"/>
    <w:rsid w:val="0017650C"/>
    <w:rsid w:val="0017658B"/>
    <w:rsid w:val="0017667B"/>
    <w:rsid w:val="00176911"/>
    <w:rsid w:val="00176AFE"/>
    <w:rsid w:val="00176E2E"/>
    <w:rsid w:val="00176F84"/>
    <w:rsid w:val="00177426"/>
    <w:rsid w:val="001802D0"/>
    <w:rsid w:val="001806FB"/>
    <w:rsid w:val="00181F68"/>
    <w:rsid w:val="0018264B"/>
    <w:rsid w:val="00182E53"/>
    <w:rsid w:val="00183454"/>
    <w:rsid w:val="00183694"/>
    <w:rsid w:val="001837C8"/>
    <w:rsid w:val="00183BE2"/>
    <w:rsid w:val="00184018"/>
    <w:rsid w:val="00184336"/>
    <w:rsid w:val="00184B19"/>
    <w:rsid w:val="0018502A"/>
    <w:rsid w:val="00185678"/>
    <w:rsid w:val="00186503"/>
    <w:rsid w:val="00186B18"/>
    <w:rsid w:val="001874D3"/>
    <w:rsid w:val="001878B1"/>
    <w:rsid w:val="0019184F"/>
    <w:rsid w:val="00191E44"/>
    <w:rsid w:val="001923BA"/>
    <w:rsid w:val="00192470"/>
    <w:rsid w:val="00192753"/>
    <w:rsid w:val="00192DAB"/>
    <w:rsid w:val="00193510"/>
    <w:rsid w:val="001941F0"/>
    <w:rsid w:val="001963E6"/>
    <w:rsid w:val="00196879"/>
    <w:rsid w:val="001975CE"/>
    <w:rsid w:val="001A09F3"/>
    <w:rsid w:val="001A165C"/>
    <w:rsid w:val="001A167F"/>
    <w:rsid w:val="001A1D1D"/>
    <w:rsid w:val="001A1DC4"/>
    <w:rsid w:val="001A22ED"/>
    <w:rsid w:val="001A2588"/>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0F98"/>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6DF"/>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160D"/>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4B8"/>
    <w:rsid w:val="001E0B8C"/>
    <w:rsid w:val="001E152B"/>
    <w:rsid w:val="001E1D65"/>
    <w:rsid w:val="001E2E41"/>
    <w:rsid w:val="001E327A"/>
    <w:rsid w:val="001E32B2"/>
    <w:rsid w:val="001E32D8"/>
    <w:rsid w:val="001E3B4F"/>
    <w:rsid w:val="001E3FB6"/>
    <w:rsid w:val="001E440F"/>
    <w:rsid w:val="001E4AC9"/>
    <w:rsid w:val="001E4E89"/>
    <w:rsid w:val="001E4F73"/>
    <w:rsid w:val="001E56E4"/>
    <w:rsid w:val="001E70B6"/>
    <w:rsid w:val="001E7712"/>
    <w:rsid w:val="001F0411"/>
    <w:rsid w:val="001F12E7"/>
    <w:rsid w:val="001F154C"/>
    <w:rsid w:val="001F18E5"/>
    <w:rsid w:val="001F1B78"/>
    <w:rsid w:val="001F1E19"/>
    <w:rsid w:val="001F31B2"/>
    <w:rsid w:val="001F31E5"/>
    <w:rsid w:val="001F410F"/>
    <w:rsid w:val="001F4494"/>
    <w:rsid w:val="001F49FC"/>
    <w:rsid w:val="001F4A8A"/>
    <w:rsid w:val="001F5AFB"/>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6E6"/>
    <w:rsid w:val="00224B96"/>
    <w:rsid w:val="00225B8C"/>
    <w:rsid w:val="002261A4"/>
    <w:rsid w:val="00226207"/>
    <w:rsid w:val="002267CF"/>
    <w:rsid w:val="00227E53"/>
    <w:rsid w:val="0023045A"/>
    <w:rsid w:val="0023093A"/>
    <w:rsid w:val="00230E17"/>
    <w:rsid w:val="00230F64"/>
    <w:rsid w:val="002310EE"/>
    <w:rsid w:val="0023116B"/>
    <w:rsid w:val="00231A16"/>
    <w:rsid w:val="002327C7"/>
    <w:rsid w:val="002342FC"/>
    <w:rsid w:val="00234307"/>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0A5"/>
    <w:rsid w:val="00262ACF"/>
    <w:rsid w:val="002646CD"/>
    <w:rsid w:val="00264E38"/>
    <w:rsid w:val="00264E55"/>
    <w:rsid w:val="00265D23"/>
    <w:rsid w:val="002660DE"/>
    <w:rsid w:val="0026657E"/>
    <w:rsid w:val="00266C4B"/>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5C0C"/>
    <w:rsid w:val="0027611F"/>
    <w:rsid w:val="002761F7"/>
    <w:rsid w:val="00277337"/>
    <w:rsid w:val="0027773A"/>
    <w:rsid w:val="00277815"/>
    <w:rsid w:val="002779D9"/>
    <w:rsid w:val="00280231"/>
    <w:rsid w:val="00280292"/>
    <w:rsid w:val="00280420"/>
    <w:rsid w:val="00280A87"/>
    <w:rsid w:val="00281308"/>
    <w:rsid w:val="00282250"/>
    <w:rsid w:val="00282564"/>
    <w:rsid w:val="002825EC"/>
    <w:rsid w:val="00282AAE"/>
    <w:rsid w:val="00283D35"/>
    <w:rsid w:val="002865AA"/>
    <w:rsid w:val="002865F9"/>
    <w:rsid w:val="00287A9E"/>
    <w:rsid w:val="002900BE"/>
    <w:rsid w:val="002904A2"/>
    <w:rsid w:val="002907F6"/>
    <w:rsid w:val="0029090B"/>
    <w:rsid w:val="00290AD6"/>
    <w:rsid w:val="00291416"/>
    <w:rsid w:val="00291B6A"/>
    <w:rsid w:val="00293128"/>
    <w:rsid w:val="002938F5"/>
    <w:rsid w:val="002941B8"/>
    <w:rsid w:val="0029428D"/>
    <w:rsid w:val="002944C3"/>
    <w:rsid w:val="00294618"/>
    <w:rsid w:val="00294A3F"/>
    <w:rsid w:val="00294F31"/>
    <w:rsid w:val="0029587E"/>
    <w:rsid w:val="002963B8"/>
    <w:rsid w:val="002965C5"/>
    <w:rsid w:val="002965C7"/>
    <w:rsid w:val="00296C98"/>
    <w:rsid w:val="00296CC9"/>
    <w:rsid w:val="002978C9"/>
    <w:rsid w:val="00297C4C"/>
    <w:rsid w:val="002A06DD"/>
    <w:rsid w:val="002A0874"/>
    <w:rsid w:val="002A28EE"/>
    <w:rsid w:val="002A2FFF"/>
    <w:rsid w:val="002A307C"/>
    <w:rsid w:val="002A30F2"/>
    <w:rsid w:val="002A3A1C"/>
    <w:rsid w:val="002A4512"/>
    <w:rsid w:val="002A50D8"/>
    <w:rsid w:val="002A5645"/>
    <w:rsid w:val="002A5950"/>
    <w:rsid w:val="002A5DA3"/>
    <w:rsid w:val="002A6D33"/>
    <w:rsid w:val="002A707A"/>
    <w:rsid w:val="002A78ED"/>
    <w:rsid w:val="002B02D6"/>
    <w:rsid w:val="002B0F3F"/>
    <w:rsid w:val="002B11D4"/>
    <w:rsid w:val="002B1530"/>
    <w:rsid w:val="002B187A"/>
    <w:rsid w:val="002B1D80"/>
    <w:rsid w:val="002B1E73"/>
    <w:rsid w:val="002B1E80"/>
    <w:rsid w:val="002B21CA"/>
    <w:rsid w:val="002B25D2"/>
    <w:rsid w:val="002B2DBE"/>
    <w:rsid w:val="002B3310"/>
    <w:rsid w:val="002B4F0D"/>
    <w:rsid w:val="002B7448"/>
    <w:rsid w:val="002B7C98"/>
    <w:rsid w:val="002C0FC0"/>
    <w:rsid w:val="002C1DDA"/>
    <w:rsid w:val="002C23BA"/>
    <w:rsid w:val="002C3BCE"/>
    <w:rsid w:val="002C3C56"/>
    <w:rsid w:val="002C3D70"/>
    <w:rsid w:val="002C4180"/>
    <w:rsid w:val="002C44A1"/>
    <w:rsid w:val="002C4695"/>
    <w:rsid w:val="002C5BC6"/>
    <w:rsid w:val="002C5DAB"/>
    <w:rsid w:val="002C7464"/>
    <w:rsid w:val="002C7E1C"/>
    <w:rsid w:val="002D1FF6"/>
    <w:rsid w:val="002D20E4"/>
    <w:rsid w:val="002D24F6"/>
    <w:rsid w:val="002D2994"/>
    <w:rsid w:val="002D30D1"/>
    <w:rsid w:val="002D32DE"/>
    <w:rsid w:val="002D398E"/>
    <w:rsid w:val="002D3A0A"/>
    <w:rsid w:val="002D3CA5"/>
    <w:rsid w:val="002D41AC"/>
    <w:rsid w:val="002D48AE"/>
    <w:rsid w:val="002D4CBF"/>
    <w:rsid w:val="002D532E"/>
    <w:rsid w:val="002D5779"/>
    <w:rsid w:val="002D6396"/>
    <w:rsid w:val="002D6844"/>
    <w:rsid w:val="002D6FD3"/>
    <w:rsid w:val="002D706F"/>
    <w:rsid w:val="002D77E0"/>
    <w:rsid w:val="002D7C51"/>
    <w:rsid w:val="002D7CC0"/>
    <w:rsid w:val="002D7FAF"/>
    <w:rsid w:val="002E15FB"/>
    <w:rsid w:val="002E1E29"/>
    <w:rsid w:val="002E2300"/>
    <w:rsid w:val="002E2A75"/>
    <w:rsid w:val="002E2E3F"/>
    <w:rsid w:val="002E388D"/>
    <w:rsid w:val="002E3BE7"/>
    <w:rsid w:val="002E3F2C"/>
    <w:rsid w:val="002E4239"/>
    <w:rsid w:val="002E428A"/>
    <w:rsid w:val="002E465A"/>
    <w:rsid w:val="002E4FD8"/>
    <w:rsid w:val="002E55C7"/>
    <w:rsid w:val="002E55F3"/>
    <w:rsid w:val="002E5A3B"/>
    <w:rsid w:val="002E5CDE"/>
    <w:rsid w:val="002E6826"/>
    <w:rsid w:val="002E687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0CF5"/>
    <w:rsid w:val="0030106D"/>
    <w:rsid w:val="00301169"/>
    <w:rsid w:val="003015A5"/>
    <w:rsid w:val="003015A6"/>
    <w:rsid w:val="00302D26"/>
    <w:rsid w:val="003032B9"/>
    <w:rsid w:val="00303F22"/>
    <w:rsid w:val="00305F4D"/>
    <w:rsid w:val="00306B60"/>
    <w:rsid w:val="00306F02"/>
    <w:rsid w:val="00307B90"/>
    <w:rsid w:val="00310789"/>
    <w:rsid w:val="003107DD"/>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74E"/>
    <w:rsid w:val="00321274"/>
    <w:rsid w:val="00321289"/>
    <w:rsid w:val="00321B9B"/>
    <w:rsid w:val="00321D35"/>
    <w:rsid w:val="0032241C"/>
    <w:rsid w:val="00322801"/>
    <w:rsid w:val="003229AD"/>
    <w:rsid w:val="00322DF3"/>
    <w:rsid w:val="00323108"/>
    <w:rsid w:val="00324ABE"/>
    <w:rsid w:val="00324E9B"/>
    <w:rsid w:val="003262C7"/>
    <w:rsid w:val="00326E9F"/>
    <w:rsid w:val="00327787"/>
    <w:rsid w:val="00327991"/>
    <w:rsid w:val="00327BCB"/>
    <w:rsid w:val="00330898"/>
    <w:rsid w:val="00331035"/>
    <w:rsid w:val="003314D9"/>
    <w:rsid w:val="00331C01"/>
    <w:rsid w:val="00331CC5"/>
    <w:rsid w:val="00332AF4"/>
    <w:rsid w:val="00333287"/>
    <w:rsid w:val="0033353F"/>
    <w:rsid w:val="003339BF"/>
    <w:rsid w:val="003340B0"/>
    <w:rsid w:val="003342CB"/>
    <w:rsid w:val="00334384"/>
    <w:rsid w:val="003344F6"/>
    <w:rsid w:val="0033493D"/>
    <w:rsid w:val="00335DE4"/>
    <w:rsid w:val="003362B2"/>
    <w:rsid w:val="003364B0"/>
    <w:rsid w:val="00336CE5"/>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26F1"/>
    <w:rsid w:val="0035319F"/>
    <w:rsid w:val="003531EE"/>
    <w:rsid w:val="0035377D"/>
    <w:rsid w:val="0035645A"/>
    <w:rsid w:val="00356C62"/>
    <w:rsid w:val="00356E6E"/>
    <w:rsid w:val="00356E8D"/>
    <w:rsid w:val="00357F5F"/>
    <w:rsid w:val="00361576"/>
    <w:rsid w:val="0036169F"/>
    <w:rsid w:val="00362BBB"/>
    <w:rsid w:val="00363B9B"/>
    <w:rsid w:val="00363F52"/>
    <w:rsid w:val="0036446E"/>
    <w:rsid w:val="003644E9"/>
    <w:rsid w:val="00364931"/>
    <w:rsid w:val="003650B8"/>
    <w:rsid w:val="003653FE"/>
    <w:rsid w:val="00365D01"/>
    <w:rsid w:val="003660A3"/>
    <w:rsid w:val="0036640F"/>
    <w:rsid w:val="0036722F"/>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931"/>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72"/>
    <w:rsid w:val="003A2A86"/>
    <w:rsid w:val="003A2C6E"/>
    <w:rsid w:val="003A3C83"/>
    <w:rsid w:val="003A547B"/>
    <w:rsid w:val="003A59D5"/>
    <w:rsid w:val="003A6986"/>
    <w:rsid w:val="003A753B"/>
    <w:rsid w:val="003A760F"/>
    <w:rsid w:val="003A7B93"/>
    <w:rsid w:val="003A7F31"/>
    <w:rsid w:val="003B0C4F"/>
    <w:rsid w:val="003B0D5A"/>
    <w:rsid w:val="003B0D81"/>
    <w:rsid w:val="003B14A9"/>
    <w:rsid w:val="003B2574"/>
    <w:rsid w:val="003B278E"/>
    <w:rsid w:val="003B3065"/>
    <w:rsid w:val="003B38B5"/>
    <w:rsid w:val="003B58B6"/>
    <w:rsid w:val="003B65B9"/>
    <w:rsid w:val="003B7418"/>
    <w:rsid w:val="003C0290"/>
    <w:rsid w:val="003C0A12"/>
    <w:rsid w:val="003C2596"/>
    <w:rsid w:val="003C2EC1"/>
    <w:rsid w:val="003C315A"/>
    <w:rsid w:val="003C3CB1"/>
    <w:rsid w:val="003C4477"/>
    <w:rsid w:val="003C46A3"/>
    <w:rsid w:val="003C4819"/>
    <w:rsid w:val="003C491F"/>
    <w:rsid w:val="003C4A8E"/>
    <w:rsid w:val="003C4AA6"/>
    <w:rsid w:val="003C5ABA"/>
    <w:rsid w:val="003C5F5C"/>
    <w:rsid w:val="003C690E"/>
    <w:rsid w:val="003C6B2F"/>
    <w:rsid w:val="003D0119"/>
    <w:rsid w:val="003D13B4"/>
    <w:rsid w:val="003D33AE"/>
    <w:rsid w:val="003D4182"/>
    <w:rsid w:val="003D457A"/>
    <w:rsid w:val="003D4BB7"/>
    <w:rsid w:val="003D5FF8"/>
    <w:rsid w:val="003D6588"/>
    <w:rsid w:val="003D6B8A"/>
    <w:rsid w:val="003D6D2A"/>
    <w:rsid w:val="003D6D2D"/>
    <w:rsid w:val="003D7C20"/>
    <w:rsid w:val="003D7CF5"/>
    <w:rsid w:val="003E1DD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657"/>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10C2"/>
    <w:rsid w:val="0040276D"/>
    <w:rsid w:val="004037B9"/>
    <w:rsid w:val="004038DD"/>
    <w:rsid w:val="00403D57"/>
    <w:rsid w:val="00405110"/>
    <w:rsid w:val="0040539E"/>
    <w:rsid w:val="004071F8"/>
    <w:rsid w:val="0040736B"/>
    <w:rsid w:val="00410799"/>
    <w:rsid w:val="00410ACC"/>
    <w:rsid w:val="00410C00"/>
    <w:rsid w:val="00410C2B"/>
    <w:rsid w:val="00411919"/>
    <w:rsid w:val="004119A4"/>
    <w:rsid w:val="00411DFA"/>
    <w:rsid w:val="00412F73"/>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6C5"/>
    <w:rsid w:val="00424BDE"/>
    <w:rsid w:val="00425F20"/>
    <w:rsid w:val="004261BF"/>
    <w:rsid w:val="0043051C"/>
    <w:rsid w:val="00430E46"/>
    <w:rsid w:val="00432ED3"/>
    <w:rsid w:val="004339CB"/>
    <w:rsid w:val="00433C93"/>
    <w:rsid w:val="00434319"/>
    <w:rsid w:val="00434FB7"/>
    <w:rsid w:val="0043516A"/>
    <w:rsid w:val="0043533F"/>
    <w:rsid w:val="00435B2B"/>
    <w:rsid w:val="004366BD"/>
    <w:rsid w:val="004404A3"/>
    <w:rsid w:val="00440E9B"/>
    <w:rsid w:val="00440FF2"/>
    <w:rsid w:val="00442981"/>
    <w:rsid w:val="00442E05"/>
    <w:rsid w:val="00442E08"/>
    <w:rsid w:val="004433E5"/>
    <w:rsid w:val="0044372A"/>
    <w:rsid w:val="00443E94"/>
    <w:rsid w:val="00443FF5"/>
    <w:rsid w:val="0044444E"/>
    <w:rsid w:val="0044553A"/>
    <w:rsid w:val="00446718"/>
    <w:rsid w:val="00446E89"/>
    <w:rsid w:val="00446F27"/>
    <w:rsid w:val="00447989"/>
    <w:rsid w:val="00447D07"/>
    <w:rsid w:val="004501C3"/>
    <w:rsid w:val="004506EF"/>
    <w:rsid w:val="00450FBF"/>
    <w:rsid w:val="00451360"/>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65BD"/>
    <w:rsid w:val="004678F2"/>
    <w:rsid w:val="00470893"/>
    <w:rsid w:val="00470BAF"/>
    <w:rsid w:val="00471418"/>
    <w:rsid w:val="004714F3"/>
    <w:rsid w:val="00471DBF"/>
    <w:rsid w:val="00472493"/>
    <w:rsid w:val="00472ACA"/>
    <w:rsid w:val="004734CB"/>
    <w:rsid w:val="004740AE"/>
    <w:rsid w:val="00474AB0"/>
    <w:rsid w:val="00475506"/>
    <w:rsid w:val="00475A71"/>
    <w:rsid w:val="004769BD"/>
    <w:rsid w:val="00476C15"/>
    <w:rsid w:val="00476F6E"/>
    <w:rsid w:val="004774F5"/>
    <w:rsid w:val="00477C4C"/>
    <w:rsid w:val="00480048"/>
    <w:rsid w:val="004806FE"/>
    <w:rsid w:val="00480736"/>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4667"/>
    <w:rsid w:val="004A470C"/>
    <w:rsid w:val="004A5883"/>
    <w:rsid w:val="004A5F7E"/>
    <w:rsid w:val="004A7273"/>
    <w:rsid w:val="004A7543"/>
    <w:rsid w:val="004A78F7"/>
    <w:rsid w:val="004A7C07"/>
    <w:rsid w:val="004A7F74"/>
    <w:rsid w:val="004B0DB5"/>
    <w:rsid w:val="004B0F04"/>
    <w:rsid w:val="004B178C"/>
    <w:rsid w:val="004B26DC"/>
    <w:rsid w:val="004B2AD2"/>
    <w:rsid w:val="004B30BE"/>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A6"/>
    <w:rsid w:val="004D128A"/>
    <w:rsid w:val="004D18C0"/>
    <w:rsid w:val="004D2CE4"/>
    <w:rsid w:val="004D3200"/>
    <w:rsid w:val="004D3940"/>
    <w:rsid w:val="004D3CBE"/>
    <w:rsid w:val="004D448B"/>
    <w:rsid w:val="004D4940"/>
    <w:rsid w:val="004D4DD5"/>
    <w:rsid w:val="004D5408"/>
    <w:rsid w:val="004D5DC0"/>
    <w:rsid w:val="004D6370"/>
    <w:rsid w:val="004D66C5"/>
    <w:rsid w:val="004D6861"/>
    <w:rsid w:val="004D6D13"/>
    <w:rsid w:val="004D6D26"/>
    <w:rsid w:val="004E023E"/>
    <w:rsid w:val="004E0AF4"/>
    <w:rsid w:val="004E181E"/>
    <w:rsid w:val="004E28E7"/>
    <w:rsid w:val="004E2F5B"/>
    <w:rsid w:val="004E3872"/>
    <w:rsid w:val="004E4473"/>
    <w:rsid w:val="004E51A2"/>
    <w:rsid w:val="004E58E9"/>
    <w:rsid w:val="004E6090"/>
    <w:rsid w:val="004E7A16"/>
    <w:rsid w:val="004F0006"/>
    <w:rsid w:val="004F056B"/>
    <w:rsid w:val="004F0E6E"/>
    <w:rsid w:val="004F1098"/>
    <w:rsid w:val="004F2534"/>
    <w:rsid w:val="004F35DB"/>
    <w:rsid w:val="004F4273"/>
    <w:rsid w:val="004F4483"/>
    <w:rsid w:val="004F50DD"/>
    <w:rsid w:val="004F6238"/>
    <w:rsid w:val="004F6385"/>
    <w:rsid w:val="004F6858"/>
    <w:rsid w:val="004F71F8"/>
    <w:rsid w:val="004F7C93"/>
    <w:rsid w:val="005006E1"/>
    <w:rsid w:val="00500825"/>
    <w:rsid w:val="00501543"/>
    <w:rsid w:val="0050160B"/>
    <w:rsid w:val="005020DF"/>
    <w:rsid w:val="0050283F"/>
    <w:rsid w:val="00504247"/>
    <w:rsid w:val="00504F0B"/>
    <w:rsid w:val="00505FC0"/>
    <w:rsid w:val="00505FF4"/>
    <w:rsid w:val="0050624D"/>
    <w:rsid w:val="0050670E"/>
    <w:rsid w:val="00507292"/>
    <w:rsid w:val="0050732D"/>
    <w:rsid w:val="00507581"/>
    <w:rsid w:val="005106D5"/>
    <w:rsid w:val="0051164F"/>
    <w:rsid w:val="005128A0"/>
    <w:rsid w:val="00512A1C"/>
    <w:rsid w:val="00512F45"/>
    <w:rsid w:val="00513216"/>
    <w:rsid w:val="005132A9"/>
    <w:rsid w:val="00513A74"/>
    <w:rsid w:val="0051422C"/>
    <w:rsid w:val="005158B4"/>
    <w:rsid w:val="00515B9E"/>
    <w:rsid w:val="00516099"/>
    <w:rsid w:val="00516D71"/>
    <w:rsid w:val="00517D0B"/>
    <w:rsid w:val="0052035B"/>
    <w:rsid w:val="005206D5"/>
    <w:rsid w:val="00520770"/>
    <w:rsid w:val="00521133"/>
    <w:rsid w:val="005216CB"/>
    <w:rsid w:val="00521A07"/>
    <w:rsid w:val="00521EFD"/>
    <w:rsid w:val="00521FD2"/>
    <w:rsid w:val="0052229F"/>
    <w:rsid w:val="005222E5"/>
    <w:rsid w:val="005233CE"/>
    <w:rsid w:val="005246CA"/>
    <w:rsid w:val="00524E0B"/>
    <w:rsid w:val="005263F5"/>
    <w:rsid w:val="00526D32"/>
    <w:rsid w:val="00527A75"/>
    <w:rsid w:val="00527C3A"/>
    <w:rsid w:val="00527DD6"/>
    <w:rsid w:val="00530041"/>
    <w:rsid w:val="005303AD"/>
    <w:rsid w:val="00530A59"/>
    <w:rsid w:val="00530D3A"/>
    <w:rsid w:val="005312C3"/>
    <w:rsid w:val="00531C1C"/>
    <w:rsid w:val="00531D5D"/>
    <w:rsid w:val="00531FEB"/>
    <w:rsid w:val="005320A6"/>
    <w:rsid w:val="00532645"/>
    <w:rsid w:val="0053274B"/>
    <w:rsid w:val="005333D0"/>
    <w:rsid w:val="00533A90"/>
    <w:rsid w:val="00534166"/>
    <w:rsid w:val="005346E8"/>
    <w:rsid w:val="005363C3"/>
    <w:rsid w:val="005365CE"/>
    <w:rsid w:val="00536873"/>
    <w:rsid w:val="00536AF3"/>
    <w:rsid w:val="00536EA5"/>
    <w:rsid w:val="00537F58"/>
    <w:rsid w:val="00540888"/>
    <w:rsid w:val="00540B7B"/>
    <w:rsid w:val="00540C98"/>
    <w:rsid w:val="00541079"/>
    <w:rsid w:val="005412B3"/>
    <w:rsid w:val="005422D4"/>
    <w:rsid w:val="00542374"/>
    <w:rsid w:val="0054286D"/>
    <w:rsid w:val="00542F3F"/>
    <w:rsid w:val="00543D94"/>
    <w:rsid w:val="0054483D"/>
    <w:rsid w:val="00544F83"/>
    <w:rsid w:val="0054586F"/>
    <w:rsid w:val="00545BBB"/>
    <w:rsid w:val="00546453"/>
    <w:rsid w:val="005465A9"/>
    <w:rsid w:val="00546D2C"/>
    <w:rsid w:val="005470BC"/>
    <w:rsid w:val="00547251"/>
    <w:rsid w:val="00547ACA"/>
    <w:rsid w:val="00547ED0"/>
    <w:rsid w:val="005502FB"/>
    <w:rsid w:val="00550503"/>
    <w:rsid w:val="0055097B"/>
    <w:rsid w:val="00550F62"/>
    <w:rsid w:val="00552361"/>
    <w:rsid w:val="00552509"/>
    <w:rsid w:val="0055285C"/>
    <w:rsid w:val="00552A0D"/>
    <w:rsid w:val="00552FAC"/>
    <w:rsid w:val="00553AB6"/>
    <w:rsid w:val="00553B5E"/>
    <w:rsid w:val="00553F2F"/>
    <w:rsid w:val="005540C9"/>
    <w:rsid w:val="00554B21"/>
    <w:rsid w:val="00555079"/>
    <w:rsid w:val="00555B26"/>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0DD7"/>
    <w:rsid w:val="005712C1"/>
    <w:rsid w:val="0057159E"/>
    <w:rsid w:val="0057186C"/>
    <w:rsid w:val="00571BC5"/>
    <w:rsid w:val="00571CC6"/>
    <w:rsid w:val="00571D66"/>
    <w:rsid w:val="005722F4"/>
    <w:rsid w:val="00572401"/>
    <w:rsid w:val="005739C8"/>
    <w:rsid w:val="005743B5"/>
    <w:rsid w:val="00574A11"/>
    <w:rsid w:val="0057552B"/>
    <w:rsid w:val="00575695"/>
    <w:rsid w:val="005759E5"/>
    <w:rsid w:val="0057686C"/>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3EA8"/>
    <w:rsid w:val="005946EF"/>
    <w:rsid w:val="00594BEF"/>
    <w:rsid w:val="00594C76"/>
    <w:rsid w:val="00595468"/>
    <w:rsid w:val="00595D63"/>
    <w:rsid w:val="005965F3"/>
    <w:rsid w:val="00596819"/>
    <w:rsid w:val="005A1980"/>
    <w:rsid w:val="005A269E"/>
    <w:rsid w:val="005A4351"/>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2729"/>
    <w:rsid w:val="005C37F8"/>
    <w:rsid w:val="005C3AE7"/>
    <w:rsid w:val="005C3DC7"/>
    <w:rsid w:val="005C489D"/>
    <w:rsid w:val="005C4E64"/>
    <w:rsid w:val="005C54ED"/>
    <w:rsid w:val="005C58D8"/>
    <w:rsid w:val="005C5D57"/>
    <w:rsid w:val="005C7DEC"/>
    <w:rsid w:val="005D0F57"/>
    <w:rsid w:val="005D0FE6"/>
    <w:rsid w:val="005D27D6"/>
    <w:rsid w:val="005D3804"/>
    <w:rsid w:val="005D3877"/>
    <w:rsid w:val="005D3C54"/>
    <w:rsid w:val="005D4FBC"/>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40BF"/>
    <w:rsid w:val="005E5645"/>
    <w:rsid w:val="005E5FED"/>
    <w:rsid w:val="005E61EC"/>
    <w:rsid w:val="005E7559"/>
    <w:rsid w:val="005F1840"/>
    <w:rsid w:val="005F1B2B"/>
    <w:rsid w:val="005F1E9B"/>
    <w:rsid w:val="005F2404"/>
    <w:rsid w:val="005F27A2"/>
    <w:rsid w:val="005F32B9"/>
    <w:rsid w:val="005F33DE"/>
    <w:rsid w:val="005F394C"/>
    <w:rsid w:val="005F4607"/>
    <w:rsid w:val="005F4AD6"/>
    <w:rsid w:val="005F533A"/>
    <w:rsid w:val="005F5567"/>
    <w:rsid w:val="005F6222"/>
    <w:rsid w:val="005F7472"/>
    <w:rsid w:val="005F7507"/>
    <w:rsid w:val="005F76A6"/>
    <w:rsid w:val="005F774F"/>
    <w:rsid w:val="006006B6"/>
    <w:rsid w:val="00600AA9"/>
    <w:rsid w:val="00600EC4"/>
    <w:rsid w:val="0060185E"/>
    <w:rsid w:val="00603ED8"/>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203B4"/>
    <w:rsid w:val="006203EB"/>
    <w:rsid w:val="006206ED"/>
    <w:rsid w:val="00620EFE"/>
    <w:rsid w:val="006214CE"/>
    <w:rsid w:val="0062214C"/>
    <w:rsid w:val="006228FF"/>
    <w:rsid w:val="00622A8B"/>
    <w:rsid w:val="0062375C"/>
    <w:rsid w:val="006243B7"/>
    <w:rsid w:val="00624CE7"/>
    <w:rsid w:val="00624E3F"/>
    <w:rsid w:val="00624EF5"/>
    <w:rsid w:val="006250C6"/>
    <w:rsid w:val="00625775"/>
    <w:rsid w:val="00625F57"/>
    <w:rsid w:val="0062645C"/>
    <w:rsid w:val="0062666B"/>
    <w:rsid w:val="00627557"/>
    <w:rsid w:val="0062761A"/>
    <w:rsid w:val="006279D2"/>
    <w:rsid w:val="00627A7F"/>
    <w:rsid w:val="00630470"/>
    <w:rsid w:val="006309B9"/>
    <w:rsid w:val="00630A82"/>
    <w:rsid w:val="00631743"/>
    <w:rsid w:val="006322AE"/>
    <w:rsid w:val="00632347"/>
    <w:rsid w:val="006327E6"/>
    <w:rsid w:val="00632A16"/>
    <w:rsid w:val="00633317"/>
    <w:rsid w:val="0063375C"/>
    <w:rsid w:val="00633AB4"/>
    <w:rsid w:val="00633ADC"/>
    <w:rsid w:val="00634F25"/>
    <w:rsid w:val="00635362"/>
    <w:rsid w:val="00635CD8"/>
    <w:rsid w:val="0063632D"/>
    <w:rsid w:val="00636509"/>
    <w:rsid w:val="00636EEB"/>
    <w:rsid w:val="006375C5"/>
    <w:rsid w:val="006402D4"/>
    <w:rsid w:val="00640FC5"/>
    <w:rsid w:val="00641D76"/>
    <w:rsid w:val="00642BF0"/>
    <w:rsid w:val="006432F3"/>
    <w:rsid w:val="0064419D"/>
    <w:rsid w:val="006442ED"/>
    <w:rsid w:val="00644845"/>
    <w:rsid w:val="00645411"/>
    <w:rsid w:val="0064595C"/>
    <w:rsid w:val="00645C5A"/>
    <w:rsid w:val="006464A3"/>
    <w:rsid w:val="006465B1"/>
    <w:rsid w:val="006477DF"/>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5F7"/>
    <w:rsid w:val="0065799E"/>
    <w:rsid w:val="00660034"/>
    <w:rsid w:val="00660B50"/>
    <w:rsid w:val="00660C7A"/>
    <w:rsid w:val="00660D2E"/>
    <w:rsid w:val="00661A1B"/>
    <w:rsid w:val="00662218"/>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1DF8"/>
    <w:rsid w:val="006720B5"/>
    <w:rsid w:val="006723A8"/>
    <w:rsid w:val="006727F8"/>
    <w:rsid w:val="00672ED6"/>
    <w:rsid w:val="00673274"/>
    <w:rsid w:val="00673516"/>
    <w:rsid w:val="00673C3F"/>
    <w:rsid w:val="006743E4"/>
    <w:rsid w:val="006747E9"/>
    <w:rsid w:val="00674A73"/>
    <w:rsid w:val="00674CC4"/>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64B0"/>
    <w:rsid w:val="00687D49"/>
    <w:rsid w:val="00687DEE"/>
    <w:rsid w:val="00691179"/>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B2B"/>
    <w:rsid w:val="006B6DB5"/>
    <w:rsid w:val="006B6E5D"/>
    <w:rsid w:val="006B6EEF"/>
    <w:rsid w:val="006B7136"/>
    <w:rsid w:val="006B722E"/>
    <w:rsid w:val="006B7ABE"/>
    <w:rsid w:val="006C0047"/>
    <w:rsid w:val="006C0C35"/>
    <w:rsid w:val="006C26E2"/>
    <w:rsid w:val="006C2B63"/>
    <w:rsid w:val="006C4045"/>
    <w:rsid w:val="006C416F"/>
    <w:rsid w:val="006C5828"/>
    <w:rsid w:val="006C67AC"/>
    <w:rsid w:val="006C7333"/>
    <w:rsid w:val="006C7944"/>
    <w:rsid w:val="006C7BF6"/>
    <w:rsid w:val="006D029C"/>
    <w:rsid w:val="006D0520"/>
    <w:rsid w:val="006D08D6"/>
    <w:rsid w:val="006D0E50"/>
    <w:rsid w:val="006D1288"/>
    <w:rsid w:val="006D2356"/>
    <w:rsid w:val="006D28A5"/>
    <w:rsid w:val="006D3425"/>
    <w:rsid w:val="006D4343"/>
    <w:rsid w:val="006D6B64"/>
    <w:rsid w:val="006D7197"/>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34C"/>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357C"/>
    <w:rsid w:val="00703B6D"/>
    <w:rsid w:val="00704CF7"/>
    <w:rsid w:val="00704D48"/>
    <w:rsid w:val="00705858"/>
    <w:rsid w:val="00705875"/>
    <w:rsid w:val="00706CCB"/>
    <w:rsid w:val="0070758E"/>
    <w:rsid w:val="00707651"/>
    <w:rsid w:val="00707BAB"/>
    <w:rsid w:val="00710422"/>
    <w:rsid w:val="00710559"/>
    <w:rsid w:val="007116C6"/>
    <w:rsid w:val="00712EA1"/>
    <w:rsid w:val="00713E8A"/>
    <w:rsid w:val="00713F5C"/>
    <w:rsid w:val="00714BB4"/>
    <w:rsid w:val="00714C10"/>
    <w:rsid w:val="00714DF9"/>
    <w:rsid w:val="00715073"/>
    <w:rsid w:val="007157F6"/>
    <w:rsid w:val="00715D23"/>
    <w:rsid w:val="00715EDF"/>
    <w:rsid w:val="007170F3"/>
    <w:rsid w:val="00720BDC"/>
    <w:rsid w:val="00721AB1"/>
    <w:rsid w:val="00721EE1"/>
    <w:rsid w:val="0072395E"/>
    <w:rsid w:val="00723AB7"/>
    <w:rsid w:val="00723E7D"/>
    <w:rsid w:val="0072482D"/>
    <w:rsid w:val="00724E63"/>
    <w:rsid w:val="00725E15"/>
    <w:rsid w:val="00726372"/>
    <w:rsid w:val="0072686C"/>
    <w:rsid w:val="00727638"/>
    <w:rsid w:val="007300CB"/>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DF"/>
    <w:rsid w:val="007350E5"/>
    <w:rsid w:val="0073565C"/>
    <w:rsid w:val="007357A9"/>
    <w:rsid w:val="00736775"/>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A2C"/>
    <w:rsid w:val="00750DB7"/>
    <w:rsid w:val="00750F25"/>
    <w:rsid w:val="007510AE"/>
    <w:rsid w:val="00752AA6"/>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5951"/>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99F"/>
    <w:rsid w:val="007879AB"/>
    <w:rsid w:val="007879C7"/>
    <w:rsid w:val="00787B18"/>
    <w:rsid w:val="00787C66"/>
    <w:rsid w:val="007909B9"/>
    <w:rsid w:val="00790FD8"/>
    <w:rsid w:val="007923DE"/>
    <w:rsid w:val="00792D83"/>
    <w:rsid w:val="007935C3"/>
    <w:rsid w:val="007937CB"/>
    <w:rsid w:val="00793B02"/>
    <w:rsid w:val="0079459E"/>
    <w:rsid w:val="00794759"/>
    <w:rsid w:val="00794BFD"/>
    <w:rsid w:val="0079635D"/>
    <w:rsid w:val="00796837"/>
    <w:rsid w:val="00796A7B"/>
    <w:rsid w:val="00797A08"/>
    <w:rsid w:val="00797F21"/>
    <w:rsid w:val="007A044C"/>
    <w:rsid w:val="007A044F"/>
    <w:rsid w:val="007A0952"/>
    <w:rsid w:val="007A0BD2"/>
    <w:rsid w:val="007A0CBF"/>
    <w:rsid w:val="007A1754"/>
    <w:rsid w:val="007A233A"/>
    <w:rsid w:val="007A3060"/>
    <w:rsid w:val="007A332A"/>
    <w:rsid w:val="007A4627"/>
    <w:rsid w:val="007A4B97"/>
    <w:rsid w:val="007A5A78"/>
    <w:rsid w:val="007A6435"/>
    <w:rsid w:val="007A661F"/>
    <w:rsid w:val="007B16C2"/>
    <w:rsid w:val="007B1D1C"/>
    <w:rsid w:val="007B22EE"/>
    <w:rsid w:val="007B26E6"/>
    <w:rsid w:val="007B2CF0"/>
    <w:rsid w:val="007B429C"/>
    <w:rsid w:val="007B66D2"/>
    <w:rsid w:val="007B7042"/>
    <w:rsid w:val="007B74FE"/>
    <w:rsid w:val="007B7CF9"/>
    <w:rsid w:val="007C03F5"/>
    <w:rsid w:val="007C1A47"/>
    <w:rsid w:val="007C1CE9"/>
    <w:rsid w:val="007C324B"/>
    <w:rsid w:val="007C3361"/>
    <w:rsid w:val="007C34F7"/>
    <w:rsid w:val="007C3AAE"/>
    <w:rsid w:val="007C4509"/>
    <w:rsid w:val="007C52E3"/>
    <w:rsid w:val="007C5A12"/>
    <w:rsid w:val="007C5D86"/>
    <w:rsid w:val="007C661D"/>
    <w:rsid w:val="007C6D2A"/>
    <w:rsid w:val="007C7D90"/>
    <w:rsid w:val="007D0087"/>
    <w:rsid w:val="007D0A83"/>
    <w:rsid w:val="007D173D"/>
    <w:rsid w:val="007D1CC7"/>
    <w:rsid w:val="007D1CEA"/>
    <w:rsid w:val="007D3295"/>
    <w:rsid w:val="007D359C"/>
    <w:rsid w:val="007D391A"/>
    <w:rsid w:val="007D3CE6"/>
    <w:rsid w:val="007D4AD0"/>
    <w:rsid w:val="007D4C56"/>
    <w:rsid w:val="007D4FA3"/>
    <w:rsid w:val="007D52F2"/>
    <w:rsid w:val="007D5A41"/>
    <w:rsid w:val="007D6200"/>
    <w:rsid w:val="007D7839"/>
    <w:rsid w:val="007D796F"/>
    <w:rsid w:val="007D7B97"/>
    <w:rsid w:val="007E0EE9"/>
    <w:rsid w:val="007E1BF7"/>
    <w:rsid w:val="007E1C36"/>
    <w:rsid w:val="007E2813"/>
    <w:rsid w:val="007E2A75"/>
    <w:rsid w:val="007E2D68"/>
    <w:rsid w:val="007E2EAA"/>
    <w:rsid w:val="007E5780"/>
    <w:rsid w:val="007E61DD"/>
    <w:rsid w:val="007E72F1"/>
    <w:rsid w:val="007E75F8"/>
    <w:rsid w:val="007F0229"/>
    <w:rsid w:val="007F0688"/>
    <w:rsid w:val="007F0FB2"/>
    <w:rsid w:val="007F1939"/>
    <w:rsid w:val="007F19E7"/>
    <w:rsid w:val="007F2037"/>
    <w:rsid w:val="007F2092"/>
    <w:rsid w:val="007F36E8"/>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27F75"/>
    <w:rsid w:val="008307CE"/>
    <w:rsid w:val="00830C05"/>
    <w:rsid w:val="00830EB5"/>
    <w:rsid w:val="00831B9E"/>
    <w:rsid w:val="00831E8E"/>
    <w:rsid w:val="0083296E"/>
    <w:rsid w:val="00834191"/>
    <w:rsid w:val="008358D1"/>
    <w:rsid w:val="00835B7A"/>
    <w:rsid w:val="00835D84"/>
    <w:rsid w:val="00836C94"/>
    <w:rsid w:val="008371A4"/>
    <w:rsid w:val="00840E30"/>
    <w:rsid w:val="00843379"/>
    <w:rsid w:val="00843EDD"/>
    <w:rsid w:val="00845041"/>
    <w:rsid w:val="00845255"/>
    <w:rsid w:val="00846193"/>
    <w:rsid w:val="008466DB"/>
    <w:rsid w:val="00846870"/>
    <w:rsid w:val="00847963"/>
    <w:rsid w:val="00847D63"/>
    <w:rsid w:val="008516BF"/>
    <w:rsid w:val="00851BAC"/>
    <w:rsid w:val="0085261F"/>
    <w:rsid w:val="00852B20"/>
    <w:rsid w:val="00852D1D"/>
    <w:rsid w:val="00853E94"/>
    <w:rsid w:val="0085553B"/>
    <w:rsid w:val="00855E6E"/>
    <w:rsid w:val="0085628F"/>
    <w:rsid w:val="008569B2"/>
    <w:rsid w:val="00856FFF"/>
    <w:rsid w:val="008573CC"/>
    <w:rsid w:val="008611DC"/>
    <w:rsid w:val="008621D3"/>
    <w:rsid w:val="00863A17"/>
    <w:rsid w:val="008653C6"/>
    <w:rsid w:val="00865683"/>
    <w:rsid w:val="00865D1B"/>
    <w:rsid w:val="008673DC"/>
    <w:rsid w:val="00867590"/>
    <w:rsid w:val="00867641"/>
    <w:rsid w:val="00870627"/>
    <w:rsid w:val="00871733"/>
    <w:rsid w:val="00871DF5"/>
    <w:rsid w:val="00872158"/>
    <w:rsid w:val="0087321A"/>
    <w:rsid w:val="008736E3"/>
    <w:rsid w:val="008742A0"/>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F26"/>
    <w:rsid w:val="00887491"/>
    <w:rsid w:val="00887E88"/>
    <w:rsid w:val="00891E08"/>
    <w:rsid w:val="00891E41"/>
    <w:rsid w:val="00891FDF"/>
    <w:rsid w:val="00894429"/>
    <w:rsid w:val="008945E7"/>
    <w:rsid w:val="008947B9"/>
    <w:rsid w:val="00894DCD"/>
    <w:rsid w:val="0089532B"/>
    <w:rsid w:val="008957F1"/>
    <w:rsid w:val="0089585D"/>
    <w:rsid w:val="008959F7"/>
    <w:rsid w:val="00896675"/>
    <w:rsid w:val="008968E3"/>
    <w:rsid w:val="00897898"/>
    <w:rsid w:val="00897E4E"/>
    <w:rsid w:val="008A141A"/>
    <w:rsid w:val="008A2339"/>
    <w:rsid w:val="008A240D"/>
    <w:rsid w:val="008A2CDA"/>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0F7"/>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8B5"/>
    <w:rsid w:val="008C79D6"/>
    <w:rsid w:val="008C7B5F"/>
    <w:rsid w:val="008D0684"/>
    <w:rsid w:val="008D0D37"/>
    <w:rsid w:val="008D1482"/>
    <w:rsid w:val="008D153C"/>
    <w:rsid w:val="008D1806"/>
    <w:rsid w:val="008D1B44"/>
    <w:rsid w:val="008D1BB9"/>
    <w:rsid w:val="008D2D82"/>
    <w:rsid w:val="008D2E5C"/>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4DF5"/>
    <w:rsid w:val="008E563A"/>
    <w:rsid w:val="008E59C1"/>
    <w:rsid w:val="008E718F"/>
    <w:rsid w:val="008E7F2B"/>
    <w:rsid w:val="008F029D"/>
    <w:rsid w:val="008F0475"/>
    <w:rsid w:val="008F0EC0"/>
    <w:rsid w:val="008F1B75"/>
    <w:rsid w:val="008F1F4A"/>
    <w:rsid w:val="008F29FA"/>
    <w:rsid w:val="008F2B65"/>
    <w:rsid w:val="008F2C11"/>
    <w:rsid w:val="008F382A"/>
    <w:rsid w:val="008F4736"/>
    <w:rsid w:val="008F5164"/>
    <w:rsid w:val="008F5702"/>
    <w:rsid w:val="008F57BA"/>
    <w:rsid w:val="008F59C8"/>
    <w:rsid w:val="008F6117"/>
    <w:rsid w:val="008F6491"/>
    <w:rsid w:val="008F6895"/>
    <w:rsid w:val="008F6F43"/>
    <w:rsid w:val="008F711A"/>
    <w:rsid w:val="008F76C2"/>
    <w:rsid w:val="008F7829"/>
    <w:rsid w:val="00900764"/>
    <w:rsid w:val="009007C9"/>
    <w:rsid w:val="00900BCA"/>
    <w:rsid w:val="00901D53"/>
    <w:rsid w:val="00901EBD"/>
    <w:rsid w:val="0090220F"/>
    <w:rsid w:val="0090222A"/>
    <w:rsid w:val="00902602"/>
    <w:rsid w:val="00902654"/>
    <w:rsid w:val="00902C05"/>
    <w:rsid w:val="00902CB2"/>
    <w:rsid w:val="00903157"/>
    <w:rsid w:val="00903E3D"/>
    <w:rsid w:val="00903F1A"/>
    <w:rsid w:val="0090520B"/>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454"/>
    <w:rsid w:val="009266B7"/>
    <w:rsid w:val="00926769"/>
    <w:rsid w:val="00926E54"/>
    <w:rsid w:val="00927CB0"/>
    <w:rsid w:val="00927D5A"/>
    <w:rsid w:val="00930021"/>
    <w:rsid w:val="009305F2"/>
    <w:rsid w:val="00931367"/>
    <w:rsid w:val="009315C5"/>
    <w:rsid w:val="009317EA"/>
    <w:rsid w:val="009319C7"/>
    <w:rsid w:val="009319E5"/>
    <w:rsid w:val="00931AB9"/>
    <w:rsid w:val="00932598"/>
    <w:rsid w:val="009327CF"/>
    <w:rsid w:val="00932BEA"/>
    <w:rsid w:val="00932DF2"/>
    <w:rsid w:val="00933950"/>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535"/>
    <w:rsid w:val="00943F19"/>
    <w:rsid w:val="009445EB"/>
    <w:rsid w:val="00944909"/>
    <w:rsid w:val="00945A4A"/>
    <w:rsid w:val="00946A04"/>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57FA7"/>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87D35"/>
    <w:rsid w:val="0099018B"/>
    <w:rsid w:val="00990447"/>
    <w:rsid w:val="00990E0B"/>
    <w:rsid w:val="00991642"/>
    <w:rsid w:val="009918CE"/>
    <w:rsid w:val="00991FC8"/>
    <w:rsid w:val="009922D8"/>
    <w:rsid w:val="009923CB"/>
    <w:rsid w:val="00992D12"/>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B7F"/>
    <w:rsid w:val="009A202E"/>
    <w:rsid w:val="009A383F"/>
    <w:rsid w:val="009A47B3"/>
    <w:rsid w:val="009A485F"/>
    <w:rsid w:val="009A4A0B"/>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6E83"/>
    <w:rsid w:val="009B77F0"/>
    <w:rsid w:val="009B7853"/>
    <w:rsid w:val="009C0BE2"/>
    <w:rsid w:val="009C1131"/>
    <w:rsid w:val="009C1C62"/>
    <w:rsid w:val="009C202E"/>
    <w:rsid w:val="009C2FFF"/>
    <w:rsid w:val="009C3186"/>
    <w:rsid w:val="009C3E6C"/>
    <w:rsid w:val="009C40F3"/>
    <w:rsid w:val="009C4E44"/>
    <w:rsid w:val="009C4F23"/>
    <w:rsid w:val="009C537D"/>
    <w:rsid w:val="009C5AC3"/>
    <w:rsid w:val="009C65C1"/>
    <w:rsid w:val="009C6BCA"/>
    <w:rsid w:val="009C71A2"/>
    <w:rsid w:val="009C74DE"/>
    <w:rsid w:val="009C7CBA"/>
    <w:rsid w:val="009C7CCC"/>
    <w:rsid w:val="009D0133"/>
    <w:rsid w:val="009D093A"/>
    <w:rsid w:val="009D0C93"/>
    <w:rsid w:val="009D1126"/>
    <w:rsid w:val="009D1ADE"/>
    <w:rsid w:val="009D2798"/>
    <w:rsid w:val="009D2ECA"/>
    <w:rsid w:val="009D4425"/>
    <w:rsid w:val="009D4892"/>
    <w:rsid w:val="009D4B61"/>
    <w:rsid w:val="009D4BE7"/>
    <w:rsid w:val="009D64EC"/>
    <w:rsid w:val="009D73EE"/>
    <w:rsid w:val="009E0257"/>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497"/>
    <w:rsid w:val="00A00739"/>
    <w:rsid w:val="00A00F79"/>
    <w:rsid w:val="00A0107E"/>
    <w:rsid w:val="00A01280"/>
    <w:rsid w:val="00A01BDC"/>
    <w:rsid w:val="00A0304F"/>
    <w:rsid w:val="00A03125"/>
    <w:rsid w:val="00A0352D"/>
    <w:rsid w:val="00A03BA5"/>
    <w:rsid w:val="00A03CB2"/>
    <w:rsid w:val="00A04862"/>
    <w:rsid w:val="00A06587"/>
    <w:rsid w:val="00A066B6"/>
    <w:rsid w:val="00A068BF"/>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36D18"/>
    <w:rsid w:val="00A37735"/>
    <w:rsid w:val="00A37949"/>
    <w:rsid w:val="00A414A0"/>
    <w:rsid w:val="00A41D73"/>
    <w:rsid w:val="00A4237A"/>
    <w:rsid w:val="00A4270F"/>
    <w:rsid w:val="00A429BB"/>
    <w:rsid w:val="00A42BFB"/>
    <w:rsid w:val="00A4322D"/>
    <w:rsid w:val="00A435AC"/>
    <w:rsid w:val="00A44CFF"/>
    <w:rsid w:val="00A45444"/>
    <w:rsid w:val="00A45657"/>
    <w:rsid w:val="00A46168"/>
    <w:rsid w:val="00A4648B"/>
    <w:rsid w:val="00A475E7"/>
    <w:rsid w:val="00A50074"/>
    <w:rsid w:val="00A5089C"/>
    <w:rsid w:val="00A51B2E"/>
    <w:rsid w:val="00A520DB"/>
    <w:rsid w:val="00A5368F"/>
    <w:rsid w:val="00A5372E"/>
    <w:rsid w:val="00A53E82"/>
    <w:rsid w:val="00A54531"/>
    <w:rsid w:val="00A545E9"/>
    <w:rsid w:val="00A54A18"/>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72B"/>
    <w:rsid w:val="00A63DF1"/>
    <w:rsid w:val="00A64B1F"/>
    <w:rsid w:val="00A64B3F"/>
    <w:rsid w:val="00A64EA8"/>
    <w:rsid w:val="00A655A1"/>
    <w:rsid w:val="00A66072"/>
    <w:rsid w:val="00A667FD"/>
    <w:rsid w:val="00A67CED"/>
    <w:rsid w:val="00A70E89"/>
    <w:rsid w:val="00A713CE"/>
    <w:rsid w:val="00A721FA"/>
    <w:rsid w:val="00A72CE8"/>
    <w:rsid w:val="00A72F90"/>
    <w:rsid w:val="00A7369A"/>
    <w:rsid w:val="00A737CB"/>
    <w:rsid w:val="00A73F78"/>
    <w:rsid w:val="00A74BC8"/>
    <w:rsid w:val="00A74ED1"/>
    <w:rsid w:val="00A75A3F"/>
    <w:rsid w:val="00A76729"/>
    <w:rsid w:val="00A77615"/>
    <w:rsid w:val="00A77B4E"/>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BD3"/>
    <w:rsid w:val="00A90D45"/>
    <w:rsid w:val="00A90FB3"/>
    <w:rsid w:val="00A91FA5"/>
    <w:rsid w:val="00A9287A"/>
    <w:rsid w:val="00A9299A"/>
    <w:rsid w:val="00A932F8"/>
    <w:rsid w:val="00A94BFB"/>
    <w:rsid w:val="00A959DE"/>
    <w:rsid w:val="00A95CAD"/>
    <w:rsid w:val="00A96199"/>
    <w:rsid w:val="00A96D90"/>
    <w:rsid w:val="00A970EF"/>
    <w:rsid w:val="00A97D4D"/>
    <w:rsid w:val="00AA0201"/>
    <w:rsid w:val="00AA0BF5"/>
    <w:rsid w:val="00AA10A7"/>
    <w:rsid w:val="00AA1508"/>
    <w:rsid w:val="00AA2D6D"/>
    <w:rsid w:val="00AA3318"/>
    <w:rsid w:val="00AA3327"/>
    <w:rsid w:val="00AA34F5"/>
    <w:rsid w:val="00AA3505"/>
    <w:rsid w:val="00AA4AB5"/>
    <w:rsid w:val="00AA4E3C"/>
    <w:rsid w:val="00AA57F1"/>
    <w:rsid w:val="00AA5ADB"/>
    <w:rsid w:val="00AA5DED"/>
    <w:rsid w:val="00AA63D9"/>
    <w:rsid w:val="00AA650D"/>
    <w:rsid w:val="00AA6F51"/>
    <w:rsid w:val="00AA7856"/>
    <w:rsid w:val="00AB0E98"/>
    <w:rsid w:val="00AB2A08"/>
    <w:rsid w:val="00AB2CE2"/>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26F4"/>
    <w:rsid w:val="00AC2F80"/>
    <w:rsid w:val="00AC41BA"/>
    <w:rsid w:val="00AC4956"/>
    <w:rsid w:val="00AC51C5"/>
    <w:rsid w:val="00AC51D9"/>
    <w:rsid w:val="00AC55DA"/>
    <w:rsid w:val="00AC59E2"/>
    <w:rsid w:val="00AC5C92"/>
    <w:rsid w:val="00AC5DB4"/>
    <w:rsid w:val="00AC6073"/>
    <w:rsid w:val="00AC6DCD"/>
    <w:rsid w:val="00AC71E6"/>
    <w:rsid w:val="00AC7F35"/>
    <w:rsid w:val="00AD07D2"/>
    <w:rsid w:val="00AD174A"/>
    <w:rsid w:val="00AD1D17"/>
    <w:rsid w:val="00AD2691"/>
    <w:rsid w:val="00AD362E"/>
    <w:rsid w:val="00AD4A4C"/>
    <w:rsid w:val="00AD503E"/>
    <w:rsid w:val="00AD60C2"/>
    <w:rsid w:val="00AD6129"/>
    <w:rsid w:val="00AD65AB"/>
    <w:rsid w:val="00AD6E22"/>
    <w:rsid w:val="00AD7529"/>
    <w:rsid w:val="00AD7E4E"/>
    <w:rsid w:val="00AD7F5C"/>
    <w:rsid w:val="00AE02AA"/>
    <w:rsid w:val="00AE0E9D"/>
    <w:rsid w:val="00AE1161"/>
    <w:rsid w:val="00AE1411"/>
    <w:rsid w:val="00AE2227"/>
    <w:rsid w:val="00AE43B1"/>
    <w:rsid w:val="00AE455B"/>
    <w:rsid w:val="00AE494A"/>
    <w:rsid w:val="00AE4DA8"/>
    <w:rsid w:val="00AE50B0"/>
    <w:rsid w:val="00AE5CB5"/>
    <w:rsid w:val="00AE5E04"/>
    <w:rsid w:val="00AE5E0D"/>
    <w:rsid w:val="00AE693C"/>
    <w:rsid w:val="00AE7E35"/>
    <w:rsid w:val="00AF0159"/>
    <w:rsid w:val="00AF14D6"/>
    <w:rsid w:val="00AF1FCF"/>
    <w:rsid w:val="00AF316E"/>
    <w:rsid w:val="00AF3F01"/>
    <w:rsid w:val="00AF4EDC"/>
    <w:rsid w:val="00AF50D6"/>
    <w:rsid w:val="00AF51FC"/>
    <w:rsid w:val="00AF5E25"/>
    <w:rsid w:val="00AF6430"/>
    <w:rsid w:val="00AF6BA9"/>
    <w:rsid w:val="00AF6E5D"/>
    <w:rsid w:val="00AF70F6"/>
    <w:rsid w:val="00AF711C"/>
    <w:rsid w:val="00AF783C"/>
    <w:rsid w:val="00AF7F9D"/>
    <w:rsid w:val="00B00D4D"/>
    <w:rsid w:val="00B024B6"/>
    <w:rsid w:val="00B028B6"/>
    <w:rsid w:val="00B03110"/>
    <w:rsid w:val="00B03968"/>
    <w:rsid w:val="00B03BEC"/>
    <w:rsid w:val="00B0544B"/>
    <w:rsid w:val="00B05527"/>
    <w:rsid w:val="00B05B13"/>
    <w:rsid w:val="00B0618D"/>
    <w:rsid w:val="00B0637E"/>
    <w:rsid w:val="00B06AC3"/>
    <w:rsid w:val="00B0776E"/>
    <w:rsid w:val="00B078BB"/>
    <w:rsid w:val="00B07DEC"/>
    <w:rsid w:val="00B07FA5"/>
    <w:rsid w:val="00B10072"/>
    <w:rsid w:val="00B11581"/>
    <w:rsid w:val="00B118E6"/>
    <w:rsid w:val="00B1307D"/>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1153"/>
    <w:rsid w:val="00B22094"/>
    <w:rsid w:val="00B2356C"/>
    <w:rsid w:val="00B2382A"/>
    <w:rsid w:val="00B23A6F"/>
    <w:rsid w:val="00B23AE2"/>
    <w:rsid w:val="00B23C83"/>
    <w:rsid w:val="00B23F60"/>
    <w:rsid w:val="00B25C96"/>
    <w:rsid w:val="00B25F61"/>
    <w:rsid w:val="00B26323"/>
    <w:rsid w:val="00B268FA"/>
    <w:rsid w:val="00B26F9D"/>
    <w:rsid w:val="00B2725D"/>
    <w:rsid w:val="00B27A34"/>
    <w:rsid w:val="00B30277"/>
    <w:rsid w:val="00B32736"/>
    <w:rsid w:val="00B327E0"/>
    <w:rsid w:val="00B327FD"/>
    <w:rsid w:val="00B32B95"/>
    <w:rsid w:val="00B32BDA"/>
    <w:rsid w:val="00B32C95"/>
    <w:rsid w:val="00B33E45"/>
    <w:rsid w:val="00B34178"/>
    <w:rsid w:val="00B345BE"/>
    <w:rsid w:val="00B34A00"/>
    <w:rsid w:val="00B35CAB"/>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2222"/>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57F"/>
    <w:rsid w:val="00B77926"/>
    <w:rsid w:val="00B77C2D"/>
    <w:rsid w:val="00B80150"/>
    <w:rsid w:val="00B8058C"/>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3597"/>
    <w:rsid w:val="00B945B8"/>
    <w:rsid w:val="00B953D2"/>
    <w:rsid w:val="00B95444"/>
    <w:rsid w:val="00B95C17"/>
    <w:rsid w:val="00B95C3B"/>
    <w:rsid w:val="00B96945"/>
    <w:rsid w:val="00B97A3B"/>
    <w:rsid w:val="00B97AA1"/>
    <w:rsid w:val="00BA037E"/>
    <w:rsid w:val="00BA1CEE"/>
    <w:rsid w:val="00BA2089"/>
    <w:rsid w:val="00BA2780"/>
    <w:rsid w:val="00BA2CE2"/>
    <w:rsid w:val="00BA307F"/>
    <w:rsid w:val="00BA36E7"/>
    <w:rsid w:val="00BA4123"/>
    <w:rsid w:val="00BA4304"/>
    <w:rsid w:val="00BA4DFE"/>
    <w:rsid w:val="00BA512D"/>
    <w:rsid w:val="00BA5331"/>
    <w:rsid w:val="00BA6096"/>
    <w:rsid w:val="00BA6B24"/>
    <w:rsid w:val="00BA7CC7"/>
    <w:rsid w:val="00BB0818"/>
    <w:rsid w:val="00BB18FC"/>
    <w:rsid w:val="00BB22D2"/>
    <w:rsid w:val="00BB2B9B"/>
    <w:rsid w:val="00BB313F"/>
    <w:rsid w:val="00BB37B4"/>
    <w:rsid w:val="00BB3ACD"/>
    <w:rsid w:val="00BB3EA6"/>
    <w:rsid w:val="00BB49AB"/>
    <w:rsid w:val="00BB4E7E"/>
    <w:rsid w:val="00BB51C2"/>
    <w:rsid w:val="00BB5A85"/>
    <w:rsid w:val="00BB6946"/>
    <w:rsid w:val="00BB6D68"/>
    <w:rsid w:val="00BB7BA8"/>
    <w:rsid w:val="00BC0498"/>
    <w:rsid w:val="00BC094F"/>
    <w:rsid w:val="00BC3B00"/>
    <w:rsid w:val="00BC3B09"/>
    <w:rsid w:val="00BC3E1B"/>
    <w:rsid w:val="00BC4957"/>
    <w:rsid w:val="00BC78DF"/>
    <w:rsid w:val="00BD017C"/>
    <w:rsid w:val="00BD0895"/>
    <w:rsid w:val="00BD1149"/>
    <w:rsid w:val="00BD1A86"/>
    <w:rsid w:val="00BD1F20"/>
    <w:rsid w:val="00BD27FB"/>
    <w:rsid w:val="00BD35F7"/>
    <w:rsid w:val="00BD425C"/>
    <w:rsid w:val="00BD5581"/>
    <w:rsid w:val="00BD58AA"/>
    <w:rsid w:val="00BD5D72"/>
    <w:rsid w:val="00BD5D98"/>
    <w:rsid w:val="00BD6D8F"/>
    <w:rsid w:val="00BD6F09"/>
    <w:rsid w:val="00BD78BF"/>
    <w:rsid w:val="00BE015F"/>
    <w:rsid w:val="00BE0985"/>
    <w:rsid w:val="00BE098C"/>
    <w:rsid w:val="00BE0A87"/>
    <w:rsid w:val="00BE0DEC"/>
    <w:rsid w:val="00BE1B98"/>
    <w:rsid w:val="00BE364C"/>
    <w:rsid w:val="00BE3C3C"/>
    <w:rsid w:val="00BE3E7D"/>
    <w:rsid w:val="00BE3F27"/>
    <w:rsid w:val="00BE401C"/>
    <w:rsid w:val="00BE416A"/>
    <w:rsid w:val="00BE449B"/>
    <w:rsid w:val="00BE4C24"/>
    <w:rsid w:val="00BE5493"/>
    <w:rsid w:val="00BE55A5"/>
    <w:rsid w:val="00BE5DB4"/>
    <w:rsid w:val="00BE6DCA"/>
    <w:rsid w:val="00BE7141"/>
    <w:rsid w:val="00BE74FA"/>
    <w:rsid w:val="00BE7B8D"/>
    <w:rsid w:val="00BE7EA4"/>
    <w:rsid w:val="00BF0402"/>
    <w:rsid w:val="00BF15FB"/>
    <w:rsid w:val="00BF189F"/>
    <w:rsid w:val="00BF1B47"/>
    <w:rsid w:val="00BF222A"/>
    <w:rsid w:val="00BF2B66"/>
    <w:rsid w:val="00BF2D7C"/>
    <w:rsid w:val="00BF2E39"/>
    <w:rsid w:val="00BF2F3E"/>
    <w:rsid w:val="00BF3531"/>
    <w:rsid w:val="00BF3740"/>
    <w:rsid w:val="00BF4E29"/>
    <w:rsid w:val="00BF57DC"/>
    <w:rsid w:val="00BF5EC7"/>
    <w:rsid w:val="00BF64DC"/>
    <w:rsid w:val="00BF65B9"/>
    <w:rsid w:val="00BF6694"/>
    <w:rsid w:val="00BF680F"/>
    <w:rsid w:val="00BF7AB7"/>
    <w:rsid w:val="00C0112A"/>
    <w:rsid w:val="00C015DD"/>
    <w:rsid w:val="00C0171B"/>
    <w:rsid w:val="00C02186"/>
    <w:rsid w:val="00C02E33"/>
    <w:rsid w:val="00C03345"/>
    <w:rsid w:val="00C03A5D"/>
    <w:rsid w:val="00C04496"/>
    <w:rsid w:val="00C044E7"/>
    <w:rsid w:val="00C04514"/>
    <w:rsid w:val="00C04823"/>
    <w:rsid w:val="00C04B68"/>
    <w:rsid w:val="00C04DAC"/>
    <w:rsid w:val="00C04E3A"/>
    <w:rsid w:val="00C05185"/>
    <w:rsid w:val="00C0573D"/>
    <w:rsid w:val="00C058F1"/>
    <w:rsid w:val="00C06915"/>
    <w:rsid w:val="00C06C31"/>
    <w:rsid w:val="00C07046"/>
    <w:rsid w:val="00C070B1"/>
    <w:rsid w:val="00C07408"/>
    <w:rsid w:val="00C07CED"/>
    <w:rsid w:val="00C10635"/>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AC2"/>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797"/>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1350"/>
    <w:rsid w:val="00C81767"/>
    <w:rsid w:val="00C826E2"/>
    <w:rsid w:val="00C82E5F"/>
    <w:rsid w:val="00C8339F"/>
    <w:rsid w:val="00C83445"/>
    <w:rsid w:val="00C85D14"/>
    <w:rsid w:val="00C85D9F"/>
    <w:rsid w:val="00C86201"/>
    <w:rsid w:val="00C875A9"/>
    <w:rsid w:val="00C87E0E"/>
    <w:rsid w:val="00C90299"/>
    <w:rsid w:val="00C90378"/>
    <w:rsid w:val="00C9061E"/>
    <w:rsid w:val="00C923C6"/>
    <w:rsid w:val="00C92746"/>
    <w:rsid w:val="00C9282D"/>
    <w:rsid w:val="00C9317D"/>
    <w:rsid w:val="00C93411"/>
    <w:rsid w:val="00C93A4A"/>
    <w:rsid w:val="00C940CD"/>
    <w:rsid w:val="00C9614C"/>
    <w:rsid w:val="00C96331"/>
    <w:rsid w:val="00C9707D"/>
    <w:rsid w:val="00C970DC"/>
    <w:rsid w:val="00CA00EE"/>
    <w:rsid w:val="00CA1D81"/>
    <w:rsid w:val="00CA205C"/>
    <w:rsid w:val="00CA2942"/>
    <w:rsid w:val="00CA3340"/>
    <w:rsid w:val="00CA4F13"/>
    <w:rsid w:val="00CA4F24"/>
    <w:rsid w:val="00CA54D4"/>
    <w:rsid w:val="00CA55CD"/>
    <w:rsid w:val="00CA57A7"/>
    <w:rsid w:val="00CA5D66"/>
    <w:rsid w:val="00CA654E"/>
    <w:rsid w:val="00CA6821"/>
    <w:rsid w:val="00CA70D1"/>
    <w:rsid w:val="00CB02DD"/>
    <w:rsid w:val="00CB0E5F"/>
    <w:rsid w:val="00CB11EA"/>
    <w:rsid w:val="00CB193F"/>
    <w:rsid w:val="00CB1D9E"/>
    <w:rsid w:val="00CB26FD"/>
    <w:rsid w:val="00CB2B4A"/>
    <w:rsid w:val="00CB2C16"/>
    <w:rsid w:val="00CB336D"/>
    <w:rsid w:val="00CB355F"/>
    <w:rsid w:val="00CB3AE5"/>
    <w:rsid w:val="00CB3CFB"/>
    <w:rsid w:val="00CB560A"/>
    <w:rsid w:val="00CB5ADD"/>
    <w:rsid w:val="00CB67A2"/>
    <w:rsid w:val="00CB7E44"/>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3D2"/>
    <w:rsid w:val="00CD0A47"/>
    <w:rsid w:val="00CD11DB"/>
    <w:rsid w:val="00CD167D"/>
    <w:rsid w:val="00CD1999"/>
    <w:rsid w:val="00CD23B4"/>
    <w:rsid w:val="00CD3A9C"/>
    <w:rsid w:val="00CD3C0F"/>
    <w:rsid w:val="00CD3EDA"/>
    <w:rsid w:val="00CD3FD9"/>
    <w:rsid w:val="00CD44D7"/>
    <w:rsid w:val="00CD5654"/>
    <w:rsid w:val="00CD5C48"/>
    <w:rsid w:val="00CD6075"/>
    <w:rsid w:val="00CD6573"/>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ED4"/>
    <w:rsid w:val="00CE6022"/>
    <w:rsid w:val="00CE6153"/>
    <w:rsid w:val="00CE6520"/>
    <w:rsid w:val="00CE6E68"/>
    <w:rsid w:val="00CE7010"/>
    <w:rsid w:val="00CF077C"/>
    <w:rsid w:val="00CF1066"/>
    <w:rsid w:val="00CF1DEF"/>
    <w:rsid w:val="00CF2324"/>
    <w:rsid w:val="00CF24A5"/>
    <w:rsid w:val="00CF2951"/>
    <w:rsid w:val="00CF2D83"/>
    <w:rsid w:val="00CF2E90"/>
    <w:rsid w:val="00CF342B"/>
    <w:rsid w:val="00CF3B93"/>
    <w:rsid w:val="00CF415F"/>
    <w:rsid w:val="00CF6A46"/>
    <w:rsid w:val="00CF6E11"/>
    <w:rsid w:val="00CF6F87"/>
    <w:rsid w:val="00CF7016"/>
    <w:rsid w:val="00CF7B84"/>
    <w:rsid w:val="00CF7C58"/>
    <w:rsid w:val="00CF7E8C"/>
    <w:rsid w:val="00D015A1"/>
    <w:rsid w:val="00D01CE3"/>
    <w:rsid w:val="00D0266B"/>
    <w:rsid w:val="00D033BA"/>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DFA"/>
    <w:rsid w:val="00D24BDD"/>
    <w:rsid w:val="00D24E4F"/>
    <w:rsid w:val="00D26BD8"/>
    <w:rsid w:val="00D2718C"/>
    <w:rsid w:val="00D27792"/>
    <w:rsid w:val="00D278F2"/>
    <w:rsid w:val="00D27AB3"/>
    <w:rsid w:val="00D27E4A"/>
    <w:rsid w:val="00D30997"/>
    <w:rsid w:val="00D30CC9"/>
    <w:rsid w:val="00D32298"/>
    <w:rsid w:val="00D322E3"/>
    <w:rsid w:val="00D329C7"/>
    <w:rsid w:val="00D32BE0"/>
    <w:rsid w:val="00D34686"/>
    <w:rsid w:val="00D34746"/>
    <w:rsid w:val="00D3477A"/>
    <w:rsid w:val="00D34867"/>
    <w:rsid w:val="00D356C0"/>
    <w:rsid w:val="00D35A2D"/>
    <w:rsid w:val="00D369E3"/>
    <w:rsid w:val="00D37399"/>
    <w:rsid w:val="00D3765C"/>
    <w:rsid w:val="00D37B9B"/>
    <w:rsid w:val="00D40646"/>
    <w:rsid w:val="00D40753"/>
    <w:rsid w:val="00D4079C"/>
    <w:rsid w:val="00D41160"/>
    <w:rsid w:val="00D41210"/>
    <w:rsid w:val="00D420B0"/>
    <w:rsid w:val="00D4231D"/>
    <w:rsid w:val="00D429BC"/>
    <w:rsid w:val="00D42C21"/>
    <w:rsid w:val="00D44766"/>
    <w:rsid w:val="00D44AA9"/>
    <w:rsid w:val="00D44F97"/>
    <w:rsid w:val="00D45756"/>
    <w:rsid w:val="00D45CEA"/>
    <w:rsid w:val="00D46A5D"/>
    <w:rsid w:val="00D47243"/>
    <w:rsid w:val="00D50089"/>
    <w:rsid w:val="00D51195"/>
    <w:rsid w:val="00D5182F"/>
    <w:rsid w:val="00D519E7"/>
    <w:rsid w:val="00D53E44"/>
    <w:rsid w:val="00D560FA"/>
    <w:rsid w:val="00D5738F"/>
    <w:rsid w:val="00D601A6"/>
    <w:rsid w:val="00D6022E"/>
    <w:rsid w:val="00D614E0"/>
    <w:rsid w:val="00D61B6E"/>
    <w:rsid w:val="00D623D5"/>
    <w:rsid w:val="00D634BA"/>
    <w:rsid w:val="00D63907"/>
    <w:rsid w:val="00D639D5"/>
    <w:rsid w:val="00D644B0"/>
    <w:rsid w:val="00D6483E"/>
    <w:rsid w:val="00D654C9"/>
    <w:rsid w:val="00D65535"/>
    <w:rsid w:val="00D65E98"/>
    <w:rsid w:val="00D66A13"/>
    <w:rsid w:val="00D66BC2"/>
    <w:rsid w:val="00D66FA5"/>
    <w:rsid w:val="00D6715C"/>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3E2C"/>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2C7"/>
    <w:rsid w:val="00D826A7"/>
    <w:rsid w:val="00D82B31"/>
    <w:rsid w:val="00D82F10"/>
    <w:rsid w:val="00D831F2"/>
    <w:rsid w:val="00D83E2C"/>
    <w:rsid w:val="00D85B60"/>
    <w:rsid w:val="00D8751D"/>
    <w:rsid w:val="00D90C72"/>
    <w:rsid w:val="00D91DE3"/>
    <w:rsid w:val="00D92270"/>
    <w:rsid w:val="00D925C2"/>
    <w:rsid w:val="00D93276"/>
    <w:rsid w:val="00D93B24"/>
    <w:rsid w:val="00D93B7C"/>
    <w:rsid w:val="00D946E2"/>
    <w:rsid w:val="00D959D1"/>
    <w:rsid w:val="00D965A0"/>
    <w:rsid w:val="00D977BB"/>
    <w:rsid w:val="00DA12E2"/>
    <w:rsid w:val="00DA16C1"/>
    <w:rsid w:val="00DA1E8E"/>
    <w:rsid w:val="00DA32F2"/>
    <w:rsid w:val="00DA4B28"/>
    <w:rsid w:val="00DA4EFD"/>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501A"/>
    <w:rsid w:val="00DB7843"/>
    <w:rsid w:val="00DB7DE0"/>
    <w:rsid w:val="00DC02C2"/>
    <w:rsid w:val="00DC12F1"/>
    <w:rsid w:val="00DC1C9B"/>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CC8"/>
    <w:rsid w:val="00DD5186"/>
    <w:rsid w:val="00DD524F"/>
    <w:rsid w:val="00DD5A96"/>
    <w:rsid w:val="00DD6B76"/>
    <w:rsid w:val="00DD7226"/>
    <w:rsid w:val="00DE0675"/>
    <w:rsid w:val="00DE0970"/>
    <w:rsid w:val="00DE1DC8"/>
    <w:rsid w:val="00DE249D"/>
    <w:rsid w:val="00DE4EB9"/>
    <w:rsid w:val="00DE4EC9"/>
    <w:rsid w:val="00DE5E1B"/>
    <w:rsid w:val="00DE647E"/>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4FA"/>
    <w:rsid w:val="00DF6D4F"/>
    <w:rsid w:val="00DF7499"/>
    <w:rsid w:val="00DF7951"/>
    <w:rsid w:val="00E0021A"/>
    <w:rsid w:val="00E006A8"/>
    <w:rsid w:val="00E018B7"/>
    <w:rsid w:val="00E029C7"/>
    <w:rsid w:val="00E02EAB"/>
    <w:rsid w:val="00E033A9"/>
    <w:rsid w:val="00E04646"/>
    <w:rsid w:val="00E04BD1"/>
    <w:rsid w:val="00E04CCA"/>
    <w:rsid w:val="00E056EE"/>
    <w:rsid w:val="00E06E05"/>
    <w:rsid w:val="00E07419"/>
    <w:rsid w:val="00E100D0"/>
    <w:rsid w:val="00E10FD9"/>
    <w:rsid w:val="00E11643"/>
    <w:rsid w:val="00E118AF"/>
    <w:rsid w:val="00E12AAB"/>
    <w:rsid w:val="00E132D0"/>
    <w:rsid w:val="00E13433"/>
    <w:rsid w:val="00E13E01"/>
    <w:rsid w:val="00E1424D"/>
    <w:rsid w:val="00E14316"/>
    <w:rsid w:val="00E15740"/>
    <w:rsid w:val="00E157A0"/>
    <w:rsid w:val="00E167A8"/>
    <w:rsid w:val="00E16B83"/>
    <w:rsid w:val="00E203CF"/>
    <w:rsid w:val="00E217A7"/>
    <w:rsid w:val="00E21847"/>
    <w:rsid w:val="00E2304D"/>
    <w:rsid w:val="00E232CE"/>
    <w:rsid w:val="00E238E1"/>
    <w:rsid w:val="00E24063"/>
    <w:rsid w:val="00E24994"/>
    <w:rsid w:val="00E25653"/>
    <w:rsid w:val="00E25BDF"/>
    <w:rsid w:val="00E25F00"/>
    <w:rsid w:val="00E26D6A"/>
    <w:rsid w:val="00E27AD1"/>
    <w:rsid w:val="00E30BC0"/>
    <w:rsid w:val="00E30CB2"/>
    <w:rsid w:val="00E30DCB"/>
    <w:rsid w:val="00E32974"/>
    <w:rsid w:val="00E33668"/>
    <w:rsid w:val="00E3390A"/>
    <w:rsid w:val="00E34212"/>
    <w:rsid w:val="00E34ECB"/>
    <w:rsid w:val="00E34F7F"/>
    <w:rsid w:val="00E35046"/>
    <w:rsid w:val="00E35708"/>
    <w:rsid w:val="00E35BC6"/>
    <w:rsid w:val="00E362E6"/>
    <w:rsid w:val="00E36F12"/>
    <w:rsid w:val="00E37D60"/>
    <w:rsid w:val="00E41CAE"/>
    <w:rsid w:val="00E42374"/>
    <w:rsid w:val="00E42DD1"/>
    <w:rsid w:val="00E435CC"/>
    <w:rsid w:val="00E438F3"/>
    <w:rsid w:val="00E43EA5"/>
    <w:rsid w:val="00E43FDA"/>
    <w:rsid w:val="00E44387"/>
    <w:rsid w:val="00E45A2B"/>
    <w:rsid w:val="00E45AFF"/>
    <w:rsid w:val="00E46284"/>
    <w:rsid w:val="00E46903"/>
    <w:rsid w:val="00E46A9E"/>
    <w:rsid w:val="00E46F3E"/>
    <w:rsid w:val="00E477A8"/>
    <w:rsid w:val="00E47B32"/>
    <w:rsid w:val="00E500F7"/>
    <w:rsid w:val="00E5039A"/>
    <w:rsid w:val="00E505CE"/>
    <w:rsid w:val="00E50D70"/>
    <w:rsid w:val="00E51AB8"/>
    <w:rsid w:val="00E52000"/>
    <w:rsid w:val="00E527DC"/>
    <w:rsid w:val="00E52BE5"/>
    <w:rsid w:val="00E5382D"/>
    <w:rsid w:val="00E543D8"/>
    <w:rsid w:val="00E549BF"/>
    <w:rsid w:val="00E54CE0"/>
    <w:rsid w:val="00E550E3"/>
    <w:rsid w:val="00E55246"/>
    <w:rsid w:val="00E5549E"/>
    <w:rsid w:val="00E55966"/>
    <w:rsid w:val="00E56872"/>
    <w:rsid w:val="00E57828"/>
    <w:rsid w:val="00E6056B"/>
    <w:rsid w:val="00E61120"/>
    <w:rsid w:val="00E619DB"/>
    <w:rsid w:val="00E625F8"/>
    <w:rsid w:val="00E6270E"/>
    <w:rsid w:val="00E6377C"/>
    <w:rsid w:val="00E64084"/>
    <w:rsid w:val="00E640CB"/>
    <w:rsid w:val="00E64385"/>
    <w:rsid w:val="00E64F9D"/>
    <w:rsid w:val="00E65721"/>
    <w:rsid w:val="00E65A8D"/>
    <w:rsid w:val="00E66EA0"/>
    <w:rsid w:val="00E67221"/>
    <w:rsid w:val="00E700B1"/>
    <w:rsid w:val="00E701A3"/>
    <w:rsid w:val="00E7048F"/>
    <w:rsid w:val="00E70823"/>
    <w:rsid w:val="00E71DD9"/>
    <w:rsid w:val="00E721FF"/>
    <w:rsid w:val="00E72983"/>
    <w:rsid w:val="00E74268"/>
    <w:rsid w:val="00E747AC"/>
    <w:rsid w:val="00E75E94"/>
    <w:rsid w:val="00E775DC"/>
    <w:rsid w:val="00E80442"/>
    <w:rsid w:val="00E809D3"/>
    <w:rsid w:val="00E80BAC"/>
    <w:rsid w:val="00E81B45"/>
    <w:rsid w:val="00E82BAD"/>
    <w:rsid w:val="00E8300E"/>
    <w:rsid w:val="00E83203"/>
    <w:rsid w:val="00E84848"/>
    <w:rsid w:val="00E85044"/>
    <w:rsid w:val="00E85536"/>
    <w:rsid w:val="00E85BBE"/>
    <w:rsid w:val="00E86F56"/>
    <w:rsid w:val="00E8715B"/>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97C41"/>
    <w:rsid w:val="00EA0C69"/>
    <w:rsid w:val="00EA158B"/>
    <w:rsid w:val="00EA2252"/>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389"/>
    <w:rsid w:val="00EB3A08"/>
    <w:rsid w:val="00EB3BD6"/>
    <w:rsid w:val="00EB40F9"/>
    <w:rsid w:val="00EB4A63"/>
    <w:rsid w:val="00EB4B76"/>
    <w:rsid w:val="00EB4C61"/>
    <w:rsid w:val="00EB55D4"/>
    <w:rsid w:val="00EB5B3B"/>
    <w:rsid w:val="00EB5FA9"/>
    <w:rsid w:val="00EB6B4A"/>
    <w:rsid w:val="00EC0BB9"/>
    <w:rsid w:val="00EC0C6F"/>
    <w:rsid w:val="00EC0FC2"/>
    <w:rsid w:val="00EC1234"/>
    <w:rsid w:val="00EC265D"/>
    <w:rsid w:val="00EC28B0"/>
    <w:rsid w:val="00EC2D32"/>
    <w:rsid w:val="00EC30B1"/>
    <w:rsid w:val="00EC35AF"/>
    <w:rsid w:val="00EC4257"/>
    <w:rsid w:val="00EC51E2"/>
    <w:rsid w:val="00ED0BB0"/>
    <w:rsid w:val="00ED19CC"/>
    <w:rsid w:val="00ED2394"/>
    <w:rsid w:val="00ED2727"/>
    <w:rsid w:val="00ED2B05"/>
    <w:rsid w:val="00ED5367"/>
    <w:rsid w:val="00ED53D1"/>
    <w:rsid w:val="00ED7193"/>
    <w:rsid w:val="00ED768E"/>
    <w:rsid w:val="00EE0021"/>
    <w:rsid w:val="00EE2609"/>
    <w:rsid w:val="00EE30FF"/>
    <w:rsid w:val="00EE3517"/>
    <w:rsid w:val="00EE38E2"/>
    <w:rsid w:val="00EE413C"/>
    <w:rsid w:val="00EE49FE"/>
    <w:rsid w:val="00EE5497"/>
    <w:rsid w:val="00EE6E0E"/>
    <w:rsid w:val="00EE78D2"/>
    <w:rsid w:val="00EE7E99"/>
    <w:rsid w:val="00EF0649"/>
    <w:rsid w:val="00EF525D"/>
    <w:rsid w:val="00EF52D7"/>
    <w:rsid w:val="00EF6221"/>
    <w:rsid w:val="00F00B6B"/>
    <w:rsid w:val="00F01178"/>
    <w:rsid w:val="00F02A31"/>
    <w:rsid w:val="00F02FB5"/>
    <w:rsid w:val="00F04C2E"/>
    <w:rsid w:val="00F04D14"/>
    <w:rsid w:val="00F055F2"/>
    <w:rsid w:val="00F06D29"/>
    <w:rsid w:val="00F06E47"/>
    <w:rsid w:val="00F07960"/>
    <w:rsid w:val="00F079A5"/>
    <w:rsid w:val="00F07E79"/>
    <w:rsid w:val="00F1031B"/>
    <w:rsid w:val="00F10D5E"/>
    <w:rsid w:val="00F10E35"/>
    <w:rsid w:val="00F113E3"/>
    <w:rsid w:val="00F11509"/>
    <w:rsid w:val="00F1273A"/>
    <w:rsid w:val="00F139D8"/>
    <w:rsid w:val="00F13CE1"/>
    <w:rsid w:val="00F156C9"/>
    <w:rsid w:val="00F15BC3"/>
    <w:rsid w:val="00F15C1B"/>
    <w:rsid w:val="00F1683A"/>
    <w:rsid w:val="00F16A15"/>
    <w:rsid w:val="00F16F7A"/>
    <w:rsid w:val="00F171A3"/>
    <w:rsid w:val="00F17403"/>
    <w:rsid w:val="00F17ECE"/>
    <w:rsid w:val="00F2127F"/>
    <w:rsid w:val="00F22234"/>
    <w:rsid w:val="00F22DF6"/>
    <w:rsid w:val="00F22F11"/>
    <w:rsid w:val="00F23691"/>
    <w:rsid w:val="00F23751"/>
    <w:rsid w:val="00F240A7"/>
    <w:rsid w:val="00F24BE7"/>
    <w:rsid w:val="00F24C44"/>
    <w:rsid w:val="00F24CB5"/>
    <w:rsid w:val="00F2568D"/>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0F86"/>
    <w:rsid w:val="00F517C1"/>
    <w:rsid w:val="00F52B1D"/>
    <w:rsid w:val="00F52D28"/>
    <w:rsid w:val="00F52FEB"/>
    <w:rsid w:val="00F532A0"/>
    <w:rsid w:val="00F566A1"/>
    <w:rsid w:val="00F56A26"/>
    <w:rsid w:val="00F56ADF"/>
    <w:rsid w:val="00F56D5B"/>
    <w:rsid w:val="00F57696"/>
    <w:rsid w:val="00F577F5"/>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4DB"/>
    <w:rsid w:val="00F655A2"/>
    <w:rsid w:val="00F678F0"/>
    <w:rsid w:val="00F67D86"/>
    <w:rsid w:val="00F67DC5"/>
    <w:rsid w:val="00F708CD"/>
    <w:rsid w:val="00F70DFA"/>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56CC"/>
    <w:rsid w:val="00F87618"/>
    <w:rsid w:val="00F87B25"/>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E2"/>
    <w:rsid w:val="00F972E4"/>
    <w:rsid w:val="00FA0D8F"/>
    <w:rsid w:val="00FA0ED8"/>
    <w:rsid w:val="00FA18BD"/>
    <w:rsid w:val="00FA205C"/>
    <w:rsid w:val="00FA272A"/>
    <w:rsid w:val="00FA3A7E"/>
    <w:rsid w:val="00FA3E6E"/>
    <w:rsid w:val="00FA41D3"/>
    <w:rsid w:val="00FA4A37"/>
    <w:rsid w:val="00FA55F1"/>
    <w:rsid w:val="00FA6439"/>
    <w:rsid w:val="00FA76C8"/>
    <w:rsid w:val="00FA7F1D"/>
    <w:rsid w:val="00FB088E"/>
    <w:rsid w:val="00FB11C4"/>
    <w:rsid w:val="00FB17E6"/>
    <w:rsid w:val="00FB2321"/>
    <w:rsid w:val="00FB352B"/>
    <w:rsid w:val="00FB379B"/>
    <w:rsid w:val="00FB4001"/>
    <w:rsid w:val="00FB4472"/>
    <w:rsid w:val="00FB545B"/>
    <w:rsid w:val="00FB5686"/>
    <w:rsid w:val="00FB5754"/>
    <w:rsid w:val="00FB5B18"/>
    <w:rsid w:val="00FB638C"/>
    <w:rsid w:val="00FB65AB"/>
    <w:rsid w:val="00FB6A5B"/>
    <w:rsid w:val="00FB75E7"/>
    <w:rsid w:val="00FB7880"/>
    <w:rsid w:val="00FB7CBE"/>
    <w:rsid w:val="00FB7F2E"/>
    <w:rsid w:val="00FC3848"/>
    <w:rsid w:val="00FC3FED"/>
    <w:rsid w:val="00FC5A51"/>
    <w:rsid w:val="00FC5FDF"/>
    <w:rsid w:val="00FC634F"/>
    <w:rsid w:val="00FC7A48"/>
    <w:rsid w:val="00FC7CC8"/>
    <w:rsid w:val="00FD126E"/>
    <w:rsid w:val="00FD1B83"/>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947"/>
    <w:rsid w:val="00FF123B"/>
    <w:rsid w:val="00FF1DE6"/>
    <w:rsid w:val="00FF27BF"/>
    <w:rsid w:val="00FF2AAA"/>
    <w:rsid w:val="00FF33BF"/>
    <w:rsid w:val="00FF3C9B"/>
    <w:rsid w:val="00FF477D"/>
    <w:rsid w:val="00FF4DE7"/>
    <w:rsid w:val="00FF5445"/>
    <w:rsid w:val="00FF561A"/>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263071404">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59151">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kadin-event.webex.com/arkadin-event/onstage/g.php?MTID=e7f59e4c1ddf177bc2b517980bb8c018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vents.arkadin.com/ev/docs/NE_W2_TF_Events_International_Access_List.pdf" TargetMode="External"/><Relationship Id="rId4" Type="http://schemas.microsoft.com/office/2007/relationships/stylesWithEffects" Target="stylesWithEffects.xml"/><Relationship Id="rId9" Type="http://schemas.openxmlformats.org/officeDocument/2006/relationships/hyperlink" Target="http://www.pharm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DE199-7196-4863-9007-F71B7658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6892</Words>
  <Characters>39287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Consolidated Balance Sheet</vt:lpstr>
    </vt:vector>
  </TitlesOfParts>
  <Company>Pharming</Company>
  <LinksUpToDate>false</LinksUpToDate>
  <CharactersWithSpaces>46087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Nado Innocent</cp:lastModifiedBy>
  <cp:revision>2</cp:revision>
  <cp:lastPrinted>2018-07-25T10:52:00Z</cp:lastPrinted>
  <dcterms:created xsi:type="dcterms:W3CDTF">2018-07-25T15:21:00Z</dcterms:created>
  <dcterms:modified xsi:type="dcterms:W3CDTF">2018-07-25T15:21:00Z</dcterms:modified>
</cp:coreProperties>
</file>