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8C6B" w14:textId="283726B9" w:rsidR="000B6E26" w:rsidRPr="007538FD" w:rsidRDefault="000B6E26" w:rsidP="006A6B62">
      <w:pPr>
        <w:shd w:val="clear" w:color="auto" w:fill="FFFFFF"/>
        <w:spacing w:after="420" w:line="405" w:lineRule="atLeast"/>
        <w:outlineLvl w:val="1"/>
        <w:rPr>
          <w:rFonts w:ascii="Calibri Light" w:eastAsia="Times New Roman" w:hAnsi="Calibri Light" w:cs="Calibri Light"/>
          <w:b/>
          <w:color w:val="FF0000"/>
          <w:sz w:val="28"/>
          <w:szCs w:val="28"/>
          <w:lang w:val="en-GB" w:eastAsia="nl-NL"/>
        </w:rPr>
      </w:pPr>
    </w:p>
    <w:p w14:paraId="6ED0B498" w14:textId="0B27C64E" w:rsidR="00BA317C" w:rsidRPr="003045E2" w:rsidRDefault="00BA317C" w:rsidP="007538FD">
      <w:pPr>
        <w:shd w:val="clear" w:color="auto" w:fill="FFFFFF"/>
        <w:spacing w:after="420" w:line="405" w:lineRule="atLeast"/>
        <w:ind w:left="1134" w:right="1417"/>
        <w:jc w:val="center"/>
        <w:outlineLvl w:val="1"/>
        <w:rPr>
          <w:rFonts w:ascii="Calibri Light" w:eastAsia="Times New Roman" w:hAnsi="Calibri Light" w:cs="Calibri Light"/>
          <w:b/>
          <w:color w:val="0070C0"/>
          <w:sz w:val="36"/>
          <w:szCs w:val="36"/>
          <w:lang w:val="en-GB" w:eastAsia="nl-NL"/>
        </w:rPr>
      </w:pPr>
      <w:r w:rsidRPr="003045E2">
        <w:rPr>
          <w:rFonts w:ascii="Calibri Light" w:eastAsia="Times New Roman" w:hAnsi="Calibri Light" w:cs="Calibri Light"/>
          <w:b/>
          <w:color w:val="0070C0"/>
          <w:sz w:val="36"/>
          <w:szCs w:val="36"/>
          <w:lang w:val="en-GB" w:eastAsia="nl-NL"/>
        </w:rPr>
        <w:t xml:space="preserve">Pharming </w:t>
      </w:r>
      <w:r w:rsidR="00555F63" w:rsidRPr="003045E2">
        <w:rPr>
          <w:rFonts w:ascii="Calibri Light" w:eastAsia="Times New Roman" w:hAnsi="Calibri Light" w:cs="Calibri Light"/>
          <w:b/>
          <w:color w:val="0070C0"/>
          <w:sz w:val="36"/>
          <w:szCs w:val="36"/>
          <w:lang w:val="en-GB" w:eastAsia="nl-NL"/>
        </w:rPr>
        <w:t xml:space="preserve">announces </w:t>
      </w:r>
      <w:r w:rsidR="00DA7FFE" w:rsidRPr="003045E2">
        <w:rPr>
          <w:rFonts w:ascii="Calibri Light" w:eastAsia="Times New Roman" w:hAnsi="Calibri Light" w:cs="Calibri Light"/>
          <w:b/>
          <w:color w:val="0070C0"/>
          <w:sz w:val="36"/>
          <w:szCs w:val="36"/>
          <w:lang w:val="en-GB" w:eastAsia="nl-NL"/>
        </w:rPr>
        <w:t xml:space="preserve">further </w:t>
      </w:r>
      <w:r w:rsidR="007538FD" w:rsidRPr="003045E2">
        <w:rPr>
          <w:rFonts w:ascii="Calibri Light" w:eastAsia="Times New Roman" w:hAnsi="Calibri Light" w:cs="Calibri Light"/>
          <w:b/>
          <w:color w:val="0070C0"/>
          <w:sz w:val="36"/>
          <w:szCs w:val="36"/>
          <w:lang w:val="en-GB" w:eastAsia="nl-NL"/>
        </w:rPr>
        <w:t xml:space="preserve">issue of shares as </w:t>
      </w:r>
      <w:r w:rsidR="003045E2">
        <w:rPr>
          <w:rFonts w:ascii="Calibri Light" w:eastAsia="Times New Roman" w:hAnsi="Calibri Light" w:cs="Calibri Light"/>
          <w:b/>
          <w:color w:val="0070C0"/>
          <w:sz w:val="36"/>
          <w:szCs w:val="36"/>
          <w:lang w:val="en-GB" w:eastAsia="nl-NL"/>
        </w:rPr>
        <w:t>e</w:t>
      </w:r>
      <w:r w:rsidR="00857D61" w:rsidRPr="003045E2">
        <w:rPr>
          <w:rFonts w:ascii="Calibri Light" w:eastAsia="Times New Roman" w:hAnsi="Calibri Light" w:cs="Calibri Light"/>
          <w:b/>
          <w:color w:val="0070C0"/>
          <w:sz w:val="36"/>
          <w:szCs w:val="36"/>
          <w:lang w:val="en-GB" w:eastAsia="nl-NL"/>
        </w:rPr>
        <w:t xml:space="preserve">mployee </w:t>
      </w:r>
      <w:r w:rsidR="003045E2">
        <w:rPr>
          <w:rFonts w:ascii="Calibri Light" w:eastAsia="Times New Roman" w:hAnsi="Calibri Light" w:cs="Calibri Light"/>
          <w:b/>
          <w:color w:val="0070C0"/>
          <w:sz w:val="36"/>
          <w:szCs w:val="36"/>
          <w:lang w:val="en-GB" w:eastAsia="nl-NL"/>
        </w:rPr>
        <w:t>o</w:t>
      </w:r>
      <w:r w:rsidR="00857D61" w:rsidRPr="003045E2">
        <w:rPr>
          <w:rFonts w:ascii="Calibri Light" w:eastAsia="Times New Roman" w:hAnsi="Calibri Light" w:cs="Calibri Light"/>
          <w:b/>
          <w:color w:val="0070C0"/>
          <w:sz w:val="36"/>
          <w:szCs w:val="36"/>
          <w:lang w:val="en-GB" w:eastAsia="nl-NL"/>
        </w:rPr>
        <w:t>ptions</w:t>
      </w:r>
      <w:r w:rsidR="007538FD" w:rsidRPr="003045E2">
        <w:rPr>
          <w:rFonts w:ascii="Calibri Light" w:eastAsia="Times New Roman" w:hAnsi="Calibri Light" w:cs="Calibri Light"/>
          <w:b/>
          <w:color w:val="0070C0"/>
          <w:sz w:val="36"/>
          <w:szCs w:val="36"/>
          <w:lang w:val="en-GB" w:eastAsia="nl-NL"/>
        </w:rPr>
        <w:t xml:space="preserve"> are exercised</w:t>
      </w:r>
    </w:p>
    <w:p w14:paraId="252ED09C" w14:textId="00CA1ABD" w:rsidR="00DF5102" w:rsidRDefault="00163525" w:rsidP="00E74572">
      <w:pPr>
        <w:shd w:val="clear" w:color="auto" w:fill="FFFFFF"/>
        <w:spacing w:after="120" w:line="240" w:lineRule="auto"/>
        <w:ind w:left="851" w:right="992"/>
        <w:jc w:val="center"/>
        <w:rPr>
          <w:rFonts w:ascii="Calibri Light" w:eastAsia="Times New Roman" w:hAnsi="Calibri Light" w:cs="Calibri Light"/>
          <w:b/>
          <w:bCs/>
          <w:i/>
          <w:color w:val="59595B"/>
          <w:sz w:val="24"/>
          <w:lang w:val="en-GB" w:eastAsia="nl-NL"/>
        </w:rPr>
      </w:pPr>
      <w:r>
        <w:rPr>
          <w:rFonts w:ascii="Calibri Light" w:eastAsia="Times New Roman" w:hAnsi="Calibri Light" w:cs="Calibri Light"/>
          <w:b/>
          <w:bCs/>
          <w:i/>
          <w:color w:val="59595B"/>
          <w:sz w:val="24"/>
          <w:lang w:val="en-GB" w:eastAsia="nl-NL"/>
        </w:rPr>
        <w:t>Management</w:t>
      </w:r>
      <w:r w:rsidR="007538FD">
        <w:rPr>
          <w:rFonts w:ascii="Calibri Light" w:eastAsia="Times New Roman" w:hAnsi="Calibri Light" w:cs="Calibri Light"/>
          <w:b/>
          <w:bCs/>
          <w:i/>
          <w:color w:val="59595B"/>
          <w:sz w:val="24"/>
          <w:lang w:val="en-GB" w:eastAsia="nl-NL"/>
        </w:rPr>
        <w:t xml:space="preserve"> exercise </w:t>
      </w:r>
      <w:r>
        <w:rPr>
          <w:rFonts w:ascii="Calibri Light" w:eastAsia="Times New Roman" w:hAnsi="Calibri Light" w:cs="Calibri Light"/>
          <w:b/>
          <w:bCs/>
          <w:i/>
          <w:color w:val="59595B"/>
          <w:sz w:val="24"/>
          <w:lang w:val="en-GB" w:eastAsia="nl-NL"/>
        </w:rPr>
        <w:t>options</w:t>
      </w:r>
      <w:r w:rsidR="00E74572">
        <w:rPr>
          <w:rFonts w:ascii="Calibri Light" w:eastAsia="Times New Roman" w:hAnsi="Calibri Light" w:cs="Calibri Light"/>
          <w:b/>
          <w:bCs/>
          <w:i/>
          <w:color w:val="59595B"/>
          <w:sz w:val="24"/>
          <w:lang w:val="en-GB" w:eastAsia="nl-NL"/>
        </w:rPr>
        <w:t xml:space="preserve"> representing </w:t>
      </w:r>
      <w:r>
        <w:rPr>
          <w:rFonts w:ascii="Calibri Light" w:eastAsia="Times New Roman" w:hAnsi="Calibri Light" w:cs="Calibri Light"/>
          <w:b/>
          <w:bCs/>
          <w:i/>
          <w:color w:val="59595B"/>
          <w:sz w:val="24"/>
          <w:lang w:val="en-GB" w:eastAsia="nl-NL"/>
        </w:rPr>
        <w:t>6,240,000</w:t>
      </w:r>
      <w:r w:rsidR="00EF601A">
        <w:rPr>
          <w:rFonts w:ascii="Calibri Light" w:eastAsia="Times New Roman" w:hAnsi="Calibri Light" w:cs="Calibri Light"/>
          <w:b/>
          <w:bCs/>
          <w:i/>
          <w:color w:val="59595B"/>
          <w:sz w:val="24"/>
          <w:lang w:val="en-GB" w:eastAsia="nl-NL"/>
        </w:rPr>
        <w:t xml:space="preserve"> </w:t>
      </w:r>
      <w:r w:rsidR="00E74572">
        <w:rPr>
          <w:rFonts w:ascii="Calibri Light" w:eastAsia="Times New Roman" w:hAnsi="Calibri Light" w:cs="Calibri Light"/>
          <w:b/>
          <w:bCs/>
          <w:i/>
          <w:color w:val="59595B"/>
          <w:sz w:val="24"/>
          <w:lang w:val="en-GB" w:eastAsia="nl-NL"/>
        </w:rPr>
        <w:t>share</w:t>
      </w:r>
      <w:r w:rsidR="007538FD">
        <w:rPr>
          <w:rFonts w:ascii="Calibri Light" w:eastAsia="Times New Roman" w:hAnsi="Calibri Light" w:cs="Calibri Light"/>
          <w:b/>
          <w:bCs/>
          <w:i/>
          <w:color w:val="59595B"/>
          <w:sz w:val="24"/>
          <w:lang w:val="en-GB" w:eastAsia="nl-NL"/>
        </w:rPr>
        <w:t>s</w:t>
      </w:r>
      <w:r w:rsidR="00DA7FFE">
        <w:rPr>
          <w:rFonts w:ascii="Calibri Light" w:eastAsia="Times New Roman" w:hAnsi="Calibri Light" w:cs="Calibri Light"/>
          <w:b/>
          <w:bCs/>
          <w:i/>
          <w:color w:val="59595B"/>
          <w:sz w:val="24"/>
          <w:lang w:val="en-GB" w:eastAsia="nl-NL"/>
        </w:rPr>
        <w:t xml:space="preserve"> </w:t>
      </w:r>
      <w:r w:rsidR="00516162">
        <w:rPr>
          <w:rFonts w:ascii="Calibri Light" w:eastAsia="Times New Roman" w:hAnsi="Calibri Light" w:cs="Calibri Light"/>
          <w:b/>
          <w:bCs/>
          <w:i/>
          <w:color w:val="59595B"/>
          <w:sz w:val="24"/>
          <w:lang w:val="en-GB" w:eastAsia="nl-NL"/>
        </w:rPr>
        <w:t>and as result increase their holdings by 26%</w:t>
      </w:r>
    </w:p>
    <w:p w14:paraId="74322BE8" w14:textId="77777777" w:rsidR="00B42B77" w:rsidRPr="000378C8" w:rsidRDefault="00B42B77" w:rsidP="003C5A46">
      <w:pPr>
        <w:shd w:val="clear" w:color="auto" w:fill="FFFFFF"/>
        <w:spacing w:after="120" w:line="240" w:lineRule="auto"/>
        <w:jc w:val="center"/>
        <w:rPr>
          <w:rStyle w:val="Strong"/>
          <w:rFonts w:ascii="Calibri Light" w:eastAsia="Times New Roman" w:hAnsi="Calibri Light" w:cs="Calibri Light"/>
          <w:i/>
          <w:color w:val="59595B"/>
          <w:sz w:val="24"/>
          <w:lang w:val="en-GB" w:eastAsia="nl-NL"/>
        </w:rPr>
      </w:pPr>
    </w:p>
    <w:p w14:paraId="1005B9A8" w14:textId="7B104877" w:rsidR="003A3E91" w:rsidRDefault="00BA317C" w:rsidP="00E74572">
      <w:pPr>
        <w:shd w:val="clear" w:color="auto" w:fill="FFFFFF"/>
        <w:spacing w:after="300" w:line="240" w:lineRule="auto"/>
        <w:jc w:val="both"/>
        <w:rPr>
          <w:rFonts w:ascii="Calibri Light" w:hAnsi="Calibri Light" w:cs="Calibri Light"/>
          <w:color w:val="59595B"/>
          <w:shd w:val="clear" w:color="auto" w:fill="FFFFFF"/>
          <w:lang w:val="en-GB"/>
        </w:rPr>
      </w:pPr>
      <w:r w:rsidRPr="004E2761">
        <w:rPr>
          <w:rFonts w:ascii="Calibri Light" w:eastAsia="Times New Roman" w:hAnsi="Calibri Light" w:cs="Calibri Light"/>
          <w:b/>
          <w:bCs/>
          <w:color w:val="0070C0"/>
          <w:lang w:val="en-GB" w:eastAsia="nl-NL"/>
        </w:rPr>
        <w:t xml:space="preserve">Leiden, The Netherlands, </w:t>
      </w:r>
      <w:r w:rsidR="004E2761" w:rsidRPr="00D307C5">
        <w:rPr>
          <w:rFonts w:ascii="Calibri Light" w:eastAsia="Times New Roman" w:hAnsi="Calibri Light" w:cs="Calibri Light"/>
          <w:b/>
          <w:bCs/>
          <w:color w:val="0070C0"/>
          <w:lang w:val="en-GB" w:eastAsia="nl-NL"/>
        </w:rPr>
        <w:t>3</w:t>
      </w:r>
      <w:r w:rsidR="00737966" w:rsidRPr="00D307C5">
        <w:rPr>
          <w:rFonts w:ascii="Calibri Light" w:eastAsia="Times New Roman" w:hAnsi="Calibri Light" w:cs="Calibri Light"/>
          <w:b/>
          <w:bCs/>
          <w:color w:val="0070C0"/>
          <w:lang w:val="en-GB" w:eastAsia="nl-NL"/>
        </w:rPr>
        <w:t>0</w:t>
      </w:r>
      <w:r w:rsidR="004E2761" w:rsidRPr="00D307C5">
        <w:rPr>
          <w:rFonts w:ascii="Calibri Light" w:eastAsia="Times New Roman" w:hAnsi="Calibri Light" w:cs="Calibri Light"/>
          <w:b/>
          <w:bCs/>
          <w:color w:val="0070C0"/>
          <w:lang w:val="en-GB" w:eastAsia="nl-NL"/>
        </w:rPr>
        <w:t xml:space="preserve"> July</w:t>
      </w:r>
      <w:r w:rsidR="00DA7FFE" w:rsidRPr="004E2761">
        <w:rPr>
          <w:rFonts w:ascii="Calibri Light" w:eastAsia="Times New Roman" w:hAnsi="Calibri Light" w:cs="Calibri Light"/>
          <w:b/>
          <w:bCs/>
          <w:color w:val="0070C0"/>
          <w:lang w:val="en-GB" w:eastAsia="nl-NL"/>
        </w:rPr>
        <w:t xml:space="preserve"> 2018</w:t>
      </w:r>
      <w:r w:rsidRPr="004E2761">
        <w:rPr>
          <w:rFonts w:ascii="Calibri Light" w:eastAsia="Times New Roman" w:hAnsi="Calibri Light" w:cs="Calibri Light"/>
          <w:bCs/>
          <w:color w:val="0070C0"/>
          <w:lang w:val="en-GB" w:eastAsia="nl-NL"/>
        </w:rPr>
        <w:t>:</w:t>
      </w:r>
      <w:r w:rsidR="00A6292A" w:rsidRPr="004E2761">
        <w:rPr>
          <w:rFonts w:ascii="Calibri Light" w:eastAsia="Times New Roman" w:hAnsi="Calibri Light" w:cs="Calibri Light"/>
          <w:color w:val="0070C0"/>
          <w:lang w:val="en-GB" w:eastAsia="nl-NL"/>
        </w:rPr>
        <w:t xml:space="preserve"> </w:t>
      </w:r>
      <w:r w:rsidR="00883E74" w:rsidRPr="000B6E26">
        <w:rPr>
          <w:rFonts w:ascii="Calibri Light" w:hAnsi="Calibri Light" w:cs="Calibri Light"/>
          <w:color w:val="59595B"/>
          <w:shd w:val="clear" w:color="auto" w:fill="FFFFFF"/>
          <w:lang w:val="en-GB"/>
        </w:rPr>
        <w:t>Pharming Group N.V. (“Pharming” or “the Company”) (Euron</w:t>
      </w:r>
      <w:r w:rsidR="00590C0F">
        <w:rPr>
          <w:rFonts w:ascii="Calibri Light" w:hAnsi="Calibri Light" w:cs="Calibri Light"/>
          <w:color w:val="59595B"/>
          <w:shd w:val="clear" w:color="auto" w:fill="FFFFFF"/>
          <w:lang w:val="en-GB"/>
        </w:rPr>
        <w:t xml:space="preserve">ext Amsterdam: PHARM) </w:t>
      </w:r>
      <w:r w:rsidR="00590C0F" w:rsidRPr="00590C0F">
        <w:rPr>
          <w:rFonts w:ascii="Calibri Light" w:hAnsi="Calibri Light" w:cs="Calibri Light"/>
          <w:color w:val="59595B"/>
          <w:shd w:val="clear" w:color="auto" w:fill="FFFFFF"/>
          <w:lang w:val="en-GB"/>
        </w:rPr>
        <w:t xml:space="preserve">announced today that it has </w:t>
      </w:r>
      <w:r w:rsidR="00555F63">
        <w:rPr>
          <w:rFonts w:ascii="Calibri Light" w:hAnsi="Calibri Light" w:cs="Calibri Light"/>
          <w:color w:val="59595B"/>
          <w:shd w:val="clear" w:color="auto" w:fill="FFFFFF"/>
          <w:lang w:val="en-GB"/>
        </w:rPr>
        <w:t xml:space="preserve">issued a total of </w:t>
      </w:r>
      <w:r w:rsidR="00EF601A">
        <w:rPr>
          <w:rFonts w:ascii="Calibri Light" w:hAnsi="Calibri Light" w:cs="Calibri Light"/>
          <w:color w:val="59595B"/>
          <w:shd w:val="clear" w:color="auto" w:fill="FFFFFF"/>
          <w:lang w:val="en-GB"/>
        </w:rPr>
        <w:t>6,</w:t>
      </w:r>
      <w:r w:rsidR="00163525">
        <w:rPr>
          <w:rFonts w:ascii="Calibri Light" w:hAnsi="Calibri Light" w:cs="Calibri Light"/>
          <w:color w:val="59595B"/>
          <w:shd w:val="clear" w:color="auto" w:fill="FFFFFF"/>
          <w:lang w:val="en-GB"/>
        </w:rPr>
        <w:t>240,000</w:t>
      </w:r>
      <w:r w:rsidR="00555F63">
        <w:rPr>
          <w:rFonts w:ascii="Calibri Light" w:hAnsi="Calibri Light" w:cs="Calibri Light"/>
          <w:color w:val="59595B"/>
          <w:shd w:val="clear" w:color="auto" w:fill="FFFFFF"/>
          <w:lang w:val="en-GB"/>
        </w:rPr>
        <w:t xml:space="preserve"> new shares </w:t>
      </w:r>
      <w:r w:rsidR="007538FD">
        <w:rPr>
          <w:rFonts w:ascii="Calibri Light" w:hAnsi="Calibri Light" w:cs="Calibri Light"/>
          <w:color w:val="59595B"/>
          <w:shd w:val="clear" w:color="auto" w:fill="FFFFFF"/>
          <w:lang w:val="en-GB"/>
        </w:rPr>
        <w:t xml:space="preserve">following exercise of warrants representing a total of </w:t>
      </w:r>
      <w:r w:rsidR="00163525">
        <w:rPr>
          <w:rFonts w:ascii="Calibri Light" w:hAnsi="Calibri Light" w:cs="Calibri Light"/>
          <w:color w:val="59595B"/>
          <w:shd w:val="clear" w:color="auto" w:fill="FFFFFF"/>
          <w:lang w:val="en-GB"/>
        </w:rPr>
        <w:t>6,240,000</w:t>
      </w:r>
      <w:r w:rsidR="007538FD">
        <w:rPr>
          <w:rFonts w:ascii="Calibri Light" w:hAnsi="Calibri Light" w:cs="Calibri Light"/>
          <w:color w:val="59595B"/>
          <w:shd w:val="clear" w:color="auto" w:fill="FFFFFF"/>
          <w:lang w:val="en-GB"/>
        </w:rPr>
        <w:t xml:space="preserve"> shares</w:t>
      </w:r>
      <w:r w:rsidR="00DF5102">
        <w:rPr>
          <w:rFonts w:ascii="Calibri Light" w:hAnsi="Calibri Light" w:cs="Calibri Light"/>
          <w:color w:val="59595B"/>
          <w:shd w:val="clear" w:color="auto" w:fill="FFFFFF"/>
          <w:lang w:val="en-GB"/>
        </w:rPr>
        <w:t xml:space="preserve">. </w:t>
      </w:r>
      <w:r w:rsidR="00163525">
        <w:rPr>
          <w:rFonts w:ascii="Calibri Light" w:hAnsi="Calibri Light" w:cs="Calibri Light"/>
          <w:color w:val="59595B"/>
          <w:shd w:val="clear" w:color="auto" w:fill="FFFFFF"/>
          <w:lang w:val="en-GB"/>
        </w:rPr>
        <w:t xml:space="preserve">The new shares represent an increase in the number of issued shares of 1.02%. </w:t>
      </w:r>
      <w:r w:rsidR="007A32D5">
        <w:rPr>
          <w:rFonts w:ascii="Calibri Light" w:hAnsi="Calibri Light" w:cs="Calibri Light"/>
          <w:color w:val="59595B"/>
          <w:shd w:val="clear" w:color="auto" w:fill="FFFFFF"/>
          <w:lang w:val="en-GB"/>
        </w:rPr>
        <w:t xml:space="preserve"> </w:t>
      </w:r>
      <w:proofErr w:type="gramStart"/>
      <w:r w:rsidR="007A32D5">
        <w:rPr>
          <w:rFonts w:ascii="Calibri Light" w:hAnsi="Calibri Light" w:cs="Calibri Light"/>
          <w:color w:val="59595B"/>
          <w:shd w:val="clear" w:color="auto" w:fill="FFFFFF"/>
          <w:lang w:val="en-GB"/>
        </w:rPr>
        <w:t>As a result of</w:t>
      </w:r>
      <w:proofErr w:type="gramEnd"/>
      <w:r w:rsidR="00DF5102">
        <w:rPr>
          <w:rFonts w:ascii="Calibri Light" w:hAnsi="Calibri Light" w:cs="Calibri Light"/>
          <w:color w:val="59595B"/>
          <w:shd w:val="clear" w:color="auto" w:fill="FFFFFF"/>
          <w:lang w:val="en-GB"/>
        </w:rPr>
        <w:t xml:space="preserve"> this </w:t>
      </w:r>
      <w:r w:rsidR="007538FD">
        <w:rPr>
          <w:rFonts w:ascii="Calibri Light" w:hAnsi="Calibri Light" w:cs="Calibri Light"/>
          <w:color w:val="59595B"/>
          <w:shd w:val="clear" w:color="auto" w:fill="FFFFFF"/>
          <w:lang w:val="en-GB"/>
        </w:rPr>
        <w:t>exercise</w:t>
      </w:r>
      <w:r w:rsidR="00D307C5">
        <w:rPr>
          <w:rFonts w:ascii="Calibri Light" w:hAnsi="Calibri Light" w:cs="Calibri Light"/>
          <w:color w:val="59595B"/>
          <w:shd w:val="clear" w:color="auto" w:fill="FFFFFF"/>
          <w:lang w:val="en-GB"/>
        </w:rPr>
        <w:t xml:space="preserve">, including shares needed to be sold to meet both </w:t>
      </w:r>
      <w:r w:rsidR="00516162">
        <w:rPr>
          <w:rFonts w:ascii="Calibri Light" w:hAnsi="Calibri Light" w:cs="Calibri Light"/>
          <w:color w:val="59595B"/>
          <w:shd w:val="clear" w:color="auto" w:fill="FFFFFF"/>
          <w:lang w:val="en-GB"/>
        </w:rPr>
        <w:t>the mandatory immediate withholding of Dutch income tax on exercise and</w:t>
      </w:r>
      <w:r w:rsidR="00D307C5">
        <w:rPr>
          <w:rFonts w:ascii="Calibri Light" w:hAnsi="Calibri Light" w:cs="Calibri Light"/>
          <w:color w:val="59595B"/>
          <w:shd w:val="clear" w:color="auto" w:fill="FFFFFF"/>
          <w:lang w:val="en-GB"/>
        </w:rPr>
        <w:t xml:space="preserve"> funds for the exercise price of all options exercised</w:t>
      </w:r>
      <w:r w:rsidR="00516162">
        <w:rPr>
          <w:rFonts w:ascii="Calibri Light" w:hAnsi="Calibri Light" w:cs="Calibri Light"/>
          <w:color w:val="59595B"/>
          <w:shd w:val="clear" w:color="auto" w:fill="FFFFFF"/>
          <w:lang w:val="en-GB"/>
        </w:rPr>
        <w:t xml:space="preserve">, </w:t>
      </w:r>
      <w:r w:rsidR="00163525">
        <w:rPr>
          <w:rFonts w:ascii="Calibri Light" w:hAnsi="Calibri Light" w:cs="Calibri Light"/>
          <w:color w:val="59595B"/>
          <w:shd w:val="clear" w:color="auto" w:fill="FFFFFF"/>
          <w:lang w:val="en-GB"/>
        </w:rPr>
        <w:t xml:space="preserve">the members of management </w:t>
      </w:r>
      <w:r w:rsidR="007A32D5">
        <w:rPr>
          <w:rFonts w:ascii="Calibri Light" w:hAnsi="Calibri Light" w:cs="Calibri Light"/>
          <w:color w:val="59595B"/>
          <w:shd w:val="clear" w:color="auto" w:fill="FFFFFF"/>
          <w:lang w:val="en-GB"/>
        </w:rPr>
        <w:t xml:space="preserve">involved </w:t>
      </w:r>
      <w:r w:rsidR="00163525">
        <w:rPr>
          <w:rFonts w:ascii="Calibri Light" w:hAnsi="Calibri Light" w:cs="Calibri Light"/>
          <w:color w:val="59595B"/>
          <w:shd w:val="clear" w:color="auto" w:fill="FFFFFF"/>
          <w:lang w:val="en-GB"/>
        </w:rPr>
        <w:t xml:space="preserve">increased their holdings of shares </w:t>
      </w:r>
      <w:r w:rsidR="004E2761">
        <w:rPr>
          <w:rFonts w:ascii="Calibri Light" w:hAnsi="Calibri Light" w:cs="Calibri Light"/>
          <w:color w:val="59595B"/>
          <w:shd w:val="clear" w:color="auto" w:fill="FFFFFF"/>
          <w:lang w:val="en-GB"/>
        </w:rPr>
        <w:t xml:space="preserve">by 26% </w:t>
      </w:r>
      <w:r w:rsidR="00163525">
        <w:rPr>
          <w:rFonts w:ascii="Calibri Light" w:hAnsi="Calibri Light" w:cs="Calibri Light"/>
          <w:color w:val="59595B"/>
          <w:shd w:val="clear" w:color="auto" w:fill="FFFFFF"/>
          <w:lang w:val="en-GB"/>
        </w:rPr>
        <w:t>from</w:t>
      </w:r>
      <w:r w:rsidR="007A32D5">
        <w:rPr>
          <w:rFonts w:ascii="Calibri Light" w:hAnsi="Calibri Light" w:cs="Calibri Light"/>
          <w:color w:val="59595B"/>
          <w:shd w:val="clear" w:color="auto" w:fill="FFFFFF"/>
          <w:lang w:val="en-GB"/>
        </w:rPr>
        <w:t xml:space="preserve"> 5,945,458</w:t>
      </w:r>
      <w:r w:rsidR="00163525">
        <w:rPr>
          <w:rFonts w:ascii="Calibri Light" w:hAnsi="Calibri Light" w:cs="Calibri Light"/>
          <w:color w:val="59595B"/>
          <w:shd w:val="clear" w:color="auto" w:fill="FFFFFF"/>
          <w:lang w:val="en-GB"/>
        </w:rPr>
        <w:t xml:space="preserve"> </w:t>
      </w:r>
      <w:r w:rsidR="007A32D5">
        <w:rPr>
          <w:rFonts w:ascii="Calibri Light" w:hAnsi="Calibri Light" w:cs="Calibri Light"/>
          <w:color w:val="59595B"/>
          <w:shd w:val="clear" w:color="auto" w:fill="FFFFFF"/>
          <w:lang w:val="en-GB"/>
        </w:rPr>
        <w:t>to 7,475,126.</w:t>
      </w:r>
    </w:p>
    <w:p w14:paraId="77DB21C7" w14:textId="41416C9B" w:rsidR="007A32D5" w:rsidRDefault="007538FD" w:rsidP="00E74572">
      <w:pPr>
        <w:shd w:val="clear" w:color="auto" w:fill="FFFFFF"/>
        <w:spacing w:after="300" w:line="240" w:lineRule="auto"/>
        <w:jc w:val="both"/>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Two members of the Board of Management </w:t>
      </w:r>
      <w:r w:rsidR="007A32D5">
        <w:rPr>
          <w:rFonts w:ascii="Calibri Light" w:eastAsia="Times New Roman" w:hAnsi="Calibri Light" w:cs="Calibri Light"/>
          <w:color w:val="59595B"/>
          <w:lang w:val="en-GB" w:eastAsia="nl-NL"/>
        </w:rPr>
        <w:t xml:space="preserve">have option schemes which expire within the next </w:t>
      </w:r>
      <w:r w:rsidR="00516162">
        <w:rPr>
          <w:rFonts w:ascii="Calibri Light" w:eastAsia="Times New Roman" w:hAnsi="Calibri Light" w:cs="Calibri Light"/>
          <w:color w:val="59595B"/>
          <w:lang w:val="en-GB" w:eastAsia="nl-NL"/>
        </w:rPr>
        <w:t>9</w:t>
      </w:r>
      <w:r w:rsidR="007A32D5">
        <w:rPr>
          <w:rFonts w:ascii="Calibri Light" w:eastAsia="Times New Roman" w:hAnsi="Calibri Light" w:cs="Calibri Light"/>
          <w:color w:val="59595B"/>
          <w:lang w:val="en-GB" w:eastAsia="nl-NL"/>
        </w:rPr>
        <w:t xml:space="preserve"> months</w:t>
      </w:r>
      <w:r w:rsidR="004E2761">
        <w:rPr>
          <w:rFonts w:ascii="Calibri Light" w:eastAsia="Times New Roman" w:hAnsi="Calibri Light" w:cs="Calibri Light"/>
          <w:color w:val="59595B"/>
          <w:lang w:val="en-GB" w:eastAsia="nl-NL"/>
        </w:rPr>
        <w:t>,</w:t>
      </w:r>
      <w:r w:rsidR="007A32D5">
        <w:rPr>
          <w:rFonts w:ascii="Calibri Light" w:eastAsia="Times New Roman" w:hAnsi="Calibri Light" w:cs="Calibri Light"/>
          <w:color w:val="59595B"/>
          <w:lang w:val="en-GB" w:eastAsia="nl-NL"/>
        </w:rPr>
        <w:t xml:space="preserve"> representing a total of 19.2 million shares. </w:t>
      </w:r>
      <w:r w:rsidR="00516162">
        <w:rPr>
          <w:rFonts w:ascii="Calibri Light" w:eastAsia="Times New Roman" w:hAnsi="Calibri Light" w:cs="Calibri Light"/>
          <w:color w:val="59595B"/>
          <w:lang w:val="en-GB" w:eastAsia="nl-NL"/>
        </w:rPr>
        <w:t xml:space="preserve">To prevent the </w:t>
      </w:r>
      <w:r w:rsidR="007A32D5">
        <w:rPr>
          <w:rFonts w:ascii="Calibri Light" w:eastAsia="Times New Roman" w:hAnsi="Calibri Light" w:cs="Calibri Light"/>
          <w:color w:val="59595B"/>
          <w:lang w:val="en-GB" w:eastAsia="nl-NL"/>
        </w:rPr>
        <w:t xml:space="preserve">exercise </w:t>
      </w:r>
      <w:r w:rsidR="00516162">
        <w:rPr>
          <w:rFonts w:ascii="Calibri Light" w:eastAsia="Times New Roman" w:hAnsi="Calibri Light" w:cs="Calibri Light"/>
          <w:color w:val="59595B"/>
          <w:lang w:val="en-GB" w:eastAsia="nl-NL"/>
        </w:rPr>
        <w:t xml:space="preserve">of </w:t>
      </w:r>
      <w:r w:rsidR="00FF4ABB">
        <w:rPr>
          <w:rFonts w:ascii="Calibri Light" w:eastAsia="Times New Roman" w:hAnsi="Calibri Light" w:cs="Calibri Light"/>
          <w:color w:val="59595B"/>
          <w:lang w:val="en-GB" w:eastAsia="nl-NL"/>
        </w:rPr>
        <w:t>such a large number of</w:t>
      </w:r>
      <w:r w:rsidR="007A32D5">
        <w:rPr>
          <w:rFonts w:ascii="Calibri Light" w:eastAsia="Times New Roman" w:hAnsi="Calibri Light" w:cs="Calibri Light"/>
          <w:color w:val="59595B"/>
          <w:lang w:val="en-GB" w:eastAsia="nl-NL"/>
        </w:rPr>
        <w:t xml:space="preserve"> options </w:t>
      </w:r>
      <w:r w:rsidR="00516162">
        <w:rPr>
          <w:rFonts w:ascii="Calibri Light" w:eastAsia="Times New Roman" w:hAnsi="Calibri Light" w:cs="Calibri Light"/>
          <w:color w:val="59595B"/>
          <w:lang w:val="en-GB" w:eastAsia="nl-NL"/>
        </w:rPr>
        <w:t xml:space="preserve">and the consequent sale of </w:t>
      </w:r>
      <w:r w:rsidR="00737966">
        <w:rPr>
          <w:rFonts w:ascii="Calibri Light" w:eastAsia="Times New Roman" w:hAnsi="Calibri Light" w:cs="Calibri Light"/>
          <w:color w:val="59595B"/>
          <w:lang w:val="en-GB" w:eastAsia="nl-NL"/>
        </w:rPr>
        <w:t>the majority of the</w:t>
      </w:r>
      <w:r w:rsidR="00D307C5">
        <w:rPr>
          <w:rFonts w:ascii="Calibri Light" w:eastAsia="Times New Roman" w:hAnsi="Calibri Light" w:cs="Calibri Light"/>
          <w:color w:val="59595B"/>
          <w:lang w:val="en-GB" w:eastAsia="nl-NL"/>
        </w:rPr>
        <w:t>se</w:t>
      </w:r>
      <w:r w:rsidR="00737966">
        <w:rPr>
          <w:rFonts w:ascii="Calibri Light" w:eastAsia="Times New Roman" w:hAnsi="Calibri Light" w:cs="Calibri Light"/>
          <w:color w:val="59595B"/>
          <w:lang w:val="en-GB" w:eastAsia="nl-NL"/>
        </w:rPr>
        <w:t xml:space="preserve"> </w:t>
      </w:r>
      <w:r w:rsidR="00516162">
        <w:rPr>
          <w:rFonts w:ascii="Calibri Light" w:eastAsia="Times New Roman" w:hAnsi="Calibri Light" w:cs="Calibri Light"/>
          <w:color w:val="59595B"/>
          <w:lang w:val="en-GB" w:eastAsia="nl-NL"/>
        </w:rPr>
        <w:t xml:space="preserve">shares to fund income tax and </w:t>
      </w:r>
      <w:r w:rsidR="00D307C5">
        <w:rPr>
          <w:rFonts w:ascii="Calibri Light" w:eastAsia="Times New Roman" w:hAnsi="Calibri Light" w:cs="Calibri Light"/>
          <w:color w:val="59595B"/>
          <w:lang w:val="en-GB" w:eastAsia="nl-NL"/>
        </w:rPr>
        <w:t>option exercise prices</w:t>
      </w:r>
      <w:r w:rsidR="00516162">
        <w:rPr>
          <w:rFonts w:ascii="Calibri Light" w:eastAsia="Times New Roman" w:hAnsi="Calibri Light" w:cs="Calibri Light"/>
          <w:color w:val="59595B"/>
          <w:lang w:val="en-GB" w:eastAsia="nl-NL"/>
        </w:rPr>
        <w:t xml:space="preserve"> </w:t>
      </w:r>
      <w:r w:rsidR="00D307C5">
        <w:rPr>
          <w:rFonts w:ascii="Calibri Light" w:eastAsia="Times New Roman" w:hAnsi="Calibri Light" w:cs="Calibri Light"/>
          <w:color w:val="59595B"/>
          <w:lang w:val="en-GB" w:eastAsia="nl-NL"/>
        </w:rPr>
        <w:t>at the time of exercise</w:t>
      </w:r>
      <w:r w:rsidR="00FF4ABB">
        <w:rPr>
          <w:rFonts w:ascii="Calibri Light" w:eastAsia="Times New Roman" w:hAnsi="Calibri Light" w:cs="Calibri Light"/>
          <w:color w:val="59595B"/>
          <w:lang w:val="en-GB" w:eastAsia="nl-NL"/>
        </w:rPr>
        <w:t>,</w:t>
      </w:r>
      <w:r w:rsidR="007A32D5">
        <w:rPr>
          <w:rFonts w:ascii="Calibri Light" w:eastAsia="Times New Roman" w:hAnsi="Calibri Light" w:cs="Calibri Light"/>
          <w:color w:val="59595B"/>
          <w:lang w:val="en-GB" w:eastAsia="nl-NL"/>
        </w:rPr>
        <w:t xml:space="preserve"> thereby releasing almost 3% of the </w:t>
      </w:r>
      <w:r w:rsidR="004E2761">
        <w:rPr>
          <w:rFonts w:ascii="Calibri Light" w:eastAsia="Times New Roman" w:hAnsi="Calibri Light" w:cs="Calibri Light"/>
          <w:color w:val="59595B"/>
          <w:lang w:val="en-GB" w:eastAsia="nl-NL"/>
        </w:rPr>
        <w:t>C</w:t>
      </w:r>
      <w:r w:rsidR="007A32D5">
        <w:rPr>
          <w:rFonts w:ascii="Calibri Light" w:eastAsia="Times New Roman" w:hAnsi="Calibri Light" w:cs="Calibri Light"/>
          <w:color w:val="59595B"/>
          <w:lang w:val="en-GB" w:eastAsia="nl-NL"/>
        </w:rPr>
        <w:t xml:space="preserve">ompany’s issued share capital on to the market </w:t>
      </w:r>
      <w:r w:rsidR="00516162">
        <w:rPr>
          <w:rFonts w:ascii="Calibri Light" w:eastAsia="Times New Roman" w:hAnsi="Calibri Light" w:cs="Calibri Light"/>
          <w:color w:val="59595B"/>
          <w:lang w:val="en-GB" w:eastAsia="nl-NL"/>
        </w:rPr>
        <w:t>over a short period of time</w:t>
      </w:r>
      <w:r w:rsidR="003045E2">
        <w:rPr>
          <w:rFonts w:ascii="Calibri Light" w:eastAsia="Times New Roman" w:hAnsi="Calibri Light" w:cs="Calibri Light"/>
          <w:color w:val="59595B"/>
          <w:lang w:val="en-GB" w:eastAsia="nl-NL"/>
        </w:rPr>
        <w:t>,</w:t>
      </w:r>
      <w:r w:rsidR="00FF4ABB">
        <w:rPr>
          <w:rFonts w:ascii="Calibri Light" w:eastAsia="Times New Roman" w:hAnsi="Calibri Light" w:cs="Calibri Light"/>
          <w:color w:val="59595B"/>
          <w:lang w:val="en-GB" w:eastAsia="nl-NL"/>
        </w:rPr>
        <w:t xml:space="preserve"> </w:t>
      </w:r>
      <w:r w:rsidR="007A32D5">
        <w:rPr>
          <w:rFonts w:ascii="Calibri Light" w:eastAsia="Times New Roman" w:hAnsi="Calibri Light" w:cs="Calibri Light"/>
          <w:color w:val="59595B"/>
          <w:lang w:val="en-GB" w:eastAsia="nl-NL"/>
        </w:rPr>
        <w:t>the</w:t>
      </w:r>
      <w:r w:rsidR="003045E2">
        <w:rPr>
          <w:rFonts w:ascii="Calibri Light" w:eastAsia="Times New Roman" w:hAnsi="Calibri Light" w:cs="Calibri Light"/>
          <w:color w:val="59595B"/>
          <w:lang w:val="en-GB" w:eastAsia="nl-NL"/>
        </w:rPr>
        <w:t xml:space="preserve"> option</w:t>
      </w:r>
      <w:r w:rsidR="004E2761">
        <w:rPr>
          <w:rFonts w:ascii="Calibri Light" w:eastAsia="Times New Roman" w:hAnsi="Calibri Light" w:cs="Calibri Light"/>
          <w:color w:val="59595B"/>
          <w:lang w:val="en-GB" w:eastAsia="nl-NL"/>
        </w:rPr>
        <w:t xml:space="preserve"> </w:t>
      </w:r>
      <w:r w:rsidR="003045E2">
        <w:rPr>
          <w:rFonts w:ascii="Calibri Light" w:eastAsia="Times New Roman" w:hAnsi="Calibri Light" w:cs="Calibri Light"/>
          <w:color w:val="59595B"/>
          <w:lang w:val="en-GB" w:eastAsia="nl-NL"/>
        </w:rPr>
        <w:t>holders</w:t>
      </w:r>
      <w:r w:rsidR="007A32D5">
        <w:rPr>
          <w:rFonts w:ascii="Calibri Light" w:eastAsia="Times New Roman" w:hAnsi="Calibri Light" w:cs="Calibri Light"/>
          <w:color w:val="59595B"/>
          <w:lang w:val="en-GB" w:eastAsia="nl-NL"/>
        </w:rPr>
        <w:t xml:space="preserve"> took the decision to spread the exercise over as many open periods as may be declared for them as insiders </w:t>
      </w:r>
      <w:r w:rsidR="004B3E4B">
        <w:rPr>
          <w:rFonts w:ascii="Calibri Light" w:eastAsia="Times New Roman" w:hAnsi="Calibri Light" w:cs="Calibri Light"/>
          <w:color w:val="59595B"/>
          <w:lang w:val="en-GB" w:eastAsia="nl-NL"/>
        </w:rPr>
        <w:t xml:space="preserve">until </w:t>
      </w:r>
      <w:r w:rsidR="007A32D5">
        <w:rPr>
          <w:rFonts w:ascii="Calibri Light" w:eastAsia="Times New Roman" w:hAnsi="Calibri Light" w:cs="Calibri Light"/>
          <w:color w:val="59595B"/>
          <w:lang w:val="en-GB" w:eastAsia="nl-NL"/>
        </w:rPr>
        <w:t>that expiry date, in order to create as little effect on the Pharming stock price as possible.</w:t>
      </w:r>
    </w:p>
    <w:p w14:paraId="02352DCC" w14:textId="38999506" w:rsidR="00FF4ABB" w:rsidRDefault="00FF4ABB" w:rsidP="00E74572">
      <w:pPr>
        <w:shd w:val="clear" w:color="auto" w:fill="FFFFFF"/>
        <w:spacing w:after="300" w:line="240" w:lineRule="auto"/>
        <w:jc w:val="both"/>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As is standard for exercises of employee share options in listed companies across the world, Pharming share options are exercised by (i) exercising the </w:t>
      </w:r>
      <w:r w:rsidR="004E2761">
        <w:rPr>
          <w:rFonts w:ascii="Calibri Light" w:eastAsia="Times New Roman" w:hAnsi="Calibri Light" w:cs="Calibri Light"/>
          <w:color w:val="59595B"/>
          <w:lang w:val="en-GB" w:eastAsia="nl-NL"/>
        </w:rPr>
        <w:t xml:space="preserve"> </w:t>
      </w:r>
      <w:r>
        <w:rPr>
          <w:rFonts w:ascii="Calibri Light" w:eastAsia="Times New Roman" w:hAnsi="Calibri Light" w:cs="Calibri Light"/>
          <w:color w:val="59595B"/>
          <w:lang w:val="en-GB" w:eastAsia="nl-NL"/>
        </w:rPr>
        <w:t xml:space="preserve">options, and then (ii) selling such proportion of the resulting shares on the open market as is required to enable the option holder to pay (a) the exercise price </w:t>
      </w:r>
      <w:r w:rsidR="00D307C5">
        <w:rPr>
          <w:rFonts w:ascii="Calibri Light" w:eastAsia="Times New Roman" w:hAnsi="Calibri Light" w:cs="Calibri Light"/>
          <w:color w:val="59595B"/>
          <w:lang w:val="en-GB" w:eastAsia="nl-NL"/>
        </w:rPr>
        <w:t>of the options</w:t>
      </w:r>
      <w:r>
        <w:rPr>
          <w:rFonts w:ascii="Calibri Light" w:eastAsia="Times New Roman" w:hAnsi="Calibri Light" w:cs="Calibri Light"/>
          <w:color w:val="59595B"/>
          <w:lang w:val="en-GB" w:eastAsia="nl-NL"/>
        </w:rPr>
        <w:t xml:space="preserve"> </w:t>
      </w:r>
      <w:r w:rsidR="004E2761">
        <w:rPr>
          <w:rFonts w:ascii="Calibri Light" w:eastAsia="Times New Roman" w:hAnsi="Calibri Light" w:cs="Calibri Light"/>
          <w:color w:val="59595B"/>
          <w:lang w:val="en-GB" w:eastAsia="nl-NL"/>
        </w:rPr>
        <w:t xml:space="preserve">to the Company </w:t>
      </w:r>
      <w:r>
        <w:rPr>
          <w:rFonts w:ascii="Calibri Light" w:eastAsia="Times New Roman" w:hAnsi="Calibri Light" w:cs="Calibri Light"/>
          <w:color w:val="59595B"/>
          <w:lang w:val="en-GB" w:eastAsia="nl-NL"/>
        </w:rPr>
        <w:t>and (b) the income tax due on the gain as determined by reference to the option holder’s tax circumstances at their marginal tax rate. In the case of a large exercise of options in the Netherlands, this</w:t>
      </w:r>
      <w:r w:rsidR="004B3E4B">
        <w:rPr>
          <w:rFonts w:ascii="Calibri Light" w:eastAsia="Times New Roman" w:hAnsi="Calibri Light" w:cs="Calibri Light"/>
          <w:color w:val="59595B"/>
          <w:lang w:val="en-GB" w:eastAsia="nl-NL"/>
        </w:rPr>
        <w:t>,</w:t>
      </w:r>
      <w:r>
        <w:rPr>
          <w:rFonts w:ascii="Calibri Light" w:eastAsia="Times New Roman" w:hAnsi="Calibri Light" w:cs="Calibri Light"/>
          <w:color w:val="59595B"/>
          <w:lang w:val="en-GB" w:eastAsia="nl-NL"/>
        </w:rPr>
        <w:t xml:space="preserve"> </w:t>
      </w:r>
      <w:r w:rsidR="004B3E4B">
        <w:rPr>
          <w:rFonts w:ascii="Calibri Light" w:eastAsia="Times New Roman" w:hAnsi="Calibri Light" w:cs="Calibri Light"/>
          <w:color w:val="59595B"/>
          <w:lang w:val="en-GB" w:eastAsia="nl-NL"/>
        </w:rPr>
        <w:t>by default,</w:t>
      </w:r>
      <w:r>
        <w:rPr>
          <w:rFonts w:ascii="Calibri Light" w:eastAsia="Times New Roman" w:hAnsi="Calibri Light" w:cs="Calibri Light"/>
          <w:color w:val="59595B"/>
          <w:lang w:val="en-GB" w:eastAsia="nl-NL"/>
        </w:rPr>
        <w:t xml:space="preserve"> results in </w:t>
      </w:r>
      <w:r w:rsidR="004E2761">
        <w:rPr>
          <w:rFonts w:ascii="Calibri Light" w:eastAsia="Times New Roman" w:hAnsi="Calibri Light" w:cs="Calibri Light"/>
          <w:color w:val="59595B"/>
          <w:lang w:val="en-GB" w:eastAsia="nl-NL"/>
        </w:rPr>
        <w:t xml:space="preserve">the </w:t>
      </w:r>
      <w:r w:rsidR="006A6B62">
        <w:rPr>
          <w:rFonts w:ascii="Calibri Light" w:eastAsia="Times New Roman" w:hAnsi="Calibri Light" w:cs="Calibri Light"/>
          <w:color w:val="59595B"/>
          <w:lang w:val="en-GB" w:eastAsia="nl-NL"/>
        </w:rPr>
        <w:t xml:space="preserve">immediate </w:t>
      </w:r>
      <w:r w:rsidR="004E2761">
        <w:rPr>
          <w:rFonts w:ascii="Calibri Light" w:eastAsia="Times New Roman" w:hAnsi="Calibri Light" w:cs="Calibri Light"/>
          <w:color w:val="59595B"/>
          <w:lang w:val="en-GB" w:eastAsia="nl-NL"/>
        </w:rPr>
        <w:t xml:space="preserve">sale of </w:t>
      </w:r>
      <w:r w:rsidR="00D307C5">
        <w:rPr>
          <w:rFonts w:ascii="Calibri Light" w:eastAsia="Times New Roman" w:hAnsi="Calibri Light" w:cs="Calibri Light"/>
          <w:color w:val="59595B"/>
          <w:lang w:val="en-GB" w:eastAsia="nl-NL"/>
        </w:rPr>
        <w:t xml:space="preserve">the major part </w:t>
      </w:r>
      <w:r>
        <w:rPr>
          <w:rFonts w:ascii="Calibri Light" w:eastAsia="Times New Roman" w:hAnsi="Calibri Light" w:cs="Calibri Light"/>
          <w:color w:val="59595B"/>
          <w:lang w:val="en-GB" w:eastAsia="nl-NL"/>
        </w:rPr>
        <w:t xml:space="preserve">of </w:t>
      </w:r>
      <w:r w:rsidR="004E2761">
        <w:rPr>
          <w:rFonts w:ascii="Calibri Light" w:eastAsia="Times New Roman" w:hAnsi="Calibri Light" w:cs="Calibri Light"/>
          <w:color w:val="59595B"/>
          <w:lang w:val="en-GB" w:eastAsia="nl-NL"/>
        </w:rPr>
        <w:t xml:space="preserve">the option </w:t>
      </w:r>
      <w:r>
        <w:rPr>
          <w:rFonts w:ascii="Calibri Light" w:eastAsia="Times New Roman" w:hAnsi="Calibri Light" w:cs="Calibri Light"/>
          <w:color w:val="59595B"/>
          <w:lang w:val="en-GB" w:eastAsia="nl-NL"/>
        </w:rPr>
        <w:t>shares in the market to meet these two cash requirements.</w:t>
      </w:r>
    </w:p>
    <w:p w14:paraId="19CEFBF0" w14:textId="77777777" w:rsidR="005567C2" w:rsidRPr="003045E2" w:rsidRDefault="00555F63" w:rsidP="00E74572">
      <w:pPr>
        <w:shd w:val="clear" w:color="auto" w:fill="FFFFFF"/>
        <w:spacing w:after="0" w:line="240" w:lineRule="auto"/>
        <w:jc w:val="both"/>
        <w:rPr>
          <w:rFonts w:ascii="Calibri Light" w:eastAsia="Times New Roman" w:hAnsi="Calibri Light" w:cs="Calibri Light"/>
          <w:b/>
          <w:color w:val="0070C0"/>
          <w:lang w:val="en-GB" w:eastAsia="nl-NL"/>
        </w:rPr>
      </w:pPr>
      <w:r w:rsidRPr="003045E2">
        <w:rPr>
          <w:rFonts w:ascii="Calibri Light" w:eastAsia="Times New Roman" w:hAnsi="Calibri Light" w:cs="Calibri Light"/>
          <w:b/>
          <w:color w:val="0070C0"/>
          <w:lang w:val="en-GB" w:eastAsia="nl-NL"/>
        </w:rPr>
        <w:t>Dr Sijmen de Vries</w:t>
      </w:r>
      <w:r w:rsidR="00650E66" w:rsidRPr="003045E2">
        <w:rPr>
          <w:rFonts w:ascii="Calibri Light" w:eastAsia="Times New Roman" w:hAnsi="Calibri Light" w:cs="Calibri Light"/>
          <w:b/>
          <w:color w:val="0070C0"/>
          <w:lang w:val="en-GB" w:eastAsia="nl-NL"/>
        </w:rPr>
        <w:t xml:space="preserve">, Chief </w:t>
      </w:r>
      <w:r w:rsidRPr="003045E2">
        <w:rPr>
          <w:rFonts w:ascii="Calibri Light" w:eastAsia="Times New Roman" w:hAnsi="Calibri Light" w:cs="Calibri Light"/>
          <w:b/>
          <w:color w:val="0070C0"/>
          <w:lang w:val="en-GB" w:eastAsia="nl-NL"/>
        </w:rPr>
        <w:t>Executive</w:t>
      </w:r>
      <w:r w:rsidR="00650E66" w:rsidRPr="003045E2">
        <w:rPr>
          <w:rFonts w:ascii="Calibri Light" w:eastAsia="Times New Roman" w:hAnsi="Calibri Light" w:cs="Calibri Light"/>
          <w:b/>
          <w:color w:val="0070C0"/>
          <w:lang w:val="en-GB" w:eastAsia="nl-NL"/>
        </w:rPr>
        <w:t xml:space="preserve"> Officer of Pharming, commented:</w:t>
      </w:r>
      <w:r w:rsidR="00B844EE" w:rsidRPr="003045E2">
        <w:rPr>
          <w:rFonts w:ascii="Calibri Light" w:eastAsia="Times New Roman" w:hAnsi="Calibri Light" w:cs="Calibri Light"/>
          <w:b/>
          <w:color w:val="0070C0"/>
          <w:lang w:val="en-GB" w:eastAsia="nl-NL"/>
        </w:rPr>
        <w:t xml:space="preserve"> </w:t>
      </w:r>
    </w:p>
    <w:p w14:paraId="399CB634" w14:textId="61C8516B" w:rsidR="00A3235B" w:rsidRDefault="00650E66" w:rsidP="00E74572">
      <w:pPr>
        <w:shd w:val="clear" w:color="auto" w:fill="FFFFFF"/>
        <w:spacing w:after="300" w:line="240" w:lineRule="auto"/>
        <w:jc w:val="both"/>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w:t>
      </w:r>
      <w:r w:rsidR="00FF4ABB">
        <w:rPr>
          <w:rFonts w:ascii="Calibri Light" w:eastAsia="Times New Roman" w:hAnsi="Calibri Light" w:cs="Calibri Light"/>
          <w:color w:val="59595B"/>
          <w:lang w:val="en-GB" w:eastAsia="nl-NL"/>
        </w:rPr>
        <w:t>The Board of Management is absolutely committed to the success of Pharming</w:t>
      </w:r>
      <w:r w:rsidR="006663EE">
        <w:rPr>
          <w:rFonts w:ascii="Calibri Light" w:eastAsia="Times New Roman" w:hAnsi="Calibri Light" w:cs="Calibri Light"/>
          <w:color w:val="59595B"/>
          <w:lang w:val="en-GB" w:eastAsia="nl-NL"/>
        </w:rPr>
        <w:t xml:space="preserve">, and </w:t>
      </w:r>
      <w:r w:rsidR="00737966">
        <w:rPr>
          <w:rFonts w:ascii="Calibri Light" w:eastAsia="Times New Roman" w:hAnsi="Calibri Light" w:cs="Calibri Light"/>
          <w:color w:val="59595B"/>
          <w:lang w:val="en-GB" w:eastAsia="nl-NL"/>
        </w:rPr>
        <w:t xml:space="preserve">as can be seen, </w:t>
      </w:r>
      <w:r w:rsidR="006663EE">
        <w:rPr>
          <w:rFonts w:ascii="Calibri Light" w:eastAsia="Times New Roman" w:hAnsi="Calibri Light" w:cs="Calibri Light"/>
          <w:color w:val="59595B"/>
          <w:lang w:val="en-GB" w:eastAsia="nl-NL"/>
        </w:rPr>
        <w:t xml:space="preserve">we are </w:t>
      </w:r>
      <w:r w:rsidR="00FF4ABB">
        <w:rPr>
          <w:rFonts w:ascii="Calibri Light" w:eastAsia="Times New Roman" w:hAnsi="Calibri Light" w:cs="Calibri Light"/>
          <w:color w:val="59595B"/>
          <w:lang w:val="en-GB" w:eastAsia="nl-NL"/>
        </w:rPr>
        <w:t>very happy</w:t>
      </w:r>
      <w:r w:rsidR="006663EE">
        <w:rPr>
          <w:rFonts w:ascii="Calibri Light" w:eastAsia="Times New Roman" w:hAnsi="Calibri Light" w:cs="Calibri Light"/>
          <w:color w:val="59595B"/>
          <w:lang w:val="en-GB" w:eastAsia="nl-NL"/>
        </w:rPr>
        <w:t xml:space="preserve"> to </w:t>
      </w:r>
      <w:r w:rsidR="00FF4ABB">
        <w:rPr>
          <w:rFonts w:ascii="Calibri Light" w:eastAsia="Times New Roman" w:hAnsi="Calibri Light" w:cs="Calibri Light"/>
          <w:color w:val="59595B"/>
          <w:lang w:val="en-GB" w:eastAsia="nl-NL"/>
        </w:rPr>
        <w:t>convert our holdings of options in</w:t>
      </w:r>
      <w:r w:rsidR="00D307C5">
        <w:rPr>
          <w:rFonts w:ascii="Calibri Light" w:eastAsia="Times New Roman" w:hAnsi="Calibri Light" w:cs="Calibri Light"/>
          <w:color w:val="59595B"/>
          <w:lang w:val="en-GB" w:eastAsia="nl-NL"/>
        </w:rPr>
        <w:t>to</w:t>
      </w:r>
      <w:r w:rsidR="006663EE">
        <w:rPr>
          <w:rFonts w:ascii="Calibri Light" w:eastAsia="Times New Roman" w:hAnsi="Calibri Light" w:cs="Calibri Light"/>
          <w:color w:val="59595B"/>
          <w:lang w:val="en-GB" w:eastAsia="nl-NL"/>
        </w:rPr>
        <w:t xml:space="preserve"> </w:t>
      </w:r>
      <w:r w:rsidR="00D307C5">
        <w:rPr>
          <w:rFonts w:ascii="Calibri Light" w:eastAsia="Times New Roman" w:hAnsi="Calibri Light" w:cs="Calibri Light"/>
          <w:color w:val="59595B"/>
          <w:lang w:val="en-GB" w:eastAsia="nl-NL"/>
        </w:rPr>
        <w:t xml:space="preserve">holdings of </w:t>
      </w:r>
      <w:r w:rsidR="006663EE">
        <w:rPr>
          <w:rFonts w:ascii="Calibri Light" w:eastAsia="Times New Roman" w:hAnsi="Calibri Light" w:cs="Calibri Light"/>
          <w:color w:val="59595B"/>
          <w:lang w:val="en-GB" w:eastAsia="nl-NL"/>
        </w:rPr>
        <w:t xml:space="preserve">Pharming shares at this time.  We understand that </w:t>
      </w:r>
      <w:r w:rsidR="00FF4ABB">
        <w:rPr>
          <w:rFonts w:ascii="Calibri Light" w:eastAsia="Times New Roman" w:hAnsi="Calibri Light" w:cs="Calibri Light"/>
          <w:color w:val="59595B"/>
          <w:lang w:val="en-GB" w:eastAsia="nl-NL"/>
        </w:rPr>
        <w:t xml:space="preserve">some observers were not aware of the </w:t>
      </w:r>
      <w:r w:rsidR="00D307C5">
        <w:rPr>
          <w:rFonts w:ascii="Calibri Light" w:eastAsia="Times New Roman" w:hAnsi="Calibri Light" w:cs="Calibri Light"/>
          <w:color w:val="59595B"/>
          <w:lang w:val="en-GB" w:eastAsia="nl-NL"/>
        </w:rPr>
        <w:t xml:space="preserve">required </w:t>
      </w:r>
      <w:r w:rsidR="00FF4ABB">
        <w:rPr>
          <w:rFonts w:ascii="Calibri Light" w:eastAsia="Times New Roman" w:hAnsi="Calibri Light" w:cs="Calibri Light"/>
          <w:color w:val="59595B"/>
          <w:lang w:val="en-GB" w:eastAsia="nl-NL"/>
        </w:rPr>
        <w:t xml:space="preserve">sales of </w:t>
      </w:r>
      <w:r w:rsidR="00D307C5">
        <w:rPr>
          <w:rFonts w:ascii="Calibri Light" w:eastAsia="Times New Roman" w:hAnsi="Calibri Light" w:cs="Calibri Light"/>
          <w:color w:val="59595B"/>
          <w:lang w:val="en-GB" w:eastAsia="nl-NL"/>
        </w:rPr>
        <w:t xml:space="preserve">considerable amounts of </w:t>
      </w:r>
      <w:r w:rsidR="00FF4ABB">
        <w:rPr>
          <w:rFonts w:ascii="Calibri Light" w:eastAsia="Times New Roman" w:hAnsi="Calibri Light" w:cs="Calibri Light"/>
          <w:color w:val="59595B"/>
          <w:lang w:val="en-GB" w:eastAsia="nl-NL"/>
        </w:rPr>
        <w:t>shares necessary to pay the exercise price and tax obligations created by such exercises</w:t>
      </w:r>
      <w:r w:rsidR="006663EE">
        <w:rPr>
          <w:rFonts w:ascii="Calibri Light" w:eastAsia="Times New Roman" w:hAnsi="Calibri Light" w:cs="Calibri Light"/>
          <w:color w:val="59595B"/>
          <w:lang w:val="en-GB" w:eastAsia="nl-NL"/>
        </w:rPr>
        <w:t>.</w:t>
      </w:r>
      <w:r w:rsidR="003045E2">
        <w:rPr>
          <w:rFonts w:ascii="Calibri Light" w:eastAsia="Times New Roman" w:hAnsi="Calibri Light" w:cs="Calibri Light"/>
          <w:color w:val="59595B"/>
          <w:lang w:val="en-GB" w:eastAsia="nl-NL"/>
        </w:rPr>
        <w:t>”</w:t>
      </w:r>
      <w:r w:rsidR="006663EE">
        <w:rPr>
          <w:rFonts w:ascii="Calibri Light" w:eastAsia="Times New Roman" w:hAnsi="Calibri Light" w:cs="Calibri Light"/>
          <w:color w:val="59595B"/>
          <w:lang w:val="en-GB" w:eastAsia="nl-NL"/>
        </w:rPr>
        <w:t xml:space="preserve">  </w:t>
      </w:r>
    </w:p>
    <w:p w14:paraId="4C06C62D" w14:textId="1CB8DD58" w:rsidR="003366C0" w:rsidRDefault="006663EE" w:rsidP="00E74572">
      <w:pPr>
        <w:shd w:val="clear" w:color="auto" w:fill="FFFFFF"/>
        <w:spacing w:after="300" w:line="240" w:lineRule="auto"/>
        <w:jc w:val="both"/>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We have been asked why our stock price </w:t>
      </w:r>
      <w:r w:rsidR="004B3E4B">
        <w:rPr>
          <w:rFonts w:ascii="Calibri Light" w:eastAsia="Times New Roman" w:hAnsi="Calibri Light" w:cs="Calibri Light"/>
          <w:color w:val="59595B"/>
          <w:lang w:val="en-GB" w:eastAsia="nl-NL"/>
        </w:rPr>
        <w:t>has become</w:t>
      </w:r>
      <w:r>
        <w:rPr>
          <w:rFonts w:ascii="Calibri Light" w:eastAsia="Times New Roman" w:hAnsi="Calibri Light" w:cs="Calibri Light"/>
          <w:color w:val="59595B"/>
          <w:lang w:val="en-GB" w:eastAsia="nl-NL"/>
        </w:rPr>
        <w:t xml:space="preserve"> so fluid </w:t>
      </w:r>
      <w:r w:rsidR="004B3E4B">
        <w:rPr>
          <w:rFonts w:ascii="Calibri Light" w:eastAsia="Times New Roman" w:hAnsi="Calibri Light" w:cs="Calibri Light"/>
          <w:color w:val="59595B"/>
          <w:lang w:val="en-GB" w:eastAsia="nl-NL"/>
        </w:rPr>
        <w:t>recently</w:t>
      </w:r>
      <w:r>
        <w:rPr>
          <w:rFonts w:ascii="Calibri Light" w:eastAsia="Times New Roman" w:hAnsi="Calibri Light" w:cs="Calibri Light"/>
          <w:color w:val="59595B"/>
          <w:lang w:val="en-GB" w:eastAsia="nl-NL"/>
        </w:rPr>
        <w:t>.  One big reason</w:t>
      </w:r>
      <w:r w:rsidR="004B3E4B">
        <w:rPr>
          <w:rFonts w:ascii="Calibri Light" w:eastAsia="Times New Roman" w:hAnsi="Calibri Light" w:cs="Calibri Light"/>
          <w:color w:val="59595B"/>
          <w:lang w:val="en-GB" w:eastAsia="nl-NL"/>
        </w:rPr>
        <w:t>, we suspect,</w:t>
      </w:r>
      <w:r>
        <w:rPr>
          <w:rFonts w:ascii="Calibri Light" w:eastAsia="Times New Roman" w:hAnsi="Calibri Light" w:cs="Calibri Light"/>
          <w:color w:val="59595B"/>
          <w:lang w:val="en-GB" w:eastAsia="nl-NL"/>
        </w:rPr>
        <w:t xml:space="preserve"> is that small shareholders</w:t>
      </w:r>
      <w:r w:rsidR="004B3E4B">
        <w:rPr>
          <w:rFonts w:ascii="Calibri Light" w:eastAsia="Times New Roman" w:hAnsi="Calibri Light" w:cs="Calibri Light"/>
          <w:color w:val="59595B"/>
          <w:lang w:val="en-GB" w:eastAsia="nl-NL"/>
        </w:rPr>
        <w:t xml:space="preserve"> are holding their stocks at brokerages who</w:t>
      </w:r>
      <w:r>
        <w:rPr>
          <w:rFonts w:ascii="Calibri Light" w:eastAsia="Times New Roman" w:hAnsi="Calibri Light" w:cs="Calibri Light"/>
          <w:color w:val="59595B"/>
          <w:lang w:val="en-GB" w:eastAsia="nl-NL"/>
        </w:rPr>
        <w:t xml:space="preserve">, usually without </w:t>
      </w:r>
      <w:r w:rsidR="00D307C5">
        <w:rPr>
          <w:rFonts w:ascii="Calibri Light" w:eastAsia="Times New Roman" w:hAnsi="Calibri Light" w:cs="Calibri Light"/>
          <w:color w:val="59595B"/>
          <w:lang w:val="en-GB" w:eastAsia="nl-NL"/>
        </w:rPr>
        <w:t xml:space="preserve">the shareholders’ </w:t>
      </w:r>
      <w:r>
        <w:rPr>
          <w:rFonts w:ascii="Calibri Light" w:eastAsia="Times New Roman" w:hAnsi="Calibri Light" w:cs="Calibri Light"/>
          <w:color w:val="59595B"/>
          <w:lang w:val="en-GB" w:eastAsia="nl-NL"/>
        </w:rPr>
        <w:t xml:space="preserve">knowledge, are </w:t>
      </w:r>
      <w:r w:rsidR="004B3E4B">
        <w:rPr>
          <w:rFonts w:ascii="Calibri Light" w:eastAsia="Times New Roman" w:hAnsi="Calibri Light" w:cs="Calibri Light"/>
          <w:color w:val="59595B"/>
          <w:lang w:val="en-GB" w:eastAsia="nl-NL"/>
        </w:rPr>
        <w:t>regularly engaging in</w:t>
      </w:r>
      <w:r>
        <w:rPr>
          <w:rFonts w:ascii="Calibri Light" w:eastAsia="Times New Roman" w:hAnsi="Calibri Light" w:cs="Calibri Light"/>
          <w:color w:val="59595B"/>
          <w:lang w:val="en-GB" w:eastAsia="nl-NL"/>
        </w:rPr>
        <w:t xml:space="preserve"> lending their shares</w:t>
      </w:r>
      <w:r w:rsidR="00D307C5">
        <w:rPr>
          <w:rFonts w:ascii="Calibri Light" w:eastAsia="Times New Roman" w:hAnsi="Calibri Light" w:cs="Calibri Light"/>
          <w:color w:val="59595B"/>
          <w:lang w:val="en-GB" w:eastAsia="nl-NL"/>
        </w:rPr>
        <w:t xml:space="preserve"> for a fee</w:t>
      </w:r>
      <w:r>
        <w:rPr>
          <w:rFonts w:ascii="Calibri Light" w:eastAsia="Times New Roman" w:hAnsi="Calibri Light" w:cs="Calibri Light"/>
          <w:color w:val="59595B"/>
          <w:lang w:val="en-GB" w:eastAsia="nl-NL"/>
        </w:rPr>
        <w:t xml:space="preserve"> to institutions who</w:t>
      </w:r>
      <w:r w:rsidR="004B3E4B">
        <w:rPr>
          <w:rFonts w:ascii="Calibri Light" w:eastAsia="Times New Roman" w:hAnsi="Calibri Light" w:cs="Calibri Light"/>
          <w:color w:val="59595B"/>
          <w:lang w:val="en-GB" w:eastAsia="nl-NL"/>
        </w:rPr>
        <w:t xml:space="preserve"> specialise in</w:t>
      </w:r>
      <w:r w:rsidR="00737966">
        <w:rPr>
          <w:rFonts w:ascii="Calibri Light" w:eastAsia="Times New Roman" w:hAnsi="Calibri Light" w:cs="Calibri Light"/>
          <w:color w:val="59595B"/>
          <w:lang w:val="en-GB" w:eastAsia="nl-NL"/>
        </w:rPr>
        <w:t xml:space="preserve"> automated (</w:t>
      </w:r>
      <w:r w:rsidR="004B3E4B">
        <w:rPr>
          <w:rFonts w:ascii="Calibri Light" w:eastAsia="Times New Roman" w:hAnsi="Calibri Light" w:cs="Calibri Light"/>
          <w:color w:val="59595B"/>
          <w:lang w:val="en-GB" w:eastAsia="nl-NL"/>
        </w:rPr>
        <w:t>short- term</w:t>
      </w:r>
      <w:r w:rsidR="00737966">
        <w:rPr>
          <w:rFonts w:ascii="Calibri Light" w:eastAsia="Times New Roman" w:hAnsi="Calibri Light" w:cs="Calibri Light"/>
          <w:color w:val="59595B"/>
          <w:lang w:val="en-GB" w:eastAsia="nl-NL"/>
        </w:rPr>
        <w:t>)</w:t>
      </w:r>
      <w:r>
        <w:rPr>
          <w:rFonts w:ascii="Calibri Light" w:eastAsia="Times New Roman" w:hAnsi="Calibri Light" w:cs="Calibri Light"/>
          <w:color w:val="59595B"/>
          <w:lang w:val="en-GB" w:eastAsia="nl-NL"/>
        </w:rPr>
        <w:t xml:space="preserve"> short-sell</w:t>
      </w:r>
      <w:r w:rsidR="004B3E4B">
        <w:rPr>
          <w:rFonts w:ascii="Calibri Light" w:eastAsia="Times New Roman" w:hAnsi="Calibri Light" w:cs="Calibri Light"/>
          <w:color w:val="59595B"/>
          <w:lang w:val="en-GB" w:eastAsia="nl-NL"/>
        </w:rPr>
        <w:t>ing</w:t>
      </w:r>
      <w:r>
        <w:rPr>
          <w:rFonts w:ascii="Calibri Light" w:eastAsia="Times New Roman" w:hAnsi="Calibri Light" w:cs="Calibri Light"/>
          <w:color w:val="59595B"/>
          <w:lang w:val="en-GB" w:eastAsia="nl-NL"/>
        </w:rPr>
        <w:t xml:space="preserve"> stock</w:t>
      </w:r>
      <w:r w:rsidR="004B3E4B">
        <w:rPr>
          <w:rFonts w:ascii="Calibri Light" w:eastAsia="Times New Roman" w:hAnsi="Calibri Light" w:cs="Calibri Light"/>
          <w:color w:val="59595B"/>
          <w:lang w:val="en-GB" w:eastAsia="nl-NL"/>
        </w:rPr>
        <w:t>s</w:t>
      </w:r>
      <w:r>
        <w:rPr>
          <w:rFonts w:ascii="Calibri Light" w:eastAsia="Times New Roman" w:hAnsi="Calibri Light" w:cs="Calibri Light"/>
          <w:color w:val="59595B"/>
          <w:lang w:val="en-GB" w:eastAsia="nl-NL"/>
        </w:rPr>
        <w:t xml:space="preserve">. This is where the short-seller institution sells a lot of stock </w:t>
      </w:r>
      <w:r w:rsidR="003045E2">
        <w:rPr>
          <w:rFonts w:ascii="Calibri Light" w:eastAsia="Times New Roman" w:hAnsi="Calibri Light" w:cs="Calibri Light"/>
          <w:color w:val="59595B"/>
          <w:lang w:val="en-GB" w:eastAsia="nl-NL"/>
        </w:rPr>
        <w:t xml:space="preserve">they do not in fact own </w:t>
      </w:r>
      <w:r>
        <w:rPr>
          <w:rFonts w:ascii="Calibri Light" w:eastAsia="Times New Roman" w:hAnsi="Calibri Light" w:cs="Calibri Light"/>
          <w:color w:val="59595B"/>
          <w:lang w:val="en-GB" w:eastAsia="nl-NL"/>
        </w:rPr>
        <w:t xml:space="preserve">in the morning at the market price, thereby putting downward pressure on the stock price, </w:t>
      </w:r>
      <w:r w:rsidR="004B3E4B">
        <w:rPr>
          <w:rFonts w:ascii="Calibri Light" w:eastAsia="Times New Roman" w:hAnsi="Calibri Light" w:cs="Calibri Light"/>
          <w:color w:val="59595B"/>
          <w:lang w:val="en-GB" w:eastAsia="nl-NL"/>
        </w:rPr>
        <w:t>which is then amplified by (small) shareholder</w:t>
      </w:r>
      <w:r w:rsidR="00E6279C">
        <w:rPr>
          <w:rFonts w:ascii="Calibri Light" w:eastAsia="Times New Roman" w:hAnsi="Calibri Light" w:cs="Calibri Light"/>
          <w:color w:val="59595B"/>
          <w:lang w:val="en-GB" w:eastAsia="nl-NL"/>
        </w:rPr>
        <w:t>s following these sales</w:t>
      </w:r>
      <w:r w:rsidR="004B3E4B">
        <w:rPr>
          <w:rFonts w:ascii="Calibri Light" w:eastAsia="Times New Roman" w:hAnsi="Calibri Light" w:cs="Calibri Light"/>
          <w:color w:val="59595B"/>
          <w:lang w:val="en-GB" w:eastAsia="nl-NL"/>
        </w:rPr>
        <w:t xml:space="preserve">, which is then followed </w:t>
      </w:r>
      <w:r w:rsidR="00E6279C">
        <w:rPr>
          <w:rFonts w:ascii="Calibri Light" w:eastAsia="Times New Roman" w:hAnsi="Calibri Light" w:cs="Calibri Light"/>
          <w:color w:val="59595B"/>
          <w:lang w:val="en-GB" w:eastAsia="nl-NL"/>
        </w:rPr>
        <w:t xml:space="preserve">in turn </w:t>
      </w:r>
      <w:r w:rsidR="004B3E4B">
        <w:rPr>
          <w:rFonts w:ascii="Calibri Light" w:eastAsia="Times New Roman" w:hAnsi="Calibri Light" w:cs="Calibri Light"/>
          <w:color w:val="59595B"/>
          <w:lang w:val="en-GB" w:eastAsia="nl-NL"/>
        </w:rPr>
        <w:t>by the short- seller</w:t>
      </w:r>
      <w:r>
        <w:rPr>
          <w:rFonts w:ascii="Calibri Light" w:eastAsia="Times New Roman" w:hAnsi="Calibri Light" w:cs="Calibri Light"/>
          <w:color w:val="59595B"/>
          <w:lang w:val="en-GB" w:eastAsia="nl-NL"/>
        </w:rPr>
        <w:t xml:space="preserve"> buy</w:t>
      </w:r>
      <w:r w:rsidR="004B3E4B">
        <w:rPr>
          <w:rFonts w:ascii="Calibri Light" w:eastAsia="Times New Roman" w:hAnsi="Calibri Light" w:cs="Calibri Light"/>
          <w:color w:val="59595B"/>
          <w:lang w:val="en-GB" w:eastAsia="nl-NL"/>
        </w:rPr>
        <w:t>ing back</w:t>
      </w:r>
      <w:r>
        <w:rPr>
          <w:rFonts w:ascii="Calibri Light" w:eastAsia="Times New Roman" w:hAnsi="Calibri Light" w:cs="Calibri Light"/>
          <w:color w:val="59595B"/>
          <w:lang w:val="en-GB" w:eastAsia="nl-NL"/>
        </w:rPr>
        <w:t xml:space="preserve"> </w:t>
      </w:r>
      <w:r w:rsidR="004B3E4B">
        <w:rPr>
          <w:rFonts w:ascii="Calibri Light" w:eastAsia="Times New Roman" w:hAnsi="Calibri Light" w:cs="Calibri Light"/>
          <w:color w:val="59595B"/>
          <w:lang w:val="en-GB" w:eastAsia="nl-NL"/>
        </w:rPr>
        <w:t>the stock</w:t>
      </w:r>
      <w:r>
        <w:rPr>
          <w:rFonts w:ascii="Calibri Light" w:eastAsia="Times New Roman" w:hAnsi="Calibri Light" w:cs="Calibri Light"/>
          <w:color w:val="59595B"/>
          <w:lang w:val="en-GB" w:eastAsia="nl-NL"/>
        </w:rPr>
        <w:t xml:space="preserve"> in the afternoon at the lower price</w:t>
      </w:r>
      <w:r w:rsidR="003045E2">
        <w:rPr>
          <w:rFonts w:ascii="Calibri Light" w:eastAsia="Times New Roman" w:hAnsi="Calibri Light" w:cs="Calibri Light"/>
          <w:color w:val="59595B"/>
          <w:lang w:val="en-GB" w:eastAsia="nl-NL"/>
        </w:rPr>
        <w:t xml:space="preserve"> to meet the</w:t>
      </w:r>
      <w:r w:rsidR="004B3E4B">
        <w:rPr>
          <w:rFonts w:ascii="Calibri Light" w:eastAsia="Times New Roman" w:hAnsi="Calibri Light" w:cs="Calibri Light"/>
          <w:color w:val="59595B"/>
          <w:lang w:val="en-GB" w:eastAsia="nl-NL"/>
        </w:rPr>
        <w:t>ir</w:t>
      </w:r>
      <w:r w:rsidR="003045E2">
        <w:rPr>
          <w:rFonts w:ascii="Calibri Light" w:eastAsia="Times New Roman" w:hAnsi="Calibri Light" w:cs="Calibri Light"/>
          <w:color w:val="59595B"/>
          <w:lang w:val="en-GB" w:eastAsia="nl-NL"/>
        </w:rPr>
        <w:t xml:space="preserve"> sales obligations</w:t>
      </w:r>
      <w:r>
        <w:rPr>
          <w:rFonts w:ascii="Calibri Light" w:eastAsia="Times New Roman" w:hAnsi="Calibri Light" w:cs="Calibri Light"/>
          <w:color w:val="59595B"/>
          <w:lang w:val="en-GB" w:eastAsia="nl-NL"/>
        </w:rPr>
        <w:t xml:space="preserve">, making themselves a </w:t>
      </w:r>
      <w:r w:rsidR="00B57A97">
        <w:rPr>
          <w:rFonts w:ascii="Calibri Light" w:eastAsia="Times New Roman" w:hAnsi="Calibri Light" w:cs="Calibri Light"/>
          <w:color w:val="59595B"/>
          <w:lang w:val="en-GB" w:eastAsia="nl-NL"/>
        </w:rPr>
        <w:t xml:space="preserve">net </w:t>
      </w:r>
      <w:r>
        <w:rPr>
          <w:rFonts w:ascii="Calibri Light" w:eastAsia="Times New Roman" w:hAnsi="Calibri Light" w:cs="Calibri Light"/>
          <w:color w:val="59595B"/>
          <w:lang w:val="en-GB" w:eastAsia="nl-NL"/>
        </w:rPr>
        <w:t>gain</w:t>
      </w:r>
      <w:r w:rsidR="004B3E4B">
        <w:rPr>
          <w:rFonts w:ascii="Calibri Light" w:eastAsia="Times New Roman" w:hAnsi="Calibri Light" w:cs="Calibri Light"/>
          <w:color w:val="59595B"/>
          <w:lang w:val="en-GB" w:eastAsia="nl-NL"/>
        </w:rPr>
        <w:t xml:space="preserve"> during that day</w:t>
      </w:r>
      <w:r>
        <w:rPr>
          <w:rFonts w:ascii="Calibri Light" w:eastAsia="Times New Roman" w:hAnsi="Calibri Light" w:cs="Calibri Light"/>
          <w:color w:val="59595B"/>
          <w:lang w:val="en-GB" w:eastAsia="nl-NL"/>
        </w:rPr>
        <w:t xml:space="preserve">.  </w:t>
      </w:r>
    </w:p>
    <w:p w14:paraId="66E8FD94" w14:textId="7DE40FDD" w:rsidR="00E74572" w:rsidRPr="003045E2" w:rsidRDefault="00E74572" w:rsidP="00E74572">
      <w:pPr>
        <w:shd w:val="clear" w:color="auto" w:fill="FFFFFF"/>
        <w:spacing w:after="300" w:line="240" w:lineRule="auto"/>
        <w:jc w:val="both"/>
        <w:rPr>
          <w:rFonts w:ascii="Calibri Light" w:eastAsia="Times New Roman" w:hAnsi="Calibri Light" w:cs="Calibri Light"/>
          <w:b/>
          <w:color w:val="0070C0"/>
          <w:lang w:val="en-GB" w:eastAsia="nl-NL"/>
        </w:rPr>
      </w:pPr>
      <w:r w:rsidRPr="003045E2">
        <w:rPr>
          <w:rFonts w:ascii="Calibri Light" w:eastAsia="Times New Roman" w:hAnsi="Calibri Light" w:cs="Calibri Light"/>
          <w:b/>
          <w:color w:val="0070C0"/>
          <w:lang w:val="en-GB" w:eastAsia="nl-NL"/>
        </w:rPr>
        <w:lastRenderedPageBreak/>
        <w:t>Revised Share Capital Structure</w:t>
      </w:r>
    </w:p>
    <w:tbl>
      <w:tblPr>
        <w:tblW w:w="8470" w:type="dxa"/>
        <w:jc w:val="center"/>
        <w:tblLayout w:type="fixed"/>
        <w:tblLook w:val="04A0" w:firstRow="1" w:lastRow="0" w:firstColumn="1" w:lastColumn="0" w:noHBand="0" w:noVBand="1"/>
      </w:tblPr>
      <w:tblGrid>
        <w:gridCol w:w="3261"/>
        <w:gridCol w:w="1408"/>
        <w:gridCol w:w="1267"/>
        <w:gridCol w:w="1267"/>
        <w:gridCol w:w="1267"/>
      </w:tblGrid>
      <w:tr w:rsidR="003045E2" w:rsidRPr="009B1BAD" w14:paraId="2EF43F42" w14:textId="77777777" w:rsidTr="00B02E94">
        <w:trPr>
          <w:trHeight w:val="256"/>
          <w:jc w:val="center"/>
        </w:trPr>
        <w:tc>
          <w:tcPr>
            <w:tcW w:w="3261" w:type="dxa"/>
            <w:tcBorders>
              <w:bottom w:val="single" w:sz="4" w:space="0" w:color="BFBFBF" w:themeColor="background1" w:themeShade="BF"/>
            </w:tcBorders>
            <w:shd w:val="clear" w:color="auto" w:fill="0070C0"/>
          </w:tcPr>
          <w:p w14:paraId="47C438F7" w14:textId="77777777" w:rsidR="003045E2" w:rsidRPr="009F3F63" w:rsidRDefault="003045E2" w:rsidP="003045E2">
            <w:pPr>
              <w:spacing w:after="0"/>
              <w:rPr>
                <w:b/>
                <w:bCs/>
                <w:color w:val="FFFFFF" w:themeColor="background1"/>
                <w:sz w:val="20"/>
                <w:szCs w:val="20"/>
                <w:lang w:val="en-GB"/>
              </w:rPr>
            </w:pPr>
          </w:p>
        </w:tc>
        <w:tc>
          <w:tcPr>
            <w:tcW w:w="1408" w:type="dxa"/>
            <w:tcBorders>
              <w:bottom w:val="single" w:sz="4" w:space="0" w:color="BFBFBF" w:themeColor="background1" w:themeShade="BF"/>
            </w:tcBorders>
            <w:shd w:val="clear" w:color="auto" w:fill="0070C0"/>
          </w:tcPr>
          <w:p w14:paraId="4DCA3498" w14:textId="39DFBC91" w:rsidR="003045E2" w:rsidRPr="009F3F63" w:rsidRDefault="003045E2" w:rsidP="003045E2">
            <w:pPr>
              <w:spacing w:after="0"/>
              <w:jc w:val="right"/>
              <w:rPr>
                <w:b/>
                <w:bCs/>
                <w:color w:val="FFFFFF" w:themeColor="background1"/>
                <w:sz w:val="20"/>
                <w:szCs w:val="20"/>
              </w:rPr>
            </w:pPr>
            <w:r>
              <w:rPr>
                <w:b/>
                <w:bCs/>
                <w:color w:val="FFFFFF" w:themeColor="background1"/>
                <w:sz w:val="20"/>
                <w:szCs w:val="20"/>
              </w:rPr>
              <w:t>26 July</w:t>
            </w:r>
            <w:r w:rsidRPr="009F3F63">
              <w:rPr>
                <w:b/>
                <w:bCs/>
                <w:color w:val="FFFFFF" w:themeColor="background1"/>
                <w:sz w:val="20"/>
                <w:szCs w:val="20"/>
              </w:rPr>
              <w:t xml:space="preserve"> 201</w:t>
            </w:r>
            <w:r>
              <w:rPr>
                <w:b/>
                <w:bCs/>
                <w:color w:val="FFFFFF" w:themeColor="background1"/>
                <w:sz w:val="20"/>
                <w:szCs w:val="20"/>
              </w:rPr>
              <w:t>8</w:t>
            </w:r>
          </w:p>
        </w:tc>
        <w:tc>
          <w:tcPr>
            <w:tcW w:w="1267" w:type="dxa"/>
            <w:tcBorders>
              <w:bottom w:val="single" w:sz="4" w:space="0" w:color="BFBFBF" w:themeColor="background1" w:themeShade="BF"/>
            </w:tcBorders>
            <w:shd w:val="clear" w:color="auto" w:fill="0070C0"/>
          </w:tcPr>
          <w:p w14:paraId="61509564" w14:textId="77777777" w:rsidR="003045E2" w:rsidRPr="009F3F63" w:rsidRDefault="003045E2" w:rsidP="003045E2">
            <w:pPr>
              <w:spacing w:after="0"/>
              <w:jc w:val="right"/>
              <w:rPr>
                <w:b/>
                <w:bCs/>
                <w:color w:val="FFFFFF" w:themeColor="background1"/>
                <w:sz w:val="20"/>
                <w:szCs w:val="20"/>
              </w:rPr>
            </w:pPr>
            <w:r w:rsidRPr="009F3F63">
              <w:rPr>
                <w:b/>
                <w:bCs/>
                <w:color w:val="FFFFFF" w:themeColor="background1"/>
                <w:sz w:val="20"/>
                <w:szCs w:val="20"/>
              </w:rPr>
              <w:t>Shares issued</w:t>
            </w:r>
          </w:p>
        </w:tc>
        <w:tc>
          <w:tcPr>
            <w:tcW w:w="1267" w:type="dxa"/>
            <w:tcBorders>
              <w:bottom w:val="single" w:sz="4" w:space="0" w:color="BFBFBF" w:themeColor="background1" w:themeShade="BF"/>
            </w:tcBorders>
            <w:shd w:val="clear" w:color="auto" w:fill="0070C0"/>
          </w:tcPr>
          <w:p w14:paraId="6B8005ED" w14:textId="77777777" w:rsidR="003045E2" w:rsidRPr="009F3F63" w:rsidRDefault="003045E2" w:rsidP="003045E2">
            <w:pPr>
              <w:spacing w:after="0"/>
              <w:jc w:val="right"/>
              <w:rPr>
                <w:b/>
                <w:bCs/>
                <w:color w:val="FFFFFF" w:themeColor="background1"/>
                <w:sz w:val="20"/>
                <w:szCs w:val="20"/>
              </w:rPr>
            </w:pPr>
            <w:r w:rsidRPr="009F3F63">
              <w:rPr>
                <w:b/>
                <w:bCs/>
                <w:color w:val="FFFFFF" w:themeColor="background1"/>
                <w:sz w:val="20"/>
                <w:szCs w:val="20"/>
              </w:rPr>
              <w:t>Shares reserved</w:t>
            </w:r>
          </w:p>
        </w:tc>
        <w:tc>
          <w:tcPr>
            <w:tcW w:w="1267" w:type="dxa"/>
            <w:tcBorders>
              <w:bottom w:val="single" w:sz="4" w:space="0" w:color="BFBFBF" w:themeColor="background1" w:themeShade="BF"/>
            </w:tcBorders>
            <w:shd w:val="clear" w:color="auto" w:fill="0070C0"/>
          </w:tcPr>
          <w:p w14:paraId="297044D1" w14:textId="7DCEEAD7" w:rsidR="003045E2" w:rsidRDefault="003045E2" w:rsidP="003045E2">
            <w:pPr>
              <w:spacing w:after="0"/>
              <w:jc w:val="right"/>
              <w:rPr>
                <w:b/>
                <w:bCs/>
                <w:color w:val="FFFFFF" w:themeColor="background1"/>
                <w:sz w:val="20"/>
                <w:szCs w:val="20"/>
              </w:rPr>
            </w:pPr>
            <w:r>
              <w:rPr>
                <w:b/>
                <w:bCs/>
                <w:color w:val="FFFFFF" w:themeColor="background1"/>
                <w:sz w:val="20"/>
                <w:szCs w:val="20"/>
              </w:rPr>
              <w:t>31 July</w:t>
            </w:r>
          </w:p>
          <w:p w14:paraId="530CD92C" w14:textId="77777777" w:rsidR="003045E2" w:rsidRPr="009F3F63" w:rsidRDefault="003045E2" w:rsidP="003045E2">
            <w:pPr>
              <w:spacing w:after="0"/>
              <w:jc w:val="right"/>
              <w:rPr>
                <w:b/>
                <w:bCs/>
                <w:color w:val="FFFFFF" w:themeColor="background1"/>
                <w:sz w:val="20"/>
                <w:szCs w:val="20"/>
                <w:lang w:val="en-GB"/>
              </w:rPr>
            </w:pPr>
            <w:r w:rsidRPr="009F3F63">
              <w:rPr>
                <w:b/>
                <w:bCs/>
                <w:color w:val="FFFFFF" w:themeColor="background1"/>
                <w:sz w:val="20"/>
                <w:szCs w:val="20"/>
                <w:lang w:val="en-GB"/>
              </w:rPr>
              <w:t>201</w:t>
            </w:r>
            <w:r>
              <w:rPr>
                <w:b/>
                <w:bCs/>
                <w:color w:val="FFFFFF" w:themeColor="background1"/>
                <w:sz w:val="20"/>
                <w:szCs w:val="20"/>
              </w:rPr>
              <w:t>8</w:t>
            </w:r>
          </w:p>
        </w:tc>
      </w:tr>
      <w:tr w:rsidR="003045E2" w:rsidRPr="009B1BAD" w14:paraId="1D61CF67" w14:textId="77777777" w:rsidTr="00B02E94">
        <w:trPr>
          <w:trHeight w:val="268"/>
          <w:jc w:val="center"/>
        </w:trPr>
        <w:tc>
          <w:tcPr>
            <w:tcW w:w="326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B2B8B62" w14:textId="77777777" w:rsidR="003045E2" w:rsidRPr="009F3F63" w:rsidRDefault="003045E2" w:rsidP="003045E2">
            <w:pPr>
              <w:autoSpaceDE w:val="0"/>
              <w:autoSpaceDN w:val="0"/>
              <w:adjustRightInd w:val="0"/>
              <w:spacing w:after="0"/>
              <w:rPr>
                <w:rFonts w:cstheme="minorHAnsi"/>
                <w:color w:val="59595B"/>
                <w:sz w:val="20"/>
                <w:szCs w:val="20"/>
                <w:lang w:val="en-GB"/>
              </w:rPr>
            </w:pPr>
            <w:r w:rsidRPr="009F3F63">
              <w:rPr>
                <w:rFonts w:cstheme="minorHAnsi"/>
                <w:color w:val="59595B"/>
                <w:sz w:val="20"/>
                <w:szCs w:val="20"/>
                <w:lang w:val="en-GB"/>
              </w:rPr>
              <w:t>Shares</w:t>
            </w:r>
          </w:p>
        </w:tc>
        <w:tc>
          <w:tcPr>
            <w:tcW w:w="1408"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008F2897" w14:textId="701767F2" w:rsidR="003045E2" w:rsidRPr="003D0B45"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610,411,871</w:t>
            </w: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0F14D13F" w14:textId="4D008690" w:rsidR="003045E2" w:rsidRPr="0090222A"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6,240,000</w:t>
            </w: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2CAC0DB2"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5F96204B" w14:textId="57AD1715" w:rsidR="003045E2" w:rsidRPr="0090222A"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616,651,871</w:t>
            </w:r>
          </w:p>
        </w:tc>
      </w:tr>
      <w:tr w:rsidR="003045E2" w:rsidRPr="009B1BAD" w14:paraId="75283A0F" w14:textId="77777777" w:rsidTr="00B02E94">
        <w:trPr>
          <w:trHeight w:val="256"/>
          <w:jc w:val="center"/>
        </w:trPr>
        <w:tc>
          <w:tcPr>
            <w:tcW w:w="3261" w:type="dxa"/>
            <w:tcBorders>
              <w:left w:val="single" w:sz="4" w:space="0" w:color="BFBFBF" w:themeColor="background1" w:themeShade="BF"/>
              <w:right w:val="single" w:sz="4" w:space="0" w:color="BFBFBF" w:themeColor="background1" w:themeShade="BF"/>
            </w:tcBorders>
          </w:tcPr>
          <w:p w14:paraId="4C5E5EA9" w14:textId="77777777" w:rsidR="003045E2" w:rsidRPr="009F3F63" w:rsidRDefault="003045E2" w:rsidP="003045E2">
            <w:pPr>
              <w:autoSpaceDE w:val="0"/>
              <w:autoSpaceDN w:val="0"/>
              <w:adjustRightInd w:val="0"/>
              <w:spacing w:after="0"/>
              <w:rPr>
                <w:rFonts w:cstheme="minorHAnsi"/>
                <w:color w:val="59595B"/>
                <w:sz w:val="20"/>
                <w:szCs w:val="20"/>
                <w:lang w:val="en-GB"/>
              </w:rPr>
            </w:pPr>
            <w:r w:rsidRPr="009F3F63">
              <w:rPr>
                <w:rFonts w:cstheme="minorHAnsi"/>
                <w:color w:val="59595B"/>
                <w:sz w:val="20"/>
                <w:szCs w:val="20"/>
                <w:lang w:val="en-GB"/>
              </w:rPr>
              <w:t>Warrants</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5B6254BB" w14:textId="6B57E7A6" w:rsidR="003045E2" w:rsidRPr="003D0B45"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1,222,711</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65973E1" w14:textId="77777777" w:rsidR="003045E2" w:rsidRPr="009F3F63" w:rsidRDefault="003045E2" w:rsidP="003045E2">
            <w:pPr>
              <w:autoSpaceDE w:val="0"/>
              <w:autoSpaceDN w:val="0"/>
              <w:adjustRightInd w:val="0"/>
              <w:spacing w:after="0"/>
              <w:jc w:val="right"/>
              <w:rPr>
                <w:rFonts w:cstheme="minorHAnsi"/>
                <w:color w:val="59595B"/>
                <w:sz w:val="20"/>
                <w:szCs w:val="20"/>
              </w:rPr>
            </w:pP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10BF78CD"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left w:val="single" w:sz="4" w:space="0" w:color="BFBFBF" w:themeColor="background1" w:themeShade="BF"/>
            </w:tcBorders>
            <w:shd w:val="clear" w:color="auto" w:fill="F2F2F2" w:themeFill="background1" w:themeFillShade="F2"/>
          </w:tcPr>
          <w:p w14:paraId="1C89FFD4" w14:textId="77777777" w:rsidR="003045E2" w:rsidRPr="003814CF"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1,222,711</w:t>
            </w:r>
          </w:p>
        </w:tc>
      </w:tr>
      <w:tr w:rsidR="003045E2" w:rsidRPr="009B1BAD" w14:paraId="19DE054F" w14:textId="77777777" w:rsidTr="00B02E94">
        <w:trPr>
          <w:trHeight w:val="256"/>
          <w:jc w:val="center"/>
        </w:trPr>
        <w:tc>
          <w:tcPr>
            <w:tcW w:w="3261" w:type="dxa"/>
            <w:tcBorders>
              <w:left w:val="single" w:sz="4" w:space="0" w:color="BFBFBF" w:themeColor="background1" w:themeShade="BF"/>
              <w:right w:val="single" w:sz="4" w:space="0" w:color="BFBFBF" w:themeColor="background1" w:themeShade="BF"/>
            </w:tcBorders>
          </w:tcPr>
          <w:p w14:paraId="23484DAF" w14:textId="77777777" w:rsidR="003045E2" w:rsidRPr="009F3F63" w:rsidRDefault="003045E2" w:rsidP="003045E2">
            <w:pPr>
              <w:autoSpaceDE w:val="0"/>
              <w:autoSpaceDN w:val="0"/>
              <w:adjustRightInd w:val="0"/>
              <w:spacing w:after="0"/>
              <w:rPr>
                <w:rFonts w:cstheme="minorHAnsi"/>
                <w:color w:val="59595B"/>
                <w:sz w:val="20"/>
                <w:szCs w:val="20"/>
                <w:lang w:val="en-GB"/>
              </w:rPr>
            </w:pPr>
            <w:r w:rsidRPr="009F3F63">
              <w:rPr>
                <w:rFonts w:cstheme="minorHAnsi"/>
                <w:color w:val="59595B"/>
                <w:sz w:val="20"/>
                <w:szCs w:val="20"/>
                <w:lang w:val="en-GB"/>
              </w:rPr>
              <w:t>Options</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27D8EC59" w14:textId="1D75AEC4" w:rsidR="003045E2" w:rsidRPr="003D0B45"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37,598,274</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47EFC788" w14:textId="77777777" w:rsidR="003045E2" w:rsidRPr="0090222A" w:rsidRDefault="003045E2" w:rsidP="003045E2">
            <w:pPr>
              <w:autoSpaceDE w:val="0"/>
              <w:autoSpaceDN w:val="0"/>
              <w:adjustRightInd w:val="0"/>
              <w:spacing w:after="0"/>
              <w:jc w:val="right"/>
              <w:rPr>
                <w:rFonts w:cstheme="minorHAnsi"/>
                <w:color w:val="59595B"/>
                <w:sz w:val="20"/>
                <w:szCs w:val="20"/>
              </w:rPr>
            </w:pP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54C684E5" w14:textId="25AB74EB" w:rsidR="003045E2" w:rsidRPr="0090222A"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(6,240,000)</w:t>
            </w:r>
          </w:p>
        </w:tc>
        <w:tc>
          <w:tcPr>
            <w:tcW w:w="1267" w:type="dxa"/>
            <w:tcBorders>
              <w:left w:val="single" w:sz="4" w:space="0" w:color="BFBFBF" w:themeColor="background1" w:themeShade="BF"/>
            </w:tcBorders>
            <w:shd w:val="clear" w:color="auto" w:fill="F2F2F2" w:themeFill="background1" w:themeFillShade="F2"/>
          </w:tcPr>
          <w:p w14:paraId="5EE532E3" w14:textId="159A0383" w:rsidR="003045E2" w:rsidRPr="0090222A"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31,358,274</w:t>
            </w:r>
          </w:p>
        </w:tc>
      </w:tr>
      <w:tr w:rsidR="003045E2" w:rsidRPr="009B1BAD" w14:paraId="59D581E3" w14:textId="77777777" w:rsidTr="00B02E94">
        <w:trPr>
          <w:trHeight w:val="268"/>
          <w:jc w:val="center"/>
        </w:trPr>
        <w:tc>
          <w:tcPr>
            <w:tcW w:w="326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57E6F2E" w14:textId="77777777" w:rsidR="003045E2" w:rsidRPr="009F3F63" w:rsidRDefault="003045E2" w:rsidP="003045E2">
            <w:pPr>
              <w:autoSpaceDE w:val="0"/>
              <w:autoSpaceDN w:val="0"/>
              <w:adjustRightInd w:val="0"/>
              <w:spacing w:after="0"/>
              <w:rPr>
                <w:rFonts w:cstheme="minorHAnsi"/>
                <w:color w:val="59595B"/>
                <w:sz w:val="20"/>
                <w:szCs w:val="20"/>
                <w:lang w:val="en-GB"/>
              </w:rPr>
            </w:pPr>
            <w:r w:rsidRPr="009F3F63">
              <w:rPr>
                <w:rFonts w:cstheme="minorHAnsi"/>
                <w:color w:val="59595B"/>
                <w:sz w:val="20"/>
                <w:szCs w:val="20"/>
                <w:lang w:val="en-GB"/>
              </w:rPr>
              <w:t>LTIP</w:t>
            </w:r>
          </w:p>
        </w:tc>
        <w:tc>
          <w:tcPr>
            <w:tcW w:w="140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E7C1C7E" w14:textId="107504AA" w:rsidR="003045E2" w:rsidRPr="003D0B45"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8,063,864</w:t>
            </w: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A5DCD16" w14:textId="77777777" w:rsidR="003045E2" w:rsidRPr="009F3F63" w:rsidRDefault="003045E2" w:rsidP="003045E2">
            <w:pPr>
              <w:autoSpaceDE w:val="0"/>
              <w:autoSpaceDN w:val="0"/>
              <w:adjustRightInd w:val="0"/>
              <w:spacing w:after="0"/>
              <w:jc w:val="right"/>
              <w:rPr>
                <w:rFonts w:cstheme="minorHAnsi"/>
                <w:color w:val="59595B"/>
                <w:sz w:val="20"/>
                <w:szCs w:val="20"/>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91B17E" w14:textId="77777777" w:rsidR="003045E2" w:rsidRPr="009F3F63" w:rsidRDefault="003045E2" w:rsidP="003045E2">
            <w:pPr>
              <w:autoSpaceDE w:val="0"/>
              <w:autoSpaceDN w:val="0"/>
              <w:adjustRightInd w:val="0"/>
              <w:spacing w:after="0"/>
              <w:jc w:val="right"/>
              <w:rPr>
                <w:rFonts w:cstheme="minorHAnsi"/>
                <w:color w:val="59595B"/>
                <w:sz w:val="20"/>
                <w:szCs w:val="20"/>
              </w:rPr>
            </w:pPr>
          </w:p>
        </w:tc>
        <w:tc>
          <w:tcPr>
            <w:tcW w:w="1267"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6F52E2D9" w14:textId="77777777" w:rsidR="003045E2" w:rsidRPr="003814CF"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8,063,864</w:t>
            </w:r>
          </w:p>
        </w:tc>
      </w:tr>
      <w:tr w:rsidR="003045E2" w:rsidRPr="009B1BAD" w14:paraId="5F710A42" w14:textId="77777777" w:rsidTr="00B02E94">
        <w:trPr>
          <w:trHeight w:val="256"/>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E4C065" w14:textId="77777777" w:rsidR="003045E2" w:rsidRPr="009F3F63" w:rsidRDefault="003045E2" w:rsidP="003045E2">
            <w:pPr>
              <w:autoSpaceDE w:val="0"/>
              <w:autoSpaceDN w:val="0"/>
              <w:adjustRightInd w:val="0"/>
              <w:spacing w:after="0"/>
              <w:rPr>
                <w:rFonts w:cstheme="minorHAnsi"/>
                <w:color w:val="59595B"/>
                <w:sz w:val="20"/>
                <w:szCs w:val="20"/>
                <w:lang w:val="en-GB"/>
              </w:rPr>
            </w:pPr>
            <w:r w:rsidRPr="009F3F63">
              <w:rPr>
                <w:rFonts w:cstheme="minorHAnsi"/>
                <w:b/>
                <w:color w:val="59595B"/>
                <w:sz w:val="20"/>
                <w:szCs w:val="20"/>
                <w:lang w:val="en-GB"/>
              </w:rPr>
              <w:t>Issued</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8B5E836" w14:textId="71CC060E" w:rsidR="003045E2" w:rsidRPr="003D0B45" w:rsidRDefault="003045E2" w:rsidP="003045E2">
            <w:pPr>
              <w:autoSpaceDE w:val="0"/>
              <w:autoSpaceDN w:val="0"/>
              <w:adjustRightInd w:val="0"/>
              <w:spacing w:after="0"/>
              <w:jc w:val="right"/>
              <w:rPr>
                <w:rFonts w:cstheme="minorHAnsi"/>
                <w:b/>
                <w:color w:val="59595B"/>
                <w:sz w:val="20"/>
                <w:szCs w:val="20"/>
              </w:rPr>
            </w:pPr>
            <w:r>
              <w:rPr>
                <w:rFonts w:cstheme="minorHAnsi"/>
                <w:b/>
                <w:color w:val="59595B"/>
                <w:sz w:val="20"/>
                <w:szCs w:val="20"/>
              </w:rPr>
              <w:t>657,296,716</w:t>
            </w: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9A53D4" w14:textId="77777777" w:rsidR="003045E2" w:rsidRPr="009F3F63" w:rsidRDefault="003045E2" w:rsidP="003045E2">
            <w:pPr>
              <w:autoSpaceDE w:val="0"/>
              <w:autoSpaceDN w:val="0"/>
              <w:adjustRightInd w:val="0"/>
              <w:spacing w:after="0"/>
              <w:jc w:val="right"/>
              <w:rPr>
                <w:rFonts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8EE1A8" w14:textId="77777777" w:rsidR="003045E2" w:rsidRPr="009F3F63" w:rsidRDefault="003045E2" w:rsidP="003045E2">
            <w:pPr>
              <w:autoSpaceDE w:val="0"/>
              <w:autoSpaceDN w:val="0"/>
              <w:adjustRightInd w:val="0"/>
              <w:spacing w:after="0"/>
              <w:jc w:val="right"/>
              <w:rPr>
                <w:rFonts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073A440" w14:textId="77777777" w:rsidR="003045E2" w:rsidRPr="001074ED" w:rsidRDefault="003045E2" w:rsidP="003045E2">
            <w:pPr>
              <w:autoSpaceDE w:val="0"/>
              <w:autoSpaceDN w:val="0"/>
              <w:adjustRightInd w:val="0"/>
              <w:spacing w:after="0"/>
              <w:jc w:val="right"/>
              <w:rPr>
                <w:rFonts w:cstheme="minorHAnsi"/>
                <w:b/>
                <w:color w:val="59595B"/>
                <w:sz w:val="20"/>
                <w:szCs w:val="20"/>
              </w:rPr>
            </w:pPr>
            <w:r>
              <w:rPr>
                <w:rFonts w:cstheme="minorHAnsi"/>
                <w:b/>
                <w:color w:val="59595B"/>
                <w:sz w:val="20"/>
                <w:szCs w:val="20"/>
              </w:rPr>
              <w:t>657,296,716</w:t>
            </w:r>
          </w:p>
        </w:tc>
      </w:tr>
      <w:tr w:rsidR="003045E2" w:rsidRPr="009B1BAD" w14:paraId="778A0225" w14:textId="77777777" w:rsidTr="00B02E94">
        <w:trPr>
          <w:trHeight w:val="256"/>
          <w:jc w:val="center"/>
        </w:trPr>
        <w:tc>
          <w:tcPr>
            <w:tcW w:w="326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EA36C1B" w14:textId="77777777" w:rsidR="003045E2" w:rsidRPr="009F3F63" w:rsidRDefault="003045E2" w:rsidP="003045E2">
            <w:pPr>
              <w:autoSpaceDE w:val="0"/>
              <w:autoSpaceDN w:val="0"/>
              <w:adjustRightInd w:val="0"/>
              <w:spacing w:after="0"/>
              <w:rPr>
                <w:rFonts w:cstheme="minorHAnsi"/>
                <w:color w:val="59595B"/>
                <w:sz w:val="20"/>
                <w:szCs w:val="20"/>
                <w:lang w:val="en-GB"/>
              </w:rPr>
            </w:pPr>
          </w:p>
        </w:tc>
        <w:tc>
          <w:tcPr>
            <w:tcW w:w="1408"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2E771164"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28E2EB0B"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245FC3F0"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08EC97D8"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r>
      <w:tr w:rsidR="003045E2" w:rsidRPr="009B1BAD" w14:paraId="711B0EF5" w14:textId="77777777" w:rsidTr="00B02E94">
        <w:trPr>
          <w:trHeight w:val="268"/>
          <w:jc w:val="center"/>
        </w:trPr>
        <w:tc>
          <w:tcPr>
            <w:tcW w:w="3261" w:type="dxa"/>
            <w:tcBorders>
              <w:left w:val="single" w:sz="4" w:space="0" w:color="BFBFBF" w:themeColor="background1" w:themeShade="BF"/>
              <w:right w:val="single" w:sz="4" w:space="0" w:color="BFBFBF" w:themeColor="background1" w:themeShade="BF"/>
            </w:tcBorders>
          </w:tcPr>
          <w:p w14:paraId="04814CFE" w14:textId="77777777" w:rsidR="003045E2" w:rsidRPr="009F3F63" w:rsidRDefault="003045E2" w:rsidP="003045E2">
            <w:pPr>
              <w:autoSpaceDE w:val="0"/>
              <w:autoSpaceDN w:val="0"/>
              <w:adjustRightInd w:val="0"/>
              <w:spacing w:after="0"/>
              <w:rPr>
                <w:rFonts w:cstheme="minorHAnsi"/>
                <w:color w:val="59595B"/>
                <w:sz w:val="20"/>
                <w:szCs w:val="20"/>
                <w:lang w:val="en-GB"/>
              </w:rPr>
            </w:pPr>
            <w:r w:rsidRPr="009F3F63">
              <w:rPr>
                <w:rFonts w:cstheme="minorHAnsi"/>
                <w:color w:val="59595B"/>
                <w:sz w:val="20"/>
                <w:szCs w:val="20"/>
                <w:lang w:val="en-GB"/>
              </w:rPr>
              <w:t>Available for issue</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735003" w14:textId="21672DF1" w:rsidR="003045E2" w:rsidRPr="003D0B45"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142,703,284</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35D17595"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3F989D96"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left w:val="single" w:sz="4" w:space="0" w:color="BFBFBF" w:themeColor="background1" w:themeShade="BF"/>
            </w:tcBorders>
            <w:shd w:val="clear" w:color="auto" w:fill="F2F2F2" w:themeFill="background1" w:themeFillShade="F2"/>
          </w:tcPr>
          <w:p w14:paraId="5CE24FC5" w14:textId="77777777" w:rsidR="003045E2" w:rsidRPr="001074ED" w:rsidRDefault="003045E2" w:rsidP="003045E2">
            <w:pPr>
              <w:autoSpaceDE w:val="0"/>
              <w:autoSpaceDN w:val="0"/>
              <w:adjustRightInd w:val="0"/>
              <w:spacing w:after="0"/>
              <w:jc w:val="right"/>
              <w:rPr>
                <w:rFonts w:cstheme="minorHAnsi"/>
                <w:color w:val="59595B"/>
                <w:sz w:val="20"/>
                <w:szCs w:val="20"/>
              </w:rPr>
            </w:pPr>
            <w:r>
              <w:rPr>
                <w:rFonts w:cstheme="minorHAnsi"/>
                <w:color w:val="59595B"/>
                <w:sz w:val="20"/>
                <w:szCs w:val="20"/>
              </w:rPr>
              <w:t>142,703,284</w:t>
            </w:r>
          </w:p>
        </w:tc>
      </w:tr>
      <w:tr w:rsidR="003045E2" w:rsidRPr="009B1BAD" w14:paraId="08B9CD4D" w14:textId="77777777" w:rsidTr="00B02E94">
        <w:trPr>
          <w:trHeight w:val="256"/>
          <w:jc w:val="center"/>
        </w:trPr>
        <w:tc>
          <w:tcPr>
            <w:tcW w:w="326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619B767" w14:textId="77777777" w:rsidR="003045E2" w:rsidRPr="009F3F63" w:rsidRDefault="003045E2" w:rsidP="003045E2">
            <w:pPr>
              <w:autoSpaceDE w:val="0"/>
              <w:autoSpaceDN w:val="0"/>
              <w:adjustRightInd w:val="0"/>
              <w:spacing w:after="0"/>
              <w:rPr>
                <w:rFonts w:cstheme="minorHAnsi"/>
                <w:color w:val="59595B"/>
                <w:sz w:val="20"/>
                <w:szCs w:val="20"/>
                <w:lang w:val="en-GB"/>
              </w:rPr>
            </w:pPr>
          </w:p>
        </w:tc>
        <w:tc>
          <w:tcPr>
            <w:tcW w:w="140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39DC190"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6176E4E"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EF7AA1"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5D405997" w14:textId="77777777" w:rsidR="003045E2" w:rsidRPr="009F3F63" w:rsidRDefault="003045E2" w:rsidP="003045E2">
            <w:pPr>
              <w:autoSpaceDE w:val="0"/>
              <w:autoSpaceDN w:val="0"/>
              <w:adjustRightInd w:val="0"/>
              <w:spacing w:after="0"/>
              <w:jc w:val="right"/>
              <w:rPr>
                <w:rFonts w:cstheme="minorHAnsi"/>
                <w:color w:val="59595B"/>
                <w:sz w:val="20"/>
                <w:szCs w:val="20"/>
                <w:lang w:val="en-GB"/>
              </w:rPr>
            </w:pPr>
          </w:p>
        </w:tc>
      </w:tr>
      <w:tr w:rsidR="003045E2" w:rsidRPr="009B1BAD" w14:paraId="5B9AEBAF" w14:textId="77777777" w:rsidTr="00B02E94">
        <w:trPr>
          <w:trHeight w:val="256"/>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5B579" w14:textId="77777777" w:rsidR="003045E2" w:rsidRPr="009F3F63" w:rsidRDefault="003045E2" w:rsidP="003045E2">
            <w:pPr>
              <w:autoSpaceDE w:val="0"/>
              <w:autoSpaceDN w:val="0"/>
              <w:adjustRightInd w:val="0"/>
              <w:spacing w:after="0"/>
              <w:rPr>
                <w:rFonts w:cstheme="minorHAnsi"/>
                <w:color w:val="59595B"/>
                <w:sz w:val="20"/>
                <w:szCs w:val="20"/>
                <w:lang w:val="en-GB"/>
              </w:rPr>
            </w:pPr>
            <w:r w:rsidRPr="009F3F63">
              <w:rPr>
                <w:rFonts w:cstheme="minorHAnsi"/>
                <w:b/>
                <w:color w:val="59595B"/>
                <w:sz w:val="20"/>
                <w:szCs w:val="20"/>
                <w:lang w:val="en-GB"/>
              </w:rPr>
              <w:t>Authorised share capital</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50FCD22" w14:textId="3697A2DC" w:rsidR="003045E2" w:rsidRPr="003D0B45" w:rsidRDefault="003045E2" w:rsidP="003045E2">
            <w:pPr>
              <w:autoSpaceDE w:val="0"/>
              <w:autoSpaceDN w:val="0"/>
              <w:adjustRightInd w:val="0"/>
              <w:spacing w:after="0"/>
              <w:jc w:val="right"/>
              <w:rPr>
                <w:rFonts w:cstheme="minorHAnsi"/>
                <w:b/>
                <w:color w:val="59595B"/>
                <w:sz w:val="20"/>
                <w:szCs w:val="20"/>
              </w:rPr>
            </w:pPr>
            <w:r>
              <w:rPr>
                <w:rFonts w:cstheme="minorHAnsi"/>
                <w:b/>
                <w:color w:val="59595B"/>
                <w:sz w:val="20"/>
                <w:szCs w:val="20"/>
              </w:rPr>
              <w:t>800,000,000</w:t>
            </w: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A3D5396" w14:textId="77777777" w:rsidR="003045E2" w:rsidRPr="009F3F63" w:rsidRDefault="003045E2" w:rsidP="003045E2">
            <w:pPr>
              <w:autoSpaceDE w:val="0"/>
              <w:autoSpaceDN w:val="0"/>
              <w:adjustRightInd w:val="0"/>
              <w:spacing w:after="0"/>
              <w:jc w:val="right"/>
              <w:rPr>
                <w:rFonts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BC9136" w14:textId="77777777" w:rsidR="003045E2" w:rsidRPr="009F3F63" w:rsidRDefault="003045E2" w:rsidP="003045E2">
            <w:pPr>
              <w:autoSpaceDE w:val="0"/>
              <w:autoSpaceDN w:val="0"/>
              <w:adjustRightInd w:val="0"/>
              <w:spacing w:after="0"/>
              <w:jc w:val="right"/>
              <w:rPr>
                <w:rFonts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61B97CA" w14:textId="77777777" w:rsidR="003045E2" w:rsidRPr="009F3F63" w:rsidRDefault="003045E2" w:rsidP="003045E2">
            <w:pPr>
              <w:autoSpaceDE w:val="0"/>
              <w:autoSpaceDN w:val="0"/>
              <w:adjustRightInd w:val="0"/>
              <w:spacing w:after="0"/>
              <w:jc w:val="right"/>
              <w:rPr>
                <w:rFonts w:cstheme="minorHAnsi"/>
                <w:b/>
                <w:color w:val="59595B"/>
                <w:sz w:val="20"/>
                <w:szCs w:val="20"/>
                <w:lang w:val="en-GB"/>
              </w:rPr>
            </w:pPr>
            <w:r>
              <w:rPr>
                <w:rFonts w:cstheme="minorHAnsi"/>
                <w:b/>
                <w:color w:val="59595B"/>
                <w:sz w:val="20"/>
                <w:szCs w:val="20"/>
              </w:rPr>
              <w:t>800,000,000</w:t>
            </w:r>
          </w:p>
        </w:tc>
      </w:tr>
    </w:tbl>
    <w:p w14:paraId="3AED8BA8" w14:textId="3B8222AF" w:rsidR="000B6E26" w:rsidRPr="002A11D7" w:rsidRDefault="000B6E26" w:rsidP="00EF601A">
      <w:pPr>
        <w:jc w:val="center"/>
        <w:rPr>
          <w:rFonts w:ascii="Calibri Light" w:hAnsi="Calibri Light" w:cs="Calibri Light"/>
          <w:color w:val="59595B"/>
          <w:lang w:val="en-US"/>
        </w:rPr>
      </w:pPr>
      <w:r w:rsidRPr="002A11D7">
        <w:rPr>
          <w:rFonts w:ascii="Calibri Light" w:hAnsi="Calibri Light" w:cs="Calibri Light"/>
          <w:color w:val="59595B"/>
          <w:lang w:val="en-US"/>
        </w:rPr>
        <w:t xml:space="preserve">– </w:t>
      </w:r>
      <w:r w:rsidR="00EF601A">
        <w:rPr>
          <w:rFonts w:ascii="Calibri Light" w:hAnsi="Calibri Light" w:cs="Calibri Light"/>
          <w:color w:val="59595B"/>
          <w:lang w:val="en-US"/>
        </w:rPr>
        <w:t xml:space="preserve"> </w:t>
      </w:r>
      <w:r w:rsidRPr="002A11D7">
        <w:rPr>
          <w:rFonts w:ascii="Calibri Light" w:hAnsi="Calibri Light" w:cs="Calibri Light"/>
          <w:color w:val="59595B"/>
          <w:lang w:val="en-US"/>
        </w:rPr>
        <w:t>ENDS</w:t>
      </w:r>
      <w:r w:rsidR="00EF601A">
        <w:rPr>
          <w:rFonts w:ascii="Calibri Light" w:hAnsi="Calibri Light" w:cs="Calibri Light"/>
          <w:color w:val="59595B"/>
          <w:lang w:val="en-US"/>
        </w:rPr>
        <w:t xml:space="preserve"> </w:t>
      </w:r>
      <w:r w:rsidRPr="002A11D7">
        <w:rPr>
          <w:rFonts w:ascii="Calibri Light" w:hAnsi="Calibri Light" w:cs="Calibri Light"/>
          <w:color w:val="59595B"/>
          <w:lang w:val="en-US"/>
        </w:rPr>
        <w:t xml:space="preserve"> –</w:t>
      </w:r>
    </w:p>
    <w:p w14:paraId="57F93957" w14:textId="77777777" w:rsidR="008124D2" w:rsidRPr="003045E2" w:rsidRDefault="008124D2" w:rsidP="00E74572">
      <w:pPr>
        <w:jc w:val="both"/>
        <w:rPr>
          <w:rStyle w:val="Strong"/>
          <w:rFonts w:ascii="Calibri Light" w:hAnsi="Calibri Light" w:cs="Calibri Light"/>
          <w:color w:val="0070C0"/>
          <w:sz w:val="28"/>
          <w:shd w:val="clear" w:color="auto" w:fill="FFFFFF"/>
          <w:lang w:val="en-GB"/>
        </w:rPr>
      </w:pPr>
      <w:r w:rsidRPr="003045E2">
        <w:rPr>
          <w:rStyle w:val="Strong"/>
          <w:rFonts w:ascii="Calibri Light" w:hAnsi="Calibri Light" w:cs="Calibri Light"/>
          <w:color w:val="0070C0"/>
          <w:shd w:val="clear" w:color="auto" w:fill="FFFFFF"/>
          <w:lang w:val="en-GB"/>
        </w:rPr>
        <w:t>About Pharming Group N.V.</w:t>
      </w:r>
    </w:p>
    <w:p w14:paraId="1391FE47" w14:textId="77777777" w:rsidR="00B57A97" w:rsidRPr="00B57A97" w:rsidRDefault="00B57A97" w:rsidP="003045E2">
      <w:pPr>
        <w:spacing w:after="120" w:line="240" w:lineRule="auto"/>
        <w:jc w:val="both"/>
        <w:rPr>
          <w:rFonts w:ascii="Calibri Light" w:eastAsia="MS Mincho" w:hAnsi="Calibri Light" w:cs="Calibri Light"/>
          <w:color w:val="59595B"/>
          <w:lang w:val="en-GB"/>
        </w:rPr>
      </w:pPr>
      <w:r w:rsidRPr="00B57A97">
        <w:rPr>
          <w:rFonts w:ascii="Calibri Light" w:eastAsia="MS Mincho" w:hAnsi="Calibri Light" w:cs="Calibri Light"/>
          <w:color w:val="59595B"/>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62D4B16C" w14:textId="77777777" w:rsidR="00B57A97" w:rsidRPr="00B57A97" w:rsidRDefault="00B57A97" w:rsidP="003045E2">
      <w:pPr>
        <w:spacing w:after="120" w:line="240" w:lineRule="auto"/>
        <w:jc w:val="both"/>
        <w:rPr>
          <w:rFonts w:ascii="Calibri Light" w:eastAsia="MS Mincho" w:hAnsi="Calibri Light" w:cs="Calibri Light"/>
          <w:color w:val="59595B"/>
          <w:lang w:val="en-GB"/>
        </w:rPr>
      </w:pPr>
      <w:r w:rsidRPr="00B57A97">
        <w:rPr>
          <w:rFonts w:ascii="Calibri Light" w:eastAsia="MS Mincho" w:hAnsi="Calibri Light" w:cs="Calibri Light"/>
          <w:color w:val="59595B"/>
          <w:lang w:val="en-GB"/>
        </w:rPr>
        <w:t>RUCONEST® is distributed by Pharming in Austria, France, Germany, Luxembourg, the Netherlands, the United Kingdom and the United States of America. Pharming holds c</w:t>
      </w:r>
      <w:bookmarkStart w:id="0" w:name="_GoBack"/>
      <w:bookmarkEnd w:id="0"/>
      <w:r w:rsidRPr="00B57A97">
        <w:rPr>
          <w:rFonts w:ascii="Calibri Light" w:eastAsia="MS Mincho" w:hAnsi="Calibri Light" w:cs="Calibri Light"/>
          <w:color w:val="59595B"/>
          <w:lang w:val="en-GB"/>
        </w:rPr>
        <w:t xml:space="preserve">ommercialisation rights in Algeria, Andorra, Bahrain, Belgium, Ireland, Jordan, Kuwait, Lebanon, Morocco, Oman, Portugal, Qatar, Syria, Spain, Switzerland, Tunisia, United Arab Emirates and Yemen. In some of these countries </w:t>
      </w:r>
      <w:r w:rsidRPr="00B57A97">
        <w:rPr>
          <w:rFonts w:ascii="Calibri Light" w:eastAsia="MS Mincho" w:hAnsi="Calibri Light" w:cs="Calibri Light"/>
          <w:color w:val="59595B"/>
        </w:rPr>
        <w:t>distribution is made</w:t>
      </w:r>
      <w:r w:rsidRPr="00B57A97">
        <w:rPr>
          <w:rFonts w:ascii="Calibri Light" w:eastAsia="MS Mincho" w:hAnsi="Calibri Light" w:cs="Calibri Light"/>
          <w:color w:val="59595B"/>
          <w:lang w:val="en-GB"/>
        </w:rPr>
        <w:t xml:space="preserve"> in association with the HAEi Global Access Program (GAP).</w:t>
      </w:r>
    </w:p>
    <w:p w14:paraId="14A76EF4" w14:textId="77777777" w:rsidR="00B57A97" w:rsidRPr="00B57A97" w:rsidRDefault="00B57A97" w:rsidP="003045E2">
      <w:pPr>
        <w:spacing w:after="120" w:line="240" w:lineRule="auto"/>
        <w:jc w:val="both"/>
        <w:rPr>
          <w:rFonts w:ascii="Calibri Light" w:eastAsia="MS Mincho" w:hAnsi="Calibri Light" w:cs="Calibri Light"/>
          <w:color w:val="59595B"/>
          <w:lang w:val="en-GB"/>
        </w:rPr>
      </w:pPr>
      <w:r w:rsidRPr="00B57A97">
        <w:rPr>
          <w:rFonts w:ascii="Calibri Light" w:eastAsia="MS Mincho" w:hAnsi="Calibri Light" w:cs="Calibri Light"/>
          <w:color w:val="59595B"/>
          <w:lang w:val="en-GB"/>
        </w:rPr>
        <w:t>RUCONEST® is distributed by Swedish Orphan Biovitrum AB (publ) (SS: SOBI) in the other EU countries, and in Azerbaijan, Belarus, Georgia, Iceland, Kazakhstan, Liechtenstein, Norway, Russia, Serbia and Ukraine.</w:t>
      </w:r>
    </w:p>
    <w:p w14:paraId="76583DA3" w14:textId="77777777" w:rsidR="00B57A97" w:rsidRPr="00B57A97" w:rsidRDefault="00B57A97" w:rsidP="003045E2">
      <w:pPr>
        <w:spacing w:after="120" w:line="240" w:lineRule="auto"/>
        <w:jc w:val="both"/>
        <w:rPr>
          <w:rFonts w:ascii="Calibri Light" w:eastAsia="MS Mincho" w:hAnsi="Calibri Light" w:cs="Calibri Light"/>
          <w:color w:val="59595B"/>
          <w:lang w:val="en-GB"/>
        </w:rPr>
      </w:pPr>
      <w:r w:rsidRPr="00B57A97">
        <w:rPr>
          <w:rFonts w:ascii="Calibri Light" w:eastAsia="MS Mincho" w:hAnsi="Calibri Light" w:cs="Calibri Light"/>
          <w:color w:val="59595B"/>
          <w:lang w:val="en-GB"/>
        </w:rPr>
        <w:t xml:space="preserve">RUCONEST® is distributed in Argentina, Colombia, Costa Rica, the Dominican Republic, Panama, and Venezuela by Cytobioteck, in South Korea by HyupJin Corporation and in Israel by </w:t>
      </w:r>
      <w:r w:rsidRPr="00B57A97">
        <w:rPr>
          <w:rFonts w:ascii="Calibri Light" w:eastAsia="MS Mincho" w:hAnsi="Calibri Light" w:cs="Calibri Light"/>
          <w:color w:val="59595B"/>
        </w:rPr>
        <w:t>Kamada</w:t>
      </w:r>
      <w:r w:rsidRPr="00B57A97">
        <w:rPr>
          <w:rFonts w:ascii="Calibri Light" w:eastAsia="MS Mincho" w:hAnsi="Calibri Light" w:cs="Calibri Light"/>
          <w:color w:val="59595B"/>
          <w:lang w:val="en-GB"/>
        </w:rPr>
        <w:t>.</w:t>
      </w:r>
    </w:p>
    <w:p w14:paraId="32417C7E" w14:textId="77777777" w:rsidR="00B57A97" w:rsidRPr="00B57A97" w:rsidRDefault="00B57A97" w:rsidP="003045E2">
      <w:pPr>
        <w:spacing w:after="120" w:line="240" w:lineRule="auto"/>
        <w:jc w:val="both"/>
        <w:rPr>
          <w:rFonts w:ascii="Calibri Light" w:eastAsia="MS Mincho" w:hAnsi="Calibri Light" w:cs="Calibri Light"/>
          <w:color w:val="59595B"/>
          <w:lang w:val="en-GB"/>
        </w:rPr>
      </w:pPr>
      <w:r w:rsidRPr="00B57A97">
        <w:rPr>
          <w:rFonts w:ascii="Calibri Light" w:eastAsia="MS Mincho" w:hAnsi="Calibri Light" w:cs="Calibri Light"/>
          <w:color w:val="59595B"/>
          <w:lang w:val="en-GB"/>
        </w:rPr>
        <w:t xml:space="preserve">RUCONEST® is also being </w:t>
      </w:r>
      <w:r w:rsidRPr="00B57A97">
        <w:rPr>
          <w:rFonts w:ascii="Calibri Light" w:eastAsia="MS Mincho" w:hAnsi="Calibri Light" w:cs="Calibri Light"/>
          <w:color w:val="59595B"/>
        </w:rPr>
        <w:t>examined for approval</w:t>
      </w:r>
      <w:r w:rsidRPr="00B57A97">
        <w:rPr>
          <w:rFonts w:ascii="Calibri Light" w:eastAsia="MS Mincho" w:hAnsi="Calibri Light" w:cs="Calibri Light"/>
          <w:color w:val="59595B"/>
          <w:lang w:val="en-GB"/>
        </w:rPr>
        <w:t xml:space="preserve"> for the treatment of HAE in young children (2-13 years of age) and evaluated for various additional follow-on indications.</w:t>
      </w:r>
    </w:p>
    <w:p w14:paraId="1551C55E" w14:textId="77777777" w:rsidR="00B57A97" w:rsidRPr="00B57A97" w:rsidRDefault="00B57A97" w:rsidP="003045E2">
      <w:pPr>
        <w:spacing w:after="120" w:line="240" w:lineRule="auto"/>
        <w:jc w:val="both"/>
        <w:rPr>
          <w:rFonts w:ascii="Calibri Light" w:eastAsia="MS Mincho" w:hAnsi="Calibri Light" w:cs="Calibri Light"/>
          <w:color w:val="59595B"/>
          <w:lang w:val="en-GB"/>
        </w:rPr>
      </w:pPr>
      <w:r w:rsidRPr="00B57A97">
        <w:rPr>
          <w:rFonts w:ascii="Calibri Light" w:eastAsia="MS Mincho" w:hAnsi="Calibri Light" w:cs="Calibri Light"/>
          <w:color w:val="59595B"/>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7D0D6795" w14:textId="77777777" w:rsidR="00B57A97" w:rsidRPr="00B57A97" w:rsidRDefault="00B57A97" w:rsidP="003045E2">
      <w:pPr>
        <w:spacing w:after="120" w:line="240" w:lineRule="auto"/>
        <w:jc w:val="both"/>
        <w:rPr>
          <w:rFonts w:ascii="Calibri Light" w:eastAsia="MS Mincho" w:hAnsi="Calibri Light" w:cs="Calibri Light"/>
          <w:color w:val="59595B"/>
          <w:lang w:val="en-GB"/>
        </w:rPr>
      </w:pPr>
      <w:r w:rsidRPr="00B57A97">
        <w:rPr>
          <w:rFonts w:ascii="Calibri Light" w:eastAsia="MS Mincho" w:hAnsi="Calibri Light" w:cs="Calibri Light"/>
          <w:color w:val="59595B"/>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64BC76D" w14:textId="77777777" w:rsidR="00B57A97" w:rsidRPr="00B57A97" w:rsidRDefault="00B57A97" w:rsidP="003045E2">
      <w:pPr>
        <w:spacing w:line="240" w:lineRule="auto"/>
        <w:jc w:val="both"/>
        <w:rPr>
          <w:rStyle w:val="Hyperlink"/>
          <w:rFonts w:ascii="Calibri Light" w:eastAsia="MS Mincho" w:hAnsi="Calibri Light" w:cs="Calibri Light"/>
          <w:b/>
          <w:color w:val="00679B"/>
          <w:lang w:val="en-GB"/>
        </w:rPr>
      </w:pPr>
      <w:r w:rsidRPr="00B57A97">
        <w:rPr>
          <w:rFonts w:ascii="Calibri Light" w:eastAsia="MS Mincho" w:hAnsi="Calibri Light" w:cs="Calibri Light"/>
          <w:color w:val="59595B"/>
          <w:lang w:val="en-GB"/>
        </w:rPr>
        <w:t xml:space="preserve">Additional information is available on the Pharming website: </w:t>
      </w:r>
      <w:hyperlink r:id="rId7" w:history="1">
        <w:r w:rsidRPr="00B57A97">
          <w:rPr>
            <w:rStyle w:val="Hyperlink"/>
            <w:rFonts w:ascii="Calibri Light" w:eastAsia="MS Mincho" w:hAnsi="Calibri Light" w:cs="Calibri Light"/>
            <w:b/>
            <w:color w:val="00679B"/>
            <w:lang w:val="en-GB"/>
          </w:rPr>
          <w:t>www.pharming.com</w:t>
        </w:r>
      </w:hyperlink>
    </w:p>
    <w:p w14:paraId="41564C40" w14:textId="77777777" w:rsidR="00044B6C" w:rsidRDefault="00044B6C" w:rsidP="00E74572">
      <w:pPr>
        <w:spacing w:line="276" w:lineRule="auto"/>
        <w:jc w:val="both"/>
        <w:rPr>
          <w:rFonts w:ascii="Calibri Light" w:eastAsiaTheme="majorEastAsia" w:hAnsi="Calibri Light" w:cs="Calibri Light"/>
          <w:b/>
          <w:color w:val="59595B"/>
          <w:szCs w:val="28"/>
          <w:lang w:val="en-GB" w:eastAsia="zh-CN"/>
        </w:rPr>
      </w:pPr>
    </w:p>
    <w:p w14:paraId="26B81542" w14:textId="77777777" w:rsidR="00044B6C" w:rsidRPr="003045E2" w:rsidRDefault="00044B6C" w:rsidP="00E74572">
      <w:pPr>
        <w:spacing w:line="276" w:lineRule="auto"/>
        <w:jc w:val="both"/>
        <w:rPr>
          <w:rFonts w:ascii="Calibri Light" w:eastAsiaTheme="majorEastAsia" w:hAnsi="Calibri Light" w:cs="Calibri Light"/>
          <w:b/>
          <w:color w:val="0070C0"/>
          <w:szCs w:val="28"/>
          <w:lang w:val="en-GB" w:eastAsia="zh-CN"/>
        </w:rPr>
      </w:pPr>
      <w:r w:rsidRPr="003045E2">
        <w:rPr>
          <w:rFonts w:ascii="Calibri Light" w:eastAsiaTheme="majorEastAsia" w:hAnsi="Calibri Light" w:cs="Calibri Light"/>
          <w:b/>
          <w:color w:val="0070C0"/>
          <w:szCs w:val="28"/>
          <w:lang w:val="en-GB" w:eastAsia="zh-CN"/>
        </w:rPr>
        <w:t>Forward-looking Statements</w:t>
      </w:r>
    </w:p>
    <w:p w14:paraId="7F144EED" w14:textId="77777777" w:rsidR="00044B6C" w:rsidRPr="000B6E26" w:rsidRDefault="00044B6C" w:rsidP="00E74572">
      <w:pPr>
        <w:spacing w:after="120" w:line="276" w:lineRule="auto"/>
        <w:jc w:val="both"/>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4924E504" w14:textId="77777777" w:rsidR="00044B6C" w:rsidRPr="000B6E26" w:rsidRDefault="00044B6C" w:rsidP="00E74572">
      <w:pPr>
        <w:spacing w:after="120" w:line="276" w:lineRule="auto"/>
        <w:jc w:val="both"/>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27729B4D" w14:textId="77777777" w:rsidR="00044B6C" w:rsidRPr="000B6E26" w:rsidRDefault="00044B6C" w:rsidP="00E74572">
      <w:pPr>
        <w:spacing w:after="120" w:line="276" w:lineRule="auto"/>
        <w:jc w:val="both"/>
        <w:rPr>
          <w:rFonts w:ascii="Calibri Light" w:eastAsia="SimSun" w:hAnsi="Calibri Light" w:cs="Calibri Light"/>
          <w:i/>
          <w:sz w:val="20"/>
          <w:szCs w:val="20"/>
          <w:highlight w:val="yellow"/>
          <w:lang w:val="en-GB" w:eastAsia="zh-CN"/>
        </w:rPr>
      </w:pPr>
      <w:r w:rsidRPr="000B6E26">
        <w:rPr>
          <w:rFonts w:ascii="Calibri Light" w:eastAsia="SimSun" w:hAnsi="Calibri Light" w:cs="Calibri Light"/>
          <w:i/>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2BCB26F" w14:textId="77777777" w:rsidR="00044B6C" w:rsidRDefault="00044B6C" w:rsidP="00E74572">
      <w:pPr>
        <w:shd w:val="clear" w:color="auto" w:fill="FFFFFF"/>
        <w:spacing w:after="300" w:line="240" w:lineRule="auto"/>
        <w:jc w:val="both"/>
        <w:rPr>
          <w:rFonts w:ascii="Calibri Light" w:hAnsi="Calibri Light" w:cs="Calibri Light"/>
          <w:color w:val="59595B"/>
          <w:lang w:val="en-GB"/>
        </w:rPr>
      </w:pPr>
    </w:p>
    <w:p w14:paraId="4C1647E1" w14:textId="77777777" w:rsidR="00044B6C" w:rsidRPr="000B6E26" w:rsidRDefault="00044B6C" w:rsidP="00E74572">
      <w:pPr>
        <w:jc w:val="both"/>
        <w:outlineLvl w:val="0"/>
        <w:rPr>
          <w:rFonts w:ascii="Calibri Light" w:hAnsi="Calibri Light" w:cs="Calibri Light"/>
          <w:b/>
          <w:lang w:val="en-GB"/>
        </w:rPr>
      </w:pPr>
      <w:r>
        <w:rPr>
          <w:rFonts w:ascii="Calibri Light" w:hAnsi="Calibri Light" w:cs="Calibri Light"/>
          <w:b/>
          <w:color w:val="00679B"/>
          <w:lang w:val="en-GB"/>
        </w:rPr>
        <w:t>Contact</w:t>
      </w:r>
      <w:r w:rsidRPr="000B6E26">
        <w:rPr>
          <w:rFonts w:ascii="Calibri Light" w:hAnsi="Calibri Light" w:cs="Calibri Light"/>
          <w:b/>
          <w:color w:val="00679B"/>
          <w:lang w:val="en-GB"/>
        </w:rPr>
        <w:t>:</w:t>
      </w:r>
    </w:p>
    <w:p w14:paraId="0DD070D0" w14:textId="77777777" w:rsidR="00044B6C" w:rsidRPr="000B6E26" w:rsidRDefault="00044B6C" w:rsidP="00E74572">
      <w:pPr>
        <w:spacing w:line="276" w:lineRule="auto"/>
        <w:jc w:val="both"/>
        <w:rPr>
          <w:rFonts w:ascii="Calibri Light" w:hAnsi="Calibri Light" w:cs="Calibri Light"/>
          <w:color w:val="59595B"/>
          <w:lang w:val="en-GB"/>
        </w:rPr>
      </w:pPr>
      <w:r w:rsidRPr="000B6E26">
        <w:rPr>
          <w:rFonts w:ascii="Calibri Light" w:hAnsi="Calibri Light" w:cs="Calibri Light"/>
          <w:b/>
          <w:bCs/>
          <w:color w:val="59595B"/>
          <w:lang w:val="en-GB"/>
        </w:rPr>
        <w:t>Pharming Group N.V.</w:t>
      </w:r>
    </w:p>
    <w:p w14:paraId="10848886" w14:textId="77777777" w:rsidR="00044B6C" w:rsidRPr="003C5A46" w:rsidRDefault="00044B6C" w:rsidP="00E74572">
      <w:pPr>
        <w:spacing w:line="276" w:lineRule="auto"/>
        <w:jc w:val="both"/>
        <w:rPr>
          <w:rFonts w:ascii="Calibri Light" w:hAnsi="Calibri Light" w:cs="Calibri Light"/>
          <w:color w:val="59595B"/>
        </w:rPr>
      </w:pPr>
      <w:r w:rsidRPr="003C5A46">
        <w:rPr>
          <w:rFonts w:ascii="Calibri Light" w:hAnsi="Calibri Light" w:cs="Calibri Light"/>
          <w:color w:val="59595B"/>
        </w:rPr>
        <w:t>Sijmen de Vries, CEO, Tel: +31 71 524 7400</w:t>
      </w:r>
    </w:p>
    <w:p w14:paraId="47762F8E" w14:textId="77777777" w:rsidR="00044B6C" w:rsidRPr="000B6E26" w:rsidRDefault="00044B6C" w:rsidP="00E74572">
      <w:pPr>
        <w:spacing w:line="276" w:lineRule="auto"/>
        <w:jc w:val="both"/>
        <w:rPr>
          <w:rFonts w:ascii="Calibri Light" w:hAnsi="Calibri Light" w:cs="Calibri Light"/>
          <w:color w:val="59595B"/>
          <w:lang w:val="en-GB"/>
        </w:rPr>
      </w:pPr>
      <w:r w:rsidRPr="000B6E26">
        <w:rPr>
          <w:rFonts w:ascii="Calibri Light" w:hAnsi="Calibri Light" w:cs="Calibri Light"/>
          <w:color w:val="59595B"/>
          <w:lang w:val="en-GB"/>
        </w:rPr>
        <w:t>Robin Wright, CFO, Tel: +31 71 524 7400</w:t>
      </w:r>
    </w:p>
    <w:p w14:paraId="1C0B413D" w14:textId="77777777" w:rsidR="00044B6C" w:rsidRPr="000B6E26" w:rsidRDefault="00044B6C" w:rsidP="00E74572">
      <w:pPr>
        <w:spacing w:line="276" w:lineRule="auto"/>
        <w:jc w:val="both"/>
        <w:rPr>
          <w:rFonts w:ascii="Calibri Light" w:eastAsia="SimSun" w:hAnsi="Calibri Light" w:cs="Calibri Light"/>
          <w:b/>
          <w:color w:val="59595B"/>
          <w:lang w:val="en-GB" w:eastAsia="zh-CN"/>
        </w:rPr>
      </w:pPr>
      <w:r w:rsidRPr="000B6E26">
        <w:rPr>
          <w:rFonts w:ascii="Calibri Light" w:eastAsia="SimSun" w:hAnsi="Calibri Light" w:cs="Calibri Light"/>
          <w:b/>
          <w:color w:val="59595B"/>
          <w:lang w:val="en-GB" w:eastAsia="zh-CN"/>
        </w:rPr>
        <w:t>FTI Consulting, London, UK:</w:t>
      </w:r>
    </w:p>
    <w:p w14:paraId="76D29527" w14:textId="77777777" w:rsidR="00044B6C" w:rsidRPr="000B6E26" w:rsidRDefault="00044B6C" w:rsidP="00E74572">
      <w:pPr>
        <w:jc w:val="both"/>
        <w:rPr>
          <w:rFonts w:ascii="Calibri Light" w:hAnsi="Calibri Light" w:cs="Calibri Light"/>
          <w:color w:val="59595B"/>
          <w:lang w:val="en-GB"/>
        </w:rPr>
      </w:pPr>
      <w:r w:rsidRPr="000B6E26">
        <w:rPr>
          <w:rFonts w:ascii="Calibri Light" w:eastAsia="SimSun" w:hAnsi="Calibri Light" w:cs="Calibri Light"/>
          <w:color w:val="59595B"/>
          <w:lang w:val="en-GB" w:eastAsia="zh-CN"/>
        </w:rPr>
        <w:t xml:space="preserve">Julia Phillips/ Victoria Foster Mitchell, T: +44 </w:t>
      </w:r>
      <w:r w:rsidRPr="000B6E26">
        <w:rPr>
          <w:rFonts w:ascii="Calibri Light" w:hAnsi="Calibri Light" w:cs="Calibri Light"/>
          <w:color w:val="59595B"/>
          <w:lang w:val="en-GB"/>
        </w:rPr>
        <w:t>203 727 1136</w:t>
      </w:r>
    </w:p>
    <w:p w14:paraId="07B0EAC3" w14:textId="77777777" w:rsidR="00044B6C" w:rsidRPr="000B6E26" w:rsidRDefault="00044B6C" w:rsidP="00E74572">
      <w:pPr>
        <w:spacing w:line="276" w:lineRule="auto"/>
        <w:jc w:val="both"/>
        <w:rPr>
          <w:rFonts w:ascii="Calibri Light" w:eastAsia="MS Mincho" w:hAnsi="Calibri Light" w:cs="Calibri Light"/>
          <w:b/>
          <w:color w:val="59595B"/>
          <w:lang w:val="en-GB"/>
        </w:rPr>
      </w:pPr>
      <w:r w:rsidRPr="000B6E26">
        <w:rPr>
          <w:rFonts w:ascii="Calibri Light" w:eastAsia="MS Mincho" w:hAnsi="Calibri Light" w:cs="Calibri Light"/>
          <w:b/>
          <w:color w:val="59595B"/>
          <w:lang w:val="en-GB"/>
        </w:rPr>
        <w:t xml:space="preserve">LifeSpring Life Sciences Communication, Amsterdam, The Netherlands: </w:t>
      </w:r>
    </w:p>
    <w:p w14:paraId="292AFC67" w14:textId="77777777" w:rsidR="00044B6C" w:rsidRDefault="00044B6C" w:rsidP="00E74572">
      <w:pPr>
        <w:spacing w:line="276" w:lineRule="auto"/>
        <w:jc w:val="both"/>
        <w:rPr>
          <w:rFonts w:ascii="Calibri Light" w:hAnsi="Calibri Light" w:cs="Calibri Light"/>
          <w:color w:val="59595B"/>
          <w:lang w:val="en-GB"/>
        </w:rPr>
      </w:pPr>
      <w:r w:rsidRPr="00EA68DE">
        <w:rPr>
          <w:rFonts w:ascii="Calibri Light" w:eastAsia="MS Mincho" w:hAnsi="Calibri Light" w:cs="Calibri Light"/>
          <w:color w:val="59595B"/>
          <w:lang w:val="en-GB"/>
        </w:rPr>
        <w:t>Leon Melens, Tel: +</w:t>
      </w:r>
      <w:r w:rsidRPr="00EA68DE">
        <w:rPr>
          <w:rFonts w:ascii="Calibri Light" w:hAnsi="Calibri Light" w:cs="Calibri Light"/>
          <w:color w:val="59595B"/>
          <w:lang w:val="en-GB"/>
        </w:rPr>
        <w:t>31 6 53 81 64 27</w:t>
      </w:r>
    </w:p>
    <w:p w14:paraId="7121D2C8" w14:textId="77777777" w:rsidR="000B6E26" w:rsidRPr="000B6E26" w:rsidRDefault="000B6E26" w:rsidP="000B6E26">
      <w:pPr>
        <w:shd w:val="clear" w:color="auto" w:fill="FFFFFF"/>
        <w:spacing w:after="300" w:line="240" w:lineRule="auto"/>
        <w:rPr>
          <w:rFonts w:ascii="Calibri Light" w:hAnsi="Calibri Light" w:cs="Calibri Light"/>
          <w:color w:val="59595B"/>
          <w:lang w:val="en-GB"/>
        </w:rPr>
      </w:pPr>
    </w:p>
    <w:sectPr w:rsidR="000B6E26" w:rsidRPr="000B6E2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5407C" w14:textId="77777777" w:rsidR="00AA0DC7" w:rsidRDefault="00AA0DC7" w:rsidP="000B6E26">
      <w:pPr>
        <w:spacing w:after="0" w:line="240" w:lineRule="auto"/>
      </w:pPr>
      <w:r>
        <w:separator/>
      </w:r>
    </w:p>
  </w:endnote>
  <w:endnote w:type="continuationSeparator" w:id="0">
    <w:p w14:paraId="57BE70B8" w14:textId="77777777" w:rsidR="00AA0DC7" w:rsidRDefault="00AA0DC7" w:rsidP="000B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2F2EE" w14:textId="77777777" w:rsidR="00AA0DC7" w:rsidRDefault="00AA0DC7" w:rsidP="000B6E26">
      <w:pPr>
        <w:spacing w:after="0" w:line="240" w:lineRule="auto"/>
      </w:pPr>
      <w:r>
        <w:separator/>
      </w:r>
    </w:p>
  </w:footnote>
  <w:footnote w:type="continuationSeparator" w:id="0">
    <w:p w14:paraId="2338813D" w14:textId="77777777" w:rsidR="00AA0DC7" w:rsidRDefault="00AA0DC7" w:rsidP="000B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2135" w14:textId="77777777" w:rsidR="000B6E26" w:rsidRDefault="000B6E26">
    <w:pPr>
      <w:pStyle w:val="Header"/>
    </w:pPr>
    <w:r>
      <w:rPr>
        <w:noProof/>
        <w:lang w:val="en-GB" w:eastAsia="en-GB"/>
      </w:rPr>
      <w:drawing>
        <wp:anchor distT="0" distB="0" distL="114300" distR="114300" simplePos="0" relativeHeight="251659264" behindDoc="1" locked="0" layoutInCell="1" allowOverlap="1" wp14:anchorId="46453A86" wp14:editId="68E30144">
          <wp:simplePos x="0" y="0"/>
          <wp:positionH relativeFrom="margin">
            <wp:posOffset>4080933</wp:posOffset>
          </wp:positionH>
          <wp:positionV relativeFrom="paragraph">
            <wp:posOffset>-169757</wp:posOffset>
          </wp:positionV>
          <wp:extent cx="1681435" cy="621079"/>
          <wp:effectExtent l="0" t="0" r="0" b="0"/>
          <wp:wrapTight wrapText="bothSides">
            <wp:wrapPolygon edited="0">
              <wp:start x="1714" y="1325"/>
              <wp:lineTo x="0" y="7951"/>
              <wp:lineTo x="0" y="11926"/>
              <wp:lineTo x="1714" y="17227"/>
              <wp:lineTo x="1958" y="18552"/>
              <wp:lineTo x="3427" y="18552"/>
              <wp:lineTo x="21298" y="16564"/>
              <wp:lineTo x="21298" y="5963"/>
              <wp:lineTo x="3672" y="1325"/>
              <wp:lineTo x="1714" y="1325"/>
            </wp:wrapPolygon>
          </wp:wrapTight>
          <wp:docPr id="8" name="Picture 8"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ing Logo.png"/>
                  <pic:cNvPicPr/>
                </pic:nvPicPr>
                <pic:blipFill rotWithShape="1">
                  <a:blip r:embed="rId1">
                    <a:extLst>
                      <a:ext uri="{28A0092B-C50C-407E-A947-70E740481C1C}">
                        <a14:useLocalDpi xmlns:a14="http://schemas.microsoft.com/office/drawing/2010/main" val="0"/>
                      </a:ext>
                    </a:extLst>
                  </a:blip>
                  <a:srcRect t="14641" b="33647"/>
                  <a:stretch/>
                </pic:blipFill>
                <pic:spPr bwMode="auto">
                  <a:xfrm>
                    <a:off x="0" y="0"/>
                    <a:ext cx="1681435" cy="621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97DD5"/>
    <w:multiLevelType w:val="multilevel"/>
    <w:tmpl w:val="521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D36BC"/>
    <w:multiLevelType w:val="multilevel"/>
    <w:tmpl w:val="F21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522D4"/>
    <w:multiLevelType w:val="multilevel"/>
    <w:tmpl w:val="985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B37D6"/>
    <w:multiLevelType w:val="multilevel"/>
    <w:tmpl w:val="7CC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45FAE"/>
    <w:multiLevelType w:val="multilevel"/>
    <w:tmpl w:val="B41C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5675C"/>
    <w:multiLevelType w:val="multilevel"/>
    <w:tmpl w:val="E08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9735E"/>
    <w:multiLevelType w:val="multilevel"/>
    <w:tmpl w:val="7B3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D1CBE"/>
    <w:multiLevelType w:val="multilevel"/>
    <w:tmpl w:val="B02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7C"/>
    <w:rsid w:val="00000A57"/>
    <w:rsid w:val="00021C61"/>
    <w:rsid w:val="000378C8"/>
    <w:rsid w:val="00043DB6"/>
    <w:rsid w:val="00044B6C"/>
    <w:rsid w:val="000643CC"/>
    <w:rsid w:val="00066FEE"/>
    <w:rsid w:val="00070AC0"/>
    <w:rsid w:val="000848FC"/>
    <w:rsid w:val="0008615A"/>
    <w:rsid w:val="000B6E26"/>
    <w:rsid w:val="000D0B89"/>
    <w:rsid w:val="00115ECF"/>
    <w:rsid w:val="001167E4"/>
    <w:rsid w:val="00116E15"/>
    <w:rsid w:val="00140E1B"/>
    <w:rsid w:val="00152E74"/>
    <w:rsid w:val="00160D75"/>
    <w:rsid w:val="00161631"/>
    <w:rsid w:val="00163525"/>
    <w:rsid w:val="00167A9A"/>
    <w:rsid w:val="0017318E"/>
    <w:rsid w:val="001928A4"/>
    <w:rsid w:val="001937DE"/>
    <w:rsid w:val="001A4C7E"/>
    <w:rsid w:val="001B5B58"/>
    <w:rsid w:val="00205671"/>
    <w:rsid w:val="00206D2C"/>
    <w:rsid w:val="002227C4"/>
    <w:rsid w:val="002244BB"/>
    <w:rsid w:val="00246E15"/>
    <w:rsid w:val="00247F80"/>
    <w:rsid w:val="002721AC"/>
    <w:rsid w:val="00275A4A"/>
    <w:rsid w:val="00280A7E"/>
    <w:rsid w:val="002C17C2"/>
    <w:rsid w:val="002D630D"/>
    <w:rsid w:val="002E615B"/>
    <w:rsid w:val="003045E2"/>
    <w:rsid w:val="00334AB6"/>
    <w:rsid w:val="003366C0"/>
    <w:rsid w:val="00337458"/>
    <w:rsid w:val="003509CC"/>
    <w:rsid w:val="003835D1"/>
    <w:rsid w:val="003A3E91"/>
    <w:rsid w:val="003B1C18"/>
    <w:rsid w:val="003B537C"/>
    <w:rsid w:val="003C5A46"/>
    <w:rsid w:val="00401689"/>
    <w:rsid w:val="00420AD3"/>
    <w:rsid w:val="004258C7"/>
    <w:rsid w:val="004505FB"/>
    <w:rsid w:val="00487361"/>
    <w:rsid w:val="004A258B"/>
    <w:rsid w:val="004A3890"/>
    <w:rsid w:val="004B3E4B"/>
    <w:rsid w:val="004E2761"/>
    <w:rsid w:val="00502E95"/>
    <w:rsid w:val="00516162"/>
    <w:rsid w:val="00550E92"/>
    <w:rsid w:val="00555F63"/>
    <w:rsid w:val="005567C2"/>
    <w:rsid w:val="0056380F"/>
    <w:rsid w:val="005815DB"/>
    <w:rsid w:val="00590C0F"/>
    <w:rsid w:val="005A4A57"/>
    <w:rsid w:val="005C3A14"/>
    <w:rsid w:val="005E352B"/>
    <w:rsid w:val="005E4581"/>
    <w:rsid w:val="005E50D0"/>
    <w:rsid w:val="005F65DB"/>
    <w:rsid w:val="0060351D"/>
    <w:rsid w:val="00614931"/>
    <w:rsid w:val="00650E66"/>
    <w:rsid w:val="006663EE"/>
    <w:rsid w:val="006750B9"/>
    <w:rsid w:val="006774A6"/>
    <w:rsid w:val="0068721B"/>
    <w:rsid w:val="00690DA6"/>
    <w:rsid w:val="006A6B62"/>
    <w:rsid w:val="006C122E"/>
    <w:rsid w:val="006D7FDD"/>
    <w:rsid w:val="006E2D16"/>
    <w:rsid w:val="006E3C04"/>
    <w:rsid w:val="0072620B"/>
    <w:rsid w:val="00737966"/>
    <w:rsid w:val="007538FD"/>
    <w:rsid w:val="00762050"/>
    <w:rsid w:val="00773F5D"/>
    <w:rsid w:val="00783197"/>
    <w:rsid w:val="0079570C"/>
    <w:rsid w:val="007A0AB5"/>
    <w:rsid w:val="007A32D5"/>
    <w:rsid w:val="007B2E55"/>
    <w:rsid w:val="007C5C1D"/>
    <w:rsid w:val="00801782"/>
    <w:rsid w:val="00805BEF"/>
    <w:rsid w:val="008124D2"/>
    <w:rsid w:val="00812775"/>
    <w:rsid w:val="00817C0F"/>
    <w:rsid w:val="00831637"/>
    <w:rsid w:val="00841D0A"/>
    <w:rsid w:val="00857D61"/>
    <w:rsid w:val="0087317B"/>
    <w:rsid w:val="00883E74"/>
    <w:rsid w:val="008A21DF"/>
    <w:rsid w:val="008E3EC3"/>
    <w:rsid w:val="009013C2"/>
    <w:rsid w:val="009128C3"/>
    <w:rsid w:val="00913B3C"/>
    <w:rsid w:val="00985801"/>
    <w:rsid w:val="00993910"/>
    <w:rsid w:val="009F69C4"/>
    <w:rsid w:val="00A3235B"/>
    <w:rsid w:val="00A425E1"/>
    <w:rsid w:val="00A5481A"/>
    <w:rsid w:val="00A55C40"/>
    <w:rsid w:val="00A5606F"/>
    <w:rsid w:val="00A6292A"/>
    <w:rsid w:val="00A70895"/>
    <w:rsid w:val="00AA0DC7"/>
    <w:rsid w:val="00AA19BE"/>
    <w:rsid w:val="00AB2DF4"/>
    <w:rsid w:val="00B340EE"/>
    <w:rsid w:val="00B36497"/>
    <w:rsid w:val="00B42B77"/>
    <w:rsid w:val="00B5298A"/>
    <w:rsid w:val="00B546A6"/>
    <w:rsid w:val="00B57A97"/>
    <w:rsid w:val="00B73083"/>
    <w:rsid w:val="00B82CBD"/>
    <w:rsid w:val="00B83F53"/>
    <w:rsid w:val="00B844EE"/>
    <w:rsid w:val="00BA317C"/>
    <w:rsid w:val="00BB3F56"/>
    <w:rsid w:val="00BE1D2E"/>
    <w:rsid w:val="00C20E1F"/>
    <w:rsid w:val="00C42DCF"/>
    <w:rsid w:val="00C61D63"/>
    <w:rsid w:val="00C654B9"/>
    <w:rsid w:val="00C90577"/>
    <w:rsid w:val="00CA4CF4"/>
    <w:rsid w:val="00CB3364"/>
    <w:rsid w:val="00CD0DD4"/>
    <w:rsid w:val="00CD6DD7"/>
    <w:rsid w:val="00CE2A76"/>
    <w:rsid w:val="00D307C5"/>
    <w:rsid w:val="00D358AC"/>
    <w:rsid w:val="00D42CFC"/>
    <w:rsid w:val="00D61116"/>
    <w:rsid w:val="00D647A4"/>
    <w:rsid w:val="00D80CD0"/>
    <w:rsid w:val="00D900A5"/>
    <w:rsid w:val="00DA7FFE"/>
    <w:rsid w:val="00DC6501"/>
    <w:rsid w:val="00DC7D97"/>
    <w:rsid w:val="00DF4AE4"/>
    <w:rsid w:val="00DF5102"/>
    <w:rsid w:val="00E0680E"/>
    <w:rsid w:val="00E33D08"/>
    <w:rsid w:val="00E41D0C"/>
    <w:rsid w:val="00E47609"/>
    <w:rsid w:val="00E57AAE"/>
    <w:rsid w:val="00E57B64"/>
    <w:rsid w:val="00E6279C"/>
    <w:rsid w:val="00E74572"/>
    <w:rsid w:val="00E80FEE"/>
    <w:rsid w:val="00E94A50"/>
    <w:rsid w:val="00EA3853"/>
    <w:rsid w:val="00EA68DE"/>
    <w:rsid w:val="00ED48A7"/>
    <w:rsid w:val="00ED5926"/>
    <w:rsid w:val="00EF1BF8"/>
    <w:rsid w:val="00EF4B6A"/>
    <w:rsid w:val="00EF601A"/>
    <w:rsid w:val="00F074BF"/>
    <w:rsid w:val="00F41B6C"/>
    <w:rsid w:val="00F43BE4"/>
    <w:rsid w:val="00FA6493"/>
    <w:rsid w:val="00FF4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4936"/>
  <w15:docId w15:val="{ABB8B332-EF44-43F0-B1CE-A13F617A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7558">
      <w:bodyDiv w:val="1"/>
      <w:marLeft w:val="0"/>
      <w:marRight w:val="0"/>
      <w:marTop w:val="0"/>
      <w:marBottom w:val="0"/>
      <w:divBdr>
        <w:top w:val="none" w:sz="0" w:space="0" w:color="auto"/>
        <w:left w:val="none" w:sz="0" w:space="0" w:color="auto"/>
        <w:bottom w:val="none" w:sz="0" w:space="0" w:color="auto"/>
        <w:right w:val="none" w:sz="0" w:space="0" w:color="auto"/>
      </w:divBdr>
    </w:div>
    <w:div w:id="256407396">
      <w:bodyDiv w:val="1"/>
      <w:marLeft w:val="0"/>
      <w:marRight w:val="0"/>
      <w:marTop w:val="0"/>
      <w:marBottom w:val="0"/>
      <w:divBdr>
        <w:top w:val="none" w:sz="0" w:space="0" w:color="auto"/>
        <w:left w:val="none" w:sz="0" w:space="0" w:color="auto"/>
        <w:bottom w:val="none" w:sz="0" w:space="0" w:color="auto"/>
        <w:right w:val="none" w:sz="0" w:space="0" w:color="auto"/>
      </w:divBdr>
    </w:div>
    <w:div w:id="294219840">
      <w:bodyDiv w:val="1"/>
      <w:marLeft w:val="0"/>
      <w:marRight w:val="0"/>
      <w:marTop w:val="0"/>
      <w:marBottom w:val="0"/>
      <w:divBdr>
        <w:top w:val="none" w:sz="0" w:space="0" w:color="auto"/>
        <w:left w:val="none" w:sz="0" w:space="0" w:color="auto"/>
        <w:bottom w:val="none" w:sz="0" w:space="0" w:color="auto"/>
        <w:right w:val="none" w:sz="0" w:space="0" w:color="auto"/>
      </w:divBdr>
      <w:divsChild>
        <w:div w:id="255988838">
          <w:marLeft w:val="0"/>
          <w:marRight w:val="0"/>
          <w:marTop w:val="0"/>
          <w:marBottom w:val="0"/>
          <w:divBdr>
            <w:top w:val="none" w:sz="0" w:space="0" w:color="auto"/>
            <w:left w:val="none" w:sz="0" w:space="0" w:color="auto"/>
            <w:bottom w:val="none" w:sz="0" w:space="0" w:color="auto"/>
            <w:right w:val="none" w:sz="0" w:space="0" w:color="auto"/>
          </w:divBdr>
        </w:div>
      </w:divsChild>
    </w:div>
    <w:div w:id="806361078">
      <w:bodyDiv w:val="1"/>
      <w:marLeft w:val="0"/>
      <w:marRight w:val="0"/>
      <w:marTop w:val="0"/>
      <w:marBottom w:val="0"/>
      <w:divBdr>
        <w:top w:val="none" w:sz="0" w:space="0" w:color="auto"/>
        <w:left w:val="none" w:sz="0" w:space="0" w:color="auto"/>
        <w:bottom w:val="none" w:sz="0" w:space="0" w:color="auto"/>
        <w:right w:val="none" w:sz="0" w:space="0" w:color="auto"/>
      </w:divBdr>
    </w:div>
    <w:div w:id="979384298">
      <w:bodyDiv w:val="1"/>
      <w:marLeft w:val="0"/>
      <w:marRight w:val="0"/>
      <w:marTop w:val="0"/>
      <w:marBottom w:val="0"/>
      <w:divBdr>
        <w:top w:val="none" w:sz="0" w:space="0" w:color="auto"/>
        <w:left w:val="none" w:sz="0" w:space="0" w:color="auto"/>
        <w:bottom w:val="none" w:sz="0" w:space="0" w:color="auto"/>
        <w:right w:val="none" w:sz="0" w:space="0" w:color="auto"/>
      </w:divBdr>
    </w:div>
    <w:div w:id="1012102287">
      <w:bodyDiv w:val="1"/>
      <w:marLeft w:val="0"/>
      <w:marRight w:val="0"/>
      <w:marTop w:val="0"/>
      <w:marBottom w:val="0"/>
      <w:divBdr>
        <w:top w:val="none" w:sz="0" w:space="0" w:color="auto"/>
        <w:left w:val="none" w:sz="0" w:space="0" w:color="auto"/>
        <w:bottom w:val="none" w:sz="0" w:space="0" w:color="auto"/>
        <w:right w:val="none" w:sz="0" w:space="0" w:color="auto"/>
      </w:divBdr>
    </w:div>
    <w:div w:id="1579947553">
      <w:bodyDiv w:val="1"/>
      <w:marLeft w:val="0"/>
      <w:marRight w:val="0"/>
      <w:marTop w:val="0"/>
      <w:marBottom w:val="0"/>
      <w:divBdr>
        <w:top w:val="none" w:sz="0" w:space="0" w:color="auto"/>
        <w:left w:val="none" w:sz="0" w:space="0" w:color="auto"/>
        <w:bottom w:val="none" w:sz="0" w:space="0" w:color="auto"/>
        <w:right w:val="none" w:sz="0" w:space="0" w:color="auto"/>
      </w:divBdr>
    </w:div>
    <w:div w:id="1660305444">
      <w:bodyDiv w:val="1"/>
      <w:marLeft w:val="0"/>
      <w:marRight w:val="0"/>
      <w:marTop w:val="0"/>
      <w:marBottom w:val="0"/>
      <w:divBdr>
        <w:top w:val="none" w:sz="0" w:space="0" w:color="auto"/>
        <w:left w:val="none" w:sz="0" w:space="0" w:color="auto"/>
        <w:bottom w:val="none" w:sz="0" w:space="0" w:color="auto"/>
        <w:right w:val="none" w:sz="0" w:space="0" w:color="auto"/>
      </w:divBdr>
    </w:div>
    <w:div w:id="1680619747">
      <w:bodyDiv w:val="1"/>
      <w:marLeft w:val="0"/>
      <w:marRight w:val="0"/>
      <w:marTop w:val="0"/>
      <w:marBottom w:val="0"/>
      <w:divBdr>
        <w:top w:val="none" w:sz="0" w:space="0" w:color="auto"/>
        <w:left w:val="none" w:sz="0" w:space="0" w:color="auto"/>
        <w:bottom w:val="none" w:sz="0" w:space="0" w:color="auto"/>
        <w:right w:val="none" w:sz="0" w:space="0" w:color="auto"/>
      </w:divBdr>
      <w:divsChild>
        <w:div w:id="919605482">
          <w:marLeft w:val="0"/>
          <w:marRight w:val="0"/>
          <w:marTop w:val="0"/>
          <w:marBottom w:val="0"/>
          <w:divBdr>
            <w:top w:val="none" w:sz="0" w:space="0" w:color="auto"/>
            <w:left w:val="none" w:sz="0" w:space="0" w:color="auto"/>
            <w:bottom w:val="none" w:sz="0" w:space="0" w:color="auto"/>
            <w:right w:val="none" w:sz="0" w:space="0" w:color="auto"/>
          </w:divBdr>
        </w:div>
      </w:divsChild>
    </w:div>
    <w:div w:id="20968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harm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Anurag Relan</dc:creator>
  <cp:lastModifiedBy>Sijmen de Vries</cp:lastModifiedBy>
  <cp:revision>2</cp:revision>
  <cp:lastPrinted>2018-01-03T10:01:00Z</cp:lastPrinted>
  <dcterms:created xsi:type="dcterms:W3CDTF">2018-07-29T20:20:00Z</dcterms:created>
  <dcterms:modified xsi:type="dcterms:W3CDTF">2018-07-29T20:20:00Z</dcterms:modified>
</cp:coreProperties>
</file>