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DC065" w14:textId="24C44C49" w:rsidR="000D7B20" w:rsidRPr="00CA21B9" w:rsidRDefault="00BD248A" w:rsidP="00D03BA1">
      <w:pPr>
        <w:tabs>
          <w:tab w:val="left" w:pos="9360"/>
        </w:tabs>
        <w:jc w:val="center"/>
        <w:rPr>
          <w:rFonts w:ascii="Calibri Light" w:hAnsi="Calibri Light" w:cs="Calibri Light"/>
          <w:b/>
          <w:bCs/>
          <w:snapToGrid w:val="0"/>
          <w:color w:val="00679B"/>
          <w:sz w:val="32"/>
          <w:szCs w:val="32"/>
        </w:rPr>
      </w:pPr>
      <w:r w:rsidRPr="00CA21B9">
        <w:rPr>
          <w:rFonts w:ascii="Calibri Light" w:hAnsi="Calibri Light" w:cs="Calibri Light"/>
          <w:b/>
          <w:bCs/>
          <w:snapToGrid w:val="0"/>
          <w:color w:val="00679B"/>
          <w:sz w:val="32"/>
          <w:szCs w:val="32"/>
        </w:rPr>
        <w:t xml:space="preserve">Pharming </w:t>
      </w:r>
      <w:r w:rsidR="008A54EB" w:rsidRPr="00CA21B9">
        <w:rPr>
          <w:rFonts w:ascii="Calibri Light" w:hAnsi="Calibri Light" w:cs="Calibri Light"/>
          <w:b/>
          <w:bCs/>
          <w:snapToGrid w:val="0"/>
          <w:color w:val="00679B"/>
          <w:sz w:val="32"/>
          <w:szCs w:val="32"/>
        </w:rPr>
        <w:t>acquires exclusive</w:t>
      </w:r>
      <w:r w:rsidR="00CA21B9" w:rsidRPr="00CA21B9">
        <w:rPr>
          <w:rFonts w:ascii="Calibri Light" w:hAnsi="Calibri Light" w:cs="Calibri Light"/>
          <w:b/>
          <w:bCs/>
          <w:snapToGrid w:val="0"/>
          <w:color w:val="00679B"/>
          <w:sz w:val="32"/>
          <w:szCs w:val="32"/>
        </w:rPr>
        <w:t xml:space="preserve"> license</w:t>
      </w:r>
      <w:r w:rsidR="008A54EB" w:rsidRPr="00CA21B9">
        <w:rPr>
          <w:rFonts w:ascii="Calibri Light" w:hAnsi="Calibri Light" w:cs="Calibri Light"/>
          <w:b/>
          <w:bCs/>
          <w:snapToGrid w:val="0"/>
          <w:color w:val="00679B"/>
          <w:sz w:val="32"/>
          <w:szCs w:val="32"/>
        </w:rPr>
        <w:t xml:space="preserve"> to </w:t>
      </w:r>
      <w:r w:rsidR="00511B6B" w:rsidRPr="00CA21B9">
        <w:rPr>
          <w:rFonts w:ascii="Calibri Light" w:hAnsi="Calibri Light" w:cs="Calibri Light"/>
          <w:b/>
          <w:bCs/>
          <w:snapToGrid w:val="0"/>
          <w:color w:val="00679B"/>
          <w:sz w:val="32"/>
          <w:szCs w:val="32"/>
        </w:rPr>
        <w:t xml:space="preserve">CDZ173, a </w:t>
      </w:r>
      <w:r w:rsidR="001761C1" w:rsidRPr="00CA21B9">
        <w:rPr>
          <w:rFonts w:ascii="Calibri Light" w:hAnsi="Calibri Light" w:cs="Calibri Light"/>
          <w:b/>
          <w:bCs/>
          <w:snapToGrid w:val="0"/>
          <w:color w:val="00679B"/>
          <w:sz w:val="32"/>
          <w:szCs w:val="32"/>
        </w:rPr>
        <w:t xml:space="preserve">late stage </w:t>
      </w:r>
      <w:r w:rsidR="00511B6B" w:rsidRPr="00CA21B9">
        <w:rPr>
          <w:rFonts w:ascii="Calibri Light" w:hAnsi="Calibri Light" w:cs="Calibri Light"/>
          <w:b/>
          <w:bCs/>
          <w:snapToGrid w:val="0"/>
          <w:color w:val="00679B"/>
          <w:sz w:val="32"/>
          <w:szCs w:val="32"/>
        </w:rPr>
        <w:t>drug</w:t>
      </w:r>
      <w:r w:rsidR="00220EFB" w:rsidRPr="00CA21B9">
        <w:rPr>
          <w:rFonts w:ascii="Calibri Light" w:hAnsi="Calibri Light" w:cs="Calibri Light"/>
          <w:b/>
          <w:bCs/>
          <w:snapToGrid w:val="0"/>
          <w:color w:val="00679B"/>
          <w:sz w:val="32"/>
          <w:szCs w:val="32"/>
        </w:rPr>
        <w:t xml:space="preserve"> </w:t>
      </w:r>
      <w:r w:rsidR="008A54EB" w:rsidRPr="00CA21B9">
        <w:rPr>
          <w:rFonts w:ascii="Calibri Light" w:hAnsi="Calibri Light" w:cs="Calibri Light"/>
          <w:b/>
          <w:bCs/>
          <w:snapToGrid w:val="0"/>
          <w:color w:val="00679B"/>
          <w:sz w:val="32"/>
          <w:szCs w:val="32"/>
        </w:rPr>
        <w:t>fo</w:t>
      </w:r>
      <w:bookmarkStart w:id="0" w:name="_GoBack"/>
      <w:bookmarkEnd w:id="0"/>
      <w:r w:rsidR="008A54EB" w:rsidRPr="00CA21B9">
        <w:rPr>
          <w:rFonts w:ascii="Calibri Light" w:hAnsi="Calibri Light" w:cs="Calibri Light"/>
          <w:b/>
          <w:bCs/>
          <w:snapToGrid w:val="0"/>
          <w:color w:val="00679B"/>
          <w:sz w:val="32"/>
          <w:szCs w:val="32"/>
        </w:rPr>
        <w:t>r</w:t>
      </w:r>
      <w:r w:rsidR="001522DC" w:rsidRPr="00CA21B9">
        <w:rPr>
          <w:rFonts w:ascii="Calibri Light" w:hAnsi="Calibri Light" w:cs="Calibri Light"/>
          <w:b/>
          <w:bCs/>
          <w:snapToGrid w:val="0"/>
          <w:color w:val="00679B"/>
          <w:sz w:val="32"/>
          <w:szCs w:val="32"/>
        </w:rPr>
        <w:t xml:space="preserve"> the treatment of</w:t>
      </w:r>
      <w:r w:rsidR="008A54EB" w:rsidRPr="00CA21B9">
        <w:rPr>
          <w:rFonts w:ascii="Calibri Light" w:hAnsi="Calibri Light" w:cs="Calibri Light"/>
          <w:b/>
          <w:bCs/>
          <w:snapToGrid w:val="0"/>
          <w:color w:val="00679B"/>
          <w:sz w:val="32"/>
          <w:szCs w:val="32"/>
        </w:rPr>
        <w:t xml:space="preserve"> </w:t>
      </w:r>
      <w:r w:rsidR="00B56876">
        <w:rPr>
          <w:rFonts w:ascii="Calibri Light" w:hAnsi="Calibri Light" w:cs="Calibri Light"/>
          <w:b/>
          <w:bCs/>
          <w:snapToGrid w:val="0"/>
          <w:color w:val="00679B"/>
          <w:sz w:val="32"/>
          <w:szCs w:val="32"/>
        </w:rPr>
        <w:t>APDS</w:t>
      </w:r>
    </w:p>
    <w:p w14:paraId="33D9094A" w14:textId="77777777" w:rsidR="00424A86" w:rsidRDefault="00424A86" w:rsidP="00424A86">
      <w:pPr>
        <w:pStyle w:val="ListParagraph"/>
        <w:tabs>
          <w:tab w:val="left" w:pos="9360"/>
        </w:tabs>
        <w:jc w:val="left"/>
        <w:rPr>
          <w:rFonts w:ascii="Calibri Light" w:hAnsi="Calibri Light" w:cs="Calibri Light"/>
          <w:b/>
          <w:bCs/>
          <w:snapToGrid w:val="0"/>
          <w:color w:val="00679B"/>
          <w:sz w:val="24"/>
        </w:rPr>
      </w:pPr>
    </w:p>
    <w:p w14:paraId="53A2F6D7" w14:textId="4F5D8499" w:rsidR="005C7216" w:rsidRDefault="00D03120" w:rsidP="00FD69F5">
      <w:pPr>
        <w:pStyle w:val="ListParagraph"/>
        <w:numPr>
          <w:ilvl w:val="0"/>
          <w:numId w:val="18"/>
        </w:numPr>
        <w:tabs>
          <w:tab w:val="left" w:pos="9360"/>
        </w:tabs>
        <w:jc w:val="left"/>
        <w:rPr>
          <w:rFonts w:ascii="Calibri Light" w:hAnsi="Calibri Light" w:cs="Calibri Light"/>
          <w:b/>
          <w:bCs/>
          <w:snapToGrid w:val="0"/>
          <w:color w:val="00679B"/>
          <w:sz w:val="24"/>
        </w:rPr>
      </w:pPr>
      <w:r>
        <w:rPr>
          <w:rFonts w:ascii="Calibri Light" w:hAnsi="Calibri Light" w:cs="Calibri Light"/>
          <w:b/>
          <w:bCs/>
          <w:snapToGrid w:val="0"/>
          <w:color w:val="00679B"/>
          <w:sz w:val="24"/>
        </w:rPr>
        <w:t>CDZ173 is</w:t>
      </w:r>
      <w:r w:rsidR="00D1486F">
        <w:rPr>
          <w:rFonts w:ascii="Calibri Light" w:hAnsi="Calibri Light" w:cs="Calibri Light"/>
          <w:b/>
          <w:bCs/>
          <w:snapToGrid w:val="0"/>
          <w:color w:val="00679B"/>
          <w:sz w:val="24"/>
        </w:rPr>
        <w:t xml:space="preserve"> </w:t>
      </w:r>
      <w:r w:rsidR="00CA21B9">
        <w:rPr>
          <w:rFonts w:ascii="Calibri Light" w:hAnsi="Calibri Light" w:cs="Calibri Light"/>
          <w:b/>
          <w:bCs/>
          <w:snapToGrid w:val="0"/>
          <w:color w:val="00679B"/>
          <w:sz w:val="24"/>
        </w:rPr>
        <w:t xml:space="preserve">in a registration-enabling study </w:t>
      </w:r>
      <w:r w:rsidR="00FD69F5" w:rsidRPr="00FD69F5">
        <w:rPr>
          <w:rFonts w:ascii="Calibri Light" w:hAnsi="Calibri Light" w:cs="Calibri Light"/>
          <w:b/>
          <w:bCs/>
          <w:snapToGrid w:val="0"/>
          <w:color w:val="00679B"/>
          <w:sz w:val="24"/>
        </w:rPr>
        <w:t xml:space="preserve">for </w:t>
      </w:r>
      <w:r w:rsidR="009301F8">
        <w:rPr>
          <w:rFonts w:ascii="Calibri Light" w:hAnsi="Calibri Light" w:cs="Calibri Light"/>
          <w:b/>
          <w:bCs/>
          <w:snapToGrid w:val="0"/>
          <w:color w:val="00679B"/>
          <w:sz w:val="24"/>
        </w:rPr>
        <w:t xml:space="preserve">the treatment of </w:t>
      </w:r>
      <w:r w:rsidR="009434B9" w:rsidRPr="009434B9">
        <w:rPr>
          <w:rFonts w:ascii="Calibri Light" w:hAnsi="Calibri Light" w:cs="Calibri Light"/>
          <w:b/>
          <w:bCs/>
          <w:snapToGrid w:val="0"/>
          <w:color w:val="00679B"/>
          <w:sz w:val="24"/>
        </w:rPr>
        <w:t>APDS</w:t>
      </w:r>
      <w:r w:rsidR="00D1486F">
        <w:rPr>
          <w:rFonts w:ascii="Calibri Light" w:hAnsi="Calibri Light" w:cs="Calibri Light"/>
          <w:b/>
          <w:bCs/>
          <w:snapToGrid w:val="0"/>
          <w:color w:val="00679B"/>
          <w:sz w:val="24"/>
        </w:rPr>
        <w:t>, a</w:t>
      </w:r>
      <w:r w:rsidR="00616838">
        <w:rPr>
          <w:rFonts w:ascii="Calibri Light" w:hAnsi="Calibri Light" w:cs="Calibri Light"/>
          <w:b/>
          <w:bCs/>
          <w:snapToGrid w:val="0"/>
          <w:color w:val="00679B"/>
          <w:sz w:val="24"/>
        </w:rPr>
        <w:t>n ultra-</w:t>
      </w:r>
      <w:r w:rsidR="00D1486F">
        <w:rPr>
          <w:rFonts w:ascii="Calibri Light" w:hAnsi="Calibri Light" w:cs="Calibri Light"/>
          <w:b/>
          <w:bCs/>
          <w:snapToGrid w:val="0"/>
          <w:color w:val="00679B"/>
          <w:sz w:val="24"/>
        </w:rPr>
        <w:t>rare</w:t>
      </w:r>
      <w:r w:rsidR="009434B9">
        <w:rPr>
          <w:rFonts w:ascii="Calibri Light" w:hAnsi="Calibri Light" w:cs="Calibri Light"/>
          <w:b/>
          <w:bCs/>
          <w:snapToGrid w:val="0"/>
          <w:color w:val="00679B"/>
          <w:sz w:val="24"/>
        </w:rPr>
        <w:t>,</w:t>
      </w:r>
      <w:r w:rsidR="00FD69F5" w:rsidRPr="00FD69F5">
        <w:rPr>
          <w:rFonts w:ascii="Calibri Light" w:hAnsi="Calibri Light" w:cs="Calibri Light"/>
          <w:b/>
          <w:bCs/>
          <w:snapToGrid w:val="0"/>
          <w:color w:val="00679B"/>
          <w:sz w:val="24"/>
        </w:rPr>
        <w:t xml:space="preserve"> debilitating disease with no approved treatment</w:t>
      </w:r>
    </w:p>
    <w:p w14:paraId="29E045F5" w14:textId="2739A1DE" w:rsidR="00864C88" w:rsidRPr="00CA21B9" w:rsidRDefault="00365F88" w:rsidP="00B56876">
      <w:pPr>
        <w:pStyle w:val="ListParagraph"/>
        <w:numPr>
          <w:ilvl w:val="0"/>
          <w:numId w:val="18"/>
        </w:numPr>
        <w:tabs>
          <w:tab w:val="left" w:pos="9360"/>
        </w:tabs>
        <w:spacing w:before="120"/>
        <w:ind w:left="714" w:hanging="357"/>
        <w:contextualSpacing w:val="0"/>
        <w:jc w:val="left"/>
        <w:rPr>
          <w:rFonts w:ascii="Calibri Light" w:hAnsi="Calibri Light" w:cs="Calibri Light"/>
          <w:b/>
          <w:bCs/>
          <w:color w:val="00679B"/>
          <w:sz w:val="24"/>
        </w:rPr>
      </w:pPr>
      <w:r>
        <w:rPr>
          <w:rFonts w:ascii="Calibri Light" w:hAnsi="Calibri Light" w:cs="Calibri Light"/>
          <w:b/>
          <w:bCs/>
          <w:snapToGrid w:val="0"/>
          <w:color w:val="00679B"/>
          <w:sz w:val="24"/>
        </w:rPr>
        <w:t xml:space="preserve">APDS </w:t>
      </w:r>
      <w:r w:rsidR="00C06401">
        <w:rPr>
          <w:rFonts w:ascii="Calibri Light" w:hAnsi="Calibri Light" w:cs="Calibri Light"/>
          <w:b/>
          <w:bCs/>
          <w:snapToGrid w:val="0"/>
          <w:color w:val="00679B"/>
          <w:sz w:val="24"/>
        </w:rPr>
        <w:t xml:space="preserve">is </w:t>
      </w:r>
      <w:r>
        <w:rPr>
          <w:rFonts w:ascii="Calibri Light" w:hAnsi="Calibri Light" w:cs="Calibri Light"/>
          <w:b/>
          <w:bCs/>
          <w:snapToGrid w:val="0"/>
          <w:color w:val="00679B"/>
          <w:sz w:val="24"/>
        </w:rPr>
        <w:t xml:space="preserve">treated by </w:t>
      </w:r>
      <w:r w:rsidR="00CA21B9">
        <w:rPr>
          <w:rFonts w:ascii="Calibri Light" w:hAnsi="Calibri Light" w:cs="Calibri Light"/>
          <w:b/>
          <w:bCs/>
          <w:snapToGrid w:val="0"/>
          <w:color w:val="00679B"/>
          <w:sz w:val="24"/>
        </w:rPr>
        <w:t>i</w:t>
      </w:r>
      <w:r>
        <w:rPr>
          <w:rFonts w:ascii="Calibri Light" w:hAnsi="Calibri Light" w:cs="Calibri Light"/>
          <w:b/>
          <w:bCs/>
          <w:snapToGrid w:val="0"/>
          <w:color w:val="00679B"/>
          <w:sz w:val="24"/>
        </w:rPr>
        <w:t>mmunologists</w:t>
      </w:r>
      <w:r w:rsidR="00123E6E">
        <w:rPr>
          <w:rFonts w:ascii="Calibri Light" w:hAnsi="Calibri Light" w:cs="Calibri Light"/>
          <w:b/>
          <w:bCs/>
          <w:snapToGrid w:val="0"/>
          <w:color w:val="00679B"/>
          <w:sz w:val="24"/>
        </w:rPr>
        <w:t xml:space="preserve">; the </w:t>
      </w:r>
      <w:r w:rsidR="00CA21B9">
        <w:rPr>
          <w:rFonts w:ascii="Calibri Light" w:hAnsi="Calibri Light" w:cs="Calibri Light"/>
          <w:b/>
          <w:bCs/>
          <w:snapToGrid w:val="0"/>
          <w:color w:val="00679B"/>
          <w:sz w:val="24"/>
        </w:rPr>
        <w:t>main</w:t>
      </w:r>
      <w:r w:rsidR="00123E6E">
        <w:rPr>
          <w:rFonts w:ascii="Calibri Light" w:hAnsi="Calibri Light" w:cs="Calibri Light"/>
          <w:b/>
          <w:bCs/>
          <w:snapToGrid w:val="0"/>
          <w:color w:val="00679B"/>
          <w:sz w:val="24"/>
        </w:rPr>
        <w:t xml:space="preserve"> </w:t>
      </w:r>
      <w:r w:rsidR="00CA4F30">
        <w:rPr>
          <w:rFonts w:ascii="Calibri Light" w:hAnsi="Calibri Light" w:cs="Calibri Light"/>
          <w:b/>
          <w:bCs/>
          <w:snapToGrid w:val="0"/>
          <w:color w:val="00679B"/>
          <w:sz w:val="24"/>
        </w:rPr>
        <w:t>physicians</w:t>
      </w:r>
      <w:r w:rsidR="00CA21B9">
        <w:rPr>
          <w:rFonts w:ascii="Calibri Light" w:hAnsi="Calibri Light" w:cs="Calibri Light"/>
          <w:b/>
          <w:bCs/>
          <w:snapToGrid w:val="0"/>
          <w:color w:val="00679B"/>
          <w:sz w:val="24"/>
        </w:rPr>
        <w:t xml:space="preserve"> </w:t>
      </w:r>
      <w:r w:rsidR="00123E6E">
        <w:rPr>
          <w:rFonts w:ascii="Calibri Light" w:hAnsi="Calibri Light" w:cs="Calibri Light"/>
          <w:b/>
          <w:bCs/>
          <w:snapToGrid w:val="0"/>
          <w:color w:val="00679B"/>
          <w:sz w:val="24"/>
        </w:rPr>
        <w:t>treating HAE</w:t>
      </w:r>
      <w:r w:rsidR="00B56876">
        <w:rPr>
          <w:rFonts w:ascii="Calibri Light" w:hAnsi="Calibri Light" w:cs="Calibri Light"/>
          <w:b/>
          <w:bCs/>
          <w:snapToGrid w:val="0"/>
          <w:color w:val="00679B"/>
          <w:sz w:val="24"/>
        </w:rPr>
        <w:t xml:space="preserve"> </w:t>
      </w:r>
      <w:r w:rsidR="00CA21B9">
        <w:rPr>
          <w:rFonts w:ascii="Calibri Light" w:hAnsi="Calibri Light" w:cs="Calibri Light"/>
          <w:b/>
          <w:bCs/>
          <w:snapToGrid w:val="0"/>
          <w:color w:val="00679B"/>
          <w:sz w:val="24"/>
        </w:rPr>
        <w:t>and therefore already addressed by Pharming</w:t>
      </w:r>
    </w:p>
    <w:p w14:paraId="3EEA40DD" w14:textId="618C5C2A" w:rsidR="00CA21B9" w:rsidRPr="00B56876" w:rsidRDefault="00CA21B9" w:rsidP="00B56876">
      <w:pPr>
        <w:pStyle w:val="ListParagraph"/>
        <w:numPr>
          <w:ilvl w:val="0"/>
          <w:numId w:val="18"/>
        </w:numPr>
        <w:tabs>
          <w:tab w:val="left" w:pos="9360"/>
        </w:tabs>
        <w:spacing w:before="120"/>
        <w:ind w:left="714" w:hanging="357"/>
        <w:contextualSpacing w:val="0"/>
        <w:jc w:val="left"/>
        <w:rPr>
          <w:rFonts w:ascii="Calibri Light" w:hAnsi="Calibri Light" w:cs="Calibri Light"/>
          <w:b/>
          <w:bCs/>
          <w:color w:val="00679B"/>
          <w:sz w:val="24"/>
        </w:rPr>
      </w:pPr>
      <w:r>
        <w:rPr>
          <w:rFonts w:ascii="Calibri Light" w:hAnsi="Calibri Light" w:cs="Calibri Light"/>
          <w:b/>
          <w:bCs/>
          <w:snapToGrid w:val="0"/>
          <w:color w:val="00679B"/>
          <w:sz w:val="24"/>
        </w:rPr>
        <w:t>Upfront payment will be $20 million (</w:t>
      </w:r>
      <w:r w:rsidR="0079080F">
        <w:rPr>
          <w:rFonts w:ascii="Calibri Light" w:hAnsi="Calibri Light" w:cs="Calibri Light"/>
          <w:b/>
          <w:bCs/>
          <w:snapToGrid w:val="0"/>
          <w:color w:val="00679B"/>
          <w:sz w:val="24"/>
        </w:rPr>
        <w:t>€17.9 million)</w:t>
      </w:r>
    </w:p>
    <w:p w14:paraId="04E457C4" w14:textId="276ED20B" w:rsidR="00B56876" w:rsidRPr="008E6147" w:rsidRDefault="00B56876" w:rsidP="00B56876">
      <w:pPr>
        <w:pStyle w:val="ListParagraph"/>
        <w:numPr>
          <w:ilvl w:val="0"/>
          <w:numId w:val="18"/>
        </w:numPr>
        <w:tabs>
          <w:tab w:val="left" w:pos="9360"/>
        </w:tabs>
        <w:spacing w:before="120"/>
        <w:ind w:left="714" w:hanging="357"/>
        <w:contextualSpacing w:val="0"/>
        <w:jc w:val="left"/>
        <w:rPr>
          <w:rFonts w:ascii="Calibri Light" w:hAnsi="Calibri Light" w:cs="Calibri Light"/>
          <w:b/>
          <w:bCs/>
          <w:color w:val="00679B"/>
          <w:sz w:val="24"/>
        </w:rPr>
      </w:pPr>
      <w:r>
        <w:rPr>
          <w:rFonts w:ascii="Calibri Light" w:hAnsi="Calibri Light" w:cs="Calibri Light"/>
          <w:b/>
          <w:bCs/>
          <w:snapToGrid w:val="0"/>
          <w:color w:val="00679B"/>
          <w:sz w:val="24"/>
        </w:rPr>
        <w:t xml:space="preserve">If approved, the drug is expected to reach the market in </w:t>
      </w:r>
      <w:r w:rsidR="00644D3D">
        <w:rPr>
          <w:rFonts w:ascii="Calibri Light" w:hAnsi="Calibri Light" w:cs="Calibri Light"/>
          <w:b/>
          <w:bCs/>
          <w:snapToGrid w:val="0"/>
          <w:color w:val="00679B"/>
          <w:sz w:val="24"/>
        </w:rPr>
        <w:t xml:space="preserve">2H 2021 or 1H </w:t>
      </w:r>
      <w:r>
        <w:rPr>
          <w:rFonts w:ascii="Calibri Light" w:hAnsi="Calibri Light" w:cs="Calibri Light"/>
          <w:b/>
          <w:bCs/>
          <w:snapToGrid w:val="0"/>
          <w:color w:val="00679B"/>
          <w:sz w:val="24"/>
        </w:rPr>
        <w:t>2022</w:t>
      </w:r>
    </w:p>
    <w:p w14:paraId="6470B29B" w14:textId="5280BE85" w:rsidR="008E6147" w:rsidRDefault="008E6147" w:rsidP="00B56876">
      <w:pPr>
        <w:pStyle w:val="ListParagraph"/>
        <w:numPr>
          <w:ilvl w:val="0"/>
          <w:numId w:val="18"/>
        </w:numPr>
        <w:tabs>
          <w:tab w:val="left" w:pos="9360"/>
        </w:tabs>
        <w:spacing w:before="120"/>
        <w:ind w:left="714" w:hanging="357"/>
        <w:contextualSpacing w:val="0"/>
        <w:jc w:val="left"/>
        <w:rPr>
          <w:rFonts w:ascii="Calibri Light" w:hAnsi="Calibri Light" w:cs="Calibri Light"/>
          <w:b/>
          <w:bCs/>
          <w:color w:val="00679B"/>
          <w:sz w:val="24"/>
        </w:rPr>
      </w:pPr>
      <w:r w:rsidRPr="005A07EE">
        <w:rPr>
          <w:rFonts w:ascii="Calibri Light" w:hAnsi="Calibri Light" w:cs="Calibri Light"/>
          <w:b/>
          <w:bCs/>
          <w:color w:val="00679B"/>
          <w:sz w:val="24"/>
        </w:rPr>
        <w:t xml:space="preserve">Pharming will hold a conference call at </w:t>
      </w:r>
      <w:r>
        <w:rPr>
          <w:rFonts w:ascii="Calibri Light" w:hAnsi="Calibri Light" w:cs="Calibri Light"/>
          <w:b/>
          <w:bCs/>
          <w:color w:val="00679B"/>
          <w:sz w:val="24"/>
        </w:rPr>
        <w:t>15.00</w:t>
      </w:r>
      <w:r w:rsidRPr="005A07EE">
        <w:rPr>
          <w:rFonts w:ascii="Calibri Light" w:hAnsi="Calibri Light" w:cs="Calibri Light"/>
          <w:b/>
          <w:bCs/>
          <w:color w:val="00679B"/>
          <w:sz w:val="24"/>
        </w:rPr>
        <w:t xml:space="preserve"> CET</w:t>
      </w:r>
      <w:r>
        <w:rPr>
          <w:rFonts w:ascii="Calibri Light" w:hAnsi="Calibri Light" w:cs="Calibri Light"/>
          <w:b/>
          <w:bCs/>
          <w:color w:val="00679B"/>
          <w:sz w:val="24"/>
        </w:rPr>
        <w:t>/</w:t>
      </w:r>
      <w:r w:rsidRPr="005A07EE">
        <w:rPr>
          <w:rFonts w:ascii="Calibri Light" w:hAnsi="Calibri Light" w:cs="Calibri Light"/>
          <w:b/>
          <w:bCs/>
          <w:color w:val="00679B"/>
          <w:sz w:val="24"/>
        </w:rPr>
        <w:t xml:space="preserve"> </w:t>
      </w:r>
      <w:r>
        <w:rPr>
          <w:rFonts w:ascii="Calibri Light" w:hAnsi="Calibri Light" w:cs="Calibri Light"/>
          <w:b/>
          <w:bCs/>
          <w:color w:val="00679B"/>
          <w:sz w:val="24"/>
        </w:rPr>
        <w:t>09.00</w:t>
      </w:r>
      <w:r w:rsidRPr="005A07EE">
        <w:rPr>
          <w:rFonts w:ascii="Calibri Light" w:hAnsi="Calibri Light" w:cs="Calibri Light"/>
          <w:b/>
          <w:bCs/>
          <w:color w:val="00679B"/>
          <w:sz w:val="24"/>
        </w:rPr>
        <w:t xml:space="preserve"> EST</w:t>
      </w:r>
      <w:r>
        <w:rPr>
          <w:rFonts w:ascii="Calibri Light" w:hAnsi="Calibri Light" w:cs="Calibri Light"/>
          <w:b/>
          <w:bCs/>
          <w:color w:val="00679B"/>
          <w:sz w:val="24"/>
        </w:rPr>
        <w:t xml:space="preserve"> </w:t>
      </w:r>
      <w:r w:rsidRPr="005A07EE">
        <w:rPr>
          <w:rFonts w:ascii="Calibri Light" w:hAnsi="Calibri Light" w:cs="Calibri Light"/>
          <w:b/>
          <w:bCs/>
          <w:color w:val="00679B"/>
          <w:sz w:val="24"/>
        </w:rPr>
        <w:t xml:space="preserve">today: dial-in details can be found </w:t>
      </w:r>
      <w:r>
        <w:rPr>
          <w:rFonts w:ascii="Calibri Light" w:hAnsi="Calibri Light" w:cs="Calibri Light"/>
          <w:b/>
          <w:bCs/>
          <w:color w:val="00679B"/>
          <w:sz w:val="24"/>
        </w:rPr>
        <w:t>at the end of this announcement</w:t>
      </w:r>
    </w:p>
    <w:p w14:paraId="0FF161F1" w14:textId="77777777" w:rsidR="00AC3AAD" w:rsidRPr="004E3066" w:rsidRDefault="00AC3AAD" w:rsidP="007B5C28">
      <w:pPr>
        <w:spacing w:line="276" w:lineRule="auto"/>
        <w:jc w:val="center"/>
        <w:rPr>
          <w:rFonts w:ascii="Calibri Light" w:hAnsi="Calibri Light" w:cs="Calibri Light"/>
          <w:color w:val="276E8B" w:themeColor="accent1" w:themeShade="BF"/>
        </w:rPr>
      </w:pPr>
    </w:p>
    <w:p w14:paraId="2B7E75D9" w14:textId="5D195698" w:rsidR="00B91898" w:rsidRPr="00B56876" w:rsidRDefault="000D7B20" w:rsidP="1E638EDF">
      <w:pPr>
        <w:spacing w:before="120"/>
        <w:rPr>
          <w:rFonts w:ascii="Calibri Light" w:eastAsia="Calibri" w:hAnsi="Calibri Light" w:cs="Calibri Light"/>
          <w:color w:val="59595B"/>
          <w:szCs w:val="22"/>
        </w:rPr>
      </w:pPr>
      <w:r w:rsidRPr="1E638EDF">
        <w:rPr>
          <w:rStyle w:val="Emphasis"/>
          <w:rFonts w:ascii="Calibri Light" w:hAnsi="Calibri Light" w:cs="Calibri Light"/>
          <w:i/>
          <w:iCs/>
          <w:color w:val="00679B"/>
          <w:shd w:val="clear" w:color="auto" w:fill="FFFFFF"/>
        </w:rPr>
        <w:t>Leiden, The Netherlands</w:t>
      </w:r>
      <w:r w:rsidRPr="1E638EDF">
        <w:rPr>
          <w:rStyle w:val="Emphasis"/>
          <w:rFonts w:ascii="Calibri Light" w:hAnsi="Calibri Light" w:cs="Calibri Light"/>
          <w:color w:val="00679B"/>
          <w:shd w:val="clear" w:color="auto" w:fill="FFFFFF"/>
        </w:rPr>
        <w:t xml:space="preserve">, </w:t>
      </w:r>
      <w:r w:rsidR="008E6147">
        <w:rPr>
          <w:rStyle w:val="Emphasis"/>
          <w:rFonts w:ascii="Calibri Light" w:hAnsi="Calibri Light" w:cs="Calibri Light"/>
          <w:color w:val="00679B"/>
          <w:shd w:val="clear" w:color="auto" w:fill="FFFFFF"/>
        </w:rPr>
        <w:t>1</w:t>
      </w:r>
      <w:r w:rsidR="00361026">
        <w:rPr>
          <w:rStyle w:val="Emphasis"/>
          <w:rFonts w:ascii="Calibri Light" w:hAnsi="Calibri Light" w:cs="Calibri Light"/>
          <w:color w:val="00679B"/>
          <w:shd w:val="clear" w:color="auto" w:fill="FFFFFF"/>
        </w:rPr>
        <w:t>3</w:t>
      </w:r>
      <w:r w:rsidR="00EE3CDE">
        <w:rPr>
          <w:rStyle w:val="Emphasis"/>
          <w:rFonts w:ascii="Calibri Light" w:hAnsi="Calibri Light" w:cs="Calibri Light"/>
          <w:color w:val="00679B"/>
          <w:shd w:val="clear" w:color="auto" w:fill="FFFFFF"/>
        </w:rPr>
        <w:t xml:space="preserve"> August</w:t>
      </w:r>
      <w:r w:rsidR="005645F7">
        <w:rPr>
          <w:rStyle w:val="Emphasis"/>
          <w:rFonts w:ascii="Calibri Light" w:hAnsi="Calibri Light" w:cs="Calibri Light"/>
          <w:color w:val="00679B"/>
          <w:shd w:val="clear" w:color="auto" w:fill="FFFFFF"/>
        </w:rPr>
        <w:t xml:space="preserve"> 2019</w:t>
      </w:r>
      <w:r w:rsidRPr="1E638EDF">
        <w:rPr>
          <w:rStyle w:val="Emphasis"/>
          <w:rFonts w:ascii="Calibri Light" w:hAnsi="Calibri Light" w:cs="Calibri Light"/>
          <w:color w:val="00679B"/>
          <w:shd w:val="clear" w:color="auto" w:fill="FFFFFF"/>
        </w:rPr>
        <w:t>:</w:t>
      </w:r>
      <w:r w:rsidRPr="1E638EDF">
        <w:rPr>
          <w:rStyle w:val="apple-converted-space"/>
          <w:rFonts w:ascii="Calibri Light" w:hAnsi="Calibri Light" w:cs="Calibri Light"/>
          <w:color w:val="00679B"/>
          <w:shd w:val="clear" w:color="auto" w:fill="FFFFFF"/>
        </w:rPr>
        <w:t xml:space="preserve"> </w:t>
      </w:r>
      <w:r w:rsidRPr="1E638EDF">
        <w:rPr>
          <w:rFonts w:ascii="Calibri Light" w:eastAsia="Calibri" w:hAnsi="Calibri Light" w:cs="Calibri Light"/>
          <w:color w:val="59595B"/>
        </w:rPr>
        <w:t xml:space="preserve">Pharming Group N.V. (Euronext Amsterdam: PHARM) </w:t>
      </w:r>
      <w:r w:rsidR="006F3421" w:rsidRPr="1E638EDF">
        <w:rPr>
          <w:rFonts w:ascii="Calibri Light" w:eastAsia="Calibri" w:hAnsi="Calibri Light" w:cs="Calibri Light"/>
          <w:color w:val="59595B"/>
        </w:rPr>
        <w:t xml:space="preserve">today announced it has </w:t>
      </w:r>
      <w:r w:rsidR="00AA2943" w:rsidRPr="1E638EDF">
        <w:rPr>
          <w:rFonts w:ascii="Calibri Light" w:eastAsia="Calibri" w:hAnsi="Calibri Light" w:cs="Calibri Light"/>
          <w:color w:val="59595B"/>
        </w:rPr>
        <w:t>e</w:t>
      </w:r>
      <w:r w:rsidR="001B6F11" w:rsidRPr="1E638EDF">
        <w:rPr>
          <w:rFonts w:ascii="Calibri Light" w:eastAsia="Calibri" w:hAnsi="Calibri Light" w:cs="Calibri Light"/>
          <w:color w:val="59595B"/>
        </w:rPr>
        <w:t xml:space="preserve">ntered into a </w:t>
      </w:r>
      <w:r w:rsidR="003C567D">
        <w:rPr>
          <w:rFonts w:ascii="Calibri Light" w:eastAsia="Calibri" w:hAnsi="Calibri Light" w:cs="Calibri Light"/>
          <w:color w:val="59595B"/>
        </w:rPr>
        <w:t xml:space="preserve">development </w:t>
      </w:r>
      <w:r w:rsidR="00BC5B40">
        <w:rPr>
          <w:rFonts w:ascii="Calibri Light" w:eastAsia="Calibri" w:hAnsi="Calibri Light" w:cs="Calibri Light"/>
          <w:color w:val="59595B"/>
        </w:rPr>
        <w:t xml:space="preserve">collaboration </w:t>
      </w:r>
      <w:r w:rsidR="003C567D">
        <w:rPr>
          <w:rFonts w:ascii="Calibri Light" w:eastAsia="Calibri" w:hAnsi="Calibri Light" w:cs="Calibri Light"/>
          <w:color w:val="59595B"/>
        </w:rPr>
        <w:t>and license agreement</w:t>
      </w:r>
      <w:r w:rsidR="001B6F11" w:rsidRPr="1E638EDF">
        <w:rPr>
          <w:rFonts w:ascii="Calibri Light" w:eastAsia="Calibri" w:hAnsi="Calibri Light" w:cs="Calibri Light"/>
          <w:color w:val="59595B"/>
        </w:rPr>
        <w:t xml:space="preserve"> with Novartis </w:t>
      </w:r>
      <w:r w:rsidR="00AA737F" w:rsidRPr="1E638EDF">
        <w:rPr>
          <w:rFonts w:ascii="Calibri Light" w:eastAsia="Calibri" w:hAnsi="Calibri Light" w:cs="Calibri Light"/>
          <w:color w:val="59595B"/>
        </w:rPr>
        <w:t xml:space="preserve"> </w:t>
      </w:r>
      <w:r w:rsidR="00EB24AC" w:rsidRPr="1E638EDF">
        <w:rPr>
          <w:rFonts w:ascii="Calibri Light" w:eastAsia="Calibri" w:hAnsi="Calibri Light" w:cs="Calibri Light"/>
          <w:color w:val="59595B"/>
        </w:rPr>
        <w:t xml:space="preserve">to develop and commercialize </w:t>
      </w:r>
      <w:r w:rsidR="00AA2943" w:rsidRPr="1E638EDF">
        <w:rPr>
          <w:rFonts w:ascii="Calibri Light" w:eastAsia="Calibri" w:hAnsi="Calibri Light" w:cs="Calibri Light"/>
          <w:color w:val="59595B"/>
        </w:rPr>
        <w:t xml:space="preserve">CDZ173, a small molecule </w:t>
      </w:r>
      <w:r w:rsidR="002E5CD4" w:rsidRPr="1E638EDF">
        <w:rPr>
          <w:rFonts w:ascii="Calibri Light" w:eastAsia="Calibri" w:hAnsi="Calibri Light" w:cs="Calibri Light"/>
          <w:color w:val="59595B"/>
        </w:rPr>
        <w:t xml:space="preserve">phosphoinositide 3-kinase </w:t>
      </w:r>
      <w:r w:rsidR="00CA4F30">
        <w:rPr>
          <w:rFonts w:ascii="Calibri Light" w:eastAsia="Calibri" w:hAnsi="Calibri Light" w:cs="Calibri Light"/>
          <w:color w:val="59595B"/>
        </w:rPr>
        <w:t>d</w:t>
      </w:r>
      <w:r w:rsidR="002E5CD4" w:rsidRPr="1E638EDF">
        <w:rPr>
          <w:rFonts w:ascii="Calibri Light" w:eastAsia="Calibri" w:hAnsi="Calibri Light" w:cs="Calibri Light"/>
          <w:color w:val="59595B"/>
        </w:rPr>
        <w:t>elta (</w:t>
      </w:r>
      <w:r w:rsidR="00B56876" w:rsidRPr="1E638EDF">
        <w:rPr>
          <w:rFonts w:ascii="Calibri Light" w:eastAsia="Calibri" w:hAnsi="Calibri Light" w:cs="Calibri Light"/>
          <w:color w:val="59595B"/>
        </w:rPr>
        <w:t>PI3Kẟ</w:t>
      </w:r>
      <w:r w:rsidR="002E5CD4" w:rsidRPr="1E638EDF">
        <w:rPr>
          <w:rFonts w:ascii="Calibri Light" w:eastAsia="Calibri" w:hAnsi="Calibri Light" w:cs="Calibri Light"/>
          <w:color w:val="59595B"/>
        </w:rPr>
        <w:t>)</w:t>
      </w:r>
      <w:r w:rsidR="003D5C80" w:rsidRPr="1E638EDF">
        <w:rPr>
          <w:rFonts w:ascii="Calibri Light" w:eastAsia="Calibri" w:hAnsi="Calibri Light" w:cs="Calibri Light"/>
          <w:color w:val="59595B"/>
        </w:rPr>
        <w:t xml:space="preserve"> inhibitor </w:t>
      </w:r>
      <w:r w:rsidR="00EB24AC" w:rsidRPr="1E638EDF">
        <w:rPr>
          <w:rFonts w:ascii="Calibri Light" w:eastAsia="Calibri" w:hAnsi="Calibri Light" w:cs="Calibri Light"/>
          <w:color w:val="59595B"/>
        </w:rPr>
        <w:t xml:space="preserve">being developed by Novartis to treat patients with </w:t>
      </w:r>
      <w:r w:rsidR="00B56876" w:rsidRPr="00B56876">
        <w:rPr>
          <w:rFonts w:ascii="Calibri Light" w:hAnsi="Calibri Light" w:cs="Calibri Light"/>
          <w:snapToGrid w:val="0"/>
          <w:color w:val="59595B"/>
          <w:szCs w:val="22"/>
        </w:rPr>
        <w:t xml:space="preserve">Activated Phosphoinositide 3-kinase Delta Syndrome </w:t>
      </w:r>
      <w:r w:rsidR="00B56876">
        <w:rPr>
          <w:rFonts w:ascii="Calibri Light" w:hAnsi="Calibri Light" w:cs="Calibri Light"/>
          <w:snapToGrid w:val="0"/>
          <w:color w:val="59595B"/>
          <w:szCs w:val="22"/>
        </w:rPr>
        <w:t>(“</w:t>
      </w:r>
      <w:r w:rsidR="00EB24AC" w:rsidRPr="00B56876">
        <w:rPr>
          <w:rFonts w:ascii="Calibri Light" w:eastAsia="Calibri" w:hAnsi="Calibri Light" w:cs="Calibri Light"/>
          <w:color w:val="59595B"/>
          <w:szCs w:val="22"/>
        </w:rPr>
        <w:t>APDS</w:t>
      </w:r>
      <w:r w:rsidR="00B56876">
        <w:rPr>
          <w:rFonts w:ascii="Calibri Light" w:eastAsia="Calibri" w:hAnsi="Calibri Light" w:cs="Calibri Light"/>
          <w:color w:val="59595B"/>
          <w:szCs w:val="22"/>
        </w:rPr>
        <w:t>”)</w:t>
      </w:r>
      <w:r w:rsidR="00EB24AC" w:rsidRPr="00B56876">
        <w:rPr>
          <w:rFonts w:ascii="Calibri Light" w:eastAsia="Calibri" w:hAnsi="Calibri Light" w:cs="Calibri Light"/>
          <w:color w:val="59595B"/>
          <w:szCs w:val="22"/>
        </w:rPr>
        <w:t xml:space="preserve">.  </w:t>
      </w:r>
    </w:p>
    <w:p w14:paraId="2A82C542" w14:textId="77777777" w:rsidR="00411CB9" w:rsidRDefault="00411CB9" w:rsidP="006E68F6">
      <w:pPr>
        <w:rPr>
          <w:rFonts w:ascii="Calibri Light" w:hAnsi="Calibri Light"/>
          <w:color w:val="59595B"/>
        </w:rPr>
      </w:pPr>
    </w:p>
    <w:p w14:paraId="6BE42904" w14:textId="464F7E15" w:rsidR="00B450F8" w:rsidRDefault="1E638EDF" w:rsidP="00B450F8">
      <w:pPr>
        <w:jc w:val="left"/>
        <w:rPr>
          <w:rFonts w:ascii="Calibri Light" w:eastAsia="Calibri" w:hAnsi="Calibri Light" w:cs="Calibri Light"/>
          <w:color w:val="59595B"/>
          <w:szCs w:val="22"/>
        </w:rPr>
      </w:pPr>
      <w:r w:rsidRPr="1E638EDF">
        <w:rPr>
          <w:rFonts w:ascii="Calibri Light" w:hAnsi="Calibri Light"/>
          <w:color w:val="59595B"/>
        </w:rPr>
        <w:t xml:space="preserve">APDS is a primary immune deficiency caused by a mutation </w:t>
      </w:r>
      <w:r w:rsidR="00003717">
        <w:rPr>
          <w:rFonts w:ascii="Calibri Light" w:hAnsi="Calibri Light"/>
          <w:color w:val="59595B"/>
        </w:rPr>
        <w:t xml:space="preserve">in the PIK3CD gene </w:t>
      </w:r>
      <w:r w:rsidRPr="1E638EDF">
        <w:rPr>
          <w:rFonts w:ascii="Calibri Light" w:hAnsi="Calibri Light"/>
          <w:color w:val="59595B"/>
        </w:rPr>
        <w:t xml:space="preserve">that increases activity of </w:t>
      </w:r>
      <w:r w:rsidR="00B56876" w:rsidRPr="1E638EDF">
        <w:rPr>
          <w:rFonts w:ascii="Calibri Light" w:eastAsia="Calibri" w:hAnsi="Calibri Light" w:cs="Calibri Light"/>
          <w:color w:val="59595B"/>
        </w:rPr>
        <w:t>PI3Kẟ</w:t>
      </w:r>
      <w:r w:rsidR="00003717">
        <w:rPr>
          <w:rFonts w:ascii="Calibri Light" w:hAnsi="Calibri Light"/>
          <w:color w:val="59595B"/>
        </w:rPr>
        <w:t>, a promoter of activity in the immune system</w:t>
      </w:r>
      <w:r w:rsidRPr="1E638EDF">
        <w:rPr>
          <w:rFonts w:ascii="Calibri Light" w:hAnsi="Calibri Light"/>
          <w:color w:val="59595B"/>
        </w:rPr>
        <w:t xml:space="preserve">.  </w:t>
      </w:r>
      <w:r w:rsidR="00003717">
        <w:rPr>
          <w:rFonts w:ascii="Calibri Light" w:hAnsi="Calibri Light"/>
          <w:color w:val="59595B"/>
        </w:rPr>
        <w:t xml:space="preserve">As a result of this over-activity, the cells involved in immune response can fail to be differentiated properly, which means that sufferers are unable to react </w:t>
      </w:r>
      <w:r w:rsidR="00B56876">
        <w:rPr>
          <w:rFonts w:ascii="Calibri Light" w:hAnsi="Calibri Light"/>
          <w:color w:val="59595B"/>
        </w:rPr>
        <w:t xml:space="preserve">well </w:t>
      </w:r>
      <w:r w:rsidR="00003717">
        <w:rPr>
          <w:rFonts w:ascii="Calibri Light" w:hAnsi="Calibri Light"/>
          <w:color w:val="59595B"/>
        </w:rPr>
        <w:t xml:space="preserve">to </w:t>
      </w:r>
      <w:proofErr w:type="gramStart"/>
      <w:r w:rsidR="00003717">
        <w:rPr>
          <w:rFonts w:ascii="Calibri Light" w:hAnsi="Calibri Light"/>
          <w:color w:val="59595B"/>
        </w:rPr>
        <w:t>infections, and</w:t>
      </w:r>
      <w:proofErr w:type="gramEnd"/>
      <w:r w:rsidR="00003717">
        <w:rPr>
          <w:rFonts w:ascii="Calibri Light" w:hAnsi="Calibri Light"/>
          <w:color w:val="59595B"/>
        </w:rPr>
        <w:t xml:space="preserve"> can suffer early cell death.  </w:t>
      </w:r>
      <w:r w:rsidR="00CA4F30">
        <w:rPr>
          <w:rFonts w:ascii="Calibri Light" w:hAnsi="Calibri Light"/>
          <w:color w:val="59595B"/>
        </w:rPr>
        <w:t>Patients frequently suffer a functional inability to fight off infections, as well as developing airway and other lesions and certain cancers.  It is an ultra-rare disease with incidence rates across the world of approximately 1</w:t>
      </w:r>
      <w:r w:rsidR="00B56876">
        <w:rPr>
          <w:rFonts w:ascii="Calibri Light" w:hAnsi="Calibri Light"/>
          <w:color w:val="59595B"/>
        </w:rPr>
        <w:t>-2</w:t>
      </w:r>
      <w:r w:rsidR="00CA4F30">
        <w:rPr>
          <w:rFonts w:ascii="Calibri Light" w:hAnsi="Calibri Light"/>
          <w:color w:val="59595B"/>
        </w:rPr>
        <w:t xml:space="preserve"> per million.</w:t>
      </w:r>
      <w:r w:rsidR="00B450F8">
        <w:rPr>
          <w:rFonts w:ascii="Calibri Light" w:hAnsi="Calibri Light"/>
          <w:color w:val="59595B"/>
        </w:rPr>
        <w:t xml:space="preserve"> </w:t>
      </w:r>
      <w:r w:rsidR="00B450F8" w:rsidRPr="1E638EDF">
        <w:rPr>
          <w:rFonts w:ascii="Calibri Light" w:hAnsi="Calibri Light"/>
          <w:color w:val="59595B"/>
        </w:rPr>
        <w:t xml:space="preserve">Importantly, there is a commercially available genetic test that </w:t>
      </w:r>
      <w:r w:rsidR="00B450F8">
        <w:rPr>
          <w:rFonts w:ascii="Calibri Light" w:hAnsi="Calibri Light"/>
          <w:color w:val="59595B"/>
        </w:rPr>
        <w:t>can</w:t>
      </w:r>
      <w:r w:rsidR="00B450F8" w:rsidRPr="1E638EDF">
        <w:rPr>
          <w:rFonts w:ascii="Calibri Light" w:hAnsi="Calibri Light"/>
          <w:color w:val="59595B"/>
        </w:rPr>
        <w:t xml:space="preserve"> identify the patients who will benefit from CDZ173 making this program personalized medicine for these APDS patients</w:t>
      </w:r>
      <w:r w:rsidR="00B450F8">
        <w:rPr>
          <w:rFonts w:ascii="Calibri Light" w:hAnsi="Calibri Light"/>
          <w:color w:val="59595B"/>
        </w:rPr>
        <w:t xml:space="preserve"> and their family members who also have the mutation</w:t>
      </w:r>
      <w:r w:rsidR="00B450F8" w:rsidRPr="1E638EDF">
        <w:rPr>
          <w:rFonts w:ascii="Calibri Light" w:hAnsi="Calibri Light"/>
          <w:color w:val="59595B"/>
        </w:rPr>
        <w:t>.</w:t>
      </w:r>
    </w:p>
    <w:p w14:paraId="793A6AF6" w14:textId="77777777" w:rsidR="001F4CCE" w:rsidRDefault="001F4CCE" w:rsidP="1E638EDF">
      <w:pPr>
        <w:rPr>
          <w:rFonts w:ascii="Calibri Light" w:hAnsi="Calibri Light"/>
          <w:color w:val="59595B"/>
        </w:rPr>
      </w:pPr>
    </w:p>
    <w:p w14:paraId="5CB90AA7" w14:textId="7F832C48" w:rsidR="001F4CCE" w:rsidRDefault="001F4CCE" w:rsidP="001F4CCE">
      <w:pPr>
        <w:rPr>
          <w:rFonts w:ascii="Calibri Light" w:hAnsi="Calibri Light"/>
          <w:color w:val="59595B"/>
        </w:rPr>
      </w:pPr>
      <w:r w:rsidRPr="1E638EDF">
        <w:rPr>
          <w:rFonts w:ascii="Calibri Light" w:hAnsi="Calibri Light"/>
          <w:color w:val="59595B"/>
        </w:rPr>
        <w:t>Novartis has completed all the preclinical and clinical work to date and will continue to run the ongoing registration</w:t>
      </w:r>
      <w:r>
        <w:rPr>
          <w:rFonts w:ascii="Calibri Light" w:hAnsi="Calibri Light"/>
          <w:color w:val="59595B"/>
        </w:rPr>
        <w:t>-enabling</w:t>
      </w:r>
      <w:r w:rsidRPr="1E638EDF">
        <w:rPr>
          <w:rFonts w:ascii="Calibri Light" w:hAnsi="Calibri Light"/>
          <w:color w:val="59595B"/>
        </w:rPr>
        <w:t xml:space="preserve"> trial and the </w:t>
      </w:r>
      <w:r>
        <w:rPr>
          <w:rFonts w:ascii="Calibri Light" w:hAnsi="Calibri Light"/>
          <w:color w:val="59595B"/>
        </w:rPr>
        <w:t xml:space="preserve">ongoing </w:t>
      </w:r>
      <w:r w:rsidRPr="1E638EDF">
        <w:rPr>
          <w:rFonts w:ascii="Calibri Light" w:hAnsi="Calibri Light"/>
          <w:color w:val="59595B"/>
        </w:rPr>
        <w:t>open label extension study.  Pharming will work alongside Novartis to complete enrollment of the ongoing trial</w:t>
      </w:r>
      <w:r w:rsidR="00CF55FA">
        <w:rPr>
          <w:rFonts w:ascii="Calibri Light" w:hAnsi="Calibri Light"/>
          <w:color w:val="59595B"/>
        </w:rPr>
        <w:t>.</w:t>
      </w:r>
      <w:r w:rsidR="007442EB">
        <w:rPr>
          <w:rFonts w:ascii="Calibri Light" w:hAnsi="Calibri Light"/>
          <w:color w:val="59595B"/>
        </w:rPr>
        <w:t xml:space="preserve"> </w:t>
      </w:r>
      <w:proofErr w:type="gramStart"/>
      <w:r w:rsidRPr="1E638EDF">
        <w:rPr>
          <w:rFonts w:ascii="Calibri Light" w:hAnsi="Calibri Light"/>
          <w:color w:val="59595B"/>
        </w:rPr>
        <w:t>Upon</w:t>
      </w:r>
      <w:proofErr w:type="gramEnd"/>
      <w:r w:rsidRPr="1E638EDF">
        <w:rPr>
          <w:rFonts w:ascii="Calibri Light" w:hAnsi="Calibri Light"/>
          <w:color w:val="59595B"/>
        </w:rPr>
        <w:t xml:space="preserve"> approval</w:t>
      </w:r>
      <w:r>
        <w:rPr>
          <w:rFonts w:ascii="Calibri Light" w:hAnsi="Calibri Light"/>
          <w:color w:val="59595B"/>
        </w:rPr>
        <w:t>,</w:t>
      </w:r>
      <w:r w:rsidRPr="1E638EDF">
        <w:rPr>
          <w:rFonts w:ascii="Calibri Light" w:hAnsi="Calibri Light"/>
          <w:color w:val="59595B"/>
        </w:rPr>
        <w:t xml:space="preserve"> Pharming will commercialize CDZ173 through its existing commercial infrastructure in the US and Europe and </w:t>
      </w:r>
      <w:r>
        <w:rPr>
          <w:rFonts w:ascii="Calibri Light" w:hAnsi="Calibri Light"/>
          <w:color w:val="59595B"/>
        </w:rPr>
        <w:t>look for ways to make the drug available in</w:t>
      </w:r>
      <w:r w:rsidRPr="1E638EDF">
        <w:rPr>
          <w:rFonts w:ascii="Calibri Light" w:hAnsi="Calibri Light"/>
          <w:color w:val="59595B"/>
        </w:rPr>
        <w:t xml:space="preserve"> other markets worldwide.</w:t>
      </w:r>
    </w:p>
    <w:p w14:paraId="124A78B7" w14:textId="77777777" w:rsidR="006A7765" w:rsidRDefault="006A7765" w:rsidP="006E68F6">
      <w:pPr>
        <w:rPr>
          <w:rFonts w:ascii="Calibri Light" w:hAnsi="Calibri Light"/>
          <w:color w:val="59595B"/>
        </w:rPr>
      </w:pPr>
    </w:p>
    <w:p w14:paraId="67B2B6A3" w14:textId="77777777" w:rsidR="00CA4F30" w:rsidRPr="00CA4F30" w:rsidRDefault="00CA4F30" w:rsidP="1E638EDF">
      <w:pPr>
        <w:rPr>
          <w:rFonts w:ascii="Calibri Light" w:hAnsi="Calibri Light"/>
          <w:b/>
          <w:bCs/>
          <w:color w:val="59595B"/>
        </w:rPr>
      </w:pPr>
      <w:r w:rsidRPr="00CA4F30">
        <w:rPr>
          <w:rFonts w:ascii="Calibri Light" w:hAnsi="Calibri Light"/>
          <w:b/>
          <w:bCs/>
          <w:color w:val="59595B"/>
        </w:rPr>
        <w:t>Sijmen de Vries, Chief Executive of Pharming, said:</w:t>
      </w:r>
    </w:p>
    <w:p w14:paraId="21E8ECFC" w14:textId="0E4B229A" w:rsidR="008E6147" w:rsidRDefault="1E638EDF" w:rsidP="00CF4051">
      <w:pPr>
        <w:spacing w:before="120"/>
        <w:ind w:left="992"/>
        <w:rPr>
          <w:rFonts w:ascii="Calibri Light" w:hAnsi="Calibri Light"/>
          <w:i/>
          <w:iCs/>
          <w:color w:val="59595B"/>
        </w:rPr>
      </w:pPr>
      <w:r w:rsidRPr="00CA4F30">
        <w:rPr>
          <w:rFonts w:ascii="Calibri Light" w:hAnsi="Calibri Light"/>
          <w:i/>
          <w:iCs/>
          <w:color w:val="59595B"/>
        </w:rPr>
        <w:t>“</w:t>
      </w:r>
      <w:r w:rsidR="00CA4F30" w:rsidRPr="00CA4F30">
        <w:rPr>
          <w:rFonts w:ascii="Calibri Light" w:hAnsi="Calibri Light"/>
          <w:i/>
          <w:iCs/>
          <w:color w:val="59595B"/>
        </w:rPr>
        <w:t xml:space="preserve">This </w:t>
      </w:r>
      <w:r w:rsidR="001F4CCE">
        <w:rPr>
          <w:rFonts w:ascii="Calibri Light" w:hAnsi="Calibri Light"/>
          <w:i/>
          <w:iCs/>
          <w:color w:val="59595B"/>
        </w:rPr>
        <w:t>transaction</w:t>
      </w:r>
      <w:r w:rsidR="00CA4F30" w:rsidRPr="00CA4F30">
        <w:rPr>
          <w:rFonts w:ascii="Calibri Light" w:hAnsi="Calibri Light"/>
          <w:i/>
          <w:iCs/>
          <w:color w:val="59595B"/>
        </w:rPr>
        <w:t xml:space="preserve"> represents </w:t>
      </w:r>
      <w:r w:rsidR="001F4CCE">
        <w:rPr>
          <w:rFonts w:ascii="Calibri Light" w:hAnsi="Calibri Light"/>
          <w:i/>
          <w:iCs/>
          <w:color w:val="59595B"/>
        </w:rPr>
        <w:t>a great milestone</w:t>
      </w:r>
      <w:r w:rsidR="00CA4F30" w:rsidRPr="00CA4F30">
        <w:rPr>
          <w:rFonts w:ascii="Calibri Light" w:hAnsi="Calibri Light"/>
          <w:i/>
          <w:iCs/>
          <w:color w:val="59595B"/>
        </w:rPr>
        <w:t xml:space="preserve"> for Pharming</w:t>
      </w:r>
      <w:r w:rsidR="00CA4F30">
        <w:rPr>
          <w:rFonts w:ascii="Calibri Light" w:hAnsi="Calibri Light"/>
          <w:i/>
          <w:iCs/>
          <w:color w:val="59595B"/>
        </w:rPr>
        <w:t xml:space="preserve">. </w:t>
      </w:r>
      <w:r w:rsidR="00CA4F30" w:rsidRPr="00CA4F30">
        <w:rPr>
          <w:rFonts w:ascii="Calibri Light" w:hAnsi="Calibri Light"/>
          <w:color w:val="59595B"/>
        </w:rPr>
        <w:t xml:space="preserve"> </w:t>
      </w:r>
      <w:r w:rsidR="00CA4F30" w:rsidRPr="001F4CCE">
        <w:rPr>
          <w:rFonts w:ascii="Calibri Light" w:hAnsi="Calibri Light"/>
          <w:i/>
          <w:iCs/>
          <w:color w:val="59595B"/>
        </w:rPr>
        <w:t xml:space="preserve">The license of CDZ173 is our first step towards building off the commercial success of Ruconest in HAE to grow and diversify our portfolio.  </w:t>
      </w:r>
      <w:r w:rsidRPr="001F4CCE">
        <w:rPr>
          <w:rFonts w:ascii="Calibri Light" w:hAnsi="Calibri Light"/>
          <w:i/>
          <w:iCs/>
          <w:color w:val="59595B"/>
        </w:rPr>
        <w:t>We are very</w:t>
      </w:r>
      <w:r w:rsidRPr="00CA4F30">
        <w:rPr>
          <w:rFonts w:ascii="Calibri Light" w:hAnsi="Calibri Light"/>
          <w:i/>
          <w:iCs/>
          <w:color w:val="59595B"/>
        </w:rPr>
        <w:t xml:space="preserve"> excited by the profile of this drug and the match between </w:t>
      </w:r>
      <w:r w:rsidR="00CA4F30" w:rsidRPr="00CA4F30">
        <w:rPr>
          <w:rFonts w:ascii="Calibri Light" w:hAnsi="Calibri Light"/>
          <w:i/>
          <w:iCs/>
          <w:color w:val="59595B"/>
        </w:rPr>
        <w:t xml:space="preserve">its </w:t>
      </w:r>
      <w:r w:rsidRPr="00CA4F30">
        <w:rPr>
          <w:rFonts w:ascii="Calibri Light" w:hAnsi="Calibri Light"/>
          <w:i/>
          <w:iCs/>
          <w:color w:val="59595B"/>
        </w:rPr>
        <w:t xml:space="preserve">mechanism of action and </w:t>
      </w:r>
      <w:r w:rsidR="00CA4F30" w:rsidRPr="00CA4F30">
        <w:rPr>
          <w:rFonts w:ascii="Calibri Light" w:hAnsi="Calibri Light"/>
          <w:i/>
          <w:iCs/>
          <w:color w:val="59595B"/>
        </w:rPr>
        <w:t xml:space="preserve">the </w:t>
      </w:r>
      <w:r w:rsidRPr="00CA4F30">
        <w:rPr>
          <w:rFonts w:ascii="Calibri Light" w:hAnsi="Calibri Light"/>
          <w:i/>
          <w:iCs/>
          <w:color w:val="59595B"/>
        </w:rPr>
        <w:t>disease pathology</w:t>
      </w:r>
      <w:r w:rsidR="001F4CCE">
        <w:rPr>
          <w:rFonts w:ascii="Calibri Light" w:hAnsi="Calibri Light"/>
          <w:i/>
          <w:iCs/>
          <w:color w:val="59595B"/>
        </w:rPr>
        <w:t xml:space="preserve">, and it is a perfect strategic fit for our existing </w:t>
      </w:r>
      <w:r w:rsidR="00815601">
        <w:rPr>
          <w:rFonts w:ascii="Calibri Light" w:hAnsi="Calibri Light"/>
          <w:i/>
          <w:iCs/>
          <w:color w:val="59595B"/>
        </w:rPr>
        <w:t xml:space="preserve">medical and </w:t>
      </w:r>
      <w:r w:rsidR="001F4CCE">
        <w:rPr>
          <w:rFonts w:ascii="Calibri Light" w:hAnsi="Calibri Light"/>
          <w:i/>
          <w:iCs/>
          <w:color w:val="59595B"/>
        </w:rPr>
        <w:t>commercial infrastructure</w:t>
      </w:r>
      <w:r w:rsidRPr="00CA4F30">
        <w:rPr>
          <w:rFonts w:ascii="Calibri Light" w:hAnsi="Calibri Light"/>
          <w:i/>
          <w:iCs/>
          <w:color w:val="59595B"/>
        </w:rPr>
        <w:t xml:space="preserve">. This is a great example of solid science and deep disease understanding coming together to create a </w:t>
      </w:r>
      <w:r w:rsidR="00815601">
        <w:rPr>
          <w:rFonts w:ascii="Calibri Light" w:hAnsi="Calibri Light"/>
          <w:i/>
          <w:iCs/>
          <w:color w:val="59595B"/>
        </w:rPr>
        <w:t xml:space="preserve">real </w:t>
      </w:r>
      <w:r w:rsidR="00162E64">
        <w:rPr>
          <w:rFonts w:ascii="Calibri Light" w:hAnsi="Calibri Light"/>
          <w:i/>
          <w:iCs/>
          <w:color w:val="59595B"/>
        </w:rPr>
        <w:t xml:space="preserve">and </w:t>
      </w:r>
      <w:proofErr w:type="spellStart"/>
      <w:r w:rsidR="00BF2BB5">
        <w:rPr>
          <w:rFonts w:ascii="Calibri Light" w:hAnsi="Calibri Light"/>
          <w:i/>
          <w:iCs/>
          <w:color w:val="59595B"/>
        </w:rPr>
        <w:t>personali</w:t>
      </w:r>
      <w:r w:rsidR="007D0162">
        <w:rPr>
          <w:rFonts w:ascii="Calibri Light" w:hAnsi="Calibri Light"/>
          <w:i/>
          <w:iCs/>
          <w:color w:val="59595B"/>
        </w:rPr>
        <w:t>s</w:t>
      </w:r>
      <w:r w:rsidR="00BF2BB5">
        <w:rPr>
          <w:rFonts w:ascii="Calibri Light" w:hAnsi="Calibri Light"/>
          <w:i/>
          <w:iCs/>
          <w:color w:val="59595B"/>
        </w:rPr>
        <w:t>ed</w:t>
      </w:r>
      <w:proofErr w:type="spellEnd"/>
      <w:r w:rsidR="00BF2BB5">
        <w:rPr>
          <w:rFonts w:ascii="Calibri Light" w:hAnsi="Calibri Light"/>
          <w:i/>
          <w:iCs/>
          <w:color w:val="59595B"/>
        </w:rPr>
        <w:t xml:space="preserve"> </w:t>
      </w:r>
      <w:r w:rsidR="00DC6EBD">
        <w:rPr>
          <w:rFonts w:ascii="Calibri Light" w:hAnsi="Calibri Light"/>
          <w:i/>
          <w:iCs/>
          <w:color w:val="59595B"/>
        </w:rPr>
        <w:t>treatment option</w:t>
      </w:r>
      <w:r w:rsidRPr="00CA4F30">
        <w:rPr>
          <w:rFonts w:ascii="Calibri Light" w:hAnsi="Calibri Light"/>
          <w:i/>
          <w:iCs/>
          <w:color w:val="59595B"/>
        </w:rPr>
        <w:t xml:space="preserve"> for patients </w:t>
      </w:r>
      <w:r w:rsidR="00D90C41">
        <w:rPr>
          <w:rFonts w:ascii="Calibri Light" w:hAnsi="Calibri Light"/>
          <w:i/>
          <w:iCs/>
          <w:color w:val="59595B"/>
        </w:rPr>
        <w:t xml:space="preserve">with no </w:t>
      </w:r>
      <w:r w:rsidR="00CF2D77">
        <w:rPr>
          <w:rFonts w:ascii="Calibri Light" w:hAnsi="Calibri Light"/>
          <w:i/>
          <w:iCs/>
          <w:color w:val="59595B"/>
        </w:rPr>
        <w:t>p</w:t>
      </w:r>
      <w:r w:rsidR="005C0AE5">
        <w:rPr>
          <w:rFonts w:ascii="Calibri Light" w:hAnsi="Calibri Light"/>
          <w:i/>
          <w:iCs/>
          <w:color w:val="59595B"/>
        </w:rPr>
        <w:t>rospect</w:t>
      </w:r>
      <w:r w:rsidR="00CF2D77">
        <w:rPr>
          <w:rFonts w:ascii="Calibri Light" w:hAnsi="Calibri Light"/>
          <w:i/>
          <w:iCs/>
          <w:color w:val="59595B"/>
        </w:rPr>
        <w:t xml:space="preserve"> of </w:t>
      </w:r>
      <w:r w:rsidRPr="00CA4F30">
        <w:rPr>
          <w:rFonts w:ascii="Calibri Light" w:hAnsi="Calibri Light"/>
          <w:i/>
          <w:iCs/>
          <w:color w:val="59595B"/>
        </w:rPr>
        <w:t xml:space="preserve">treatment.  We </w:t>
      </w:r>
      <w:r w:rsidR="00CA4F30" w:rsidRPr="00CA4F30">
        <w:rPr>
          <w:rFonts w:ascii="Calibri Light" w:hAnsi="Calibri Light"/>
          <w:i/>
          <w:iCs/>
          <w:color w:val="59595B"/>
        </w:rPr>
        <w:t>are pleased to be joining</w:t>
      </w:r>
      <w:r w:rsidRPr="00CA4F30">
        <w:rPr>
          <w:rFonts w:ascii="Calibri Light" w:hAnsi="Calibri Light"/>
          <w:i/>
          <w:iCs/>
          <w:color w:val="59595B"/>
        </w:rPr>
        <w:t xml:space="preserve"> Novartis </w:t>
      </w:r>
      <w:r w:rsidR="00CA4F30" w:rsidRPr="00CA4F30">
        <w:rPr>
          <w:rFonts w:ascii="Calibri Light" w:hAnsi="Calibri Light"/>
          <w:i/>
          <w:iCs/>
          <w:color w:val="59595B"/>
        </w:rPr>
        <w:t>in</w:t>
      </w:r>
      <w:r w:rsidRPr="00CA4F30">
        <w:rPr>
          <w:rFonts w:ascii="Calibri Light" w:hAnsi="Calibri Light"/>
          <w:i/>
          <w:iCs/>
          <w:color w:val="59595B"/>
        </w:rPr>
        <w:t xml:space="preserve"> its commitment to these patients and we look forward to working alongside them to </w:t>
      </w:r>
      <w:r w:rsidR="00CA4F30" w:rsidRPr="00CA4F30">
        <w:rPr>
          <w:rFonts w:ascii="Calibri Light" w:hAnsi="Calibri Light"/>
          <w:i/>
          <w:iCs/>
          <w:color w:val="59595B"/>
        </w:rPr>
        <w:t>finish the development work on this drug.</w:t>
      </w:r>
      <w:r w:rsidRPr="00CA4F30">
        <w:rPr>
          <w:rFonts w:ascii="Calibri Light" w:hAnsi="Calibri Light"/>
          <w:i/>
          <w:iCs/>
          <w:color w:val="59595B"/>
        </w:rPr>
        <w:t>”</w:t>
      </w:r>
      <w:r w:rsidR="008E6147">
        <w:rPr>
          <w:rFonts w:ascii="Calibri Light" w:hAnsi="Calibri Light"/>
          <w:i/>
          <w:iCs/>
          <w:color w:val="59595B"/>
        </w:rPr>
        <w:br w:type="page"/>
      </w:r>
    </w:p>
    <w:p w14:paraId="0902A2B0" w14:textId="6E8E4B0F" w:rsidR="00C569B8" w:rsidRDefault="1E638EDF" w:rsidP="1E638EDF">
      <w:pPr>
        <w:rPr>
          <w:rFonts w:ascii="Calibri Light" w:hAnsi="Calibri Light"/>
          <w:color w:val="59595B"/>
        </w:rPr>
      </w:pPr>
      <w:r w:rsidRPr="1E638EDF">
        <w:rPr>
          <w:rFonts w:ascii="Calibri Light" w:hAnsi="Calibri Light"/>
          <w:color w:val="59595B"/>
        </w:rPr>
        <w:lastRenderedPageBreak/>
        <w:t>Under the terms of the agreement, Pharming will pay an upfront payment of $20 million.  Novartis is eligible to receive regulatory and commercial milestones</w:t>
      </w:r>
      <w:r w:rsidR="0042747B">
        <w:rPr>
          <w:rFonts w:ascii="Calibri Light" w:hAnsi="Calibri Light"/>
          <w:color w:val="59595B"/>
        </w:rPr>
        <w:t xml:space="preserve"> and </w:t>
      </w:r>
      <w:r w:rsidRPr="1E638EDF">
        <w:rPr>
          <w:rFonts w:ascii="Calibri Light" w:hAnsi="Calibri Light"/>
          <w:color w:val="59595B"/>
        </w:rPr>
        <w:t>will also earn tiered, double digit royalties on net sales.</w:t>
      </w:r>
    </w:p>
    <w:p w14:paraId="29887CF8" w14:textId="742F061D" w:rsidR="00C569B8" w:rsidRDefault="00C569B8" w:rsidP="00C569B8">
      <w:pPr>
        <w:rPr>
          <w:rFonts w:ascii="Calibri Light" w:hAnsi="Calibri Light"/>
          <w:color w:val="59595B"/>
        </w:rPr>
      </w:pPr>
    </w:p>
    <w:p w14:paraId="78F3A284" w14:textId="5C12DF23" w:rsidR="005147F6" w:rsidRDefault="005147F6" w:rsidP="005147F6">
      <w:pPr>
        <w:pStyle w:val="NoSpacing"/>
        <w:spacing w:line="276" w:lineRule="auto"/>
        <w:jc w:val="both"/>
        <w:rPr>
          <w:rStyle w:val="Strong"/>
          <w:rFonts w:ascii="Calibri Light" w:hAnsi="Calibri Light" w:cs="Calibri Light"/>
          <w:color w:val="00679B"/>
          <w:sz w:val="24"/>
          <w:shd w:val="clear" w:color="auto" w:fill="FFFFFF"/>
          <w:lang w:val="en-GB"/>
        </w:rPr>
      </w:pPr>
      <w:r>
        <w:rPr>
          <w:rStyle w:val="Strong"/>
          <w:rFonts w:ascii="Calibri Light" w:hAnsi="Calibri Light" w:cs="Calibri Light"/>
          <w:color w:val="00679B"/>
          <w:sz w:val="24"/>
          <w:shd w:val="clear" w:color="auto" w:fill="FFFFFF"/>
          <w:lang w:val="en-GB"/>
        </w:rPr>
        <w:t>About CDZ173 (leniolisib)</w:t>
      </w:r>
    </w:p>
    <w:p w14:paraId="47D11BC9" w14:textId="6646CE99" w:rsidR="00E7400E" w:rsidRDefault="00E7400E" w:rsidP="00D90E5C">
      <w:pPr>
        <w:jc w:val="left"/>
        <w:rPr>
          <w:rFonts w:ascii="Calibri Light" w:eastAsia="Calibri" w:hAnsi="Calibri Light" w:cs="Calibri Light"/>
          <w:color w:val="59595B"/>
          <w:szCs w:val="22"/>
        </w:rPr>
      </w:pPr>
      <w:r w:rsidRPr="00D90E5C">
        <w:rPr>
          <w:rFonts w:ascii="Calibri Light" w:eastAsia="Calibri" w:hAnsi="Calibri Light" w:cs="Calibri Light"/>
          <w:color w:val="59595B"/>
          <w:szCs w:val="22"/>
        </w:rPr>
        <w:t xml:space="preserve">CDZ173 is a </w:t>
      </w:r>
      <w:r w:rsidR="00B00DF5" w:rsidRPr="00D90E5C">
        <w:rPr>
          <w:rFonts w:ascii="Calibri Light" w:eastAsia="Calibri" w:hAnsi="Calibri Light" w:cs="Calibri Light"/>
          <w:color w:val="59595B"/>
          <w:szCs w:val="22"/>
        </w:rPr>
        <w:t xml:space="preserve">small molecule inhibitor of the delta isoform </w:t>
      </w:r>
      <w:r w:rsidR="00B23CF7" w:rsidRPr="00D90E5C">
        <w:rPr>
          <w:rFonts w:ascii="Calibri Light" w:eastAsia="Calibri" w:hAnsi="Calibri Light" w:cs="Calibri Light"/>
          <w:color w:val="59595B"/>
          <w:szCs w:val="22"/>
        </w:rPr>
        <w:t xml:space="preserve">of the 110 </w:t>
      </w:r>
      <w:proofErr w:type="spellStart"/>
      <w:r w:rsidR="00B23CF7" w:rsidRPr="00D90E5C">
        <w:rPr>
          <w:rFonts w:ascii="Calibri Light" w:eastAsia="Calibri" w:hAnsi="Calibri Light" w:cs="Calibri Light"/>
          <w:color w:val="59595B"/>
          <w:szCs w:val="22"/>
        </w:rPr>
        <w:t>kDa</w:t>
      </w:r>
      <w:proofErr w:type="spellEnd"/>
      <w:r w:rsidR="00B23CF7" w:rsidRPr="00D90E5C">
        <w:rPr>
          <w:rFonts w:ascii="Calibri Light" w:eastAsia="Calibri" w:hAnsi="Calibri Light" w:cs="Calibri Light"/>
          <w:color w:val="59595B"/>
          <w:szCs w:val="22"/>
        </w:rPr>
        <w:t xml:space="preserve"> catalytic</w:t>
      </w:r>
      <w:r w:rsidR="00970B73" w:rsidRPr="00D90E5C">
        <w:rPr>
          <w:rFonts w:ascii="Calibri Light" w:eastAsia="Calibri" w:hAnsi="Calibri Light" w:cs="Calibri Light"/>
          <w:color w:val="59595B"/>
          <w:szCs w:val="22"/>
        </w:rPr>
        <w:t xml:space="preserve"> subunit of class </w:t>
      </w:r>
      <w:r w:rsidR="009B64BF" w:rsidRPr="00D90E5C">
        <w:rPr>
          <w:rFonts w:ascii="Calibri Light" w:eastAsia="Calibri" w:hAnsi="Calibri Light" w:cs="Calibri Light"/>
          <w:color w:val="59595B"/>
          <w:szCs w:val="22"/>
        </w:rPr>
        <w:t xml:space="preserve">IA PI3K with immunomodulating </w:t>
      </w:r>
      <w:r w:rsidR="00F21B1A" w:rsidRPr="00D90E5C">
        <w:rPr>
          <w:rFonts w:ascii="Calibri Light" w:eastAsia="Calibri" w:hAnsi="Calibri Light" w:cs="Calibri Light"/>
          <w:color w:val="59595B"/>
          <w:szCs w:val="22"/>
        </w:rPr>
        <w:t xml:space="preserve">and potentially anti-neoplastic activities.  CDZ173 inhibits the production of </w:t>
      </w:r>
      <w:r w:rsidR="00194D90" w:rsidRPr="00D90E5C">
        <w:rPr>
          <w:rFonts w:ascii="Calibri Light" w:eastAsia="Calibri" w:hAnsi="Calibri Light" w:cs="Calibri Light"/>
          <w:color w:val="59595B"/>
          <w:szCs w:val="22"/>
        </w:rPr>
        <w:t>phosphatidylin</w:t>
      </w:r>
      <w:r w:rsidR="00AB326E" w:rsidRPr="00D90E5C">
        <w:rPr>
          <w:rFonts w:ascii="Calibri Light" w:eastAsia="Calibri" w:hAnsi="Calibri Light" w:cs="Calibri Light"/>
          <w:color w:val="59595B"/>
          <w:szCs w:val="22"/>
        </w:rPr>
        <w:t>ositol-3-4-5-trisphosph</w:t>
      </w:r>
      <w:r w:rsidR="00B954FC">
        <w:rPr>
          <w:rFonts w:ascii="Calibri Light" w:eastAsia="Calibri" w:hAnsi="Calibri Light" w:cs="Calibri Light"/>
          <w:color w:val="59595B"/>
          <w:szCs w:val="22"/>
        </w:rPr>
        <w:t>a</w:t>
      </w:r>
      <w:r w:rsidR="00AB326E" w:rsidRPr="00D90E5C">
        <w:rPr>
          <w:rFonts w:ascii="Calibri Light" w:eastAsia="Calibri" w:hAnsi="Calibri Light" w:cs="Calibri Light"/>
          <w:color w:val="59595B"/>
          <w:szCs w:val="22"/>
        </w:rPr>
        <w:t>te (PIP3)</w:t>
      </w:r>
      <w:r w:rsidR="00AE3C6F" w:rsidRPr="00D90E5C">
        <w:rPr>
          <w:rFonts w:ascii="Calibri Light" w:eastAsia="Calibri" w:hAnsi="Calibri Light" w:cs="Calibri Light"/>
          <w:color w:val="59595B"/>
          <w:szCs w:val="22"/>
        </w:rPr>
        <w:t>. PIP3 serves as an important cellular messenger</w:t>
      </w:r>
      <w:r w:rsidR="00CC7F6D" w:rsidRPr="00D90E5C">
        <w:rPr>
          <w:rFonts w:ascii="Calibri Light" w:eastAsia="Calibri" w:hAnsi="Calibri Light" w:cs="Calibri Light"/>
          <w:color w:val="59595B"/>
          <w:szCs w:val="22"/>
        </w:rPr>
        <w:t xml:space="preserve"> specifically activating </w:t>
      </w:r>
      <w:proofErr w:type="spellStart"/>
      <w:r w:rsidR="00CC7F6D" w:rsidRPr="00D90E5C">
        <w:rPr>
          <w:rFonts w:ascii="Calibri Light" w:eastAsia="Calibri" w:hAnsi="Calibri Light" w:cs="Calibri Light"/>
          <w:color w:val="59595B"/>
          <w:szCs w:val="22"/>
        </w:rPr>
        <w:t>Akt</w:t>
      </w:r>
      <w:proofErr w:type="spellEnd"/>
      <w:r w:rsidR="00CC7F6D" w:rsidRPr="00D90E5C">
        <w:rPr>
          <w:rFonts w:ascii="Calibri Light" w:eastAsia="Calibri" w:hAnsi="Calibri Light" w:cs="Calibri Light"/>
          <w:color w:val="59595B"/>
          <w:szCs w:val="22"/>
        </w:rPr>
        <w:t xml:space="preserve"> (via PDK1) and regulates </w:t>
      </w:r>
      <w:r w:rsidR="00243C65" w:rsidRPr="00D90E5C">
        <w:rPr>
          <w:rFonts w:ascii="Calibri Light" w:eastAsia="Calibri" w:hAnsi="Calibri Light" w:cs="Calibri Light"/>
          <w:color w:val="59595B"/>
          <w:szCs w:val="22"/>
        </w:rPr>
        <w:t xml:space="preserve">a multitude of cell functions such as proliferation, differentiation, </w:t>
      </w:r>
      <w:r w:rsidR="003671A0" w:rsidRPr="00D90E5C">
        <w:rPr>
          <w:rFonts w:ascii="Calibri Light" w:eastAsia="Calibri" w:hAnsi="Calibri Light" w:cs="Calibri Light"/>
          <w:color w:val="59595B"/>
          <w:szCs w:val="22"/>
        </w:rPr>
        <w:t xml:space="preserve">cytokine production, cell survival, angiogenesis, and metabolism.  </w:t>
      </w:r>
      <w:r w:rsidR="00FC4981" w:rsidRPr="00D90E5C">
        <w:rPr>
          <w:rFonts w:ascii="Calibri Light" w:eastAsia="Calibri" w:hAnsi="Calibri Light" w:cs="Calibri Light"/>
          <w:color w:val="59595B"/>
          <w:szCs w:val="22"/>
        </w:rPr>
        <w:t>Unlike PI3Kα and PI3Kβ which are ubiquitous</w:t>
      </w:r>
      <w:r w:rsidR="00AA361A" w:rsidRPr="00D90E5C">
        <w:rPr>
          <w:rFonts w:ascii="Calibri Light" w:eastAsia="Calibri" w:hAnsi="Calibri Light" w:cs="Calibri Light"/>
          <w:color w:val="59595B"/>
          <w:szCs w:val="22"/>
        </w:rPr>
        <w:t>ly expressed, PI3Kẟ</w:t>
      </w:r>
      <w:r w:rsidR="00AE3C6F" w:rsidRPr="00D90E5C">
        <w:rPr>
          <w:rFonts w:ascii="Calibri Light" w:eastAsia="Calibri" w:hAnsi="Calibri Light" w:cs="Calibri Light"/>
          <w:color w:val="59595B"/>
          <w:szCs w:val="22"/>
        </w:rPr>
        <w:t xml:space="preserve"> </w:t>
      </w:r>
      <w:r w:rsidR="00AA361A" w:rsidRPr="00D90E5C">
        <w:rPr>
          <w:rFonts w:ascii="Calibri Light" w:eastAsia="Calibri" w:hAnsi="Calibri Light" w:cs="Calibri Light"/>
          <w:color w:val="59595B"/>
          <w:szCs w:val="22"/>
        </w:rPr>
        <w:t>and PI3K</w:t>
      </w:r>
      <w:r w:rsidR="00E50309" w:rsidRPr="00D90E5C">
        <w:rPr>
          <w:rFonts w:ascii="Calibri Light" w:eastAsia="Calibri" w:hAnsi="Calibri Light" w:cs="Calibri Light"/>
          <w:color w:val="59595B"/>
          <w:szCs w:val="22"/>
        </w:rPr>
        <w:t>γ</w:t>
      </w:r>
      <w:r w:rsidR="008F32C4" w:rsidRPr="00D90E5C">
        <w:rPr>
          <w:rFonts w:ascii="Calibri Light" w:eastAsia="Calibri" w:hAnsi="Calibri Light" w:cs="Calibri Light"/>
          <w:color w:val="59595B"/>
          <w:szCs w:val="22"/>
        </w:rPr>
        <w:t xml:space="preserve"> are expressed </w:t>
      </w:r>
      <w:r w:rsidR="00C07BFB" w:rsidRPr="00D90E5C">
        <w:rPr>
          <w:rFonts w:ascii="Calibri Light" w:eastAsia="Calibri" w:hAnsi="Calibri Light" w:cs="Calibri Light"/>
          <w:color w:val="59595B"/>
          <w:szCs w:val="22"/>
        </w:rPr>
        <w:t xml:space="preserve">primarily </w:t>
      </w:r>
      <w:r w:rsidR="008F32C4" w:rsidRPr="00D90E5C">
        <w:rPr>
          <w:rFonts w:ascii="Calibri Light" w:eastAsia="Calibri" w:hAnsi="Calibri Light" w:cs="Calibri Light"/>
          <w:color w:val="59595B"/>
          <w:szCs w:val="22"/>
        </w:rPr>
        <w:t>in cells that are hematopo</w:t>
      </w:r>
      <w:r w:rsidR="00C07BFB" w:rsidRPr="00D90E5C">
        <w:rPr>
          <w:rFonts w:ascii="Calibri Light" w:eastAsia="Calibri" w:hAnsi="Calibri Light" w:cs="Calibri Light"/>
          <w:color w:val="59595B"/>
          <w:szCs w:val="22"/>
        </w:rPr>
        <w:t>ietic origin.</w:t>
      </w:r>
      <w:r w:rsidR="0063441D" w:rsidRPr="00D90E5C">
        <w:rPr>
          <w:rFonts w:ascii="Calibri Light" w:eastAsia="Calibri" w:hAnsi="Calibri Light" w:cs="Calibri Light"/>
          <w:color w:val="59595B"/>
          <w:szCs w:val="22"/>
        </w:rPr>
        <w:t xml:space="preserve"> The central role of PI3Kẟ</w:t>
      </w:r>
      <w:r w:rsidR="002258EE" w:rsidRPr="00D90E5C">
        <w:rPr>
          <w:rFonts w:ascii="Calibri Light" w:eastAsia="Calibri" w:hAnsi="Calibri Light" w:cs="Calibri Light"/>
          <w:color w:val="59595B"/>
          <w:szCs w:val="22"/>
        </w:rPr>
        <w:t xml:space="preserve"> in regulating numerous </w:t>
      </w:r>
      <w:r w:rsidR="003D583D" w:rsidRPr="00D90E5C">
        <w:rPr>
          <w:rFonts w:ascii="Calibri Light" w:eastAsia="Calibri" w:hAnsi="Calibri Light" w:cs="Calibri Light"/>
          <w:color w:val="59595B"/>
          <w:szCs w:val="22"/>
        </w:rPr>
        <w:t xml:space="preserve">function of </w:t>
      </w:r>
      <w:r w:rsidR="002258EE" w:rsidRPr="00D90E5C">
        <w:rPr>
          <w:rFonts w:ascii="Calibri Light" w:eastAsia="Calibri" w:hAnsi="Calibri Light" w:cs="Calibri Light"/>
          <w:color w:val="59595B"/>
          <w:szCs w:val="22"/>
        </w:rPr>
        <w:t>cell</w:t>
      </w:r>
      <w:r w:rsidR="003D583D" w:rsidRPr="00D90E5C">
        <w:rPr>
          <w:rFonts w:ascii="Calibri Light" w:eastAsia="Calibri" w:hAnsi="Calibri Light" w:cs="Calibri Light"/>
          <w:color w:val="59595B"/>
          <w:szCs w:val="22"/>
        </w:rPr>
        <w:t>s of the adaptive immune system (B-cells</w:t>
      </w:r>
      <w:r w:rsidR="007E43B2" w:rsidRPr="00D90E5C">
        <w:rPr>
          <w:rFonts w:ascii="Calibri Light" w:eastAsia="Calibri" w:hAnsi="Calibri Light" w:cs="Calibri Light"/>
          <w:color w:val="59595B"/>
          <w:szCs w:val="22"/>
        </w:rPr>
        <w:t xml:space="preserve"> and to a lesser extent T cells) as well as </w:t>
      </w:r>
      <w:r w:rsidR="00233A32" w:rsidRPr="00D90E5C">
        <w:rPr>
          <w:rFonts w:ascii="Calibri Light" w:eastAsia="Calibri" w:hAnsi="Calibri Light" w:cs="Calibri Light"/>
          <w:color w:val="59595B"/>
          <w:szCs w:val="22"/>
        </w:rPr>
        <w:t xml:space="preserve">the innate immune system (neutrophil, mast cells, </w:t>
      </w:r>
      <w:r w:rsidR="00DF2C12" w:rsidRPr="00D90E5C">
        <w:rPr>
          <w:rFonts w:ascii="Calibri Light" w:eastAsia="Calibri" w:hAnsi="Calibri Light" w:cs="Calibri Light"/>
          <w:color w:val="59595B"/>
          <w:szCs w:val="22"/>
        </w:rPr>
        <w:t xml:space="preserve">and </w:t>
      </w:r>
      <w:r w:rsidR="00233A32" w:rsidRPr="00D90E5C">
        <w:rPr>
          <w:rFonts w:ascii="Calibri Light" w:eastAsia="Calibri" w:hAnsi="Calibri Light" w:cs="Calibri Light"/>
          <w:color w:val="59595B"/>
          <w:szCs w:val="22"/>
        </w:rPr>
        <w:t>macrophages)</w:t>
      </w:r>
      <w:r w:rsidR="002258EE" w:rsidRPr="00D90E5C">
        <w:rPr>
          <w:rFonts w:ascii="Calibri Light" w:eastAsia="Calibri" w:hAnsi="Calibri Light" w:cs="Calibri Light"/>
          <w:color w:val="59595B"/>
          <w:szCs w:val="22"/>
        </w:rPr>
        <w:t xml:space="preserve"> </w:t>
      </w:r>
      <w:r w:rsidR="00DF2C12" w:rsidRPr="00D90E5C">
        <w:rPr>
          <w:rFonts w:ascii="Calibri Light" w:eastAsia="Calibri" w:hAnsi="Calibri Light" w:cs="Calibri Light"/>
          <w:color w:val="59595B"/>
          <w:szCs w:val="22"/>
        </w:rPr>
        <w:t>strongly indicates the PI3Kẟ is a va</w:t>
      </w:r>
      <w:r w:rsidR="00B27F70" w:rsidRPr="00D90E5C">
        <w:rPr>
          <w:rFonts w:ascii="Calibri Light" w:eastAsia="Calibri" w:hAnsi="Calibri Light" w:cs="Calibri Light"/>
          <w:color w:val="59595B"/>
          <w:szCs w:val="22"/>
        </w:rPr>
        <w:t xml:space="preserve">lid and potentially effective therapeutic target for </w:t>
      </w:r>
      <w:r w:rsidR="00D90E5C" w:rsidRPr="00D90E5C">
        <w:rPr>
          <w:rFonts w:ascii="Calibri Light" w:eastAsia="Calibri" w:hAnsi="Calibri Light" w:cs="Calibri Light"/>
          <w:color w:val="59595B"/>
          <w:szCs w:val="22"/>
        </w:rPr>
        <w:t xml:space="preserve">several immune diseases </w:t>
      </w:r>
    </w:p>
    <w:p w14:paraId="7C888F06" w14:textId="1DE3C36E" w:rsidR="00D90E5C" w:rsidRDefault="00D90E5C" w:rsidP="00D90E5C">
      <w:pPr>
        <w:jc w:val="left"/>
        <w:rPr>
          <w:rFonts w:ascii="Calibri Light" w:eastAsia="Calibri" w:hAnsi="Calibri Light" w:cs="Calibri Light"/>
          <w:color w:val="59595B"/>
          <w:szCs w:val="22"/>
        </w:rPr>
      </w:pPr>
    </w:p>
    <w:p w14:paraId="45CD1C51" w14:textId="748BB894" w:rsidR="00D90E5C" w:rsidRPr="00D90E5C" w:rsidRDefault="00D90E5C" w:rsidP="00D90E5C">
      <w:pPr>
        <w:jc w:val="left"/>
        <w:rPr>
          <w:rFonts w:ascii="Calibri Light" w:eastAsia="Calibri" w:hAnsi="Calibri Light" w:cs="Calibri Light"/>
          <w:color w:val="59595B"/>
          <w:szCs w:val="22"/>
        </w:rPr>
      </w:pPr>
      <w:r>
        <w:rPr>
          <w:rFonts w:ascii="Calibri Light" w:eastAsia="Calibri" w:hAnsi="Calibri Light" w:cs="Calibri Light"/>
          <w:color w:val="59595B"/>
          <w:szCs w:val="22"/>
        </w:rPr>
        <w:t>CDZ173 is being studied in a registration</w:t>
      </w:r>
      <w:r w:rsidR="003C567D">
        <w:rPr>
          <w:rFonts w:ascii="Calibri Light" w:eastAsia="Calibri" w:hAnsi="Calibri Light" w:cs="Calibri Light"/>
          <w:color w:val="59595B"/>
          <w:szCs w:val="22"/>
        </w:rPr>
        <w:t>-enabling Phase II/III trial</w:t>
      </w:r>
      <w:r w:rsidR="00EE5D8F">
        <w:rPr>
          <w:rFonts w:ascii="Calibri Light" w:eastAsia="Calibri" w:hAnsi="Calibri Light" w:cs="Calibri Light"/>
          <w:color w:val="59595B"/>
          <w:szCs w:val="22"/>
        </w:rPr>
        <w:t xml:space="preserve"> which is currently enrolling patients in clinical sites in the US and Europe.</w:t>
      </w:r>
      <w:r w:rsidR="00A640F5">
        <w:rPr>
          <w:rFonts w:ascii="Calibri Light" w:eastAsia="Calibri" w:hAnsi="Calibri Light" w:cs="Calibri Light"/>
          <w:color w:val="59595B"/>
          <w:szCs w:val="22"/>
        </w:rPr>
        <w:t xml:space="preserve">  To date, CDZ173 has proven to be safe and well tolerated in </w:t>
      </w:r>
      <w:r w:rsidR="00A84F15">
        <w:rPr>
          <w:rFonts w:ascii="Calibri Light" w:eastAsia="Calibri" w:hAnsi="Calibri Light" w:cs="Calibri Light"/>
          <w:color w:val="59595B"/>
          <w:szCs w:val="22"/>
        </w:rPr>
        <w:t xml:space="preserve">healthy subjects </w:t>
      </w:r>
      <w:r w:rsidR="003C567D">
        <w:rPr>
          <w:rFonts w:ascii="Calibri Light" w:eastAsia="Calibri" w:hAnsi="Calibri Light" w:cs="Calibri Light"/>
          <w:color w:val="59595B"/>
          <w:szCs w:val="22"/>
        </w:rPr>
        <w:t>as well as the</w:t>
      </w:r>
      <w:r w:rsidR="00A84F15">
        <w:rPr>
          <w:rFonts w:ascii="Calibri Light" w:eastAsia="Calibri" w:hAnsi="Calibri Light" w:cs="Calibri Light"/>
          <w:color w:val="59595B"/>
          <w:szCs w:val="22"/>
        </w:rPr>
        <w:t xml:space="preserve"> APDS patients</w:t>
      </w:r>
      <w:r w:rsidR="00CE29BE">
        <w:rPr>
          <w:rFonts w:ascii="Calibri Light" w:eastAsia="Calibri" w:hAnsi="Calibri Light" w:cs="Calibri Light"/>
          <w:color w:val="59595B"/>
          <w:szCs w:val="22"/>
        </w:rPr>
        <w:t xml:space="preserve"> during the P1, first in human trial and the ongoing open label extension trial</w:t>
      </w:r>
      <w:r w:rsidR="00A84F15">
        <w:rPr>
          <w:rFonts w:ascii="Calibri Light" w:eastAsia="Calibri" w:hAnsi="Calibri Light" w:cs="Calibri Light"/>
          <w:color w:val="59595B"/>
          <w:szCs w:val="22"/>
        </w:rPr>
        <w:t>.</w:t>
      </w:r>
    </w:p>
    <w:p w14:paraId="03F4F3DF" w14:textId="77777777" w:rsidR="005147F6" w:rsidRDefault="005147F6" w:rsidP="005147F6">
      <w:pPr>
        <w:pStyle w:val="NoSpacing"/>
        <w:spacing w:line="276" w:lineRule="auto"/>
        <w:jc w:val="both"/>
        <w:rPr>
          <w:rFonts w:ascii="Calibri Light" w:hAnsi="Calibri Light" w:cs="Calibri Light"/>
          <w:i/>
          <w:color w:val="59595B"/>
        </w:rPr>
      </w:pPr>
    </w:p>
    <w:p w14:paraId="694BF949" w14:textId="0112C6DD" w:rsidR="00C86E9C" w:rsidRDefault="00C86E9C" w:rsidP="00C86E9C">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t xml:space="preserve">About </w:t>
      </w:r>
      <w:r>
        <w:rPr>
          <w:rFonts w:ascii="Calibri Light" w:hAnsi="Calibri Light" w:cs="Calibri Light"/>
          <w:b/>
          <w:bCs/>
          <w:snapToGrid w:val="0"/>
          <w:color w:val="00679B"/>
          <w:sz w:val="24"/>
        </w:rPr>
        <w:t>A</w:t>
      </w:r>
      <w:r w:rsidRPr="009434B9">
        <w:rPr>
          <w:rFonts w:ascii="Calibri Light" w:hAnsi="Calibri Light" w:cs="Calibri Light"/>
          <w:b/>
          <w:bCs/>
          <w:snapToGrid w:val="0"/>
          <w:color w:val="00679B"/>
          <w:sz w:val="24"/>
        </w:rPr>
        <w:t>ctivated Phosphoinositide 3-kinase Delta Syndrome (APDS)</w:t>
      </w:r>
    </w:p>
    <w:p w14:paraId="35AF2E4A" w14:textId="77777777" w:rsidR="00003717" w:rsidRDefault="00003717" w:rsidP="00940C48">
      <w:pPr>
        <w:jc w:val="left"/>
        <w:rPr>
          <w:rFonts w:ascii="Calibri Light" w:eastAsia="Calibri" w:hAnsi="Calibri Light" w:cs="Calibri Light"/>
          <w:color w:val="59595B"/>
          <w:szCs w:val="22"/>
        </w:rPr>
      </w:pPr>
    </w:p>
    <w:p w14:paraId="7BF1C9E0" w14:textId="17DD25E6" w:rsidR="00940C48" w:rsidRDefault="00940C48" w:rsidP="00940C48">
      <w:pPr>
        <w:jc w:val="left"/>
        <w:rPr>
          <w:rFonts w:ascii="Calibri Light" w:eastAsia="Calibri" w:hAnsi="Calibri Light" w:cs="Calibri Light"/>
          <w:color w:val="59595B"/>
          <w:szCs w:val="22"/>
        </w:rPr>
      </w:pPr>
      <w:r>
        <w:rPr>
          <w:rFonts w:ascii="Calibri Light" w:eastAsia="Calibri" w:hAnsi="Calibri Light" w:cs="Calibri Light"/>
          <w:color w:val="59595B"/>
          <w:szCs w:val="22"/>
        </w:rPr>
        <w:t>A</w:t>
      </w:r>
      <w:r w:rsidRPr="00940C48">
        <w:rPr>
          <w:rFonts w:ascii="Calibri Light" w:eastAsia="Calibri" w:hAnsi="Calibri Light" w:cs="Calibri Light"/>
          <w:color w:val="59595B"/>
          <w:szCs w:val="22"/>
        </w:rPr>
        <w:t xml:space="preserve">ctivated PI3K-delta syndrome is a disorder that impairs the immune system. Individuals with this condition often have low numbers of white blood cells (lymphopenia), particularly B cells and T cells. Normally, these cells recognize and attack foreign invaders, such as viruses and bacteria, to prevent infection. Beginning in childhood, people with </w:t>
      </w:r>
      <w:r w:rsidR="00003717">
        <w:rPr>
          <w:rFonts w:ascii="Calibri Light" w:eastAsia="Calibri" w:hAnsi="Calibri Light" w:cs="Calibri Light"/>
          <w:color w:val="59595B"/>
          <w:szCs w:val="22"/>
        </w:rPr>
        <w:t>APDS</w:t>
      </w:r>
      <w:r w:rsidRPr="00940C48">
        <w:rPr>
          <w:rFonts w:ascii="Calibri Light" w:eastAsia="Calibri" w:hAnsi="Calibri Light" w:cs="Calibri Light"/>
          <w:color w:val="59595B"/>
          <w:szCs w:val="22"/>
        </w:rPr>
        <w:t xml:space="preserve"> develop recurrent infections, particularly in the lungs, sinuses, and ears. Over time, recurrent respiratory tract infections can lead to a condition called bronchiectasis, which damages the passages leading from the windpipe to the lungs (bronchi) and can cause breathing problems. People with activated PI3K-delta syndrome may also have chronic active viral infections, commonly Epstein-Barr virus or cytomegalovirus infections.</w:t>
      </w:r>
      <w:r w:rsidR="003C567D">
        <w:rPr>
          <w:rFonts w:ascii="Calibri Light" w:eastAsia="Calibri" w:hAnsi="Calibri Light" w:cs="Calibri Light"/>
          <w:color w:val="59595B"/>
          <w:szCs w:val="22"/>
        </w:rPr>
        <w:t xml:space="preserve">  Sufferers also frequently develop lymphomas and other cancers.</w:t>
      </w:r>
    </w:p>
    <w:p w14:paraId="0A36AD65" w14:textId="0B9236AF" w:rsidR="00003717" w:rsidRDefault="00003717" w:rsidP="00940C48">
      <w:pPr>
        <w:jc w:val="left"/>
        <w:rPr>
          <w:rFonts w:ascii="Calibri Light" w:eastAsia="Calibri" w:hAnsi="Calibri Light" w:cs="Calibri Light"/>
          <w:color w:val="59595B"/>
          <w:szCs w:val="22"/>
        </w:rPr>
      </w:pPr>
    </w:p>
    <w:p w14:paraId="0348970B" w14:textId="377CF34C" w:rsidR="00003717" w:rsidRPr="003C567D" w:rsidRDefault="00003717" w:rsidP="003C567D">
      <w:pPr>
        <w:rPr>
          <w:rFonts w:ascii="Calibri Light" w:eastAsia="Calibri" w:hAnsi="Calibri Light" w:cs="Calibri Light"/>
          <w:color w:val="59595B"/>
          <w:szCs w:val="22"/>
        </w:rPr>
      </w:pPr>
      <w:r w:rsidRPr="1E638EDF">
        <w:rPr>
          <w:rFonts w:ascii="Calibri Light" w:hAnsi="Calibri Light"/>
          <w:color w:val="59595B"/>
        </w:rPr>
        <w:t xml:space="preserve">APDS is a primary immune deficiency caused by a mutation </w:t>
      </w:r>
      <w:r>
        <w:rPr>
          <w:rFonts w:ascii="Calibri Light" w:hAnsi="Calibri Light"/>
          <w:color w:val="59595B"/>
        </w:rPr>
        <w:t xml:space="preserve">in the PIK3CD gene </w:t>
      </w:r>
      <w:r w:rsidRPr="1E638EDF">
        <w:rPr>
          <w:rFonts w:ascii="Calibri Light" w:hAnsi="Calibri Light"/>
          <w:color w:val="59595B"/>
        </w:rPr>
        <w:t>that increases activity of phosphoinositide-3-kinase delta</w:t>
      </w:r>
      <w:r>
        <w:rPr>
          <w:rFonts w:ascii="Calibri Light" w:hAnsi="Calibri Light"/>
          <w:color w:val="59595B"/>
        </w:rPr>
        <w:t>, a promoter of activity in the immune system</w:t>
      </w:r>
      <w:r w:rsidRPr="1E638EDF">
        <w:rPr>
          <w:rFonts w:ascii="Calibri Light" w:hAnsi="Calibri Light"/>
          <w:color w:val="59595B"/>
        </w:rPr>
        <w:t xml:space="preserve">.  </w:t>
      </w:r>
      <w:r w:rsidR="003C567D">
        <w:rPr>
          <w:rFonts w:ascii="Calibri Light" w:hAnsi="Calibri Light"/>
          <w:color w:val="59595B"/>
        </w:rPr>
        <w:t xml:space="preserve">Such a mutation which increases the activity of a molecule rather than suppressing it is called a gain-of-function mutation.  </w:t>
      </w:r>
      <w:r>
        <w:rPr>
          <w:rFonts w:ascii="Calibri Light" w:hAnsi="Calibri Light"/>
          <w:color w:val="59595B"/>
        </w:rPr>
        <w:t xml:space="preserve">As a result of this over-activity, the B and T cells involved in immune response can fail to be differentiated properly, which means that sufferers are unable to </w:t>
      </w:r>
      <w:r w:rsidR="003C567D">
        <w:rPr>
          <w:rFonts w:ascii="Calibri Light" w:hAnsi="Calibri Light"/>
          <w:color w:val="59595B"/>
        </w:rPr>
        <w:t xml:space="preserve">recruit them to help </w:t>
      </w:r>
      <w:r>
        <w:rPr>
          <w:rFonts w:ascii="Calibri Light" w:hAnsi="Calibri Light"/>
          <w:color w:val="59595B"/>
        </w:rPr>
        <w:t xml:space="preserve">react to </w:t>
      </w:r>
      <w:proofErr w:type="gramStart"/>
      <w:r>
        <w:rPr>
          <w:rFonts w:ascii="Calibri Light" w:hAnsi="Calibri Light"/>
          <w:color w:val="59595B"/>
        </w:rPr>
        <w:t>infections, and</w:t>
      </w:r>
      <w:proofErr w:type="gramEnd"/>
      <w:r>
        <w:rPr>
          <w:rFonts w:ascii="Calibri Light" w:hAnsi="Calibri Light"/>
          <w:color w:val="59595B"/>
        </w:rPr>
        <w:t xml:space="preserve"> can suffer early cell death.  The effect can be seen in epithelial cells and nervous system cells as well as those regulating cell adhesion (such as airway mucosal layer cells</w:t>
      </w:r>
      <w:r w:rsidR="003C567D">
        <w:rPr>
          <w:rFonts w:ascii="Calibri Light" w:hAnsi="Calibri Light"/>
          <w:color w:val="59595B"/>
        </w:rPr>
        <w:t>)</w:t>
      </w:r>
      <w:r>
        <w:rPr>
          <w:rFonts w:ascii="Calibri Light" w:hAnsi="Calibri Light"/>
          <w:color w:val="59595B"/>
        </w:rPr>
        <w:t xml:space="preserve">.  </w:t>
      </w:r>
      <w:r w:rsidRPr="00003717">
        <w:rPr>
          <w:rFonts w:ascii="Calibri Light" w:hAnsi="Calibri Light"/>
          <w:color w:val="59595B"/>
        </w:rPr>
        <w:t>By</w:t>
      </w:r>
      <w:r w:rsidRPr="1E638EDF">
        <w:rPr>
          <w:rFonts w:ascii="Calibri Light" w:hAnsi="Calibri Light"/>
          <w:color w:val="59595B"/>
        </w:rPr>
        <w:t xml:space="preserve"> selectively inhibiting the </w:t>
      </w:r>
      <w:r w:rsidR="003C567D">
        <w:rPr>
          <w:rFonts w:ascii="Calibri Light" w:hAnsi="Calibri Light"/>
          <w:color w:val="59595B"/>
        </w:rPr>
        <w:t xml:space="preserve">enzyme </w:t>
      </w:r>
      <w:r w:rsidRPr="1E638EDF">
        <w:rPr>
          <w:rFonts w:ascii="Calibri Light" w:hAnsi="Calibri Light"/>
          <w:color w:val="59595B"/>
        </w:rPr>
        <w:t>p110</w:t>
      </w:r>
      <w:r w:rsidRPr="1E638EDF">
        <w:rPr>
          <w:rFonts w:ascii="Calibri Light" w:hAnsi="Calibri Light" w:cs="Calibri Light"/>
          <w:color w:val="59595B"/>
        </w:rPr>
        <w:t>ẟ</w:t>
      </w:r>
      <w:r w:rsidRPr="1E638EDF">
        <w:rPr>
          <w:rFonts w:ascii="Calibri Light" w:hAnsi="Calibri Light"/>
          <w:color w:val="59595B"/>
        </w:rPr>
        <w:t xml:space="preserve"> which </w:t>
      </w:r>
      <w:r w:rsidR="003C567D">
        <w:rPr>
          <w:rFonts w:ascii="Calibri Light" w:hAnsi="Calibri Light"/>
          <w:color w:val="59595B"/>
        </w:rPr>
        <w:t xml:space="preserve">activates </w:t>
      </w:r>
      <w:r w:rsidRPr="1E638EDF">
        <w:rPr>
          <w:rFonts w:ascii="Calibri Light" w:hAnsi="Calibri Light"/>
          <w:color w:val="59595B"/>
        </w:rPr>
        <w:t>the gain</w:t>
      </w:r>
      <w:r w:rsidR="003C567D">
        <w:rPr>
          <w:rFonts w:ascii="Calibri Light" w:hAnsi="Calibri Light"/>
          <w:color w:val="59595B"/>
        </w:rPr>
        <w:t>-</w:t>
      </w:r>
      <w:r w:rsidRPr="1E638EDF">
        <w:rPr>
          <w:rFonts w:ascii="Calibri Light" w:hAnsi="Calibri Light"/>
          <w:color w:val="59595B"/>
        </w:rPr>
        <w:t>of</w:t>
      </w:r>
      <w:r w:rsidR="003C567D">
        <w:rPr>
          <w:rFonts w:ascii="Calibri Light" w:hAnsi="Calibri Light"/>
          <w:color w:val="59595B"/>
        </w:rPr>
        <w:t>-</w:t>
      </w:r>
      <w:r w:rsidRPr="1E638EDF">
        <w:rPr>
          <w:rFonts w:ascii="Calibri Light" w:hAnsi="Calibri Light"/>
          <w:color w:val="59595B"/>
        </w:rPr>
        <w:t xml:space="preserve">function mutation </w:t>
      </w:r>
      <w:r w:rsidR="003C567D">
        <w:rPr>
          <w:rFonts w:ascii="Calibri Light" w:hAnsi="Calibri Light"/>
          <w:color w:val="59595B"/>
        </w:rPr>
        <w:t>caus</w:t>
      </w:r>
      <w:r w:rsidRPr="1E638EDF">
        <w:rPr>
          <w:rFonts w:ascii="Calibri Light" w:hAnsi="Calibri Light"/>
          <w:color w:val="59595B"/>
        </w:rPr>
        <w:t xml:space="preserve">ing APDS, CDZ173 </w:t>
      </w:r>
      <w:r w:rsidRPr="003C567D">
        <w:rPr>
          <w:rFonts w:ascii="Calibri Light" w:hAnsi="Calibri Light" w:cs="Calibri Light"/>
          <w:color w:val="59595B"/>
          <w:szCs w:val="22"/>
        </w:rPr>
        <w:t>specifically targets the causative factor of APDS</w:t>
      </w:r>
      <w:r w:rsidR="003C567D" w:rsidRPr="003C567D">
        <w:rPr>
          <w:rFonts w:ascii="Calibri Light" w:hAnsi="Calibri Light" w:cs="Calibri Light"/>
          <w:color w:val="59595B"/>
          <w:szCs w:val="22"/>
        </w:rPr>
        <w:t xml:space="preserve">.  For this reason, APDS is sometimes called </w:t>
      </w:r>
      <w:r w:rsidR="003C567D">
        <w:rPr>
          <w:rFonts w:ascii="Calibri Light" w:hAnsi="Calibri Light" w:cs="Calibri Light"/>
          <w:color w:val="59595B"/>
          <w:szCs w:val="22"/>
        </w:rPr>
        <w:t>“</w:t>
      </w:r>
      <w:r w:rsidR="003C567D" w:rsidRPr="003C567D">
        <w:rPr>
          <w:rFonts w:ascii="Calibri Light" w:hAnsi="Calibri Light" w:cs="Calibri Light"/>
          <w:color w:val="59595B"/>
          <w:szCs w:val="22"/>
          <w:shd w:val="clear" w:color="auto" w:fill="FFFFFF"/>
        </w:rPr>
        <w:t xml:space="preserve">p110 delta activating </w:t>
      </w:r>
      <w:r w:rsidR="003C567D" w:rsidRPr="003C567D">
        <w:rPr>
          <w:rFonts w:ascii="Calibri Light" w:eastAsiaTheme="majorEastAsia" w:hAnsi="Calibri Light" w:cs="Calibri Light"/>
          <w:color w:val="59595B"/>
          <w:szCs w:val="22"/>
        </w:rPr>
        <w:t>mutation</w:t>
      </w:r>
      <w:r w:rsidR="003C567D" w:rsidRPr="003C567D">
        <w:rPr>
          <w:rFonts w:ascii="Calibri Light" w:hAnsi="Calibri Light" w:cs="Calibri Light"/>
          <w:color w:val="59595B"/>
          <w:szCs w:val="22"/>
          <w:shd w:val="clear" w:color="auto" w:fill="FFFFFF"/>
        </w:rPr>
        <w:t xml:space="preserve"> causing senescent </w:t>
      </w:r>
      <w:r w:rsidR="003C567D" w:rsidRPr="003C567D">
        <w:rPr>
          <w:rFonts w:ascii="Calibri Light" w:eastAsiaTheme="majorEastAsia" w:hAnsi="Calibri Light" w:cs="Calibri Light"/>
          <w:color w:val="59595B"/>
          <w:szCs w:val="22"/>
        </w:rPr>
        <w:t>T cells</w:t>
      </w:r>
      <w:r w:rsidR="003C567D" w:rsidRPr="003C567D">
        <w:rPr>
          <w:rFonts w:ascii="Calibri Light" w:hAnsi="Calibri Light" w:cs="Calibri Light"/>
          <w:color w:val="59595B"/>
          <w:szCs w:val="22"/>
          <w:shd w:val="clear" w:color="auto" w:fill="FFFFFF"/>
        </w:rPr>
        <w:t xml:space="preserve">, </w:t>
      </w:r>
      <w:r w:rsidR="003C567D" w:rsidRPr="003C567D">
        <w:rPr>
          <w:rFonts w:ascii="Calibri Light" w:eastAsiaTheme="majorEastAsia" w:hAnsi="Calibri Light" w:cs="Calibri Light"/>
          <w:color w:val="59595B"/>
          <w:szCs w:val="22"/>
        </w:rPr>
        <w:t>lymphadenopathy</w:t>
      </w:r>
      <w:r w:rsidR="003C567D" w:rsidRPr="003C567D">
        <w:rPr>
          <w:rFonts w:ascii="Calibri Light" w:hAnsi="Calibri Light" w:cs="Calibri Light"/>
          <w:color w:val="59595B"/>
          <w:szCs w:val="22"/>
          <w:shd w:val="clear" w:color="auto" w:fill="FFFFFF"/>
        </w:rPr>
        <w:t xml:space="preserve">, and </w:t>
      </w:r>
      <w:r w:rsidR="003C567D" w:rsidRPr="003C567D">
        <w:rPr>
          <w:rFonts w:ascii="Calibri Light" w:eastAsiaTheme="majorEastAsia" w:hAnsi="Calibri Light" w:cs="Calibri Light"/>
          <w:color w:val="59595B"/>
          <w:szCs w:val="22"/>
        </w:rPr>
        <w:t>immunodeficiency</w:t>
      </w:r>
      <w:r w:rsidR="003C567D">
        <w:rPr>
          <w:rFonts w:ascii="Calibri Light" w:eastAsiaTheme="majorEastAsia" w:hAnsi="Calibri Light" w:cs="Calibri Light"/>
          <w:color w:val="59595B"/>
          <w:szCs w:val="22"/>
        </w:rPr>
        <w:t>”, or PASLI</w:t>
      </w:r>
      <w:r w:rsidR="003C567D" w:rsidRPr="003C567D">
        <w:rPr>
          <w:rFonts w:ascii="Calibri Light" w:hAnsi="Calibri Light" w:cs="Calibri Light"/>
          <w:color w:val="59595B"/>
          <w:szCs w:val="22"/>
          <w:shd w:val="clear" w:color="auto" w:fill="FFFFFF"/>
        </w:rPr>
        <w:t>.</w:t>
      </w:r>
    </w:p>
    <w:p w14:paraId="05DA94B5" w14:textId="77777777" w:rsidR="00940C48" w:rsidRPr="00940C48" w:rsidRDefault="00940C48" w:rsidP="00940C48">
      <w:pPr>
        <w:jc w:val="left"/>
        <w:rPr>
          <w:rFonts w:ascii="Calibri Light" w:eastAsia="Calibri" w:hAnsi="Calibri Light" w:cs="Calibri Light"/>
          <w:color w:val="59595B"/>
          <w:szCs w:val="22"/>
        </w:rPr>
      </w:pPr>
    </w:p>
    <w:p w14:paraId="4F57D083" w14:textId="77777777" w:rsidR="003C567D" w:rsidRDefault="00940C48" w:rsidP="00940C48">
      <w:pPr>
        <w:jc w:val="left"/>
        <w:rPr>
          <w:rFonts w:ascii="Calibri Light" w:hAnsi="Calibri Light"/>
          <w:color w:val="59595B"/>
        </w:rPr>
      </w:pPr>
      <w:r w:rsidRPr="00940C48">
        <w:rPr>
          <w:rFonts w:ascii="Calibri Light" w:eastAsia="Calibri" w:hAnsi="Calibri Light" w:cs="Calibri Light"/>
          <w:color w:val="59595B"/>
          <w:szCs w:val="22"/>
        </w:rPr>
        <w:t>Another possible feature of activated PI3K-delta syndrome is abnormal clumping of white blood cells. These clumps can lead to enlarged lymph nodes (lymphadenopathy), or the white blood cells can build up to form solid masses (nodular lymphoid hyperplasia), usually in the moist lining of the airways or intestines. While lymphadenopathy and nodular lymphoid hyperplasia are noncancerous (benign), activated PI3K-delta syndrome also increases the risk of developing a form of cancer called B-cell lymphoma.</w:t>
      </w:r>
      <w:r w:rsidR="003C567D" w:rsidRPr="003C567D">
        <w:rPr>
          <w:rFonts w:ascii="Calibri Light" w:hAnsi="Calibri Light"/>
          <w:color w:val="59595B"/>
        </w:rPr>
        <w:t xml:space="preserve"> </w:t>
      </w:r>
    </w:p>
    <w:p w14:paraId="44A515D8" w14:textId="77777777" w:rsidR="00802ED9" w:rsidRDefault="00802ED9" w:rsidP="00802ED9">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lastRenderedPageBreak/>
        <w:t xml:space="preserve">About </w:t>
      </w:r>
      <w:r w:rsidRPr="00802ED9">
        <w:rPr>
          <w:rStyle w:val="Strong"/>
          <w:rFonts w:ascii="Calibri Light" w:hAnsi="Calibri Light" w:cs="Calibri Light"/>
          <w:color w:val="00679B"/>
          <w:sz w:val="24"/>
          <w:szCs w:val="22"/>
          <w:shd w:val="clear" w:color="auto" w:fill="FFFFFF"/>
          <w:lang w:val="en-GB"/>
        </w:rPr>
        <w:t>Pharming</w:t>
      </w:r>
      <w:r>
        <w:rPr>
          <w:rStyle w:val="Strong"/>
          <w:rFonts w:ascii="Calibri Light" w:hAnsi="Calibri Light" w:cs="Calibri Light"/>
          <w:color w:val="00679B"/>
          <w:sz w:val="24"/>
          <w:szCs w:val="22"/>
          <w:shd w:val="clear" w:color="auto" w:fill="FFFFFF"/>
          <w:lang w:val="en-GB"/>
        </w:rPr>
        <w:t xml:space="preserve"> Group N.V.</w:t>
      </w:r>
    </w:p>
    <w:p w14:paraId="0C43D6FD" w14:textId="77777777" w:rsidR="00802ED9" w:rsidRDefault="00802ED9" w:rsidP="00802ED9">
      <w:pPr>
        <w:jc w:val="left"/>
        <w:rPr>
          <w:rStyle w:val="Strong"/>
          <w:rFonts w:ascii="Calibri" w:hAnsi="Calibri"/>
          <w:szCs w:val="22"/>
          <w:highlight w:val="yellow"/>
          <w:shd w:val="clear" w:color="auto" w:fill="FFFFFF"/>
          <w:lang w:val="en-GB"/>
        </w:rPr>
      </w:pPr>
    </w:p>
    <w:p w14:paraId="219B6CD9" w14:textId="77777777" w:rsidR="00802ED9" w:rsidRPr="00802ED9" w:rsidRDefault="00802ED9" w:rsidP="00802ED9">
      <w:pPr>
        <w:spacing w:after="120"/>
        <w:rPr>
          <w:rFonts w:ascii="Calibri Light" w:eastAsia="MS Mincho" w:hAnsi="Calibri Light" w:cs="Calibri Light"/>
          <w:color w:val="59595B"/>
        </w:rPr>
      </w:pPr>
      <w:r w:rsidRPr="00802ED9">
        <w:rPr>
          <w:rFonts w:ascii="Calibri Light" w:eastAsia="MS Mincho" w:hAnsi="Calibri Light" w:cs="Calibri Light"/>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2AB7881" w14:textId="77777777" w:rsidR="00802ED9" w:rsidRPr="00802ED9" w:rsidRDefault="00802ED9" w:rsidP="00802ED9">
      <w:pPr>
        <w:spacing w:after="120"/>
        <w:rPr>
          <w:rFonts w:ascii="Calibri Light" w:eastAsia="MS Mincho" w:hAnsi="Calibri Light" w:cs="Calibri Light"/>
          <w:color w:val="59595B"/>
          <w:lang w:val="en-GB"/>
        </w:rPr>
      </w:pPr>
      <w:r w:rsidRPr="00802ED9">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sidRPr="00802ED9">
        <w:rPr>
          <w:rFonts w:ascii="Calibri Light" w:eastAsia="MS Mincho" w:hAnsi="Calibri Light" w:cs="Calibri Light"/>
          <w:color w:val="59595B"/>
        </w:rPr>
        <w:t>distribution is made</w:t>
      </w:r>
      <w:r w:rsidRPr="00802ED9">
        <w:rPr>
          <w:rFonts w:ascii="Calibri Light" w:eastAsia="MS Mincho" w:hAnsi="Calibri Light" w:cs="Calibri Light"/>
          <w:color w:val="59595B"/>
          <w:lang w:val="en-GB"/>
        </w:rPr>
        <w:t xml:space="preserve"> in association with the HAEi Global Access Program (GAP).</w:t>
      </w:r>
    </w:p>
    <w:p w14:paraId="673AC520"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by Swedish Orphan </w:t>
      </w:r>
      <w:proofErr w:type="spellStart"/>
      <w:r w:rsidRPr="00802ED9">
        <w:rPr>
          <w:rFonts w:ascii="Calibri Light" w:eastAsia="MS Mincho" w:hAnsi="Calibri Light" w:cs="Calibri Light"/>
          <w:color w:val="59595B"/>
          <w:szCs w:val="22"/>
          <w:lang w:val="en-GB"/>
        </w:rPr>
        <w:t>Biovitrum</w:t>
      </w:r>
      <w:proofErr w:type="spellEnd"/>
      <w:r w:rsidRPr="00802ED9">
        <w:rPr>
          <w:rFonts w:ascii="Calibri Light" w:eastAsia="MS Mincho" w:hAnsi="Calibri Light" w:cs="Calibri Light"/>
          <w:color w:val="59595B"/>
          <w:szCs w:val="22"/>
          <w:lang w:val="en-GB"/>
        </w:rPr>
        <w:t xml:space="preserve"> AB (</w:t>
      </w:r>
      <w:proofErr w:type="spellStart"/>
      <w:r w:rsidRPr="00802ED9">
        <w:rPr>
          <w:rFonts w:ascii="Calibri Light" w:eastAsia="MS Mincho" w:hAnsi="Calibri Light" w:cs="Calibri Light"/>
          <w:color w:val="59595B"/>
          <w:szCs w:val="22"/>
          <w:lang w:val="en-GB"/>
        </w:rPr>
        <w:t>publ</w:t>
      </w:r>
      <w:proofErr w:type="spellEnd"/>
      <w:r w:rsidRPr="00802ED9">
        <w:rPr>
          <w:rFonts w:ascii="Calibri Light" w:eastAsia="MS Mincho" w:hAnsi="Calibri Light" w:cs="Calibri Light"/>
          <w:color w:val="59595B"/>
          <w:szCs w:val="22"/>
          <w:lang w:val="en-GB"/>
        </w:rPr>
        <w:t>) (SS: SOBI) in the other EU countries, and in Azerbaijan, Belarus, Georgia, Iceland, Kazakhstan, Liechtenstein, Norway, Russia, Serbia and Ukraine.</w:t>
      </w:r>
    </w:p>
    <w:p w14:paraId="54A95BC7"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in Argentina, Colombia, Costa Rica, the Dominican Republic, Panama, and Venezuela by </w:t>
      </w:r>
      <w:proofErr w:type="spellStart"/>
      <w:r w:rsidRPr="00802ED9">
        <w:rPr>
          <w:rFonts w:ascii="Calibri Light" w:eastAsia="MS Mincho" w:hAnsi="Calibri Light" w:cs="Calibri Light"/>
          <w:color w:val="59595B"/>
          <w:szCs w:val="22"/>
          <w:lang w:val="en-GB"/>
        </w:rPr>
        <w:t>Cytobioteck</w:t>
      </w:r>
      <w:proofErr w:type="spellEnd"/>
      <w:r w:rsidRPr="00802ED9">
        <w:rPr>
          <w:rFonts w:ascii="Calibri Light" w:eastAsia="MS Mincho" w:hAnsi="Calibri Light" w:cs="Calibri Light"/>
          <w:color w:val="59595B"/>
          <w:szCs w:val="22"/>
          <w:lang w:val="en-GB"/>
        </w:rPr>
        <w:t xml:space="preserve">, in South Korea by </w:t>
      </w:r>
      <w:proofErr w:type="spellStart"/>
      <w:r w:rsidRPr="00802ED9">
        <w:rPr>
          <w:rFonts w:ascii="Calibri Light" w:eastAsia="MS Mincho" w:hAnsi="Calibri Light" w:cs="Calibri Light"/>
          <w:color w:val="59595B"/>
          <w:szCs w:val="22"/>
          <w:lang w:val="en-GB"/>
        </w:rPr>
        <w:t>HyupJin</w:t>
      </w:r>
      <w:proofErr w:type="spellEnd"/>
      <w:r w:rsidRPr="00802ED9">
        <w:rPr>
          <w:rFonts w:ascii="Calibri Light" w:eastAsia="MS Mincho" w:hAnsi="Calibri Light" w:cs="Calibri Light"/>
          <w:color w:val="59595B"/>
          <w:szCs w:val="22"/>
          <w:lang w:val="en-GB"/>
        </w:rPr>
        <w:t xml:space="preserve"> Corporation and in Israel by </w:t>
      </w:r>
      <w:proofErr w:type="spellStart"/>
      <w:r w:rsidRPr="00802ED9">
        <w:rPr>
          <w:rFonts w:ascii="Calibri Light" w:eastAsia="MS Mincho" w:hAnsi="Calibri Light" w:cs="Calibri Light"/>
          <w:color w:val="59595B"/>
          <w:szCs w:val="22"/>
        </w:rPr>
        <w:t>Kamada</w:t>
      </w:r>
      <w:proofErr w:type="spellEnd"/>
      <w:r w:rsidRPr="00802ED9">
        <w:rPr>
          <w:rFonts w:ascii="Calibri Light" w:eastAsia="MS Mincho" w:hAnsi="Calibri Light" w:cs="Calibri Light"/>
          <w:color w:val="59595B"/>
          <w:szCs w:val="22"/>
          <w:lang w:val="en-GB"/>
        </w:rPr>
        <w:t>.</w:t>
      </w:r>
    </w:p>
    <w:p w14:paraId="0032C481"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also being </w:t>
      </w:r>
      <w:r w:rsidRPr="00802ED9">
        <w:rPr>
          <w:rFonts w:ascii="Calibri Light" w:eastAsia="MS Mincho" w:hAnsi="Calibri Light" w:cs="Calibri Light"/>
          <w:color w:val="59595B"/>
          <w:szCs w:val="22"/>
        </w:rPr>
        <w:t>examined for approval</w:t>
      </w:r>
      <w:r w:rsidRPr="00802ED9">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36A928DC"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Pharming’s technology platform includes a unique, GMP-compliant, validated process </w:t>
      </w:r>
      <w:proofErr w:type="gramStart"/>
      <w:r w:rsidRPr="00802ED9">
        <w:rPr>
          <w:rFonts w:ascii="Calibri Light" w:eastAsia="MS Mincho" w:hAnsi="Calibri Light" w:cs="Calibri Light"/>
          <w:color w:val="59595B"/>
          <w:szCs w:val="22"/>
          <w:lang w:val="en-GB"/>
        </w:rPr>
        <w:t>for the production of</w:t>
      </w:r>
      <w:proofErr w:type="gramEnd"/>
      <w:r w:rsidRPr="00802ED9">
        <w:rPr>
          <w:rFonts w:ascii="Calibri Light" w:eastAsia="MS Mincho"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129148E8"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6AA6AAFE" w14:textId="77777777" w:rsidR="00802ED9" w:rsidRPr="00802ED9" w:rsidRDefault="00802ED9" w:rsidP="00802ED9">
      <w:pPr>
        <w:jc w:val="left"/>
        <w:rPr>
          <w:rStyle w:val="Hyperlink"/>
          <w:rFonts w:ascii="Calibri Light" w:eastAsiaTheme="majorEastAsia" w:hAnsi="Calibri Light" w:cs="Calibri Light"/>
          <w:b/>
          <w:color w:val="00679B"/>
        </w:rPr>
      </w:pPr>
      <w:r w:rsidRPr="00802ED9">
        <w:rPr>
          <w:rFonts w:ascii="Calibri Light" w:eastAsia="MS Mincho" w:hAnsi="Calibri Light" w:cs="Calibri Light"/>
          <w:color w:val="59595B"/>
          <w:szCs w:val="22"/>
          <w:lang w:val="en-GB"/>
        </w:rPr>
        <w:t xml:space="preserve">Additional information is available on the Pharming website: </w:t>
      </w:r>
      <w:hyperlink r:id="rId11" w:history="1">
        <w:r w:rsidRPr="00802ED9">
          <w:rPr>
            <w:rStyle w:val="Hyperlink"/>
            <w:rFonts w:ascii="Calibri Light" w:eastAsia="MS Mincho" w:hAnsi="Calibri Light" w:cs="Calibri Light"/>
            <w:b/>
            <w:color w:val="00679B"/>
            <w:szCs w:val="22"/>
            <w:lang w:val="en-GB"/>
          </w:rPr>
          <w:t>www.pharming.com</w:t>
        </w:r>
      </w:hyperlink>
    </w:p>
    <w:p w14:paraId="0ED486CD" w14:textId="77777777" w:rsidR="00682780" w:rsidRDefault="00682780" w:rsidP="00802ED9">
      <w:pPr>
        <w:jc w:val="left"/>
        <w:rPr>
          <w:rStyle w:val="Hyperlink"/>
          <w:rFonts w:asciiTheme="minorHAnsi" w:eastAsia="MS Mincho" w:hAnsiTheme="minorHAnsi" w:cstheme="minorHAnsi"/>
          <w:b/>
          <w:color w:val="00679B"/>
          <w:szCs w:val="22"/>
          <w:lang w:val="en-GB"/>
        </w:rPr>
      </w:pPr>
    </w:p>
    <w:p w14:paraId="2F9A41CC" w14:textId="77777777" w:rsidR="00802ED9" w:rsidRDefault="00802ED9" w:rsidP="00802ED9">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4BDAE8CE" w14:textId="77777777" w:rsidR="00802ED9" w:rsidRDefault="00802ED9" w:rsidP="00802ED9">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2821FB6F" w14:textId="77777777" w:rsidR="00802ED9" w:rsidRDefault="00802ED9" w:rsidP="00802ED9">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54044053" w14:textId="09B5701B" w:rsidR="008E6147" w:rsidRDefault="00802ED9">
      <w:pPr>
        <w:jc w:val="left"/>
        <w:rPr>
          <w:rFonts w:asciiTheme="minorHAnsi" w:eastAsiaTheme="majorEastAsia" w:hAnsiTheme="minorHAnsi" w:cstheme="majorBidi"/>
          <w:b/>
          <w:color w:val="59595B"/>
          <w:szCs w:val="28"/>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r w:rsidR="008E6147">
        <w:rPr>
          <w:rFonts w:asciiTheme="minorHAnsi" w:eastAsiaTheme="majorEastAsia" w:hAnsiTheme="minorHAnsi" w:cstheme="majorBidi"/>
          <w:b/>
          <w:color w:val="59595B"/>
          <w:szCs w:val="28"/>
          <w:lang w:eastAsia="zh-CN"/>
        </w:rPr>
        <w:br w:type="page"/>
      </w:r>
    </w:p>
    <w:p w14:paraId="2DD8D95C" w14:textId="5674A5AA" w:rsidR="00802ED9" w:rsidRDefault="00802ED9" w:rsidP="00802ED9">
      <w:pPr>
        <w:jc w:val="left"/>
        <w:rPr>
          <w:color w:val="59595B"/>
        </w:rPr>
      </w:pPr>
      <w:r>
        <w:rPr>
          <w:rFonts w:asciiTheme="minorHAnsi" w:eastAsiaTheme="majorEastAsia" w:hAnsiTheme="minorHAnsi" w:cstheme="majorBidi"/>
          <w:b/>
          <w:color w:val="59595B"/>
          <w:szCs w:val="28"/>
          <w:lang w:eastAsia="zh-CN"/>
        </w:rPr>
        <w:lastRenderedPageBreak/>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r>
        <w:rPr>
          <w:rFonts w:asciiTheme="minorHAnsi" w:hAnsiTheme="minorHAnsi"/>
          <w:color w:val="59595B"/>
          <w:lang w:val="en-GB"/>
        </w:rPr>
        <w:t>Sijmen de Vries, CEO: T: +31 71 524 7400</w:t>
      </w:r>
    </w:p>
    <w:p w14:paraId="3A6D1000" w14:textId="07180BDF" w:rsidR="001F4CCE" w:rsidRDefault="001F4CCE" w:rsidP="00802ED9">
      <w:pPr>
        <w:jc w:val="left"/>
        <w:rPr>
          <w:rFonts w:asciiTheme="minorHAnsi" w:hAnsiTheme="minorHAnsi"/>
          <w:color w:val="59595B"/>
          <w:lang w:val="en-GB"/>
        </w:rPr>
      </w:pPr>
      <w:r>
        <w:rPr>
          <w:rFonts w:asciiTheme="minorHAnsi" w:hAnsiTheme="minorHAnsi"/>
          <w:color w:val="59595B"/>
          <w:lang w:val="en-GB"/>
        </w:rPr>
        <w:t>Bruno Giannetti, COO: T: +31 71 524, 7170</w:t>
      </w:r>
    </w:p>
    <w:p w14:paraId="731778C8" w14:textId="5EC15880" w:rsidR="00802ED9" w:rsidRDefault="00802ED9" w:rsidP="00802ED9">
      <w:pPr>
        <w:jc w:val="left"/>
        <w:rPr>
          <w:rFonts w:asciiTheme="minorHAnsi" w:hAnsiTheme="minorHAnsi"/>
          <w:color w:val="59595B"/>
          <w:lang w:val="en-GB"/>
        </w:rPr>
      </w:pPr>
      <w:r>
        <w:rPr>
          <w:rFonts w:asciiTheme="minorHAnsi" w:hAnsiTheme="minorHAnsi"/>
          <w:color w:val="59595B"/>
          <w:lang w:val="en-GB"/>
        </w:rPr>
        <w:t>Robin Wright, CFO: T: +31 71 524 7432</w:t>
      </w:r>
    </w:p>
    <w:p w14:paraId="6681931B" w14:textId="77777777" w:rsidR="00802ED9" w:rsidRDefault="00802ED9" w:rsidP="00802ED9">
      <w:pPr>
        <w:rPr>
          <w:rFonts w:asciiTheme="minorHAnsi" w:hAnsiTheme="minorHAnsi"/>
          <w:color w:val="59595B"/>
          <w:lang w:val="en-GB"/>
        </w:rPr>
      </w:pPr>
    </w:p>
    <w:p w14:paraId="13F555CB" w14:textId="77777777" w:rsidR="00802ED9" w:rsidRDefault="00802ED9" w:rsidP="00802ED9">
      <w:pPr>
        <w:rPr>
          <w:rFonts w:asciiTheme="minorHAnsi" w:eastAsia="SimSun" w:hAnsiTheme="minorHAnsi" w:cs="Arial"/>
          <w:i/>
          <w:color w:val="59595B"/>
          <w:lang w:val="en-GB" w:eastAsia="zh-CN"/>
        </w:rPr>
      </w:pPr>
      <w:r>
        <w:rPr>
          <w:rFonts w:asciiTheme="minorHAnsi" w:eastAsia="SimSun" w:hAnsiTheme="minorHAnsi" w:cs="Arial"/>
          <w:i/>
          <w:color w:val="59595B"/>
          <w:lang w:val="en-GB" w:eastAsia="zh-CN"/>
        </w:rPr>
        <w:t>FTI Consulting</w:t>
      </w:r>
    </w:p>
    <w:p w14:paraId="45E8FE33" w14:textId="77777777" w:rsidR="00802ED9" w:rsidRDefault="00802ED9" w:rsidP="00802ED9">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166CBFE0" w14:textId="77777777" w:rsidR="00802ED9" w:rsidRDefault="00802ED9" w:rsidP="00802ED9">
      <w:pPr>
        <w:rPr>
          <w:rFonts w:ascii="Calibri" w:hAnsi="Calibri"/>
          <w:color w:val="59595B"/>
          <w:lang w:val="en-GB"/>
        </w:rPr>
      </w:pPr>
    </w:p>
    <w:p w14:paraId="6509A394" w14:textId="77777777" w:rsidR="00802ED9" w:rsidRDefault="00802ED9" w:rsidP="00802ED9">
      <w:pPr>
        <w:spacing w:line="276" w:lineRule="auto"/>
        <w:jc w:val="left"/>
        <w:rPr>
          <w:rFonts w:asciiTheme="minorHAnsi" w:eastAsia="MS Mincho" w:hAnsiTheme="minorHAnsi" w:cstheme="minorHAnsi"/>
          <w:i/>
          <w:color w:val="59595B"/>
          <w:szCs w:val="22"/>
          <w:lang w:val="en-GB"/>
        </w:rPr>
      </w:pPr>
      <w:proofErr w:type="spellStart"/>
      <w:r>
        <w:rPr>
          <w:rFonts w:asciiTheme="minorHAnsi" w:eastAsia="MS Mincho" w:hAnsiTheme="minorHAnsi" w:cstheme="minorHAnsi"/>
          <w:i/>
          <w:color w:val="59595B"/>
          <w:szCs w:val="22"/>
          <w:lang w:val="en-GB"/>
        </w:rPr>
        <w:t>LifeSpring</w:t>
      </w:r>
      <w:proofErr w:type="spellEnd"/>
      <w:r>
        <w:rPr>
          <w:rFonts w:asciiTheme="minorHAnsi" w:eastAsia="MS Mincho" w:hAnsiTheme="minorHAnsi" w:cstheme="minorHAnsi"/>
          <w:i/>
          <w:color w:val="59595B"/>
          <w:szCs w:val="22"/>
          <w:lang w:val="en-GB"/>
        </w:rPr>
        <w:t xml:space="preserve"> Life Sciences Communication, Amsterdam, The Netherlands</w:t>
      </w:r>
    </w:p>
    <w:p w14:paraId="3B4DB545" w14:textId="6F3BE0E3" w:rsidR="00340700" w:rsidRDefault="00802ED9" w:rsidP="00682780">
      <w:pPr>
        <w:autoSpaceDE w:val="0"/>
        <w:autoSpaceDN w:val="0"/>
        <w:adjustRightInd w:val="0"/>
        <w:rPr>
          <w:rFonts w:ascii="Calibri Light" w:hAnsi="Calibri Light" w:cs="Arial"/>
          <w:color w:val="59595B"/>
          <w:lang w:val="en-GB"/>
        </w:rPr>
      </w:pPr>
      <w:r>
        <w:rPr>
          <w:rFonts w:asciiTheme="minorHAnsi" w:eastAsia="MS Mincho" w:hAnsiTheme="minorHAnsi" w:cstheme="minorHAnsi"/>
          <w:color w:val="59595B"/>
          <w:lang w:val="en-GB"/>
        </w:rPr>
        <w:t xml:space="preserve">Leon Melens,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p w14:paraId="672F553B" w14:textId="1DE5A083" w:rsidR="008E6147" w:rsidRDefault="008E6147" w:rsidP="00682780">
      <w:pPr>
        <w:autoSpaceDE w:val="0"/>
        <w:autoSpaceDN w:val="0"/>
        <w:adjustRightInd w:val="0"/>
        <w:rPr>
          <w:rFonts w:ascii="Calibri Light" w:hAnsi="Calibri Light" w:cs="Arial"/>
          <w:color w:val="59595B"/>
          <w:lang w:val="en-GB"/>
        </w:rPr>
      </w:pPr>
    </w:p>
    <w:p w14:paraId="248EAB10" w14:textId="77777777" w:rsidR="008E6147" w:rsidRDefault="008E6147" w:rsidP="008E6147">
      <w:pPr>
        <w:autoSpaceDE w:val="0"/>
        <w:autoSpaceDN w:val="0"/>
        <w:adjustRightInd w:val="0"/>
        <w:rPr>
          <w:rFonts w:asciiTheme="minorHAnsi" w:eastAsia="MS Mincho" w:hAnsiTheme="minorHAnsi" w:cstheme="minorHAnsi"/>
          <w:b/>
          <w:color w:val="59595B"/>
          <w:lang w:val="en-GB"/>
        </w:rPr>
      </w:pPr>
      <w:r>
        <w:rPr>
          <w:rFonts w:asciiTheme="minorHAnsi" w:eastAsia="MS Mincho" w:hAnsiTheme="minorHAnsi" w:cstheme="minorHAnsi"/>
          <w:b/>
          <w:color w:val="59595B"/>
          <w:lang w:val="en-GB"/>
        </w:rPr>
        <w:t>Conference call information</w:t>
      </w:r>
    </w:p>
    <w:p w14:paraId="10454D7F" w14:textId="77777777" w:rsidR="008E6147" w:rsidRDefault="008E6147" w:rsidP="008E6147">
      <w:pPr>
        <w:autoSpaceDE w:val="0"/>
        <w:autoSpaceDN w:val="0"/>
        <w:adjustRightInd w:val="0"/>
        <w:rPr>
          <w:rFonts w:asciiTheme="minorHAnsi" w:eastAsia="MS Mincho" w:hAnsiTheme="minorHAnsi" w:cstheme="minorHAnsi"/>
          <w:color w:val="59595B"/>
          <w:lang w:val="en-GB"/>
        </w:rPr>
      </w:pPr>
    </w:p>
    <w:p w14:paraId="4DBABBF4"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the Netherlands:</w:t>
      </w:r>
      <w:r>
        <w:rPr>
          <w:rFonts w:asciiTheme="minorHAnsi" w:eastAsia="MS Mincho" w:hAnsiTheme="minorHAnsi" w:cstheme="minorHAnsi"/>
          <w:color w:val="59595B"/>
          <w:lang w:val="en-GB"/>
        </w:rPr>
        <w:tab/>
        <w:t>+31 207095189</w:t>
      </w:r>
    </w:p>
    <w:p w14:paraId="0FC97009"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08004050000</w:t>
      </w:r>
    </w:p>
    <w:p w14:paraId="3DDBCE6E"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the UK:</w:t>
      </w:r>
      <w:r>
        <w:rPr>
          <w:rFonts w:asciiTheme="minorHAnsi" w:eastAsia="MS Mincho" w:hAnsiTheme="minorHAnsi" w:cstheme="minorHAnsi"/>
          <w:color w:val="59595B"/>
          <w:lang w:val="en-GB"/>
        </w:rPr>
        <w:tab/>
      </w:r>
      <w:r>
        <w:rPr>
          <w:rFonts w:asciiTheme="minorHAnsi" w:eastAsia="MS Mincho" w:hAnsiTheme="minorHAnsi" w:cstheme="minorHAnsi"/>
          <w:color w:val="59595B"/>
          <w:lang w:val="en-GB"/>
        </w:rPr>
        <w:tab/>
        <w:t>+44 3333000804</w:t>
      </w:r>
    </w:p>
    <w:p w14:paraId="348B1E8A"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08003589473</w:t>
      </w:r>
    </w:p>
    <w:p w14:paraId="581F6009"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Belgium:</w:t>
      </w:r>
      <w:r>
        <w:rPr>
          <w:rFonts w:asciiTheme="minorHAnsi" w:eastAsia="MS Mincho" w:hAnsiTheme="minorHAnsi" w:cstheme="minorHAnsi"/>
          <w:color w:val="59595B"/>
          <w:lang w:val="en-GB"/>
        </w:rPr>
        <w:tab/>
      </w:r>
      <w:r>
        <w:rPr>
          <w:rFonts w:asciiTheme="minorHAnsi" w:eastAsia="MS Mincho" w:hAnsiTheme="minorHAnsi" w:cstheme="minorHAnsi"/>
          <w:color w:val="59595B"/>
          <w:lang w:val="en-GB"/>
        </w:rPr>
        <w:tab/>
        <w:t xml:space="preserve">+32 24035814     </w:t>
      </w:r>
    </w:p>
    <w:p w14:paraId="46B4132F"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080029913</w:t>
      </w:r>
    </w:p>
    <w:p w14:paraId="0550CAB8"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France:</w:t>
      </w:r>
      <w:r>
        <w:rPr>
          <w:rFonts w:asciiTheme="minorHAnsi" w:eastAsia="MS Mincho" w:hAnsiTheme="minorHAnsi" w:cstheme="minorHAnsi"/>
          <w:color w:val="59595B"/>
          <w:lang w:val="en-GB"/>
        </w:rPr>
        <w:tab/>
      </w:r>
      <w:r>
        <w:rPr>
          <w:rFonts w:asciiTheme="minorHAnsi" w:eastAsia="MS Mincho" w:hAnsiTheme="minorHAnsi" w:cstheme="minorHAnsi"/>
          <w:color w:val="59595B"/>
          <w:lang w:val="en-GB"/>
        </w:rPr>
        <w:tab/>
        <w:t>+33 170750711</w:t>
      </w:r>
    </w:p>
    <w:p w14:paraId="077DA3C1"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0800946608</w:t>
      </w:r>
    </w:p>
    <w:p w14:paraId="79FFCB59"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Switzerland:</w:t>
      </w:r>
      <w:r>
        <w:rPr>
          <w:rFonts w:asciiTheme="minorHAnsi" w:eastAsia="MS Mincho" w:hAnsiTheme="minorHAnsi" w:cstheme="minorHAnsi"/>
          <w:color w:val="59595B"/>
          <w:lang w:val="en-GB"/>
        </w:rPr>
        <w:tab/>
        <w:t>+41 225809034</w:t>
      </w:r>
    </w:p>
    <w:p w14:paraId="652903ED"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0800721298</w:t>
      </w:r>
    </w:p>
    <w:p w14:paraId="718878D5"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From the US:</w:t>
      </w:r>
      <w:r>
        <w:rPr>
          <w:rFonts w:asciiTheme="minorHAnsi" w:eastAsia="MS Mincho" w:hAnsiTheme="minorHAnsi" w:cstheme="minorHAnsi"/>
          <w:color w:val="59595B"/>
          <w:lang w:val="en-GB"/>
        </w:rPr>
        <w:tab/>
      </w:r>
      <w:r>
        <w:rPr>
          <w:rFonts w:asciiTheme="minorHAnsi" w:eastAsia="MS Mincho" w:hAnsiTheme="minorHAnsi" w:cstheme="minorHAnsi"/>
          <w:color w:val="59595B"/>
          <w:lang w:val="en-GB"/>
        </w:rPr>
        <w:tab/>
        <w:t>+1 6319131422</w:t>
      </w:r>
    </w:p>
    <w:p w14:paraId="1B906623" w14:textId="77777777" w:rsidR="008E6147" w:rsidRDefault="008E6147" w:rsidP="008E6147">
      <w:pPr>
        <w:autoSpaceDE w:val="0"/>
        <w:autoSpaceDN w:val="0"/>
        <w:adjustRightInd w:val="0"/>
        <w:ind w:left="1440" w:firstLine="720"/>
        <w:rPr>
          <w:rFonts w:asciiTheme="minorHAnsi" w:eastAsia="MS Mincho" w:hAnsiTheme="minorHAnsi" w:cstheme="minorHAnsi"/>
          <w:color w:val="59595B"/>
          <w:lang w:val="en-GB"/>
        </w:rPr>
      </w:pPr>
      <w:r>
        <w:rPr>
          <w:rFonts w:asciiTheme="minorHAnsi" w:eastAsia="MS Mincho" w:hAnsiTheme="minorHAnsi" w:cstheme="minorHAnsi"/>
          <w:color w:val="59595B"/>
          <w:lang w:val="en-GB"/>
        </w:rPr>
        <w:t>Toll-Free: +1 855 85 70686</w:t>
      </w:r>
    </w:p>
    <w:p w14:paraId="0DAB0FC7" w14:textId="77777777" w:rsidR="008E6147" w:rsidRDefault="008E6147" w:rsidP="008E6147">
      <w:pPr>
        <w:autoSpaceDE w:val="0"/>
        <w:autoSpaceDN w:val="0"/>
        <w:adjustRightInd w:val="0"/>
        <w:rPr>
          <w:rFonts w:asciiTheme="minorHAnsi" w:eastAsia="MS Mincho" w:hAnsiTheme="minorHAnsi" w:cstheme="minorHAnsi"/>
          <w:color w:val="59595B"/>
          <w:lang w:val="en-GB"/>
        </w:rPr>
      </w:pPr>
    </w:p>
    <w:p w14:paraId="76890E92" w14:textId="77777777" w:rsidR="008E6147" w:rsidRDefault="008E6147" w:rsidP="008E6147">
      <w:pPr>
        <w:autoSpaceDE w:val="0"/>
        <w:autoSpaceDN w:val="0"/>
        <w:adjustRightInd w:val="0"/>
        <w:rPr>
          <w:rFonts w:asciiTheme="minorHAnsi" w:eastAsia="MS Mincho" w:hAnsiTheme="minorHAnsi" w:cstheme="minorHAnsi"/>
          <w:color w:val="59595B"/>
          <w:lang w:val="en-GB"/>
        </w:rPr>
      </w:pPr>
      <w:r>
        <w:rPr>
          <w:rFonts w:asciiTheme="minorHAnsi" w:eastAsia="MS Mincho" w:hAnsiTheme="minorHAnsi" w:cstheme="minorHAnsi"/>
          <w:color w:val="59595B"/>
          <w:lang w:val="en-GB"/>
        </w:rPr>
        <w:t xml:space="preserve">For other numbers, please see: </w:t>
      </w:r>
    </w:p>
    <w:p w14:paraId="0300E99C" w14:textId="77777777" w:rsidR="008E6147" w:rsidRDefault="00852CED" w:rsidP="008E6147">
      <w:pPr>
        <w:autoSpaceDE w:val="0"/>
        <w:autoSpaceDN w:val="0"/>
        <w:adjustRightInd w:val="0"/>
        <w:rPr>
          <w:rStyle w:val="Hyperlink"/>
          <w:rFonts w:asciiTheme="minorHAnsi" w:eastAsia="MS Mincho" w:hAnsiTheme="minorHAnsi" w:cstheme="minorHAnsi"/>
          <w:color w:val="59595B"/>
          <w:lang w:val="en-GB"/>
        </w:rPr>
      </w:pPr>
      <w:hyperlink r:id="rId12" w:history="1">
        <w:r w:rsidR="008E6147" w:rsidRPr="00B14347">
          <w:rPr>
            <w:rStyle w:val="Hyperlink"/>
            <w:rFonts w:asciiTheme="minorHAnsi" w:eastAsia="MS Mincho" w:hAnsiTheme="minorHAnsi" w:cstheme="minorHAnsi"/>
            <w:lang w:val="en-GB"/>
          </w:rPr>
          <w:t>http://events.arkadin.com/ev/docs/NE_W2_TF_Events_International_Access_List.pdf</w:t>
        </w:r>
      </w:hyperlink>
      <w:r w:rsidR="008E6147">
        <w:rPr>
          <w:rStyle w:val="Hyperlink"/>
          <w:rFonts w:asciiTheme="minorHAnsi" w:eastAsia="MS Mincho" w:hAnsiTheme="minorHAnsi" w:cstheme="minorHAnsi"/>
          <w:color w:val="59595B"/>
          <w:lang w:val="en-GB"/>
        </w:rPr>
        <w:t xml:space="preserve"> </w:t>
      </w:r>
    </w:p>
    <w:p w14:paraId="550EAECE" w14:textId="77777777" w:rsidR="008E6147" w:rsidRDefault="008E6147" w:rsidP="008E6147">
      <w:pPr>
        <w:autoSpaceDE w:val="0"/>
        <w:autoSpaceDN w:val="0"/>
        <w:adjustRightInd w:val="0"/>
        <w:rPr>
          <w:rFonts w:asciiTheme="minorHAnsi" w:eastAsia="MS Mincho" w:hAnsiTheme="minorHAnsi" w:cstheme="minorHAnsi"/>
          <w:color w:val="59595B"/>
          <w:lang w:val="en-GB"/>
        </w:rPr>
      </w:pPr>
    </w:p>
    <w:p w14:paraId="2F550A54" w14:textId="77777777" w:rsidR="008E6147" w:rsidRDefault="008E6147" w:rsidP="008E6147">
      <w:pPr>
        <w:autoSpaceDE w:val="0"/>
        <w:autoSpaceDN w:val="0"/>
        <w:adjustRightInd w:val="0"/>
        <w:rPr>
          <w:rFonts w:asciiTheme="minorHAnsi" w:eastAsia="MS Mincho" w:hAnsiTheme="minorHAnsi" w:cstheme="minorHAnsi"/>
          <w:b/>
          <w:color w:val="59595B"/>
          <w:lang w:val="en-GB"/>
        </w:rPr>
      </w:pPr>
      <w:r>
        <w:rPr>
          <w:rFonts w:asciiTheme="minorHAnsi" w:eastAsia="MS Mincho" w:hAnsiTheme="minorHAnsi" w:cstheme="minorHAnsi"/>
          <w:b/>
          <w:color w:val="59595B"/>
          <w:lang w:val="en-GB"/>
        </w:rPr>
        <w:t xml:space="preserve">Conference call PIN: </w:t>
      </w:r>
      <w:r w:rsidRPr="00573448">
        <w:rPr>
          <w:rFonts w:asciiTheme="minorHAnsi" w:eastAsia="MS Mincho" w:hAnsiTheme="minorHAnsi" w:cstheme="minorHAnsi"/>
          <w:b/>
          <w:color w:val="59595B"/>
          <w:lang w:val="en-GB"/>
        </w:rPr>
        <w:t>28422936#</w:t>
      </w:r>
    </w:p>
    <w:p w14:paraId="0D4B8088" w14:textId="77777777" w:rsidR="008E6147" w:rsidRDefault="008E6147" w:rsidP="00682780">
      <w:pPr>
        <w:autoSpaceDE w:val="0"/>
        <w:autoSpaceDN w:val="0"/>
        <w:adjustRightInd w:val="0"/>
        <w:rPr>
          <w:rFonts w:ascii="Calibri Light" w:hAnsi="Calibri Light" w:cs="Calibri Light"/>
          <w:b/>
          <w:bCs/>
          <w:color w:val="00679B"/>
          <w:szCs w:val="22"/>
          <w:lang w:val="en-GB"/>
        </w:rPr>
      </w:pPr>
    </w:p>
    <w:sectPr w:rsidR="008E6147" w:rsidSect="000700EB">
      <w:headerReference w:type="default" r:id="rId13"/>
      <w:footerReference w:type="default" r:id="rId14"/>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0FE13" w14:textId="77777777" w:rsidR="00852CED" w:rsidRDefault="00852CED">
      <w:r>
        <w:separator/>
      </w:r>
    </w:p>
  </w:endnote>
  <w:endnote w:type="continuationSeparator" w:id="0">
    <w:p w14:paraId="6A1BD191" w14:textId="77777777" w:rsidR="00852CED" w:rsidRDefault="00852CED">
      <w:r>
        <w:continuationSeparator/>
      </w:r>
    </w:p>
  </w:endnote>
  <w:endnote w:type="continuationNotice" w:id="1">
    <w:p w14:paraId="62C37FFE" w14:textId="77777777" w:rsidR="00852CED" w:rsidRDefault="00852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14CAB73D" w14:textId="77777777"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133900">
          <w:rPr>
            <w:rFonts w:asciiTheme="minorHAnsi" w:hAnsiTheme="minorHAnsi"/>
            <w:noProof/>
            <w:color w:val="59595B"/>
            <w:sz w:val="20"/>
          </w:rPr>
          <w:t>5</w:t>
        </w:r>
        <w:r w:rsidRPr="008C2FCA">
          <w:rPr>
            <w:rFonts w:asciiTheme="minorHAnsi" w:hAnsiTheme="minorHAnsi"/>
            <w:noProof/>
            <w:color w:val="59595B"/>
            <w:sz w:val="20"/>
          </w:rPr>
          <w:fldChar w:fldCharType="end"/>
        </w:r>
      </w:p>
    </w:sdtContent>
  </w:sdt>
  <w:p w14:paraId="3FE448E5" w14:textId="77777777" w:rsidR="0029557F" w:rsidRDefault="0029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6F1A" w14:textId="77777777" w:rsidR="00852CED" w:rsidRDefault="00852CED">
      <w:r>
        <w:separator/>
      </w:r>
    </w:p>
  </w:footnote>
  <w:footnote w:type="continuationSeparator" w:id="0">
    <w:p w14:paraId="72F4748A" w14:textId="77777777" w:rsidR="00852CED" w:rsidRDefault="00852CED">
      <w:r>
        <w:continuationSeparator/>
      </w:r>
    </w:p>
  </w:footnote>
  <w:footnote w:type="continuationNotice" w:id="1">
    <w:p w14:paraId="3AE89F94" w14:textId="77777777" w:rsidR="00852CED" w:rsidRDefault="00852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A607" w14:textId="7365866F" w:rsidR="0029557F" w:rsidRPr="00022C90" w:rsidRDefault="00852CED" w:rsidP="00022C90">
    <w:pPr>
      <w:pStyle w:val="NormalWeb"/>
      <w:spacing w:afterLines="120" w:after="288"/>
      <w:ind w:right="2506"/>
      <w:rPr>
        <w:rFonts w:asciiTheme="minorHAnsi" w:hAnsiTheme="minorHAnsi" w:cstheme="minorHAnsi"/>
        <w:b/>
        <w:color w:val="FF0000"/>
        <w:sz w:val="28"/>
        <w:szCs w:val="32"/>
        <w:lang w:val="en-GB"/>
      </w:rPr>
    </w:pPr>
    <w:sdt>
      <w:sdtPr>
        <w:rPr>
          <w:rFonts w:asciiTheme="minorHAnsi" w:hAnsiTheme="minorHAnsi" w:cstheme="minorHAnsi"/>
          <w:b/>
          <w:color w:val="FF0000"/>
          <w:sz w:val="28"/>
          <w:szCs w:val="32"/>
          <w:lang w:val="en-GB"/>
        </w:rPr>
        <w:id w:val="1662428007"/>
        <w:docPartObj>
          <w:docPartGallery w:val="Watermarks"/>
          <w:docPartUnique/>
        </w:docPartObj>
      </w:sdtPr>
      <w:sdtEndPr/>
      <w:sdtContent>
        <w:r>
          <w:rPr>
            <w:rFonts w:asciiTheme="minorHAnsi" w:hAnsiTheme="minorHAnsi" w:cstheme="minorHAnsi"/>
            <w:b/>
            <w:noProof/>
            <w:color w:val="FF0000"/>
            <w:sz w:val="28"/>
            <w:szCs w:val="32"/>
            <w:lang w:val="en-GB"/>
          </w:rPr>
          <w:pict w14:anchorId="09CA7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29557F"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8"/>
  </w:num>
  <w:num w:numId="5">
    <w:abstractNumId w:val="9"/>
  </w:num>
  <w:num w:numId="6">
    <w:abstractNumId w:val="16"/>
  </w:num>
  <w:num w:numId="7">
    <w:abstractNumId w:val="2"/>
  </w:num>
  <w:num w:numId="8">
    <w:abstractNumId w:val="11"/>
  </w:num>
  <w:num w:numId="9">
    <w:abstractNumId w:val="13"/>
  </w:num>
  <w:num w:numId="10">
    <w:abstractNumId w:val="15"/>
  </w:num>
  <w:num w:numId="11">
    <w:abstractNumId w:val="10"/>
  </w:num>
  <w:num w:numId="12">
    <w:abstractNumId w:val="17"/>
  </w:num>
  <w:num w:numId="13">
    <w:abstractNumId w:val="3"/>
  </w:num>
  <w:num w:numId="14">
    <w:abstractNumId w:val="0"/>
  </w:num>
  <w:num w:numId="15">
    <w:abstractNumId w:val="6"/>
  </w:num>
  <w:num w:numId="16">
    <w:abstractNumId w:val="7"/>
  </w:num>
  <w:num w:numId="17">
    <w:abstractNumId w:val="4"/>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100F3"/>
    <w:rsid w:val="00010434"/>
    <w:rsid w:val="00010664"/>
    <w:rsid w:val="00010CAD"/>
    <w:rsid w:val="00011B5D"/>
    <w:rsid w:val="00013968"/>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E6E"/>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BC5"/>
    <w:rsid w:val="001B5D56"/>
    <w:rsid w:val="001B66ED"/>
    <w:rsid w:val="001B6F11"/>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7712"/>
    <w:rsid w:val="001E7E14"/>
    <w:rsid w:val="001F0411"/>
    <w:rsid w:val="001F067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A32"/>
    <w:rsid w:val="00202298"/>
    <w:rsid w:val="00202BC5"/>
    <w:rsid w:val="00202E24"/>
    <w:rsid w:val="002034CC"/>
    <w:rsid w:val="00203CEE"/>
    <w:rsid w:val="00204160"/>
    <w:rsid w:val="0020463C"/>
    <w:rsid w:val="0020470F"/>
    <w:rsid w:val="0020472F"/>
    <w:rsid w:val="00205FFC"/>
    <w:rsid w:val="00206138"/>
    <w:rsid w:val="00206302"/>
    <w:rsid w:val="002064E1"/>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E2C"/>
    <w:rsid w:val="0025114F"/>
    <w:rsid w:val="00251688"/>
    <w:rsid w:val="00251D49"/>
    <w:rsid w:val="002523AF"/>
    <w:rsid w:val="002528FD"/>
    <w:rsid w:val="0025324D"/>
    <w:rsid w:val="00253518"/>
    <w:rsid w:val="00253E5D"/>
    <w:rsid w:val="0025524C"/>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68C"/>
    <w:rsid w:val="002A3A1C"/>
    <w:rsid w:val="002A42C7"/>
    <w:rsid w:val="002A4512"/>
    <w:rsid w:val="002A50D8"/>
    <w:rsid w:val="002A5645"/>
    <w:rsid w:val="002A5950"/>
    <w:rsid w:val="002A5DA3"/>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5D2"/>
    <w:rsid w:val="002B2DBE"/>
    <w:rsid w:val="002B4F0D"/>
    <w:rsid w:val="002B744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2B9"/>
    <w:rsid w:val="00303F22"/>
    <w:rsid w:val="00304817"/>
    <w:rsid w:val="00305F4D"/>
    <w:rsid w:val="00306022"/>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4F01"/>
    <w:rsid w:val="003451F3"/>
    <w:rsid w:val="003455DF"/>
    <w:rsid w:val="003459EF"/>
    <w:rsid w:val="003461D6"/>
    <w:rsid w:val="00346AD4"/>
    <w:rsid w:val="00346EE7"/>
    <w:rsid w:val="003509A2"/>
    <w:rsid w:val="00350FAA"/>
    <w:rsid w:val="00351A13"/>
    <w:rsid w:val="00351E6F"/>
    <w:rsid w:val="00351F6E"/>
    <w:rsid w:val="003521CC"/>
    <w:rsid w:val="00352437"/>
    <w:rsid w:val="00352664"/>
    <w:rsid w:val="0035319F"/>
    <w:rsid w:val="003531EE"/>
    <w:rsid w:val="003533C8"/>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E80"/>
    <w:rsid w:val="003B666C"/>
    <w:rsid w:val="003B7397"/>
    <w:rsid w:val="003B7418"/>
    <w:rsid w:val="003C0290"/>
    <w:rsid w:val="003C0A12"/>
    <w:rsid w:val="003C2596"/>
    <w:rsid w:val="003C28B2"/>
    <w:rsid w:val="003C29F7"/>
    <w:rsid w:val="003C2EC1"/>
    <w:rsid w:val="003C315A"/>
    <w:rsid w:val="003C378C"/>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18E"/>
    <w:rsid w:val="0042394F"/>
    <w:rsid w:val="004239E9"/>
    <w:rsid w:val="00424060"/>
    <w:rsid w:val="00424A86"/>
    <w:rsid w:val="00424BDE"/>
    <w:rsid w:val="00425F20"/>
    <w:rsid w:val="004261BF"/>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7F8"/>
    <w:rsid w:val="004F1BCE"/>
    <w:rsid w:val="004F1DDD"/>
    <w:rsid w:val="004F2534"/>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8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0E50"/>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69E"/>
    <w:rsid w:val="005A3354"/>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7216"/>
    <w:rsid w:val="005D0F57"/>
    <w:rsid w:val="005D0FE6"/>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6838"/>
    <w:rsid w:val="006174B3"/>
    <w:rsid w:val="006203B4"/>
    <w:rsid w:val="006203EB"/>
    <w:rsid w:val="006206ED"/>
    <w:rsid w:val="006214CE"/>
    <w:rsid w:val="00621B1A"/>
    <w:rsid w:val="006228FF"/>
    <w:rsid w:val="00622A8B"/>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E90"/>
    <w:rsid w:val="00681F46"/>
    <w:rsid w:val="00682780"/>
    <w:rsid w:val="00682B10"/>
    <w:rsid w:val="00682B96"/>
    <w:rsid w:val="0068303B"/>
    <w:rsid w:val="006841D2"/>
    <w:rsid w:val="00684DA3"/>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C1E"/>
    <w:rsid w:val="006F116D"/>
    <w:rsid w:val="006F11E8"/>
    <w:rsid w:val="006F166D"/>
    <w:rsid w:val="006F188C"/>
    <w:rsid w:val="006F1A4A"/>
    <w:rsid w:val="006F1C5F"/>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2EA1"/>
    <w:rsid w:val="00713995"/>
    <w:rsid w:val="00713E8A"/>
    <w:rsid w:val="00713F5C"/>
    <w:rsid w:val="00714608"/>
    <w:rsid w:val="00714BB4"/>
    <w:rsid w:val="00714C10"/>
    <w:rsid w:val="00714DF9"/>
    <w:rsid w:val="00715073"/>
    <w:rsid w:val="007157F6"/>
    <w:rsid w:val="00715D23"/>
    <w:rsid w:val="00715EDF"/>
    <w:rsid w:val="00720BDC"/>
    <w:rsid w:val="00721997"/>
    <w:rsid w:val="00721AB1"/>
    <w:rsid w:val="00721EE1"/>
    <w:rsid w:val="00722D04"/>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E8D"/>
    <w:rsid w:val="00773CFE"/>
    <w:rsid w:val="00774BC1"/>
    <w:rsid w:val="00774E72"/>
    <w:rsid w:val="007761C8"/>
    <w:rsid w:val="00776C18"/>
    <w:rsid w:val="00776E7D"/>
    <w:rsid w:val="00777543"/>
    <w:rsid w:val="0078001E"/>
    <w:rsid w:val="00780077"/>
    <w:rsid w:val="00780FB7"/>
    <w:rsid w:val="00781C5B"/>
    <w:rsid w:val="00781E54"/>
    <w:rsid w:val="00782C10"/>
    <w:rsid w:val="00783A03"/>
    <w:rsid w:val="00783F16"/>
    <w:rsid w:val="007845FD"/>
    <w:rsid w:val="0078519A"/>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2CED"/>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1A4C"/>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9B2"/>
    <w:rsid w:val="00856C2D"/>
    <w:rsid w:val="00856FFF"/>
    <w:rsid w:val="008573CC"/>
    <w:rsid w:val="008611B8"/>
    <w:rsid w:val="008611DC"/>
    <w:rsid w:val="00863A17"/>
    <w:rsid w:val="00864B3C"/>
    <w:rsid w:val="00864C88"/>
    <w:rsid w:val="0086504B"/>
    <w:rsid w:val="00865683"/>
    <w:rsid w:val="00866AB0"/>
    <w:rsid w:val="008673DC"/>
    <w:rsid w:val="00867590"/>
    <w:rsid w:val="00867641"/>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6147"/>
    <w:rsid w:val="008E718F"/>
    <w:rsid w:val="008E7F2B"/>
    <w:rsid w:val="008F029D"/>
    <w:rsid w:val="008F0475"/>
    <w:rsid w:val="008F0EC0"/>
    <w:rsid w:val="008F1B75"/>
    <w:rsid w:val="008F1F4A"/>
    <w:rsid w:val="008F29FA"/>
    <w:rsid w:val="008F2B65"/>
    <w:rsid w:val="008F2C11"/>
    <w:rsid w:val="008F3034"/>
    <w:rsid w:val="008F32C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8C0"/>
    <w:rsid w:val="009A58DF"/>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3323"/>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14A0"/>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051"/>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47A"/>
    <w:rsid w:val="00A60C1C"/>
    <w:rsid w:val="00A614E1"/>
    <w:rsid w:val="00A6212A"/>
    <w:rsid w:val="00A62907"/>
    <w:rsid w:val="00A62F0D"/>
    <w:rsid w:val="00A633B9"/>
    <w:rsid w:val="00A6352E"/>
    <w:rsid w:val="00A6372B"/>
    <w:rsid w:val="00A63DF1"/>
    <w:rsid w:val="00A640F5"/>
    <w:rsid w:val="00A64B1F"/>
    <w:rsid w:val="00A64B3F"/>
    <w:rsid w:val="00A64EA8"/>
    <w:rsid w:val="00A655A1"/>
    <w:rsid w:val="00A66072"/>
    <w:rsid w:val="00A667FD"/>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161"/>
    <w:rsid w:val="00AE1411"/>
    <w:rsid w:val="00AE2227"/>
    <w:rsid w:val="00AE3C6F"/>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517"/>
    <w:rsid w:val="00B15936"/>
    <w:rsid w:val="00B159AE"/>
    <w:rsid w:val="00B15D4C"/>
    <w:rsid w:val="00B16580"/>
    <w:rsid w:val="00B16EFB"/>
    <w:rsid w:val="00B17570"/>
    <w:rsid w:val="00B20DE8"/>
    <w:rsid w:val="00B20F62"/>
    <w:rsid w:val="00B22094"/>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2D9"/>
    <w:rsid w:val="00B37828"/>
    <w:rsid w:val="00B378A5"/>
    <w:rsid w:val="00B40764"/>
    <w:rsid w:val="00B41F02"/>
    <w:rsid w:val="00B4205B"/>
    <w:rsid w:val="00B42115"/>
    <w:rsid w:val="00B42C35"/>
    <w:rsid w:val="00B431EC"/>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3836"/>
    <w:rsid w:val="00B5425F"/>
    <w:rsid w:val="00B544F1"/>
    <w:rsid w:val="00B55075"/>
    <w:rsid w:val="00B5570E"/>
    <w:rsid w:val="00B55A4C"/>
    <w:rsid w:val="00B5637B"/>
    <w:rsid w:val="00B56876"/>
    <w:rsid w:val="00B56E21"/>
    <w:rsid w:val="00B606C7"/>
    <w:rsid w:val="00B61091"/>
    <w:rsid w:val="00B6342C"/>
    <w:rsid w:val="00B63EDF"/>
    <w:rsid w:val="00B63F98"/>
    <w:rsid w:val="00B64BCF"/>
    <w:rsid w:val="00B65CEE"/>
    <w:rsid w:val="00B66C2F"/>
    <w:rsid w:val="00B66D49"/>
    <w:rsid w:val="00B66EF2"/>
    <w:rsid w:val="00B674B4"/>
    <w:rsid w:val="00B7047D"/>
    <w:rsid w:val="00B70C04"/>
    <w:rsid w:val="00B7124B"/>
    <w:rsid w:val="00B71808"/>
    <w:rsid w:val="00B7361C"/>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898"/>
    <w:rsid w:val="00B91D8C"/>
    <w:rsid w:val="00B9216E"/>
    <w:rsid w:val="00B921CA"/>
    <w:rsid w:val="00B923BE"/>
    <w:rsid w:val="00B92405"/>
    <w:rsid w:val="00B92BF8"/>
    <w:rsid w:val="00B93166"/>
    <w:rsid w:val="00B93597"/>
    <w:rsid w:val="00B945B8"/>
    <w:rsid w:val="00B94CAE"/>
    <w:rsid w:val="00B95444"/>
    <w:rsid w:val="00B954FC"/>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78DF"/>
    <w:rsid w:val="00BD017C"/>
    <w:rsid w:val="00BD073A"/>
    <w:rsid w:val="00BD0895"/>
    <w:rsid w:val="00BD1149"/>
    <w:rsid w:val="00BD1A86"/>
    <w:rsid w:val="00BD1F20"/>
    <w:rsid w:val="00BD248A"/>
    <w:rsid w:val="00BD27FB"/>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222A"/>
    <w:rsid w:val="00BF2B66"/>
    <w:rsid w:val="00BF2BB5"/>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FB"/>
    <w:rsid w:val="00C07CED"/>
    <w:rsid w:val="00C10E43"/>
    <w:rsid w:val="00C10F32"/>
    <w:rsid w:val="00C1148B"/>
    <w:rsid w:val="00C117FA"/>
    <w:rsid w:val="00C1213F"/>
    <w:rsid w:val="00C121D8"/>
    <w:rsid w:val="00C124D9"/>
    <w:rsid w:val="00C139FB"/>
    <w:rsid w:val="00C13B7B"/>
    <w:rsid w:val="00C14198"/>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D0E"/>
    <w:rsid w:val="00C26996"/>
    <w:rsid w:val="00C30D66"/>
    <w:rsid w:val="00C30DFD"/>
    <w:rsid w:val="00C31368"/>
    <w:rsid w:val="00C3140D"/>
    <w:rsid w:val="00C3152E"/>
    <w:rsid w:val="00C31589"/>
    <w:rsid w:val="00C31D34"/>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6E9C"/>
    <w:rsid w:val="00C875A9"/>
    <w:rsid w:val="00C87E0E"/>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6075"/>
    <w:rsid w:val="00CD6808"/>
    <w:rsid w:val="00CD6886"/>
    <w:rsid w:val="00CD6EC2"/>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486F"/>
    <w:rsid w:val="00D1585D"/>
    <w:rsid w:val="00D1648D"/>
    <w:rsid w:val="00D16C69"/>
    <w:rsid w:val="00D174C8"/>
    <w:rsid w:val="00D17985"/>
    <w:rsid w:val="00D20486"/>
    <w:rsid w:val="00D20879"/>
    <w:rsid w:val="00D20BD0"/>
    <w:rsid w:val="00D21580"/>
    <w:rsid w:val="00D225D0"/>
    <w:rsid w:val="00D24B57"/>
    <w:rsid w:val="00D24BDD"/>
    <w:rsid w:val="00D24E4F"/>
    <w:rsid w:val="00D2531F"/>
    <w:rsid w:val="00D26BD8"/>
    <w:rsid w:val="00D2718C"/>
    <w:rsid w:val="00D2742A"/>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5196"/>
    <w:rsid w:val="00D85B60"/>
    <w:rsid w:val="00D86E7D"/>
    <w:rsid w:val="00D8751D"/>
    <w:rsid w:val="00D90C41"/>
    <w:rsid w:val="00D90C5A"/>
    <w:rsid w:val="00D90C72"/>
    <w:rsid w:val="00D90E5C"/>
    <w:rsid w:val="00D91756"/>
    <w:rsid w:val="00D91DE3"/>
    <w:rsid w:val="00D92270"/>
    <w:rsid w:val="00D925C2"/>
    <w:rsid w:val="00D93276"/>
    <w:rsid w:val="00D934FA"/>
    <w:rsid w:val="00D93B24"/>
    <w:rsid w:val="00D93B7C"/>
    <w:rsid w:val="00D946E2"/>
    <w:rsid w:val="00D959D1"/>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6C05"/>
    <w:rsid w:val="00DB7843"/>
    <w:rsid w:val="00DB7DE0"/>
    <w:rsid w:val="00DC02C2"/>
    <w:rsid w:val="00DC07AE"/>
    <w:rsid w:val="00DC12F1"/>
    <w:rsid w:val="00DC1C92"/>
    <w:rsid w:val="00DC1C9B"/>
    <w:rsid w:val="00DC1F7F"/>
    <w:rsid w:val="00DC25BC"/>
    <w:rsid w:val="00DC280D"/>
    <w:rsid w:val="00DC31AA"/>
    <w:rsid w:val="00DC40BE"/>
    <w:rsid w:val="00DC5501"/>
    <w:rsid w:val="00DC5BC0"/>
    <w:rsid w:val="00DC648D"/>
    <w:rsid w:val="00DC6AE0"/>
    <w:rsid w:val="00DC6AF7"/>
    <w:rsid w:val="00DC6EBD"/>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4D"/>
    <w:rsid w:val="00E232CE"/>
    <w:rsid w:val="00E238E1"/>
    <w:rsid w:val="00E24063"/>
    <w:rsid w:val="00E24994"/>
    <w:rsid w:val="00E25653"/>
    <w:rsid w:val="00E25BBF"/>
    <w:rsid w:val="00E26D6A"/>
    <w:rsid w:val="00E272C7"/>
    <w:rsid w:val="00E27AD1"/>
    <w:rsid w:val="00E30BC0"/>
    <w:rsid w:val="00E30CB2"/>
    <w:rsid w:val="00E30DCB"/>
    <w:rsid w:val="00E32974"/>
    <w:rsid w:val="00E33668"/>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00E"/>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946"/>
    <w:rsid w:val="00EB1BA8"/>
    <w:rsid w:val="00EB1BE2"/>
    <w:rsid w:val="00EB1E47"/>
    <w:rsid w:val="00EB24AC"/>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521"/>
    <w:rsid w:val="00EC5B4F"/>
    <w:rsid w:val="00EC6049"/>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2CB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9FE"/>
    <w:rsid w:val="00FC3848"/>
    <w:rsid w:val="00FC3FED"/>
    <w:rsid w:val="00FC4981"/>
    <w:rsid w:val="00FC52D9"/>
    <w:rsid w:val="00FC5A51"/>
    <w:rsid w:val="00FC5FDF"/>
    <w:rsid w:val="00FC634F"/>
    <w:rsid w:val="00FC6ED6"/>
    <w:rsid w:val="00FC7A48"/>
    <w:rsid w:val="00FC7CC8"/>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B571D9"/>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ents.arkadin.com/ev/docs/NE_W2_TF_Events_International_Access_Lis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8" ma:contentTypeDescription="Create a new document." ma:contentTypeScope="" ma:versionID="9b34a991e69a037c59ef9500f37bee01">
  <xsd:schema xmlns:xsd="http://www.w3.org/2001/XMLSchema" xmlns:xs="http://www.w3.org/2001/XMLSchema" xmlns:p="http://schemas.microsoft.com/office/2006/metadata/properties" xmlns:ns3="62047215-bc15-4fd2-969a-15a725718b5d" targetNamespace="http://schemas.microsoft.com/office/2006/metadata/properties" ma:root="true" ma:fieldsID="e98613527bf74145a3632b1b681a0dd7"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8E518-D8F9-40CF-9F3C-14194085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3.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B3F909-AF56-44CF-9D2C-9BA975CA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6</cp:revision>
  <cp:lastPrinted>2019-08-12T13:04:00Z</cp:lastPrinted>
  <dcterms:created xsi:type="dcterms:W3CDTF">2019-08-12T13:15:00Z</dcterms:created>
  <dcterms:modified xsi:type="dcterms:W3CDTF">2019-08-12T13:26:00Z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