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EA58" w14:textId="77777777" w:rsidR="00502612" w:rsidRDefault="00502612" w:rsidP="00CC3118">
      <w:pPr>
        <w:spacing w:line="276" w:lineRule="auto"/>
        <w:jc w:val="center"/>
        <w:rPr>
          <w:rFonts w:ascii="Calibri Light" w:eastAsia="Times New Roman" w:hAnsi="Calibri Light" w:cs="Calibri Light"/>
          <w:b/>
          <w:bCs/>
          <w:snapToGrid w:val="0"/>
          <w:color w:val="00679B"/>
          <w:sz w:val="32"/>
          <w:szCs w:val="32"/>
        </w:rPr>
      </w:pPr>
      <w:bookmarkStart w:id="0" w:name="_GoBack"/>
      <w:bookmarkEnd w:id="0"/>
    </w:p>
    <w:p w14:paraId="4BB885D5" w14:textId="56841D9C" w:rsidR="00CC3118" w:rsidRPr="00CC3118" w:rsidRDefault="009C12D3" w:rsidP="00CC3118">
      <w:pPr>
        <w:spacing w:line="276" w:lineRule="auto"/>
        <w:jc w:val="center"/>
        <w:rPr>
          <w:rFonts w:ascii="Calibri Light" w:eastAsia="Times New Roman" w:hAnsi="Calibri Light" w:cs="Calibri Light"/>
          <w:b/>
          <w:bCs/>
          <w:snapToGrid w:val="0"/>
          <w:color w:val="00679B"/>
          <w:sz w:val="32"/>
          <w:szCs w:val="32"/>
        </w:rPr>
      </w:pPr>
      <w:r w:rsidRPr="00CC3118">
        <w:rPr>
          <w:rFonts w:ascii="Calibri Light" w:eastAsia="Times New Roman" w:hAnsi="Calibri Light" w:cs="Calibri Light"/>
          <w:b/>
          <w:bCs/>
          <w:snapToGrid w:val="0"/>
          <w:color w:val="00679B"/>
          <w:sz w:val="32"/>
          <w:szCs w:val="32"/>
        </w:rPr>
        <w:t xml:space="preserve">Pharming announces </w:t>
      </w:r>
      <w:r w:rsidR="001E7374">
        <w:rPr>
          <w:rFonts w:ascii="Calibri Light" w:eastAsia="Times New Roman" w:hAnsi="Calibri Light" w:cs="Calibri Light"/>
          <w:b/>
          <w:bCs/>
          <w:snapToGrid w:val="0"/>
          <w:color w:val="00679B"/>
          <w:sz w:val="32"/>
          <w:szCs w:val="32"/>
        </w:rPr>
        <w:t xml:space="preserve">the </w:t>
      </w:r>
      <w:r w:rsidR="00CC3118" w:rsidRPr="00CC3118">
        <w:rPr>
          <w:rFonts w:ascii="Calibri Light" w:eastAsia="Times New Roman" w:hAnsi="Calibri Light" w:cs="Calibri Light"/>
          <w:b/>
          <w:bCs/>
          <w:snapToGrid w:val="0"/>
          <w:color w:val="00679B"/>
          <w:sz w:val="32"/>
          <w:szCs w:val="32"/>
        </w:rPr>
        <w:t xml:space="preserve">publication of </w:t>
      </w:r>
      <w:r w:rsidR="001E7374">
        <w:rPr>
          <w:rFonts w:ascii="Calibri Light" w:eastAsia="Times New Roman" w:hAnsi="Calibri Light" w:cs="Calibri Light"/>
          <w:b/>
          <w:bCs/>
          <w:snapToGrid w:val="0"/>
          <w:color w:val="00679B"/>
          <w:sz w:val="32"/>
          <w:szCs w:val="32"/>
        </w:rPr>
        <w:t xml:space="preserve">data </w:t>
      </w:r>
      <w:r w:rsidR="004218B6">
        <w:rPr>
          <w:rFonts w:ascii="Calibri Light" w:eastAsia="Times New Roman" w:hAnsi="Calibri Light" w:cs="Calibri Light"/>
          <w:b/>
          <w:bCs/>
          <w:snapToGrid w:val="0"/>
          <w:color w:val="00679B"/>
          <w:sz w:val="32"/>
          <w:szCs w:val="32"/>
        </w:rPr>
        <w:t xml:space="preserve">from </w:t>
      </w:r>
      <w:r w:rsidR="00C3191D">
        <w:rPr>
          <w:rFonts w:ascii="Calibri Light" w:eastAsia="Times New Roman" w:hAnsi="Calibri Light" w:cs="Calibri Light"/>
          <w:b/>
          <w:bCs/>
          <w:snapToGrid w:val="0"/>
          <w:color w:val="00679B"/>
          <w:sz w:val="32"/>
          <w:szCs w:val="32"/>
        </w:rPr>
        <w:t>a</w:t>
      </w:r>
      <w:r w:rsidR="00CC3118" w:rsidRPr="00CC3118">
        <w:rPr>
          <w:rFonts w:ascii="Calibri Light" w:eastAsia="Times New Roman" w:hAnsi="Calibri Light" w:cs="Calibri Light"/>
          <w:b/>
          <w:bCs/>
          <w:snapToGrid w:val="0"/>
          <w:color w:val="00679B"/>
          <w:sz w:val="32"/>
          <w:szCs w:val="32"/>
        </w:rPr>
        <w:t xml:space="preserve"> compassionate use </w:t>
      </w:r>
      <w:r w:rsidR="00C3191D">
        <w:rPr>
          <w:rFonts w:ascii="Calibri Light" w:eastAsia="Times New Roman" w:hAnsi="Calibri Light" w:cs="Calibri Light"/>
          <w:b/>
          <w:bCs/>
          <w:snapToGrid w:val="0"/>
          <w:color w:val="00679B"/>
          <w:sz w:val="32"/>
          <w:szCs w:val="32"/>
        </w:rPr>
        <w:t xml:space="preserve">programme of </w:t>
      </w:r>
      <w:r w:rsidR="00CC3118" w:rsidRPr="00CC3118">
        <w:rPr>
          <w:rFonts w:ascii="Calibri Light" w:eastAsia="Times New Roman" w:hAnsi="Calibri Light" w:cs="Calibri Light"/>
          <w:b/>
          <w:bCs/>
          <w:snapToGrid w:val="0"/>
          <w:color w:val="00679B"/>
          <w:sz w:val="32"/>
          <w:szCs w:val="32"/>
        </w:rPr>
        <w:t>RUCONEST®</w:t>
      </w:r>
      <w:r w:rsidR="004218B6">
        <w:rPr>
          <w:rFonts w:ascii="Calibri Light" w:eastAsia="Times New Roman" w:hAnsi="Calibri Light" w:cs="Calibri Light"/>
          <w:b/>
          <w:bCs/>
          <w:snapToGrid w:val="0"/>
          <w:color w:val="00679B"/>
          <w:sz w:val="32"/>
          <w:szCs w:val="32"/>
        </w:rPr>
        <w:t xml:space="preserve"> in COVID-19 patients in a </w:t>
      </w:r>
      <w:r w:rsidR="004218B6" w:rsidRPr="004218B6">
        <w:rPr>
          <w:rFonts w:ascii="Calibri Light" w:eastAsia="Times New Roman" w:hAnsi="Calibri Light" w:cs="Calibri Light"/>
          <w:b/>
          <w:bCs/>
          <w:snapToGrid w:val="0"/>
          <w:color w:val="00679B"/>
          <w:sz w:val="32"/>
          <w:szCs w:val="32"/>
        </w:rPr>
        <w:t>peer-review</w:t>
      </w:r>
      <w:r w:rsidR="00897860">
        <w:rPr>
          <w:rFonts w:ascii="Calibri Light" w:eastAsia="Times New Roman" w:hAnsi="Calibri Light" w:cs="Calibri Light"/>
          <w:b/>
          <w:bCs/>
          <w:snapToGrid w:val="0"/>
          <w:color w:val="00679B"/>
          <w:sz w:val="32"/>
          <w:szCs w:val="32"/>
        </w:rPr>
        <w:t>ed</w:t>
      </w:r>
      <w:r w:rsidR="004218B6" w:rsidRPr="004218B6">
        <w:rPr>
          <w:rFonts w:ascii="Calibri Light" w:eastAsia="Times New Roman" w:hAnsi="Calibri Light" w:cs="Calibri Light"/>
          <w:b/>
          <w:bCs/>
          <w:snapToGrid w:val="0"/>
          <w:color w:val="00679B"/>
          <w:sz w:val="32"/>
          <w:szCs w:val="32"/>
        </w:rPr>
        <w:t xml:space="preserve"> journal</w:t>
      </w:r>
    </w:p>
    <w:p w14:paraId="00F31686" w14:textId="02CA85AE" w:rsidR="00CC3118" w:rsidRPr="00F552FF" w:rsidRDefault="00CC3118" w:rsidP="00CC3118">
      <w:pPr>
        <w:rPr>
          <w:rFonts w:ascii="Calibri Light" w:hAnsi="Calibri Light"/>
          <w:color w:val="59595B"/>
        </w:rPr>
      </w:pPr>
      <w:r w:rsidRPr="00912DFB">
        <w:rPr>
          <w:rStyle w:val="Emphasis"/>
          <w:rFonts w:ascii="Calibri Light" w:hAnsi="Calibri Light" w:cs="Calibri Light"/>
          <w:i/>
          <w:iCs/>
          <w:color w:val="00679B"/>
          <w:shd w:val="clear" w:color="auto" w:fill="FFFFFF"/>
        </w:rPr>
        <w:t xml:space="preserve">Leiden, The Netherlands, </w:t>
      </w:r>
      <w:r>
        <w:rPr>
          <w:rStyle w:val="Emphasis"/>
          <w:rFonts w:ascii="Calibri Light" w:hAnsi="Calibri Light" w:cs="Calibri Light"/>
          <w:color w:val="00679B"/>
          <w:shd w:val="clear" w:color="auto" w:fill="FFFFFF"/>
        </w:rPr>
        <w:t>1</w:t>
      </w:r>
      <w:r w:rsidR="00CA6AA6">
        <w:rPr>
          <w:rStyle w:val="Emphasis"/>
          <w:rFonts w:ascii="Calibri Light" w:hAnsi="Calibri Light" w:cs="Calibri Light"/>
          <w:color w:val="00679B"/>
          <w:shd w:val="clear" w:color="auto" w:fill="FFFFFF"/>
        </w:rPr>
        <w:t>7</w:t>
      </w:r>
      <w:r>
        <w:rPr>
          <w:rStyle w:val="Emphasis"/>
          <w:rFonts w:ascii="Calibri Light" w:hAnsi="Calibri Light" w:cs="Calibri Light"/>
          <w:color w:val="00679B"/>
          <w:shd w:val="clear" w:color="auto" w:fill="FFFFFF"/>
        </w:rPr>
        <w:t xml:space="preserve"> August</w:t>
      </w:r>
      <w:r w:rsidRPr="00912DFB">
        <w:rPr>
          <w:rStyle w:val="Emphasis"/>
          <w:rFonts w:ascii="Calibri Light" w:hAnsi="Calibri Light" w:cs="Calibri Light"/>
          <w:color w:val="00679B"/>
          <w:shd w:val="clear" w:color="auto" w:fill="FFFFFF"/>
        </w:rPr>
        <w:t xml:space="preserve"> 2020</w:t>
      </w:r>
      <w:r w:rsidRPr="00912DFB">
        <w:rPr>
          <w:rStyle w:val="Emphasis"/>
          <w:rFonts w:ascii="Calibri Light" w:hAnsi="Calibri Light" w:cs="Calibri Light"/>
          <w:i/>
          <w:iCs/>
          <w:color w:val="00679B"/>
          <w:shd w:val="clear" w:color="auto" w:fill="FFFFFF"/>
        </w:rPr>
        <w:t>:</w:t>
      </w:r>
      <w:r w:rsidRPr="00912DFB">
        <w:rPr>
          <w:rStyle w:val="Emphasis"/>
          <w:rFonts w:cs="Calibri Light"/>
          <w:i/>
          <w:iCs/>
          <w:color w:val="00679B"/>
        </w:rPr>
        <w:t xml:space="preserve"> </w:t>
      </w:r>
      <w:r w:rsidRPr="00F552FF">
        <w:rPr>
          <w:rFonts w:ascii="Calibri Light" w:hAnsi="Calibri Light"/>
          <w:color w:val="59595B"/>
        </w:rPr>
        <w:t>Pharming Group N.V. (“Pharming” or “the Company”) (Euronext Amsterdam: PHARM) today announce</w:t>
      </w:r>
      <w:r>
        <w:rPr>
          <w:rFonts w:ascii="Calibri Light" w:hAnsi="Calibri Light"/>
          <w:color w:val="59595B"/>
        </w:rPr>
        <w:t>s the</w:t>
      </w:r>
      <w:r w:rsidRPr="00F552FF">
        <w:rPr>
          <w:rFonts w:ascii="Calibri Light" w:hAnsi="Calibri Light"/>
          <w:color w:val="59595B"/>
        </w:rPr>
        <w:t xml:space="preserve"> </w:t>
      </w:r>
      <w:r>
        <w:rPr>
          <w:rFonts w:ascii="Calibri Light" w:hAnsi="Calibri Light"/>
          <w:color w:val="59595B"/>
        </w:rPr>
        <w:t xml:space="preserve">publication of data </w:t>
      </w:r>
      <w:r w:rsidR="004218B6">
        <w:rPr>
          <w:rFonts w:ascii="Calibri Light" w:hAnsi="Calibri Light"/>
          <w:color w:val="59595B"/>
        </w:rPr>
        <w:t>in the peer-reviewed journal</w:t>
      </w:r>
      <w:r w:rsidR="00C3191D">
        <w:rPr>
          <w:rFonts w:ascii="Calibri Light" w:hAnsi="Calibri Light"/>
          <w:color w:val="59595B"/>
        </w:rPr>
        <w:t>,</w:t>
      </w:r>
      <w:r w:rsidR="00C3191D" w:rsidRPr="00C3191D">
        <w:t xml:space="preserve"> </w:t>
      </w:r>
      <w:r w:rsidR="00C3191D" w:rsidRPr="00C3191D">
        <w:rPr>
          <w:rFonts w:ascii="Calibri Light" w:hAnsi="Calibri Light"/>
          <w:color w:val="59595B"/>
        </w:rPr>
        <w:t>Frontiers in Immunology</w:t>
      </w:r>
      <w:r w:rsidR="004218B6">
        <w:rPr>
          <w:rFonts w:ascii="Calibri Light" w:hAnsi="Calibri Light"/>
          <w:color w:val="59595B"/>
        </w:rPr>
        <w:t xml:space="preserve">, from a </w:t>
      </w:r>
      <w:r>
        <w:rPr>
          <w:rFonts w:ascii="Calibri Light" w:hAnsi="Calibri Light"/>
          <w:color w:val="59595B"/>
        </w:rPr>
        <w:t>compassionate use program</w:t>
      </w:r>
      <w:r w:rsidR="004218B6">
        <w:rPr>
          <w:rFonts w:ascii="Calibri Light" w:hAnsi="Calibri Light"/>
          <w:color w:val="59595B"/>
        </w:rPr>
        <w:t>me</w:t>
      </w:r>
      <w:r w:rsidR="00C3191D">
        <w:rPr>
          <w:rFonts w:ascii="Calibri Light" w:hAnsi="Calibri Light"/>
          <w:color w:val="59595B"/>
        </w:rPr>
        <w:t xml:space="preserve"> of </w:t>
      </w:r>
      <w:r w:rsidRPr="00F552FF">
        <w:rPr>
          <w:rFonts w:ascii="Calibri Light" w:hAnsi="Calibri Light"/>
          <w:color w:val="59595B"/>
        </w:rPr>
        <w:t>five patients with confirmed COVID-19 (SARS-CoV-2) infections hospitalised with related severe pneumonia that were treated with RUCONEST® (recombinant human C1 inhibitor</w:t>
      </w:r>
      <w:r w:rsidR="003C71C8">
        <w:rPr>
          <w:rFonts w:ascii="Calibri Light" w:hAnsi="Calibri Light"/>
          <w:color w:val="59595B"/>
        </w:rPr>
        <w:t>, conestat alfa</w:t>
      </w:r>
      <w:r w:rsidRPr="00F552FF">
        <w:rPr>
          <w:rFonts w:ascii="Calibri Light" w:hAnsi="Calibri Light"/>
          <w:color w:val="59595B"/>
        </w:rPr>
        <w:t xml:space="preserve">) at the University Hospital Basel, Switzerland. </w:t>
      </w:r>
    </w:p>
    <w:p w14:paraId="486D842B" w14:textId="53A19332" w:rsidR="001E7374" w:rsidRPr="00F552FF" w:rsidRDefault="00C3191D" w:rsidP="001E7374">
      <w:pPr>
        <w:rPr>
          <w:rFonts w:ascii="Calibri Light" w:hAnsi="Calibri Light"/>
          <w:bCs/>
          <w:color w:val="59595B"/>
        </w:rPr>
      </w:pPr>
      <w:r>
        <w:rPr>
          <w:rFonts w:ascii="Calibri Light" w:hAnsi="Calibri Light"/>
          <w:bCs/>
          <w:color w:val="59595B"/>
        </w:rPr>
        <w:t xml:space="preserve">As </w:t>
      </w:r>
      <w:r w:rsidR="009D490D">
        <w:rPr>
          <w:rFonts w:ascii="Calibri Light" w:hAnsi="Calibri Light"/>
          <w:bCs/>
          <w:color w:val="59595B"/>
        </w:rPr>
        <w:t xml:space="preserve">reported on </w:t>
      </w:r>
      <w:r>
        <w:rPr>
          <w:rFonts w:ascii="Calibri Light" w:hAnsi="Calibri Light"/>
          <w:bCs/>
          <w:color w:val="59595B"/>
        </w:rPr>
        <w:t>21 April 2020, f</w:t>
      </w:r>
      <w:r w:rsidR="001E7374" w:rsidRPr="00F552FF">
        <w:rPr>
          <w:rFonts w:ascii="Calibri Light" w:hAnsi="Calibri Light"/>
          <w:bCs/>
          <w:color w:val="59595B"/>
        </w:rPr>
        <w:t>ollowing treatment with RUCONEST®, fever resolved in four of the five patients within 48 hours, and laboratory markers of inflammation decreased significantly (CRP, IL-6).</w:t>
      </w:r>
      <w:r w:rsidR="001E7374" w:rsidRPr="00F552FF" w:rsidDel="00AF4CC6">
        <w:rPr>
          <w:rFonts w:ascii="Calibri Light" w:hAnsi="Calibri Light"/>
          <w:bCs/>
          <w:color w:val="59595B"/>
        </w:rPr>
        <w:t xml:space="preserve"> </w:t>
      </w:r>
      <w:r w:rsidR="001E7374" w:rsidRPr="00F552FF">
        <w:rPr>
          <w:rFonts w:ascii="Calibri Light" w:hAnsi="Calibri Light"/>
          <w:bCs/>
          <w:color w:val="59595B"/>
        </w:rPr>
        <w:t xml:space="preserve">Soon thereafter, </w:t>
      </w:r>
      <w:r w:rsidR="009D490D" w:rsidRPr="009D490D">
        <w:rPr>
          <w:rFonts w:ascii="Calibri Light" w:hAnsi="Calibri Light"/>
          <w:bCs/>
          <w:color w:val="59595B"/>
        </w:rPr>
        <w:t xml:space="preserve">four of the five patients were </w:t>
      </w:r>
      <w:r w:rsidR="001E7374" w:rsidRPr="00F552FF">
        <w:rPr>
          <w:rFonts w:ascii="Calibri Light" w:hAnsi="Calibri Light"/>
          <w:bCs/>
          <w:color w:val="59595B"/>
        </w:rPr>
        <w:t xml:space="preserve">discharged from the hospital as fully recovered. One patient had increased oxygen requirement and was </w:t>
      </w:r>
      <w:r w:rsidR="00D41164">
        <w:rPr>
          <w:rFonts w:ascii="Calibri Light" w:hAnsi="Calibri Light"/>
          <w:bCs/>
          <w:color w:val="59595B"/>
        </w:rPr>
        <w:t>temporarily</w:t>
      </w:r>
      <w:r w:rsidR="00D41164" w:rsidRPr="00F552FF">
        <w:rPr>
          <w:rFonts w:ascii="Calibri Light" w:hAnsi="Calibri Light"/>
          <w:bCs/>
          <w:color w:val="59595B"/>
        </w:rPr>
        <w:t xml:space="preserve"> </w:t>
      </w:r>
      <w:r w:rsidR="001E7374" w:rsidRPr="00F552FF">
        <w:rPr>
          <w:rFonts w:ascii="Calibri Light" w:hAnsi="Calibri Light"/>
          <w:bCs/>
          <w:color w:val="59595B"/>
        </w:rPr>
        <w:t>transferred to the ICU for intubation</w:t>
      </w:r>
      <w:r w:rsidR="009D490D">
        <w:rPr>
          <w:rFonts w:ascii="Calibri Light" w:hAnsi="Calibri Light"/>
          <w:bCs/>
          <w:color w:val="59595B"/>
        </w:rPr>
        <w:t xml:space="preserve"> but </w:t>
      </w:r>
      <w:r w:rsidR="00D41164">
        <w:rPr>
          <w:rFonts w:ascii="Calibri Light" w:hAnsi="Calibri Light"/>
          <w:bCs/>
          <w:color w:val="59595B"/>
        </w:rPr>
        <w:t xml:space="preserve">over the subsequent days </w:t>
      </w:r>
      <w:r w:rsidR="001E7374">
        <w:rPr>
          <w:rFonts w:ascii="Calibri Light" w:hAnsi="Calibri Light"/>
          <w:bCs/>
          <w:color w:val="59595B"/>
        </w:rPr>
        <w:t>made a full recovery.</w:t>
      </w:r>
    </w:p>
    <w:p w14:paraId="2579A46A" w14:textId="6B4D69E5" w:rsidR="00CA6AA6" w:rsidRPr="003B30A2" w:rsidRDefault="004818A8" w:rsidP="004818A8">
      <w:r>
        <w:rPr>
          <w:rFonts w:asciiTheme="majorHAnsi" w:hAnsiTheme="majorHAnsi" w:cstheme="majorHAnsi"/>
          <w:color w:val="525252" w:themeColor="accent3" w:themeShade="80"/>
        </w:rPr>
        <w:t xml:space="preserve">Given this was a small case series, the outcomes were </w:t>
      </w:r>
      <w:r w:rsidR="00CA6AA6" w:rsidRPr="00BB6BD9">
        <w:rPr>
          <w:rFonts w:asciiTheme="majorHAnsi" w:hAnsiTheme="majorHAnsi" w:cstheme="majorHAnsi"/>
          <w:color w:val="525252" w:themeColor="accent3" w:themeShade="80"/>
        </w:rPr>
        <w:t>retrospectively compared to a matched control population of 15 patients. Baseline characteristics, admission laboratory parameters and treatments administered were similar in both groups.</w:t>
      </w:r>
      <w:r>
        <w:rPr>
          <w:rFonts w:asciiTheme="majorHAnsi" w:hAnsiTheme="majorHAnsi" w:cstheme="majorHAnsi"/>
          <w:color w:val="525252" w:themeColor="accent3" w:themeShade="80"/>
        </w:rPr>
        <w:t xml:space="preserve">  Both groups received standard of care as well as experimental therapies including antiviral and anti-cytokine directed medications.</w:t>
      </w:r>
      <w:r w:rsidR="00CA6AA6" w:rsidRPr="00BB6BD9">
        <w:rPr>
          <w:rFonts w:asciiTheme="majorHAnsi" w:hAnsiTheme="majorHAnsi" w:cstheme="majorHAnsi"/>
          <w:color w:val="525252" w:themeColor="accent3" w:themeShade="80"/>
        </w:rPr>
        <w:t xml:space="preserve"> However, 8/15 (53%) patients in the control population required mechanical ventilation and 4 of these patients died, compared to only 1 (20%) requiring mechanical ventilation and no deaths in the </w:t>
      </w:r>
      <w:r w:rsidR="003B30A2" w:rsidRPr="00F552FF">
        <w:rPr>
          <w:rFonts w:ascii="Calibri Light" w:hAnsi="Calibri Light"/>
          <w:bCs/>
          <w:color w:val="59595B"/>
        </w:rPr>
        <w:t>RUCONEST®</w:t>
      </w:r>
      <w:r w:rsidR="00CA6AA6" w:rsidRPr="00BB6BD9">
        <w:rPr>
          <w:rFonts w:asciiTheme="majorHAnsi" w:hAnsiTheme="majorHAnsi" w:cstheme="majorHAnsi"/>
          <w:color w:val="525252" w:themeColor="accent3" w:themeShade="80"/>
        </w:rPr>
        <w:t xml:space="preserve"> group.</w:t>
      </w:r>
      <w:r w:rsidRPr="004818A8">
        <w:t xml:space="preserve"> </w:t>
      </w:r>
      <w:r>
        <w:rPr>
          <w:rFonts w:asciiTheme="majorHAnsi" w:hAnsiTheme="majorHAnsi" w:cstheme="majorHAnsi"/>
          <w:color w:val="525252" w:themeColor="accent3" w:themeShade="80"/>
        </w:rPr>
        <w:t>Overall, treatment</w:t>
      </w:r>
      <w:r w:rsidRPr="004818A8">
        <w:rPr>
          <w:rFonts w:asciiTheme="majorHAnsi" w:hAnsiTheme="majorHAnsi" w:cstheme="majorHAnsi"/>
          <w:color w:val="525252" w:themeColor="accent3" w:themeShade="80"/>
        </w:rPr>
        <w:t xml:space="preserve"> with</w:t>
      </w:r>
      <w:r w:rsidR="00F52F60">
        <w:rPr>
          <w:rFonts w:asciiTheme="majorHAnsi" w:hAnsiTheme="majorHAnsi" w:cstheme="majorHAnsi"/>
          <w:color w:val="525252" w:themeColor="accent3" w:themeShade="80"/>
        </w:rPr>
        <w:t>,</w:t>
      </w:r>
      <w:r>
        <w:rPr>
          <w:rFonts w:asciiTheme="majorHAnsi" w:hAnsiTheme="majorHAnsi" w:cstheme="majorHAnsi"/>
          <w:color w:val="525252" w:themeColor="accent3" w:themeShade="80"/>
        </w:rPr>
        <w:t xml:space="preserve"> </w:t>
      </w:r>
      <w:r w:rsidR="00E8014F">
        <w:rPr>
          <w:rFonts w:asciiTheme="majorHAnsi" w:hAnsiTheme="majorHAnsi" w:cstheme="majorHAnsi"/>
          <w:color w:val="525252" w:themeColor="accent3" w:themeShade="80"/>
        </w:rPr>
        <w:t xml:space="preserve">in total five </w:t>
      </w:r>
      <w:r w:rsidR="006C0E60">
        <w:rPr>
          <w:rFonts w:asciiTheme="majorHAnsi" w:hAnsiTheme="majorHAnsi" w:cstheme="majorHAnsi"/>
          <w:color w:val="525252" w:themeColor="accent3" w:themeShade="80"/>
        </w:rPr>
        <w:t>normal</w:t>
      </w:r>
      <w:r w:rsidR="00067728">
        <w:rPr>
          <w:rFonts w:asciiTheme="majorHAnsi" w:hAnsiTheme="majorHAnsi" w:cstheme="majorHAnsi"/>
          <w:color w:val="525252" w:themeColor="accent3" w:themeShade="80"/>
        </w:rPr>
        <w:t xml:space="preserve"> </w:t>
      </w:r>
      <w:r w:rsidR="00E8014F">
        <w:rPr>
          <w:rFonts w:asciiTheme="majorHAnsi" w:hAnsiTheme="majorHAnsi" w:cstheme="majorHAnsi"/>
          <w:color w:val="525252" w:themeColor="accent3" w:themeShade="80"/>
        </w:rPr>
        <w:t>dos</w:t>
      </w:r>
      <w:r w:rsidR="00067728">
        <w:rPr>
          <w:rFonts w:asciiTheme="majorHAnsi" w:hAnsiTheme="majorHAnsi" w:cstheme="majorHAnsi"/>
          <w:color w:val="525252" w:themeColor="accent3" w:themeShade="80"/>
        </w:rPr>
        <w:t>e</w:t>
      </w:r>
      <w:r w:rsidR="00E8014F">
        <w:rPr>
          <w:rFonts w:asciiTheme="majorHAnsi" w:hAnsiTheme="majorHAnsi" w:cstheme="majorHAnsi"/>
          <w:color w:val="525252" w:themeColor="accent3" w:themeShade="80"/>
        </w:rPr>
        <w:t xml:space="preserve"> equiva</w:t>
      </w:r>
      <w:r w:rsidR="00067728">
        <w:rPr>
          <w:rFonts w:asciiTheme="majorHAnsi" w:hAnsiTheme="majorHAnsi" w:cstheme="majorHAnsi"/>
          <w:color w:val="525252" w:themeColor="accent3" w:themeShade="80"/>
        </w:rPr>
        <w:t xml:space="preserve">lents of </w:t>
      </w:r>
      <w:r>
        <w:rPr>
          <w:rFonts w:asciiTheme="majorHAnsi" w:hAnsiTheme="majorHAnsi" w:cstheme="majorHAnsi"/>
          <w:color w:val="525252" w:themeColor="accent3" w:themeShade="80"/>
        </w:rPr>
        <w:t>RUCONEST</w:t>
      </w:r>
      <w:r w:rsidR="001C7885" w:rsidRPr="00F552FF">
        <w:rPr>
          <w:rFonts w:ascii="Calibri Light" w:hAnsi="Calibri Light"/>
          <w:bCs/>
          <w:color w:val="59595B"/>
        </w:rPr>
        <w:t>®</w:t>
      </w:r>
      <w:r w:rsidRPr="004818A8">
        <w:rPr>
          <w:rFonts w:asciiTheme="majorHAnsi" w:hAnsiTheme="majorHAnsi" w:cstheme="majorHAnsi"/>
          <w:color w:val="525252" w:themeColor="accent3" w:themeShade="80"/>
        </w:rPr>
        <w:t xml:space="preserve"> over 48h was well-tolerated</w:t>
      </w:r>
      <w:r>
        <w:rPr>
          <w:rFonts w:asciiTheme="majorHAnsi" w:hAnsiTheme="majorHAnsi" w:cstheme="majorHAnsi"/>
          <w:color w:val="525252" w:themeColor="accent3" w:themeShade="80"/>
        </w:rPr>
        <w:t>.</w:t>
      </w:r>
    </w:p>
    <w:p w14:paraId="656B9559" w14:textId="71A06AB1" w:rsidR="009A46F3" w:rsidRDefault="009A46F3">
      <w:pPr>
        <w:rPr>
          <w:rFonts w:asciiTheme="majorHAnsi" w:hAnsiTheme="majorHAnsi" w:cstheme="majorHAnsi"/>
          <w:bCs/>
          <w:color w:val="59595B"/>
        </w:rPr>
      </w:pPr>
      <w:r>
        <w:rPr>
          <w:rFonts w:asciiTheme="majorHAnsi" w:hAnsiTheme="majorHAnsi" w:cstheme="majorHAnsi"/>
          <w:bCs/>
          <w:color w:val="59595B"/>
        </w:rPr>
        <w:t>The full publication is available on the company’s website</w:t>
      </w:r>
      <w:r w:rsidR="00545D81">
        <w:rPr>
          <w:rFonts w:asciiTheme="majorHAnsi" w:hAnsiTheme="majorHAnsi" w:cstheme="majorHAnsi"/>
          <w:bCs/>
          <w:color w:val="59595B"/>
        </w:rPr>
        <w:t xml:space="preserve"> </w:t>
      </w:r>
      <w:hyperlink r:id="rId9" w:history="1">
        <w:r w:rsidRPr="00EF589B">
          <w:rPr>
            <w:rStyle w:val="Hyperlink"/>
            <w:rFonts w:asciiTheme="majorHAnsi" w:hAnsiTheme="majorHAnsi" w:cstheme="majorHAnsi"/>
            <w:bCs/>
          </w:rPr>
          <w:t>www.pharming.com</w:t>
        </w:r>
      </w:hyperlink>
      <w:r>
        <w:rPr>
          <w:rFonts w:asciiTheme="majorHAnsi" w:hAnsiTheme="majorHAnsi" w:cstheme="majorHAnsi"/>
          <w:bCs/>
          <w:color w:val="59595B"/>
        </w:rPr>
        <w:t xml:space="preserve"> </w:t>
      </w:r>
    </w:p>
    <w:p w14:paraId="3CF1E764" w14:textId="77777777" w:rsidR="009A46F3" w:rsidRDefault="009A46F3" w:rsidP="009A46F3">
      <w:pPr>
        <w:spacing w:line="276" w:lineRule="auto"/>
        <w:contextualSpacing/>
        <w:rPr>
          <w:rStyle w:val="Emphasis"/>
          <w:rFonts w:asciiTheme="majorHAnsi" w:hAnsiTheme="majorHAnsi" w:cstheme="minorHAnsi"/>
          <w:color w:val="00679B"/>
          <w:shd w:val="clear" w:color="auto" w:fill="FFFFFF"/>
        </w:rPr>
      </w:pPr>
    </w:p>
    <w:p w14:paraId="08E2741F" w14:textId="0DBD9460" w:rsidR="009A46F3" w:rsidRPr="004403D0" w:rsidRDefault="009A46F3" w:rsidP="009A46F3">
      <w:pPr>
        <w:spacing w:line="276" w:lineRule="auto"/>
        <w:contextualSpacing/>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rPr>
        <w:t>About Pharming Group N.V</w:t>
      </w:r>
      <w:r w:rsidRPr="003E514A">
        <w:rPr>
          <w:rStyle w:val="Emphasis"/>
          <w:rFonts w:asciiTheme="majorHAnsi" w:hAnsiTheme="majorHAnsi" w:cstheme="minorHAnsi"/>
          <w:color w:val="00679B"/>
          <w:shd w:val="clear" w:color="auto" w:fill="FFFFFF"/>
        </w:rPr>
        <w:t>.</w:t>
      </w:r>
    </w:p>
    <w:p w14:paraId="728D8055" w14:textId="77777777" w:rsidR="009A46F3" w:rsidRPr="004403D0" w:rsidRDefault="009A46F3" w:rsidP="009A46F3">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 xml:space="preserve">Pharming is a specialty pharmaceutical company developing innovative products for the safe, effective treatment of rare diseases and unmet medical needs. Pharming’s lead product, RUCONEST® (conestat alfa) is a recombinant human C1 esterase inhibitor approved for the treatment of acute </w:t>
      </w:r>
      <w:r>
        <w:rPr>
          <w:rFonts w:asciiTheme="majorHAnsi" w:hAnsiTheme="majorHAnsi" w:cstheme="minorHAnsi"/>
          <w:color w:val="59595B"/>
          <w:lang w:eastAsia="nl-NL"/>
        </w:rPr>
        <w:t>attacks of angio-edema</w:t>
      </w:r>
      <w:r w:rsidRPr="004403D0">
        <w:rPr>
          <w:rFonts w:asciiTheme="majorHAnsi" w:hAnsiTheme="majorHAnsi" w:cstheme="minorHAnsi"/>
          <w:color w:val="59595B"/>
          <w:lang w:eastAsia="nl-NL"/>
        </w:rPr>
        <w:t xml:space="preserve"> in patients </w:t>
      </w:r>
      <w:r>
        <w:rPr>
          <w:rFonts w:asciiTheme="majorHAnsi" w:hAnsiTheme="majorHAnsi" w:cstheme="minorHAnsi"/>
          <w:color w:val="59595B"/>
          <w:lang w:eastAsia="nl-NL"/>
        </w:rPr>
        <w:t>with h</w:t>
      </w:r>
      <w:r w:rsidRPr="004403D0">
        <w:rPr>
          <w:rFonts w:asciiTheme="majorHAnsi" w:hAnsiTheme="majorHAnsi" w:cstheme="minorHAnsi"/>
          <w:color w:val="59595B"/>
          <w:lang w:eastAsia="nl-NL"/>
        </w:rPr>
        <w:t xml:space="preserve">ereditary </w:t>
      </w:r>
      <w:r>
        <w:rPr>
          <w:rFonts w:asciiTheme="majorHAnsi" w:hAnsiTheme="majorHAnsi" w:cstheme="minorHAnsi"/>
          <w:color w:val="59595B"/>
          <w:lang w:eastAsia="nl-NL"/>
        </w:rPr>
        <w:t>a</w:t>
      </w:r>
      <w:r w:rsidRPr="004403D0">
        <w:rPr>
          <w:rFonts w:asciiTheme="majorHAnsi" w:hAnsiTheme="majorHAnsi" w:cstheme="minorHAnsi"/>
          <w:color w:val="59595B"/>
          <w:lang w:eastAsia="nl-NL"/>
        </w:rPr>
        <w:t>ngioedema (HAE)</w:t>
      </w:r>
      <w:r>
        <w:rPr>
          <w:rFonts w:asciiTheme="majorHAnsi" w:hAnsiTheme="majorHAnsi" w:cstheme="minorHAnsi"/>
          <w:color w:val="59595B"/>
          <w:lang w:eastAsia="nl-NL"/>
        </w:rPr>
        <w:t xml:space="preserve"> </w:t>
      </w:r>
      <w:r w:rsidRPr="004403D0">
        <w:rPr>
          <w:rFonts w:asciiTheme="majorHAnsi" w:hAnsiTheme="majorHAnsi" w:cstheme="minorHAnsi"/>
          <w:color w:val="59595B"/>
          <w:lang w:eastAsia="nl-NL"/>
        </w:rPr>
        <w:t>in Europe</w:t>
      </w:r>
      <w:r>
        <w:rPr>
          <w:rFonts w:asciiTheme="majorHAnsi" w:hAnsiTheme="majorHAnsi" w:cstheme="minorHAnsi"/>
          <w:color w:val="59595B"/>
          <w:lang w:eastAsia="nl-NL"/>
        </w:rPr>
        <w:t>;</w:t>
      </w:r>
      <w:r w:rsidRPr="004403D0">
        <w:rPr>
          <w:rFonts w:asciiTheme="majorHAnsi" w:hAnsiTheme="majorHAnsi" w:cstheme="minorHAnsi"/>
          <w:color w:val="59595B"/>
          <w:lang w:eastAsia="nl-NL"/>
        </w:rPr>
        <w:t xml:space="preserve"> </w:t>
      </w:r>
      <w:r>
        <w:rPr>
          <w:rFonts w:asciiTheme="majorHAnsi" w:hAnsiTheme="majorHAnsi" w:cstheme="minorHAnsi"/>
          <w:color w:val="59595B"/>
          <w:lang w:eastAsia="nl-NL"/>
        </w:rPr>
        <w:t xml:space="preserve">for adults, adolescents and children from two years of age, in </w:t>
      </w:r>
      <w:r w:rsidRPr="004403D0">
        <w:rPr>
          <w:rFonts w:asciiTheme="majorHAnsi" w:hAnsiTheme="majorHAnsi" w:cstheme="minorHAnsi"/>
          <w:color w:val="59595B"/>
          <w:lang w:eastAsia="nl-NL"/>
        </w:rPr>
        <w:t>the US,</w:t>
      </w:r>
      <w:r>
        <w:rPr>
          <w:rFonts w:asciiTheme="majorHAnsi" w:hAnsiTheme="majorHAnsi" w:cstheme="minorHAnsi"/>
          <w:color w:val="59595B"/>
          <w:lang w:eastAsia="nl-NL"/>
        </w:rPr>
        <w:t xml:space="preserve"> for adults and adolescents and in</w:t>
      </w:r>
      <w:r w:rsidRPr="004403D0">
        <w:rPr>
          <w:rFonts w:asciiTheme="majorHAnsi" w:hAnsiTheme="majorHAnsi" w:cstheme="minorHAnsi"/>
          <w:color w:val="59595B"/>
          <w:lang w:eastAsia="nl-NL"/>
        </w:rPr>
        <w:t xml:space="preserve"> Israel and South Korea. The product is available on a named-patient basis in other territories where it has not yet obtained marketing authorisation.</w:t>
      </w:r>
    </w:p>
    <w:p w14:paraId="39812A20" w14:textId="77777777" w:rsidR="009A46F3" w:rsidRDefault="009A46F3" w:rsidP="009A46F3">
      <w:pPr>
        <w:spacing w:line="276" w:lineRule="auto"/>
        <w:contextualSpacing/>
        <w:rPr>
          <w:rFonts w:asciiTheme="majorHAnsi" w:hAnsiTheme="majorHAnsi" w:cstheme="minorHAnsi"/>
          <w:color w:val="59595B"/>
          <w:lang w:eastAsia="nl-NL"/>
        </w:rPr>
      </w:pPr>
    </w:p>
    <w:p w14:paraId="2B39E12C" w14:textId="77777777" w:rsidR="009A46F3" w:rsidRPr="004403D0" w:rsidRDefault="009A46F3" w:rsidP="009A46F3">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 xml:space="preserve">RUCONEST® is commercialised by Pharming in the US and in Europe, and the Company holds all other commercialisation rights in other countries not specified below. In some of these other countries distribution is made in association with the HAEi Global Access Program (GAP). RUCONEST® is distributed in Argentina, Colombia, Costa Rica, the Dominican Republic, Panama, and Venezuela by Cytobioteck, in South Korea by HyupJin Corporation and in Israel by Kamada. </w:t>
      </w:r>
    </w:p>
    <w:p w14:paraId="66801CC3" w14:textId="77777777" w:rsidR="009A46F3" w:rsidRPr="004403D0" w:rsidRDefault="009A46F3" w:rsidP="009A46F3">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 xml:space="preserve">RUCONEST® is also being evaluated for various additional indications. Pharming’s technology platform includes a unique production process that has proven capable of producing industrial quantities of </w:t>
      </w:r>
      <w:r w:rsidRPr="004403D0">
        <w:rPr>
          <w:rFonts w:asciiTheme="majorHAnsi" w:hAnsiTheme="majorHAnsi" w:cstheme="minorHAnsi"/>
          <w:color w:val="59595B"/>
          <w:lang w:eastAsia="nl-NL"/>
        </w:rPr>
        <w:lastRenderedPageBreak/>
        <w:t xml:space="preserve">pure high quality recombinant human proteins in a more economical and less immunogenic way compared with current cell-line based methods. </w:t>
      </w:r>
    </w:p>
    <w:p w14:paraId="5BDC657E" w14:textId="77777777" w:rsidR="009A46F3" w:rsidRPr="004403D0" w:rsidRDefault="009A46F3" w:rsidP="009A46F3">
      <w:pPr>
        <w:spacing w:line="276" w:lineRule="auto"/>
        <w:contextualSpacing/>
        <w:rPr>
          <w:rFonts w:asciiTheme="majorHAnsi" w:hAnsiTheme="majorHAnsi" w:cstheme="minorHAnsi"/>
          <w:color w:val="59595B"/>
          <w:lang w:eastAsia="nl-NL"/>
        </w:rPr>
      </w:pPr>
    </w:p>
    <w:p w14:paraId="312E67E5" w14:textId="77777777" w:rsidR="009A46F3" w:rsidRPr="004403D0" w:rsidRDefault="009A46F3" w:rsidP="009A46F3">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Leads for enzyme replacement therapy (“ERT”) for Pompe and Fabry’s diseases are also being produced and optimised respectively at present.</w:t>
      </w:r>
    </w:p>
    <w:p w14:paraId="5C547CDA" w14:textId="77777777" w:rsidR="009A46F3" w:rsidRPr="004403D0" w:rsidRDefault="009A46F3" w:rsidP="009A46F3">
      <w:pPr>
        <w:spacing w:line="276" w:lineRule="auto"/>
        <w:contextualSpacing/>
        <w:rPr>
          <w:rFonts w:asciiTheme="majorHAnsi" w:hAnsiTheme="majorHAnsi" w:cstheme="minorHAnsi"/>
          <w:color w:val="59595B"/>
          <w:lang w:eastAsia="nl-NL"/>
        </w:rPr>
      </w:pPr>
    </w:p>
    <w:p w14:paraId="3046AE08" w14:textId="77777777" w:rsidR="009A46F3" w:rsidRPr="004403D0" w:rsidRDefault="009A46F3" w:rsidP="009A46F3">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Pharming has recently in-licensed leniolisib from Novartis, a small molecule and selective PI3Kδ inhibitor, which is in a registrational study for activated PI3K-delta syndrome (APDS), a rare form of Primary Immunodeficiency.</w:t>
      </w:r>
    </w:p>
    <w:p w14:paraId="228F45E5" w14:textId="77777777" w:rsidR="009A46F3" w:rsidRPr="004403D0" w:rsidRDefault="009A46F3" w:rsidP="009A46F3">
      <w:pPr>
        <w:spacing w:line="276" w:lineRule="auto"/>
        <w:contextualSpacing/>
        <w:rPr>
          <w:rFonts w:asciiTheme="majorHAnsi" w:hAnsiTheme="majorHAnsi" w:cstheme="minorHAnsi"/>
          <w:color w:val="59595B"/>
          <w:lang w:eastAsia="nl-NL"/>
        </w:rPr>
      </w:pPr>
    </w:p>
    <w:p w14:paraId="6D7925A0" w14:textId="77777777" w:rsidR="009A46F3" w:rsidRPr="004403D0" w:rsidRDefault="009A46F3" w:rsidP="009A46F3">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 xml:space="preserve">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 </w:t>
      </w:r>
    </w:p>
    <w:p w14:paraId="5BA5573F" w14:textId="77777777" w:rsidR="009A46F3" w:rsidRPr="004403D0" w:rsidRDefault="009A46F3" w:rsidP="009A46F3">
      <w:pPr>
        <w:spacing w:line="276" w:lineRule="auto"/>
        <w:contextualSpacing/>
        <w:rPr>
          <w:rFonts w:asciiTheme="majorHAnsi" w:hAnsiTheme="majorHAnsi" w:cstheme="minorHAnsi"/>
          <w:color w:val="59595B"/>
          <w:lang w:eastAsia="nl-NL"/>
        </w:rPr>
      </w:pPr>
    </w:p>
    <w:p w14:paraId="7110E9EB" w14:textId="77777777" w:rsidR="009A46F3" w:rsidRPr="004403D0" w:rsidRDefault="009A46F3" w:rsidP="009A46F3">
      <w:pPr>
        <w:spacing w:line="276" w:lineRule="auto"/>
        <w:contextualSpacing/>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rPr>
        <w:t>Forward-looking Statements</w:t>
      </w:r>
    </w:p>
    <w:p w14:paraId="30EADB00" w14:textId="454360D6" w:rsidR="009A46F3" w:rsidRDefault="009A46F3" w:rsidP="009A46F3">
      <w:pPr>
        <w:spacing w:after="120" w:line="276" w:lineRule="auto"/>
        <w:contextualSpacing/>
        <w:rPr>
          <w:rFonts w:asciiTheme="majorHAnsi" w:eastAsia="MS Mincho" w:hAnsiTheme="majorHAnsi" w:cstheme="minorHAnsi"/>
          <w:i/>
          <w:iCs/>
          <w:color w:val="59595B"/>
        </w:rPr>
      </w:pPr>
      <w:r w:rsidRPr="004403D0">
        <w:rPr>
          <w:rFonts w:asciiTheme="majorHAnsi" w:eastAsia="MS Mincho" w:hAnsiTheme="majorHAnsi" w:cstheme="minorHAnsi"/>
          <w:i/>
          <w:iCs/>
          <w:color w:val="59595B"/>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44E6DC24" w14:textId="77777777" w:rsidR="00780162" w:rsidRPr="004403D0" w:rsidRDefault="00780162" w:rsidP="009A46F3">
      <w:pPr>
        <w:spacing w:after="120" w:line="276" w:lineRule="auto"/>
        <w:contextualSpacing/>
        <w:rPr>
          <w:rFonts w:asciiTheme="majorHAnsi" w:eastAsia="MS Mincho" w:hAnsiTheme="majorHAnsi" w:cstheme="minorHAnsi"/>
          <w:i/>
          <w:iCs/>
          <w:color w:val="59595B"/>
        </w:rPr>
      </w:pPr>
    </w:p>
    <w:p w14:paraId="3CE067F1" w14:textId="2D18DBEF" w:rsidR="009A46F3" w:rsidRDefault="009A46F3" w:rsidP="009A46F3">
      <w:pPr>
        <w:spacing w:after="120" w:line="276" w:lineRule="auto"/>
        <w:contextualSpacing/>
        <w:rPr>
          <w:rFonts w:asciiTheme="majorHAnsi" w:eastAsia="MS Mincho" w:hAnsiTheme="majorHAnsi" w:cstheme="minorHAnsi"/>
          <w:i/>
          <w:iCs/>
          <w:color w:val="59595B"/>
        </w:rPr>
      </w:pPr>
      <w:r w:rsidRPr="004403D0">
        <w:rPr>
          <w:rFonts w:asciiTheme="majorHAnsi" w:eastAsia="MS Mincho" w:hAnsiTheme="majorHAnsi" w:cstheme="minorHAnsi"/>
          <w:i/>
          <w:iCs/>
          <w:color w:val="59595B"/>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2DBA23A3" w14:textId="77777777" w:rsidR="00780162" w:rsidRPr="004403D0" w:rsidRDefault="00780162" w:rsidP="009A46F3">
      <w:pPr>
        <w:spacing w:after="120" w:line="276" w:lineRule="auto"/>
        <w:contextualSpacing/>
        <w:rPr>
          <w:rFonts w:asciiTheme="majorHAnsi" w:eastAsia="MS Mincho" w:hAnsiTheme="majorHAnsi" w:cstheme="minorHAnsi"/>
          <w:i/>
          <w:iCs/>
          <w:color w:val="59595B"/>
        </w:rPr>
      </w:pPr>
    </w:p>
    <w:p w14:paraId="08005355" w14:textId="77777777" w:rsidR="009A46F3" w:rsidRPr="004403D0" w:rsidRDefault="009A46F3" w:rsidP="009A46F3">
      <w:pPr>
        <w:spacing w:after="120" w:line="276" w:lineRule="auto"/>
        <w:contextualSpacing/>
        <w:rPr>
          <w:rFonts w:asciiTheme="majorHAnsi" w:eastAsia="MS Mincho" w:hAnsiTheme="majorHAnsi" w:cstheme="minorHAnsi"/>
          <w:i/>
          <w:iCs/>
          <w:color w:val="59595B"/>
        </w:rPr>
      </w:pPr>
      <w:r w:rsidRPr="004403D0">
        <w:rPr>
          <w:rFonts w:asciiTheme="majorHAnsi" w:eastAsia="MS Mincho" w:hAnsiTheme="majorHAnsi" w:cstheme="minorHAnsi"/>
          <w:i/>
          <w:iCs/>
          <w:color w:val="59595B"/>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0F89A1FF" w14:textId="77777777" w:rsidR="009A46F3" w:rsidRPr="004403D0" w:rsidRDefault="009A46F3" w:rsidP="009A46F3">
      <w:pPr>
        <w:spacing w:line="276" w:lineRule="auto"/>
        <w:contextualSpacing/>
        <w:rPr>
          <w:rFonts w:asciiTheme="majorHAnsi" w:eastAsiaTheme="majorEastAsia" w:hAnsiTheme="majorHAnsi" w:cstheme="minorHAnsi"/>
          <w:b/>
          <w:color w:val="59595B"/>
          <w:szCs w:val="28"/>
          <w:lang w:eastAsia="zh-CN"/>
        </w:rPr>
      </w:pPr>
    </w:p>
    <w:p w14:paraId="2E187D5E" w14:textId="16AAF7F3" w:rsidR="009A46F3" w:rsidRDefault="009A46F3" w:rsidP="009A46F3">
      <w:pPr>
        <w:spacing w:line="276" w:lineRule="auto"/>
        <w:contextualSpacing/>
        <w:rPr>
          <w:rFonts w:asciiTheme="majorHAnsi" w:eastAsiaTheme="majorEastAsia" w:hAnsiTheme="majorHAnsi" w:cstheme="minorHAnsi"/>
          <w:b/>
          <w:color w:val="59595B"/>
          <w:szCs w:val="28"/>
          <w:lang w:eastAsia="zh-CN"/>
        </w:rPr>
      </w:pPr>
      <w:r w:rsidRPr="004403D0">
        <w:rPr>
          <w:rFonts w:asciiTheme="majorHAnsi" w:eastAsiaTheme="majorEastAsia" w:hAnsiTheme="majorHAnsi" w:cstheme="minorHAnsi"/>
          <w:b/>
          <w:color w:val="59595B"/>
          <w:szCs w:val="28"/>
          <w:lang w:eastAsia="zh-CN"/>
        </w:rPr>
        <w:t>For further public information, contact:</w:t>
      </w:r>
    </w:p>
    <w:p w14:paraId="37F6D1C9" w14:textId="77777777" w:rsidR="00780162" w:rsidRPr="004403D0" w:rsidRDefault="00780162" w:rsidP="009A46F3">
      <w:pPr>
        <w:spacing w:line="276" w:lineRule="auto"/>
        <w:contextualSpacing/>
        <w:rPr>
          <w:rFonts w:asciiTheme="majorHAnsi" w:eastAsiaTheme="majorEastAsia" w:hAnsiTheme="majorHAnsi" w:cstheme="minorHAnsi"/>
          <w:b/>
          <w:color w:val="59595B"/>
          <w:szCs w:val="28"/>
          <w:lang w:eastAsia="zh-CN"/>
        </w:rPr>
      </w:pPr>
    </w:p>
    <w:p w14:paraId="7A71C52B" w14:textId="77777777" w:rsidR="009A46F3" w:rsidRPr="004403D0" w:rsidRDefault="009A46F3" w:rsidP="009A46F3">
      <w:pPr>
        <w:spacing w:line="276" w:lineRule="auto"/>
        <w:contextualSpacing/>
        <w:rPr>
          <w:rFonts w:asciiTheme="majorHAnsi" w:hAnsiTheme="majorHAnsi" w:cstheme="minorHAnsi"/>
          <w:b/>
          <w:color w:val="59595B"/>
          <w:lang w:val="nl-NL"/>
        </w:rPr>
      </w:pPr>
      <w:r w:rsidRPr="004403D0">
        <w:rPr>
          <w:rFonts w:asciiTheme="majorHAnsi" w:hAnsiTheme="majorHAnsi" w:cstheme="minorHAnsi"/>
          <w:b/>
          <w:color w:val="59595B"/>
          <w:lang w:val="nl-NL"/>
        </w:rPr>
        <w:t>Pharming Group, Leiden, The Netherlands</w:t>
      </w:r>
    </w:p>
    <w:p w14:paraId="79A5F389" w14:textId="77777777" w:rsidR="009A46F3" w:rsidRPr="004403D0" w:rsidRDefault="009A46F3" w:rsidP="009A46F3">
      <w:pPr>
        <w:spacing w:line="276" w:lineRule="auto"/>
        <w:contextualSpacing/>
        <w:rPr>
          <w:rFonts w:asciiTheme="majorHAnsi" w:hAnsiTheme="majorHAnsi" w:cstheme="minorHAnsi"/>
          <w:color w:val="59595B"/>
          <w:lang w:val="nl-NL"/>
        </w:rPr>
      </w:pPr>
      <w:r w:rsidRPr="004403D0">
        <w:rPr>
          <w:rFonts w:asciiTheme="majorHAnsi" w:hAnsiTheme="majorHAnsi" w:cstheme="minorHAnsi"/>
          <w:color w:val="59595B"/>
          <w:lang w:val="nl-NL"/>
        </w:rPr>
        <w:t>Sijmen de Vries, CEO: T: +31 71 524 7400</w:t>
      </w:r>
    </w:p>
    <w:p w14:paraId="6E7CC4C7" w14:textId="77777777" w:rsidR="009A46F3" w:rsidRPr="004403D0" w:rsidRDefault="009A46F3" w:rsidP="009A46F3">
      <w:pPr>
        <w:spacing w:line="276" w:lineRule="auto"/>
        <w:contextualSpacing/>
        <w:rPr>
          <w:rFonts w:asciiTheme="majorHAnsi" w:eastAsia="SimSun" w:hAnsiTheme="majorHAnsi" w:cstheme="minorHAnsi"/>
          <w:i/>
          <w:color w:val="59595B"/>
          <w:lang w:eastAsia="zh-CN"/>
        </w:rPr>
      </w:pPr>
      <w:r w:rsidRPr="004403D0">
        <w:rPr>
          <w:rFonts w:asciiTheme="majorHAnsi" w:hAnsiTheme="majorHAnsi" w:cstheme="minorHAnsi"/>
          <w:color w:val="59595B"/>
        </w:rPr>
        <w:t>Susanne Embleton, Investor Relations Manager: +31 71 524 7400</w:t>
      </w:r>
      <w:r>
        <w:rPr>
          <w:rFonts w:asciiTheme="majorHAnsi" w:hAnsiTheme="majorHAnsi" w:cstheme="minorHAnsi"/>
          <w:color w:val="59595B"/>
        </w:rPr>
        <w:t>/investor@pharming.com</w:t>
      </w:r>
    </w:p>
    <w:p w14:paraId="262E02AB" w14:textId="77777777" w:rsidR="00780162" w:rsidRDefault="00780162" w:rsidP="009A46F3">
      <w:pPr>
        <w:spacing w:line="276" w:lineRule="auto"/>
        <w:contextualSpacing/>
        <w:rPr>
          <w:rFonts w:asciiTheme="majorHAnsi" w:eastAsia="SimSun" w:hAnsiTheme="majorHAnsi" w:cstheme="minorHAnsi"/>
          <w:b/>
          <w:color w:val="59595B"/>
          <w:lang w:eastAsia="zh-CN"/>
        </w:rPr>
      </w:pPr>
    </w:p>
    <w:p w14:paraId="6E028231" w14:textId="530C9E9E" w:rsidR="009A46F3" w:rsidRPr="004403D0" w:rsidRDefault="009A46F3" w:rsidP="009A46F3">
      <w:pPr>
        <w:spacing w:line="276" w:lineRule="auto"/>
        <w:contextualSpacing/>
        <w:rPr>
          <w:rFonts w:asciiTheme="majorHAnsi" w:eastAsia="SimSun" w:hAnsiTheme="majorHAnsi" w:cstheme="minorHAnsi"/>
          <w:b/>
          <w:color w:val="59595B"/>
          <w:lang w:eastAsia="zh-CN"/>
        </w:rPr>
      </w:pPr>
      <w:r w:rsidRPr="004403D0">
        <w:rPr>
          <w:rFonts w:asciiTheme="majorHAnsi" w:eastAsia="SimSun" w:hAnsiTheme="majorHAnsi" w:cstheme="minorHAnsi"/>
          <w:b/>
          <w:color w:val="59595B"/>
          <w:lang w:eastAsia="zh-CN"/>
        </w:rPr>
        <w:t>FTI Consulting, London, UK</w:t>
      </w:r>
    </w:p>
    <w:p w14:paraId="71497CA5" w14:textId="044E276B" w:rsidR="009A46F3" w:rsidRPr="004403D0" w:rsidRDefault="009A46F3" w:rsidP="009A46F3">
      <w:pPr>
        <w:spacing w:line="276" w:lineRule="auto"/>
        <w:contextualSpacing/>
        <w:rPr>
          <w:rFonts w:asciiTheme="majorHAnsi" w:eastAsia="SimSun" w:hAnsiTheme="majorHAnsi" w:cstheme="minorHAnsi"/>
          <w:color w:val="59595B"/>
          <w:lang w:eastAsia="zh-CN"/>
        </w:rPr>
      </w:pPr>
      <w:r w:rsidRPr="004403D0">
        <w:rPr>
          <w:rFonts w:asciiTheme="majorHAnsi" w:eastAsia="SimSun" w:hAnsiTheme="majorHAnsi" w:cstheme="minorHAnsi"/>
          <w:color w:val="59595B"/>
          <w:lang w:eastAsia="zh-CN"/>
        </w:rPr>
        <w:t xml:space="preserve">Victoria Foster Mitchell/Mary Whittow </w:t>
      </w:r>
    </w:p>
    <w:p w14:paraId="2B3FC70B" w14:textId="77777777" w:rsidR="009A46F3" w:rsidRPr="004403D0" w:rsidRDefault="009A46F3" w:rsidP="009A46F3">
      <w:pPr>
        <w:spacing w:line="276" w:lineRule="auto"/>
        <w:contextualSpacing/>
        <w:rPr>
          <w:rFonts w:asciiTheme="majorHAnsi" w:eastAsia="MS Mincho" w:hAnsiTheme="majorHAnsi" w:cstheme="minorHAnsi"/>
          <w:color w:val="59595B"/>
        </w:rPr>
      </w:pPr>
      <w:r w:rsidRPr="004403D0">
        <w:rPr>
          <w:rFonts w:asciiTheme="majorHAnsi" w:eastAsia="SimSun" w:hAnsiTheme="majorHAnsi" w:cstheme="minorHAnsi"/>
          <w:color w:val="59595B"/>
          <w:lang w:eastAsia="zh-CN"/>
        </w:rPr>
        <w:t xml:space="preserve">T: +44 </w:t>
      </w:r>
      <w:r w:rsidRPr="004403D0">
        <w:rPr>
          <w:rFonts w:asciiTheme="majorHAnsi" w:hAnsiTheme="majorHAnsi" w:cstheme="minorHAnsi"/>
          <w:color w:val="59595B"/>
        </w:rPr>
        <w:t>203 727 1000</w:t>
      </w:r>
    </w:p>
    <w:p w14:paraId="66EDA66A" w14:textId="77777777" w:rsidR="00780162" w:rsidRDefault="00780162" w:rsidP="009A46F3">
      <w:pPr>
        <w:spacing w:line="276" w:lineRule="auto"/>
        <w:contextualSpacing/>
        <w:rPr>
          <w:rFonts w:asciiTheme="majorHAnsi" w:eastAsia="MS Mincho" w:hAnsiTheme="majorHAnsi" w:cstheme="minorHAnsi"/>
          <w:b/>
          <w:color w:val="59595B"/>
        </w:rPr>
      </w:pPr>
    </w:p>
    <w:p w14:paraId="1A1B477C" w14:textId="14F06F61" w:rsidR="009A46F3" w:rsidRPr="004403D0" w:rsidRDefault="009A46F3" w:rsidP="009A46F3">
      <w:pPr>
        <w:spacing w:line="276" w:lineRule="auto"/>
        <w:contextualSpacing/>
        <w:rPr>
          <w:rFonts w:asciiTheme="majorHAnsi" w:eastAsia="MS Mincho" w:hAnsiTheme="majorHAnsi" w:cstheme="minorHAnsi"/>
          <w:b/>
          <w:color w:val="59595B"/>
        </w:rPr>
      </w:pPr>
      <w:r w:rsidRPr="004403D0">
        <w:rPr>
          <w:rFonts w:asciiTheme="majorHAnsi" w:eastAsia="MS Mincho" w:hAnsiTheme="majorHAnsi" w:cstheme="minorHAnsi"/>
          <w:b/>
          <w:color w:val="59595B"/>
        </w:rPr>
        <w:lastRenderedPageBreak/>
        <w:t>LifeSpring Life Sciences Communication, Amsterdam, The Netherlands</w:t>
      </w:r>
    </w:p>
    <w:p w14:paraId="23922EA6" w14:textId="77777777" w:rsidR="009A46F3" w:rsidRPr="004403D0" w:rsidRDefault="009A46F3" w:rsidP="009A46F3">
      <w:pPr>
        <w:autoSpaceDE w:val="0"/>
        <w:autoSpaceDN w:val="0"/>
        <w:spacing w:line="276" w:lineRule="auto"/>
        <w:contextualSpacing/>
        <w:rPr>
          <w:rFonts w:asciiTheme="majorHAnsi" w:eastAsia="MS Mincho" w:hAnsiTheme="majorHAnsi" w:cstheme="minorHAnsi"/>
          <w:color w:val="59595B"/>
          <w:lang w:val="de-DE"/>
        </w:rPr>
      </w:pPr>
      <w:r w:rsidRPr="004403D0">
        <w:rPr>
          <w:rFonts w:asciiTheme="majorHAnsi" w:eastAsia="MS Mincho" w:hAnsiTheme="majorHAnsi" w:cstheme="minorHAnsi"/>
          <w:color w:val="59595B"/>
          <w:lang w:val="de-DE"/>
        </w:rPr>
        <w:t>Leon Melens</w:t>
      </w:r>
    </w:p>
    <w:p w14:paraId="3A145E89" w14:textId="77777777" w:rsidR="009A46F3" w:rsidRPr="004403D0" w:rsidRDefault="009A46F3" w:rsidP="009A46F3">
      <w:pPr>
        <w:autoSpaceDE w:val="0"/>
        <w:autoSpaceDN w:val="0"/>
        <w:spacing w:line="276" w:lineRule="auto"/>
        <w:contextualSpacing/>
        <w:rPr>
          <w:rFonts w:asciiTheme="majorHAnsi" w:hAnsiTheme="majorHAnsi" w:cstheme="minorHAnsi"/>
          <w:color w:val="59595B"/>
          <w:lang w:val="de-DE"/>
        </w:rPr>
      </w:pPr>
      <w:r w:rsidRPr="004403D0">
        <w:rPr>
          <w:rFonts w:asciiTheme="majorHAnsi" w:eastAsia="MS Mincho" w:hAnsiTheme="majorHAnsi" w:cstheme="minorHAnsi"/>
          <w:color w:val="59595B"/>
          <w:lang w:val="de-DE"/>
        </w:rPr>
        <w:t>T: +</w:t>
      </w:r>
      <w:r w:rsidRPr="004403D0">
        <w:rPr>
          <w:rFonts w:asciiTheme="majorHAnsi" w:hAnsiTheme="majorHAnsi" w:cstheme="minorHAnsi"/>
          <w:color w:val="59595B"/>
          <w:lang w:val="de-DE"/>
        </w:rPr>
        <w:t>31 6 53 81 64 27</w:t>
      </w:r>
    </w:p>
    <w:p w14:paraId="3A7B8B81" w14:textId="77777777" w:rsidR="009A46F3" w:rsidRPr="004403D0" w:rsidRDefault="009A46F3" w:rsidP="009A46F3">
      <w:pPr>
        <w:autoSpaceDE w:val="0"/>
        <w:autoSpaceDN w:val="0"/>
        <w:spacing w:line="276" w:lineRule="auto"/>
        <w:contextualSpacing/>
        <w:rPr>
          <w:rFonts w:asciiTheme="majorHAnsi" w:hAnsiTheme="majorHAnsi" w:cstheme="minorHAnsi"/>
          <w:color w:val="59595B"/>
          <w:lang w:val="de-DE"/>
        </w:rPr>
      </w:pPr>
      <w:r w:rsidRPr="004403D0">
        <w:rPr>
          <w:rFonts w:asciiTheme="majorHAnsi" w:hAnsiTheme="majorHAnsi" w:cstheme="minorHAnsi"/>
          <w:color w:val="59595B"/>
          <w:lang w:val="de-DE"/>
        </w:rPr>
        <w:t>E: pharming@lifespring.nl</w:t>
      </w:r>
    </w:p>
    <w:p w14:paraId="1CA9DFAD" w14:textId="77777777" w:rsidR="004818A8" w:rsidRDefault="004818A8"/>
    <w:sectPr w:rsidR="004818A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3C674" w14:textId="77777777" w:rsidR="009A46F3" w:rsidRDefault="009A46F3" w:rsidP="009A46F3">
      <w:pPr>
        <w:spacing w:after="0" w:line="240" w:lineRule="auto"/>
      </w:pPr>
      <w:r>
        <w:separator/>
      </w:r>
    </w:p>
  </w:endnote>
  <w:endnote w:type="continuationSeparator" w:id="0">
    <w:p w14:paraId="31D2374F" w14:textId="77777777" w:rsidR="009A46F3" w:rsidRDefault="009A46F3" w:rsidP="009A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1A33" w14:textId="77777777" w:rsidR="009A46F3" w:rsidRDefault="009A46F3" w:rsidP="009A46F3">
      <w:pPr>
        <w:spacing w:after="0" w:line="240" w:lineRule="auto"/>
      </w:pPr>
      <w:r>
        <w:separator/>
      </w:r>
    </w:p>
  </w:footnote>
  <w:footnote w:type="continuationSeparator" w:id="0">
    <w:p w14:paraId="772FCC58" w14:textId="77777777" w:rsidR="009A46F3" w:rsidRDefault="009A46F3" w:rsidP="009A4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3CB75" w14:textId="7E3B0421" w:rsidR="009A46F3" w:rsidRDefault="009A46F3">
    <w:pPr>
      <w:pStyle w:val="Header"/>
    </w:pPr>
    <w:r w:rsidRPr="00365DBE">
      <w:rPr>
        <w:rFonts w:cstheme="minorHAnsi"/>
        <w:noProof/>
        <w:lang w:val="sv-SE" w:eastAsia="sv-SE"/>
      </w:rPr>
      <w:drawing>
        <wp:anchor distT="0" distB="0" distL="114300" distR="114300" simplePos="0" relativeHeight="251659264" behindDoc="1" locked="0" layoutInCell="1" allowOverlap="1" wp14:anchorId="391A5063" wp14:editId="7FFA1593">
          <wp:simplePos x="0" y="0"/>
          <wp:positionH relativeFrom="margin">
            <wp:align>right</wp:align>
          </wp:positionH>
          <wp:positionV relativeFrom="paragraph">
            <wp:posOffset>81915</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D3"/>
    <w:rsid w:val="00016D47"/>
    <w:rsid w:val="00067728"/>
    <w:rsid w:val="00152A25"/>
    <w:rsid w:val="001C7885"/>
    <w:rsid w:val="001E7374"/>
    <w:rsid w:val="003B30A2"/>
    <w:rsid w:val="003C71C8"/>
    <w:rsid w:val="004218B6"/>
    <w:rsid w:val="004818A8"/>
    <w:rsid w:val="00494067"/>
    <w:rsid w:val="004A62CD"/>
    <w:rsid w:val="00502612"/>
    <w:rsid w:val="00545D81"/>
    <w:rsid w:val="006C0E60"/>
    <w:rsid w:val="00780162"/>
    <w:rsid w:val="007D18B8"/>
    <w:rsid w:val="00897860"/>
    <w:rsid w:val="00953ADD"/>
    <w:rsid w:val="009A46F3"/>
    <w:rsid w:val="009C12D3"/>
    <w:rsid w:val="009D490D"/>
    <w:rsid w:val="00AD1EF3"/>
    <w:rsid w:val="00B617D0"/>
    <w:rsid w:val="00BB6BD9"/>
    <w:rsid w:val="00C3191D"/>
    <w:rsid w:val="00CA6AA6"/>
    <w:rsid w:val="00CC3118"/>
    <w:rsid w:val="00D41164"/>
    <w:rsid w:val="00E8014F"/>
    <w:rsid w:val="00F52F6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249B"/>
  <w15:chartTrackingRefBased/>
  <w15:docId w15:val="{C3B4A930-D431-4BDB-9049-54BC4F52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2D3"/>
    <w:rPr>
      <w:color w:val="0563C1" w:themeColor="hyperlink"/>
      <w:u w:val="single"/>
    </w:rPr>
  </w:style>
  <w:style w:type="paragraph" w:styleId="BalloonText">
    <w:name w:val="Balloon Text"/>
    <w:basedOn w:val="Normal"/>
    <w:link w:val="BalloonTextChar"/>
    <w:uiPriority w:val="99"/>
    <w:semiHidden/>
    <w:unhideWhenUsed/>
    <w:rsid w:val="009C1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D3"/>
    <w:rPr>
      <w:rFonts w:ascii="Segoe UI" w:hAnsi="Segoe UI" w:cs="Segoe UI"/>
      <w:sz w:val="18"/>
      <w:szCs w:val="18"/>
      <w:lang w:val="en-GB"/>
    </w:rPr>
  </w:style>
  <w:style w:type="character" w:styleId="FollowedHyperlink">
    <w:name w:val="FollowedHyperlink"/>
    <w:basedOn w:val="DefaultParagraphFont"/>
    <w:uiPriority w:val="99"/>
    <w:semiHidden/>
    <w:unhideWhenUsed/>
    <w:rsid w:val="009C12D3"/>
    <w:rPr>
      <w:color w:val="954F72" w:themeColor="followedHyperlink"/>
      <w:u w:val="single"/>
    </w:rPr>
  </w:style>
  <w:style w:type="character" w:styleId="Emphasis">
    <w:name w:val="Emphasis"/>
    <w:basedOn w:val="DefaultParagraphFont"/>
    <w:uiPriority w:val="20"/>
    <w:qFormat/>
    <w:rsid w:val="00CC3118"/>
    <w:rPr>
      <w:rFonts w:cs="Times New Roman"/>
      <w:b/>
      <w:bCs/>
    </w:rPr>
  </w:style>
  <w:style w:type="character" w:styleId="CommentReference">
    <w:name w:val="annotation reference"/>
    <w:basedOn w:val="DefaultParagraphFont"/>
    <w:uiPriority w:val="99"/>
    <w:semiHidden/>
    <w:unhideWhenUsed/>
    <w:rsid w:val="004818A8"/>
    <w:rPr>
      <w:sz w:val="16"/>
      <w:szCs w:val="16"/>
    </w:rPr>
  </w:style>
  <w:style w:type="paragraph" w:styleId="CommentText">
    <w:name w:val="annotation text"/>
    <w:basedOn w:val="Normal"/>
    <w:link w:val="CommentTextChar"/>
    <w:uiPriority w:val="99"/>
    <w:semiHidden/>
    <w:unhideWhenUsed/>
    <w:rsid w:val="004818A8"/>
    <w:pPr>
      <w:spacing w:line="240" w:lineRule="auto"/>
    </w:pPr>
    <w:rPr>
      <w:sz w:val="20"/>
      <w:szCs w:val="20"/>
    </w:rPr>
  </w:style>
  <w:style w:type="character" w:customStyle="1" w:styleId="CommentTextChar">
    <w:name w:val="Comment Text Char"/>
    <w:basedOn w:val="DefaultParagraphFont"/>
    <w:link w:val="CommentText"/>
    <w:uiPriority w:val="99"/>
    <w:semiHidden/>
    <w:rsid w:val="004818A8"/>
    <w:rPr>
      <w:sz w:val="20"/>
      <w:szCs w:val="20"/>
      <w:lang w:val="en-GB"/>
    </w:rPr>
  </w:style>
  <w:style w:type="paragraph" w:styleId="CommentSubject">
    <w:name w:val="annotation subject"/>
    <w:basedOn w:val="CommentText"/>
    <w:next w:val="CommentText"/>
    <w:link w:val="CommentSubjectChar"/>
    <w:uiPriority w:val="99"/>
    <w:semiHidden/>
    <w:unhideWhenUsed/>
    <w:rsid w:val="004818A8"/>
    <w:rPr>
      <w:b/>
      <w:bCs/>
    </w:rPr>
  </w:style>
  <w:style w:type="character" w:customStyle="1" w:styleId="CommentSubjectChar">
    <w:name w:val="Comment Subject Char"/>
    <w:basedOn w:val="CommentTextChar"/>
    <w:link w:val="CommentSubject"/>
    <w:uiPriority w:val="99"/>
    <w:semiHidden/>
    <w:rsid w:val="004818A8"/>
    <w:rPr>
      <w:b/>
      <w:bCs/>
      <w:sz w:val="20"/>
      <w:szCs w:val="20"/>
      <w:lang w:val="en-GB"/>
    </w:rPr>
  </w:style>
  <w:style w:type="paragraph" w:styleId="Header">
    <w:name w:val="header"/>
    <w:basedOn w:val="Normal"/>
    <w:link w:val="HeaderChar"/>
    <w:uiPriority w:val="99"/>
    <w:unhideWhenUsed/>
    <w:rsid w:val="009A4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6F3"/>
    <w:rPr>
      <w:lang w:val="en-GB"/>
    </w:rPr>
  </w:style>
  <w:style w:type="paragraph" w:styleId="Footer">
    <w:name w:val="footer"/>
    <w:basedOn w:val="Normal"/>
    <w:link w:val="FooterChar"/>
    <w:uiPriority w:val="99"/>
    <w:unhideWhenUsed/>
    <w:rsid w:val="009A4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6F3"/>
    <w:rPr>
      <w:lang w:val="en-GB"/>
    </w:rPr>
  </w:style>
  <w:style w:type="character" w:styleId="UnresolvedMention">
    <w:name w:val="Unresolved Mention"/>
    <w:basedOn w:val="DefaultParagraphFont"/>
    <w:uiPriority w:val="99"/>
    <w:semiHidden/>
    <w:unhideWhenUsed/>
    <w:rsid w:val="009A46F3"/>
    <w:rPr>
      <w:color w:val="605E5C"/>
      <w:shd w:val="clear" w:color="auto" w:fill="E1DFDD"/>
    </w:rPr>
  </w:style>
  <w:style w:type="paragraph" w:styleId="Revision">
    <w:name w:val="Revision"/>
    <w:hidden/>
    <w:uiPriority w:val="99"/>
    <w:semiHidden/>
    <w:rsid w:val="00C3191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harm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749B0-8C16-4A41-AB74-421C68F07F6C}">
  <ds:schemaRefs>
    <ds:schemaRef ds:uri="http://purl.org/dc/dcmitype/"/>
    <ds:schemaRef ds:uri="http://purl.org/dc/terms/"/>
    <ds:schemaRef ds:uri="http://purl.org/dc/elements/1.1/"/>
    <ds:schemaRef ds:uri="http://schemas.microsoft.com/office/2006/metadata/properties"/>
    <ds:schemaRef ds:uri="http://www.w3.org/XML/1998/namespace"/>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3058521-F2B1-4C5F-BCD8-92BA396BF2D1}">
  <ds:schemaRefs>
    <ds:schemaRef ds:uri="http://schemas.microsoft.com/sharepoint/v3/contenttype/forms"/>
  </ds:schemaRefs>
</ds:datastoreItem>
</file>

<file path=customXml/itemProps3.xml><?xml version="1.0" encoding="utf-8"?>
<ds:datastoreItem xmlns:ds="http://schemas.openxmlformats.org/officeDocument/2006/customXml" ds:itemID="{BDC4D352-5D82-4BAF-9A27-7E15DA749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5049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Embleton</dc:creator>
  <cp:keywords/>
  <dc:description/>
  <cp:lastModifiedBy>Sijmen de Vries</cp:lastModifiedBy>
  <cp:revision>2</cp:revision>
  <dcterms:created xsi:type="dcterms:W3CDTF">2020-08-16T17:38:00Z</dcterms:created>
  <dcterms:modified xsi:type="dcterms:W3CDTF">2020-08-16T17:38:00Z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