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AA816" w14:textId="77777777" w:rsidR="00EA6368" w:rsidRPr="00E9120D" w:rsidRDefault="00EA6368" w:rsidP="00EA6368">
      <w:pPr>
        <w:tabs>
          <w:tab w:val="left" w:pos="9360"/>
        </w:tabs>
        <w:jc w:val="center"/>
        <w:rPr>
          <w:rFonts w:asciiTheme="minorHAnsi" w:hAnsiTheme="minorHAnsi" w:cstheme="minorHAnsi"/>
          <w:b/>
          <w:bCs/>
          <w:snapToGrid w:val="0"/>
          <w:sz w:val="36"/>
          <w:szCs w:val="36"/>
          <w:lang w:val="en-GB"/>
        </w:rPr>
      </w:pPr>
    </w:p>
    <w:p w14:paraId="45C40BE9" w14:textId="24FAD2C5" w:rsidR="006446EE" w:rsidRPr="00E9120D" w:rsidRDefault="006446EE" w:rsidP="00EA6368">
      <w:pPr>
        <w:tabs>
          <w:tab w:val="left" w:pos="9360"/>
        </w:tabs>
        <w:jc w:val="center"/>
        <w:rPr>
          <w:rFonts w:asciiTheme="minorHAnsi" w:hAnsiTheme="minorHAnsi" w:cstheme="minorHAnsi"/>
          <w:b/>
          <w:bCs/>
          <w:snapToGrid w:val="0"/>
          <w:sz w:val="36"/>
          <w:szCs w:val="36"/>
          <w:lang w:val="en-GB"/>
        </w:rPr>
      </w:pPr>
      <w:r w:rsidRPr="00E9120D">
        <w:rPr>
          <w:rFonts w:asciiTheme="minorHAnsi" w:hAnsiTheme="minorHAnsi" w:cstheme="minorHAnsi"/>
          <w:b/>
          <w:bCs/>
          <w:snapToGrid w:val="0"/>
          <w:sz w:val="36"/>
          <w:szCs w:val="36"/>
          <w:lang w:val="en-GB"/>
        </w:rPr>
        <w:t xml:space="preserve">Pharming Group reports financial results for the first </w:t>
      </w:r>
      <w:r w:rsidR="00B51868" w:rsidRPr="00E9120D">
        <w:rPr>
          <w:rFonts w:asciiTheme="minorHAnsi" w:hAnsiTheme="minorHAnsi" w:cstheme="minorHAnsi"/>
          <w:b/>
          <w:bCs/>
          <w:snapToGrid w:val="0"/>
          <w:sz w:val="36"/>
          <w:szCs w:val="36"/>
          <w:lang w:val="en-GB"/>
        </w:rPr>
        <w:t>nine months of</w:t>
      </w:r>
      <w:r w:rsidRPr="00E9120D">
        <w:rPr>
          <w:rFonts w:asciiTheme="minorHAnsi" w:hAnsiTheme="minorHAnsi" w:cstheme="minorHAnsi"/>
          <w:b/>
          <w:bCs/>
          <w:snapToGrid w:val="0"/>
          <w:sz w:val="36"/>
          <w:szCs w:val="36"/>
          <w:lang w:val="en-GB"/>
        </w:rPr>
        <w:t xml:space="preserve"> 2020</w:t>
      </w:r>
    </w:p>
    <w:p w14:paraId="32A15050" w14:textId="64E41129" w:rsidR="001857FB" w:rsidRPr="00E9120D" w:rsidRDefault="0009249E" w:rsidP="00166768">
      <w:pPr>
        <w:spacing w:before="120" w:after="240"/>
        <w:jc w:val="center"/>
        <w:rPr>
          <w:rFonts w:asciiTheme="minorHAnsi" w:hAnsiTheme="minorHAnsi" w:cstheme="minorHAnsi"/>
          <w:b/>
          <w:bCs/>
          <w:lang w:val="en-GB"/>
        </w:rPr>
      </w:pPr>
      <w:r w:rsidRPr="00E9120D">
        <w:rPr>
          <w:rFonts w:asciiTheme="minorHAnsi" w:hAnsiTheme="minorHAnsi" w:cstheme="minorHAnsi"/>
          <w:b/>
          <w:bCs/>
          <w:lang w:val="en-GB"/>
        </w:rPr>
        <w:t xml:space="preserve">Continued solid performance and strong recovery of sales in Q3 </w:t>
      </w:r>
      <w:r w:rsidR="007D3A74" w:rsidRPr="00E9120D">
        <w:rPr>
          <w:rFonts w:asciiTheme="minorHAnsi" w:hAnsiTheme="minorHAnsi" w:cstheme="minorHAnsi"/>
          <w:b/>
          <w:bCs/>
          <w:lang w:val="en-GB"/>
        </w:rPr>
        <w:t>2020</w:t>
      </w:r>
    </w:p>
    <w:p w14:paraId="38B088EB" w14:textId="18895FC0" w:rsidR="00EA6368" w:rsidRPr="00EF50DE" w:rsidRDefault="001857FB" w:rsidP="00166768">
      <w:pPr>
        <w:spacing w:before="120" w:after="240"/>
        <w:jc w:val="center"/>
        <w:rPr>
          <w:rFonts w:asciiTheme="minorHAnsi" w:hAnsiTheme="minorHAnsi" w:cstheme="minorHAnsi"/>
          <w:b/>
          <w:bCs/>
          <w:sz w:val="22"/>
          <w:szCs w:val="22"/>
          <w:lang w:val="en-GB"/>
        </w:rPr>
      </w:pPr>
      <w:r w:rsidRPr="00EF50DE">
        <w:rPr>
          <w:rFonts w:asciiTheme="minorHAnsi" w:hAnsiTheme="minorHAnsi" w:cstheme="minorHAnsi"/>
          <w:b/>
          <w:bCs/>
          <w:sz w:val="22"/>
          <w:szCs w:val="22"/>
          <w:lang w:val="en-GB"/>
        </w:rPr>
        <w:t>D</w:t>
      </w:r>
      <w:r w:rsidR="00EA6368" w:rsidRPr="00EF50DE">
        <w:rPr>
          <w:rFonts w:asciiTheme="minorHAnsi" w:hAnsiTheme="minorHAnsi" w:cstheme="minorHAnsi"/>
          <w:b/>
          <w:bCs/>
          <w:sz w:val="22"/>
          <w:szCs w:val="22"/>
          <w:lang w:val="en-GB"/>
        </w:rPr>
        <w:t>elivered 9.2% increase in revenue</w:t>
      </w:r>
      <w:r w:rsidR="00D74B24" w:rsidRPr="00EF50DE">
        <w:rPr>
          <w:rFonts w:asciiTheme="minorHAnsi" w:hAnsiTheme="minorHAnsi" w:cstheme="minorHAnsi"/>
          <w:b/>
          <w:bCs/>
          <w:sz w:val="22"/>
          <w:szCs w:val="22"/>
          <w:lang w:val="en-GB"/>
        </w:rPr>
        <w:t>s</w:t>
      </w:r>
      <w:r w:rsidR="00EA6368" w:rsidRPr="00EF50DE">
        <w:rPr>
          <w:rFonts w:asciiTheme="minorHAnsi" w:hAnsiTheme="minorHAnsi" w:cstheme="minorHAnsi"/>
          <w:b/>
          <w:bCs/>
          <w:sz w:val="22"/>
          <w:szCs w:val="22"/>
          <w:lang w:val="en-GB"/>
        </w:rPr>
        <w:t xml:space="preserve">, 19.8% increase in operating profit and 6.4% increase in net profit </w:t>
      </w:r>
      <w:r w:rsidR="0009249E" w:rsidRPr="00EF50DE">
        <w:rPr>
          <w:rFonts w:asciiTheme="minorHAnsi" w:hAnsiTheme="minorHAnsi" w:cstheme="minorHAnsi"/>
          <w:b/>
          <w:bCs/>
          <w:sz w:val="22"/>
          <w:szCs w:val="22"/>
          <w:lang w:val="en-GB"/>
        </w:rPr>
        <w:t>(59% increase on constant currency basis)</w:t>
      </w:r>
      <w:r w:rsidR="007D3A74" w:rsidRPr="00EF50DE">
        <w:rPr>
          <w:rFonts w:asciiTheme="minorHAnsi" w:hAnsiTheme="minorHAnsi" w:cstheme="minorHAnsi"/>
          <w:b/>
          <w:bCs/>
          <w:sz w:val="22"/>
          <w:szCs w:val="22"/>
          <w:lang w:val="en-GB"/>
        </w:rPr>
        <w:t xml:space="preserve"> year-on-year for </w:t>
      </w:r>
      <w:r w:rsidR="00660A47" w:rsidRPr="00EF50DE">
        <w:rPr>
          <w:rFonts w:asciiTheme="minorHAnsi" w:hAnsiTheme="minorHAnsi" w:cstheme="minorHAnsi"/>
          <w:b/>
          <w:bCs/>
          <w:sz w:val="22"/>
          <w:szCs w:val="22"/>
          <w:lang w:val="en-GB"/>
        </w:rPr>
        <w:t>the first nine months</w:t>
      </w:r>
      <w:r w:rsidR="00D55EC3" w:rsidRPr="00EF50DE">
        <w:rPr>
          <w:rFonts w:asciiTheme="minorHAnsi" w:hAnsiTheme="minorHAnsi" w:cstheme="minorHAnsi"/>
          <w:b/>
          <w:bCs/>
          <w:sz w:val="22"/>
          <w:szCs w:val="22"/>
          <w:lang w:val="en-GB"/>
        </w:rPr>
        <w:t xml:space="preserve"> of </w:t>
      </w:r>
      <w:r w:rsidR="007D3A74" w:rsidRPr="00EF50DE">
        <w:rPr>
          <w:rFonts w:asciiTheme="minorHAnsi" w:hAnsiTheme="minorHAnsi" w:cstheme="minorHAnsi"/>
          <w:b/>
          <w:bCs/>
          <w:sz w:val="22"/>
          <w:szCs w:val="22"/>
          <w:lang w:val="en-GB"/>
        </w:rPr>
        <w:t>2020</w:t>
      </w:r>
    </w:p>
    <w:p w14:paraId="19EAFC7F" w14:textId="5FD2D174" w:rsidR="00EA6368" w:rsidRPr="00E008A5" w:rsidRDefault="001678EB" w:rsidP="00166768">
      <w:pPr>
        <w:spacing w:before="120" w:after="240"/>
        <w:jc w:val="center"/>
        <w:rPr>
          <w:rFonts w:asciiTheme="minorHAnsi" w:hAnsiTheme="minorHAnsi" w:cstheme="minorHAnsi"/>
          <w:b/>
          <w:bCs/>
          <w:lang w:val="en-GB"/>
        </w:rPr>
      </w:pPr>
      <w:r w:rsidRPr="00E9120D">
        <w:rPr>
          <w:rFonts w:asciiTheme="minorHAnsi" w:hAnsiTheme="minorHAnsi" w:cstheme="minorHAnsi"/>
          <w:b/>
          <w:bCs/>
          <w:lang w:val="en-GB"/>
        </w:rPr>
        <w:t>Company</w:t>
      </w:r>
      <w:r w:rsidR="004F1620">
        <w:rPr>
          <w:rFonts w:asciiTheme="minorHAnsi" w:hAnsiTheme="minorHAnsi" w:cstheme="minorHAnsi"/>
          <w:b/>
          <w:bCs/>
          <w:lang w:val="en-GB"/>
        </w:rPr>
        <w:t xml:space="preserve"> has</w:t>
      </w:r>
      <w:r w:rsidRPr="00E9120D">
        <w:rPr>
          <w:rFonts w:asciiTheme="minorHAnsi" w:hAnsiTheme="minorHAnsi" w:cstheme="minorHAnsi"/>
          <w:b/>
          <w:bCs/>
          <w:lang w:val="en-GB"/>
        </w:rPr>
        <w:t xml:space="preserve"> </w:t>
      </w:r>
      <w:r w:rsidR="0009249E" w:rsidRPr="00E9120D">
        <w:rPr>
          <w:rFonts w:asciiTheme="minorHAnsi" w:hAnsiTheme="minorHAnsi" w:cstheme="minorHAnsi"/>
          <w:b/>
          <w:bCs/>
          <w:lang w:val="en-GB"/>
        </w:rPr>
        <w:t>initiat</w:t>
      </w:r>
      <w:r w:rsidR="001857FB" w:rsidRPr="00E9120D">
        <w:rPr>
          <w:rFonts w:asciiTheme="minorHAnsi" w:hAnsiTheme="minorHAnsi" w:cstheme="minorHAnsi"/>
          <w:b/>
          <w:bCs/>
          <w:lang w:val="en-GB"/>
        </w:rPr>
        <w:t>ed</w:t>
      </w:r>
      <w:r w:rsidR="0009249E" w:rsidRPr="00E9120D">
        <w:rPr>
          <w:rFonts w:asciiTheme="minorHAnsi" w:hAnsiTheme="minorHAnsi" w:cstheme="minorHAnsi"/>
          <w:b/>
          <w:bCs/>
          <w:lang w:val="en-GB"/>
        </w:rPr>
        <w:t xml:space="preserve"> </w:t>
      </w:r>
      <w:r w:rsidR="004F1620">
        <w:rPr>
          <w:rFonts w:asciiTheme="minorHAnsi" w:hAnsiTheme="minorHAnsi" w:cstheme="minorHAnsi"/>
          <w:b/>
          <w:bCs/>
          <w:lang w:val="en-GB"/>
        </w:rPr>
        <w:t xml:space="preserve">the </w:t>
      </w:r>
      <w:r w:rsidR="0009249E" w:rsidRPr="00E9120D">
        <w:rPr>
          <w:rFonts w:asciiTheme="minorHAnsi" w:hAnsiTheme="minorHAnsi" w:cstheme="minorHAnsi"/>
          <w:b/>
          <w:bCs/>
          <w:lang w:val="en-GB"/>
        </w:rPr>
        <w:t>process</w:t>
      </w:r>
      <w:r w:rsidRPr="00E9120D">
        <w:rPr>
          <w:rFonts w:asciiTheme="minorHAnsi" w:hAnsiTheme="minorHAnsi" w:cstheme="minorHAnsi"/>
          <w:b/>
          <w:bCs/>
          <w:lang w:val="en-GB"/>
        </w:rPr>
        <w:t xml:space="preserve"> </w:t>
      </w:r>
      <w:r w:rsidR="004F1620">
        <w:rPr>
          <w:rFonts w:asciiTheme="minorHAnsi" w:hAnsiTheme="minorHAnsi" w:cstheme="minorHAnsi"/>
          <w:b/>
          <w:bCs/>
          <w:lang w:val="en-GB"/>
        </w:rPr>
        <w:t>for</w:t>
      </w:r>
      <w:r w:rsidR="004F1620" w:rsidRPr="00E9120D">
        <w:rPr>
          <w:rFonts w:asciiTheme="minorHAnsi" w:hAnsiTheme="minorHAnsi" w:cstheme="minorHAnsi"/>
          <w:b/>
          <w:bCs/>
          <w:lang w:val="en-GB"/>
        </w:rPr>
        <w:t xml:space="preserve"> </w:t>
      </w:r>
      <w:r w:rsidR="004F1620">
        <w:rPr>
          <w:rFonts w:asciiTheme="minorHAnsi" w:hAnsiTheme="minorHAnsi" w:cstheme="minorHAnsi"/>
          <w:b/>
          <w:bCs/>
          <w:lang w:val="en-GB"/>
        </w:rPr>
        <w:t xml:space="preserve">a </w:t>
      </w:r>
      <w:r w:rsidR="004F1620" w:rsidRPr="00E9120D">
        <w:rPr>
          <w:rFonts w:asciiTheme="minorHAnsi" w:hAnsiTheme="minorHAnsi" w:cstheme="minorHAnsi"/>
          <w:b/>
          <w:bCs/>
          <w:lang w:val="en-GB"/>
        </w:rPr>
        <w:t>secondary</w:t>
      </w:r>
      <w:r w:rsidRPr="00E9120D">
        <w:rPr>
          <w:rFonts w:asciiTheme="minorHAnsi" w:hAnsiTheme="minorHAnsi" w:cstheme="minorHAnsi"/>
          <w:b/>
          <w:bCs/>
          <w:lang w:val="en-GB"/>
        </w:rPr>
        <w:t xml:space="preserve"> listing </w:t>
      </w:r>
      <w:r w:rsidR="002551E1" w:rsidRPr="00E008A5">
        <w:rPr>
          <w:rFonts w:asciiTheme="minorHAnsi" w:hAnsiTheme="minorHAnsi" w:cstheme="minorHAnsi"/>
          <w:b/>
          <w:bCs/>
          <w:lang w:val="en-GB"/>
        </w:rPr>
        <w:t xml:space="preserve">in the US </w:t>
      </w:r>
      <w:r w:rsidR="007D5025" w:rsidRPr="00E008A5">
        <w:rPr>
          <w:rFonts w:asciiTheme="minorHAnsi" w:hAnsiTheme="minorHAnsi" w:cstheme="minorHAnsi"/>
          <w:b/>
          <w:bCs/>
          <w:lang w:val="en-GB"/>
        </w:rPr>
        <w:t xml:space="preserve">on </w:t>
      </w:r>
      <w:r w:rsidR="00AD05B9" w:rsidRPr="00E008A5">
        <w:rPr>
          <w:rFonts w:asciiTheme="minorHAnsi" w:hAnsiTheme="minorHAnsi" w:cstheme="minorHAnsi"/>
          <w:b/>
          <w:bCs/>
          <w:lang w:val="en-GB"/>
        </w:rPr>
        <w:t xml:space="preserve">Nasdaq </w:t>
      </w:r>
    </w:p>
    <w:p w14:paraId="5EBC088F" w14:textId="35481DC7" w:rsidR="006446EE" w:rsidRPr="00E008A5" w:rsidRDefault="006446EE" w:rsidP="00EA6368">
      <w:pPr>
        <w:rPr>
          <w:rFonts w:asciiTheme="minorHAnsi" w:eastAsia="Calibri" w:hAnsiTheme="minorHAnsi" w:cstheme="minorHAnsi"/>
          <w:color w:val="59595B"/>
          <w:sz w:val="22"/>
          <w:szCs w:val="22"/>
          <w:lang w:val="en-GB"/>
        </w:rPr>
      </w:pPr>
      <w:r w:rsidRPr="00E008A5">
        <w:rPr>
          <w:rStyle w:val="Emphasis"/>
          <w:rFonts w:asciiTheme="minorHAnsi" w:hAnsiTheme="minorHAnsi" w:cstheme="minorHAnsi"/>
          <w:i/>
          <w:sz w:val="22"/>
          <w:szCs w:val="22"/>
          <w:shd w:val="clear" w:color="auto" w:fill="FFFFFF"/>
          <w:lang w:val="en-GB"/>
        </w:rPr>
        <w:t>Leiden, The Netherlands</w:t>
      </w:r>
      <w:r w:rsidRPr="00E008A5">
        <w:rPr>
          <w:rStyle w:val="Emphasis"/>
          <w:rFonts w:asciiTheme="minorHAnsi" w:hAnsiTheme="minorHAnsi" w:cstheme="minorHAnsi"/>
          <w:sz w:val="22"/>
          <w:szCs w:val="22"/>
          <w:shd w:val="clear" w:color="auto" w:fill="FFFFFF"/>
          <w:lang w:val="en-GB"/>
        </w:rPr>
        <w:t xml:space="preserve">, </w:t>
      </w:r>
      <w:r w:rsidR="00237FD9" w:rsidRPr="00E008A5">
        <w:rPr>
          <w:rStyle w:val="Emphasis"/>
          <w:rFonts w:asciiTheme="minorHAnsi" w:hAnsiTheme="minorHAnsi" w:cstheme="minorHAnsi"/>
          <w:sz w:val="22"/>
          <w:szCs w:val="22"/>
          <w:shd w:val="clear" w:color="auto" w:fill="FFFFFF"/>
          <w:lang w:val="en-GB"/>
        </w:rPr>
        <w:t>29 October</w:t>
      </w:r>
      <w:r w:rsidRPr="00E008A5">
        <w:rPr>
          <w:rStyle w:val="Emphasis"/>
          <w:rFonts w:asciiTheme="minorHAnsi" w:hAnsiTheme="minorHAnsi" w:cstheme="minorHAnsi"/>
          <w:sz w:val="22"/>
          <w:szCs w:val="22"/>
          <w:shd w:val="clear" w:color="auto" w:fill="FFFFFF"/>
          <w:lang w:val="en-GB"/>
        </w:rPr>
        <w:t xml:space="preserve"> 2020:</w:t>
      </w:r>
      <w:r w:rsidRPr="00E008A5">
        <w:rPr>
          <w:rStyle w:val="apple-converted-space"/>
          <w:rFonts w:asciiTheme="minorHAnsi" w:hAnsiTheme="minorHAnsi" w:cstheme="minorHAnsi"/>
          <w:sz w:val="22"/>
          <w:szCs w:val="22"/>
          <w:shd w:val="clear" w:color="auto" w:fill="FFFFFF"/>
          <w:lang w:val="en-GB"/>
        </w:rPr>
        <w:t xml:space="preserve"> </w:t>
      </w:r>
      <w:r w:rsidRPr="00E008A5">
        <w:rPr>
          <w:rFonts w:asciiTheme="minorHAnsi" w:eastAsia="Calibri" w:hAnsiTheme="minorHAnsi" w:cstheme="minorHAnsi"/>
          <w:color w:val="59595B"/>
          <w:sz w:val="22"/>
          <w:szCs w:val="22"/>
          <w:lang w:val="en-GB"/>
        </w:rPr>
        <w:t xml:space="preserve">Pharming Group N.V. (“Pharming” or “the Company”) (Euronext Amsterdam: PHARM) presents its </w:t>
      </w:r>
      <w:r w:rsidR="00B15DE1" w:rsidRPr="00E008A5">
        <w:rPr>
          <w:rFonts w:asciiTheme="minorHAnsi" w:eastAsia="Calibri" w:hAnsiTheme="minorHAnsi" w:cstheme="minorHAnsi"/>
          <w:color w:val="59595B"/>
          <w:sz w:val="22"/>
          <w:szCs w:val="22"/>
          <w:lang w:val="en-GB"/>
        </w:rPr>
        <w:t xml:space="preserve">(unaudited) </w:t>
      </w:r>
      <w:r w:rsidRPr="00E008A5">
        <w:rPr>
          <w:rFonts w:asciiTheme="minorHAnsi" w:eastAsia="Calibri" w:hAnsiTheme="minorHAnsi" w:cstheme="minorHAnsi"/>
          <w:color w:val="59595B"/>
          <w:sz w:val="22"/>
          <w:szCs w:val="22"/>
          <w:lang w:val="en-GB"/>
        </w:rPr>
        <w:t xml:space="preserve">financial report for the </w:t>
      </w:r>
      <w:r w:rsidR="00BF79B2" w:rsidRPr="00E008A5">
        <w:rPr>
          <w:rFonts w:asciiTheme="minorHAnsi" w:eastAsia="Calibri" w:hAnsiTheme="minorHAnsi" w:cstheme="minorHAnsi"/>
          <w:color w:val="59595B"/>
          <w:sz w:val="22"/>
          <w:szCs w:val="22"/>
          <w:lang w:val="en-GB"/>
        </w:rPr>
        <w:t>nine</w:t>
      </w:r>
      <w:r w:rsidRPr="00E008A5">
        <w:rPr>
          <w:rFonts w:asciiTheme="minorHAnsi" w:eastAsia="Calibri" w:hAnsiTheme="minorHAnsi" w:cstheme="minorHAnsi"/>
          <w:color w:val="59595B"/>
          <w:sz w:val="22"/>
          <w:szCs w:val="22"/>
          <w:lang w:val="en-GB"/>
        </w:rPr>
        <w:t xml:space="preserve"> month</w:t>
      </w:r>
      <w:r w:rsidR="00E771C7" w:rsidRPr="00E008A5">
        <w:rPr>
          <w:rFonts w:asciiTheme="minorHAnsi" w:eastAsia="Calibri" w:hAnsiTheme="minorHAnsi" w:cstheme="minorHAnsi"/>
          <w:color w:val="59595B"/>
          <w:sz w:val="22"/>
          <w:szCs w:val="22"/>
          <w:lang w:val="en-GB"/>
        </w:rPr>
        <w:t>s</w:t>
      </w:r>
      <w:r w:rsidR="00476A11" w:rsidRPr="00E008A5">
        <w:rPr>
          <w:rFonts w:asciiTheme="minorHAnsi" w:eastAsia="Calibri" w:hAnsiTheme="minorHAnsi" w:cstheme="minorHAnsi"/>
          <w:color w:val="59595B"/>
          <w:sz w:val="22"/>
          <w:szCs w:val="22"/>
          <w:lang w:val="en-GB"/>
        </w:rPr>
        <w:t xml:space="preserve"> and third quarter</w:t>
      </w:r>
      <w:r w:rsidRPr="00E008A5">
        <w:rPr>
          <w:rFonts w:asciiTheme="minorHAnsi" w:eastAsia="Calibri" w:hAnsiTheme="minorHAnsi" w:cstheme="minorHAnsi"/>
          <w:color w:val="59595B"/>
          <w:sz w:val="22"/>
          <w:szCs w:val="22"/>
          <w:lang w:val="en-GB"/>
        </w:rPr>
        <w:t xml:space="preserve"> ended </w:t>
      </w:r>
      <w:r w:rsidR="00FC67B6" w:rsidRPr="00E008A5">
        <w:rPr>
          <w:rFonts w:asciiTheme="minorHAnsi" w:eastAsia="Calibri" w:hAnsiTheme="minorHAnsi" w:cstheme="minorHAnsi"/>
          <w:color w:val="59595B"/>
          <w:sz w:val="22"/>
          <w:szCs w:val="22"/>
          <w:lang w:val="en-GB"/>
        </w:rPr>
        <w:t>30 September</w:t>
      </w:r>
      <w:r w:rsidRPr="00E008A5">
        <w:rPr>
          <w:rFonts w:asciiTheme="minorHAnsi" w:eastAsia="Calibri" w:hAnsiTheme="minorHAnsi" w:cstheme="minorHAnsi"/>
          <w:color w:val="59595B"/>
          <w:sz w:val="22"/>
          <w:szCs w:val="22"/>
          <w:lang w:val="en-GB"/>
        </w:rPr>
        <w:t xml:space="preserve"> 2020.</w:t>
      </w:r>
    </w:p>
    <w:p w14:paraId="29F8994D" w14:textId="77777777" w:rsidR="00B15DE1" w:rsidRPr="00E008A5" w:rsidRDefault="00B15DE1" w:rsidP="00EA6368">
      <w:pPr>
        <w:rPr>
          <w:rFonts w:asciiTheme="minorHAnsi" w:eastAsia="SimSun" w:hAnsiTheme="minorHAnsi" w:cstheme="minorHAnsi"/>
          <w:b/>
          <w:sz w:val="22"/>
          <w:szCs w:val="22"/>
          <w:lang w:val="en-GB" w:eastAsia="zh-CN"/>
        </w:rPr>
      </w:pPr>
    </w:p>
    <w:p w14:paraId="15B79E46" w14:textId="6B8A0BEE" w:rsidR="006446EE" w:rsidRPr="00E008A5" w:rsidRDefault="006446EE" w:rsidP="00EA6368">
      <w:pPr>
        <w:rPr>
          <w:rFonts w:asciiTheme="minorHAnsi" w:eastAsia="SimSun" w:hAnsiTheme="minorHAnsi" w:cstheme="minorHAnsi"/>
          <w:b/>
          <w:lang w:val="en-GB" w:eastAsia="zh-CN"/>
        </w:rPr>
      </w:pPr>
      <w:r w:rsidRPr="00E008A5">
        <w:rPr>
          <w:rFonts w:asciiTheme="minorHAnsi" w:eastAsia="SimSun" w:hAnsiTheme="minorHAnsi" w:cstheme="minorHAnsi"/>
          <w:b/>
          <w:lang w:val="en-GB" w:eastAsia="zh-CN"/>
        </w:rPr>
        <w:t>Financial summary</w:t>
      </w:r>
    </w:p>
    <w:p w14:paraId="403F95DB" w14:textId="2C000930" w:rsidR="006446EE" w:rsidRPr="00E008A5" w:rsidRDefault="006446EE" w:rsidP="00EA6368">
      <w:pPr>
        <w:rPr>
          <w:rFonts w:asciiTheme="minorHAnsi" w:eastAsia="SimSun" w:hAnsiTheme="minorHAnsi" w:cstheme="minorHAnsi"/>
          <w:i/>
          <w:color w:val="595B5B"/>
          <w:sz w:val="20"/>
          <w:szCs w:val="20"/>
          <w:lang w:val="en-GB" w:eastAsia="zh-CN"/>
        </w:rPr>
      </w:pPr>
    </w:p>
    <w:tbl>
      <w:tblPr>
        <w:tblStyle w:val="TableGrid"/>
        <w:tblW w:w="4491" w:type="pct"/>
        <w:jc w:val="center"/>
        <w:tblBorders>
          <w:top w:val="single" w:sz="4" w:space="0" w:color="59595B"/>
          <w:left w:val="single" w:sz="4" w:space="0" w:color="59595B"/>
          <w:bottom w:val="single" w:sz="4" w:space="0" w:color="59595B"/>
          <w:right w:val="single" w:sz="4" w:space="0" w:color="59595B"/>
          <w:insideH w:val="single" w:sz="4" w:space="0" w:color="59595B"/>
          <w:insideV w:val="single" w:sz="4" w:space="0" w:color="59595B"/>
        </w:tblBorders>
        <w:tblLook w:val="04A0" w:firstRow="1" w:lastRow="0" w:firstColumn="1" w:lastColumn="0" w:noHBand="0" w:noVBand="1"/>
      </w:tblPr>
      <w:tblGrid>
        <w:gridCol w:w="2689"/>
        <w:gridCol w:w="1244"/>
        <w:gridCol w:w="1378"/>
        <w:gridCol w:w="1382"/>
        <w:gridCol w:w="1406"/>
      </w:tblGrid>
      <w:tr w:rsidR="00476A11" w:rsidRPr="00426BBC" w14:paraId="0F256119" w14:textId="77777777" w:rsidTr="00DE0380">
        <w:trPr>
          <w:trHeight w:val="362"/>
          <w:jc w:val="center"/>
        </w:trPr>
        <w:tc>
          <w:tcPr>
            <w:tcW w:w="1660" w:type="pct"/>
          </w:tcPr>
          <w:p w14:paraId="3722A33B" w14:textId="77777777" w:rsidR="00476A11" w:rsidRPr="00E008A5" w:rsidRDefault="00476A11" w:rsidP="00EA6368">
            <w:pPr>
              <w:jc w:val="left"/>
              <w:rPr>
                <w:rFonts w:asciiTheme="minorHAnsi" w:eastAsia="SimSun" w:hAnsiTheme="minorHAnsi" w:cstheme="minorHAnsi"/>
                <w:b/>
                <w:bCs/>
                <w:i/>
                <w:color w:val="595B5B"/>
                <w:sz w:val="18"/>
                <w:szCs w:val="18"/>
                <w:lang w:val="en-GB" w:eastAsia="zh-CN"/>
              </w:rPr>
            </w:pPr>
          </w:p>
          <w:p w14:paraId="6264D5C3" w14:textId="6FAC115A" w:rsidR="00476A11" w:rsidRPr="00E008A5" w:rsidRDefault="00476A11" w:rsidP="00EA6368">
            <w:pPr>
              <w:jc w:val="left"/>
              <w:rPr>
                <w:rFonts w:asciiTheme="minorHAnsi" w:eastAsia="SimSun" w:hAnsiTheme="minorHAnsi" w:cstheme="minorHAnsi"/>
                <w:b/>
                <w:bCs/>
                <w:sz w:val="22"/>
                <w:szCs w:val="22"/>
                <w:lang w:val="en-GB" w:eastAsia="zh-CN"/>
              </w:rPr>
            </w:pPr>
            <w:r w:rsidRPr="00E008A5">
              <w:rPr>
                <w:rFonts w:asciiTheme="minorHAnsi" w:eastAsia="SimSun" w:hAnsiTheme="minorHAnsi" w:cstheme="minorHAnsi"/>
                <w:b/>
                <w:i/>
                <w:color w:val="595B5B"/>
                <w:sz w:val="16"/>
                <w:szCs w:val="22"/>
                <w:lang w:val="en-GB"/>
              </w:rPr>
              <w:t>Amounts in €m except per share data</w:t>
            </w:r>
          </w:p>
        </w:tc>
        <w:tc>
          <w:tcPr>
            <w:tcW w:w="768" w:type="pct"/>
            <w:shd w:val="clear" w:color="auto" w:fill="F2F2F2" w:themeFill="background1" w:themeFillShade="F2"/>
          </w:tcPr>
          <w:p w14:paraId="73FC32B2" w14:textId="3ED3707B" w:rsidR="00476A11" w:rsidRPr="00E008A5" w:rsidRDefault="00EA6368" w:rsidP="00EA6368">
            <w:pPr>
              <w:jc w:val="center"/>
              <w:rPr>
                <w:rFonts w:asciiTheme="minorHAnsi" w:eastAsia="SimSun" w:hAnsiTheme="minorHAnsi" w:cstheme="minorHAnsi"/>
                <w:b/>
                <w:bCs/>
                <w:iCs/>
                <w:color w:val="59595B"/>
                <w:sz w:val="22"/>
                <w:szCs w:val="22"/>
                <w:lang w:val="en-GB" w:eastAsia="zh-CN"/>
              </w:rPr>
            </w:pPr>
            <w:r w:rsidRPr="00E008A5">
              <w:rPr>
                <w:rFonts w:asciiTheme="minorHAnsi" w:eastAsia="SimSun" w:hAnsiTheme="minorHAnsi" w:cstheme="minorHAnsi"/>
                <w:b/>
                <w:bCs/>
                <w:iCs/>
                <w:color w:val="59595B"/>
                <w:sz w:val="22"/>
                <w:szCs w:val="22"/>
                <w:lang w:val="en-GB" w:eastAsia="zh-CN"/>
              </w:rPr>
              <w:t>Q3</w:t>
            </w:r>
          </w:p>
          <w:p w14:paraId="3EADDF2E" w14:textId="2479F383" w:rsidR="00476A11" w:rsidRPr="00E008A5" w:rsidRDefault="00476A11" w:rsidP="00EA6368">
            <w:pPr>
              <w:jc w:val="center"/>
              <w:rPr>
                <w:rFonts w:asciiTheme="minorHAnsi" w:eastAsia="SimSun" w:hAnsiTheme="minorHAnsi" w:cstheme="minorHAnsi"/>
                <w:b/>
                <w:bCs/>
                <w:iCs/>
                <w:color w:val="59595B"/>
                <w:sz w:val="22"/>
                <w:szCs w:val="22"/>
                <w:lang w:val="en-GB" w:eastAsia="zh-CN"/>
              </w:rPr>
            </w:pPr>
            <w:r w:rsidRPr="00E008A5">
              <w:rPr>
                <w:rFonts w:asciiTheme="minorHAnsi" w:eastAsia="SimSun" w:hAnsiTheme="minorHAnsi" w:cstheme="minorHAnsi"/>
                <w:b/>
                <w:bCs/>
                <w:iCs/>
                <w:color w:val="59595B"/>
                <w:sz w:val="22"/>
                <w:szCs w:val="22"/>
                <w:lang w:val="en-GB" w:eastAsia="zh-CN"/>
              </w:rPr>
              <w:t>2020</w:t>
            </w:r>
          </w:p>
        </w:tc>
        <w:tc>
          <w:tcPr>
            <w:tcW w:w="851" w:type="pct"/>
            <w:shd w:val="clear" w:color="auto" w:fill="F2F2F2" w:themeFill="background1" w:themeFillShade="F2"/>
          </w:tcPr>
          <w:p w14:paraId="5169868F" w14:textId="416BD670" w:rsidR="00476A11" w:rsidRPr="00E008A5" w:rsidRDefault="00EA6368" w:rsidP="00EA6368">
            <w:pPr>
              <w:jc w:val="center"/>
              <w:rPr>
                <w:rFonts w:asciiTheme="minorHAnsi" w:eastAsia="SimSun" w:hAnsiTheme="minorHAnsi" w:cstheme="minorHAnsi"/>
                <w:b/>
                <w:bCs/>
                <w:iCs/>
                <w:color w:val="59595B"/>
                <w:sz w:val="22"/>
                <w:szCs w:val="22"/>
                <w:lang w:val="en-GB" w:eastAsia="zh-CN"/>
              </w:rPr>
            </w:pPr>
            <w:r w:rsidRPr="00E008A5">
              <w:rPr>
                <w:rFonts w:asciiTheme="minorHAnsi" w:eastAsia="SimSun" w:hAnsiTheme="minorHAnsi" w:cstheme="minorHAnsi"/>
                <w:b/>
                <w:bCs/>
                <w:iCs/>
                <w:color w:val="59595B"/>
                <w:sz w:val="22"/>
                <w:szCs w:val="22"/>
                <w:lang w:val="en-GB" w:eastAsia="zh-CN"/>
              </w:rPr>
              <w:t>Nine</w:t>
            </w:r>
            <w:r w:rsidR="00476A11" w:rsidRPr="00E008A5">
              <w:rPr>
                <w:rFonts w:asciiTheme="minorHAnsi" w:eastAsia="SimSun" w:hAnsiTheme="minorHAnsi" w:cstheme="minorHAnsi"/>
                <w:b/>
                <w:bCs/>
                <w:iCs/>
                <w:color w:val="59595B"/>
                <w:sz w:val="22"/>
                <w:szCs w:val="22"/>
                <w:lang w:val="en-GB" w:eastAsia="zh-CN"/>
              </w:rPr>
              <w:t xml:space="preserve"> </w:t>
            </w:r>
            <w:r w:rsidRPr="00E008A5">
              <w:rPr>
                <w:rFonts w:asciiTheme="minorHAnsi" w:eastAsia="SimSun" w:hAnsiTheme="minorHAnsi" w:cstheme="minorHAnsi"/>
                <w:b/>
                <w:bCs/>
                <w:iCs/>
                <w:color w:val="59595B"/>
                <w:sz w:val="22"/>
                <w:szCs w:val="22"/>
                <w:lang w:val="en-GB" w:eastAsia="zh-CN"/>
              </w:rPr>
              <w:t>m</w:t>
            </w:r>
            <w:r w:rsidR="00476A11" w:rsidRPr="00E008A5">
              <w:rPr>
                <w:rFonts w:asciiTheme="minorHAnsi" w:eastAsia="SimSun" w:hAnsiTheme="minorHAnsi" w:cstheme="minorHAnsi"/>
                <w:b/>
                <w:bCs/>
                <w:iCs/>
                <w:color w:val="59595B"/>
                <w:sz w:val="22"/>
                <w:szCs w:val="22"/>
                <w:lang w:val="en-GB" w:eastAsia="zh-CN"/>
              </w:rPr>
              <w:t>onths 2020</w:t>
            </w:r>
          </w:p>
        </w:tc>
        <w:tc>
          <w:tcPr>
            <w:tcW w:w="853" w:type="pct"/>
          </w:tcPr>
          <w:p w14:paraId="585C0B4B" w14:textId="4241F43F" w:rsidR="00476A11" w:rsidRPr="00E008A5" w:rsidRDefault="00EA6368" w:rsidP="00EA6368">
            <w:pPr>
              <w:jc w:val="center"/>
              <w:rPr>
                <w:rFonts w:asciiTheme="minorHAnsi" w:eastAsia="SimSun" w:hAnsiTheme="minorHAnsi" w:cstheme="minorHAnsi"/>
                <w:b/>
                <w:bCs/>
                <w:iCs/>
                <w:color w:val="59595B"/>
                <w:sz w:val="22"/>
                <w:szCs w:val="22"/>
                <w:lang w:val="en-GB" w:eastAsia="zh-CN"/>
              </w:rPr>
            </w:pPr>
            <w:r w:rsidRPr="00E008A5">
              <w:rPr>
                <w:rFonts w:asciiTheme="minorHAnsi" w:eastAsia="SimSun" w:hAnsiTheme="minorHAnsi" w:cstheme="minorHAnsi"/>
                <w:b/>
                <w:bCs/>
                <w:iCs/>
                <w:color w:val="59595B"/>
                <w:sz w:val="22"/>
                <w:szCs w:val="22"/>
                <w:lang w:val="en-GB" w:eastAsia="zh-CN"/>
              </w:rPr>
              <w:t>Nine</w:t>
            </w:r>
            <w:r w:rsidR="00476A11" w:rsidRPr="00E008A5">
              <w:rPr>
                <w:rFonts w:asciiTheme="minorHAnsi" w:eastAsia="SimSun" w:hAnsiTheme="minorHAnsi" w:cstheme="minorHAnsi"/>
                <w:b/>
                <w:bCs/>
                <w:iCs/>
                <w:color w:val="59595B"/>
                <w:sz w:val="22"/>
                <w:szCs w:val="22"/>
                <w:lang w:val="en-GB" w:eastAsia="zh-CN"/>
              </w:rPr>
              <w:t xml:space="preserve"> </w:t>
            </w:r>
            <w:r w:rsidRPr="00E008A5">
              <w:rPr>
                <w:rFonts w:asciiTheme="minorHAnsi" w:eastAsia="SimSun" w:hAnsiTheme="minorHAnsi" w:cstheme="minorHAnsi"/>
                <w:b/>
                <w:bCs/>
                <w:iCs/>
                <w:color w:val="59595B"/>
                <w:sz w:val="22"/>
                <w:szCs w:val="22"/>
                <w:lang w:val="en-GB" w:eastAsia="zh-CN"/>
              </w:rPr>
              <w:t>m</w:t>
            </w:r>
            <w:r w:rsidR="00476A11" w:rsidRPr="00E008A5">
              <w:rPr>
                <w:rFonts w:asciiTheme="minorHAnsi" w:eastAsia="SimSun" w:hAnsiTheme="minorHAnsi" w:cstheme="minorHAnsi"/>
                <w:b/>
                <w:bCs/>
                <w:iCs/>
                <w:color w:val="59595B"/>
                <w:sz w:val="22"/>
                <w:szCs w:val="22"/>
                <w:lang w:val="en-GB" w:eastAsia="zh-CN"/>
              </w:rPr>
              <w:t>onths 2019</w:t>
            </w:r>
          </w:p>
        </w:tc>
        <w:tc>
          <w:tcPr>
            <w:tcW w:w="868" w:type="pct"/>
            <w:shd w:val="clear" w:color="auto" w:fill="F2F2F2" w:themeFill="background1" w:themeFillShade="F2"/>
          </w:tcPr>
          <w:p w14:paraId="5E2A12F0" w14:textId="77777777" w:rsidR="00476A11" w:rsidRPr="00E008A5" w:rsidRDefault="00476A11" w:rsidP="00EA6368">
            <w:pPr>
              <w:jc w:val="center"/>
              <w:rPr>
                <w:rFonts w:asciiTheme="minorHAnsi" w:eastAsia="SimSun" w:hAnsiTheme="minorHAnsi" w:cstheme="minorHAnsi"/>
                <w:b/>
                <w:bCs/>
                <w:iCs/>
                <w:sz w:val="22"/>
                <w:szCs w:val="22"/>
                <w:lang w:val="en-GB" w:eastAsia="zh-CN"/>
              </w:rPr>
            </w:pPr>
            <w:r w:rsidRPr="00E008A5">
              <w:rPr>
                <w:rFonts w:asciiTheme="minorHAnsi" w:eastAsia="SimSun" w:hAnsiTheme="minorHAnsi" w:cstheme="minorHAnsi"/>
                <w:b/>
                <w:bCs/>
                <w:iCs/>
                <w:sz w:val="22"/>
                <w:szCs w:val="22"/>
                <w:lang w:val="en-GB" w:eastAsia="zh-CN"/>
              </w:rPr>
              <w:t>% Change</w:t>
            </w:r>
          </w:p>
        </w:tc>
      </w:tr>
      <w:tr w:rsidR="00476A11" w:rsidRPr="00426BBC" w14:paraId="01B27B07" w14:textId="77777777" w:rsidTr="00DE0380">
        <w:trPr>
          <w:trHeight w:val="1229"/>
          <w:jc w:val="center"/>
        </w:trPr>
        <w:tc>
          <w:tcPr>
            <w:tcW w:w="1660" w:type="pct"/>
          </w:tcPr>
          <w:p w14:paraId="280AC2BE" w14:textId="77777777" w:rsidR="00476A11" w:rsidRPr="00E9120D" w:rsidRDefault="00476A11" w:rsidP="00EA6368">
            <w:pPr>
              <w:rPr>
                <w:rFonts w:asciiTheme="minorHAnsi" w:eastAsia="SimSun" w:hAnsiTheme="minorHAnsi" w:cstheme="minorHAnsi"/>
                <w:i/>
                <w:sz w:val="22"/>
                <w:szCs w:val="22"/>
                <w:lang w:val="en-GB" w:eastAsia="zh-CN"/>
              </w:rPr>
            </w:pPr>
            <w:r w:rsidRPr="00E9120D">
              <w:rPr>
                <w:rFonts w:asciiTheme="minorHAnsi" w:eastAsia="SimSun" w:hAnsiTheme="minorHAnsi" w:cstheme="minorHAnsi"/>
                <w:i/>
                <w:sz w:val="22"/>
                <w:szCs w:val="22"/>
                <w:lang w:val="en-GB" w:eastAsia="zh-CN"/>
              </w:rPr>
              <w:t>Income Statement</w:t>
            </w:r>
          </w:p>
          <w:p w14:paraId="3FDDB184" w14:textId="77777777" w:rsidR="00476A11" w:rsidRPr="00426BBC" w:rsidRDefault="00476A11" w:rsidP="00EA6368">
            <w:pPr>
              <w:rPr>
                <w:rFonts w:asciiTheme="minorHAnsi" w:eastAsia="SimSun" w:hAnsiTheme="minorHAnsi" w:cstheme="minorHAnsi"/>
                <w:b/>
                <w:color w:val="59595B"/>
                <w:sz w:val="22"/>
                <w:szCs w:val="22"/>
                <w:lang w:val="en-GB" w:eastAsia="zh-CN"/>
              </w:rPr>
            </w:pPr>
            <w:r w:rsidRPr="000F4379">
              <w:rPr>
                <w:rFonts w:asciiTheme="minorHAnsi" w:eastAsia="SimSun" w:hAnsiTheme="minorHAnsi" w:cstheme="minorHAnsi"/>
                <w:color w:val="59595B"/>
                <w:sz w:val="22"/>
                <w:szCs w:val="22"/>
                <w:lang w:val="en-GB" w:eastAsia="zh-CN"/>
              </w:rPr>
              <w:t>Revenues</w:t>
            </w:r>
          </w:p>
          <w:p w14:paraId="36EFDB29" w14:textId="77777777" w:rsidR="00476A11" w:rsidRPr="00426BBC" w:rsidRDefault="00476A11" w:rsidP="00EA6368">
            <w:pP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color w:val="59595B"/>
                <w:sz w:val="22"/>
                <w:szCs w:val="22"/>
                <w:lang w:val="en-GB" w:eastAsia="zh-CN"/>
              </w:rPr>
              <w:t>Gross profit</w:t>
            </w:r>
          </w:p>
          <w:p w14:paraId="2AB7954E" w14:textId="2AAB294C" w:rsidR="00476A11" w:rsidRPr="00426BBC" w:rsidRDefault="00476A11" w:rsidP="00EA6368">
            <w:pP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color w:val="59595B"/>
                <w:sz w:val="22"/>
                <w:szCs w:val="22"/>
                <w:lang w:val="en-GB" w:eastAsia="zh-CN"/>
              </w:rPr>
              <w:t xml:space="preserve">Operating </w:t>
            </w:r>
            <w:r w:rsidR="00AD05B9" w:rsidRPr="00426BBC">
              <w:rPr>
                <w:rFonts w:asciiTheme="minorHAnsi" w:eastAsia="SimSun" w:hAnsiTheme="minorHAnsi" w:cstheme="minorHAnsi"/>
                <w:color w:val="59595B"/>
                <w:sz w:val="22"/>
                <w:szCs w:val="22"/>
                <w:lang w:val="en-GB" w:eastAsia="zh-CN"/>
              </w:rPr>
              <w:t>profit</w:t>
            </w:r>
          </w:p>
          <w:p w14:paraId="5FE789E8" w14:textId="035BFF76" w:rsidR="00476A11" w:rsidRPr="00426BBC" w:rsidRDefault="00476A11" w:rsidP="00EA6368">
            <w:pPr>
              <w:rPr>
                <w:rFonts w:asciiTheme="minorHAnsi" w:eastAsia="SimSun" w:hAnsiTheme="minorHAnsi" w:cstheme="minorHAnsi"/>
                <w:b/>
                <w:sz w:val="22"/>
                <w:szCs w:val="22"/>
                <w:lang w:val="en-GB" w:eastAsia="zh-CN"/>
              </w:rPr>
            </w:pPr>
            <w:r w:rsidRPr="00426BBC">
              <w:rPr>
                <w:rFonts w:asciiTheme="minorHAnsi" w:eastAsia="SimSun" w:hAnsiTheme="minorHAnsi" w:cstheme="minorHAnsi"/>
                <w:color w:val="59595B"/>
                <w:sz w:val="22"/>
                <w:szCs w:val="22"/>
                <w:lang w:val="en-GB" w:eastAsia="zh-CN"/>
              </w:rPr>
              <w:t xml:space="preserve">Net </w:t>
            </w:r>
            <w:r w:rsidR="00AD05B9" w:rsidRPr="00426BBC">
              <w:rPr>
                <w:rFonts w:asciiTheme="minorHAnsi" w:eastAsia="SimSun" w:hAnsiTheme="minorHAnsi" w:cstheme="minorHAnsi"/>
                <w:color w:val="59595B"/>
                <w:sz w:val="22"/>
                <w:szCs w:val="22"/>
                <w:lang w:val="en-GB" w:eastAsia="zh-CN"/>
              </w:rPr>
              <w:t>profit</w:t>
            </w:r>
          </w:p>
        </w:tc>
        <w:tc>
          <w:tcPr>
            <w:tcW w:w="768" w:type="pct"/>
            <w:shd w:val="clear" w:color="auto" w:fill="F2F2F2" w:themeFill="background1" w:themeFillShade="F2"/>
          </w:tcPr>
          <w:p w14:paraId="194BBB4C" w14:textId="77777777"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41A9A38C" w14:textId="40E17D37" w:rsidR="006F2E3B" w:rsidRPr="00426BBC" w:rsidRDefault="00187D7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46.1</w:t>
            </w:r>
          </w:p>
          <w:p w14:paraId="5D3972E8" w14:textId="258D81F2" w:rsidR="006F2E3B" w:rsidRPr="00426BBC" w:rsidRDefault="00187D7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41.3</w:t>
            </w:r>
          </w:p>
          <w:p w14:paraId="23149B4C" w14:textId="40BEE805" w:rsidR="006F2E3B" w:rsidRPr="00426BBC" w:rsidRDefault="00187D7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18.8</w:t>
            </w:r>
          </w:p>
          <w:p w14:paraId="698B9305" w14:textId="76D7F01D" w:rsidR="006F2E3B" w:rsidRPr="00426BBC" w:rsidRDefault="00187D7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7.5</w:t>
            </w:r>
          </w:p>
        </w:tc>
        <w:tc>
          <w:tcPr>
            <w:tcW w:w="851" w:type="pct"/>
            <w:shd w:val="clear" w:color="auto" w:fill="F2F2F2" w:themeFill="background1" w:themeFillShade="F2"/>
          </w:tcPr>
          <w:p w14:paraId="50A26871" w14:textId="43D1FAB4"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018D84C1" w14:textId="6C731C0B" w:rsidR="00476A11" w:rsidRPr="00426BBC" w:rsidRDefault="00476A11"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13</w:t>
            </w:r>
            <w:r w:rsidR="00F57E92" w:rsidRPr="00426BBC">
              <w:rPr>
                <w:rFonts w:asciiTheme="minorHAnsi" w:eastAsia="SimSun" w:hAnsiTheme="minorHAnsi" w:cstheme="minorHAnsi"/>
                <w:b/>
                <w:color w:val="59595B"/>
                <w:sz w:val="22"/>
                <w:szCs w:val="22"/>
                <w:lang w:val="en-GB" w:eastAsia="zh-CN"/>
              </w:rPr>
              <w:t>4.7</w:t>
            </w:r>
          </w:p>
          <w:p w14:paraId="2D2AA174" w14:textId="20D2FA5B" w:rsidR="00476A11" w:rsidRPr="00426BBC" w:rsidRDefault="00476A11"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120</w:t>
            </w:r>
            <w:r w:rsidR="00F57E92" w:rsidRPr="00426BBC">
              <w:rPr>
                <w:rFonts w:asciiTheme="minorHAnsi" w:eastAsia="SimSun" w:hAnsiTheme="minorHAnsi" w:cstheme="minorHAnsi"/>
                <w:b/>
                <w:color w:val="59595B"/>
                <w:sz w:val="22"/>
                <w:szCs w:val="22"/>
                <w:lang w:val="en-GB" w:eastAsia="zh-CN"/>
              </w:rPr>
              <w:t>.0</w:t>
            </w:r>
          </w:p>
          <w:p w14:paraId="5780A19A" w14:textId="4CFF89DA" w:rsidR="00476A11" w:rsidRPr="00426BBC" w:rsidRDefault="00476A11"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51</w:t>
            </w:r>
            <w:r w:rsidR="003D267A" w:rsidRPr="00426BBC">
              <w:rPr>
                <w:rFonts w:asciiTheme="minorHAnsi" w:eastAsia="SimSun" w:hAnsiTheme="minorHAnsi" w:cstheme="minorHAnsi"/>
                <w:b/>
                <w:color w:val="59595B"/>
                <w:sz w:val="22"/>
                <w:szCs w:val="22"/>
                <w:lang w:val="en-GB" w:eastAsia="zh-CN"/>
              </w:rPr>
              <w:t>.1</w:t>
            </w:r>
          </w:p>
          <w:p w14:paraId="7CC47AB4" w14:textId="4E5B96C1" w:rsidR="00476A11" w:rsidRPr="00426BBC" w:rsidRDefault="00476A11"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2</w:t>
            </w:r>
            <w:r w:rsidR="009E6B7B" w:rsidRPr="00426BBC">
              <w:rPr>
                <w:rFonts w:asciiTheme="minorHAnsi" w:eastAsia="SimSun" w:hAnsiTheme="minorHAnsi" w:cstheme="minorHAnsi"/>
                <w:b/>
                <w:color w:val="59595B"/>
                <w:sz w:val="22"/>
                <w:szCs w:val="22"/>
                <w:lang w:val="en-GB" w:eastAsia="zh-CN"/>
              </w:rPr>
              <w:t>5</w:t>
            </w:r>
            <w:r w:rsidR="003D267A" w:rsidRPr="00426BBC">
              <w:rPr>
                <w:rFonts w:asciiTheme="minorHAnsi" w:eastAsia="SimSun" w:hAnsiTheme="minorHAnsi" w:cstheme="minorHAnsi"/>
                <w:b/>
                <w:color w:val="59595B"/>
                <w:sz w:val="22"/>
                <w:szCs w:val="22"/>
                <w:lang w:val="en-GB" w:eastAsia="zh-CN"/>
              </w:rPr>
              <w:t>.</w:t>
            </w:r>
            <w:r w:rsidR="009E6B7B" w:rsidRPr="00426BBC">
              <w:rPr>
                <w:rFonts w:asciiTheme="minorHAnsi" w:eastAsia="SimSun" w:hAnsiTheme="minorHAnsi" w:cstheme="minorHAnsi"/>
                <w:b/>
                <w:color w:val="59595B"/>
                <w:sz w:val="22"/>
                <w:szCs w:val="22"/>
                <w:lang w:val="en-GB" w:eastAsia="zh-CN"/>
              </w:rPr>
              <w:t>6</w:t>
            </w:r>
          </w:p>
        </w:tc>
        <w:tc>
          <w:tcPr>
            <w:tcW w:w="853" w:type="pct"/>
          </w:tcPr>
          <w:p w14:paraId="18A4472D" w14:textId="77777777" w:rsidR="00476A11" w:rsidRPr="00426BBC" w:rsidRDefault="00476A11" w:rsidP="00EA6368">
            <w:pPr>
              <w:jc w:val="center"/>
              <w:rPr>
                <w:rFonts w:asciiTheme="minorHAnsi" w:eastAsia="SimSun" w:hAnsiTheme="minorHAnsi" w:cstheme="minorHAnsi"/>
                <w:bCs/>
                <w:color w:val="59595B"/>
                <w:sz w:val="22"/>
                <w:szCs w:val="22"/>
                <w:lang w:val="en-GB" w:eastAsia="zh-CN"/>
              </w:rPr>
            </w:pPr>
          </w:p>
          <w:p w14:paraId="714B3F85" w14:textId="2AB33AE3" w:rsidR="00476A11" w:rsidRPr="00426BBC" w:rsidRDefault="00476A11"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123</w:t>
            </w:r>
            <w:r w:rsidR="003D267A" w:rsidRPr="00426BBC">
              <w:rPr>
                <w:rFonts w:asciiTheme="minorHAnsi" w:eastAsia="SimSun" w:hAnsiTheme="minorHAnsi" w:cstheme="minorHAnsi"/>
                <w:bCs/>
                <w:color w:val="59595B"/>
                <w:sz w:val="22"/>
                <w:szCs w:val="22"/>
                <w:lang w:val="en-GB" w:eastAsia="zh-CN"/>
              </w:rPr>
              <w:t>.</w:t>
            </w:r>
            <w:r w:rsidR="009E6B7B" w:rsidRPr="00426BBC">
              <w:rPr>
                <w:rFonts w:asciiTheme="minorHAnsi" w:eastAsia="SimSun" w:hAnsiTheme="minorHAnsi" w:cstheme="minorHAnsi"/>
                <w:bCs/>
                <w:color w:val="59595B"/>
                <w:sz w:val="22"/>
                <w:szCs w:val="22"/>
                <w:lang w:val="en-GB" w:eastAsia="zh-CN"/>
              </w:rPr>
              <w:t>4</w:t>
            </w:r>
          </w:p>
          <w:p w14:paraId="6ED0B7AA" w14:textId="38E6E8F6" w:rsidR="00476A11" w:rsidRPr="00426BBC" w:rsidRDefault="00476A11"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107</w:t>
            </w:r>
            <w:r w:rsidR="003D267A" w:rsidRPr="00426BBC">
              <w:rPr>
                <w:rFonts w:asciiTheme="minorHAnsi" w:eastAsia="SimSun" w:hAnsiTheme="minorHAnsi" w:cstheme="minorHAnsi"/>
                <w:bCs/>
                <w:color w:val="59595B"/>
                <w:sz w:val="22"/>
                <w:szCs w:val="22"/>
                <w:lang w:val="en-GB" w:eastAsia="zh-CN"/>
              </w:rPr>
              <w:t>.</w:t>
            </w:r>
            <w:r w:rsidR="009E6B7B" w:rsidRPr="00426BBC">
              <w:rPr>
                <w:rFonts w:asciiTheme="minorHAnsi" w:eastAsia="SimSun" w:hAnsiTheme="minorHAnsi" w:cstheme="minorHAnsi"/>
                <w:bCs/>
                <w:color w:val="59595B"/>
                <w:sz w:val="22"/>
                <w:szCs w:val="22"/>
                <w:lang w:val="en-GB" w:eastAsia="zh-CN"/>
              </w:rPr>
              <w:t>1</w:t>
            </w:r>
          </w:p>
          <w:p w14:paraId="5822F9C1" w14:textId="0D83FEAF" w:rsidR="00476A11" w:rsidRPr="00426BBC" w:rsidRDefault="00476A11"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4</w:t>
            </w:r>
            <w:r w:rsidR="003D267A" w:rsidRPr="00426BBC">
              <w:rPr>
                <w:rFonts w:asciiTheme="minorHAnsi" w:eastAsia="SimSun" w:hAnsiTheme="minorHAnsi" w:cstheme="minorHAnsi"/>
                <w:bCs/>
                <w:color w:val="59595B"/>
                <w:sz w:val="22"/>
                <w:szCs w:val="22"/>
                <w:lang w:val="en-GB" w:eastAsia="zh-CN"/>
              </w:rPr>
              <w:t>2.</w:t>
            </w:r>
            <w:r w:rsidR="00187D7F" w:rsidRPr="00426BBC">
              <w:rPr>
                <w:rFonts w:asciiTheme="minorHAnsi" w:eastAsia="SimSun" w:hAnsiTheme="minorHAnsi" w:cstheme="minorHAnsi"/>
                <w:bCs/>
                <w:color w:val="59595B"/>
                <w:sz w:val="22"/>
                <w:szCs w:val="22"/>
                <w:lang w:val="en-GB" w:eastAsia="zh-CN"/>
              </w:rPr>
              <w:t>7</w:t>
            </w:r>
          </w:p>
          <w:p w14:paraId="50D44AD6" w14:textId="1BCE46D5" w:rsidR="00476A11" w:rsidRPr="00426BBC" w:rsidRDefault="00476A11"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24</w:t>
            </w:r>
            <w:r w:rsidR="003D267A" w:rsidRPr="00426BBC">
              <w:rPr>
                <w:rFonts w:asciiTheme="minorHAnsi" w:eastAsia="SimSun" w:hAnsiTheme="minorHAnsi" w:cstheme="minorHAnsi"/>
                <w:bCs/>
                <w:color w:val="59595B"/>
                <w:sz w:val="22"/>
                <w:szCs w:val="22"/>
                <w:lang w:val="en-GB" w:eastAsia="zh-CN"/>
              </w:rPr>
              <w:t>.</w:t>
            </w:r>
            <w:r w:rsidR="00187D7F" w:rsidRPr="00426BBC">
              <w:rPr>
                <w:rFonts w:asciiTheme="minorHAnsi" w:eastAsia="SimSun" w:hAnsiTheme="minorHAnsi" w:cstheme="minorHAnsi"/>
                <w:bCs/>
                <w:color w:val="59595B"/>
                <w:sz w:val="22"/>
                <w:szCs w:val="22"/>
                <w:lang w:val="en-GB" w:eastAsia="zh-CN"/>
              </w:rPr>
              <w:t>1</w:t>
            </w:r>
          </w:p>
        </w:tc>
        <w:tc>
          <w:tcPr>
            <w:tcW w:w="868" w:type="pct"/>
            <w:shd w:val="clear" w:color="auto" w:fill="F2F2F2" w:themeFill="background1" w:themeFillShade="F2"/>
          </w:tcPr>
          <w:p w14:paraId="7B47D8E4" w14:textId="77777777" w:rsidR="00476A11" w:rsidRPr="00426BBC" w:rsidRDefault="00476A11" w:rsidP="00EA6368">
            <w:pPr>
              <w:jc w:val="center"/>
              <w:rPr>
                <w:rFonts w:asciiTheme="minorHAnsi" w:eastAsia="SimSun" w:hAnsiTheme="minorHAnsi" w:cstheme="minorHAnsi"/>
                <w:b/>
                <w:bCs/>
                <w:iCs/>
                <w:sz w:val="22"/>
                <w:szCs w:val="22"/>
                <w:lang w:val="en-GB" w:eastAsia="zh-CN"/>
              </w:rPr>
            </w:pPr>
          </w:p>
          <w:p w14:paraId="0E58AB47" w14:textId="004F6D3B" w:rsidR="00476A11" w:rsidRPr="00426BBC" w:rsidRDefault="00187D7F"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9</w:t>
            </w:r>
            <w:r w:rsidR="007D3A74" w:rsidRPr="00426BBC">
              <w:rPr>
                <w:rFonts w:asciiTheme="minorHAnsi" w:eastAsia="SimSun" w:hAnsiTheme="minorHAnsi" w:cstheme="minorHAnsi"/>
                <w:b/>
                <w:bCs/>
                <w:iCs/>
                <w:sz w:val="22"/>
                <w:szCs w:val="22"/>
                <w:lang w:val="en-GB" w:eastAsia="zh-CN"/>
              </w:rPr>
              <w:t>.2</w:t>
            </w:r>
            <w:r w:rsidR="00476A11" w:rsidRPr="00426BBC">
              <w:rPr>
                <w:rFonts w:asciiTheme="minorHAnsi" w:eastAsia="SimSun" w:hAnsiTheme="minorHAnsi" w:cstheme="minorHAnsi"/>
                <w:b/>
                <w:bCs/>
                <w:iCs/>
                <w:sz w:val="22"/>
                <w:szCs w:val="22"/>
                <w:lang w:val="en-GB" w:eastAsia="zh-CN"/>
              </w:rPr>
              <w:t>%</w:t>
            </w:r>
          </w:p>
          <w:p w14:paraId="7AAF6D6D" w14:textId="77460DD8" w:rsidR="00476A11" w:rsidRPr="00426BBC" w:rsidRDefault="00476A11"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1</w:t>
            </w:r>
            <w:r w:rsidR="00B06893" w:rsidRPr="00426BBC">
              <w:rPr>
                <w:rFonts w:asciiTheme="minorHAnsi" w:eastAsia="SimSun" w:hAnsiTheme="minorHAnsi" w:cstheme="minorHAnsi"/>
                <w:b/>
                <w:bCs/>
                <w:iCs/>
                <w:sz w:val="22"/>
                <w:szCs w:val="22"/>
                <w:lang w:val="en-GB" w:eastAsia="zh-CN"/>
              </w:rPr>
              <w:t>2</w:t>
            </w:r>
            <w:r w:rsidR="007D3A74" w:rsidRPr="00426BBC">
              <w:rPr>
                <w:rFonts w:asciiTheme="minorHAnsi" w:eastAsia="SimSun" w:hAnsiTheme="minorHAnsi" w:cstheme="minorHAnsi"/>
                <w:b/>
                <w:bCs/>
                <w:iCs/>
                <w:sz w:val="22"/>
                <w:szCs w:val="22"/>
                <w:lang w:val="en-GB" w:eastAsia="zh-CN"/>
              </w:rPr>
              <w:t>.0</w:t>
            </w:r>
            <w:r w:rsidRPr="00426BBC">
              <w:rPr>
                <w:rFonts w:asciiTheme="minorHAnsi" w:eastAsia="SimSun" w:hAnsiTheme="minorHAnsi" w:cstheme="minorHAnsi"/>
                <w:b/>
                <w:bCs/>
                <w:iCs/>
                <w:sz w:val="22"/>
                <w:szCs w:val="22"/>
                <w:lang w:val="en-GB" w:eastAsia="zh-CN"/>
              </w:rPr>
              <w:t>%</w:t>
            </w:r>
          </w:p>
          <w:p w14:paraId="3705D600" w14:textId="3C588C15" w:rsidR="00476A11" w:rsidRPr="00426BBC" w:rsidRDefault="007D3A74"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19.7</w:t>
            </w:r>
            <w:r w:rsidR="00476A11" w:rsidRPr="00426BBC">
              <w:rPr>
                <w:rFonts w:asciiTheme="minorHAnsi" w:eastAsia="SimSun" w:hAnsiTheme="minorHAnsi" w:cstheme="minorHAnsi"/>
                <w:b/>
                <w:bCs/>
                <w:iCs/>
                <w:sz w:val="22"/>
                <w:szCs w:val="22"/>
                <w:lang w:val="en-GB" w:eastAsia="zh-CN"/>
              </w:rPr>
              <w:t>%</w:t>
            </w:r>
          </w:p>
          <w:p w14:paraId="75EF8AF3" w14:textId="5621382D" w:rsidR="00476A11" w:rsidRPr="00426BBC" w:rsidRDefault="00187D7F"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6</w:t>
            </w:r>
            <w:r w:rsidR="007D3A74" w:rsidRPr="00426BBC">
              <w:rPr>
                <w:rFonts w:asciiTheme="minorHAnsi" w:eastAsia="SimSun" w:hAnsiTheme="minorHAnsi" w:cstheme="minorHAnsi"/>
                <w:b/>
                <w:bCs/>
                <w:iCs/>
                <w:sz w:val="22"/>
                <w:szCs w:val="22"/>
                <w:lang w:val="en-GB" w:eastAsia="zh-CN"/>
              </w:rPr>
              <w:t>.2</w:t>
            </w:r>
            <w:r w:rsidR="00476A11" w:rsidRPr="00426BBC">
              <w:rPr>
                <w:rFonts w:asciiTheme="minorHAnsi" w:eastAsia="SimSun" w:hAnsiTheme="minorHAnsi" w:cstheme="minorHAnsi"/>
                <w:b/>
                <w:bCs/>
                <w:iCs/>
                <w:sz w:val="22"/>
                <w:szCs w:val="22"/>
                <w:lang w:val="en-GB" w:eastAsia="zh-CN"/>
              </w:rPr>
              <w:t>%</w:t>
            </w:r>
          </w:p>
        </w:tc>
      </w:tr>
      <w:tr w:rsidR="00476A11" w:rsidRPr="00426BBC" w14:paraId="75CE14FA" w14:textId="77777777" w:rsidTr="00DE0380">
        <w:trPr>
          <w:trHeight w:val="507"/>
          <w:jc w:val="center"/>
        </w:trPr>
        <w:tc>
          <w:tcPr>
            <w:tcW w:w="1660" w:type="pct"/>
          </w:tcPr>
          <w:p w14:paraId="37265AA4" w14:textId="77777777" w:rsidR="00476A11" w:rsidRPr="00E9120D" w:rsidRDefault="00476A11" w:rsidP="00EA6368">
            <w:pPr>
              <w:rPr>
                <w:rFonts w:asciiTheme="minorHAnsi" w:eastAsia="SimSun" w:hAnsiTheme="minorHAnsi" w:cstheme="minorHAnsi"/>
                <w:i/>
                <w:sz w:val="22"/>
                <w:szCs w:val="22"/>
                <w:lang w:val="en-GB" w:eastAsia="zh-CN"/>
              </w:rPr>
            </w:pPr>
            <w:r w:rsidRPr="00E9120D">
              <w:rPr>
                <w:rFonts w:asciiTheme="minorHAnsi" w:eastAsia="SimSun" w:hAnsiTheme="minorHAnsi" w:cstheme="minorHAnsi"/>
                <w:i/>
                <w:sz w:val="22"/>
                <w:szCs w:val="22"/>
                <w:lang w:val="en-GB" w:eastAsia="zh-CN"/>
              </w:rPr>
              <w:t>Balance Sheet</w:t>
            </w:r>
          </w:p>
          <w:p w14:paraId="557007AB" w14:textId="7B6403D7" w:rsidR="00476A11" w:rsidRPr="00426BBC" w:rsidRDefault="00476A11" w:rsidP="00EA6368">
            <w:pPr>
              <w:jc w:val="left"/>
              <w:rPr>
                <w:rFonts w:asciiTheme="minorHAnsi" w:eastAsia="SimSun" w:hAnsiTheme="minorHAnsi" w:cstheme="minorHAnsi"/>
                <w:b/>
                <w:sz w:val="22"/>
                <w:szCs w:val="22"/>
                <w:lang w:val="en-GB" w:eastAsia="zh-CN"/>
              </w:rPr>
            </w:pPr>
            <w:r w:rsidRPr="000F4379">
              <w:rPr>
                <w:rFonts w:asciiTheme="minorHAnsi" w:eastAsia="SimSun" w:hAnsiTheme="minorHAnsi" w:cstheme="minorHAnsi"/>
                <w:color w:val="59595B"/>
                <w:sz w:val="22"/>
                <w:szCs w:val="22"/>
                <w:lang w:val="en-GB" w:eastAsia="zh-CN"/>
              </w:rPr>
              <w:t xml:space="preserve">Cash &amp; </w:t>
            </w:r>
            <w:r w:rsidR="00AD05B9" w:rsidRPr="00426BBC">
              <w:rPr>
                <w:rFonts w:asciiTheme="minorHAnsi" w:eastAsia="SimSun" w:hAnsiTheme="minorHAnsi" w:cstheme="minorHAnsi"/>
                <w:color w:val="59595B"/>
                <w:sz w:val="22"/>
                <w:szCs w:val="22"/>
                <w:lang w:val="en-GB" w:eastAsia="zh-CN"/>
              </w:rPr>
              <w:t>cash equivalents</w:t>
            </w:r>
          </w:p>
        </w:tc>
        <w:tc>
          <w:tcPr>
            <w:tcW w:w="768" w:type="pct"/>
            <w:shd w:val="clear" w:color="auto" w:fill="F2F2F2" w:themeFill="background1" w:themeFillShade="F2"/>
          </w:tcPr>
          <w:p w14:paraId="3A38A50D" w14:textId="77777777"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7D048232" w14:textId="424071BD" w:rsidR="006F2E3B" w:rsidRPr="00426BBC" w:rsidRDefault="00811C9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156.1</w:t>
            </w:r>
          </w:p>
        </w:tc>
        <w:tc>
          <w:tcPr>
            <w:tcW w:w="851" w:type="pct"/>
            <w:shd w:val="clear" w:color="auto" w:fill="F2F2F2" w:themeFill="background1" w:themeFillShade="F2"/>
          </w:tcPr>
          <w:p w14:paraId="45E2FD8B" w14:textId="512E6C7B"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30258FD8" w14:textId="15961963" w:rsidR="00476A11" w:rsidRPr="00426BBC" w:rsidRDefault="00C76B88"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156.</w:t>
            </w:r>
            <w:r w:rsidR="00AB4EFC" w:rsidRPr="00426BBC">
              <w:rPr>
                <w:rFonts w:asciiTheme="minorHAnsi" w:eastAsia="SimSun" w:hAnsiTheme="minorHAnsi" w:cstheme="minorHAnsi"/>
                <w:b/>
                <w:color w:val="59595B"/>
                <w:sz w:val="22"/>
                <w:szCs w:val="22"/>
                <w:lang w:val="en-GB" w:eastAsia="zh-CN"/>
              </w:rPr>
              <w:t>1</w:t>
            </w:r>
          </w:p>
        </w:tc>
        <w:tc>
          <w:tcPr>
            <w:tcW w:w="853" w:type="pct"/>
          </w:tcPr>
          <w:p w14:paraId="08E38A54" w14:textId="77777777" w:rsidR="00C76B88" w:rsidRPr="00426BBC" w:rsidRDefault="00C76B88" w:rsidP="00EA6368">
            <w:pPr>
              <w:jc w:val="center"/>
              <w:rPr>
                <w:rFonts w:asciiTheme="minorHAnsi" w:eastAsia="SimSun" w:hAnsiTheme="minorHAnsi" w:cstheme="minorHAnsi"/>
                <w:b/>
                <w:color w:val="59595B"/>
                <w:sz w:val="22"/>
                <w:szCs w:val="22"/>
                <w:lang w:val="en-GB" w:eastAsia="zh-CN"/>
              </w:rPr>
            </w:pPr>
          </w:p>
          <w:p w14:paraId="67BB8054" w14:textId="3209C357" w:rsidR="00476A11" w:rsidRPr="00426BBC" w:rsidRDefault="00C76B88"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64.</w:t>
            </w:r>
            <w:r w:rsidR="00187D7F" w:rsidRPr="00426BBC">
              <w:rPr>
                <w:rFonts w:asciiTheme="minorHAnsi" w:eastAsia="SimSun" w:hAnsiTheme="minorHAnsi" w:cstheme="minorHAnsi"/>
                <w:bCs/>
                <w:color w:val="59595B"/>
                <w:sz w:val="22"/>
                <w:szCs w:val="22"/>
                <w:lang w:val="en-GB" w:eastAsia="zh-CN"/>
              </w:rPr>
              <w:t>4</w:t>
            </w:r>
          </w:p>
        </w:tc>
        <w:tc>
          <w:tcPr>
            <w:tcW w:w="868" w:type="pct"/>
            <w:shd w:val="clear" w:color="auto" w:fill="F2F2F2" w:themeFill="background1" w:themeFillShade="F2"/>
          </w:tcPr>
          <w:p w14:paraId="1F370C01" w14:textId="77777777" w:rsidR="00476A11" w:rsidRPr="00426BBC" w:rsidRDefault="00476A11" w:rsidP="00EA6368">
            <w:pPr>
              <w:jc w:val="center"/>
              <w:rPr>
                <w:rFonts w:asciiTheme="minorHAnsi" w:eastAsia="SimSun" w:hAnsiTheme="minorHAnsi" w:cstheme="minorHAnsi"/>
                <w:b/>
                <w:bCs/>
                <w:iCs/>
                <w:sz w:val="22"/>
                <w:szCs w:val="22"/>
                <w:lang w:val="en-GB" w:eastAsia="zh-CN"/>
              </w:rPr>
            </w:pPr>
          </w:p>
          <w:p w14:paraId="1DD45503" w14:textId="1B1ADC89" w:rsidR="00476A11" w:rsidRPr="00426BBC" w:rsidRDefault="00476A11"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1</w:t>
            </w:r>
            <w:r w:rsidR="006F2E3B" w:rsidRPr="00426BBC">
              <w:rPr>
                <w:rFonts w:asciiTheme="minorHAnsi" w:eastAsia="SimSun" w:hAnsiTheme="minorHAnsi" w:cstheme="minorHAnsi"/>
                <w:b/>
                <w:bCs/>
                <w:iCs/>
                <w:sz w:val="22"/>
                <w:szCs w:val="22"/>
                <w:lang w:val="en-GB" w:eastAsia="zh-CN"/>
              </w:rPr>
              <w:t>42</w:t>
            </w:r>
            <w:r w:rsidR="007D3A74" w:rsidRPr="00426BBC">
              <w:rPr>
                <w:rFonts w:asciiTheme="minorHAnsi" w:eastAsia="SimSun" w:hAnsiTheme="minorHAnsi" w:cstheme="minorHAnsi"/>
                <w:b/>
                <w:bCs/>
                <w:iCs/>
                <w:sz w:val="22"/>
                <w:szCs w:val="22"/>
                <w:lang w:val="en-GB" w:eastAsia="zh-CN"/>
              </w:rPr>
              <w:t>.4</w:t>
            </w:r>
            <w:r w:rsidRPr="00426BBC">
              <w:rPr>
                <w:rFonts w:asciiTheme="minorHAnsi" w:eastAsia="SimSun" w:hAnsiTheme="minorHAnsi" w:cstheme="minorHAnsi"/>
                <w:b/>
                <w:bCs/>
                <w:iCs/>
                <w:sz w:val="22"/>
                <w:szCs w:val="22"/>
                <w:lang w:val="en-GB" w:eastAsia="zh-CN"/>
              </w:rPr>
              <w:t>%</w:t>
            </w:r>
          </w:p>
        </w:tc>
      </w:tr>
      <w:tr w:rsidR="00476A11" w:rsidRPr="00426BBC" w14:paraId="13505E62" w14:textId="77777777" w:rsidTr="00DE0380">
        <w:trPr>
          <w:trHeight w:val="688"/>
          <w:jc w:val="center"/>
        </w:trPr>
        <w:tc>
          <w:tcPr>
            <w:tcW w:w="1660" w:type="pct"/>
          </w:tcPr>
          <w:p w14:paraId="7E07A032" w14:textId="77777777" w:rsidR="00476A11" w:rsidRPr="00E9120D" w:rsidRDefault="00476A11" w:rsidP="00EA6368">
            <w:pPr>
              <w:rPr>
                <w:rFonts w:asciiTheme="minorHAnsi" w:eastAsia="SimSun" w:hAnsiTheme="minorHAnsi" w:cstheme="minorHAnsi"/>
                <w:i/>
                <w:sz w:val="22"/>
                <w:szCs w:val="22"/>
                <w:lang w:val="en-GB" w:eastAsia="zh-CN"/>
              </w:rPr>
            </w:pPr>
            <w:r w:rsidRPr="00E9120D">
              <w:rPr>
                <w:rFonts w:asciiTheme="minorHAnsi" w:eastAsia="SimSun" w:hAnsiTheme="minorHAnsi" w:cstheme="minorHAnsi"/>
                <w:i/>
                <w:sz w:val="22"/>
                <w:szCs w:val="22"/>
                <w:lang w:val="en-GB" w:eastAsia="zh-CN"/>
              </w:rPr>
              <w:t>Share Information</w:t>
            </w:r>
          </w:p>
          <w:p w14:paraId="0599953B" w14:textId="77777777" w:rsidR="00476A11" w:rsidRPr="00426BBC" w:rsidRDefault="00476A11" w:rsidP="00EA6368">
            <w:pPr>
              <w:tabs>
                <w:tab w:val="left" w:pos="1860"/>
              </w:tabs>
              <w:ind w:left="1985" w:hanging="1985"/>
              <w:rPr>
                <w:rFonts w:asciiTheme="minorHAnsi" w:eastAsia="SimSun" w:hAnsiTheme="minorHAnsi" w:cstheme="minorHAnsi"/>
                <w:color w:val="59595B"/>
                <w:sz w:val="22"/>
                <w:szCs w:val="22"/>
                <w:lang w:val="en-GB" w:eastAsia="zh-CN"/>
              </w:rPr>
            </w:pPr>
            <w:r w:rsidRPr="000F4379">
              <w:rPr>
                <w:rFonts w:asciiTheme="minorHAnsi" w:eastAsia="SimSun" w:hAnsiTheme="minorHAnsi" w:cstheme="minorHAnsi"/>
                <w:color w:val="59595B"/>
                <w:sz w:val="22"/>
                <w:szCs w:val="22"/>
                <w:lang w:val="en-GB" w:eastAsia="zh-CN"/>
              </w:rPr>
              <w:t>Earnings per share (€):</w:t>
            </w:r>
            <w:r w:rsidRPr="000F4379">
              <w:rPr>
                <w:rFonts w:asciiTheme="minorHAnsi" w:eastAsia="SimSun" w:hAnsiTheme="minorHAnsi" w:cstheme="minorHAnsi"/>
                <w:color w:val="59595B"/>
                <w:sz w:val="22"/>
                <w:szCs w:val="22"/>
                <w:lang w:val="en-GB" w:eastAsia="zh-CN"/>
              </w:rPr>
              <w:tab/>
            </w:r>
          </w:p>
          <w:p w14:paraId="6FFE9DAC" w14:textId="77777777" w:rsidR="00476A11" w:rsidRPr="00426BBC" w:rsidRDefault="00476A11" w:rsidP="00EF50DE">
            <w:pPr>
              <w:pStyle w:val="ListParagraph"/>
              <w:numPr>
                <w:ilvl w:val="0"/>
                <w:numId w:val="5"/>
              </w:numPr>
              <w:tabs>
                <w:tab w:val="left" w:pos="1860"/>
              </w:tabs>
              <w:rPr>
                <w:rFonts w:asciiTheme="minorHAnsi" w:eastAsia="SimSun" w:hAnsiTheme="minorHAnsi" w:cstheme="minorHAnsi"/>
                <w:b/>
                <w:bCs/>
                <w:color w:val="59595B"/>
                <w:sz w:val="22"/>
                <w:szCs w:val="22"/>
                <w:lang w:val="en-GB" w:eastAsia="zh-CN"/>
              </w:rPr>
            </w:pPr>
            <w:r w:rsidRPr="00426BBC">
              <w:rPr>
                <w:rFonts w:asciiTheme="minorHAnsi" w:eastAsia="SimSun" w:hAnsiTheme="minorHAnsi" w:cstheme="minorHAnsi"/>
                <w:color w:val="59595B"/>
                <w:sz w:val="22"/>
                <w:szCs w:val="22"/>
                <w:lang w:val="en-GB" w:eastAsia="zh-CN"/>
              </w:rPr>
              <w:t>Undiluted</w:t>
            </w:r>
          </w:p>
          <w:p w14:paraId="15F3B3E4" w14:textId="77777777" w:rsidR="00476A11" w:rsidRPr="00426BBC" w:rsidRDefault="00476A11" w:rsidP="00EF50DE">
            <w:pPr>
              <w:pStyle w:val="ListParagraph"/>
              <w:numPr>
                <w:ilvl w:val="0"/>
                <w:numId w:val="5"/>
              </w:numPr>
              <w:rPr>
                <w:rFonts w:asciiTheme="minorHAnsi" w:eastAsia="SimSun" w:hAnsiTheme="minorHAnsi" w:cstheme="minorHAnsi"/>
                <w:b/>
                <w:sz w:val="22"/>
                <w:szCs w:val="22"/>
                <w:lang w:val="en-GB" w:eastAsia="zh-CN"/>
              </w:rPr>
            </w:pPr>
            <w:r w:rsidRPr="00426BBC">
              <w:rPr>
                <w:rFonts w:asciiTheme="minorHAnsi" w:eastAsia="SimSun" w:hAnsiTheme="minorHAnsi" w:cstheme="minorHAnsi"/>
                <w:color w:val="59595B"/>
                <w:sz w:val="22"/>
                <w:szCs w:val="22"/>
                <w:lang w:val="en-GB" w:eastAsia="zh-CN"/>
              </w:rPr>
              <w:t>Fully diluted</w:t>
            </w:r>
          </w:p>
        </w:tc>
        <w:tc>
          <w:tcPr>
            <w:tcW w:w="768" w:type="pct"/>
            <w:shd w:val="clear" w:color="auto" w:fill="F2F2F2" w:themeFill="background1" w:themeFillShade="F2"/>
          </w:tcPr>
          <w:p w14:paraId="560AA844" w14:textId="77777777"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2433DB38" w14:textId="77777777" w:rsidR="006F2E3B" w:rsidRPr="00426BBC" w:rsidRDefault="006F2E3B" w:rsidP="00EA6368">
            <w:pPr>
              <w:jc w:val="center"/>
              <w:rPr>
                <w:rFonts w:asciiTheme="minorHAnsi" w:eastAsia="SimSun" w:hAnsiTheme="minorHAnsi" w:cstheme="minorHAnsi"/>
                <w:b/>
                <w:color w:val="59595B"/>
                <w:sz w:val="22"/>
                <w:szCs w:val="22"/>
                <w:lang w:val="en-GB" w:eastAsia="zh-CN"/>
              </w:rPr>
            </w:pPr>
          </w:p>
          <w:p w14:paraId="7F47A91A" w14:textId="3B97BD4B" w:rsidR="006F2E3B" w:rsidRPr="00426BBC" w:rsidRDefault="00187D7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0.011</w:t>
            </w:r>
          </w:p>
          <w:p w14:paraId="06E2BFB4" w14:textId="4745B42C" w:rsidR="006F2E3B" w:rsidRPr="00426BBC" w:rsidRDefault="00187D7F"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0.010</w:t>
            </w:r>
          </w:p>
        </w:tc>
        <w:tc>
          <w:tcPr>
            <w:tcW w:w="851" w:type="pct"/>
            <w:shd w:val="clear" w:color="auto" w:fill="F2F2F2" w:themeFill="background1" w:themeFillShade="F2"/>
          </w:tcPr>
          <w:p w14:paraId="4148F497" w14:textId="6B03ABCD"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26DC18A1" w14:textId="77777777" w:rsidR="00476A11" w:rsidRPr="00426BBC" w:rsidRDefault="00476A11" w:rsidP="00EA6368">
            <w:pPr>
              <w:jc w:val="center"/>
              <w:rPr>
                <w:rFonts w:asciiTheme="minorHAnsi" w:eastAsia="SimSun" w:hAnsiTheme="minorHAnsi" w:cstheme="minorHAnsi"/>
                <w:b/>
                <w:color w:val="59595B"/>
                <w:sz w:val="22"/>
                <w:szCs w:val="22"/>
                <w:lang w:val="en-GB" w:eastAsia="zh-CN"/>
              </w:rPr>
            </w:pPr>
          </w:p>
          <w:p w14:paraId="64A98ECF" w14:textId="64D5FAC9" w:rsidR="00476A11" w:rsidRPr="00426BBC" w:rsidRDefault="00476A11"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0.0</w:t>
            </w:r>
            <w:r w:rsidR="007D08A7" w:rsidRPr="00426BBC">
              <w:rPr>
                <w:rFonts w:asciiTheme="minorHAnsi" w:eastAsia="SimSun" w:hAnsiTheme="minorHAnsi" w:cstheme="minorHAnsi"/>
                <w:b/>
                <w:color w:val="59595B"/>
                <w:sz w:val="22"/>
                <w:szCs w:val="22"/>
                <w:lang w:val="en-GB" w:eastAsia="zh-CN"/>
              </w:rPr>
              <w:t>40</w:t>
            </w:r>
          </w:p>
          <w:p w14:paraId="57D88F7D" w14:textId="07A89A87" w:rsidR="00476A11" w:rsidRPr="00426BBC" w:rsidRDefault="00476A11" w:rsidP="00EA6368">
            <w:pPr>
              <w:jc w:val="center"/>
              <w:rPr>
                <w:rFonts w:asciiTheme="minorHAnsi" w:eastAsia="SimSun" w:hAnsiTheme="minorHAnsi" w:cstheme="minorHAnsi"/>
                <w:b/>
                <w:color w:val="59595B"/>
                <w:sz w:val="22"/>
                <w:szCs w:val="22"/>
                <w:lang w:val="en-GB" w:eastAsia="zh-CN"/>
              </w:rPr>
            </w:pPr>
            <w:r w:rsidRPr="00426BBC">
              <w:rPr>
                <w:rFonts w:asciiTheme="minorHAnsi" w:eastAsia="SimSun" w:hAnsiTheme="minorHAnsi" w:cstheme="minorHAnsi"/>
                <w:b/>
                <w:color w:val="59595B"/>
                <w:sz w:val="22"/>
                <w:szCs w:val="22"/>
                <w:lang w:val="en-GB" w:eastAsia="zh-CN"/>
              </w:rPr>
              <w:t>0.03</w:t>
            </w:r>
            <w:r w:rsidR="007D08A7" w:rsidRPr="00426BBC">
              <w:rPr>
                <w:rFonts w:asciiTheme="minorHAnsi" w:eastAsia="SimSun" w:hAnsiTheme="minorHAnsi" w:cstheme="minorHAnsi"/>
                <w:b/>
                <w:color w:val="59595B"/>
                <w:sz w:val="22"/>
                <w:szCs w:val="22"/>
                <w:lang w:val="en-GB" w:eastAsia="zh-CN"/>
              </w:rPr>
              <w:t>5</w:t>
            </w:r>
          </w:p>
        </w:tc>
        <w:tc>
          <w:tcPr>
            <w:tcW w:w="853" w:type="pct"/>
          </w:tcPr>
          <w:p w14:paraId="2A0584A7" w14:textId="77777777" w:rsidR="00476A11" w:rsidRPr="00426BBC" w:rsidRDefault="00476A11" w:rsidP="00EA6368">
            <w:pPr>
              <w:jc w:val="center"/>
              <w:rPr>
                <w:rFonts w:asciiTheme="minorHAnsi" w:eastAsia="SimSun" w:hAnsiTheme="minorHAnsi" w:cstheme="minorHAnsi"/>
                <w:bCs/>
                <w:color w:val="59595B"/>
                <w:sz w:val="22"/>
                <w:szCs w:val="22"/>
                <w:lang w:val="en-GB" w:eastAsia="zh-CN"/>
              </w:rPr>
            </w:pPr>
          </w:p>
          <w:p w14:paraId="30BED721" w14:textId="77777777" w:rsidR="00476A11" w:rsidRPr="00426BBC" w:rsidRDefault="00476A11" w:rsidP="00EA6368">
            <w:pPr>
              <w:jc w:val="center"/>
              <w:rPr>
                <w:rFonts w:asciiTheme="minorHAnsi" w:eastAsia="SimSun" w:hAnsiTheme="minorHAnsi" w:cstheme="minorHAnsi"/>
                <w:bCs/>
                <w:color w:val="59595B"/>
                <w:sz w:val="22"/>
                <w:szCs w:val="22"/>
                <w:lang w:val="en-GB" w:eastAsia="zh-CN"/>
              </w:rPr>
            </w:pPr>
          </w:p>
          <w:p w14:paraId="244FEC60" w14:textId="4A23AB89" w:rsidR="00476A11" w:rsidRPr="00426BBC" w:rsidRDefault="00476A11"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0.038</w:t>
            </w:r>
          </w:p>
          <w:p w14:paraId="292BDB1E" w14:textId="4A533101" w:rsidR="00476A11" w:rsidRPr="00426BBC" w:rsidRDefault="00476A11" w:rsidP="00EA6368">
            <w:pPr>
              <w:jc w:val="center"/>
              <w:rPr>
                <w:rFonts w:asciiTheme="minorHAnsi" w:eastAsia="SimSun" w:hAnsiTheme="minorHAnsi" w:cstheme="minorHAnsi"/>
                <w:bCs/>
                <w:color w:val="59595B"/>
                <w:sz w:val="22"/>
                <w:szCs w:val="22"/>
                <w:lang w:val="en-GB" w:eastAsia="zh-CN"/>
              </w:rPr>
            </w:pPr>
            <w:r w:rsidRPr="00426BBC">
              <w:rPr>
                <w:rFonts w:asciiTheme="minorHAnsi" w:eastAsia="SimSun" w:hAnsiTheme="minorHAnsi" w:cstheme="minorHAnsi"/>
                <w:bCs/>
                <w:color w:val="59595B"/>
                <w:sz w:val="22"/>
                <w:szCs w:val="22"/>
                <w:lang w:val="en-GB" w:eastAsia="zh-CN"/>
              </w:rPr>
              <w:t>0.036</w:t>
            </w:r>
          </w:p>
        </w:tc>
        <w:tc>
          <w:tcPr>
            <w:tcW w:w="868" w:type="pct"/>
            <w:shd w:val="clear" w:color="auto" w:fill="F2F2F2" w:themeFill="background1" w:themeFillShade="F2"/>
          </w:tcPr>
          <w:p w14:paraId="1281E93D" w14:textId="77777777" w:rsidR="00476A11" w:rsidRPr="00426BBC" w:rsidRDefault="00476A11" w:rsidP="00EA6368">
            <w:pPr>
              <w:jc w:val="center"/>
              <w:rPr>
                <w:rFonts w:asciiTheme="minorHAnsi" w:eastAsia="SimSun" w:hAnsiTheme="minorHAnsi" w:cstheme="minorHAnsi"/>
                <w:b/>
                <w:bCs/>
                <w:iCs/>
                <w:sz w:val="22"/>
                <w:szCs w:val="22"/>
                <w:lang w:val="en-GB" w:eastAsia="zh-CN"/>
              </w:rPr>
            </w:pPr>
          </w:p>
          <w:p w14:paraId="1CDD8CBF" w14:textId="77777777" w:rsidR="00476A11" w:rsidRPr="00426BBC" w:rsidRDefault="00476A11" w:rsidP="00EA6368">
            <w:pPr>
              <w:jc w:val="center"/>
              <w:rPr>
                <w:rFonts w:asciiTheme="minorHAnsi" w:eastAsia="SimSun" w:hAnsiTheme="minorHAnsi" w:cstheme="minorHAnsi"/>
                <w:b/>
                <w:bCs/>
                <w:iCs/>
                <w:sz w:val="22"/>
                <w:szCs w:val="22"/>
                <w:lang w:val="en-GB" w:eastAsia="zh-CN"/>
              </w:rPr>
            </w:pPr>
          </w:p>
          <w:p w14:paraId="7A6D4F14" w14:textId="2A1657E4" w:rsidR="00476A11" w:rsidRPr="00426BBC" w:rsidRDefault="00187D7F"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5</w:t>
            </w:r>
            <w:r w:rsidR="007D3A74" w:rsidRPr="00426BBC">
              <w:rPr>
                <w:rFonts w:asciiTheme="minorHAnsi" w:eastAsia="SimSun" w:hAnsiTheme="minorHAnsi" w:cstheme="minorHAnsi"/>
                <w:b/>
                <w:bCs/>
                <w:iCs/>
                <w:sz w:val="22"/>
                <w:szCs w:val="22"/>
                <w:lang w:val="en-GB" w:eastAsia="zh-CN"/>
              </w:rPr>
              <w:t>.3</w:t>
            </w:r>
            <w:r w:rsidR="00476A11" w:rsidRPr="00426BBC">
              <w:rPr>
                <w:rFonts w:asciiTheme="minorHAnsi" w:eastAsia="SimSun" w:hAnsiTheme="minorHAnsi" w:cstheme="minorHAnsi"/>
                <w:b/>
                <w:bCs/>
                <w:iCs/>
                <w:sz w:val="22"/>
                <w:szCs w:val="22"/>
                <w:lang w:val="en-GB" w:eastAsia="zh-CN"/>
              </w:rPr>
              <w:t>%</w:t>
            </w:r>
          </w:p>
          <w:p w14:paraId="4E7FAE59" w14:textId="09E5BDE2" w:rsidR="00476A11" w:rsidRPr="00426BBC" w:rsidRDefault="00C34A11" w:rsidP="00EA6368">
            <w:pPr>
              <w:jc w:val="center"/>
              <w:rPr>
                <w:rFonts w:asciiTheme="minorHAnsi" w:eastAsia="SimSun" w:hAnsiTheme="minorHAnsi" w:cstheme="minorHAnsi"/>
                <w:b/>
                <w:bCs/>
                <w:iCs/>
                <w:sz w:val="22"/>
                <w:szCs w:val="22"/>
                <w:lang w:val="en-GB" w:eastAsia="zh-CN"/>
              </w:rPr>
            </w:pPr>
            <w:r w:rsidRPr="00426BBC">
              <w:rPr>
                <w:rFonts w:asciiTheme="minorHAnsi" w:eastAsia="SimSun" w:hAnsiTheme="minorHAnsi" w:cstheme="minorHAnsi"/>
                <w:b/>
                <w:bCs/>
                <w:iCs/>
                <w:sz w:val="22"/>
                <w:szCs w:val="22"/>
                <w:lang w:val="en-GB" w:eastAsia="zh-CN"/>
              </w:rPr>
              <w:t>(</w:t>
            </w:r>
            <w:r w:rsidR="00E77111" w:rsidRPr="00426BBC">
              <w:rPr>
                <w:rFonts w:asciiTheme="minorHAnsi" w:eastAsia="SimSun" w:hAnsiTheme="minorHAnsi" w:cstheme="minorHAnsi"/>
                <w:b/>
                <w:bCs/>
                <w:iCs/>
                <w:sz w:val="22"/>
                <w:szCs w:val="22"/>
                <w:lang w:val="en-GB" w:eastAsia="zh-CN"/>
              </w:rPr>
              <w:t>2.8%</w:t>
            </w:r>
            <w:r w:rsidRPr="00426BBC">
              <w:rPr>
                <w:rFonts w:asciiTheme="minorHAnsi" w:eastAsia="SimSun" w:hAnsiTheme="minorHAnsi" w:cstheme="minorHAnsi"/>
                <w:b/>
                <w:bCs/>
                <w:iCs/>
                <w:sz w:val="22"/>
                <w:szCs w:val="22"/>
                <w:lang w:val="en-GB" w:eastAsia="zh-CN"/>
              </w:rPr>
              <w:t>)</w:t>
            </w:r>
          </w:p>
        </w:tc>
      </w:tr>
    </w:tbl>
    <w:p w14:paraId="0D41851C" w14:textId="77777777" w:rsidR="006446EE" w:rsidRPr="00E9120D" w:rsidRDefault="006446EE" w:rsidP="00EA6368">
      <w:pPr>
        <w:rPr>
          <w:rFonts w:asciiTheme="minorHAnsi" w:eastAsia="SimSun" w:hAnsiTheme="minorHAnsi" w:cstheme="minorHAnsi"/>
          <w:b/>
          <w:lang w:val="en-GB" w:eastAsia="zh-CN"/>
        </w:rPr>
      </w:pPr>
    </w:p>
    <w:p w14:paraId="259C3CCB" w14:textId="77777777" w:rsidR="006446EE" w:rsidRPr="00426BBC" w:rsidRDefault="006446EE" w:rsidP="00EA6368">
      <w:pPr>
        <w:tabs>
          <w:tab w:val="left" w:pos="9360"/>
        </w:tabs>
        <w:rPr>
          <w:rFonts w:asciiTheme="minorHAnsi" w:hAnsiTheme="minorHAnsi" w:cstheme="minorHAnsi"/>
          <w:lang w:val="en-GB"/>
        </w:rPr>
      </w:pPr>
      <w:r w:rsidRPr="000F4379">
        <w:rPr>
          <w:rFonts w:asciiTheme="minorHAnsi" w:hAnsiTheme="minorHAnsi" w:cstheme="minorHAnsi"/>
          <w:b/>
          <w:lang w:val="en-GB"/>
        </w:rPr>
        <w:t>Financial highlights</w:t>
      </w:r>
    </w:p>
    <w:p w14:paraId="75D5055E" w14:textId="30E6932F" w:rsidR="006446EE" w:rsidRPr="00426BBC" w:rsidRDefault="006F6B3A" w:rsidP="00EF50DE">
      <w:pPr>
        <w:pStyle w:val="ListParagraph"/>
        <w:numPr>
          <w:ilvl w:val="0"/>
          <w:numId w:val="2"/>
        </w:numPr>
        <w:spacing w:after="120"/>
        <w:ind w:left="567" w:hanging="357"/>
        <w:contextualSpacing w:val="0"/>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Delivered </w:t>
      </w:r>
      <w:r w:rsidR="006446EE" w:rsidRPr="00426BBC">
        <w:rPr>
          <w:rFonts w:asciiTheme="minorHAnsi" w:hAnsiTheme="minorHAnsi" w:cstheme="minorHAnsi"/>
          <w:color w:val="59595B"/>
          <w:sz w:val="22"/>
          <w:szCs w:val="22"/>
          <w:lang w:val="en-GB"/>
        </w:rPr>
        <w:t>revenue</w:t>
      </w:r>
      <w:r w:rsidR="00710D27" w:rsidRPr="00426BBC">
        <w:rPr>
          <w:rFonts w:asciiTheme="minorHAnsi" w:hAnsiTheme="minorHAnsi" w:cstheme="minorHAnsi"/>
          <w:color w:val="59595B"/>
          <w:sz w:val="22"/>
          <w:szCs w:val="22"/>
          <w:lang w:val="en-GB"/>
        </w:rPr>
        <w:t xml:space="preserve"> of </w:t>
      </w:r>
      <w:r w:rsidR="00EC2BF2" w:rsidRPr="00426BBC">
        <w:rPr>
          <w:rFonts w:asciiTheme="minorHAnsi" w:hAnsiTheme="minorHAnsi" w:cstheme="minorHAnsi"/>
          <w:color w:val="59595B"/>
          <w:sz w:val="22"/>
          <w:szCs w:val="22"/>
          <w:lang w:val="en-GB"/>
        </w:rPr>
        <w:t>€</w:t>
      </w:r>
      <w:r w:rsidR="00710D27" w:rsidRPr="00426BBC">
        <w:rPr>
          <w:rFonts w:asciiTheme="minorHAnsi" w:hAnsiTheme="minorHAnsi" w:cstheme="minorHAnsi"/>
          <w:color w:val="59595B"/>
          <w:sz w:val="22"/>
          <w:szCs w:val="22"/>
          <w:lang w:val="en-GB"/>
        </w:rPr>
        <w:t>13</w:t>
      </w:r>
      <w:r w:rsidR="003D267A" w:rsidRPr="00426BBC">
        <w:rPr>
          <w:rFonts w:asciiTheme="minorHAnsi" w:hAnsiTheme="minorHAnsi" w:cstheme="minorHAnsi"/>
          <w:color w:val="59595B"/>
          <w:sz w:val="22"/>
          <w:szCs w:val="22"/>
          <w:lang w:val="en-GB"/>
        </w:rPr>
        <w:t>4.7</w:t>
      </w:r>
      <w:r w:rsidR="00710D27" w:rsidRPr="00426BBC">
        <w:rPr>
          <w:rFonts w:asciiTheme="minorHAnsi" w:hAnsiTheme="minorHAnsi" w:cstheme="minorHAnsi"/>
          <w:color w:val="59595B"/>
          <w:sz w:val="22"/>
          <w:szCs w:val="22"/>
          <w:lang w:val="en-GB"/>
        </w:rPr>
        <w:t xml:space="preserve"> million</w:t>
      </w:r>
      <w:r w:rsidR="00EC2BF2" w:rsidRPr="00426BBC">
        <w:rPr>
          <w:rFonts w:asciiTheme="minorHAnsi" w:hAnsiTheme="minorHAnsi" w:cstheme="minorHAnsi"/>
          <w:color w:val="59595B"/>
          <w:sz w:val="22"/>
          <w:szCs w:val="22"/>
          <w:lang w:val="en-GB"/>
        </w:rPr>
        <w:t xml:space="preserve"> in the</w:t>
      </w:r>
      <w:r w:rsidR="00710D27" w:rsidRPr="00426BBC">
        <w:rPr>
          <w:rFonts w:asciiTheme="minorHAnsi" w:hAnsiTheme="minorHAnsi" w:cstheme="minorHAnsi"/>
          <w:color w:val="59595B"/>
          <w:sz w:val="22"/>
          <w:szCs w:val="22"/>
          <w:lang w:val="en-GB"/>
        </w:rPr>
        <w:t xml:space="preserve"> first nine months of </w:t>
      </w:r>
      <w:r w:rsidR="006446EE" w:rsidRPr="00426BBC">
        <w:rPr>
          <w:rFonts w:asciiTheme="minorHAnsi" w:hAnsiTheme="minorHAnsi" w:cstheme="minorHAnsi"/>
          <w:color w:val="59595B"/>
          <w:sz w:val="22"/>
          <w:szCs w:val="22"/>
          <w:lang w:val="en-GB"/>
        </w:rPr>
        <w:t>2020</w:t>
      </w:r>
      <w:r w:rsidR="001857FB" w:rsidRPr="00426BBC">
        <w:rPr>
          <w:rFonts w:asciiTheme="minorHAnsi" w:hAnsiTheme="minorHAnsi" w:cstheme="minorHAnsi"/>
          <w:color w:val="59595B"/>
          <w:sz w:val="22"/>
          <w:szCs w:val="22"/>
          <w:lang w:val="en-GB"/>
        </w:rPr>
        <w:t>,</w:t>
      </w:r>
      <w:r w:rsidR="004E52BB" w:rsidRPr="00426BBC">
        <w:rPr>
          <w:rFonts w:asciiTheme="minorHAnsi" w:hAnsiTheme="minorHAnsi" w:cstheme="minorHAnsi"/>
          <w:color w:val="59595B"/>
          <w:sz w:val="22"/>
          <w:szCs w:val="22"/>
          <w:lang w:val="en-GB"/>
        </w:rPr>
        <w:t xml:space="preserve"> </w:t>
      </w:r>
      <w:r w:rsidR="006446EE" w:rsidRPr="00426BBC">
        <w:rPr>
          <w:rFonts w:asciiTheme="minorHAnsi" w:hAnsiTheme="minorHAnsi" w:cstheme="minorHAnsi"/>
          <w:color w:val="59595B"/>
          <w:sz w:val="22"/>
          <w:szCs w:val="22"/>
          <w:lang w:val="en-GB"/>
        </w:rPr>
        <w:t xml:space="preserve">a </w:t>
      </w:r>
      <w:r w:rsidR="00187D7F" w:rsidRPr="00426BBC">
        <w:rPr>
          <w:rFonts w:asciiTheme="minorHAnsi" w:hAnsiTheme="minorHAnsi" w:cstheme="minorHAnsi"/>
          <w:color w:val="59595B"/>
          <w:sz w:val="22"/>
          <w:szCs w:val="22"/>
          <w:lang w:val="en-GB"/>
        </w:rPr>
        <w:t>9.2</w:t>
      </w:r>
      <w:r w:rsidR="006446EE" w:rsidRPr="00426BBC">
        <w:rPr>
          <w:rFonts w:asciiTheme="minorHAnsi" w:hAnsiTheme="minorHAnsi" w:cstheme="minorHAnsi"/>
          <w:color w:val="59595B"/>
          <w:sz w:val="22"/>
          <w:szCs w:val="22"/>
          <w:lang w:val="en-GB"/>
        </w:rPr>
        <w:t xml:space="preserve">% increase year-on-year </w:t>
      </w:r>
      <w:r w:rsidRPr="00426BBC">
        <w:rPr>
          <w:rFonts w:asciiTheme="minorHAnsi" w:hAnsiTheme="minorHAnsi" w:cstheme="minorHAnsi"/>
          <w:color w:val="59595B"/>
          <w:sz w:val="22"/>
          <w:szCs w:val="22"/>
          <w:lang w:val="en-GB"/>
        </w:rPr>
        <w:t>(nine months</w:t>
      </w:r>
      <w:r w:rsidR="006C583C" w:rsidRPr="00426BBC">
        <w:rPr>
          <w:rFonts w:asciiTheme="minorHAnsi" w:hAnsiTheme="minorHAnsi" w:cstheme="minorHAnsi"/>
          <w:color w:val="59595B"/>
          <w:sz w:val="22"/>
          <w:szCs w:val="22"/>
          <w:lang w:val="en-GB"/>
        </w:rPr>
        <w:t xml:space="preserve"> of</w:t>
      </w:r>
      <w:r w:rsidRPr="00426BBC">
        <w:rPr>
          <w:rFonts w:asciiTheme="minorHAnsi" w:hAnsiTheme="minorHAnsi" w:cstheme="minorHAnsi"/>
          <w:color w:val="59595B"/>
          <w:sz w:val="22"/>
          <w:szCs w:val="22"/>
          <w:lang w:val="en-GB"/>
        </w:rPr>
        <w:t xml:space="preserve"> 2019: </w:t>
      </w:r>
      <w:r w:rsidR="006446EE" w:rsidRPr="00426BBC">
        <w:rPr>
          <w:rFonts w:asciiTheme="minorHAnsi" w:hAnsiTheme="minorHAnsi" w:cstheme="minorHAnsi"/>
          <w:color w:val="59595B"/>
          <w:sz w:val="22"/>
          <w:szCs w:val="22"/>
          <w:lang w:val="en-GB"/>
        </w:rPr>
        <w:t>€</w:t>
      </w:r>
      <w:r w:rsidR="00EC2BF2" w:rsidRPr="00426BBC">
        <w:rPr>
          <w:rFonts w:asciiTheme="minorHAnsi" w:hAnsiTheme="minorHAnsi" w:cstheme="minorHAnsi"/>
          <w:color w:val="59595B"/>
          <w:sz w:val="22"/>
          <w:szCs w:val="22"/>
          <w:lang w:val="en-GB"/>
        </w:rPr>
        <w:t>12</w:t>
      </w:r>
      <w:r w:rsidR="003D267A" w:rsidRPr="00426BBC">
        <w:rPr>
          <w:rFonts w:asciiTheme="minorHAnsi" w:hAnsiTheme="minorHAnsi" w:cstheme="minorHAnsi"/>
          <w:color w:val="59595B"/>
          <w:sz w:val="22"/>
          <w:szCs w:val="22"/>
          <w:lang w:val="en-GB"/>
        </w:rPr>
        <w:t>3.</w:t>
      </w:r>
      <w:r w:rsidR="00CA2663" w:rsidRPr="00426BBC">
        <w:rPr>
          <w:rFonts w:asciiTheme="minorHAnsi" w:hAnsiTheme="minorHAnsi" w:cstheme="minorHAnsi"/>
          <w:color w:val="59595B"/>
          <w:sz w:val="22"/>
          <w:szCs w:val="22"/>
          <w:lang w:val="en-GB"/>
        </w:rPr>
        <w:t>4</w:t>
      </w:r>
      <w:r w:rsidR="006446EE" w:rsidRPr="00426BBC">
        <w:rPr>
          <w:rFonts w:asciiTheme="minorHAnsi" w:hAnsiTheme="minorHAnsi" w:cstheme="minorHAnsi"/>
          <w:color w:val="59595B"/>
          <w:sz w:val="22"/>
          <w:szCs w:val="22"/>
          <w:lang w:val="en-GB"/>
        </w:rPr>
        <w:t xml:space="preserve"> million</w:t>
      </w:r>
      <w:r w:rsidRPr="00426BBC">
        <w:rPr>
          <w:rFonts w:asciiTheme="minorHAnsi" w:hAnsiTheme="minorHAnsi" w:cstheme="minorHAnsi"/>
          <w:color w:val="59595B"/>
          <w:sz w:val="22"/>
          <w:szCs w:val="22"/>
          <w:lang w:val="en-GB"/>
        </w:rPr>
        <w:t>)</w:t>
      </w:r>
      <w:r w:rsidR="005E4786" w:rsidRPr="00426BBC">
        <w:rPr>
          <w:rFonts w:asciiTheme="minorHAnsi" w:hAnsiTheme="minorHAnsi" w:cstheme="minorHAnsi"/>
          <w:color w:val="59595B"/>
          <w:sz w:val="22"/>
          <w:szCs w:val="22"/>
          <w:lang w:val="en-GB"/>
        </w:rPr>
        <w:t>.</w:t>
      </w:r>
    </w:p>
    <w:p w14:paraId="04F35C50" w14:textId="28EA1BEF" w:rsidR="006A2B60" w:rsidRDefault="00715B7F" w:rsidP="00EF50DE">
      <w:pPr>
        <w:pStyle w:val="ListParagraph"/>
        <w:numPr>
          <w:ilvl w:val="0"/>
          <w:numId w:val="3"/>
        </w:numPr>
        <w:spacing w:after="120"/>
        <w:ind w:left="567" w:hanging="357"/>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Q</w:t>
      </w:r>
      <w:r w:rsidR="003C24B3" w:rsidRPr="00426BBC">
        <w:rPr>
          <w:rFonts w:asciiTheme="minorHAnsi" w:hAnsiTheme="minorHAnsi" w:cstheme="minorHAnsi"/>
          <w:color w:val="59595B"/>
          <w:sz w:val="22"/>
          <w:szCs w:val="22"/>
          <w:lang w:val="en-GB"/>
        </w:rPr>
        <w:t>uarter</w:t>
      </w:r>
      <w:r w:rsidR="006F6B3A" w:rsidRPr="00426BBC">
        <w:rPr>
          <w:rFonts w:asciiTheme="minorHAnsi" w:hAnsiTheme="minorHAnsi" w:cstheme="minorHAnsi"/>
          <w:color w:val="59595B"/>
          <w:sz w:val="22"/>
          <w:szCs w:val="22"/>
          <w:lang w:val="en-GB"/>
        </w:rPr>
        <w:t>-</w:t>
      </w:r>
      <w:r w:rsidR="003C24B3" w:rsidRPr="00426BBC">
        <w:rPr>
          <w:rFonts w:asciiTheme="minorHAnsi" w:hAnsiTheme="minorHAnsi" w:cstheme="minorHAnsi"/>
          <w:color w:val="59595B"/>
          <w:sz w:val="22"/>
          <w:szCs w:val="22"/>
          <w:lang w:val="en-GB"/>
        </w:rPr>
        <w:t>on</w:t>
      </w:r>
      <w:r w:rsidR="006F6B3A" w:rsidRPr="00426BBC">
        <w:rPr>
          <w:rFonts w:asciiTheme="minorHAnsi" w:hAnsiTheme="minorHAnsi" w:cstheme="minorHAnsi"/>
          <w:color w:val="59595B"/>
          <w:sz w:val="22"/>
          <w:szCs w:val="22"/>
          <w:lang w:val="en-GB"/>
        </w:rPr>
        <w:t>-</w:t>
      </w:r>
      <w:r w:rsidR="003C24B3" w:rsidRPr="00426BBC">
        <w:rPr>
          <w:rFonts w:asciiTheme="minorHAnsi" w:hAnsiTheme="minorHAnsi" w:cstheme="minorHAnsi"/>
          <w:color w:val="59595B"/>
          <w:sz w:val="22"/>
          <w:szCs w:val="22"/>
          <w:lang w:val="en-GB"/>
        </w:rPr>
        <w:t>quarter revenues strong</w:t>
      </w:r>
      <w:r w:rsidR="006F74C1" w:rsidRPr="00426BBC">
        <w:rPr>
          <w:rFonts w:asciiTheme="minorHAnsi" w:hAnsiTheme="minorHAnsi" w:cstheme="minorHAnsi"/>
          <w:color w:val="59595B"/>
          <w:sz w:val="22"/>
          <w:szCs w:val="22"/>
          <w:lang w:val="en-GB"/>
        </w:rPr>
        <w:t>ly recovered</w:t>
      </w:r>
      <w:r w:rsidR="006F6B3A" w:rsidRPr="00426BBC">
        <w:rPr>
          <w:rFonts w:asciiTheme="minorHAnsi" w:hAnsiTheme="minorHAnsi" w:cstheme="minorHAnsi"/>
          <w:color w:val="59595B"/>
          <w:sz w:val="22"/>
          <w:szCs w:val="22"/>
          <w:lang w:val="en-GB"/>
        </w:rPr>
        <w:t>, delivering</w:t>
      </w:r>
      <w:r w:rsidR="003C24B3" w:rsidRPr="00426BBC">
        <w:rPr>
          <w:rFonts w:asciiTheme="minorHAnsi" w:hAnsiTheme="minorHAnsi" w:cstheme="minorHAnsi"/>
          <w:color w:val="59595B"/>
          <w:sz w:val="22"/>
          <w:szCs w:val="22"/>
          <w:lang w:val="en-GB"/>
        </w:rPr>
        <w:t xml:space="preserve"> an increase of </w:t>
      </w:r>
      <w:r w:rsidR="00187D7F" w:rsidRPr="00426BBC">
        <w:rPr>
          <w:rFonts w:asciiTheme="minorHAnsi" w:hAnsiTheme="minorHAnsi" w:cstheme="minorHAnsi"/>
          <w:color w:val="59595B"/>
          <w:sz w:val="22"/>
          <w:szCs w:val="22"/>
          <w:lang w:val="en-GB"/>
        </w:rPr>
        <w:t>17.3</w:t>
      </w:r>
      <w:r w:rsidR="003C24B3" w:rsidRPr="00426BBC">
        <w:rPr>
          <w:rFonts w:asciiTheme="minorHAnsi" w:hAnsiTheme="minorHAnsi" w:cstheme="minorHAnsi"/>
          <w:color w:val="59595B"/>
          <w:sz w:val="22"/>
          <w:szCs w:val="22"/>
          <w:lang w:val="en-GB"/>
        </w:rPr>
        <w:t>%</w:t>
      </w:r>
      <w:r w:rsidR="006F6B3A" w:rsidRPr="00426BBC">
        <w:rPr>
          <w:rFonts w:asciiTheme="minorHAnsi" w:hAnsiTheme="minorHAnsi" w:cstheme="minorHAnsi"/>
          <w:color w:val="59595B"/>
          <w:sz w:val="22"/>
          <w:szCs w:val="22"/>
          <w:lang w:val="en-GB"/>
        </w:rPr>
        <w:t xml:space="preserve"> in Q3 2020 (24.7% at constant currency) compared </w:t>
      </w:r>
      <w:r w:rsidR="007B761E" w:rsidRPr="00426BBC">
        <w:rPr>
          <w:rFonts w:asciiTheme="minorHAnsi" w:hAnsiTheme="minorHAnsi" w:cstheme="minorHAnsi"/>
          <w:color w:val="59595B"/>
          <w:sz w:val="22"/>
          <w:szCs w:val="22"/>
          <w:lang w:val="en-GB"/>
        </w:rPr>
        <w:t>with</w:t>
      </w:r>
      <w:r w:rsidR="003C24B3" w:rsidRPr="00426BBC">
        <w:rPr>
          <w:rFonts w:asciiTheme="minorHAnsi" w:hAnsiTheme="minorHAnsi" w:cstheme="minorHAnsi"/>
          <w:color w:val="59595B"/>
          <w:sz w:val="22"/>
          <w:szCs w:val="22"/>
          <w:lang w:val="en-GB"/>
        </w:rPr>
        <w:t xml:space="preserve"> </w:t>
      </w:r>
      <w:r w:rsidR="00AA1DE9" w:rsidRPr="00426BBC">
        <w:rPr>
          <w:rFonts w:asciiTheme="minorHAnsi" w:hAnsiTheme="minorHAnsi" w:cstheme="minorHAnsi"/>
          <w:color w:val="59595B"/>
          <w:sz w:val="22"/>
          <w:szCs w:val="22"/>
          <w:lang w:val="en-GB"/>
        </w:rPr>
        <w:t>Q2</w:t>
      </w:r>
      <w:r w:rsidR="006F6B3A" w:rsidRPr="00426BBC">
        <w:rPr>
          <w:rFonts w:asciiTheme="minorHAnsi" w:hAnsiTheme="minorHAnsi" w:cstheme="minorHAnsi"/>
          <w:color w:val="59595B"/>
          <w:sz w:val="22"/>
          <w:szCs w:val="22"/>
          <w:lang w:val="en-GB"/>
        </w:rPr>
        <w:t xml:space="preserve"> 2020</w:t>
      </w:r>
      <w:r w:rsidR="00AA1DE9" w:rsidRPr="00426BBC">
        <w:rPr>
          <w:rFonts w:asciiTheme="minorHAnsi" w:hAnsiTheme="minorHAnsi" w:cstheme="minorHAnsi"/>
          <w:color w:val="59595B"/>
          <w:sz w:val="22"/>
          <w:szCs w:val="22"/>
          <w:lang w:val="en-GB"/>
        </w:rPr>
        <w:t xml:space="preserve">, </w:t>
      </w:r>
      <w:r w:rsidR="006C583C" w:rsidRPr="00426BBC">
        <w:rPr>
          <w:rFonts w:asciiTheme="minorHAnsi" w:hAnsiTheme="minorHAnsi" w:cstheme="minorHAnsi"/>
          <w:color w:val="59595B"/>
          <w:sz w:val="22"/>
          <w:szCs w:val="22"/>
          <w:lang w:val="en-GB"/>
        </w:rPr>
        <w:t xml:space="preserve">demonstrating </w:t>
      </w:r>
      <w:r w:rsidR="006F6B3A" w:rsidRPr="00426BBC">
        <w:rPr>
          <w:rFonts w:asciiTheme="minorHAnsi" w:hAnsiTheme="minorHAnsi" w:cstheme="minorHAnsi"/>
          <w:color w:val="59595B"/>
          <w:sz w:val="22"/>
          <w:szCs w:val="22"/>
          <w:lang w:val="en-GB"/>
        </w:rPr>
        <w:t xml:space="preserve">continued </w:t>
      </w:r>
      <w:r w:rsidR="0022218D" w:rsidRPr="00426BBC">
        <w:rPr>
          <w:rFonts w:asciiTheme="minorHAnsi" w:hAnsiTheme="minorHAnsi" w:cstheme="minorHAnsi"/>
          <w:color w:val="59595B"/>
          <w:sz w:val="22"/>
          <w:szCs w:val="22"/>
          <w:lang w:val="en-GB"/>
        </w:rPr>
        <w:t>underlying growth</w:t>
      </w:r>
      <w:r w:rsidR="007B761E" w:rsidRPr="00426BBC">
        <w:rPr>
          <w:rFonts w:asciiTheme="minorHAnsi" w:hAnsiTheme="minorHAnsi" w:cstheme="minorHAnsi"/>
          <w:color w:val="59595B"/>
          <w:sz w:val="22"/>
          <w:szCs w:val="22"/>
          <w:lang w:val="en-GB"/>
        </w:rPr>
        <w:t xml:space="preserve"> in</w:t>
      </w:r>
      <w:r w:rsidR="001857FB" w:rsidRPr="00426BBC">
        <w:rPr>
          <w:rFonts w:asciiTheme="minorHAnsi" w:hAnsiTheme="minorHAnsi" w:cstheme="minorHAnsi"/>
          <w:color w:val="59595B"/>
          <w:sz w:val="22"/>
          <w:szCs w:val="22"/>
          <w:lang w:val="en-GB"/>
        </w:rPr>
        <w:t xml:space="preserve"> HAE </w:t>
      </w:r>
      <w:r w:rsidR="007B761E" w:rsidRPr="00426BBC">
        <w:rPr>
          <w:rFonts w:asciiTheme="minorHAnsi" w:hAnsiTheme="minorHAnsi" w:cstheme="minorHAnsi"/>
          <w:color w:val="59595B"/>
          <w:sz w:val="22"/>
          <w:szCs w:val="22"/>
          <w:lang w:val="en-GB"/>
        </w:rPr>
        <w:t>patients using RUCONEST®</w:t>
      </w:r>
      <w:r w:rsidR="00766D26">
        <w:rPr>
          <w:rFonts w:asciiTheme="minorHAnsi" w:hAnsiTheme="minorHAnsi" w:cstheme="minorHAnsi"/>
          <w:color w:val="59595B"/>
          <w:sz w:val="22"/>
          <w:szCs w:val="22"/>
          <w:lang w:val="en-GB"/>
        </w:rPr>
        <w:t>,</w:t>
      </w:r>
      <w:r w:rsidR="001857FB" w:rsidRPr="00426BBC">
        <w:rPr>
          <w:rFonts w:asciiTheme="minorHAnsi" w:hAnsiTheme="minorHAnsi" w:cstheme="minorHAnsi"/>
          <w:color w:val="59595B"/>
          <w:sz w:val="22"/>
          <w:szCs w:val="22"/>
          <w:lang w:val="en-GB"/>
        </w:rPr>
        <w:t xml:space="preserve"> </w:t>
      </w:r>
      <w:r w:rsidR="008E69CF" w:rsidRPr="00426BBC">
        <w:rPr>
          <w:rFonts w:asciiTheme="minorHAnsi" w:hAnsiTheme="minorHAnsi" w:cstheme="minorHAnsi"/>
          <w:color w:val="59595B"/>
          <w:sz w:val="22"/>
          <w:szCs w:val="22"/>
          <w:lang w:val="en-GB"/>
        </w:rPr>
        <w:t>following a move to more online sales and marketing activities during the COVID-19 pandemic</w:t>
      </w:r>
      <w:r w:rsidR="005E4786" w:rsidRPr="00426BBC">
        <w:rPr>
          <w:rFonts w:asciiTheme="minorHAnsi" w:hAnsiTheme="minorHAnsi" w:cstheme="minorHAnsi"/>
          <w:color w:val="59595B"/>
          <w:sz w:val="22"/>
          <w:szCs w:val="22"/>
          <w:lang w:val="en-GB"/>
        </w:rPr>
        <w:t>.</w:t>
      </w:r>
    </w:p>
    <w:p w14:paraId="383E7A30" w14:textId="77777777" w:rsidR="00473E0B" w:rsidRPr="00426BBC" w:rsidRDefault="00473E0B" w:rsidP="00473E0B">
      <w:pPr>
        <w:pStyle w:val="ListParagraph"/>
        <w:spacing w:after="120"/>
        <w:ind w:left="567"/>
        <w:rPr>
          <w:rFonts w:asciiTheme="minorHAnsi" w:hAnsiTheme="minorHAnsi" w:cstheme="minorHAnsi"/>
          <w:color w:val="59595B"/>
          <w:sz w:val="22"/>
          <w:szCs w:val="22"/>
          <w:lang w:val="en-GB"/>
        </w:rPr>
      </w:pPr>
    </w:p>
    <w:p w14:paraId="0C02C34D" w14:textId="04821E15" w:rsidR="007B761E" w:rsidRPr="00426BBC" w:rsidRDefault="007B761E" w:rsidP="00EF50DE">
      <w:pPr>
        <w:pStyle w:val="ListParagraph"/>
        <w:numPr>
          <w:ilvl w:val="0"/>
          <w:numId w:val="2"/>
        </w:numPr>
        <w:spacing w:after="120"/>
        <w:ind w:left="567" w:hanging="357"/>
        <w:contextualSpacing w:val="0"/>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US revenues increased 8% year-on-year to €129.</w:t>
      </w:r>
      <w:r w:rsidR="007C186D" w:rsidRPr="00426BBC">
        <w:rPr>
          <w:rFonts w:asciiTheme="minorHAnsi" w:hAnsiTheme="minorHAnsi" w:cstheme="minorHAnsi"/>
          <w:color w:val="59595B"/>
          <w:sz w:val="22"/>
          <w:szCs w:val="22"/>
          <w:lang w:val="en-GB"/>
        </w:rPr>
        <w:t>3</w:t>
      </w:r>
      <w:r w:rsidRPr="00426BBC">
        <w:rPr>
          <w:rFonts w:asciiTheme="minorHAnsi" w:hAnsiTheme="minorHAnsi" w:cstheme="minorHAnsi"/>
          <w:color w:val="59595B"/>
          <w:sz w:val="22"/>
          <w:szCs w:val="22"/>
          <w:lang w:val="en-GB"/>
        </w:rPr>
        <w:t xml:space="preserve"> million (nine months </w:t>
      </w:r>
      <w:r w:rsidR="006C583C" w:rsidRPr="00426BBC">
        <w:rPr>
          <w:rFonts w:asciiTheme="minorHAnsi" w:hAnsiTheme="minorHAnsi" w:cstheme="minorHAnsi"/>
          <w:color w:val="59595B"/>
          <w:sz w:val="22"/>
          <w:szCs w:val="22"/>
          <w:lang w:val="en-GB"/>
        </w:rPr>
        <w:t xml:space="preserve">of </w:t>
      </w:r>
      <w:r w:rsidRPr="00426BBC">
        <w:rPr>
          <w:rFonts w:asciiTheme="minorHAnsi" w:hAnsiTheme="minorHAnsi" w:cstheme="minorHAnsi"/>
          <w:color w:val="59595B"/>
          <w:sz w:val="22"/>
          <w:szCs w:val="22"/>
          <w:lang w:val="en-GB"/>
        </w:rPr>
        <w:t>2019: €119 million)</w:t>
      </w:r>
      <w:r w:rsidR="005E4786" w:rsidRPr="00426BBC">
        <w:rPr>
          <w:rFonts w:asciiTheme="minorHAnsi" w:hAnsiTheme="minorHAnsi" w:cstheme="minorHAnsi"/>
          <w:color w:val="59595B"/>
          <w:sz w:val="22"/>
          <w:szCs w:val="22"/>
          <w:lang w:val="en-GB"/>
        </w:rPr>
        <w:t>.</w:t>
      </w:r>
      <w:r w:rsidRPr="00426BBC">
        <w:rPr>
          <w:rFonts w:asciiTheme="minorHAnsi" w:hAnsiTheme="minorHAnsi" w:cstheme="minorHAnsi"/>
          <w:color w:val="59595B"/>
          <w:sz w:val="22"/>
          <w:szCs w:val="22"/>
          <w:lang w:val="en-GB"/>
        </w:rPr>
        <w:t xml:space="preserve">  </w:t>
      </w:r>
    </w:p>
    <w:p w14:paraId="7E2FAD8A" w14:textId="63259A68" w:rsidR="006446EE" w:rsidRPr="00426BBC" w:rsidRDefault="006446EE" w:rsidP="00EF50DE">
      <w:pPr>
        <w:pStyle w:val="ListParagraph"/>
        <w:numPr>
          <w:ilvl w:val="0"/>
          <w:numId w:val="2"/>
        </w:numPr>
        <w:spacing w:after="120"/>
        <w:ind w:left="567" w:hanging="357"/>
        <w:contextualSpacing w:val="0"/>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In Europe and the </w:t>
      </w:r>
      <w:r w:rsidR="00E56882" w:rsidRPr="00426BBC">
        <w:rPr>
          <w:rFonts w:asciiTheme="minorHAnsi" w:hAnsiTheme="minorHAnsi" w:cstheme="minorHAnsi"/>
          <w:color w:val="59595B"/>
          <w:sz w:val="22"/>
          <w:szCs w:val="22"/>
          <w:lang w:val="en-GB"/>
        </w:rPr>
        <w:t>r</w:t>
      </w:r>
      <w:r w:rsidR="00945A9D" w:rsidRPr="00426BBC">
        <w:rPr>
          <w:rFonts w:asciiTheme="minorHAnsi" w:hAnsiTheme="minorHAnsi" w:cstheme="minorHAnsi"/>
          <w:color w:val="59595B"/>
          <w:sz w:val="22"/>
          <w:szCs w:val="22"/>
          <w:lang w:val="en-GB"/>
        </w:rPr>
        <w:t xml:space="preserve">est of </w:t>
      </w:r>
      <w:r w:rsidR="00E56882" w:rsidRPr="00426BBC">
        <w:rPr>
          <w:rFonts w:asciiTheme="minorHAnsi" w:hAnsiTheme="minorHAnsi" w:cstheme="minorHAnsi"/>
          <w:color w:val="59595B"/>
          <w:sz w:val="22"/>
          <w:szCs w:val="22"/>
          <w:lang w:val="en-GB"/>
        </w:rPr>
        <w:t>w</w:t>
      </w:r>
      <w:r w:rsidR="00945A9D" w:rsidRPr="00426BBC">
        <w:rPr>
          <w:rFonts w:asciiTheme="minorHAnsi" w:hAnsiTheme="minorHAnsi" w:cstheme="minorHAnsi"/>
          <w:color w:val="59595B"/>
          <w:sz w:val="22"/>
          <w:szCs w:val="22"/>
          <w:lang w:val="en-GB"/>
        </w:rPr>
        <w:t>orld (</w:t>
      </w:r>
      <w:r w:rsidRPr="00426BBC">
        <w:rPr>
          <w:rFonts w:asciiTheme="minorHAnsi" w:hAnsiTheme="minorHAnsi" w:cstheme="minorHAnsi"/>
          <w:color w:val="59595B"/>
          <w:sz w:val="22"/>
          <w:szCs w:val="22"/>
          <w:lang w:val="en-GB"/>
        </w:rPr>
        <w:t>RoW</w:t>
      </w:r>
      <w:r w:rsidR="00945A9D" w:rsidRPr="00426BBC">
        <w:rPr>
          <w:rFonts w:asciiTheme="minorHAnsi" w:hAnsiTheme="minorHAnsi" w:cstheme="minorHAnsi"/>
          <w:color w:val="59595B"/>
          <w:sz w:val="22"/>
          <w:szCs w:val="22"/>
          <w:lang w:val="en-GB"/>
        </w:rPr>
        <w:t>)</w:t>
      </w:r>
      <w:r w:rsidRPr="00426BBC">
        <w:rPr>
          <w:rFonts w:asciiTheme="minorHAnsi" w:hAnsiTheme="minorHAnsi" w:cstheme="minorHAnsi"/>
          <w:color w:val="59595B"/>
          <w:sz w:val="22"/>
          <w:szCs w:val="22"/>
          <w:lang w:val="en-GB"/>
        </w:rPr>
        <w:t xml:space="preserve">, revenues for </w:t>
      </w:r>
      <w:r w:rsidR="007B761E" w:rsidRPr="00426BBC">
        <w:rPr>
          <w:rFonts w:asciiTheme="minorHAnsi" w:hAnsiTheme="minorHAnsi" w:cstheme="minorHAnsi"/>
          <w:color w:val="59595B"/>
          <w:sz w:val="22"/>
          <w:szCs w:val="22"/>
          <w:lang w:val="en-GB"/>
        </w:rPr>
        <w:t>the first nine months of</w:t>
      </w:r>
      <w:r w:rsidRPr="00426BBC">
        <w:rPr>
          <w:rFonts w:asciiTheme="minorHAnsi" w:hAnsiTheme="minorHAnsi" w:cstheme="minorHAnsi"/>
          <w:color w:val="59595B"/>
          <w:sz w:val="22"/>
          <w:szCs w:val="22"/>
          <w:lang w:val="en-GB"/>
        </w:rPr>
        <w:t xml:space="preserve"> 2020 increased 2</w:t>
      </w:r>
      <w:r w:rsidR="00F52BFD" w:rsidRPr="00426BBC">
        <w:rPr>
          <w:rFonts w:asciiTheme="minorHAnsi" w:hAnsiTheme="minorHAnsi" w:cstheme="minorHAnsi"/>
          <w:color w:val="59595B"/>
          <w:sz w:val="22"/>
          <w:szCs w:val="22"/>
          <w:lang w:val="en-GB"/>
        </w:rPr>
        <w:t>6</w:t>
      </w:r>
      <w:r w:rsidRPr="00426BBC">
        <w:rPr>
          <w:rFonts w:asciiTheme="minorHAnsi" w:hAnsiTheme="minorHAnsi" w:cstheme="minorHAnsi"/>
          <w:color w:val="59595B"/>
          <w:sz w:val="22"/>
          <w:szCs w:val="22"/>
          <w:lang w:val="en-GB"/>
        </w:rPr>
        <w:t>% year-on-year to €</w:t>
      </w:r>
      <w:r w:rsidR="00091231" w:rsidRPr="00426BBC">
        <w:rPr>
          <w:rFonts w:asciiTheme="minorHAnsi" w:hAnsiTheme="minorHAnsi" w:cstheme="minorHAnsi"/>
          <w:color w:val="59595B"/>
          <w:sz w:val="22"/>
          <w:szCs w:val="22"/>
          <w:lang w:val="en-GB"/>
        </w:rPr>
        <w:t>5.4</w:t>
      </w:r>
      <w:r w:rsidRPr="00426BBC">
        <w:rPr>
          <w:rFonts w:asciiTheme="minorHAnsi" w:hAnsiTheme="minorHAnsi" w:cstheme="minorHAnsi"/>
          <w:color w:val="59595B"/>
          <w:sz w:val="22"/>
          <w:szCs w:val="22"/>
          <w:lang w:val="en-GB"/>
        </w:rPr>
        <w:t xml:space="preserve"> million (</w:t>
      </w:r>
      <w:r w:rsidR="007B761E" w:rsidRPr="00426BBC">
        <w:rPr>
          <w:rFonts w:asciiTheme="minorHAnsi" w:hAnsiTheme="minorHAnsi" w:cstheme="minorHAnsi"/>
          <w:color w:val="59595B"/>
          <w:sz w:val="22"/>
          <w:szCs w:val="22"/>
          <w:lang w:val="en-GB"/>
        </w:rPr>
        <w:t>nine months</w:t>
      </w:r>
      <w:r w:rsidR="006C583C" w:rsidRPr="00426BBC">
        <w:rPr>
          <w:rFonts w:asciiTheme="minorHAnsi" w:hAnsiTheme="minorHAnsi" w:cstheme="minorHAnsi"/>
          <w:color w:val="59595B"/>
          <w:sz w:val="22"/>
          <w:szCs w:val="22"/>
          <w:lang w:val="en-GB"/>
        </w:rPr>
        <w:t xml:space="preserve"> of</w:t>
      </w:r>
      <w:r w:rsidRPr="00426BBC">
        <w:rPr>
          <w:rFonts w:asciiTheme="minorHAnsi" w:hAnsiTheme="minorHAnsi" w:cstheme="minorHAnsi"/>
          <w:color w:val="59595B"/>
          <w:sz w:val="22"/>
          <w:szCs w:val="22"/>
          <w:lang w:val="en-GB"/>
        </w:rPr>
        <w:t xml:space="preserve"> 2019: €</w:t>
      </w:r>
      <w:r w:rsidR="00F52BFD" w:rsidRPr="00426BBC">
        <w:rPr>
          <w:rFonts w:asciiTheme="minorHAnsi" w:hAnsiTheme="minorHAnsi" w:cstheme="minorHAnsi"/>
          <w:color w:val="59595B"/>
          <w:sz w:val="22"/>
          <w:szCs w:val="22"/>
          <w:lang w:val="en-GB"/>
        </w:rPr>
        <w:t>4.3</w:t>
      </w:r>
      <w:r w:rsidRPr="00426BBC">
        <w:rPr>
          <w:rFonts w:asciiTheme="minorHAnsi" w:hAnsiTheme="minorHAnsi" w:cstheme="minorHAnsi"/>
          <w:color w:val="59595B"/>
          <w:sz w:val="22"/>
          <w:szCs w:val="22"/>
          <w:lang w:val="en-GB"/>
        </w:rPr>
        <w:t xml:space="preserve"> million), </w:t>
      </w:r>
      <w:r w:rsidR="002D0EE8" w:rsidRPr="00426BBC">
        <w:rPr>
          <w:rFonts w:asciiTheme="minorHAnsi" w:hAnsiTheme="minorHAnsi" w:cstheme="minorHAnsi"/>
          <w:color w:val="59595B"/>
          <w:sz w:val="22"/>
          <w:szCs w:val="22"/>
          <w:lang w:val="en-GB"/>
        </w:rPr>
        <w:t xml:space="preserve">as </w:t>
      </w:r>
      <w:r w:rsidR="007B761E" w:rsidRPr="00426BBC">
        <w:rPr>
          <w:rFonts w:asciiTheme="minorHAnsi" w:hAnsiTheme="minorHAnsi" w:cstheme="minorHAnsi"/>
          <w:color w:val="59595B"/>
          <w:sz w:val="22"/>
          <w:szCs w:val="22"/>
          <w:lang w:val="en-GB"/>
        </w:rPr>
        <w:t>the Company continues to build</w:t>
      </w:r>
      <w:r w:rsidR="006C583C" w:rsidRPr="00426BBC">
        <w:rPr>
          <w:rFonts w:asciiTheme="minorHAnsi" w:hAnsiTheme="minorHAnsi" w:cstheme="minorHAnsi"/>
          <w:color w:val="59595B"/>
          <w:sz w:val="22"/>
          <w:szCs w:val="22"/>
          <w:lang w:val="en-GB"/>
        </w:rPr>
        <w:t xml:space="preserve"> out</w:t>
      </w:r>
      <w:r w:rsidR="007B761E" w:rsidRPr="00426BBC">
        <w:rPr>
          <w:rFonts w:asciiTheme="minorHAnsi" w:hAnsiTheme="minorHAnsi" w:cstheme="minorHAnsi"/>
          <w:color w:val="59595B"/>
          <w:sz w:val="22"/>
          <w:szCs w:val="22"/>
          <w:lang w:val="en-GB"/>
        </w:rPr>
        <w:t xml:space="preserve"> it</w:t>
      </w:r>
      <w:r w:rsidR="006C583C" w:rsidRPr="00426BBC">
        <w:rPr>
          <w:rFonts w:asciiTheme="minorHAnsi" w:hAnsiTheme="minorHAnsi" w:cstheme="minorHAnsi"/>
          <w:color w:val="59595B"/>
          <w:sz w:val="22"/>
          <w:szCs w:val="22"/>
          <w:lang w:val="en-GB"/>
        </w:rPr>
        <w:t>s</w:t>
      </w:r>
      <w:r w:rsidR="002D0EE8" w:rsidRPr="00426BBC">
        <w:rPr>
          <w:rFonts w:asciiTheme="minorHAnsi" w:hAnsiTheme="minorHAnsi" w:cstheme="minorHAnsi"/>
          <w:color w:val="59595B"/>
          <w:sz w:val="22"/>
          <w:szCs w:val="22"/>
          <w:lang w:val="en-GB"/>
        </w:rPr>
        <w:t xml:space="preserve"> EU commercial</w:t>
      </w:r>
      <w:r w:rsidR="006C583C" w:rsidRPr="00426BBC">
        <w:rPr>
          <w:rFonts w:asciiTheme="minorHAnsi" w:hAnsiTheme="minorHAnsi" w:cstheme="minorHAnsi"/>
          <w:color w:val="59595B"/>
          <w:sz w:val="22"/>
          <w:szCs w:val="22"/>
          <w:lang w:val="en-GB"/>
        </w:rPr>
        <w:t xml:space="preserve"> infrastructure</w:t>
      </w:r>
      <w:r w:rsidR="002D0EE8" w:rsidRPr="00426BBC">
        <w:rPr>
          <w:rFonts w:asciiTheme="minorHAnsi" w:hAnsiTheme="minorHAnsi" w:cstheme="minorHAnsi"/>
          <w:color w:val="59595B"/>
          <w:sz w:val="22"/>
          <w:szCs w:val="22"/>
          <w:lang w:val="en-GB"/>
        </w:rPr>
        <w:t xml:space="preserve"> </w:t>
      </w:r>
      <w:r w:rsidR="00B71F06" w:rsidRPr="00426BBC">
        <w:rPr>
          <w:rFonts w:asciiTheme="minorHAnsi" w:hAnsiTheme="minorHAnsi" w:cstheme="minorHAnsi"/>
          <w:color w:val="59595B"/>
          <w:sz w:val="22"/>
          <w:szCs w:val="22"/>
          <w:lang w:val="en-GB"/>
        </w:rPr>
        <w:t xml:space="preserve">and </w:t>
      </w:r>
      <w:r w:rsidR="00DE0380" w:rsidRPr="00426BBC">
        <w:rPr>
          <w:rFonts w:asciiTheme="minorHAnsi" w:hAnsiTheme="minorHAnsi" w:cstheme="minorHAnsi"/>
          <w:color w:val="59595B"/>
          <w:sz w:val="22"/>
          <w:szCs w:val="22"/>
          <w:lang w:val="en-GB"/>
        </w:rPr>
        <w:t xml:space="preserve">expand </w:t>
      </w:r>
      <w:r w:rsidR="00A6145D" w:rsidRPr="00426BBC">
        <w:rPr>
          <w:rFonts w:asciiTheme="minorHAnsi" w:hAnsiTheme="minorHAnsi" w:cstheme="minorHAnsi"/>
          <w:color w:val="59595B"/>
          <w:sz w:val="22"/>
          <w:szCs w:val="22"/>
          <w:lang w:val="en-GB"/>
        </w:rPr>
        <w:t>into</w:t>
      </w:r>
      <w:r w:rsidR="00B71F06" w:rsidRPr="00426BBC">
        <w:rPr>
          <w:rFonts w:asciiTheme="minorHAnsi" w:hAnsiTheme="minorHAnsi" w:cstheme="minorHAnsi"/>
          <w:color w:val="59595B"/>
          <w:sz w:val="22"/>
          <w:szCs w:val="22"/>
          <w:lang w:val="en-GB"/>
        </w:rPr>
        <w:t xml:space="preserve"> new territories </w:t>
      </w:r>
      <w:r w:rsidR="00AA7BB9" w:rsidRPr="00426BBC">
        <w:rPr>
          <w:rFonts w:asciiTheme="minorHAnsi" w:hAnsiTheme="minorHAnsi" w:cstheme="minorHAnsi"/>
          <w:color w:val="59595B"/>
          <w:sz w:val="22"/>
          <w:szCs w:val="22"/>
          <w:lang w:val="en-GB"/>
        </w:rPr>
        <w:t xml:space="preserve">following the re-acquisition of EU rights </w:t>
      </w:r>
      <w:r w:rsidR="00A6145D" w:rsidRPr="00426BBC">
        <w:rPr>
          <w:rFonts w:asciiTheme="minorHAnsi" w:hAnsiTheme="minorHAnsi" w:cstheme="minorHAnsi"/>
          <w:color w:val="59595B"/>
          <w:sz w:val="22"/>
          <w:szCs w:val="22"/>
          <w:lang w:val="en-GB"/>
        </w:rPr>
        <w:t xml:space="preserve">for </w:t>
      </w:r>
      <w:r w:rsidR="007B761E" w:rsidRPr="00426BBC">
        <w:rPr>
          <w:rFonts w:asciiTheme="minorHAnsi" w:hAnsiTheme="minorHAnsi" w:cstheme="minorHAnsi"/>
          <w:color w:val="59595B"/>
          <w:sz w:val="22"/>
          <w:szCs w:val="22"/>
          <w:lang w:val="en-GB"/>
        </w:rPr>
        <w:t xml:space="preserve">RUCONEST® </w:t>
      </w:r>
      <w:r w:rsidR="00AA7BB9" w:rsidRPr="00426BBC">
        <w:rPr>
          <w:rFonts w:asciiTheme="minorHAnsi" w:hAnsiTheme="minorHAnsi" w:cstheme="minorHAnsi"/>
          <w:color w:val="59595B"/>
          <w:sz w:val="22"/>
          <w:szCs w:val="22"/>
          <w:lang w:val="en-GB"/>
        </w:rPr>
        <w:t xml:space="preserve">from </w:t>
      </w:r>
      <w:r w:rsidR="00A6145D" w:rsidRPr="00426BBC">
        <w:rPr>
          <w:rFonts w:asciiTheme="minorHAnsi" w:hAnsiTheme="minorHAnsi" w:cstheme="minorHAnsi"/>
          <w:color w:val="59595B"/>
          <w:sz w:val="22"/>
          <w:szCs w:val="22"/>
          <w:lang w:val="en-GB"/>
        </w:rPr>
        <w:t>Swedish Orphan Biovitrum (</w:t>
      </w:r>
      <w:r w:rsidR="00945A9D" w:rsidRPr="00426BBC">
        <w:rPr>
          <w:rFonts w:asciiTheme="minorHAnsi" w:hAnsiTheme="minorHAnsi" w:cstheme="minorHAnsi"/>
          <w:color w:val="59595B"/>
          <w:sz w:val="22"/>
          <w:szCs w:val="22"/>
          <w:lang w:val="en-GB"/>
        </w:rPr>
        <w:t>SOBI</w:t>
      </w:r>
      <w:r w:rsidR="00A6145D" w:rsidRPr="00426BBC">
        <w:rPr>
          <w:rFonts w:asciiTheme="minorHAnsi" w:hAnsiTheme="minorHAnsi" w:cstheme="minorHAnsi"/>
          <w:color w:val="59595B"/>
          <w:sz w:val="22"/>
          <w:szCs w:val="22"/>
          <w:lang w:val="en-GB"/>
        </w:rPr>
        <w:t>)</w:t>
      </w:r>
      <w:r w:rsidR="00AA7BB9" w:rsidRPr="00426BBC">
        <w:rPr>
          <w:rFonts w:asciiTheme="minorHAnsi" w:hAnsiTheme="minorHAnsi" w:cstheme="minorHAnsi"/>
          <w:color w:val="59595B"/>
          <w:sz w:val="22"/>
          <w:szCs w:val="22"/>
          <w:lang w:val="en-GB"/>
        </w:rPr>
        <w:t xml:space="preserve"> in January </w:t>
      </w:r>
      <w:r w:rsidR="007B761E" w:rsidRPr="00426BBC">
        <w:rPr>
          <w:rFonts w:asciiTheme="minorHAnsi" w:hAnsiTheme="minorHAnsi" w:cstheme="minorHAnsi"/>
          <w:color w:val="59595B"/>
          <w:sz w:val="22"/>
          <w:szCs w:val="22"/>
          <w:lang w:val="en-GB"/>
        </w:rPr>
        <w:t>2020</w:t>
      </w:r>
      <w:r w:rsidR="004961C0" w:rsidRPr="00426BBC">
        <w:rPr>
          <w:rFonts w:asciiTheme="minorHAnsi" w:hAnsiTheme="minorHAnsi" w:cstheme="minorHAnsi"/>
          <w:color w:val="59595B"/>
          <w:sz w:val="22"/>
          <w:szCs w:val="22"/>
          <w:lang w:val="en-GB"/>
        </w:rPr>
        <w:t>.</w:t>
      </w:r>
      <w:r w:rsidR="00AA7BB9" w:rsidRPr="00426BBC">
        <w:rPr>
          <w:rFonts w:asciiTheme="minorHAnsi" w:hAnsiTheme="minorHAnsi" w:cstheme="minorHAnsi"/>
          <w:color w:val="59595B"/>
          <w:sz w:val="22"/>
          <w:szCs w:val="22"/>
          <w:lang w:val="en-GB"/>
        </w:rPr>
        <w:t xml:space="preserve"> </w:t>
      </w:r>
    </w:p>
    <w:p w14:paraId="568BDD93" w14:textId="34A174CE" w:rsidR="0070511F" w:rsidRPr="00426BBC" w:rsidRDefault="006446EE" w:rsidP="00EF50DE">
      <w:pPr>
        <w:pStyle w:val="ListParagraph"/>
        <w:numPr>
          <w:ilvl w:val="0"/>
          <w:numId w:val="2"/>
        </w:numPr>
        <w:spacing w:after="120"/>
        <w:ind w:left="567" w:hanging="357"/>
        <w:contextualSpacing w:val="0"/>
        <w:rPr>
          <w:rFonts w:asciiTheme="minorHAnsi" w:eastAsia="Calibr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Operating profit in </w:t>
      </w:r>
      <w:r w:rsidR="007B761E" w:rsidRPr="00426BBC">
        <w:rPr>
          <w:rFonts w:asciiTheme="minorHAnsi" w:hAnsiTheme="minorHAnsi" w:cstheme="minorHAnsi"/>
          <w:color w:val="59595B"/>
          <w:sz w:val="22"/>
          <w:szCs w:val="22"/>
          <w:lang w:val="en-GB"/>
        </w:rPr>
        <w:t>the first nine months of</w:t>
      </w:r>
      <w:r w:rsidRPr="00426BBC">
        <w:rPr>
          <w:rFonts w:asciiTheme="minorHAnsi" w:hAnsiTheme="minorHAnsi" w:cstheme="minorHAnsi"/>
          <w:color w:val="59595B"/>
          <w:sz w:val="22"/>
          <w:szCs w:val="22"/>
          <w:lang w:val="en-GB"/>
        </w:rPr>
        <w:t xml:space="preserve"> 2020 increased </w:t>
      </w:r>
      <w:r w:rsidR="007D3A74" w:rsidRPr="00426BBC">
        <w:rPr>
          <w:rFonts w:asciiTheme="minorHAnsi" w:hAnsiTheme="minorHAnsi" w:cstheme="minorHAnsi"/>
          <w:color w:val="59595B"/>
          <w:sz w:val="22"/>
          <w:szCs w:val="22"/>
          <w:lang w:val="en-GB"/>
        </w:rPr>
        <w:t>19.7</w:t>
      </w:r>
      <w:r w:rsidRPr="00426BBC">
        <w:rPr>
          <w:rFonts w:asciiTheme="minorHAnsi" w:hAnsiTheme="minorHAnsi" w:cstheme="minorHAnsi"/>
          <w:color w:val="59595B"/>
          <w:sz w:val="22"/>
          <w:szCs w:val="22"/>
          <w:lang w:val="en-GB"/>
        </w:rPr>
        <w:t>% year-on-year to €</w:t>
      </w:r>
      <w:r w:rsidR="00F57E92" w:rsidRPr="00426BBC">
        <w:rPr>
          <w:rFonts w:asciiTheme="minorHAnsi" w:hAnsiTheme="minorHAnsi" w:cstheme="minorHAnsi"/>
          <w:color w:val="59595B"/>
          <w:sz w:val="22"/>
          <w:szCs w:val="22"/>
          <w:lang w:val="en-GB"/>
        </w:rPr>
        <w:t>51.1</w:t>
      </w:r>
      <w:r w:rsidRPr="00426BBC">
        <w:rPr>
          <w:rFonts w:asciiTheme="minorHAnsi" w:hAnsiTheme="minorHAnsi" w:cstheme="minorHAnsi"/>
          <w:color w:val="59595B"/>
          <w:sz w:val="22"/>
          <w:szCs w:val="22"/>
          <w:lang w:val="en-GB"/>
        </w:rPr>
        <w:t xml:space="preserve"> million (</w:t>
      </w:r>
      <w:r w:rsidR="007B761E" w:rsidRPr="00426BBC">
        <w:rPr>
          <w:rFonts w:asciiTheme="minorHAnsi" w:hAnsiTheme="minorHAnsi" w:cstheme="minorHAnsi"/>
          <w:color w:val="59595B"/>
          <w:sz w:val="22"/>
          <w:szCs w:val="22"/>
          <w:lang w:val="en-GB"/>
        </w:rPr>
        <w:t>nine months</w:t>
      </w:r>
      <w:r w:rsidRPr="00426BBC">
        <w:rPr>
          <w:rFonts w:asciiTheme="minorHAnsi" w:hAnsiTheme="minorHAnsi" w:cstheme="minorHAnsi"/>
          <w:color w:val="59595B"/>
          <w:sz w:val="22"/>
          <w:szCs w:val="22"/>
          <w:lang w:val="en-GB"/>
        </w:rPr>
        <w:t xml:space="preserve"> </w:t>
      </w:r>
      <w:r w:rsidR="006C583C" w:rsidRPr="00426BBC">
        <w:rPr>
          <w:rFonts w:asciiTheme="minorHAnsi" w:hAnsiTheme="minorHAnsi" w:cstheme="minorHAnsi"/>
          <w:color w:val="59595B"/>
          <w:sz w:val="22"/>
          <w:szCs w:val="22"/>
          <w:lang w:val="en-GB"/>
        </w:rPr>
        <w:t xml:space="preserve">of </w:t>
      </w:r>
      <w:r w:rsidRPr="00426BBC">
        <w:rPr>
          <w:rFonts w:asciiTheme="minorHAnsi" w:hAnsiTheme="minorHAnsi" w:cstheme="minorHAnsi"/>
          <w:color w:val="59595B"/>
          <w:sz w:val="22"/>
          <w:szCs w:val="22"/>
          <w:lang w:val="en-GB"/>
        </w:rPr>
        <w:t>2019: €</w:t>
      </w:r>
      <w:r w:rsidR="008E61D7" w:rsidRPr="00426BBC">
        <w:rPr>
          <w:rFonts w:asciiTheme="minorHAnsi" w:hAnsiTheme="minorHAnsi" w:cstheme="minorHAnsi"/>
          <w:color w:val="59595B"/>
          <w:sz w:val="22"/>
          <w:szCs w:val="22"/>
          <w:lang w:val="en-GB"/>
        </w:rPr>
        <w:t>42.7</w:t>
      </w:r>
      <w:r w:rsidRPr="00426BBC">
        <w:rPr>
          <w:rFonts w:asciiTheme="minorHAnsi" w:hAnsiTheme="minorHAnsi" w:cstheme="minorHAnsi"/>
          <w:color w:val="59595B"/>
          <w:sz w:val="22"/>
          <w:szCs w:val="22"/>
          <w:lang w:val="en-GB"/>
        </w:rPr>
        <w:t xml:space="preserve"> million)</w:t>
      </w:r>
      <w:r w:rsidR="00EE0B77" w:rsidRPr="00426BBC">
        <w:rPr>
          <w:rFonts w:asciiTheme="minorHAnsi" w:hAnsiTheme="minorHAnsi" w:cstheme="minorHAnsi"/>
          <w:color w:val="59595B"/>
          <w:sz w:val="22"/>
          <w:szCs w:val="22"/>
          <w:lang w:val="en-GB"/>
        </w:rPr>
        <w:t>.</w:t>
      </w:r>
    </w:p>
    <w:p w14:paraId="0621925A" w14:textId="42F44664" w:rsidR="006446EE" w:rsidRPr="00426BBC" w:rsidRDefault="0070511F" w:rsidP="00EF50DE">
      <w:pPr>
        <w:pStyle w:val="ListParagraph"/>
        <w:numPr>
          <w:ilvl w:val="0"/>
          <w:numId w:val="2"/>
        </w:numPr>
        <w:spacing w:after="120"/>
        <w:ind w:left="567" w:hanging="357"/>
        <w:contextualSpacing w:val="0"/>
        <w:rPr>
          <w:rFonts w:asciiTheme="minorHAnsi" w:eastAsia="Calibr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Other financial expenses </w:t>
      </w:r>
      <w:r w:rsidR="00AD027B" w:rsidRPr="00426BBC">
        <w:rPr>
          <w:rFonts w:asciiTheme="minorHAnsi" w:hAnsiTheme="minorHAnsi" w:cstheme="minorHAnsi"/>
          <w:color w:val="59595B"/>
          <w:sz w:val="22"/>
          <w:szCs w:val="22"/>
          <w:lang w:val="en-GB"/>
        </w:rPr>
        <w:t>totalling €</w:t>
      </w:r>
      <w:r w:rsidR="004B13F0" w:rsidRPr="00426BBC">
        <w:rPr>
          <w:rFonts w:asciiTheme="minorHAnsi" w:hAnsiTheme="minorHAnsi" w:cstheme="minorHAnsi"/>
          <w:color w:val="59595B"/>
          <w:sz w:val="22"/>
          <w:szCs w:val="22"/>
          <w:lang w:val="en-GB"/>
        </w:rPr>
        <w:t xml:space="preserve">18.3 </w:t>
      </w:r>
      <w:r w:rsidR="00AD027B" w:rsidRPr="00426BBC">
        <w:rPr>
          <w:rFonts w:asciiTheme="minorHAnsi" w:hAnsiTheme="minorHAnsi" w:cstheme="minorHAnsi"/>
          <w:color w:val="59595B"/>
          <w:sz w:val="22"/>
          <w:szCs w:val="22"/>
          <w:lang w:val="en-GB"/>
        </w:rPr>
        <w:t xml:space="preserve">million </w:t>
      </w:r>
      <w:r w:rsidRPr="00426BBC">
        <w:rPr>
          <w:rFonts w:asciiTheme="minorHAnsi" w:hAnsiTheme="minorHAnsi" w:cstheme="minorHAnsi"/>
          <w:color w:val="59595B"/>
          <w:sz w:val="22"/>
          <w:szCs w:val="22"/>
          <w:lang w:val="en-GB"/>
        </w:rPr>
        <w:t xml:space="preserve">were </w:t>
      </w:r>
      <w:r w:rsidR="00FF7D26" w:rsidRPr="00426BBC">
        <w:rPr>
          <w:rFonts w:asciiTheme="minorHAnsi" w:hAnsiTheme="minorHAnsi" w:cstheme="minorHAnsi"/>
          <w:color w:val="59595B"/>
          <w:sz w:val="22"/>
          <w:szCs w:val="22"/>
          <w:lang w:val="en-GB"/>
        </w:rPr>
        <w:t>affected by one-off payments of fees and penalties as</w:t>
      </w:r>
      <w:r w:rsidR="006C583C" w:rsidRPr="00426BBC">
        <w:rPr>
          <w:rFonts w:asciiTheme="minorHAnsi" w:hAnsiTheme="minorHAnsi" w:cstheme="minorHAnsi"/>
          <w:color w:val="59595B"/>
          <w:sz w:val="22"/>
          <w:szCs w:val="22"/>
          <w:lang w:val="en-GB"/>
        </w:rPr>
        <w:t xml:space="preserve"> a</w:t>
      </w:r>
      <w:r w:rsidR="00FF7D26" w:rsidRPr="00426BBC">
        <w:rPr>
          <w:rFonts w:asciiTheme="minorHAnsi" w:hAnsiTheme="minorHAnsi" w:cstheme="minorHAnsi"/>
          <w:color w:val="59595B"/>
          <w:sz w:val="22"/>
          <w:szCs w:val="22"/>
          <w:lang w:val="en-GB"/>
        </w:rPr>
        <w:t xml:space="preserve"> result of the final payment of the Orbimed loan facility in January</w:t>
      </w:r>
      <w:r w:rsidR="007613EC" w:rsidRPr="00426BBC">
        <w:rPr>
          <w:rFonts w:asciiTheme="minorHAnsi" w:hAnsiTheme="minorHAnsi" w:cstheme="minorHAnsi"/>
          <w:color w:val="59595B"/>
          <w:sz w:val="22"/>
          <w:szCs w:val="22"/>
          <w:lang w:val="en-GB"/>
        </w:rPr>
        <w:t xml:space="preserve"> 2020</w:t>
      </w:r>
      <w:r w:rsidR="00FF7D26" w:rsidRPr="00426BBC">
        <w:rPr>
          <w:rFonts w:asciiTheme="minorHAnsi" w:hAnsiTheme="minorHAnsi" w:cstheme="minorHAnsi"/>
          <w:color w:val="59595B"/>
          <w:sz w:val="22"/>
          <w:szCs w:val="22"/>
          <w:lang w:val="en-GB"/>
        </w:rPr>
        <w:t xml:space="preserve"> </w:t>
      </w:r>
      <w:r w:rsidR="00286387" w:rsidRPr="00426BBC">
        <w:rPr>
          <w:rFonts w:asciiTheme="minorHAnsi" w:hAnsiTheme="minorHAnsi" w:cstheme="minorHAnsi"/>
          <w:color w:val="59595B"/>
          <w:sz w:val="22"/>
          <w:szCs w:val="22"/>
          <w:lang w:val="en-GB"/>
        </w:rPr>
        <w:t>(€</w:t>
      </w:r>
      <w:r w:rsidR="007D1935" w:rsidRPr="00426BBC">
        <w:rPr>
          <w:rFonts w:asciiTheme="minorHAnsi" w:hAnsiTheme="minorHAnsi" w:cstheme="minorHAnsi"/>
          <w:color w:val="59595B"/>
          <w:sz w:val="22"/>
          <w:szCs w:val="22"/>
          <w:lang w:val="en-GB"/>
        </w:rPr>
        <w:t>4.5</w:t>
      </w:r>
      <w:r w:rsidR="00B324E8" w:rsidRPr="00426BBC">
        <w:rPr>
          <w:rFonts w:asciiTheme="minorHAnsi" w:hAnsiTheme="minorHAnsi" w:cstheme="minorHAnsi"/>
          <w:color w:val="59595B"/>
          <w:sz w:val="22"/>
          <w:szCs w:val="22"/>
          <w:lang w:val="en-GB"/>
        </w:rPr>
        <w:t xml:space="preserve"> </w:t>
      </w:r>
      <w:r w:rsidR="00286387" w:rsidRPr="00426BBC">
        <w:rPr>
          <w:rFonts w:asciiTheme="minorHAnsi" w:hAnsiTheme="minorHAnsi" w:cstheme="minorHAnsi"/>
          <w:color w:val="59595B"/>
          <w:sz w:val="22"/>
          <w:szCs w:val="22"/>
          <w:lang w:val="en-GB"/>
        </w:rPr>
        <w:lastRenderedPageBreak/>
        <w:t>million)</w:t>
      </w:r>
      <w:r w:rsidR="009F6886">
        <w:rPr>
          <w:rFonts w:asciiTheme="minorHAnsi" w:hAnsiTheme="minorHAnsi" w:cstheme="minorHAnsi"/>
          <w:color w:val="59595B"/>
          <w:sz w:val="22"/>
          <w:szCs w:val="22"/>
          <w:lang w:val="en-GB"/>
        </w:rPr>
        <w:t xml:space="preserve">. </w:t>
      </w:r>
      <w:r w:rsidR="00286387" w:rsidRPr="00426BBC">
        <w:rPr>
          <w:rFonts w:asciiTheme="minorHAnsi" w:hAnsiTheme="minorHAnsi" w:cstheme="minorHAnsi"/>
          <w:color w:val="59595B"/>
          <w:sz w:val="22"/>
          <w:szCs w:val="22"/>
          <w:lang w:val="en-GB"/>
        </w:rPr>
        <w:t xml:space="preserve"> </w:t>
      </w:r>
      <w:r w:rsidR="00AD6790">
        <w:rPr>
          <w:rFonts w:asciiTheme="minorHAnsi" w:hAnsiTheme="minorHAnsi" w:cstheme="minorHAnsi"/>
          <w:color w:val="59595B"/>
          <w:sz w:val="22"/>
          <w:szCs w:val="22"/>
          <w:lang w:val="en-GB"/>
        </w:rPr>
        <w:t xml:space="preserve">In addition, as </w:t>
      </w:r>
      <w:r w:rsidR="00AD6790" w:rsidRPr="00426BBC">
        <w:rPr>
          <w:rFonts w:asciiTheme="minorHAnsi" w:hAnsiTheme="minorHAnsi" w:cstheme="minorHAnsi"/>
          <w:color w:val="59595B"/>
          <w:sz w:val="22"/>
          <w:szCs w:val="22"/>
          <w:lang w:val="en-GB"/>
        </w:rPr>
        <w:t xml:space="preserve">result of the sudden and significant decrease in the US dollar versus the </w:t>
      </w:r>
      <w:r w:rsidR="00E663FA">
        <w:rPr>
          <w:rFonts w:asciiTheme="minorHAnsi" w:hAnsiTheme="minorHAnsi" w:cstheme="minorHAnsi"/>
          <w:color w:val="59595B"/>
          <w:sz w:val="22"/>
          <w:szCs w:val="22"/>
          <w:lang w:val="en-GB"/>
        </w:rPr>
        <w:t>E</w:t>
      </w:r>
      <w:r w:rsidR="00AD6790" w:rsidRPr="00426BBC">
        <w:rPr>
          <w:rFonts w:asciiTheme="minorHAnsi" w:hAnsiTheme="minorHAnsi" w:cstheme="minorHAnsi"/>
          <w:color w:val="59595B"/>
          <w:sz w:val="22"/>
          <w:szCs w:val="22"/>
          <w:lang w:val="en-GB"/>
        </w:rPr>
        <w:t xml:space="preserve">uro over the period and </w:t>
      </w:r>
      <w:r w:rsidR="00E663FA">
        <w:rPr>
          <w:rFonts w:asciiTheme="minorHAnsi" w:hAnsiTheme="minorHAnsi" w:cstheme="minorHAnsi"/>
          <w:color w:val="59595B"/>
          <w:sz w:val="22"/>
          <w:szCs w:val="22"/>
          <w:lang w:val="en-GB"/>
        </w:rPr>
        <w:t xml:space="preserve">during </w:t>
      </w:r>
      <w:r w:rsidR="000116C3">
        <w:rPr>
          <w:rFonts w:asciiTheme="minorHAnsi" w:hAnsiTheme="minorHAnsi" w:cstheme="minorHAnsi"/>
          <w:color w:val="59595B"/>
          <w:sz w:val="22"/>
          <w:szCs w:val="22"/>
          <w:lang w:val="en-GB"/>
        </w:rPr>
        <w:t>Q3 in particular,</w:t>
      </w:r>
      <w:r w:rsidR="00AD6790" w:rsidRPr="00426BBC">
        <w:rPr>
          <w:rFonts w:asciiTheme="minorHAnsi" w:hAnsiTheme="minorHAnsi" w:cstheme="minorHAnsi"/>
          <w:color w:val="59595B"/>
          <w:sz w:val="22"/>
          <w:szCs w:val="22"/>
          <w:lang w:val="en-GB"/>
        </w:rPr>
        <w:t xml:space="preserve"> </w:t>
      </w:r>
      <w:r w:rsidR="00E74B40">
        <w:rPr>
          <w:rFonts w:asciiTheme="minorHAnsi" w:hAnsiTheme="minorHAnsi" w:cstheme="minorHAnsi"/>
          <w:color w:val="59595B"/>
          <w:sz w:val="22"/>
          <w:szCs w:val="22"/>
          <w:lang w:val="en-GB"/>
        </w:rPr>
        <w:t xml:space="preserve">significant </w:t>
      </w:r>
      <w:r w:rsidR="00286387" w:rsidRPr="00426BBC">
        <w:rPr>
          <w:rFonts w:asciiTheme="minorHAnsi" w:hAnsiTheme="minorHAnsi" w:cstheme="minorHAnsi"/>
          <w:color w:val="59595B"/>
          <w:sz w:val="22"/>
          <w:szCs w:val="22"/>
          <w:lang w:val="en-GB"/>
        </w:rPr>
        <w:t xml:space="preserve">negative </w:t>
      </w:r>
      <w:r w:rsidR="00FF7D26" w:rsidRPr="00426BBC">
        <w:rPr>
          <w:rFonts w:asciiTheme="minorHAnsi" w:hAnsiTheme="minorHAnsi" w:cstheme="minorHAnsi"/>
          <w:color w:val="59595B"/>
          <w:sz w:val="22"/>
          <w:szCs w:val="22"/>
          <w:lang w:val="en-GB"/>
        </w:rPr>
        <w:t xml:space="preserve">currency effects </w:t>
      </w:r>
      <w:r w:rsidR="00E74B40" w:rsidRPr="00426BBC">
        <w:rPr>
          <w:rFonts w:asciiTheme="minorHAnsi" w:hAnsiTheme="minorHAnsi" w:cstheme="minorHAnsi"/>
          <w:color w:val="59595B"/>
          <w:sz w:val="22"/>
          <w:szCs w:val="22"/>
          <w:lang w:val="en-GB"/>
        </w:rPr>
        <w:t>(€9.0 million)</w:t>
      </w:r>
      <w:r w:rsidR="00E74B40">
        <w:rPr>
          <w:rFonts w:asciiTheme="minorHAnsi" w:hAnsiTheme="minorHAnsi" w:cstheme="minorHAnsi"/>
          <w:color w:val="59595B"/>
          <w:sz w:val="22"/>
          <w:szCs w:val="22"/>
          <w:lang w:val="en-GB"/>
        </w:rPr>
        <w:t xml:space="preserve"> were incurred </w:t>
      </w:r>
      <w:r w:rsidR="00FF7D26" w:rsidRPr="00426BBC">
        <w:rPr>
          <w:rFonts w:asciiTheme="minorHAnsi" w:hAnsiTheme="minorHAnsi" w:cstheme="minorHAnsi"/>
          <w:color w:val="59595B"/>
          <w:sz w:val="22"/>
          <w:szCs w:val="22"/>
          <w:lang w:val="en-GB"/>
        </w:rPr>
        <w:t xml:space="preserve">on the </w:t>
      </w:r>
      <w:r w:rsidR="0038376C" w:rsidRPr="00426BBC">
        <w:rPr>
          <w:rFonts w:asciiTheme="minorHAnsi" w:hAnsiTheme="minorHAnsi" w:cstheme="minorHAnsi"/>
          <w:color w:val="59595B"/>
          <w:sz w:val="22"/>
          <w:szCs w:val="22"/>
          <w:lang w:val="en-GB"/>
        </w:rPr>
        <w:t>cash reserves</w:t>
      </w:r>
      <w:r w:rsidR="00B62E83" w:rsidRPr="00426BBC">
        <w:rPr>
          <w:rFonts w:asciiTheme="minorHAnsi" w:hAnsiTheme="minorHAnsi" w:cstheme="minorHAnsi"/>
          <w:color w:val="59595B"/>
          <w:sz w:val="22"/>
          <w:szCs w:val="22"/>
          <w:lang w:val="en-GB"/>
        </w:rPr>
        <w:t xml:space="preserve"> </w:t>
      </w:r>
      <w:r w:rsidR="0038376C" w:rsidRPr="00426BBC">
        <w:rPr>
          <w:rFonts w:asciiTheme="minorHAnsi" w:hAnsiTheme="minorHAnsi" w:cstheme="minorHAnsi"/>
          <w:color w:val="59595B"/>
          <w:sz w:val="22"/>
          <w:szCs w:val="22"/>
          <w:lang w:val="en-GB"/>
        </w:rPr>
        <w:t>invested in US government securities</w:t>
      </w:r>
      <w:r w:rsidR="00286387" w:rsidRPr="00426BBC">
        <w:rPr>
          <w:rFonts w:asciiTheme="minorHAnsi" w:hAnsiTheme="minorHAnsi" w:cstheme="minorHAnsi"/>
          <w:color w:val="59595B"/>
          <w:sz w:val="22"/>
          <w:szCs w:val="22"/>
          <w:lang w:val="en-GB"/>
        </w:rPr>
        <w:t xml:space="preserve"> and </w:t>
      </w:r>
      <w:r w:rsidR="00E663FA">
        <w:rPr>
          <w:rFonts w:asciiTheme="minorHAnsi" w:hAnsiTheme="minorHAnsi" w:cstheme="minorHAnsi"/>
          <w:color w:val="59595B"/>
          <w:sz w:val="22"/>
          <w:szCs w:val="22"/>
          <w:lang w:val="en-GB"/>
        </w:rPr>
        <w:t xml:space="preserve">on the </w:t>
      </w:r>
      <w:r w:rsidR="00286387" w:rsidRPr="00426BBC">
        <w:rPr>
          <w:rFonts w:asciiTheme="minorHAnsi" w:hAnsiTheme="minorHAnsi" w:cstheme="minorHAnsi"/>
          <w:color w:val="59595B"/>
          <w:sz w:val="22"/>
          <w:szCs w:val="22"/>
          <w:lang w:val="en-GB"/>
        </w:rPr>
        <w:t xml:space="preserve">continuous inflow of mainly US </w:t>
      </w:r>
      <w:r w:rsidR="007613EC" w:rsidRPr="00426BBC">
        <w:rPr>
          <w:rFonts w:asciiTheme="minorHAnsi" w:hAnsiTheme="minorHAnsi" w:cstheme="minorHAnsi"/>
          <w:color w:val="59595B"/>
          <w:sz w:val="22"/>
          <w:szCs w:val="22"/>
          <w:lang w:val="en-GB"/>
        </w:rPr>
        <w:t>d</w:t>
      </w:r>
      <w:r w:rsidR="00286387" w:rsidRPr="00426BBC">
        <w:rPr>
          <w:rFonts w:asciiTheme="minorHAnsi" w:hAnsiTheme="minorHAnsi" w:cstheme="minorHAnsi"/>
          <w:color w:val="59595B"/>
          <w:sz w:val="22"/>
          <w:szCs w:val="22"/>
          <w:lang w:val="en-GB"/>
        </w:rPr>
        <w:t>ollars from revenues</w:t>
      </w:r>
      <w:r w:rsidR="0009249E" w:rsidRPr="00426BBC">
        <w:rPr>
          <w:rFonts w:asciiTheme="minorHAnsi" w:hAnsiTheme="minorHAnsi" w:cstheme="minorHAnsi"/>
          <w:color w:val="59595B"/>
          <w:sz w:val="22"/>
          <w:szCs w:val="22"/>
          <w:lang w:val="en-GB"/>
        </w:rPr>
        <w:t>.</w:t>
      </w:r>
    </w:p>
    <w:p w14:paraId="5348B7E8" w14:textId="6365747B" w:rsidR="00017E0A" w:rsidRPr="00426BBC" w:rsidRDefault="006446EE" w:rsidP="00EF50DE">
      <w:pPr>
        <w:pStyle w:val="ListParagraph"/>
        <w:numPr>
          <w:ilvl w:val="0"/>
          <w:numId w:val="2"/>
        </w:numPr>
        <w:spacing w:after="120"/>
        <w:ind w:left="567" w:hanging="357"/>
        <w:contextualSpacing w:val="0"/>
        <w:rPr>
          <w:rFonts w:asciiTheme="minorHAnsi" w:eastAsia="Calibr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Net </w:t>
      </w:r>
      <w:r w:rsidR="00AD05B9" w:rsidRPr="00426BBC">
        <w:rPr>
          <w:rFonts w:asciiTheme="minorHAnsi" w:hAnsiTheme="minorHAnsi" w:cstheme="minorHAnsi"/>
          <w:color w:val="59595B"/>
          <w:sz w:val="22"/>
          <w:szCs w:val="22"/>
          <w:lang w:val="en-GB"/>
        </w:rPr>
        <w:t xml:space="preserve">profit </w:t>
      </w:r>
      <w:r w:rsidR="007613EC" w:rsidRPr="00426BBC">
        <w:rPr>
          <w:rFonts w:asciiTheme="minorHAnsi" w:hAnsiTheme="minorHAnsi" w:cstheme="minorHAnsi"/>
          <w:color w:val="59595B"/>
          <w:sz w:val="22"/>
          <w:szCs w:val="22"/>
          <w:lang w:val="en-GB"/>
        </w:rPr>
        <w:t>increased 6.</w:t>
      </w:r>
      <w:r w:rsidR="007D3A74" w:rsidRPr="00426BBC">
        <w:rPr>
          <w:rFonts w:asciiTheme="minorHAnsi" w:hAnsiTheme="minorHAnsi" w:cstheme="minorHAnsi"/>
          <w:color w:val="59595B"/>
          <w:sz w:val="22"/>
          <w:szCs w:val="22"/>
          <w:lang w:val="en-GB"/>
        </w:rPr>
        <w:t>2</w:t>
      </w:r>
      <w:r w:rsidR="007613EC" w:rsidRPr="00426BBC">
        <w:rPr>
          <w:rFonts w:asciiTheme="minorHAnsi" w:hAnsiTheme="minorHAnsi" w:cstheme="minorHAnsi"/>
          <w:color w:val="59595B"/>
          <w:sz w:val="22"/>
          <w:szCs w:val="22"/>
          <w:lang w:val="en-GB"/>
        </w:rPr>
        <w:t xml:space="preserve">% year-on-year to €25.6 million (nine months </w:t>
      </w:r>
      <w:r w:rsidR="006C583C" w:rsidRPr="00426BBC">
        <w:rPr>
          <w:rFonts w:asciiTheme="minorHAnsi" w:hAnsiTheme="minorHAnsi" w:cstheme="minorHAnsi"/>
          <w:color w:val="59595B"/>
          <w:sz w:val="22"/>
          <w:szCs w:val="22"/>
          <w:lang w:val="en-GB"/>
        </w:rPr>
        <w:t xml:space="preserve">of </w:t>
      </w:r>
      <w:r w:rsidR="007613EC" w:rsidRPr="00426BBC">
        <w:rPr>
          <w:rFonts w:asciiTheme="minorHAnsi" w:hAnsiTheme="minorHAnsi" w:cstheme="minorHAnsi"/>
          <w:color w:val="59595B"/>
          <w:sz w:val="22"/>
          <w:szCs w:val="22"/>
          <w:lang w:val="en-GB"/>
        </w:rPr>
        <w:t xml:space="preserve">2019: </w:t>
      </w:r>
      <w:r w:rsidR="006C583C" w:rsidRPr="00426BBC">
        <w:rPr>
          <w:rFonts w:asciiTheme="minorHAnsi" w:hAnsiTheme="minorHAnsi" w:cstheme="minorHAnsi"/>
          <w:color w:val="59595B"/>
          <w:sz w:val="22"/>
          <w:szCs w:val="22"/>
          <w:lang w:val="en-GB"/>
        </w:rPr>
        <w:t>€24.1 million</w:t>
      </w:r>
      <w:r w:rsidR="007613EC" w:rsidRPr="00426BBC">
        <w:rPr>
          <w:rFonts w:asciiTheme="minorHAnsi" w:hAnsiTheme="minorHAnsi" w:cstheme="minorHAnsi"/>
          <w:color w:val="59595B"/>
          <w:sz w:val="22"/>
          <w:szCs w:val="22"/>
          <w:lang w:val="en-GB"/>
        </w:rPr>
        <w:t xml:space="preserve">), despite </w:t>
      </w:r>
      <w:r w:rsidR="007C2106" w:rsidRPr="00426BBC">
        <w:rPr>
          <w:rFonts w:asciiTheme="minorHAnsi" w:hAnsiTheme="minorHAnsi" w:cstheme="minorHAnsi"/>
          <w:color w:val="59595B"/>
          <w:sz w:val="22"/>
          <w:szCs w:val="22"/>
          <w:lang w:val="en-GB"/>
        </w:rPr>
        <w:t xml:space="preserve">the </w:t>
      </w:r>
      <w:r w:rsidR="007613EC" w:rsidRPr="00426BBC">
        <w:rPr>
          <w:rFonts w:asciiTheme="minorHAnsi" w:hAnsiTheme="minorHAnsi" w:cstheme="minorHAnsi"/>
          <w:color w:val="59595B"/>
          <w:sz w:val="22"/>
          <w:szCs w:val="22"/>
          <w:lang w:val="en-GB"/>
        </w:rPr>
        <w:t xml:space="preserve">negative </w:t>
      </w:r>
      <w:r w:rsidR="00AD0884">
        <w:rPr>
          <w:rFonts w:asciiTheme="minorHAnsi" w:hAnsiTheme="minorHAnsi" w:cstheme="minorHAnsi"/>
          <w:color w:val="59595B"/>
          <w:sz w:val="22"/>
          <w:szCs w:val="22"/>
          <w:lang w:val="en-GB"/>
        </w:rPr>
        <w:t xml:space="preserve">currency </w:t>
      </w:r>
      <w:r w:rsidR="004F7992">
        <w:rPr>
          <w:rFonts w:asciiTheme="minorHAnsi" w:hAnsiTheme="minorHAnsi" w:cstheme="minorHAnsi"/>
          <w:color w:val="59595B"/>
          <w:sz w:val="22"/>
          <w:szCs w:val="22"/>
          <w:lang w:val="en-GB"/>
        </w:rPr>
        <w:t>e</w:t>
      </w:r>
      <w:r w:rsidR="007613EC" w:rsidRPr="00426BBC">
        <w:rPr>
          <w:rFonts w:asciiTheme="minorHAnsi" w:hAnsiTheme="minorHAnsi" w:cstheme="minorHAnsi"/>
          <w:color w:val="59595B"/>
          <w:sz w:val="22"/>
          <w:szCs w:val="22"/>
          <w:lang w:val="en-GB"/>
        </w:rPr>
        <w:t>ffect</w:t>
      </w:r>
      <w:r w:rsidR="004F7992">
        <w:rPr>
          <w:rFonts w:asciiTheme="minorHAnsi" w:hAnsiTheme="minorHAnsi" w:cstheme="minorHAnsi"/>
          <w:color w:val="59595B"/>
          <w:sz w:val="22"/>
          <w:szCs w:val="22"/>
          <w:lang w:val="en-GB"/>
        </w:rPr>
        <w:t>s</w:t>
      </w:r>
      <w:r w:rsidR="007613EC" w:rsidRPr="00426BBC">
        <w:rPr>
          <w:rFonts w:asciiTheme="minorHAnsi" w:hAnsiTheme="minorHAnsi" w:cstheme="minorHAnsi"/>
          <w:color w:val="59595B"/>
          <w:sz w:val="22"/>
          <w:szCs w:val="22"/>
          <w:lang w:val="en-GB"/>
        </w:rPr>
        <w:t xml:space="preserve"> </w:t>
      </w:r>
      <w:r w:rsidR="00AD0884">
        <w:rPr>
          <w:rFonts w:asciiTheme="minorHAnsi" w:hAnsiTheme="minorHAnsi" w:cstheme="minorHAnsi"/>
          <w:color w:val="59595B"/>
          <w:sz w:val="22"/>
          <w:szCs w:val="22"/>
          <w:lang w:val="en-GB"/>
        </w:rPr>
        <w:t xml:space="preserve">as result of </w:t>
      </w:r>
      <w:r w:rsidR="006C583C" w:rsidRPr="00426BBC">
        <w:rPr>
          <w:rFonts w:asciiTheme="minorHAnsi" w:hAnsiTheme="minorHAnsi" w:cstheme="minorHAnsi"/>
          <w:color w:val="59595B"/>
          <w:sz w:val="22"/>
          <w:szCs w:val="22"/>
          <w:lang w:val="en-GB"/>
        </w:rPr>
        <w:t xml:space="preserve">the </w:t>
      </w:r>
      <w:r w:rsidR="00FC378A">
        <w:rPr>
          <w:rFonts w:asciiTheme="minorHAnsi" w:hAnsiTheme="minorHAnsi" w:cstheme="minorHAnsi"/>
          <w:color w:val="59595B"/>
          <w:sz w:val="22"/>
          <w:szCs w:val="22"/>
          <w:lang w:val="en-GB"/>
        </w:rPr>
        <w:t>US Dollar</w:t>
      </w:r>
      <w:r w:rsidR="00EB00CE">
        <w:rPr>
          <w:rFonts w:asciiTheme="minorHAnsi" w:hAnsiTheme="minorHAnsi" w:cstheme="minorHAnsi"/>
          <w:color w:val="59595B"/>
          <w:sz w:val="22"/>
          <w:szCs w:val="22"/>
          <w:lang w:val="en-GB"/>
        </w:rPr>
        <w:t xml:space="preserve"> decrease versus the Euro</w:t>
      </w:r>
      <w:r w:rsidR="003E7D5D" w:rsidRPr="00426BBC">
        <w:rPr>
          <w:rFonts w:asciiTheme="minorHAnsi" w:hAnsiTheme="minorHAnsi" w:cstheme="minorHAnsi"/>
          <w:color w:val="59595B"/>
          <w:sz w:val="22"/>
          <w:szCs w:val="22"/>
          <w:lang w:val="en-GB"/>
        </w:rPr>
        <w:t xml:space="preserve">. </w:t>
      </w:r>
      <w:r w:rsidR="005C0AFF" w:rsidRPr="00426BBC">
        <w:rPr>
          <w:rFonts w:asciiTheme="minorHAnsi" w:hAnsiTheme="minorHAnsi" w:cstheme="minorHAnsi"/>
          <w:color w:val="59595B"/>
          <w:sz w:val="22"/>
          <w:szCs w:val="22"/>
          <w:lang w:val="en-GB"/>
        </w:rPr>
        <w:t>On a constant currency bas</w:t>
      </w:r>
      <w:r w:rsidR="007613EC" w:rsidRPr="00426BBC">
        <w:rPr>
          <w:rFonts w:asciiTheme="minorHAnsi" w:hAnsiTheme="minorHAnsi" w:cstheme="minorHAnsi"/>
          <w:color w:val="59595B"/>
          <w:sz w:val="22"/>
          <w:szCs w:val="22"/>
          <w:lang w:val="en-GB"/>
        </w:rPr>
        <w:t>is</w:t>
      </w:r>
      <w:r w:rsidR="005C0AFF" w:rsidRPr="00426BBC">
        <w:rPr>
          <w:rFonts w:asciiTheme="minorHAnsi" w:hAnsiTheme="minorHAnsi" w:cstheme="minorHAnsi"/>
          <w:color w:val="59595B"/>
          <w:sz w:val="22"/>
          <w:szCs w:val="22"/>
          <w:lang w:val="en-GB"/>
        </w:rPr>
        <w:t xml:space="preserve">, </w:t>
      </w:r>
      <w:r w:rsidR="0050729B" w:rsidRPr="00426BBC">
        <w:rPr>
          <w:rFonts w:asciiTheme="minorHAnsi" w:hAnsiTheme="minorHAnsi" w:cstheme="minorHAnsi"/>
          <w:color w:val="59595B"/>
          <w:sz w:val="22"/>
          <w:szCs w:val="22"/>
          <w:lang w:val="en-GB"/>
        </w:rPr>
        <w:t xml:space="preserve">net </w:t>
      </w:r>
      <w:r w:rsidR="00AD05B9" w:rsidRPr="00426BBC">
        <w:rPr>
          <w:rFonts w:asciiTheme="minorHAnsi" w:hAnsiTheme="minorHAnsi" w:cstheme="minorHAnsi"/>
          <w:color w:val="59595B"/>
          <w:sz w:val="22"/>
          <w:szCs w:val="22"/>
          <w:lang w:val="en-GB"/>
        </w:rPr>
        <w:t xml:space="preserve">profit </w:t>
      </w:r>
      <w:r w:rsidR="007526C8" w:rsidRPr="00426BBC">
        <w:rPr>
          <w:rFonts w:asciiTheme="minorHAnsi" w:hAnsiTheme="minorHAnsi" w:cstheme="minorHAnsi"/>
          <w:color w:val="59595B"/>
          <w:sz w:val="22"/>
          <w:szCs w:val="22"/>
          <w:lang w:val="en-GB"/>
        </w:rPr>
        <w:t>increased 59%</w:t>
      </w:r>
      <w:r w:rsidR="00341B03" w:rsidRPr="00426BBC">
        <w:rPr>
          <w:rFonts w:asciiTheme="minorHAnsi" w:hAnsiTheme="minorHAnsi" w:cstheme="minorHAnsi"/>
          <w:color w:val="59595B"/>
          <w:sz w:val="22"/>
          <w:szCs w:val="22"/>
          <w:lang w:val="en-GB"/>
        </w:rPr>
        <w:t xml:space="preserve"> to €</w:t>
      </w:r>
      <w:r w:rsidR="00935E5C" w:rsidRPr="00426BBC">
        <w:rPr>
          <w:rFonts w:asciiTheme="minorHAnsi" w:hAnsiTheme="minorHAnsi" w:cstheme="minorHAnsi"/>
          <w:color w:val="59595B"/>
          <w:sz w:val="22"/>
          <w:szCs w:val="22"/>
          <w:lang w:val="en-GB"/>
        </w:rPr>
        <w:t>3</w:t>
      </w:r>
      <w:r w:rsidR="00187D7F" w:rsidRPr="00426BBC">
        <w:rPr>
          <w:rFonts w:asciiTheme="minorHAnsi" w:hAnsiTheme="minorHAnsi" w:cstheme="minorHAnsi"/>
          <w:color w:val="59595B"/>
          <w:sz w:val="22"/>
          <w:szCs w:val="22"/>
          <w:lang w:val="en-GB"/>
        </w:rPr>
        <w:t>4</w:t>
      </w:r>
      <w:r w:rsidR="00341B03" w:rsidRPr="00426BBC">
        <w:rPr>
          <w:rFonts w:asciiTheme="minorHAnsi" w:hAnsiTheme="minorHAnsi" w:cstheme="minorHAnsi"/>
          <w:color w:val="59595B"/>
          <w:sz w:val="22"/>
          <w:szCs w:val="22"/>
          <w:lang w:val="en-GB"/>
        </w:rPr>
        <w:t>.</w:t>
      </w:r>
      <w:r w:rsidR="00187D7F" w:rsidRPr="00426BBC">
        <w:rPr>
          <w:rFonts w:asciiTheme="minorHAnsi" w:hAnsiTheme="minorHAnsi" w:cstheme="minorHAnsi"/>
          <w:color w:val="59595B"/>
          <w:sz w:val="22"/>
          <w:szCs w:val="22"/>
          <w:lang w:val="en-GB"/>
        </w:rPr>
        <w:t>6</w:t>
      </w:r>
      <w:r w:rsidR="00935E5C" w:rsidRPr="00426BBC">
        <w:rPr>
          <w:rFonts w:asciiTheme="minorHAnsi" w:hAnsiTheme="minorHAnsi" w:cstheme="minorHAnsi"/>
          <w:color w:val="59595B"/>
          <w:sz w:val="22"/>
          <w:szCs w:val="22"/>
          <w:lang w:val="en-GB"/>
        </w:rPr>
        <w:t xml:space="preserve"> million</w:t>
      </w:r>
      <w:r w:rsidR="00EE0B77" w:rsidRPr="00426BBC">
        <w:rPr>
          <w:rFonts w:asciiTheme="minorHAnsi" w:hAnsiTheme="minorHAnsi" w:cstheme="minorHAnsi"/>
          <w:color w:val="59595B"/>
          <w:sz w:val="22"/>
          <w:szCs w:val="22"/>
          <w:lang w:val="en-GB"/>
        </w:rPr>
        <w:t>.</w:t>
      </w:r>
      <w:r w:rsidR="00DF7FAA" w:rsidRPr="00426BBC">
        <w:rPr>
          <w:rFonts w:asciiTheme="minorHAnsi" w:hAnsiTheme="minorHAnsi" w:cstheme="minorHAnsi"/>
          <w:color w:val="59595B"/>
          <w:sz w:val="22"/>
          <w:szCs w:val="22"/>
          <w:lang w:val="en-GB"/>
        </w:rPr>
        <w:t xml:space="preserve"> </w:t>
      </w:r>
    </w:p>
    <w:p w14:paraId="60B0DB10" w14:textId="59E8D807" w:rsidR="006446EE" w:rsidRPr="00426BBC" w:rsidRDefault="001659B4" w:rsidP="00EF50DE">
      <w:pPr>
        <w:pStyle w:val="ListParagraph"/>
        <w:numPr>
          <w:ilvl w:val="0"/>
          <w:numId w:val="2"/>
        </w:numPr>
        <w:spacing w:after="120"/>
        <w:ind w:left="567"/>
        <w:contextualSpacing w:val="0"/>
        <w:rPr>
          <w:rFonts w:asciiTheme="minorHAnsi" w:hAnsiTheme="minorHAnsi" w:cstheme="minorHAnsi"/>
          <w:b/>
          <w:sz w:val="22"/>
          <w:szCs w:val="22"/>
          <w:lang w:val="en-GB"/>
        </w:rPr>
      </w:pPr>
      <w:r w:rsidRPr="00426BBC">
        <w:rPr>
          <w:rFonts w:asciiTheme="minorHAnsi" w:eastAsia="Calibri" w:hAnsiTheme="minorHAnsi" w:cstheme="minorHAnsi"/>
          <w:color w:val="59595B"/>
          <w:sz w:val="22"/>
          <w:szCs w:val="22"/>
          <w:lang w:val="en-GB"/>
        </w:rPr>
        <w:t>Positive cashflows from ope</w:t>
      </w:r>
      <w:r w:rsidR="00B54C52" w:rsidRPr="00426BBC">
        <w:rPr>
          <w:rFonts w:asciiTheme="minorHAnsi" w:eastAsia="Calibri" w:hAnsiTheme="minorHAnsi" w:cstheme="minorHAnsi"/>
          <w:color w:val="59595B"/>
          <w:sz w:val="22"/>
          <w:szCs w:val="22"/>
          <w:lang w:val="en-GB"/>
        </w:rPr>
        <w:t>rations continued</w:t>
      </w:r>
      <w:r w:rsidR="002244B7" w:rsidRPr="00426BBC">
        <w:rPr>
          <w:rFonts w:asciiTheme="minorHAnsi" w:eastAsia="Calibri" w:hAnsiTheme="minorHAnsi" w:cstheme="minorHAnsi"/>
          <w:color w:val="59595B"/>
          <w:sz w:val="22"/>
          <w:szCs w:val="22"/>
          <w:lang w:val="en-GB"/>
        </w:rPr>
        <w:t xml:space="preserve"> </w:t>
      </w:r>
      <w:r w:rsidR="00A81608" w:rsidRPr="00426BBC">
        <w:rPr>
          <w:rFonts w:asciiTheme="minorHAnsi" w:eastAsia="Calibri" w:hAnsiTheme="minorHAnsi" w:cstheme="minorHAnsi"/>
          <w:color w:val="59595B"/>
          <w:sz w:val="22"/>
          <w:szCs w:val="22"/>
          <w:lang w:val="en-GB"/>
        </w:rPr>
        <w:t>during Q3</w:t>
      </w:r>
      <w:r w:rsidR="007526C8" w:rsidRPr="00426BBC">
        <w:rPr>
          <w:rFonts w:asciiTheme="minorHAnsi" w:eastAsia="Calibri" w:hAnsiTheme="minorHAnsi" w:cstheme="minorHAnsi"/>
          <w:color w:val="59595B"/>
          <w:sz w:val="22"/>
          <w:szCs w:val="22"/>
          <w:lang w:val="en-GB"/>
        </w:rPr>
        <w:t xml:space="preserve"> 2020</w:t>
      </w:r>
      <w:r w:rsidR="00E47BBB" w:rsidRPr="00426BBC">
        <w:rPr>
          <w:rFonts w:asciiTheme="minorHAnsi" w:eastAsia="Calibri" w:hAnsiTheme="minorHAnsi" w:cstheme="minorHAnsi"/>
          <w:color w:val="59595B"/>
          <w:sz w:val="22"/>
          <w:szCs w:val="22"/>
          <w:lang w:val="en-GB"/>
        </w:rPr>
        <w:t xml:space="preserve"> </w:t>
      </w:r>
      <w:r w:rsidR="00E37410">
        <w:rPr>
          <w:rFonts w:asciiTheme="minorHAnsi" w:eastAsia="Calibri" w:hAnsiTheme="minorHAnsi" w:cstheme="minorHAnsi"/>
          <w:color w:val="59595B"/>
          <w:sz w:val="22"/>
          <w:szCs w:val="22"/>
          <w:lang w:val="en-GB"/>
        </w:rPr>
        <w:t>(</w:t>
      </w:r>
      <w:r w:rsidR="00E47BBB" w:rsidRPr="00426BBC">
        <w:rPr>
          <w:rFonts w:asciiTheme="minorHAnsi" w:hAnsiTheme="minorHAnsi" w:cstheme="minorHAnsi"/>
          <w:color w:val="59595B"/>
          <w:sz w:val="22"/>
          <w:szCs w:val="22"/>
          <w:lang w:val="en-GB"/>
        </w:rPr>
        <w:t>€14.1 million</w:t>
      </w:r>
      <w:r w:rsidR="00E37410">
        <w:rPr>
          <w:rFonts w:asciiTheme="minorHAnsi" w:hAnsiTheme="minorHAnsi" w:cstheme="minorHAnsi"/>
          <w:color w:val="59595B"/>
          <w:sz w:val="22"/>
          <w:szCs w:val="22"/>
          <w:lang w:val="en-GB"/>
        </w:rPr>
        <w:t>)</w:t>
      </w:r>
      <w:r w:rsidR="000B689B" w:rsidRPr="00426BBC">
        <w:rPr>
          <w:rFonts w:asciiTheme="minorHAnsi" w:eastAsia="Calibri" w:hAnsiTheme="minorHAnsi" w:cstheme="minorHAnsi"/>
          <w:color w:val="59595B"/>
          <w:sz w:val="22"/>
          <w:szCs w:val="22"/>
          <w:lang w:val="en-GB"/>
        </w:rPr>
        <w:t xml:space="preserve">, </w:t>
      </w:r>
      <w:r w:rsidR="007526C8" w:rsidRPr="00426BBC">
        <w:rPr>
          <w:rFonts w:asciiTheme="minorHAnsi" w:eastAsia="Calibri" w:hAnsiTheme="minorHAnsi" w:cstheme="minorHAnsi"/>
          <w:color w:val="59595B"/>
          <w:sz w:val="22"/>
          <w:szCs w:val="22"/>
          <w:lang w:val="en-GB"/>
        </w:rPr>
        <w:t>resulting in</w:t>
      </w:r>
      <w:r w:rsidR="009C46A3" w:rsidRPr="00426BBC">
        <w:rPr>
          <w:rFonts w:asciiTheme="minorHAnsi" w:eastAsia="Calibri" w:hAnsiTheme="minorHAnsi" w:cstheme="minorHAnsi"/>
          <w:color w:val="59595B"/>
          <w:sz w:val="22"/>
          <w:szCs w:val="22"/>
          <w:lang w:val="en-GB"/>
        </w:rPr>
        <w:t xml:space="preserve"> </w:t>
      </w:r>
      <w:r w:rsidR="007526C8" w:rsidRPr="00426BBC">
        <w:rPr>
          <w:rFonts w:asciiTheme="minorHAnsi" w:eastAsia="Calibri" w:hAnsiTheme="minorHAnsi" w:cstheme="minorHAnsi"/>
          <w:color w:val="59595B"/>
          <w:sz w:val="22"/>
          <w:szCs w:val="22"/>
          <w:lang w:val="en-GB"/>
        </w:rPr>
        <w:t xml:space="preserve">a </w:t>
      </w:r>
      <w:r w:rsidR="000B689B" w:rsidRPr="00426BBC">
        <w:rPr>
          <w:rFonts w:asciiTheme="minorHAnsi" w:eastAsia="Calibri" w:hAnsiTheme="minorHAnsi" w:cstheme="minorHAnsi"/>
          <w:color w:val="59595B"/>
          <w:sz w:val="22"/>
          <w:szCs w:val="22"/>
          <w:lang w:val="en-GB"/>
        </w:rPr>
        <w:t xml:space="preserve">cash position </w:t>
      </w:r>
      <w:r w:rsidR="007526C8" w:rsidRPr="00426BBC">
        <w:rPr>
          <w:rFonts w:asciiTheme="minorHAnsi" w:eastAsia="Calibri" w:hAnsiTheme="minorHAnsi" w:cstheme="minorHAnsi"/>
          <w:color w:val="59595B"/>
          <w:sz w:val="22"/>
          <w:szCs w:val="22"/>
          <w:lang w:val="en-GB"/>
        </w:rPr>
        <w:t xml:space="preserve">of </w:t>
      </w:r>
      <w:r w:rsidR="006446EE" w:rsidRPr="00426BBC">
        <w:rPr>
          <w:rFonts w:asciiTheme="minorHAnsi" w:hAnsiTheme="minorHAnsi" w:cstheme="minorHAnsi"/>
          <w:color w:val="59595B"/>
          <w:sz w:val="22"/>
          <w:szCs w:val="22"/>
          <w:lang w:val="en-GB"/>
        </w:rPr>
        <w:t>€15</w:t>
      </w:r>
      <w:r w:rsidR="001B070E" w:rsidRPr="00426BBC">
        <w:rPr>
          <w:rFonts w:asciiTheme="minorHAnsi" w:hAnsiTheme="minorHAnsi" w:cstheme="minorHAnsi"/>
          <w:color w:val="59595B"/>
          <w:sz w:val="22"/>
          <w:szCs w:val="22"/>
          <w:lang w:val="en-GB"/>
        </w:rPr>
        <w:t>6</w:t>
      </w:r>
      <w:r w:rsidR="006446EE" w:rsidRPr="00426BBC">
        <w:rPr>
          <w:rFonts w:asciiTheme="minorHAnsi" w:hAnsiTheme="minorHAnsi" w:cstheme="minorHAnsi"/>
          <w:color w:val="59595B"/>
          <w:sz w:val="22"/>
          <w:szCs w:val="22"/>
          <w:lang w:val="en-GB"/>
        </w:rPr>
        <w:t>.</w:t>
      </w:r>
      <w:r w:rsidR="007C186D" w:rsidRPr="00426BBC">
        <w:rPr>
          <w:rFonts w:asciiTheme="minorHAnsi" w:hAnsiTheme="minorHAnsi" w:cstheme="minorHAnsi"/>
          <w:color w:val="59595B"/>
          <w:sz w:val="22"/>
          <w:szCs w:val="22"/>
          <w:lang w:val="en-GB"/>
        </w:rPr>
        <w:t>1</w:t>
      </w:r>
      <w:r w:rsidR="006446EE" w:rsidRPr="00426BBC">
        <w:rPr>
          <w:rFonts w:asciiTheme="minorHAnsi" w:hAnsiTheme="minorHAnsi" w:cstheme="minorHAnsi"/>
          <w:color w:val="59595B"/>
          <w:sz w:val="22"/>
          <w:szCs w:val="22"/>
          <w:lang w:val="en-GB"/>
        </w:rPr>
        <w:t xml:space="preserve"> million</w:t>
      </w:r>
      <w:r w:rsidR="007526C8" w:rsidRPr="00426BBC">
        <w:rPr>
          <w:rFonts w:asciiTheme="minorHAnsi" w:hAnsiTheme="minorHAnsi" w:cstheme="minorHAnsi"/>
          <w:color w:val="59595B"/>
          <w:sz w:val="22"/>
          <w:szCs w:val="22"/>
          <w:lang w:val="en-GB"/>
        </w:rPr>
        <w:t xml:space="preserve"> at 30 September 2020</w:t>
      </w:r>
      <w:r w:rsidR="006446EE" w:rsidRPr="00426BBC">
        <w:rPr>
          <w:rFonts w:asciiTheme="minorHAnsi" w:eastAsia="Calibri" w:hAnsiTheme="minorHAnsi" w:cstheme="minorHAnsi"/>
          <w:color w:val="59595B"/>
          <w:sz w:val="22"/>
          <w:szCs w:val="22"/>
          <w:lang w:val="en-GB"/>
        </w:rPr>
        <w:t xml:space="preserve">, </w:t>
      </w:r>
      <w:r w:rsidR="000B689B" w:rsidRPr="00426BBC">
        <w:rPr>
          <w:rFonts w:asciiTheme="minorHAnsi" w:eastAsia="Calibri" w:hAnsiTheme="minorHAnsi" w:cstheme="minorHAnsi"/>
          <w:color w:val="59595B"/>
          <w:sz w:val="22"/>
          <w:szCs w:val="22"/>
          <w:lang w:val="en-GB"/>
        </w:rPr>
        <w:t>despite</w:t>
      </w:r>
      <w:r w:rsidR="00096C6C" w:rsidRPr="00426BBC">
        <w:rPr>
          <w:rFonts w:asciiTheme="minorHAnsi" w:eastAsia="Calibri" w:hAnsiTheme="minorHAnsi" w:cstheme="minorHAnsi"/>
          <w:color w:val="59595B"/>
          <w:sz w:val="22"/>
          <w:szCs w:val="22"/>
          <w:lang w:val="en-GB"/>
        </w:rPr>
        <w:t xml:space="preserve"> </w:t>
      </w:r>
      <w:r w:rsidR="00E06717" w:rsidRPr="00426BBC">
        <w:rPr>
          <w:rFonts w:asciiTheme="minorHAnsi" w:eastAsia="Calibri" w:hAnsiTheme="minorHAnsi" w:cstheme="minorHAnsi"/>
          <w:color w:val="59595B"/>
          <w:sz w:val="22"/>
          <w:szCs w:val="22"/>
          <w:lang w:val="en-GB"/>
        </w:rPr>
        <w:t xml:space="preserve">significant </w:t>
      </w:r>
      <w:r w:rsidR="00096C6C" w:rsidRPr="00426BBC">
        <w:rPr>
          <w:rFonts w:asciiTheme="minorHAnsi" w:eastAsia="Calibri" w:hAnsiTheme="minorHAnsi" w:cstheme="minorHAnsi"/>
          <w:color w:val="59595B"/>
          <w:sz w:val="22"/>
          <w:szCs w:val="22"/>
          <w:lang w:val="en-GB"/>
        </w:rPr>
        <w:t>negative currency effect</w:t>
      </w:r>
      <w:r w:rsidR="00E06717" w:rsidRPr="00426BBC">
        <w:rPr>
          <w:rFonts w:asciiTheme="minorHAnsi" w:eastAsia="Calibri" w:hAnsiTheme="minorHAnsi" w:cstheme="minorHAnsi"/>
          <w:color w:val="59595B"/>
          <w:sz w:val="22"/>
          <w:szCs w:val="22"/>
          <w:lang w:val="en-GB"/>
        </w:rPr>
        <w:t>s</w:t>
      </w:r>
      <w:r w:rsidR="00096C6C" w:rsidRPr="00426BBC">
        <w:rPr>
          <w:rFonts w:asciiTheme="minorHAnsi" w:eastAsia="Calibri" w:hAnsiTheme="minorHAnsi" w:cstheme="minorHAnsi"/>
          <w:color w:val="59595B"/>
          <w:sz w:val="22"/>
          <w:szCs w:val="22"/>
          <w:lang w:val="en-GB"/>
        </w:rPr>
        <w:t xml:space="preserve"> </w:t>
      </w:r>
      <w:r w:rsidR="00911139">
        <w:rPr>
          <w:rFonts w:asciiTheme="minorHAnsi" w:eastAsia="Calibri" w:hAnsiTheme="minorHAnsi" w:cstheme="minorHAnsi"/>
          <w:color w:val="59595B"/>
          <w:sz w:val="22"/>
          <w:szCs w:val="22"/>
          <w:lang w:val="en-GB"/>
        </w:rPr>
        <w:t xml:space="preserve">incurred </w:t>
      </w:r>
      <w:r w:rsidR="00084091" w:rsidRPr="00426BBC">
        <w:rPr>
          <w:rFonts w:asciiTheme="minorHAnsi" w:eastAsia="Calibri" w:hAnsiTheme="minorHAnsi" w:cstheme="minorHAnsi"/>
          <w:color w:val="59595B"/>
          <w:sz w:val="22"/>
          <w:szCs w:val="22"/>
          <w:lang w:val="en-GB"/>
        </w:rPr>
        <w:t xml:space="preserve">on cash </w:t>
      </w:r>
      <w:r w:rsidR="00697B66" w:rsidRPr="00426BBC">
        <w:rPr>
          <w:rFonts w:asciiTheme="minorHAnsi" w:eastAsia="Calibri" w:hAnsiTheme="minorHAnsi" w:cstheme="minorHAnsi"/>
          <w:color w:val="59595B"/>
          <w:sz w:val="22"/>
          <w:szCs w:val="22"/>
          <w:lang w:val="en-GB"/>
        </w:rPr>
        <w:t xml:space="preserve">reserves </w:t>
      </w:r>
      <w:r w:rsidR="00084091" w:rsidRPr="00426BBC">
        <w:rPr>
          <w:rFonts w:asciiTheme="minorHAnsi" w:eastAsia="Calibri" w:hAnsiTheme="minorHAnsi" w:cstheme="minorHAnsi"/>
          <w:color w:val="59595B"/>
          <w:sz w:val="22"/>
          <w:szCs w:val="22"/>
          <w:lang w:val="en-GB"/>
        </w:rPr>
        <w:t xml:space="preserve">primarily invested in US </w:t>
      </w:r>
      <w:r w:rsidR="007526C8" w:rsidRPr="00426BBC">
        <w:rPr>
          <w:rFonts w:asciiTheme="minorHAnsi" w:eastAsia="Calibri" w:hAnsiTheme="minorHAnsi" w:cstheme="minorHAnsi"/>
          <w:color w:val="59595B"/>
          <w:sz w:val="22"/>
          <w:szCs w:val="22"/>
          <w:lang w:val="en-GB"/>
        </w:rPr>
        <w:t>d</w:t>
      </w:r>
      <w:r w:rsidR="00084091" w:rsidRPr="00426BBC">
        <w:rPr>
          <w:rFonts w:asciiTheme="minorHAnsi" w:eastAsia="Calibri" w:hAnsiTheme="minorHAnsi" w:cstheme="minorHAnsi"/>
          <w:color w:val="59595B"/>
          <w:sz w:val="22"/>
          <w:szCs w:val="22"/>
          <w:lang w:val="en-GB"/>
        </w:rPr>
        <w:t xml:space="preserve">ollar denominated US government securities </w:t>
      </w:r>
      <w:r w:rsidR="00096C6C" w:rsidRPr="00426BBC">
        <w:rPr>
          <w:rFonts w:asciiTheme="minorHAnsi" w:eastAsia="Calibri" w:hAnsiTheme="minorHAnsi" w:cstheme="minorHAnsi"/>
          <w:color w:val="59595B"/>
          <w:sz w:val="22"/>
          <w:szCs w:val="22"/>
          <w:lang w:val="en-GB"/>
        </w:rPr>
        <w:t xml:space="preserve">and the payment of the final </w:t>
      </w:r>
      <w:r w:rsidR="00E06717" w:rsidRPr="00426BBC">
        <w:rPr>
          <w:rFonts w:asciiTheme="minorHAnsi" w:hAnsiTheme="minorHAnsi" w:cstheme="minorHAnsi"/>
          <w:color w:val="59595B"/>
          <w:sz w:val="22"/>
          <w:szCs w:val="22"/>
          <w:lang w:val="en-GB"/>
        </w:rPr>
        <w:t>€2.5 million</w:t>
      </w:r>
      <w:r w:rsidR="00E06717" w:rsidRPr="00426BBC">
        <w:rPr>
          <w:rFonts w:asciiTheme="minorHAnsi" w:eastAsia="Calibri" w:hAnsiTheme="minorHAnsi" w:cstheme="minorHAnsi"/>
          <w:color w:val="59595B"/>
          <w:sz w:val="22"/>
          <w:szCs w:val="22"/>
          <w:lang w:val="en-GB"/>
        </w:rPr>
        <w:t xml:space="preserve"> </w:t>
      </w:r>
      <w:r w:rsidR="00096C6C" w:rsidRPr="00426BBC">
        <w:rPr>
          <w:rFonts w:asciiTheme="minorHAnsi" w:eastAsia="Calibri" w:hAnsiTheme="minorHAnsi" w:cstheme="minorHAnsi"/>
          <w:color w:val="59595B"/>
          <w:sz w:val="22"/>
          <w:szCs w:val="22"/>
          <w:lang w:val="en-GB"/>
        </w:rPr>
        <w:t xml:space="preserve">milestone to </w:t>
      </w:r>
      <w:r w:rsidR="00945A9D" w:rsidRPr="00426BBC">
        <w:rPr>
          <w:rFonts w:asciiTheme="minorHAnsi" w:eastAsia="Calibri" w:hAnsiTheme="minorHAnsi" w:cstheme="minorHAnsi"/>
          <w:color w:val="59595B"/>
          <w:sz w:val="22"/>
          <w:szCs w:val="22"/>
          <w:lang w:val="en-GB"/>
        </w:rPr>
        <w:t>SOBI</w:t>
      </w:r>
      <w:r w:rsidR="00096C6C" w:rsidRPr="00426BBC">
        <w:rPr>
          <w:rFonts w:asciiTheme="minorHAnsi" w:eastAsia="Calibri" w:hAnsiTheme="minorHAnsi" w:cstheme="minorHAnsi"/>
          <w:color w:val="59595B"/>
          <w:sz w:val="22"/>
          <w:szCs w:val="22"/>
          <w:lang w:val="en-GB"/>
        </w:rPr>
        <w:t xml:space="preserve"> in Q3</w:t>
      </w:r>
      <w:r w:rsidR="007526C8" w:rsidRPr="00426BBC">
        <w:rPr>
          <w:rFonts w:asciiTheme="minorHAnsi" w:eastAsia="Calibri" w:hAnsiTheme="minorHAnsi" w:cstheme="minorHAnsi"/>
          <w:color w:val="59595B"/>
          <w:sz w:val="22"/>
          <w:szCs w:val="22"/>
          <w:lang w:val="en-GB"/>
        </w:rPr>
        <w:t xml:space="preserve"> 2020</w:t>
      </w:r>
      <w:r w:rsidR="00EE0B77" w:rsidRPr="00426BBC">
        <w:rPr>
          <w:rFonts w:asciiTheme="minorHAnsi" w:eastAsia="Calibri" w:hAnsiTheme="minorHAnsi" w:cstheme="minorHAnsi"/>
          <w:color w:val="59595B"/>
          <w:sz w:val="22"/>
          <w:szCs w:val="22"/>
          <w:lang w:val="en-GB"/>
        </w:rPr>
        <w:t>.</w:t>
      </w:r>
    </w:p>
    <w:p w14:paraId="7BD0F1DD" w14:textId="4E5DC8FA" w:rsidR="006446EE" w:rsidRPr="00426BBC" w:rsidRDefault="00945A9D" w:rsidP="00EF50DE">
      <w:pPr>
        <w:pStyle w:val="ListParagraph"/>
        <w:numPr>
          <w:ilvl w:val="0"/>
          <w:numId w:val="2"/>
        </w:numPr>
        <w:spacing w:after="120"/>
        <w:ind w:left="567"/>
        <w:contextualSpacing w:val="0"/>
        <w:rPr>
          <w:rFonts w:asciiTheme="minorHAnsi" w:eastAsia="Calibri" w:hAnsiTheme="minorHAnsi" w:cstheme="minorHAnsi"/>
          <w:color w:val="59595B"/>
          <w:sz w:val="22"/>
          <w:szCs w:val="22"/>
          <w:lang w:val="en-GB"/>
        </w:rPr>
      </w:pPr>
      <w:r w:rsidRPr="00426BBC">
        <w:rPr>
          <w:rFonts w:asciiTheme="minorHAnsi" w:eastAsia="Calibri" w:hAnsiTheme="minorHAnsi" w:cstheme="minorHAnsi"/>
          <w:color w:val="59595B"/>
          <w:sz w:val="22"/>
          <w:szCs w:val="22"/>
          <w:lang w:val="en-GB"/>
        </w:rPr>
        <w:t>E</w:t>
      </w:r>
      <w:r w:rsidR="006446EE" w:rsidRPr="00426BBC">
        <w:rPr>
          <w:rFonts w:asciiTheme="minorHAnsi" w:eastAsia="Calibri" w:hAnsiTheme="minorHAnsi" w:cstheme="minorHAnsi"/>
          <w:color w:val="59595B"/>
          <w:sz w:val="22"/>
          <w:szCs w:val="22"/>
          <w:lang w:val="en-GB"/>
        </w:rPr>
        <w:t>quity position improved from €104.</w:t>
      </w:r>
      <w:r w:rsidR="00187D7F" w:rsidRPr="00426BBC">
        <w:rPr>
          <w:rFonts w:asciiTheme="minorHAnsi" w:eastAsia="Calibri" w:hAnsiTheme="minorHAnsi" w:cstheme="minorHAnsi"/>
          <w:color w:val="59595B"/>
          <w:sz w:val="22"/>
          <w:szCs w:val="22"/>
          <w:lang w:val="en-GB"/>
        </w:rPr>
        <w:t>7</w:t>
      </w:r>
      <w:r w:rsidR="006446EE" w:rsidRPr="00426BBC">
        <w:rPr>
          <w:rFonts w:asciiTheme="minorHAnsi" w:eastAsia="Calibri" w:hAnsiTheme="minorHAnsi" w:cstheme="minorHAnsi"/>
          <w:color w:val="59595B"/>
          <w:sz w:val="22"/>
          <w:szCs w:val="22"/>
          <w:lang w:val="en-GB"/>
        </w:rPr>
        <w:t xml:space="preserve"> million at the end of </w:t>
      </w:r>
      <w:r w:rsidR="00187D7F" w:rsidRPr="00426BBC">
        <w:rPr>
          <w:rFonts w:asciiTheme="minorHAnsi" w:eastAsia="Calibri" w:hAnsiTheme="minorHAnsi" w:cstheme="minorHAnsi"/>
          <w:color w:val="59595B"/>
          <w:sz w:val="22"/>
          <w:szCs w:val="22"/>
          <w:lang w:val="en-GB"/>
        </w:rPr>
        <w:t>December</w:t>
      </w:r>
      <w:r w:rsidR="00F50D09" w:rsidRPr="00426BBC">
        <w:rPr>
          <w:rFonts w:asciiTheme="minorHAnsi" w:eastAsia="Calibri" w:hAnsiTheme="minorHAnsi" w:cstheme="minorHAnsi"/>
          <w:color w:val="59595B"/>
          <w:sz w:val="22"/>
          <w:szCs w:val="22"/>
          <w:lang w:val="en-GB"/>
        </w:rPr>
        <w:t xml:space="preserve"> 20</w:t>
      </w:r>
      <w:r w:rsidR="00187D7F" w:rsidRPr="00426BBC">
        <w:rPr>
          <w:rFonts w:asciiTheme="minorHAnsi" w:eastAsia="Calibri" w:hAnsiTheme="minorHAnsi" w:cstheme="minorHAnsi"/>
          <w:color w:val="59595B"/>
          <w:sz w:val="22"/>
          <w:szCs w:val="22"/>
          <w:lang w:val="en-GB"/>
        </w:rPr>
        <w:t>19</w:t>
      </w:r>
      <w:r w:rsidR="006446EE" w:rsidRPr="00426BBC">
        <w:rPr>
          <w:rFonts w:asciiTheme="minorHAnsi" w:eastAsia="Calibri" w:hAnsiTheme="minorHAnsi" w:cstheme="minorHAnsi"/>
          <w:color w:val="59595B"/>
          <w:sz w:val="22"/>
          <w:szCs w:val="22"/>
          <w:lang w:val="en-GB"/>
        </w:rPr>
        <w:t xml:space="preserve"> to €1</w:t>
      </w:r>
      <w:r w:rsidR="002A75D4" w:rsidRPr="00426BBC">
        <w:rPr>
          <w:rFonts w:asciiTheme="minorHAnsi" w:eastAsia="Calibri" w:hAnsiTheme="minorHAnsi" w:cstheme="minorHAnsi"/>
          <w:color w:val="59595B"/>
          <w:sz w:val="22"/>
          <w:szCs w:val="22"/>
          <w:lang w:val="en-GB"/>
        </w:rPr>
        <w:t>3</w:t>
      </w:r>
      <w:r w:rsidR="00187D7F" w:rsidRPr="00426BBC">
        <w:rPr>
          <w:rFonts w:asciiTheme="minorHAnsi" w:eastAsia="Calibri" w:hAnsiTheme="minorHAnsi" w:cstheme="minorHAnsi"/>
          <w:color w:val="59595B"/>
          <w:sz w:val="22"/>
          <w:szCs w:val="22"/>
          <w:lang w:val="en-GB"/>
        </w:rPr>
        <w:t>6</w:t>
      </w:r>
      <w:r w:rsidR="002A75D4" w:rsidRPr="00426BBC">
        <w:rPr>
          <w:rFonts w:asciiTheme="minorHAnsi" w:eastAsia="Calibri" w:hAnsiTheme="minorHAnsi" w:cstheme="minorHAnsi"/>
          <w:color w:val="59595B"/>
          <w:sz w:val="22"/>
          <w:szCs w:val="22"/>
          <w:lang w:val="en-GB"/>
        </w:rPr>
        <w:t>.</w:t>
      </w:r>
      <w:r w:rsidR="00260603" w:rsidRPr="00426BBC">
        <w:rPr>
          <w:rFonts w:asciiTheme="minorHAnsi" w:eastAsia="Calibri" w:hAnsiTheme="minorHAnsi" w:cstheme="minorHAnsi"/>
          <w:color w:val="59595B"/>
          <w:sz w:val="22"/>
          <w:szCs w:val="22"/>
          <w:lang w:val="en-GB"/>
        </w:rPr>
        <w:t>3</w:t>
      </w:r>
      <w:r w:rsidR="006446EE" w:rsidRPr="00426BBC">
        <w:rPr>
          <w:rFonts w:asciiTheme="minorHAnsi" w:eastAsia="Calibri" w:hAnsiTheme="minorHAnsi" w:cstheme="minorHAnsi"/>
          <w:color w:val="59595B"/>
          <w:sz w:val="22"/>
          <w:szCs w:val="22"/>
          <w:lang w:val="en-GB"/>
        </w:rPr>
        <w:t xml:space="preserve"> million at the end of</w:t>
      </w:r>
      <w:r w:rsidR="002A75D4" w:rsidRPr="00426BBC">
        <w:rPr>
          <w:rFonts w:asciiTheme="minorHAnsi" w:eastAsia="Calibri" w:hAnsiTheme="minorHAnsi" w:cstheme="minorHAnsi"/>
          <w:color w:val="59595B"/>
          <w:sz w:val="22"/>
          <w:szCs w:val="22"/>
          <w:lang w:val="en-GB"/>
        </w:rPr>
        <w:t xml:space="preserve"> September </w:t>
      </w:r>
      <w:r w:rsidR="006446EE" w:rsidRPr="00426BBC">
        <w:rPr>
          <w:rFonts w:asciiTheme="minorHAnsi" w:eastAsia="Calibri" w:hAnsiTheme="minorHAnsi" w:cstheme="minorHAnsi"/>
          <w:color w:val="59595B"/>
          <w:sz w:val="22"/>
          <w:szCs w:val="22"/>
          <w:lang w:val="en-GB"/>
        </w:rPr>
        <w:t>2020</w:t>
      </w:r>
      <w:r w:rsidR="00EE0B77" w:rsidRPr="00426BBC">
        <w:rPr>
          <w:rFonts w:asciiTheme="minorHAnsi" w:eastAsia="Calibri" w:hAnsiTheme="minorHAnsi" w:cstheme="minorHAnsi"/>
          <w:color w:val="59595B"/>
          <w:sz w:val="22"/>
          <w:szCs w:val="22"/>
          <w:lang w:val="en-GB"/>
        </w:rPr>
        <w:t>.</w:t>
      </w:r>
    </w:p>
    <w:p w14:paraId="19DBB18F" w14:textId="7EF3ED1E" w:rsidR="006446EE" w:rsidRPr="00426BBC" w:rsidRDefault="006446EE" w:rsidP="00EF50DE">
      <w:pPr>
        <w:pStyle w:val="ListParagraph"/>
        <w:numPr>
          <w:ilvl w:val="0"/>
          <w:numId w:val="2"/>
        </w:numPr>
        <w:spacing w:after="120"/>
        <w:ind w:left="567"/>
        <w:contextualSpacing w:val="0"/>
        <w:rPr>
          <w:rFonts w:asciiTheme="minorHAnsi" w:eastAsia="Calibri" w:hAnsiTheme="minorHAnsi" w:cstheme="minorHAnsi"/>
          <w:color w:val="59595B"/>
          <w:sz w:val="22"/>
          <w:szCs w:val="22"/>
          <w:lang w:val="en-GB"/>
        </w:rPr>
      </w:pPr>
      <w:r w:rsidRPr="00426BBC">
        <w:rPr>
          <w:rFonts w:asciiTheme="minorHAnsi" w:eastAsia="Calibri" w:hAnsiTheme="minorHAnsi" w:cstheme="minorHAnsi"/>
          <w:color w:val="59595B"/>
          <w:sz w:val="22"/>
          <w:szCs w:val="22"/>
          <w:lang w:val="en-GB"/>
        </w:rPr>
        <w:t>Other financial liabilities, which refer to the contingent consideration reserved for the final successful sales performance milestone of US$25 million to Bausch Health, did not increase</w:t>
      </w:r>
      <w:r w:rsidR="001366A9" w:rsidRPr="00426BBC">
        <w:rPr>
          <w:rFonts w:asciiTheme="minorHAnsi" w:eastAsia="Calibri" w:hAnsiTheme="minorHAnsi" w:cstheme="minorHAnsi"/>
          <w:color w:val="59595B"/>
          <w:sz w:val="22"/>
          <w:szCs w:val="22"/>
          <w:lang w:val="en-GB"/>
        </w:rPr>
        <w:t xml:space="preserve"> in the first nine months of 2020</w:t>
      </w:r>
      <w:r w:rsidR="00945A9D" w:rsidRPr="00426BBC">
        <w:rPr>
          <w:rFonts w:asciiTheme="minorHAnsi" w:eastAsia="Calibri" w:hAnsiTheme="minorHAnsi" w:cstheme="minorHAnsi"/>
          <w:color w:val="59595B"/>
          <w:sz w:val="22"/>
          <w:szCs w:val="22"/>
          <w:lang w:val="en-GB"/>
        </w:rPr>
        <w:t>, as compared to the same period in 2019</w:t>
      </w:r>
      <w:r w:rsidRPr="00426BBC">
        <w:rPr>
          <w:rFonts w:asciiTheme="minorHAnsi" w:eastAsia="Calibri" w:hAnsiTheme="minorHAnsi" w:cstheme="minorHAnsi"/>
          <w:color w:val="59595B"/>
          <w:sz w:val="22"/>
          <w:szCs w:val="22"/>
          <w:lang w:val="en-GB"/>
        </w:rPr>
        <w:t xml:space="preserve">. As a result, </w:t>
      </w:r>
      <w:r w:rsidR="007526C8" w:rsidRPr="00426BBC">
        <w:rPr>
          <w:rFonts w:asciiTheme="minorHAnsi" w:eastAsia="Calibri" w:hAnsiTheme="minorHAnsi" w:cstheme="minorHAnsi"/>
          <w:color w:val="59595B"/>
          <w:sz w:val="22"/>
          <w:szCs w:val="22"/>
          <w:lang w:val="en-GB"/>
        </w:rPr>
        <w:t xml:space="preserve">the </w:t>
      </w:r>
      <w:r w:rsidR="00846C13" w:rsidRPr="00426BBC">
        <w:rPr>
          <w:rFonts w:asciiTheme="minorHAnsi" w:eastAsia="Calibri" w:hAnsiTheme="minorHAnsi" w:cstheme="minorHAnsi"/>
          <w:color w:val="59595B"/>
          <w:sz w:val="22"/>
          <w:szCs w:val="22"/>
          <w:lang w:val="en-GB"/>
        </w:rPr>
        <w:t xml:space="preserve">Company’s </w:t>
      </w:r>
      <w:r w:rsidRPr="00426BBC">
        <w:rPr>
          <w:rFonts w:asciiTheme="minorHAnsi" w:eastAsia="Calibri" w:hAnsiTheme="minorHAnsi" w:cstheme="minorHAnsi"/>
          <w:color w:val="59595B"/>
          <w:sz w:val="22"/>
          <w:szCs w:val="22"/>
          <w:lang w:val="en-GB"/>
        </w:rPr>
        <w:t>estimation of the likelihood of paying this milestone in the future has not changed during the period</w:t>
      </w:r>
      <w:r w:rsidR="00C00C35" w:rsidRPr="00426BBC">
        <w:rPr>
          <w:rFonts w:asciiTheme="minorHAnsi" w:eastAsia="Calibri" w:hAnsiTheme="minorHAnsi" w:cstheme="minorHAnsi"/>
          <w:color w:val="59595B"/>
          <w:sz w:val="22"/>
          <w:szCs w:val="22"/>
          <w:lang w:val="en-GB"/>
        </w:rPr>
        <w:t>.</w:t>
      </w:r>
    </w:p>
    <w:p w14:paraId="1C37819C" w14:textId="05AECA92" w:rsidR="006446EE" w:rsidRPr="00426BBC" w:rsidRDefault="00742B61" w:rsidP="00EF50DE">
      <w:pPr>
        <w:pStyle w:val="ListParagraph"/>
        <w:numPr>
          <w:ilvl w:val="0"/>
          <w:numId w:val="2"/>
        </w:numPr>
        <w:spacing w:after="120"/>
        <w:ind w:left="567"/>
        <w:contextualSpacing w:val="0"/>
        <w:rPr>
          <w:rFonts w:asciiTheme="minorHAnsi" w:hAnsiTheme="minorHAnsi" w:cstheme="minorHAnsi"/>
          <w:b/>
          <w:color w:val="59595B"/>
          <w:sz w:val="22"/>
          <w:szCs w:val="22"/>
          <w:lang w:val="en-GB"/>
        </w:rPr>
      </w:pPr>
      <w:r w:rsidRPr="00426BBC">
        <w:rPr>
          <w:rFonts w:asciiTheme="minorHAnsi" w:hAnsiTheme="minorHAnsi" w:cstheme="minorHAnsi"/>
          <w:color w:val="59595B"/>
          <w:sz w:val="22"/>
          <w:szCs w:val="22"/>
          <w:lang w:val="en-GB"/>
        </w:rPr>
        <w:t>In the first nine months of 2020</w:t>
      </w:r>
      <w:r w:rsidR="007526C8" w:rsidRPr="00426BBC">
        <w:rPr>
          <w:rFonts w:asciiTheme="minorHAnsi" w:hAnsiTheme="minorHAnsi" w:cstheme="minorHAnsi"/>
          <w:color w:val="59595B"/>
          <w:sz w:val="22"/>
          <w:szCs w:val="22"/>
          <w:lang w:val="en-GB"/>
        </w:rPr>
        <w:t>,</w:t>
      </w:r>
      <w:r w:rsidRPr="00426BBC">
        <w:rPr>
          <w:rFonts w:asciiTheme="minorHAnsi" w:hAnsiTheme="minorHAnsi" w:cstheme="minorHAnsi"/>
          <w:color w:val="59595B"/>
          <w:sz w:val="22"/>
          <w:szCs w:val="22"/>
          <w:lang w:val="en-GB"/>
        </w:rPr>
        <w:t xml:space="preserve"> a total of 6</w:t>
      </w:r>
      <w:r w:rsidR="005E0187" w:rsidRPr="00426BBC">
        <w:rPr>
          <w:rFonts w:asciiTheme="minorHAnsi" w:hAnsiTheme="minorHAnsi" w:cstheme="minorHAnsi"/>
          <w:color w:val="59595B"/>
          <w:sz w:val="22"/>
          <w:szCs w:val="22"/>
          <w:lang w:val="en-GB"/>
        </w:rPr>
        <w:t>,</w:t>
      </w:r>
      <w:r w:rsidRPr="00426BBC">
        <w:rPr>
          <w:rFonts w:asciiTheme="minorHAnsi" w:hAnsiTheme="minorHAnsi" w:cstheme="minorHAnsi"/>
          <w:color w:val="59595B"/>
          <w:sz w:val="22"/>
          <w:szCs w:val="22"/>
          <w:lang w:val="en-GB"/>
        </w:rPr>
        <w:t>732</w:t>
      </w:r>
      <w:r w:rsidR="005E0187" w:rsidRPr="00426BBC">
        <w:rPr>
          <w:rFonts w:asciiTheme="minorHAnsi" w:hAnsiTheme="minorHAnsi" w:cstheme="minorHAnsi"/>
          <w:color w:val="59595B"/>
          <w:sz w:val="22"/>
          <w:szCs w:val="22"/>
          <w:lang w:val="en-GB"/>
        </w:rPr>
        <w:t>,</w:t>
      </w:r>
      <w:r w:rsidRPr="00426BBC">
        <w:rPr>
          <w:rFonts w:asciiTheme="minorHAnsi" w:hAnsiTheme="minorHAnsi" w:cstheme="minorHAnsi"/>
          <w:color w:val="59595B"/>
          <w:sz w:val="22"/>
          <w:szCs w:val="22"/>
          <w:lang w:val="en-GB"/>
        </w:rPr>
        <w:t>152 new shares have been issued resulting fro</w:t>
      </w:r>
      <w:r w:rsidR="00E83142" w:rsidRPr="00426BBC">
        <w:rPr>
          <w:rFonts w:asciiTheme="minorHAnsi" w:hAnsiTheme="minorHAnsi" w:cstheme="minorHAnsi"/>
          <w:color w:val="59595B"/>
          <w:sz w:val="22"/>
          <w:szCs w:val="22"/>
          <w:lang w:val="en-GB"/>
        </w:rPr>
        <w:t>m various</w:t>
      </w:r>
      <w:r w:rsidR="0091664E" w:rsidRPr="00426BBC">
        <w:rPr>
          <w:rFonts w:asciiTheme="minorHAnsi" w:hAnsiTheme="minorHAnsi" w:cstheme="minorHAnsi"/>
          <w:color w:val="59595B"/>
          <w:sz w:val="22"/>
          <w:szCs w:val="22"/>
          <w:lang w:val="en-GB"/>
        </w:rPr>
        <w:t xml:space="preserve"> exercises of options</w:t>
      </w:r>
      <w:r w:rsidRPr="00426BBC">
        <w:rPr>
          <w:rFonts w:asciiTheme="minorHAnsi" w:hAnsiTheme="minorHAnsi" w:cstheme="minorHAnsi"/>
          <w:color w:val="59595B"/>
          <w:sz w:val="22"/>
          <w:szCs w:val="22"/>
          <w:lang w:val="en-GB"/>
        </w:rPr>
        <w:t>.</w:t>
      </w:r>
      <w:r w:rsidR="0091664E" w:rsidRPr="00426BBC">
        <w:rPr>
          <w:rFonts w:asciiTheme="minorHAnsi" w:hAnsiTheme="minorHAnsi" w:cstheme="minorHAnsi"/>
          <w:color w:val="59595B"/>
          <w:sz w:val="22"/>
          <w:szCs w:val="22"/>
          <w:lang w:val="en-GB"/>
        </w:rPr>
        <w:t xml:space="preserve"> </w:t>
      </w:r>
      <w:r w:rsidR="006446EE" w:rsidRPr="00426BBC">
        <w:rPr>
          <w:rFonts w:asciiTheme="minorHAnsi" w:hAnsiTheme="minorHAnsi" w:cstheme="minorHAnsi"/>
          <w:color w:val="59595B"/>
          <w:sz w:val="22"/>
          <w:szCs w:val="22"/>
          <w:lang w:val="en-GB"/>
        </w:rPr>
        <w:t xml:space="preserve">The number of issued shares as of </w:t>
      </w:r>
      <w:r w:rsidR="002262C0" w:rsidRPr="00426BBC">
        <w:rPr>
          <w:rFonts w:asciiTheme="minorHAnsi" w:hAnsiTheme="minorHAnsi" w:cstheme="minorHAnsi"/>
          <w:color w:val="59595B"/>
          <w:sz w:val="22"/>
          <w:szCs w:val="22"/>
          <w:lang w:val="en-GB"/>
        </w:rPr>
        <w:t>30 September</w:t>
      </w:r>
      <w:r w:rsidR="006446EE" w:rsidRPr="00426BBC">
        <w:rPr>
          <w:rFonts w:asciiTheme="minorHAnsi" w:hAnsiTheme="minorHAnsi" w:cstheme="minorHAnsi"/>
          <w:color w:val="59595B"/>
          <w:sz w:val="22"/>
          <w:szCs w:val="22"/>
          <w:lang w:val="en-GB"/>
        </w:rPr>
        <w:t xml:space="preserve"> 2020 is </w:t>
      </w:r>
      <w:r w:rsidR="00332D4D" w:rsidRPr="00426BBC">
        <w:rPr>
          <w:rFonts w:asciiTheme="minorHAnsi" w:hAnsiTheme="minorHAnsi" w:cstheme="minorHAnsi"/>
          <w:color w:val="59595B"/>
          <w:sz w:val="22"/>
          <w:szCs w:val="22"/>
          <w:lang w:val="en-GB"/>
        </w:rPr>
        <w:t>638</w:t>
      </w:r>
      <w:r w:rsidR="005E0187" w:rsidRPr="00426BBC">
        <w:rPr>
          <w:rFonts w:asciiTheme="minorHAnsi" w:hAnsiTheme="minorHAnsi" w:cstheme="minorHAnsi"/>
          <w:color w:val="59595B"/>
          <w:sz w:val="22"/>
          <w:szCs w:val="22"/>
          <w:lang w:val="en-GB"/>
        </w:rPr>
        <w:t>,</w:t>
      </w:r>
      <w:r w:rsidR="00332D4D" w:rsidRPr="00426BBC">
        <w:rPr>
          <w:rFonts w:asciiTheme="minorHAnsi" w:hAnsiTheme="minorHAnsi" w:cstheme="minorHAnsi"/>
          <w:color w:val="59595B"/>
          <w:sz w:val="22"/>
          <w:szCs w:val="22"/>
          <w:lang w:val="en-GB"/>
        </w:rPr>
        <w:t>055</w:t>
      </w:r>
      <w:r w:rsidR="005E0187" w:rsidRPr="00426BBC">
        <w:rPr>
          <w:rFonts w:asciiTheme="minorHAnsi" w:hAnsiTheme="minorHAnsi" w:cstheme="minorHAnsi"/>
          <w:color w:val="59595B"/>
          <w:sz w:val="22"/>
          <w:szCs w:val="22"/>
          <w:lang w:val="en-GB"/>
        </w:rPr>
        <w:t>,</w:t>
      </w:r>
      <w:r w:rsidR="00332D4D" w:rsidRPr="00426BBC">
        <w:rPr>
          <w:rFonts w:asciiTheme="minorHAnsi" w:hAnsiTheme="minorHAnsi" w:cstheme="minorHAnsi"/>
          <w:color w:val="59595B"/>
          <w:sz w:val="22"/>
          <w:szCs w:val="22"/>
          <w:lang w:val="en-GB"/>
        </w:rPr>
        <w:t>619</w:t>
      </w:r>
      <w:r w:rsidR="006446EE" w:rsidRPr="00426BBC">
        <w:rPr>
          <w:rFonts w:asciiTheme="minorHAnsi" w:hAnsiTheme="minorHAnsi" w:cstheme="minorHAnsi"/>
          <w:color w:val="59595B"/>
          <w:sz w:val="22"/>
          <w:szCs w:val="22"/>
          <w:lang w:val="en-GB"/>
        </w:rPr>
        <w:t xml:space="preserve">.  The fully diluted number of shares as of </w:t>
      </w:r>
      <w:r w:rsidR="009871DB" w:rsidRPr="00426BBC">
        <w:rPr>
          <w:rFonts w:asciiTheme="minorHAnsi" w:hAnsiTheme="minorHAnsi" w:cstheme="minorHAnsi"/>
          <w:color w:val="59595B"/>
          <w:sz w:val="22"/>
          <w:szCs w:val="22"/>
          <w:lang w:val="en-GB"/>
        </w:rPr>
        <w:t>29</w:t>
      </w:r>
      <w:r w:rsidR="006446EE" w:rsidRPr="00426BBC">
        <w:rPr>
          <w:rFonts w:asciiTheme="minorHAnsi" w:hAnsiTheme="minorHAnsi" w:cstheme="minorHAnsi"/>
          <w:color w:val="59595B"/>
          <w:sz w:val="22"/>
          <w:szCs w:val="22"/>
          <w:lang w:val="en-GB"/>
        </w:rPr>
        <w:t xml:space="preserve"> </w:t>
      </w:r>
      <w:r w:rsidR="00712F43" w:rsidRPr="00426BBC">
        <w:rPr>
          <w:rFonts w:asciiTheme="minorHAnsi" w:hAnsiTheme="minorHAnsi" w:cstheme="minorHAnsi"/>
          <w:color w:val="59595B"/>
          <w:sz w:val="22"/>
          <w:szCs w:val="22"/>
          <w:lang w:val="en-GB"/>
        </w:rPr>
        <w:t>O</w:t>
      </w:r>
      <w:r w:rsidR="009871DB" w:rsidRPr="00426BBC">
        <w:rPr>
          <w:rFonts w:asciiTheme="minorHAnsi" w:hAnsiTheme="minorHAnsi" w:cstheme="minorHAnsi"/>
          <w:color w:val="59595B"/>
          <w:sz w:val="22"/>
          <w:szCs w:val="22"/>
          <w:lang w:val="en-GB"/>
        </w:rPr>
        <w:t>ctober</w:t>
      </w:r>
      <w:r w:rsidR="006446EE" w:rsidRPr="00426BBC">
        <w:rPr>
          <w:rFonts w:asciiTheme="minorHAnsi" w:hAnsiTheme="minorHAnsi" w:cstheme="minorHAnsi"/>
          <w:color w:val="59595B"/>
          <w:sz w:val="22"/>
          <w:szCs w:val="22"/>
          <w:lang w:val="en-GB"/>
        </w:rPr>
        <w:t xml:space="preserve"> 2020 is</w:t>
      </w:r>
      <w:r w:rsidR="009871DB" w:rsidRPr="00426BBC">
        <w:rPr>
          <w:rFonts w:asciiTheme="minorHAnsi" w:hAnsiTheme="minorHAnsi" w:cstheme="minorHAnsi"/>
          <w:color w:val="59595B"/>
          <w:sz w:val="22"/>
          <w:szCs w:val="22"/>
          <w:lang w:val="en-GB"/>
        </w:rPr>
        <w:t xml:space="preserve"> </w:t>
      </w:r>
      <w:r w:rsidR="00896A5C" w:rsidRPr="00426BBC">
        <w:rPr>
          <w:rFonts w:asciiTheme="minorHAnsi" w:hAnsiTheme="minorHAnsi" w:cstheme="minorHAnsi"/>
          <w:color w:val="59595B"/>
          <w:sz w:val="22"/>
          <w:szCs w:val="22"/>
          <w:lang w:val="en-GB"/>
        </w:rPr>
        <w:t>756,428,631</w:t>
      </w:r>
      <w:r w:rsidR="006446EE" w:rsidRPr="00426BBC">
        <w:rPr>
          <w:rFonts w:asciiTheme="minorHAnsi" w:hAnsiTheme="minorHAnsi" w:cstheme="minorHAnsi"/>
          <w:color w:val="59595B"/>
          <w:sz w:val="22"/>
          <w:szCs w:val="22"/>
          <w:lang w:val="en-GB"/>
        </w:rPr>
        <w:t>.</w:t>
      </w:r>
    </w:p>
    <w:p w14:paraId="156D16CE" w14:textId="77777777" w:rsidR="00C6491F" w:rsidRPr="00426BBC" w:rsidRDefault="00C6491F" w:rsidP="00EF50DE">
      <w:pPr>
        <w:spacing w:after="120"/>
        <w:rPr>
          <w:rFonts w:asciiTheme="minorHAnsi" w:hAnsiTheme="minorHAnsi" w:cstheme="minorHAnsi"/>
          <w:b/>
          <w:lang w:val="en-GB"/>
        </w:rPr>
      </w:pPr>
    </w:p>
    <w:p w14:paraId="349D9D77" w14:textId="6EFD3EDE" w:rsidR="006446EE" w:rsidRPr="00426BBC" w:rsidRDefault="006446EE" w:rsidP="00EF50DE">
      <w:pPr>
        <w:spacing w:after="120"/>
        <w:rPr>
          <w:rFonts w:asciiTheme="minorHAnsi" w:hAnsiTheme="minorHAnsi" w:cstheme="minorHAnsi"/>
          <w:b/>
          <w:lang w:val="en-GB"/>
        </w:rPr>
      </w:pPr>
      <w:r w:rsidRPr="00426BBC">
        <w:rPr>
          <w:rFonts w:asciiTheme="minorHAnsi" w:hAnsiTheme="minorHAnsi" w:cstheme="minorHAnsi"/>
          <w:b/>
          <w:lang w:val="en-GB"/>
        </w:rPr>
        <w:t xml:space="preserve">Operational highlights </w:t>
      </w:r>
    </w:p>
    <w:p w14:paraId="4656886E" w14:textId="531D5DBD" w:rsidR="006446EE" w:rsidRPr="00426BBC" w:rsidRDefault="00D7328F" w:rsidP="00EF50DE">
      <w:pPr>
        <w:pStyle w:val="ListParagraph"/>
        <w:numPr>
          <w:ilvl w:val="0"/>
          <w:numId w:val="3"/>
        </w:numPr>
        <w:spacing w:after="120"/>
        <w:ind w:left="714" w:hanging="357"/>
        <w:jc w:val="left"/>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On </w:t>
      </w:r>
      <w:r w:rsidR="000567FC" w:rsidRPr="00426BBC">
        <w:rPr>
          <w:rFonts w:asciiTheme="minorHAnsi" w:hAnsiTheme="minorHAnsi" w:cstheme="minorHAnsi"/>
          <w:color w:val="59595B"/>
          <w:sz w:val="22"/>
          <w:szCs w:val="22"/>
          <w:lang w:val="en-GB"/>
        </w:rPr>
        <w:t>10 August 2020, the Company announced the enrol</w:t>
      </w:r>
      <w:r w:rsidR="001824A8">
        <w:rPr>
          <w:rFonts w:asciiTheme="minorHAnsi" w:hAnsiTheme="minorHAnsi" w:cstheme="minorHAnsi"/>
          <w:color w:val="59595B"/>
          <w:sz w:val="22"/>
          <w:szCs w:val="22"/>
          <w:lang w:val="en-GB"/>
        </w:rPr>
        <w:t>l</w:t>
      </w:r>
      <w:r w:rsidR="000567FC" w:rsidRPr="00426BBC">
        <w:rPr>
          <w:rFonts w:asciiTheme="minorHAnsi" w:hAnsiTheme="minorHAnsi" w:cstheme="minorHAnsi"/>
          <w:color w:val="59595B"/>
          <w:sz w:val="22"/>
          <w:szCs w:val="22"/>
          <w:lang w:val="en-GB"/>
        </w:rPr>
        <w:t xml:space="preserve">ment of the first </w:t>
      </w:r>
      <w:r w:rsidR="00345583" w:rsidRPr="00426BBC">
        <w:rPr>
          <w:rFonts w:asciiTheme="minorHAnsi" w:hAnsiTheme="minorHAnsi" w:cstheme="minorHAnsi"/>
          <w:color w:val="59595B"/>
          <w:sz w:val="22"/>
          <w:szCs w:val="22"/>
          <w:lang w:val="en-GB"/>
        </w:rPr>
        <w:t>patient in a randomi</w:t>
      </w:r>
      <w:r w:rsidR="00846C13" w:rsidRPr="00426BBC">
        <w:rPr>
          <w:rFonts w:asciiTheme="minorHAnsi" w:hAnsiTheme="minorHAnsi" w:cstheme="minorHAnsi"/>
          <w:color w:val="59595B"/>
          <w:sz w:val="22"/>
          <w:szCs w:val="22"/>
          <w:lang w:val="en-GB"/>
        </w:rPr>
        <w:t>s</w:t>
      </w:r>
      <w:r w:rsidR="00345583" w:rsidRPr="00426BBC">
        <w:rPr>
          <w:rFonts w:asciiTheme="minorHAnsi" w:hAnsiTheme="minorHAnsi" w:cstheme="minorHAnsi"/>
          <w:color w:val="59595B"/>
          <w:sz w:val="22"/>
          <w:szCs w:val="22"/>
          <w:lang w:val="en-GB"/>
        </w:rPr>
        <w:t xml:space="preserve">ed, controlled, investigator-initiated clinical trial in up to 150 patients for treatment with </w:t>
      </w:r>
      <w:r w:rsidR="00AD05B9" w:rsidRPr="00426BBC">
        <w:rPr>
          <w:rFonts w:asciiTheme="minorHAnsi" w:hAnsiTheme="minorHAnsi" w:cstheme="minorHAnsi"/>
          <w:color w:val="59595B"/>
          <w:sz w:val="22"/>
          <w:szCs w:val="22"/>
          <w:lang w:val="en-GB"/>
        </w:rPr>
        <w:t>rC1INH</w:t>
      </w:r>
      <w:r w:rsidR="00345583" w:rsidRPr="00426BBC">
        <w:rPr>
          <w:rFonts w:asciiTheme="minorHAnsi" w:hAnsiTheme="minorHAnsi" w:cstheme="minorHAnsi"/>
          <w:color w:val="59595B"/>
          <w:sz w:val="22"/>
          <w:szCs w:val="22"/>
          <w:lang w:val="en-GB"/>
        </w:rPr>
        <w:t xml:space="preserve"> of patients with confirmed COVID-19 infections hospitalised with related severe pneumonia at the University Hospital Basel in Basel, Switzerland. This trial </w:t>
      </w:r>
      <w:r w:rsidR="00E47BBB" w:rsidRPr="00426BBC">
        <w:rPr>
          <w:rFonts w:asciiTheme="minorHAnsi" w:hAnsiTheme="minorHAnsi" w:cstheme="minorHAnsi"/>
          <w:color w:val="59595B"/>
          <w:sz w:val="22"/>
          <w:szCs w:val="22"/>
          <w:lang w:val="en-GB"/>
        </w:rPr>
        <w:t xml:space="preserve">continues </w:t>
      </w:r>
      <w:r w:rsidR="00B24642" w:rsidRPr="00426BBC">
        <w:rPr>
          <w:rFonts w:asciiTheme="minorHAnsi" w:hAnsiTheme="minorHAnsi" w:cstheme="minorHAnsi"/>
          <w:color w:val="59595B"/>
          <w:sz w:val="22"/>
          <w:szCs w:val="22"/>
          <w:lang w:val="en-GB"/>
        </w:rPr>
        <w:t xml:space="preserve">to recruit </w:t>
      </w:r>
      <w:r w:rsidR="00E47BBB" w:rsidRPr="00426BBC">
        <w:rPr>
          <w:rFonts w:asciiTheme="minorHAnsi" w:hAnsiTheme="minorHAnsi" w:cstheme="minorHAnsi"/>
          <w:color w:val="59595B"/>
          <w:sz w:val="22"/>
          <w:szCs w:val="22"/>
          <w:lang w:val="en-GB"/>
        </w:rPr>
        <w:t xml:space="preserve">and </w:t>
      </w:r>
      <w:r w:rsidR="00345583" w:rsidRPr="00426BBC">
        <w:rPr>
          <w:rFonts w:asciiTheme="minorHAnsi" w:hAnsiTheme="minorHAnsi" w:cstheme="minorHAnsi"/>
          <w:color w:val="59595B"/>
          <w:sz w:val="22"/>
          <w:szCs w:val="22"/>
          <w:lang w:val="en-GB"/>
        </w:rPr>
        <w:t>has since expanded to other centres in Switzerland and is in the last stages of preparation in centres in Mexico and Brazil</w:t>
      </w:r>
      <w:r w:rsidR="00C00C35" w:rsidRPr="00426BBC">
        <w:rPr>
          <w:rFonts w:asciiTheme="minorHAnsi" w:hAnsiTheme="minorHAnsi" w:cstheme="minorHAnsi"/>
          <w:color w:val="59595B"/>
          <w:sz w:val="22"/>
          <w:szCs w:val="22"/>
          <w:lang w:val="en-GB"/>
        </w:rPr>
        <w:t>.</w:t>
      </w:r>
    </w:p>
    <w:p w14:paraId="2C563DC8" w14:textId="12CCA3C5" w:rsidR="007526C8" w:rsidRPr="00E9120D" w:rsidRDefault="002E1566" w:rsidP="00EF50DE">
      <w:pPr>
        <w:pStyle w:val="ListParagraph"/>
        <w:numPr>
          <w:ilvl w:val="0"/>
          <w:numId w:val="3"/>
        </w:numPr>
        <w:spacing w:after="120"/>
        <w:ind w:left="714" w:hanging="357"/>
        <w:jc w:val="left"/>
        <w:rPr>
          <w:rStyle w:val="Hyperlink"/>
          <w:rFonts w:asciiTheme="minorHAnsi" w:hAnsiTheme="minorHAnsi" w:cstheme="minorHAnsi"/>
          <w:color w:val="59595B"/>
          <w:sz w:val="22"/>
          <w:szCs w:val="22"/>
          <w:u w:val="none"/>
          <w:lang w:val="en-GB"/>
        </w:rPr>
      </w:pPr>
      <w:r w:rsidRPr="00426BBC">
        <w:rPr>
          <w:rFonts w:asciiTheme="minorHAnsi" w:hAnsiTheme="minorHAnsi" w:cstheme="minorHAnsi"/>
          <w:color w:val="59595B"/>
          <w:sz w:val="22"/>
          <w:szCs w:val="22"/>
          <w:lang w:val="en-GB"/>
        </w:rPr>
        <w:t xml:space="preserve">On 17 August </w:t>
      </w:r>
      <w:r w:rsidR="007526C8" w:rsidRPr="00426BBC">
        <w:rPr>
          <w:rFonts w:asciiTheme="minorHAnsi" w:hAnsiTheme="minorHAnsi" w:cstheme="minorHAnsi"/>
          <w:color w:val="59595B"/>
          <w:sz w:val="22"/>
          <w:szCs w:val="22"/>
          <w:lang w:val="en-GB"/>
        </w:rPr>
        <w:t xml:space="preserve">2020, </w:t>
      </w:r>
      <w:r w:rsidRPr="00426BBC">
        <w:rPr>
          <w:rFonts w:asciiTheme="minorHAnsi" w:hAnsiTheme="minorHAnsi" w:cstheme="minorHAnsi"/>
          <w:color w:val="59595B"/>
          <w:sz w:val="22"/>
          <w:szCs w:val="22"/>
          <w:lang w:val="en-GB"/>
        </w:rPr>
        <w:t xml:space="preserve">the Company announced the publication of data in the peer-reviewed journal, </w:t>
      </w:r>
      <w:r w:rsidRPr="00426BBC">
        <w:rPr>
          <w:rFonts w:asciiTheme="minorHAnsi" w:hAnsiTheme="minorHAnsi" w:cstheme="minorHAnsi"/>
          <w:i/>
          <w:iCs/>
          <w:color w:val="59595B"/>
          <w:sz w:val="22"/>
          <w:szCs w:val="22"/>
          <w:lang w:val="en-GB"/>
        </w:rPr>
        <w:t>Frontiers in Immunology</w:t>
      </w:r>
      <w:r w:rsidRPr="00426BBC">
        <w:rPr>
          <w:rFonts w:asciiTheme="minorHAnsi" w:hAnsiTheme="minorHAnsi" w:cstheme="minorHAnsi"/>
          <w:color w:val="59595B"/>
          <w:sz w:val="22"/>
          <w:szCs w:val="22"/>
          <w:lang w:val="en-GB"/>
        </w:rPr>
        <w:t xml:space="preserve">, from a compassionate use programme of five patients with confirmed COVID-19 infections hospitalised with related severe pneumonia that were treated with </w:t>
      </w:r>
      <w:r w:rsidR="00AD05B9" w:rsidRPr="00426BBC">
        <w:rPr>
          <w:rFonts w:asciiTheme="minorHAnsi" w:hAnsiTheme="minorHAnsi" w:cstheme="minorHAnsi"/>
          <w:color w:val="59595B"/>
          <w:sz w:val="22"/>
          <w:szCs w:val="22"/>
          <w:lang w:val="en-GB"/>
        </w:rPr>
        <w:t>rhC1INH</w:t>
      </w:r>
      <w:r w:rsidRPr="00426BBC">
        <w:rPr>
          <w:rFonts w:asciiTheme="minorHAnsi" w:hAnsiTheme="minorHAnsi" w:cstheme="minorHAnsi"/>
          <w:color w:val="59595B"/>
          <w:sz w:val="22"/>
          <w:szCs w:val="22"/>
          <w:lang w:val="en-GB"/>
        </w:rPr>
        <w:t xml:space="preserve"> at the University Hospital Basel, Switzerland. The publication is available on the </w:t>
      </w:r>
      <w:r w:rsidR="007375E1" w:rsidRPr="00426BBC">
        <w:rPr>
          <w:rFonts w:asciiTheme="minorHAnsi" w:hAnsiTheme="minorHAnsi" w:cstheme="minorHAnsi"/>
          <w:color w:val="59595B"/>
          <w:sz w:val="22"/>
          <w:szCs w:val="22"/>
          <w:lang w:val="en-GB"/>
        </w:rPr>
        <w:t>C</w:t>
      </w:r>
      <w:r w:rsidRPr="00426BBC">
        <w:rPr>
          <w:rFonts w:asciiTheme="minorHAnsi" w:hAnsiTheme="minorHAnsi" w:cstheme="minorHAnsi"/>
          <w:color w:val="59595B"/>
          <w:sz w:val="22"/>
          <w:szCs w:val="22"/>
          <w:lang w:val="en-GB"/>
        </w:rPr>
        <w:t xml:space="preserve">ompany’s website: </w:t>
      </w:r>
      <w:hyperlink r:id="rId14" w:history="1">
        <w:r w:rsidR="00770FE2" w:rsidRPr="00E9120D">
          <w:rPr>
            <w:rStyle w:val="Hyperlink"/>
            <w:rFonts w:asciiTheme="minorHAnsi" w:hAnsiTheme="minorHAnsi" w:cstheme="minorHAnsi"/>
            <w:sz w:val="22"/>
            <w:szCs w:val="22"/>
            <w:lang w:val="en-GB"/>
          </w:rPr>
          <w:t>https://www.pharming.com/news/pharming-announces-publication-data-compassionate-use-programme-ruconestr-covid-19-patients</w:t>
        </w:r>
      </w:hyperlink>
      <w:r w:rsidR="00770FE2" w:rsidRPr="00E9120D">
        <w:rPr>
          <w:rFonts w:asciiTheme="minorHAnsi" w:hAnsiTheme="minorHAnsi" w:cstheme="minorHAnsi"/>
          <w:color w:val="59595B"/>
          <w:sz w:val="22"/>
          <w:szCs w:val="22"/>
          <w:lang w:val="en-GB"/>
        </w:rPr>
        <w:t xml:space="preserve"> </w:t>
      </w:r>
    </w:p>
    <w:p w14:paraId="722FEF65" w14:textId="77777777" w:rsidR="007526C8" w:rsidRPr="00426BBC" w:rsidRDefault="007526C8" w:rsidP="00EF50DE">
      <w:pPr>
        <w:spacing w:after="120"/>
        <w:rPr>
          <w:rFonts w:asciiTheme="minorHAnsi" w:hAnsiTheme="minorHAnsi" w:cstheme="minorHAnsi"/>
          <w:b/>
          <w:lang w:val="en-GB"/>
        </w:rPr>
      </w:pPr>
    </w:p>
    <w:p w14:paraId="081A5B5C" w14:textId="1E4810BC" w:rsidR="007526C8" w:rsidRPr="00426BBC" w:rsidRDefault="007526C8" w:rsidP="00EF50DE">
      <w:pPr>
        <w:spacing w:after="120"/>
        <w:rPr>
          <w:rFonts w:asciiTheme="minorHAnsi" w:hAnsiTheme="minorHAnsi" w:cstheme="minorHAnsi"/>
          <w:color w:val="59595B"/>
          <w:sz w:val="22"/>
          <w:szCs w:val="22"/>
          <w:lang w:val="en-GB"/>
        </w:rPr>
      </w:pPr>
      <w:r w:rsidRPr="00426BBC">
        <w:rPr>
          <w:rFonts w:asciiTheme="minorHAnsi" w:hAnsiTheme="minorHAnsi" w:cstheme="minorHAnsi"/>
          <w:b/>
          <w:lang w:val="en-GB"/>
        </w:rPr>
        <w:t>Post-period highlights</w:t>
      </w:r>
    </w:p>
    <w:p w14:paraId="2664CA25" w14:textId="40141DAA" w:rsidR="007375E1" w:rsidRPr="00426BBC" w:rsidRDefault="007375E1" w:rsidP="00EF50DE">
      <w:pPr>
        <w:pStyle w:val="ListParagraph"/>
        <w:numPr>
          <w:ilvl w:val="0"/>
          <w:numId w:val="3"/>
        </w:numPr>
        <w:spacing w:after="120"/>
        <w:rPr>
          <w:rFonts w:asciiTheme="minorHAnsi" w:hAnsiTheme="minorHAnsi" w:cstheme="minorHAnsi"/>
          <w:b/>
          <w:lang w:val="en-GB"/>
        </w:rPr>
      </w:pPr>
      <w:r w:rsidRPr="00426BBC">
        <w:rPr>
          <w:rFonts w:asciiTheme="minorHAnsi" w:hAnsiTheme="minorHAnsi" w:cstheme="minorHAnsi"/>
          <w:color w:val="59595B"/>
          <w:sz w:val="22"/>
          <w:szCs w:val="22"/>
          <w:lang w:val="en-GB"/>
        </w:rPr>
        <w:t xml:space="preserve">On 21 October 2020, the </w:t>
      </w:r>
      <w:r w:rsidR="00280CDA" w:rsidRPr="00426BBC">
        <w:rPr>
          <w:rFonts w:asciiTheme="minorHAnsi" w:hAnsiTheme="minorHAnsi" w:cstheme="minorHAnsi"/>
          <w:color w:val="59595B"/>
          <w:sz w:val="22"/>
          <w:szCs w:val="22"/>
          <w:lang w:val="en-GB"/>
        </w:rPr>
        <w:t>C</w:t>
      </w:r>
      <w:r w:rsidRPr="00426BBC">
        <w:rPr>
          <w:rFonts w:asciiTheme="minorHAnsi" w:hAnsiTheme="minorHAnsi" w:cstheme="minorHAnsi"/>
          <w:color w:val="59595B"/>
          <w:sz w:val="22"/>
          <w:szCs w:val="22"/>
          <w:lang w:val="en-GB"/>
        </w:rPr>
        <w:t>ompany announced that the European Commission has granted orphan drug designation for leniolisib for the treatment of activated phosphoinositide 3-kinase delta syndrome, based on a positive opinion from the Committee for Orphan Medicinal Products of the European Medicine Agency. The European Commission orphan drug designation provides certain regulatory procedural and financial incentives including, but not limited to, product market exclusivity for ten years in the EU following regulatory approval</w:t>
      </w:r>
      <w:r w:rsidR="00C00C35" w:rsidRPr="00426BBC">
        <w:rPr>
          <w:rFonts w:asciiTheme="minorHAnsi" w:hAnsiTheme="minorHAnsi" w:cstheme="minorHAnsi"/>
          <w:color w:val="59595B"/>
          <w:sz w:val="22"/>
          <w:szCs w:val="22"/>
          <w:lang w:val="en-GB"/>
        </w:rPr>
        <w:t>.</w:t>
      </w:r>
    </w:p>
    <w:p w14:paraId="43E9734B" w14:textId="77777777" w:rsidR="00BC489A" w:rsidRPr="00BC489A" w:rsidRDefault="00BC489A" w:rsidP="00BC489A">
      <w:pPr>
        <w:pStyle w:val="ListParagraph"/>
        <w:spacing w:after="120"/>
        <w:rPr>
          <w:rFonts w:asciiTheme="minorHAnsi" w:hAnsiTheme="minorHAnsi" w:cstheme="minorHAnsi"/>
          <w:b/>
          <w:lang w:val="en-GB"/>
        </w:rPr>
      </w:pPr>
    </w:p>
    <w:p w14:paraId="2F37AA8A" w14:textId="7E0C9628" w:rsidR="00975796" w:rsidRPr="008C065C" w:rsidRDefault="002E1566" w:rsidP="00EF50DE">
      <w:pPr>
        <w:pStyle w:val="ListParagraph"/>
        <w:numPr>
          <w:ilvl w:val="0"/>
          <w:numId w:val="3"/>
        </w:numPr>
        <w:spacing w:after="120"/>
        <w:rPr>
          <w:rFonts w:asciiTheme="minorHAnsi" w:hAnsiTheme="minorHAnsi" w:cstheme="minorHAnsi"/>
          <w:b/>
          <w:lang w:val="en-GB"/>
        </w:rPr>
      </w:pPr>
      <w:r w:rsidRPr="00426BBC">
        <w:rPr>
          <w:rFonts w:asciiTheme="minorHAnsi" w:hAnsiTheme="minorHAnsi" w:cstheme="minorHAnsi"/>
          <w:color w:val="59595B"/>
          <w:sz w:val="22"/>
          <w:szCs w:val="22"/>
          <w:lang w:val="en-GB"/>
        </w:rPr>
        <w:lastRenderedPageBreak/>
        <w:t>On 29 October</w:t>
      </w:r>
      <w:r w:rsidR="007526C8" w:rsidRPr="00426BBC">
        <w:rPr>
          <w:rFonts w:asciiTheme="minorHAnsi" w:hAnsiTheme="minorHAnsi" w:cstheme="minorHAnsi"/>
          <w:color w:val="59595B"/>
          <w:sz w:val="22"/>
          <w:szCs w:val="22"/>
          <w:lang w:val="en-GB"/>
        </w:rPr>
        <w:t xml:space="preserve"> 2020,</w:t>
      </w:r>
      <w:r w:rsidRPr="00426BBC">
        <w:rPr>
          <w:rFonts w:asciiTheme="minorHAnsi" w:hAnsiTheme="minorHAnsi" w:cstheme="minorHAnsi"/>
          <w:color w:val="59595B"/>
          <w:sz w:val="22"/>
          <w:szCs w:val="22"/>
          <w:lang w:val="en-GB"/>
        </w:rPr>
        <w:t xml:space="preserve"> the </w:t>
      </w:r>
      <w:r w:rsidR="007526C8" w:rsidRPr="00426BBC">
        <w:rPr>
          <w:rFonts w:asciiTheme="minorHAnsi" w:hAnsiTheme="minorHAnsi" w:cstheme="minorHAnsi"/>
          <w:color w:val="59595B"/>
          <w:sz w:val="22"/>
          <w:szCs w:val="22"/>
          <w:lang w:val="en-GB"/>
        </w:rPr>
        <w:t>C</w:t>
      </w:r>
      <w:r w:rsidRPr="00426BBC">
        <w:rPr>
          <w:rFonts w:asciiTheme="minorHAnsi" w:hAnsiTheme="minorHAnsi" w:cstheme="minorHAnsi"/>
          <w:color w:val="59595B"/>
          <w:sz w:val="22"/>
          <w:szCs w:val="22"/>
          <w:lang w:val="en-GB"/>
        </w:rPr>
        <w:t xml:space="preserve">ompany announced </w:t>
      </w:r>
      <w:r w:rsidR="00AD05B9" w:rsidRPr="00426BBC">
        <w:rPr>
          <w:rFonts w:asciiTheme="minorHAnsi" w:hAnsiTheme="minorHAnsi" w:cstheme="minorHAnsi"/>
          <w:color w:val="59595B"/>
          <w:sz w:val="22"/>
          <w:szCs w:val="22"/>
          <w:lang w:val="en-GB"/>
        </w:rPr>
        <w:t>it</w:t>
      </w:r>
      <w:r w:rsidR="004C0C26" w:rsidRPr="00426BBC">
        <w:rPr>
          <w:rFonts w:asciiTheme="minorHAnsi" w:hAnsiTheme="minorHAnsi" w:cstheme="minorHAnsi"/>
          <w:color w:val="59595B"/>
          <w:sz w:val="22"/>
          <w:szCs w:val="22"/>
          <w:lang w:val="en-GB"/>
        </w:rPr>
        <w:t xml:space="preserve"> has </w:t>
      </w:r>
      <w:r w:rsidR="00E9120D" w:rsidRPr="00426BBC">
        <w:rPr>
          <w:rFonts w:asciiTheme="minorHAnsi" w:hAnsiTheme="minorHAnsi" w:cstheme="minorHAnsi"/>
          <w:color w:val="59595B"/>
          <w:sz w:val="22"/>
          <w:szCs w:val="22"/>
          <w:lang w:val="en-GB"/>
        </w:rPr>
        <w:t xml:space="preserve">initiated </w:t>
      </w:r>
      <w:r w:rsidR="00E47BBB" w:rsidRPr="00426BBC">
        <w:rPr>
          <w:rFonts w:asciiTheme="minorHAnsi" w:hAnsiTheme="minorHAnsi" w:cstheme="minorHAnsi"/>
          <w:color w:val="59595B"/>
          <w:sz w:val="22"/>
          <w:szCs w:val="22"/>
          <w:lang w:val="en-GB"/>
        </w:rPr>
        <w:t>the process</w:t>
      </w:r>
      <w:r w:rsidR="004C0C26" w:rsidRPr="00426BBC">
        <w:rPr>
          <w:rFonts w:asciiTheme="minorHAnsi" w:hAnsiTheme="minorHAnsi" w:cstheme="minorHAnsi"/>
          <w:color w:val="59595B"/>
          <w:sz w:val="22"/>
          <w:szCs w:val="22"/>
          <w:lang w:val="en-GB"/>
        </w:rPr>
        <w:t xml:space="preserve"> </w:t>
      </w:r>
      <w:r w:rsidR="00E47BBB" w:rsidRPr="00426BBC">
        <w:rPr>
          <w:rFonts w:asciiTheme="minorHAnsi" w:hAnsiTheme="minorHAnsi" w:cstheme="minorHAnsi"/>
          <w:color w:val="59595B"/>
          <w:sz w:val="22"/>
          <w:szCs w:val="22"/>
          <w:lang w:val="en-GB"/>
        </w:rPr>
        <w:t xml:space="preserve">for </w:t>
      </w:r>
      <w:r w:rsidR="004C0C26" w:rsidRPr="00E9120D">
        <w:rPr>
          <w:rFonts w:asciiTheme="minorHAnsi" w:hAnsiTheme="minorHAnsi" w:cstheme="minorHAnsi"/>
          <w:color w:val="59595B"/>
          <w:sz w:val="22"/>
          <w:szCs w:val="22"/>
          <w:lang w:val="en-GB"/>
        </w:rPr>
        <w:t xml:space="preserve">a secondary listing in the US on </w:t>
      </w:r>
      <w:r w:rsidR="00AD05B9" w:rsidRPr="00E9120D">
        <w:rPr>
          <w:rFonts w:asciiTheme="minorHAnsi" w:hAnsiTheme="minorHAnsi" w:cstheme="minorHAnsi"/>
          <w:color w:val="59595B"/>
          <w:sz w:val="22"/>
          <w:szCs w:val="22"/>
          <w:lang w:val="en-GB"/>
        </w:rPr>
        <w:t xml:space="preserve">Nasdaq </w:t>
      </w:r>
      <w:r w:rsidR="00280CDA" w:rsidRPr="00E9120D">
        <w:rPr>
          <w:rFonts w:asciiTheme="minorHAnsi" w:hAnsiTheme="minorHAnsi" w:cstheme="minorHAnsi"/>
          <w:color w:val="59595B"/>
          <w:sz w:val="22"/>
          <w:szCs w:val="22"/>
          <w:lang w:val="en-GB"/>
        </w:rPr>
        <w:t xml:space="preserve">via a </w:t>
      </w:r>
      <w:r w:rsidR="00D74B24" w:rsidRPr="00E9120D">
        <w:rPr>
          <w:rFonts w:asciiTheme="minorHAnsi" w:hAnsiTheme="minorHAnsi" w:cstheme="minorHAnsi"/>
          <w:color w:val="59595B"/>
          <w:sz w:val="22"/>
          <w:szCs w:val="22"/>
          <w:lang w:val="en-GB"/>
        </w:rPr>
        <w:t>Level 2 ADR programme</w:t>
      </w:r>
      <w:r w:rsidR="00FE3E2E" w:rsidRPr="00E008A5">
        <w:rPr>
          <w:rFonts w:asciiTheme="minorHAnsi" w:hAnsiTheme="minorHAnsi" w:cstheme="minorHAnsi"/>
          <w:color w:val="59595B"/>
          <w:sz w:val="22"/>
          <w:szCs w:val="22"/>
          <w:lang w:val="en-GB"/>
        </w:rPr>
        <w:t xml:space="preserve">, which does not include plans for </w:t>
      </w:r>
      <w:r w:rsidR="009A6E71" w:rsidRPr="00426BBC">
        <w:rPr>
          <w:rFonts w:asciiTheme="minorHAnsi" w:hAnsiTheme="minorHAnsi" w:cstheme="minorHAnsi"/>
          <w:color w:val="59595B"/>
          <w:sz w:val="22"/>
          <w:szCs w:val="22"/>
          <w:lang w:val="en-GB"/>
        </w:rPr>
        <w:t xml:space="preserve">any </w:t>
      </w:r>
      <w:r w:rsidR="00FE3E2E" w:rsidRPr="00426BBC">
        <w:rPr>
          <w:rFonts w:asciiTheme="minorHAnsi" w:hAnsiTheme="minorHAnsi" w:cstheme="minorHAnsi"/>
          <w:color w:val="59595B"/>
          <w:sz w:val="22"/>
          <w:szCs w:val="22"/>
          <w:lang w:val="en-GB"/>
        </w:rPr>
        <w:t>fundraising</w:t>
      </w:r>
      <w:r w:rsidR="004C0C26" w:rsidRPr="00426BBC">
        <w:rPr>
          <w:rFonts w:asciiTheme="minorHAnsi" w:hAnsiTheme="minorHAnsi" w:cstheme="minorHAnsi"/>
          <w:color w:val="59595B"/>
          <w:sz w:val="22"/>
          <w:szCs w:val="22"/>
          <w:lang w:val="en-GB"/>
        </w:rPr>
        <w:t>. The Company has not made any decisions regarding</w:t>
      </w:r>
      <w:r w:rsidR="00B24642" w:rsidRPr="00426BBC">
        <w:rPr>
          <w:rFonts w:asciiTheme="minorHAnsi" w:hAnsiTheme="minorHAnsi" w:cstheme="minorHAnsi"/>
          <w:color w:val="59595B"/>
          <w:sz w:val="22"/>
          <w:szCs w:val="22"/>
          <w:lang w:val="en-GB"/>
        </w:rPr>
        <w:t xml:space="preserve"> either</w:t>
      </w:r>
      <w:r w:rsidR="004C0C26" w:rsidRPr="00426BBC">
        <w:rPr>
          <w:rFonts w:asciiTheme="minorHAnsi" w:hAnsiTheme="minorHAnsi" w:cstheme="minorHAnsi"/>
          <w:color w:val="59595B"/>
          <w:sz w:val="22"/>
          <w:szCs w:val="22"/>
          <w:lang w:val="en-GB"/>
        </w:rPr>
        <w:t xml:space="preserve"> the timing or the terms of </w:t>
      </w:r>
      <w:r w:rsidR="00B24642" w:rsidRPr="00426BBC">
        <w:rPr>
          <w:rFonts w:asciiTheme="minorHAnsi" w:hAnsiTheme="minorHAnsi" w:cstheme="minorHAnsi"/>
          <w:color w:val="59595B"/>
          <w:sz w:val="22"/>
          <w:szCs w:val="22"/>
          <w:lang w:val="en-GB"/>
        </w:rPr>
        <w:t xml:space="preserve">the </w:t>
      </w:r>
      <w:r w:rsidR="00AD05B9" w:rsidRPr="00426BBC">
        <w:rPr>
          <w:rFonts w:asciiTheme="minorHAnsi" w:hAnsiTheme="minorHAnsi" w:cstheme="minorHAnsi"/>
          <w:color w:val="59595B"/>
          <w:sz w:val="22"/>
          <w:szCs w:val="22"/>
          <w:lang w:val="en-GB"/>
        </w:rPr>
        <w:t>Level 2 ADR programme</w:t>
      </w:r>
      <w:r w:rsidR="004C0C26" w:rsidRPr="00426BBC">
        <w:rPr>
          <w:rFonts w:asciiTheme="minorHAnsi" w:hAnsiTheme="minorHAnsi" w:cstheme="minorHAnsi"/>
          <w:color w:val="59595B"/>
          <w:sz w:val="22"/>
          <w:szCs w:val="22"/>
          <w:lang w:val="en-GB"/>
        </w:rPr>
        <w:t xml:space="preserve"> and there </w:t>
      </w:r>
      <w:r w:rsidR="008E69CF" w:rsidRPr="00426BBC">
        <w:rPr>
          <w:rFonts w:asciiTheme="minorHAnsi" w:hAnsiTheme="minorHAnsi" w:cstheme="minorHAnsi"/>
          <w:color w:val="59595B"/>
          <w:sz w:val="22"/>
          <w:szCs w:val="22"/>
          <w:lang w:val="en-GB"/>
        </w:rPr>
        <w:t>can be</w:t>
      </w:r>
      <w:r w:rsidR="004C0C26" w:rsidRPr="00426BBC">
        <w:rPr>
          <w:rFonts w:asciiTheme="minorHAnsi" w:hAnsiTheme="minorHAnsi" w:cstheme="minorHAnsi"/>
          <w:color w:val="59595B"/>
          <w:sz w:val="22"/>
          <w:szCs w:val="22"/>
          <w:lang w:val="en-GB"/>
        </w:rPr>
        <w:t xml:space="preserve"> no certainty that the </w:t>
      </w:r>
      <w:r w:rsidR="00AD05B9" w:rsidRPr="00426BBC">
        <w:rPr>
          <w:rFonts w:asciiTheme="minorHAnsi" w:hAnsiTheme="minorHAnsi" w:cstheme="minorHAnsi"/>
          <w:color w:val="59595B"/>
          <w:sz w:val="22"/>
          <w:szCs w:val="22"/>
          <w:lang w:val="en-GB"/>
        </w:rPr>
        <w:t xml:space="preserve">Nasdaq </w:t>
      </w:r>
      <w:r w:rsidR="004C0C26" w:rsidRPr="00426BBC">
        <w:rPr>
          <w:rFonts w:asciiTheme="minorHAnsi" w:hAnsiTheme="minorHAnsi" w:cstheme="minorHAnsi"/>
          <w:color w:val="59595B"/>
          <w:sz w:val="22"/>
          <w:szCs w:val="22"/>
          <w:lang w:val="en-GB"/>
        </w:rPr>
        <w:t xml:space="preserve">listing in the US will take place. </w:t>
      </w:r>
      <w:r w:rsidR="008E69CF" w:rsidRPr="00426BBC">
        <w:rPr>
          <w:rFonts w:asciiTheme="minorHAnsi" w:hAnsiTheme="minorHAnsi" w:cstheme="minorHAnsi"/>
          <w:color w:val="59595B"/>
          <w:sz w:val="22"/>
          <w:szCs w:val="22"/>
          <w:lang w:val="en-GB"/>
        </w:rPr>
        <w:t>A</w:t>
      </w:r>
      <w:r w:rsidR="00F75790" w:rsidRPr="00426BBC">
        <w:rPr>
          <w:rFonts w:asciiTheme="minorHAnsi" w:hAnsiTheme="minorHAnsi" w:cstheme="minorHAnsi"/>
          <w:color w:val="59595B"/>
          <w:sz w:val="22"/>
          <w:szCs w:val="22"/>
          <w:lang w:val="en-GB"/>
        </w:rPr>
        <w:t>n Extraordinary General Meeting of Shareholders will be</w:t>
      </w:r>
      <w:r w:rsidRPr="00426BBC">
        <w:rPr>
          <w:rFonts w:asciiTheme="minorHAnsi" w:hAnsiTheme="minorHAnsi" w:cstheme="minorHAnsi"/>
          <w:color w:val="59595B"/>
          <w:sz w:val="22"/>
          <w:szCs w:val="22"/>
          <w:lang w:val="en-GB"/>
        </w:rPr>
        <w:t xml:space="preserve"> held on 11 December 2020</w:t>
      </w:r>
      <w:r w:rsidR="008E69CF" w:rsidRPr="00426BBC">
        <w:rPr>
          <w:rFonts w:asciiTheme="minorHAnsi" w:hAnsiTheme="minorHAnsi" w:cstheme="minorHAnsi"/>
          <w:color w:val="59595B"/>
          <w:sz w:val="22"/>
          <w:szCs w:val="22"/>
          <w:lang w:val="en-GB"/>
        </w:rPr>
        <w:t xml:space="preserve"> for </w:t>
      </w:r>
      <w:r w:rsidR="006D75EC" w:rsidRPr="00426BBC">
        <w:rPr>
          <w:rFonts w:asciiTheme="minorHAnsi" w:hAnsiTheme="minorHAnsi" w:cstheme="minorHAnsi"/>
          <w:color w:val="59595B"/>
          <w:sz w:val="22"/>
          <w:szCs w:val="22"/>
          <w:lang w:val="en-GB"/>
        </w:rPr>
        <w:t xml:space="preserve">a proposal to amend </w:t>
      </w:r>
      <w:r w:rsidR="008E69CF" w:rsidRPr="00426BBC">
        <w:rPr>
          <w:rFonts w:asciiTheme="minorHAnsi" w:hAnsiTheme="minorHAnsi" w:cstheme="minorHAnsi"/>
          <w:color w:val="59595B"/>
          <w:sz w:val="22"/>
          <w:szCs w:val="22"/>
          <w:lang w:val="en-GB"/>
        </w:rPr>
        <w:t>the Company’s</w:t>
      </w:r>
      <w:r w:rsidR="006D75EC" w:rsidRPr="00426BBC">
        <w:rPr>
          <w:rFonts w:asciiTheme="minorHAnsi" w:hAnsiTheme="minorHAnsi" w:cstheme="minorHAnsi"/>
          <w:color w:val="59595B"/>
          <w:sz w:val="22"/>
          <w:szCs w:val="22"/>
          <w:lang w:val="en-GB"/>
        </w:rPr>
        <w:t xml:space="preserve"> Articles of Association to i</w:t>
      </w:r>
      <w:r w:rsidR="00BF6744" w:rsidRPr="00426BBC">
        <w:rPr>
          <w:rFonts w:asciiTheme="minorHAnsi" w:hAnsiTheme="minorHAnsi" w:cstheme="minorHAnsi"/>
          <w:color w:val="59595B"/>
          <w:sz w:val="22"/>
          <w:szCs w:val="22"/>
          <w:lang w:val="en-GB"/>
        </w:rPr>
        <w:t xml:space="preserve">mplement a one-tier </w:t>
      </w:r>
      <w:r w:rsidR="007526C8" w:rsidRPr="00426BBC">
        <w:rPr>
          <w:rFonts w:asciiTheme="minorHAnsi" w:hAnsiTheme="minorHAnsi" w:cstheme="minorHAnsi"/>
          <w:color w:val="59595B"/>
          <w:sz w:val="22"/>
          <w:szCs w:val="22"/>
          <w:lang w:val="en-GB"/>
        </w:rPr>
        <w:t>B</w:t>
      </w:r>
      <w:r w:rsidR="00BF6744" w:rsidRPr="00426BBC">
        <w:rPr>
          <w:rFonts w:asciiTheme="minorHAnsi" w:hAnsiTheme="minorHAnsi" w:cstheme="minorHAnsi"/>
          <w:color w:val="59595B"/>
          <w:sz w:val="22"/>
          <w:szCs w:val="22"/>
          <w:lang w:val="en-GB"/>
        </w:rPr>
        <w:t xml:space="preserve">oard structure in anticipation of </w:t>
      </w:r>
      <w:r w:rsidR="00B67826" w:rsidRPr="00426BBC">
        <w:rPr>
          <w:rFonts w:asciiTheme="minorHAnsi" w:hAnsiTheme="minorHAnsi" w:cstheme="minorHAnsi"/>
          <w:color w:val="59595B"/>
          <w:sz w:val="22"/>
          <w:szCs w:val="22"/>
          <w:lang w:val="en-GB"/>
        </w:rPr>
        <w:t xml:space="preserve">the launch of </w:t>
      </w:r>
      <w:r w:rsidR="00AD05B9" w:rsidRPr="00426BBC">
        <w:rPr>
          <w:rFonts w:asciiTheme="minorHAnsi" w:hAnsiTheme="minorHAnsi" w:cstheme="minorHAnsi"/>
          <w:color w:val="59595B"/>
          <w:sz w:val="22"/>
          <w:szCs w:val="22"/>
          <w:lang w:val="en-GB"/>
        </w:rPr>
        <w:t>the Level 2</w:t>
      </w:r>
      <w:r w:rsidR="00BF6744" w:rsidRPr="00426BBC">
        <w:rPr>
          <w:rFonts w:asciiTheme="minorHAnsi" w:hAnsiTheme="minorHAnsi" w:cstheme="minorHAnsi"/>
          <w:color w:val="59595B"/>
          <w:sz w:val="22"/>
          <w:szCs w:val="22"/>
          <w:lang w:val="en-GB"/>
        </w:rPr>
        <w:t xml:space="preserve"> A</w:t>
      </w:r>
      <w:r w:rsidR="00B67826" w:rsidRPr="00426BBC">
        <w:rPr>
          <w:rFonts w:asciiTheme="minorHAnsi" w:hAnsiTheme="minorHAnsi" w:cstheme="minorHAnsi"/>
          <w:color w:val="59595B"/>
          <w:sz w:val="22"/>
          <w:szCs w:val="22"/>
          <w:lang w:val="en-GB"/>
        </w:rPr>
        <w:t>DR</w:t>
      </w:r>
      <w:r w:rsidR="00BF6744" w:rsidRPr="00426BBC">
        <w:rPr>
          <w:rFonts w:asciiTheme="minorHAnsi" w:hAnsiTheme="minorHAnsi" w:cstheme="minorHAnsi"/>
          <w:color w:val="59595B"/>
          <w:sz w:val="22"/>
          <w:szCs w:val="22"/>
          <w:lang w:val="en-GB"/>
        </w:rPr>
        <w:t xml:space="preserve"> Programme and </w:t>
      </w:r>
      <w:r w:rsidR="00B67826" w:rsidRPr="00426BBC">
        <w:rPr>
          <w:rFonts w:asciiTheme="minorHAnsi" w:hAnsiTheme="minorHAnsi" w:cstheme="minorHAnsi"/>
          <w:color w:val="59595B"/>
          <w:sz w:val="22"/>
          <w:szCs w:val="22"/>
          <w:lang w:val="en-GB"/>
        </w:rPr>
        <w:t>the associated</w:t>
      </w:r>
      <w:r w:rsidR="009D5D0F" w:rsidRPr="00426BBC">
        <w:rPr>
          <w:rFonts w:asciiTheme="minorHAnsi" w:hAnsiTheme="minorHAnsi" w:cstheme="minorHAnsi"/>
          <w:color w:val="59595B"/>
          <w:sz w:val="22"/>
          <w:szCs w:val="22"/>
          <w:lang w:val="en-GB"/>
        </w:rPr>
        <w:t xml:space="preserve"> </w:t>
      </w:r>
      <w:r w:rsidR="00AD05B9" w:rsidRPr="00426BBC">
        <w:rPr>
          <w:rFonts w:asciiTheme="minorHAnsi" w:hAnsiTheme="minorHAnsi" w:cstheme="minorHAnsi"/>
          <w:color w:val="59595B"/>
          <w:sz w:val="22"/>
          <w:szCs w:val="22"/>
          <w:lang w:val="en-GB"/>
        </w:rPr>
        <w:t xml:space="preserve">Nasdaq </w:t>
      </w:r>
      <w:r w:rsidR="00BF6744" w:rsidRPr="00426BBC">
        <w:rPr>
          <w:rFonts w:asciiTheme="minorHAnsi" w:hAnsiTheme="minorHAnsi" w:cstheme="minorHAnsi"/>
          <w:color w:val="59595B"/>
          <w:sz w:val="22"/>
          <w:szCs w:val="22"/>
          <w:lang w:val="en-GB"/>
        </w:rPr>
        <w:t>listing.</w:t>
      </w:r>
      <w:r w:rsidR="00F657BD" w:rsidRPr="00426BBC">
        <w:rPr>
          <w:rFonts w:asciiTheme="minorHAnsi" w:hAnsiTheme="minorHAnsi" w:cstheme="minorHAnsi"/>
          <w:color w:val="59595B"/>
          <w:sz w:val="22"/>
          <w:szCs w:val="22"/>
          <w:lang w:val="en-GB"/>
        </w:rPr>
        <w:t xml:space="preserve"> </w:t>
      </w:r>
      <w:r w:rsidR="008E69CF" w:rsidRPr="00426BBC">
        <w:rPr>
          <w:rFonts w:asciiTheme="minorHAnsi" w:hAnsiTheme="minorHAnsi" w:cstheme="minorHAnsi"/>
          <w:color w:val="59595B"/>
          <w:sz w:val="22"/>
          <w:szCs w:val="22"/>
          <w:lang w:val="en-GB"/>
        </w:rPr>
        <w:t>(</w:t>
      </w:r>
      <w:r w:rsidR="001678EB" w:rsidRPr="00426BBC">
        <w:rPr>
          <w:rFonts w:asciiTheme="minorHAnsi" w:hAnsiTheme="minorHAnsi" w:cstheme="minorHAnsi"/>
          <w:color w:val="59595B"/>
          <w:sz w:val="22"/>
          <w:szCs w:val="22"/>
          <w:lang w:val="en-GB"/>
        </w:rPr>
        <w:t xml:space="preserve">Please see separate announcement </w:t>
      </w:r>
      <w:r w:rsidR="008E69CF" w:rsidRPr="00426BBC">
        <w:rPr>
          <w:rFonts w:asciiTheme="minorHAnsi" w:hAnsiTheme="minorHAnsi" w:cstheme="minorHAnsi"/>
          <w:color w:val="59595B"/>
          <w:sz w:val="22"/>
          <w:szCs w:val="22"/>
          <w:lang w:val="en-GB"/>
        </w:rPr>
        <w:t>today for further detail</w:t>
      </w:r>
      <w:r w:rsidR="00B24642" w:rsidRPr="00426BBC">
        <w:rPr>
          <w:rFonts w:asciiTheme="minorHAnsi" w:hAnsiTheme="minorHAnsi" w:cstheme="minorHAnsi"/>
          <w:color w:val="59595B"/>
          <w:sz w:val="22"/>
          <w:szCs w:val="22"/>
          <w:lang w:val="en-GB"/>
        </w:rPr>
        <w:t>s</w:t>
      </w:r>
      <w:r w:rsidR="00280CDA" w:rsidRPr="00426BBC">
        <w:rPr>
          <w:rFonts w:asciiTheme="minorHAnsi" w:hAnsiTheme="minorHAnsi" w:cstheme="minorHAnsi"/>
          <w:color w:val="59595B"/>
          <w:sz w:val="22"/>
          <w:szCs w:val="22"/>
          <w:lang w:val="en-GB"/>
        </w:rPr>
        <w:t xml:space="preserve"> regarding the EGM</w:t>
      </w:r>
      <w:r w:rsidR="008E69CF" w:rsidRPr="00426BBC">
        <w:rPr>
          <w:rFonts w:asciiTheme="minorHAnsi" w:hAnsiTheme="minorHAnsi" w:cstheme="minorHAnsi"/>
          <w:color w:val="59595B"/>
          <w:sz w:val="22"/>
          <w:szCs w:val="22"/>
          <w:lang w:val="en-GB"/>
        </w:rPr>
        <w:t>)</w:t>
      </w:r>
      <w:r w:rsidR="00C00C35" w:rsidRPr="00426BBC">
        <w:rPr>
          <w:rFonts w:asciiTheme="minorHAnsi" w:hAnsiTheme="minorHAnsi" w:cstheme="minorHAnsi"/>
          <w:color w:val="59595B"/>
          <w:sz w:val="22"/>
          <w:szCs w:val="22"/>
          <w:lang w:val="en-GB"/>
        </w:rPr>
        <w:t>.</w:t>
      </w:r>
      <w:r w:rsidR="00975796" w:rsidRPr="00426BBC">
        <w:rPr>
          <w:rFonts w:asciiTheme="minorHAnsi" w:hAnsiTheme="minorHAnsi" w:cstheme="minorHAnsi"/>
          <w:color w:val="59595B"/>
          <w:sz w:val="22"/>
          <w:szCs w:val="22"/>
          <w:lang w:val="en-GB"/>
        </w:rPr>
        <w:t xml:space="preserve"> </w:t>
      </w:r>
    </w:p>
    <w:p w14:paraId="63741F4C" w14:textId="46328BD8" w:rsidR="008C065C" w:rsidRPr="00764AD8" w:rsidRDefault="008C065C" w:rsidP="00EF50DE">
      <w:pPr>
        <w:pStyle w:val="ListParagraph"/>
        <w:numPr>
          <w:ilvl w:val="0"/>
          <w:numId w:val="3"/>
        </w:numPr>
        <w:spacing w:after="120"/>
        <w:rPr>
          <w:rFonts w:asciiTheme="minorHAnsi" w:hAnsiTheme="minorHAnsi" w:cstheme="minorHAnsi"/>
          <w:color w:val="59595B"/>
          <w:sz w:val="22"/>
          <w:szCs w:val="22"/>
          <w:lang w:val="en-GB"/>
        </w:rPr>
      </w:pPr>
      <w:r w:rsidRPr="00764AD8">
        <w:rPr>
          <w:rFonts w:asciiTheme="minorHAnsi" w:hAnsiTheme="minorHAnsi" w:cstheme="minorHAnsi"/>
          <w:color w:val="59595B"/>
          <w:sz w:val="22"/>
          <w:szCs w:val="22"/>
          <w:lang w:val="en-GB"/>
        </w:rPr>
        <w:t>The Nasdaq listing process does not include any plans for approvals of additional fund raising.</w:t>
      </w:r>
    </w:p>
    <w:p w14:paraId="56ED6A28" w14:textId="7D43EAF6" w:rsidR="00F75790" w:rsidRPr="00426BBC" w:rsidRDefault="008E69CF" w:rsidP="00EF50DE">
      <w:pPr>
        <w:pStyle w:val="ListParagraph"/>
        <w:numPr>
          <w:ilvl w:val="0"/>
          <w:numId w:val="3"/>
        </w:numPr>
        <w:spacing w:after="120"/>
        <w:rPr>
          <w:rFonts w:asciiTheme="minorHAnsi" w:hAnsiTheme="minorHAnsi" w:cstheme="minorHAnsi"/>
          <w:b/>
          <w:lang w:val="en-GB"/>
        </w:rPr>
      </w:pPr>
      <w:r w:rsidRPr="00426BBC">
        <w:rPr>
          <w:rFonts w:asciiTheme="minorHAnsi" w:hAnsiTheme="minorHAnsi" w:cstheme="minorHAnsi"/>
          <w:color w:val="59595B"/>
          <w:sz w:val="22"/>
          <w:szCs w:val="22"/>
          <w:lang w:val="en-GB"/>
        </w:rPr>
        <w:t>Also announced today, with</w:t>
      </w:r>
      <w:r w:rsidR="00775BE1" w:rsidRPr="00426BBC">
        <w:rPr>
          <w:rFonts w:asciiTheme="minorHAnsi" w:hAnsiTheme="minorHAnsi" w:cstheme="minorHAnsi"/>
          <w:color w:val="59595B"/>
          <w:sz w:val="22"/>
          <w:szCs w:val="22"/>
          <w:lang w:val="en-GB"/>
        </w:rPr>
        <w:t xml:space="preserve"> the US dollar </w:t>
      </w:r>
      <w:r w:rsidRPr="00426BBC">
        <w:rPr>
          <w:rFonts w:asciiTheme="minorHAnsi" w:hAnsiTheme="minorHAnsi" w:cstheme="minorHAnsi"/>
          <w:color w:val="59595B"/>
          <w:sz w:val="22"/>
          <w:szCs w:val="22"/>
          <w:lang w:val="en-GB"/>
        </w:rPr>
        <w:t>being</w:t>
      </w:r>
      <w:r w:rsidR="00775BE1" w:rsidRPr="00426BBC">
        <w:rPr>
          <w:rFonts w:asciiTheme="minorHAnsi" w:hAnsiTheme="minorHAnsi" w:cstheme="minorHAnsi"/>
          <w:color w:val="59595B"/>
          <w:sz w:val="22"/>
          <w:szCs w:val="22"/>
          <w:lang w:val="en-GB"/>
        </w:rPr>
        <w:t xml:space="preserve"> the dominant currency </w:t>
      </w:r>
      <w:r w:rsidR="00D17C7A" w:rsidRPr="00426BBC">
        <w:rPr>
          <w:rFonts w:asciiTheme="minorHAnsi" w:hAnsiTheme="minorHAnsi" w:cstheme="minorHAnsi"/>
          <w:color w:val="59595B"/>
          <w:sz w:val="22"/>
          <w:szCs w:val="22"/>
          <w:lang w:val="en-GB"/>
        </w:rPr>
        <w:t xml:space="preserve">as </w:t>
      </w:r>
      <w:r w:rsidRPr="00426BBC">
        <w:rPr>
          <w:rFonts w:asciiTheme="minorHAnsi" w:hAnsiTheme="minorHAnsi" w:cstheme="minorHAnsi"/>
          <w:color w:val="59595B"/>
          <w:sz w:val="22"/>
          <w:szCs w:val="22"/>
          <w:lang w:val="en-GB"/>
        </w:rPr>
        <w:t xml:space="preserve">a </w:t>
      </w:r>
      <w:r w:rsidR="00D17C7A" w:rsidRPr="00426BBC">
        <w:rPr>
          <w:rFonts w:asciiTheme="minorHAnsi" w:hAnsiTheme="minorHAnsi" w:cstheme="minorHAnsi"/>
          <w:color w:val="59595B"/>
          <w:sz w:val="22"/>
          <w:szCs w:val="22"/>
          <w:lang w:val="en-GB"/>
        </w:rPr>
        <w:t xml:space="preserve">result of continuing positive cashflows in US </w:t>
      </w:r>
      <w:r w:rsidR="004764F9" w:rsidRPr="00426BBC">
        <w:rPr>
          <w:rFonts w:asciiTheme="minorHAnsi" w:hAnsiTheme="minorHAnsi" w:cstheme="minorHAnsi"/>
          <w:color w:val="59595B"/>
          <w:sz w:val="22"/>
          <w:szCs w:val="22"/>
          <w:lang w:val="en-GB"/>
        </w:rPr>
        <w:t>d</w:t>
      </w:r>
      <w:r w:rsidR="00D17C7A" w:rsidRPr="00426BBC">
        <w:rPr>
          <w:rFonts w:asciiTheme="minorHAnsi" w:hAnsiTheme="minorHAnsi" w:cstheme="minorHAnsi"/>
          <w:color w:val="59595B"/>
          <w:sz w:val="22"/>
          <w:szCs w:val="22"/>
          <w:lang w:val="en-GB"/>
        </w:rPr>
        <w:t xml:space="preserve">ollars and investments in </w:t>
      </w:r>
      <w:r w:rsidR="001B6C7E" w:rsidRPr="00426BBC">
        <w:rPr>
          <w:rFonts w:asciiTheme="minorHAnsi" w:hAnsiTheme="minorHAnsi" w:cstheme="minorHAnsi"/>
          <w:color w:val="59595B"/>
          <w:sz w:val="22"/>
          <w:szCs w:val="22"/>
          <w:lang w:val="en-GB"/>
        </w:rPr>
        <w:t xml:space="preserve">mainly </w:t>
      </w:r>
      <w:r w:rsidR="004764F9" w:rsidRPr="00426BBC">
        <w:rPr>
          <w:rFonts w:asciiTheme="minorHAnsi" w:hAnsiTheme="minorHAnsi" w:cstheme="minorHAnsi"/>
          <w:color w:val="59595B"/>
          <w:sz w:val="22"/>
          <w:szCs w:val="22"/>
          <w:lang w:val="en-GB"/>
        </w:rPr>
        <w:t>d</w:t>
      </w:r>
      <w:r w:rsidR="001B6C7E" w:rsidRPr="00426BBC">
        <w:rPr>
          <w:rFonts w:asciiTheme="minorHAnsi" w:hAnsiTheme="minorHAnsi" w:cstheme="minorHAnsi"/>
          <w:color w:val="59595B"/>
          <w:sz w:val="22"/>
          <w:szCs w:val="22"/>
          <w:lang w:val="en-GB"/>
        </w:rPr>
        <w:t xml:space="preserve">ollar denominated </w:t>
      </w:r>
      <w:r w:rsidR="00D17C7A" w:rsidRPr="00426BBC">
        <w:rPr>
          <w:rFonts w:asciiTheme="minorHAnsi" w:hAnsiTheme="minorHAnsi" w:cstheme="minorHAnsi"/>
          <w:color w:val="59595B"/>
          <w:sz w:val="22"/>
          <w:szCs w:val="22"/>
          <w:lang w:val="en-GB"/>
        </w:rPr>
        <w:t>US government securities</w:t>
      </w:r>
      <w:r w:rsidR="001B6C7E" w:rsidRPr="00426BBC">
        <w:rPr>
          <w:rFonts w:asciiTheme="minorHAnsi" w:hAnsiTheme="minorHAnsi" w:cstheme="minorHAnsi"/>
          <w:color w:val="59595B"/>
          <w:sz w:val="22"/>
          <w:szCs w:val="22"/>
          <w:lang w:val="en-GB"/>
        </w:rPr>
        <w:t>,</w:t>
      </w:r>
      <w:r w:rsidR="00F657BD" w:rsidRPr="00426BBC">
        <w:rPr>
          <w:rFonts w:asciiTheme="minorHAnsi" w:hAnsiTheme="minorHAnsi" w:cstheme="minorHAnsi"/>
          <w:color w:val="59595B"/>
          <w:sz w:val="22"/>
          <w:szCs w:val="22"/>
          <w:lang w:val="en-GB"/>
        </w:rPr>
        <w:t xml:space="preserve"> the Company </w:t>
      </w:r>
      <w:r w:rsidR="00483F7C">
        <w:rPr>
          <w:rFonts w:asciiTheme="minorHAnsi" w:hAnsiTheme="minorHAnsi" w:cstheme="minorHAnsi"/>
          <w:color w:val="59595B"/>
          <w:sz w:val="22"/>
          <w:szCs w:val="22"/>
          <w:lang w:val="en-GB"/>
        </w:rPr>
        <w:t xml:space="preserve">will </w:t>
      </w:r>
      <w:r w:rsidR="006F0EFA">
        <w:rPr>
          <w:rFonts w:asciiTheme="minorHAnsi" w:hAnsiTheme="minorHAnsi" w:cstheme="minorHAnsi"/>
          <w:color w:val="59595B"/>
          <w:sz w:val="22"/>
          <w:szCs w:val="22"/>
          <w:lang w:val="en-GB"/>
        </w:rPr>
        <w:t xml:space="preserve">change its reporting currency </w:t>
      </w:r>
      <w:r w:rsidR="0012181F">
        <w:rPr>
          <w:rFonts w:asciiTheme="minorHAnsi" w:hAnsiTheme="minorHAnsi" w:cstheme="minorHAnsi"/>
          <w:color w:val="59595B"/>
          <w:sz w:val="22"/>
          <w:szCs w:val="22"/>
          <w:lang w:val="en-GB"/>
        </w:rPr>
        <w:t xml:space="preserve">from Euro </w:t>
      </w:r>
      <w:r w:rsidR="006F0EFA">
        <w:rPr>
          <w:rFonts w:asciiTheme="minorHAnsi" w:hAnsiTheme="minorHAnsi" w:cstheme="minorHAnsi"/>
          <w:color w:val="59595B"/>
          <w:sz w:val="22"/>
          <w:szCs w:val="22"/>
          <w:lang w:val="en-GB"/>
        </w:rPr>
        <w:t xml:space="preserve">to </w:t>
      </w:r>
      <w:r w:rsidR="00F657BD" w:rsidRPr="00426BBC">
        <w:rPr>
          <w:rFonts w:asciiTheme="minorHAnsi" w:hAnsiTheme="minorHAnsi" w:cstheme="minorHAnsi"/>
          <w:color w:val="59595B"/>
          <w:sz w:val="22"/>
          <w:szCs w:val="22"/>
          <w:lang w:val="en-GB"/>
        </w:rPr>
        <w:t>US do</w:t>
      </w:r>
      <w:r w:rsidR="001247F4" w:rsidRPr="00426BBC">
        <w:rPr>
          <w:rFonts w:asciiTheme="minorHAnsi" w:hAnsiTheme="minorHAnsi" w:cstheme="minorHAnsi"/>
          <w:color w:val="59595B"/>
          <w:sz w:val="22"/>
          <w:szCs w:val="22"/>
          <w:lang w:val="en-GB"/>
        </w:rPr>
        <w:t>llar fro</w:t>
      </w:r>
      <w:r w:rsidR="001B6C7E" w:rsidRPr="00426BBC">
        <w:rPr>
          <w:rFonts w:asciiTheme="minorHAnsi" w:hAnsiTheme="minorHAnsi" w:cstheme="minorHAnsi"/>
          <w:color w:val="59595B"/>
          <w:sz w:val="22"/>
          <w:szCs w:val="22"/>
          <w:lang w:val="en-GB"/>
        </w:rPr>
        <w:t>m</w:t>
      </w:r>
      <w:r w:rsidR="001247F4" w:rsidRPr="00426BBC">
        <w:rPr>
          <w:rFonts w:asciiTheme="minorHAnsi" w:hAnsiTheme="minorHAnsi" w:cstheme="minorHAnsi"/>
          <w:color w:val="59595B"/>
          <w:sz w:val="22"/>
          <w:szCs w:val="22"/>
          <w:lang w:val="en-GB"/>
        </w:rPr>
        <w:t xml:space="preserve"> 1 January 2021 onwards.</w:t>
      </w:r>
    </w:p>
    <w:p w14:paraId="50AAF472" w14:textId="77777777" w:rsidR="007526C8" w:rsidRPr="00426BBC" w:rsidRDefault="007526C8" w:rsidP="00EA6368">
      <w:pPr>
        <w:rPr>
          <w:rFonts w:asciiTheme="minorHAnsi" w:hAnsiTheme="minorHAnsi" w:cstheme="minorHAnsi"/>
          <w:b/>
          <w:lang w:val="en-GB"/>
        </w:rPr>
      </w:pPr>
    </w:p>
    <w:p w14:paraId="4EDC2D8A" w14:textId="7EB3BEC8" w:rsidR="006446EE" w:rsidRPr="00426BBC" w:rsidRDefault="006446EE" w:rsidP="00EA6368">
      <w:pPr>
        <w:rPr>
          <w:rFonts w:asciiTheme="minorHAnsi" w:hAnsiTheme="minorHAnsi" w:cstheme="minorHAnsi"/>
          <w:b/>
          <w:lang w:val="en-GB"/>
        </w:rPr>
      </w:pPr>
      <w:r w:rsidRPr="00426BBC">
        <w:rPr>
          <w:rFonts w:asciiTheme="minorHAnsi" w:hAnsiTheme="minorHAnsi" w:cstheme="minorHAnsi"/>
          <w:b/>
          <w:lang w:val="en-GB"/>
        </w:rPr>
        <w:t>COVID-19 update</w:t>
      </w:r>
    </w:p>
    <w:p w14:paraId="6FCBDAC0" w14:textId="77777777" w:rsidR="006446EE" w:rsidRPr="00426BBC" w:rsidRDefault="006446EE" w:rsidP="00EA6368">
      <w:p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Pharming continues to comply with international guidance and requirements across its operations to prioritise the health and safety of its employees during the COVID-19 pandemic. </w:t>
      </w:r>
    </w:p>
    <w:p w14:paraId="5EB79588" w14:textId="77777777" w:rsidR="004764F9" w:rsidRPr="00426BBC" w:rsidRDefault="004764F9" w:rsidP="00EA6368">
      <w:pPr>
        <w:rPr>
          <w:rFonts w:asciiTheme="minorHAnsi" w:hAnsiTheme="minorHAnsi" w:cstheme="minorHAnsi"/>
          <w:color w:val="59595B"/>
          <w:sz w:val="22"/>
          <w:szCs w:val="22"/>
          <w:lang w:val="en-GB"/>
        </w:rPr>
      </w:pPr>
    </w:p>
    <w:p w14:paraId="7A93ECDC" w14:textId="2365FCE2" w:rsidR="006446EE" w:rsidRPr="00426BBC" w:rsidRDefault="006446EE" w:rsidP="00EA6368">
      <w:p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An update on the impact of COVID-19 on the operations of the business is summarised below</w:t>
      </w:r>
      <w:r w:rsidR="00B24642" w:rsidRPr="00426BBC">
        <w:rPr>
          <w:rFonts w:asciiTheme="minorHAnsi" w:hAnsiTheme="minorHAnsi" w:cstheme="minorHAnsi"/>
          <w:color w:val="59595B"/>
          <w:sz w:val="22"/>
          <w:szCs w:val="22"/>
          <w:lang w:val="en-GB"/>
        </w:rPr>
        <w:t>:</w:t>
      </w:r>
    </w:p>
    <w:p w14:paraId="17F2B088" w14:textId="1D851C5E" w:rsidR="006446EE" w:rsidRPr="00426BBC" w:rsidRDefault="006446EE" w:rsidP="00EF50DE">
      <w:pPr>
        <w:pStyle w:val="ListParagraph"/>
        <w:numPr>
          <w:ilvl w:val="0"/>
          <w:numId w:val="3"/>
        </w:num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No impact on the upscaling or continued production of RUCONEST®</w:t>
      </w:r>
    </w:p>
    <w:p w14:paraId="546B0794" w14:textId="169E0224" w:rsidR="006446EE" w:rsidRPr="00426BBC" w:rsidRDefault="006446EE" w:rsidP="00EF50DE">
      <w:pPr>
        <w:pStyle w:val="ListParagraph"/>
        <w:numPr>
          <w:ilvl w:val="0"/>
          <w:numId w:val="3"/>
        </w:num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No impact on the availability or distribution of RUCONEST® to HAE patients</w:t>
      </w:r>
    </w:p>
    <w:p w14:paraId="290E9F1F" w14:textId="6808D7C4" w:rsidR="006446EE" w:rsidRPr="00426BBC" w:rsidRDefault="006446EE" w:rsidP="00EF50DE">
      <w:pPr>
        <w:pStyle w:val="ListParagraph"/>
        <w:numPr>
          <w:ilvl w:val="0"/>
          <w:numId w:val="3"/>
        </w:num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The recruitment of new patients in ongoing clinical trials has been temporarily halted; patients already incorporated into ongoing clinical trials </w:t>
      </w:r>
      <w:r w:rsidR="008E69CF" w:rsidRPr="00426BBC">
        <w:rPr>
          <w:rFonts w:asciiTheme="minorHAnsi" w:hAnsiTheme="minorHAnsi" w:cstheme="minorHAnsi"/>
          <w:color w:val="59595B"/>
          <w:sz w:val="22"/>
          <w:szCs w:val="22"/>
          <w:lang w:val="en-GB"/>
        </w:rPr>
        <w:t xml:space="preserve">are </w:t>
      </w:r>
      <w:r w:rsidRPr="00426BBC">
        <w:rPr>
          <w:rFonts w:asciiTheme="minorHAnsi" w:hAnsiTheme="minorHAnsi" w:cstheme="minorHAnsi"/>
          <w:color w:val="59595B"/>
          <w:sz w:val="22"/>
          <w:szCs w:val="22"/>
          <w:lang w:val="en-GB"/>
        </w:rPr>
        <w:t>continu</w:t>
      </w:r>
      <w:r w:rsidR="008E69CF" w:rsidRPr="00426BBC">
        <w:rPr>
          <w:rFonts w:asciiTheme="minorHAnsi" w:hAnsiTheme="minorHAnsi" w:cstheme="minorHAnsi"/>
          <w:color w:val="59595B"/>
          <w:sz w:val="22"/>
          <w:szCs w:val="22"/>
          <w:lang w:val="en-GB"/>
        </w:rPr>
        <w:t>ing</w:t>
      </w:r>
      <w:r w:rsidRPr="00426BBC">
        <w:rPr>
          <w:rFonts w:asciiTheme="minorHAnsi" w:hAnsiTheme="minorHAnsi" w:cstheme="minorHAnsi"/>
          <w:color w:val="59595B"/>
          <w:sz w:val="22"/>
          <w:szCs w:val="22"/>
          <w:lang w:val="en-GB"/>
        </w:rPr>
        <w:t xml:space="preserve"> to receive treatment</w:t>
      </w:r>
    </w:p>
    <w:p w14:paraId="30FB2062" w14:textId="19A02CEE" w:rsidR="006446EE" w:rsidRPr="00426BBC" w:rsidRDefault="006446EE" w:rsidP="00EF50DE">
      <w:pPr>
        <w:pStyle w:val="ListParagraph"/>
        <w:numPr>
          <w:ilvl w:val="0"/>
          <w:numId w:val="3"/>
        </w:num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As a result of halted recruitment, timelines for the pre-eclampsia and acute kidney injury studies are </w:t>
      </w:r>
      <w:r w:rsidR="0066379E" w:rsidRPr="00426BBC">
        <w:rPr>
          <w:rFonts w:asciiTheme="minorHAnsi" w:hAnsiTheme="minorHAnsi" w:cstheme="minorHAnsi"/>
          <w:color w:val="59595B"/>
          <w:sz w:val="22"/>
          <w:szCs w:val="22"/>
          <w:lang w:val="en-GB"/>
        </w:rPr>
        <w:t xml:space="preserve">continuing </w:t>
      </w:r>
      <w:r w:rsidRPr="00426BBC">
        <w:rPr>
          <w:rFonts w:asciiTheme="minorHAnsi" w:hAnsiTheme="minorHAnsi" w:cstheme="minorHAnsi"/>
          <w:color w:val="59595B"/>
          <w:sz w:val="22"/>
          <w:szCs w:val="22"/>
          <w:lang w:val="en-GB"/>
        </w:rPr>
        <w:t>to incur delays, subject to the return of recruitment</w:t>
      </w:r>
    </w:p>
    <w:p w14:paraId="2D162B51" w14:textId="026488E2" w:rsidR="006446EE" w:rsidRPr="00426BBC" w:rsidRDefault="006446EE" w:rsidP="00EF50DE">
      <w:pPr>
        <w:pStyle w:val="ListParagraph"/>
        <w:numPr>
          <w:ilvl w:val="0"/>
          <w:numId w:val="3"/>
        </w:numPr>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Recruitment in the registration enabling trial for leniolisib </w:t>
      </w:r>
      <w:r w:rsidR="00244422" w:rsidRPr="00426BBC">
        <w:rPr>
          <w:rFonts w:asciiTheme="minorHAnsi" w:hAnsiTheme="minorHAnsi" w:cstheme="minorHAnsi"/>
          <w:color w:val="59595B"/>
          <w:sz w:val="22"/>
          <w:szCs w:val="22"/>
          <w:lang w:val="en-GB"/>
        </w:rPr>
        <w:t xml:space="preserve">has </w:t>
      </w:r>
      <w:r w:rsidR="008E69CF" w:rsidRPr="00426BBC">
        <w:rPr>
          <w:rFonts w:asciiTheme="minorHAnsi" w:hAnsiTheme="minorHAnsi" w:cstheme="minorHAnsi"/>
          <w:color w:val="59595B"/>
          <w:sz w:val="22"/>
          <w:szCs w:val="22"/>
          <w:lang w:val="en-GB"/>
        </w:rPr>
        <w:t>re</w:t>
      </w:r>
      <w:r w:rsidRPr="00426BBC">
        <w:rPr>
          <w:rFonts w:asciiTheme="minorHAnsi" w:hAnsiTheme="minorHAnsi" w:cstheme="minorHAnsi"/>
          <w:color w:val="59595B"/>
          <w:sz w:val="22"/>
          <w:szCs w:val="22"/>
          <w:lang w:val="en-GB"/>
        </w:rPr>
        <w:t>started</w:t>
      </w:r>
      <w:r w:rsidR="008E69CF" w:rsidRPr="00426BBC">
        <w:rPr>
          <w:rFonts w:asciiTheme="minorHAnsi" w:hAnsiTheme="minorHAnsi" w:cstheme="minorHAnsi"/>
          <w:color w:val="59595B"/>
          <w:sz w:val="22"/>
          <w:szCs w:val="22"/>
          <w:lang w:val="en-GB"/>
        </w:rPr>
        <w:t xml:space="preserve"> </w:t>
      </w:r>
      <w:r w:rsidRPr="00426BBC">
        <w:rPr>
          <w:rFonts w:asciiTheme="minorHAnsi" w:hAnsiTheme="minorHAnsi" w:cstheme="minorHAnsi"/>
          <w:color w:val="59595B"/>
          <w:sz w:val="22"/>
          <w:szCs w:val="22"/>
          <w:lang w:val="en-GB"/>
        </w:rPr>
        <w:t>and</w:t>
      </w:r>
      <w:r w:rsidR="00AD05B9" w:rsidRPr="00426BBC">
        <w:rPr>
          <w:rFonts w:asciiTheme="minorHAnsi" w:hAnsiTheme="minorHAnsi" w:cstheme="minorHAnsi"/>
          <w:color w:val="59595B"/>
          <w:sz w:val="22"/>
          <w:szCs w:val="22"/>
          <w:lang w:val="en-GB"/>
        </w:rPr>
        <w:t xml:space="preserve">, </w:t>
      </w:r>
      <w:r w:rsidR="00244422" w:rsidRPr="00426BBC">
        <w:rPr>
          <w:rFonts w:asciiTheme="minorHAnsi" w:hAnsiTheme="minorHAnsi" w:cstheme="minorHAnsi"/>
          <w:color w:val="59595B"/>
          <w:sz w:val="22"/>
          <w:szCs w:val="22"/>
          <w:lang w:val="en-GB"/>
        </w:rPr>
        <w:t xml:space="preserve">subject to regulatory approval, </w:t>
      </w:r>
      <w:r w:rsidRPr="00426BBC">
        <w:rPr>
          <w:rFonts w:asciiTheme="minorHAnsi" w:hAnsiTheme="minorHAnsi" w:cstheme="minorHAnsi"/>
          <w:color w:val="59595B"/>
          <w:sz w:val="22"/>
          <w:szCs w:val="22"/>
          <w:lang w:val="en-GB"/>
        </w:rPr>
        <w:t xml:space="preserve">we continue to expect the potential launch of leniolisib in </w:t>
      </w:r>
      <w:r w:rsidR="005E0187" w:rsidRPr="00426BBC">
        <w:rPr>
          <w:rFonts w:asciiTheme="minorHAnsi" w:hAnsiTheme="minorHAnsi" w:cstheme="minorHAnsi"/>
          <w:color w:val="59595B"/>
          <w:sz w:val="22"/>
          <w:szCs w:val="22"/>
          <w:lang w:val="en-GB"/>
        </w:rPr>
        <w:t>H2 2022</w:t>
      </w:r>
    </w:p>
    <w:p w14:paraId="4688827D" w14:textId="77777777" w:rsidR="006446EE" w:rsidRPr="00426BBC" w:rsidRDefault="006446EE" w:rsidP="00EA6368">
      <w:pPr>
        <w:pStyle w:val="ListParagraph"/>
        <w:rPr>
          <w:rFonts w:asciiTheme="minorHAnsi" w:hAnsiTheme="minorHAnsi" w:cstheme="minorHAnsi"/>
          <w:b/>
          <w:color w:val="595B5B"/>
          <w:sz w:val="20"/>
          <w:lang w:val="en-GB"/>
        </w:rPr>
      </w:pPr>
    </w:p>
    <w:p w14:paraId="1B0A19DE" w14:textId="77777777" w:rsidR="00B276C5" w:rsidRDefault="00B276C5" w:rsidP="00EA6368">
      <w:pPr>
        <w:rPr>
          <w:rFonts w:asciiTheme="minorHAnsi" w:eastAsia="SimSun" w:hAnsiTheme="minorHAnsi" w:cstheme="minorHAnsi"/>
          <w:b/>
          <w:lang w:val="en-GB" w:eastAsia="zh-CN"/>
        </w:rPr>
      </w:pPr>
    </w:p>
    <w:p w14:paraId="7E02DADC" w14:textId="089D7124" w:rsidR="006446EE" w:rsidRPr="00426BBC" w:rsidRDefault="006446EE" w:rsidP="00EA6368">
      <w:pPr>
        <w:rPr>
          <w:rFonts w:asciiTheme="minorHAnsi" w:eastAsia="SimSun" w:hAnsiTheme="minorHAnsi" w:cstheme="minorHAnsi"/>
          <w:b/>
          <w:lang w:val="en-GB" w:eastAsia="zh-CN"/>
        </w:rPr>
      </w:pPr>
      <w:r w:rsidRPr="00426BBC">
        <w:rPr>
          <w:rFonts w:asciiTheme="minorHAnsi" w:eastAsia="SimSun" w:hAnsiTheme="minorHAnsi" w:cstheme="minorHAnsi"/>
          <w:b/>
          <w:lang w:val="en-GB" w:eastAsia="zh-CN"/>
        </w:rPr>
        <w:t>Sijmen de Vries, Chief Executive Officer, commented:</w:t>
      </w:r>
    </w:p>
    <w:p w14:paraId="57162BDC" w14:textId="77777777" w:rsidR="00B276C5" w:rsidRDefault="00B276C5" w:rsidP="00EA6368">
      <w:pPr>
        <w:pStyle w:val="NoSpacing"/>
        <w:jc w:val="both"/>
        <w:rPr>
          <w:rFonts w:asciiTheme="minorHAnsi" w:hAnsiTheme="minorHAnsi" w:cstheme="minorHAnsi"/>
          <w:i/>
          <w:color w:val="59595B"/>
          <w:lang w:val="en-GB"/>
        </w:rPr>
      </w:pPr>
    </w:p>
    <w:p w14:paraId="7F9CECF8" w14:textId="39C7D302" w:rsidR="007526C8" w:rsidRPr="00426BBC" w:rsidRDefault="006446EE" w:rsidP="00EF50DE">
      <w:pPr>
        <w:pStyle w:val="NoSpacing"/>
        <w:spacing w:before="120" w:after="120"/>
        <w:jc w:val="both"/>
        <w:rPr>
          <w:rFonts w:asciiTheme="minorHAnsi" w:hAnsiTheme="minorHAnsi" w:cstheme="minorHAnsi"/>
          <w:i/>
          <w:color w:val="59595B"/>
          <w:lang w:val="en-GB"/>
        </w:rPr>
      </w:pPr>
      <w:r w:rsidRPr="00426BBC">
        <w:rPr>
          <w:rFonts w:asciiTheme="minorHAnsi" w:hAnsiTheme="minorHAnsi" w:cstheme="minorHAnsi"/>
          <w:i/>
          <w:color w:val="59595B"/>
          <w:lang w:val="en-GB"/>
        </w:rPr>
        <w:t>“We are</w:t>
      </w:r>
      <w:r w:rsidR="00D65DB7" w:rsidRPr="00426BBC">
        <w:rPr>
          <w:rFonts w:asciiTheme="minorHAnsi" w:hAnsiTheme="minorHAnsi" w:cstheme="minorHAnsi"/>
          <w:i/>
          <w:color w:val="59595B"/>
          <w:lang w:val="en-GB"/>
        </w:rPr>
        <w:t xml:space="preserve"> pleased to announce </w:t>
      </w:r>
      <w:r w:rsidR="00FA4CD0" w:rsidRPr="00426BBC">
        <w:rPr>
          <w:rFonts w:asciiTheme="minorHAnsi" w:hAnsiTheme="minorHAnsi" w:cstheme="minorHAnsi"/>
          <w:i/>
          <w:color w:val="59595B"/>
          <w:lang w:val="en-GB"/>
        </w:rPr>
        <w:t xml:space="preserve">continued </w:t>
      </w:r>
      <w:r w:rsidR="00D65DB7" w:rsidRPr="00426BBC">
        <w:rPr>
          <w:rFonts w:asciiTheme="minorHAnsi" w:hAnsiTheme="minorHAnsi" w:cstheme="minorHAnsi"/>
          <w:i/>
          <w:color w:val="59595B"/>
          <w:lang w:val="en-GB"/>
        </w:rPr>
        <w:t xml:space="preserve">growth </w:t>
      </w:r>
      <w:r w:rsidR="00FA4CD0" w:rsidRPr="00426BBC">
        <w:rPr>
          <w:rFonts w:asciiTheme="minorHAnsi" w:hAnsiTheme="minorHAnsi" w:cstheme="minorHAnsi"/>
          <w:i/>
          <w:color w:val="59595B"/>
          <w:lang w:val="en-GB"/>
        </w:rPr>
        <w:t xml:space="preserve">during the first </w:t>
      </w:r>
      <w:r w:rsidR="00D65DB7" w:rsidRPr="00426BBC">
        <w:rPr>
          <w:rFonts w:asciiTheme="minorHAnsi" w:hAnsiTheme="minorHAnsi" w:cstheme="minorHAnsi"/>
          <w:i/>
          <w:color w:val="59595B"/>
          <w:lang w:val="en-GB"/>
        </w:rPr>
        <w:t>nine</w:t>
      </w:r>
      <w:r w:rsidR="00FA4CD0" w:rsidRPr="00426BBC">
        <w:rPr>
          <w:rFonts w:asciiTheme="minorHAnsi" w:hAnsiTheme="minorHAnsi" w:cstheme="minorHAnsi"/>
          <w:i/>
          <w:color w:val="59595B"/>
          <w:lang w:val="en-GB"/>
        </w:rPr>
        <w:t xml:space="preserve"> </w:t>
      </w:r>
      <w:r w:rsidR="00D65DB7" w:rsidRPr="00426BBC">
        <w:rPr>
          <w:rFonts w:asciiTheme="minorHAnsi" w:hAnsiTheme="minorHAnsi" w:cstheme="minorHAnsi"/>
          <w:i/>
          <w:color w:val="59595B"/>
          <w:lang w:val="en-GB"/>
        </w:rPr>
        <w:t>month</w:t>
      </w:r>
      <w:r w:rsidR="00945A9D" w:rsidRPr="00426BBC">
        <w:rPr>
          <w:rFonts w:asciiTheme="minorHAnsi" w:hAnsiTheme="minorHAnsi" w:cstheme="minorHAnsi"/>
          <w:i/>
          <w:color w:val="59595B"/>
          <w:lang w:val="en-GB"/>
        </w:rPr>
        <w:t>s</w:t>
      </w:r>
      <w:r w:rsidR="00D65DB7" w:rsidRPr="00426BBC">
        <w:rPr>
          <w:rFonts w:asciiTheme="minorHAnsi" w:hAnsiTheme="minorHAnsi" w:cstheme="minorHAnsi"/>
          <w:i/>
          <w:color w:val="59595B"/>
          <w:lang w:val="en-GB"/>
        </w:rPr>
        <w:t xml:space="preserve"> </w:t>
      </w:r>
      <w:r w:rsidR="00FA4CD0" w:rsidRPr="00426BBC">
        <w:rPr>
          <w:rFonts w:asciiTheme="minorHAnsi" w:hAnsiTheme="minorHAnsi" w:cstheme="minorHAnsi"/>
          <w:i/>
          <w:color w:val="59595B"/>
          <w:lang w:val="en-GB"/>
        </w:rPr>
        <w:t xml:space="preserve">of 2020, </w:t>
      </w:r>
      <w:r w:rsidR="00370936" w:rsidRPr="00426BBC">
        <w:rPr>
          <w:rFonts w:asciiTheme="minorHAnsi" w:hAnsiTheme="minorHAnsi" w:cstheme="minorHAnsi"/>
          <w:i/>
          <w:color w:val="59595B"/>
          <w:lang w:val="en-GB"/>
        </w:rPr>
        <w:t>demonstrating consistent progress</w:t>
      </w:r>
      <w:r w:rsidR="00B24642" w:rsidRPr="00426BBC">
        <w:rPr>
          <w:rFonts w:asciiTheme="minorHAnsi" w:hAnsiTheme="minorHAnsi" w:cstheme="minorHAnsi"/>
          <w:i/>
          <w:color w:val="59595B"/>
          <w:lang w:val="en-GB"/>
        </w:rPr>
        <w:t>,</w:t>
      </w:r>
      <w:r w:rsidR="00370936" w:rsidRPr="00426BBC">
        <w:rPr>
          <w:rFonts w:asciiTheme="minorHAnsi" w:hAnsiTheme="minorHAnsi" w:cstheme="minorHAnsi"/>
          <w:i/>
          <w:color w:val="59595B"/>
          <w:lang w:val="en-GB"/>
        </w:rPr>
        <w:t xml:space="preserve"> </w:t>
      </w:r>
      <w:r w:rsidR="00FA4CD0" w:rsidRPr="00426BBC">
        <w:rPr>
          <w:rFonts w:asciiTheme="minorHAnsi" w:hAnsiTheme="minorHAnsi" w:cstheme="minorHAnsi"/>
          <w:i/>
          <w:color w:val="59595B"/>
          <w:lang w:val="en-GB"/>
        </w:rPr>
        <w:t>despite</w:t>
      </w:r>
      <w:r w:rsidR="00C025A9" w:rsidRPr="00426BBC">
        <w:rPr>
          <w:rFonts w:asciiTheme="minorHAnsi" w:hAnsiTheme="minorHAnsi" w:cstheme="minorHAnsi"/>
          <w:i/>
          <w:color w:val="59595B"/>
          <w:lang w:val="en-GB"/>
        </w:rPr>
        <w:t xml:space="preserve"> the impact of the COVID-19 pandemic on sales and marketing activities and</w:t>
      </w:r>
      <w:r w:rsidR="00FA4CD0" w:rsidRPr="00426BBC">
        <w:rPr>
          <w:rFonts w:asciiTheme="minorHAnsi" w:hAnsiTheme="minorHAnsi" w:cstheme="minorHAnsi"/>
          <w:i/>
          <w:color w:val="59595B"/>
          <w:lang w:val="en-GB"/>
        </w:rPr>
        <w:t xml:space="preserve"> a </w:t>
      </w:r>
      <w:r w:rsidR="00E47BBB" w:rsidRPr="00426BBC">
        <w:rPr>
          <w:rFonts w:asciiTheme="minorHAnsi" w:hAnsiTheme="minorHAnsi" w:cstheme="minorHAnsi"/>
          <w:i/>
          <w:color w:val="59595B"/>
          <w:lang w:val="en-GB"/>
        </w:rPr>
        <w:t xml:space="preserve">significant </w:t>
      </w:r>
      <w:r w:rsidR="00FA4CD0" w:rsidRPr="00426BBC">
        <w:rPr>
          <w:rFonts w:asciiTheme="minorHAnsi" w:hAnsiTheme="minorHAnsi" w:cstheme="minorHAnsi"/>
          <w:i/>
          <w:color w:val="59595B"/>
          <w:lang w:val="en-GB"/>
        </w:rPr>
        <w:t xml:space="preserve">decrease in the US dollar versus the </w:t>
      </w:r>
      <w:r w:rsidR="00E47BBB" w:rsidRPr="00426BBC">
        <w:rPr>
          <w:rFonts w:asciiTheme="minorHAnsi" w:hAnsiTheme="minorHAnsi" w:cstheme="minorHAnsi"/>
          <w:i/>
          <w:color w:val="59595B"/>
          <w:lang w:val="en-GB"/>
        </w:rPr>
        <w:t>E</w:t>
      </w:r>
      <w:r w:rsidR="00FA4CD0" w:rsidRPr="00426BBC">
        <w:rPr>
          <w:rFonts w:asciiTheme="minorHAnsi" w:hAnsiTheme="minorHAnsi" w:cstheme="minorHAnsi"/>
          <w:i/>
          <w:color w:val="59595B"/>
          <w:lang w:val="en-GB"/>
        </w:rPr>
        <w:t>uro</w:t>
      </w:r>
      <w:r w:rsidR="00D65DB7" w:rsidRPr="00426BBC">
        <w:rPr>
          <w:rFonts w:asciiTheme="minorHAnsi" w:hAnsiTheme="minorHAnsi" w:cstheme="minorHAnsi"/>
          <w:i/>
          <w:color w:val="59595B"/>
          <w:lang w:val="en-GB"/>
        </w:rPr>
        <w:t xml:space="preserve">. </w:t>
      </w:r>
      <w:r w:rsidR="00FA4CD0" w:rsidRPr="00426BBC">
        <w:rPr>
          <w:rFonts w:asciiTheme="minorHAnsi" w:hAnsiTheme="minorHAnsi" w:cstheme="minorHAnsi"/>
          <w:i/>
          <w:color w:val="59595B"/>
          <w:lang w:val="en-GB"/>
        </w:rPr>
        <w:t>W</w:t>
      </w:r>
      <w:r w:rsidR="00B83C92" w:rsidRPr="00426BBC">
        <w:rPr>
          <w:rFonts w:asciiTheme="minorHAnsi" w:hAnsiTheme="minorHAnsi" w:cstheme="minorHAnsi"/>
          <w:i/>
          <w:color w:val="59595B"/>
          <w:lang w:val="en-GB"/>
        </w:rPr>
        <w:t xml:space="preserve">e </w:t>
      </w:r>
      <w:r w:rsidR="00FA4CD0" w:rsidRPr="00426BBC">
        <w:rPr>
          <w:rFonts w:asciiTheme="minorHAnsi" w:hAnsiTheme="minorHAnsi" w:cstheme="minorHAnsi"/>
          <w:i/>
          <w:color w:val="59595B"/>
          <w:lang w:val="en-GB"/>
        </w:rPr>
        <w:t>remain focused on</w:t>
      </w:r>
      <w:r w:rsidR="006D7E35" w:rsidRPr="00426BBC">
        <w:rPr>
          <w:rFonts w:asciiTheme="minorHAnsi" w:hAnsiTheme="minorHAnsi" w:cstheme="minorHAnsi"/>
          <w:i/>
          <w:color w:val="59595B"/>
          <w:lang w:val="en-GB"/>
        </w:rPr>
        <w:t>, and are</w:t>
      </w:r>
      <w:r w:rsidR="00FA4CD0" w:rsidRPr="00426BBC">
        <w:rPr>
          <w:rFonts w:asciiTheme="minorHAnsi" w:hAnsiTheme="minorHAnsi" w:cstheme="minorHAnsi"/>
          <w:i/>
          <w:color w:val="59595B"/>
          <w:lang w:val="en-GB"/>
        </w:rPr>
        <w:t xml:space="preserve"> delivering </w:t>
      </w:r>
      <w:r w:rsidR="006D7E35" w:rsidRPr="00426BBC">
        <w:rPr>
          <w:rFonts w:asciiTheme="minorHAnsi" w:hAnsiTheme="minorHAnsi" w:cstheme="minorHAnsi"/>
          <w:i/>
          <w:color w:val="59595B"/>
          <w:lang w:val="en-GB"/>
        </w:rPr>
        <w:t>against,</w:t>
      </w:r>
      <w:r w:rsidR="00B83C92" w:rsidRPr="00426BBC">
        <w:rPr>
          <w:rFonts w:asciiTheme="minorHAnsi" w:hAnsiTheme="minorHAnsi" w:cstheme="minorHAnsi"/>
          <w:i/>
          <w:color w:val="59595B"/>
          <w:lang w:val="en-GB"/>
        </w:rPr>
        <w:t xml:space="preserve"> </w:t>
      </w:r>
      <w:r w:rsidR="002031B3" w:rsidRPr="00426BBC">
        <w:rPr>
          <w:rFonts w:asciiTheme="minorHAnsi" w:hAnsiTheme="minorHAnsi" w:cstheme="minorHAnsi"/>
          <w:i/>
          <w:color w:val="59595B"/>
          <w:lang w:val="en-GB"/>
        </w:rPr>
        <w:t>o</w:t>
      </w:r>
      <w:r w:rsidR="0057029C" w:rsidRPr="00426BBC">
        <w:rPr>
          <w:rFonts w:asciiTheme="minorHAnsi" w:hAnsiTheme="minorHAnsi" w:cstheme="minorHAnsi"/>
          <w:i/>
          <w:color w:val="59595B"/>
          <w:lang w:val="en-GB"/>
        </w:rPr>
        <w:t>ur strategy</w:t>
      </w:r>
      <w:r w:rsidR="006D7E35" w:rsidRPr="00426BBC">
        <w:rPr>
          <w:rFonts w:asciiTheme="minorHAnsi" w:hAnsiTheme="minorHAnsi" w:cstheme="minorHAnsi"/>
          <w:i/>
          <w:color w:val="59595B"/>
          <w:lang w:val="en-GB"/>
        </w:rPr>
        <w:t xml:space="preserve"> for long-term growth. This includes </w:t>
      </w:r>
      <w:r w:rsidR="00816D12" w:rsidRPr="00426BBC">
        <w:rPr>
          <w:rFonts w:asciiTheme="minorHAnsi" w:hAnsiTheme="minorHAnsi" w:cstheme="minorHAnsi"/>
          <w:i/>
          <w:color w:val="59595B"/>
          <w:lang w:val="en-GB"/>
        </w:rPr>
        <w:t>continu</w:t>
      </w:r>
      <w:r w:rsidR="00370936" w:rsidRPr="00426BBC">
        <w:rPr>
          <w:rFonts w:asciiTheme="minorHAnsi" w:hAnsiTheme="minorHAnsi" w:cstheme="minorHAnsi"/>
          <w:i/>
          <w:color w:val="59595B"/>
          <w:lang w:val="en-GB"/>
        </w:rPr>
        <w:t>ed</w:t>
      </w:r>
      <w:r w:rsidR="00816D12" w:rsidRPr="00426BBC">
        <w:rPr>
          <w:rFonts w:asciiTheme="minorHAnsi" w:hAnsiTheme="minorHAnsi" w:cstheme="minorHAnsi"/>
          <w:i/>
          <w:color w:val="59595B"/>
          <w:lang w:val="en-GB"/>
        </w:rPr>
        <w:t xml:space="preserve"> sales growth</w:t>
      </w:r>
      <w:r w:rsidR="002031B3" w:rsidRPr="00426BBC">
        <w:rPr>
          <w:rFonts w:asciiTheme="minorHAnsi" w:hAnsiTheme="minorHAnsi" w:cstheme="minorHAnsi"/>
          <w:i/>
          <w:color w:val="59595B"/>
          <w:lang w:val="en-GB"/>
        </w:rPr>
        <w:t xml:space="preserve"> </w:t>
      </w:r>
      <w:r w:rsidR="00C703EA" w:rsidRPr="00426BBC">
        <w:rPr>
          <w:rFonts w:asciiTheme="minorHAnsi" w:hAnsiTheme="minorHAnsi" w:cstheme="minorHAnsi"/>
          <w:i/>
          <w:color w:val="59595B"/>
          <w:lang w:val="en-GB"/>
        </w:rPr>
        <w:t xml:space="preserve">of RUCONEST® through </w:t>
      </w:r>
      <w:r w:rsidR="000B2EC4" w:rsidRPr="00426BBC">
        <w:rPr>
          <w:rFonts w:asciiTheme="minorHAnsi" w:hAnsiTheme="minorHAnsi" w:cstheme="minorHAnsi"/>
          <w:i/>
          <w:color w:val="59595B"/>
          <w:lang w:val="en-GB"/>
        </w:rPr>
        <w:t>increas</w:t>
      </w:r>
      <w:r w:rsidR="00C703EA" w:rsidRPr="00426BBC">
        <w:rPr>
          <w:rFonts w:asciiTheme="minorHAnsi" w:hAnsiTheme="minorHAnsi" w:cstheme="minorHAnsi"/>
          <w:i/>
          <w:color w:val="59595B"/>
          <w:lang w:val="en-GB"/>
        </w:rPr>
        <w:t>ing</w:t>
      </w:r>
      <w:r w:rsidR="000B2EC4" w:rsidRPr="00426BBC">
        <w:rPr>
          <w:rFonts w:asciiTheme="minorHAnsi" w:hAnsiTheme="minorHAnsi" w:cstheme="minorHAnsi"/>
          <w:i/>
          <w:color w:val="59595B"/>
          <w:lang w:val="en-GB"/>
        </w:rPr>
        <w:t xml:space="preserve"> </w:t>
      </w:r>
      <w:r w:rsidR="002031B3" w:rsidRPr="00426BBC">
        <w:rPr>
          <w:rFonts w:asciiTheme="minorHAnsi" w:hAnsiTheme="minorHAnsi" w:cstheme="minorHAnsi"/>
          <w:i/>
          <w:color w:val="59595B"/>
          <w:lang w:val="en-GB"/>
        </w:rPr>
        <w:t>market share</w:t>
      </w:r>
      <w:r w:rsidR="00816D12" w:rsidRPr="00426BBC">
        <w:rPr>
          <w:rFonts w:asciiTheme="minorHAnsi" w:hAnsiTheme="minorHAnsi" w:cstheme="minorHAnsi"/>
          <w:i/>
          <w:color w:val="59595B"/>
          <w:lang w:val="en-GB"/>
        </w:rPr>
        <w:t xml:space="preserve"> </w:t>
      </w:r>
      <w:r w:rsidR="002031B3" w:rsidRPr="00426BBC">
        <w:rPr>
          <w:rFonts w:asciiTheme="minorHAnsi" w:hAnsiTheme="minorHAnsi" w:cstheme="minorHAnsi"/>
          <w:i/>
          <w:color w:val="59595B"/>
          <w:lang w:val="en-GB"/>
        </w:rPr>
        <w:t xml:space="preserve">for the treatment of </w:t>
      </w:r>
      <w:r w:rsidR="004914D1" w:rsidRPr="00426BBC">
        <w:rPr>
          <w:rFonts w:asciiTheme="minorHAnsi" w:hAnsiTheme="minorHAnsi" w:cstheme="minorHAnsi"/>
          <w:i/>
          <w:color w:val="59595B"/>
          <w:lang w:val="en-GB"/>
        </w:rPr>
        <w:t xml:space="preserve">acute </w:t>
      </w:r>
      <w:r w:rsidR="002031B3" w:rsidRPr="00426BBC">
        <w:rPr>
          <w:rFonts w:asciiTheme="minorHAnsi" w:hAnsiTheme="minorHAnsi" w:cstheme="minorHAnsi"/>
          <w:i/>
          <w:color w:val="59595B"/>
          <w:lang w:val="en-GB"/>
        </w:rPr>
        <w:t>HAE</w:t>
      </w:r>
      <w:r w:rsidR="004914D1" w:rsidRPr="00426BBC">
        <w:rPr>
          <w:rFonts w:asciiTheme="minorHAnsi" w:hAnsiTheme="minorHAnsi" w:cstheme="minorHAnsi"/>
          <w:i/>
          <w:color w:val="59595B"/>
          <w:lang w:val="en-GB"/>
        </w:rPr>
        <w:t xml:space="preserve"> attacks</w:t>
      </w:r>
      <w:r w:rsidR="00B24642" w:rsidRPr="00426BBC">
        <w:rPr>
          <w:rFonts w:asciiTheme="minorHAnsi" w:hAnsiTheme="minorHAnsi" w:cstheme="minorHAnsi"/>
          <w:i/>
          <w:color w:val="59595B"/>
          <w:lang w:val="en-GB"/>
        </w:rPr>
        <w:t>,</w:t>
      </w:r>
      <w:r w:rsidR="002C17DB" w:rsidRPr="00426BBC">
        <w:rPr>
          <w:rFonts w:asciiTheme="minorHAnsi" w:hAnsiTheme="minorHAnsi" w:cstheme="minorHAnsi"/>
          <w:i/>
          <w:color w:val="59595B"/>
          <w:lang w:val="en-GB"/>
        </w:rPr>
        <w:t xml:space="preserve"> </w:t>
      </w:r>
      <w:r w:rsidR="00370936" w:rsidRPr="00426BBC">
        <w:rPr>
          <w:rFonts w:asciiTheme="minorHAnsi" w:hAnsiTheme="minorHAnsi" w:cstheme="minorHAnsi"/>
          <w:i/>
          <w:color w:val="59595B"/>
          <w:lang w:val="en-GB"/>
        </w:rPr>
        <w:t>indication</w:t>
      </w:r>
      <w:r w:rsidR="00816D12" w:rsidRPr="00426BBC">
        <w:rPr>
          <w:rFonts w:asciiTheme="minorHAnsi" w:hAnsiTheme="minorHAnsi" w:cstheme="minorHAnsi"/>
          <w:i/>
          <w:color w:val="59595B"/>
          <w:lang w:val="en-GB"/>
        </w:rPr>
        <w:t xml:space="preserve"> </w:t>
      </w:r>
      <w:r w:rsidR="00304954" w:rsidRPr="00426BBC">
        <w:rPr>
          <w:rFonts w:asciiTheme="minorHAnsi" w:hAnsiTheme="minorHAnsi" w:cstheme="minorHAnsi"/>
          <w:i/>
          <w:color w:val="59595B"/>
          <w:lang w:val="en-GB"/>
        </w:rPr>
        <w:t>expan</w:t>
      </w:r>
      <w:r w:rsidR="00370936" w:rsidRPr="00426BBC">
        <w:rPr>
          <w:rFonts w:asciiTheme="minorHAnsi" w:hAnsiTheme="minorHAnsi" w:cstheme="minorHAnsi"/>
          <w:i/>
          <w:color w:val="59595B"/>
          <w:lang w:val="en-GB"/>
        </w:rPr>
        <w:t>sion for</w:t>
      </w:r>
      <w:r w:rsidR="00921AF6" w:rsidRPr="00426BBC">
        <w:rPr>
          <w:rFonts w:asciiTheme="minorHAnsi" w:hAnsiTheme="minorHAnsi" w:cstheme="minorHAnsi"/>
          <w:i/>
          <w:color w:val="59595B"/>
          <w:lang w:val="en-GB"/>
        </w:rPr>
        <w:t xml:space="preserve"> rhC1INH and </w:t>
      </w:r>
      <w:r w:rsidR="006D7E35" w:rsidRPr="00426BBC">
        <w:rPr>
          <w:rFonts w:asciiTheme="minorHAnsi" w:hAnsiTheme="minorHAnsi" w:cstheme="minorHAnsi"/>
          <w:i/>
          <w:color w:val="59595B"/>
          <w:lang w:val="en-GB"/>
        </w:rPr>
        <w:t xml:space="preserve">the </w:t>
      </w:r>
      <w:r w:rsidR="00921AF6" w:rsidRPr="00426BBC">
        <w:rPr>
          <w:rFonts w:asciiTheme="minorHAnsi" w:hAnsiTheme="minorHAnsi" w:cstheme="minorHAnsi"/>
          <w:i/>
          <w:color w:val="59595B"/>
          <w:lang w:val="en-GB"/>
        </w:rPr>
        <w:t>develop</w:t>
      </w:r>
      <w:r w:rsidR="00370936" w:rsidRPr="00426BBC">
        <w:rPr>
          <w:rFonts w:asciiTheme="minorHAnsi" w:hAnsiTheme="minorHAnsi" w:cstheme="minorHAnsi"/>
          <w:i/>
          <w:color w:val="59595B"/>
          <w:lang w:val="en-GB"/>
        </w:rPr>
        <w:t xml:space="preserve">ment of new proteins </w:t>
      </w:r>
      <w:r w:rsidR="006D7E35" w:rsidRPr="00426BBC">
        <w:rPr>
          <w:rFonts w:asciiTheme="minorHAnsi" w:hAnsiTheme="minorHAnsi" w:cstheme="minorHAnsi"/>
          <w:i/>
          <w:color w:val="59595B"/>
          <w:lang w:val="en-GB"/>
        </w:rPr>
        <w:t>from our recombinant technology platform</w:t>
      </w:r>
      <w:r w:rsidR="00B24642" w:rsidRPr="00426BBC">
        <w:rPr>
          <w:rFonts w:asciiTheme="minorHAnsi" w:hAnsiTheme="minorHAnsi" w:cstheme="minorHAnsi"/>
          <w:i/>
          <w:color w:val="59595B"/>
          <w:lang w:val="en-GB"/>
        </w:rPr>
        <w:t>,</w:t>
      </w:r>
      <w:r w:rsidR="006D7E35" w:rsidRPr="00426BBC">
        <w:rPr>
          <w:rFonts w:asciiTheme="minorHAnsi" w:hAnsiTheme="minorHAnsi" w:cstheme="minorHAnsi"/>
          <w:i/>
          <w:color w:val="59595B"/>
          <w:lang w:val="en-GB"/>
        </w:rPr>
        <w:t xml:space="preserve"> </w:t>
      </w:r>
      <w:r w:rsidR="00B24642" w:rsidRPr="00426BBC">
        <w:rPr>
          <w:rFonts w:asciiTheme="minorHAnsi" w:hAnsiTheme="minorHAnsi" w:cstheme="minorHAnsi"/>
          <w:i/>
          <w:color w:val="59595B"/>
          <w:lang w:val="en-GB"/>
        </w:rPr>
        <w:t>as well as</w:t>
      </w:r>
      <w:r w:rsidR="00501257" w:rsidRPr="00426BBC">
        <w:rPr>
          <w:rFonts w:asciiTheme="minorHAnsi" w:hAnsiTheme="minorHAnsi" w:cstheme="minorHAnsi"/>
          <w:i/>
          <w:color w:val="59595B"/>
          <w:lang w:val="en-GB"/>
        </w:rPr>
        <w:t xml:space="preserve"> </w:t>
      </w:r>
      <w:r w:rsidR="00FD2285" w:rsidRPr="00426BBC">
        <w:rPr>
          <w:rFonts w:asciiTheme="minorHAnsi" w:hAnsiTheme="minorHAnsi" w:cstheme="minorHAnsi"/>
          <w:i/>
          <w:color w:val="59595B"/>
          <w:lang w:val="en-GB"/>
        </w:rPr>
        <w:t>in-licencing or acquiring new products to leverage our global commercial infrastructur</w:t>
      </w:r>
      <w:r w:rsidR="00B52D37" w:rsidRPr="00426BBC">
        <w:rPr>
          <w:rFonts w:asciiTheme="minorHAnsi" w:hAnsiTheme="minorHAnsi" w:cstheme="minorHAnsi"/>
          <w:i/>
          <w:color w:val="59595B"/>
          <w:lang w:val="en-GB"/>
        </w:rPr>
        <w:t xml:space="preserve">e. </w:t>
      </w:r>
    </w:p>
    <w:p w14:paraId="6462D72C" w14:textId="387AD326" w:rsidR="00801EF5" w:rsidRPr="00426BBC" w:rsidRDefault="007526C8" w:rsidP="00EF50DE">
      <w:pPr>
        <w:pStyle w:val="NoSpacing"/>
        <w:spacing w:before="120" w:after="120"/>
        <w:rPr>
          <w:rFonts w:asciiTheme="minorHAnsi" w:hAnsiTheme="minorHAnsi" w:cstheme="minorHAnsi"/>
          <w:i/>
          <w:color w:val="59595B"/>
          <w:lang w:val="en-GB"/>
        </w:rPr>
      </w:pPr>
      <w:r w:rsidRPr="00426BBC">
        <w:rPr>
          <w:rFonts w:asciiTheme="minorHAnsi" w:hAnsiTheme="minorHAnsi" w:cstheme="minorHAnsi"/>
          <w:i/>
          <w:color w:val="59595B"/>
          <w:lang w:val="en-GB"/>
        </w:rPr>
        <w:t>“</w:t>
      </w:r>
      <w:r w:rsidR="000B2EC4" w:rsidRPr="00426BBC">
        <w:rPr>
          <w:rFonts w:asciiTheme="minorHAnsi" w:hAnsiTheme="minorHAnsi" w:cstheme="minorHAnsi"/>
          <w:i/>
          <w:color w:val="59595B"/>
          <w:lang w:val="en-GB"/>
        </w:rPr>
        <w:t xml:space="preserve">In the past </w:t>
      </w:r>
      <w:r w:rsidR="006D7E35" w:rsidRPr="00426BBC">
        <w:rPr>
          <w:rFonts w:asciiTheme="minorHAnsi" w:hAnsiTheme="minorHAnsi" w:cstheme="minorHAnsi"/>
          <w:i/>
          <w:color w:val="59595B"/>
          <w:lang w:val="en-GB"/>
        </w:rPr>
        <w:t>f</w:t>
      </w:r>
      <w:r w:rsidR="002848F4">
        <w:rPr>
          <w:rFonts w:asciiTheme="minorHAnsi" w:hAnsiTheme="minorHAnsi" w:cstheme="minorHAnsi"/>
          <w:i/>
          <w:color w:val="59595B"/>
          <w:lang w:val="en-GB"/>
        </w:rPr>
        <w:t>our</w:t>
      </w:r>
      <w:r w:rsidR="000B2EC4" w:rsidRPr="00426BBC">
        <w:rPr>
          <w:rFonts w:asciiTheme="minorHAnsi" w:hAnsiTheme="minorHAnsi" w:cstheme="minorHAnsi"/>
          <w:i/>
          <w:color w:val="59595B"/>
          <w:lang w:val="en-GB"/>
        </w:rPr>
        <w:t xml:space="preserve"> years</w:t>
      </w:r>
      <w:r w:rsidR="006D7E35" w:rsidRPr="00426BBC">
        <w:rPr>
          <w:rFonts w:asciiTheme="minorHAnsi" w:hAnsiTheme="minorHAnsi" w:cstheme="minorHAnsi"/>
          <w:i/>
          <w:color w:val="59595B"/>
          <w:lang w:val="en-GB"/>
        </w:rPr>
        <w:t>,</w:t>
      </w:r>
      <w:r w:rsidR="000B2EC4" w:rsidRPr="00426BBC">
        <w:rPr>
          <w:rFonts w:asciiTheme="minorHAnsi" w:hAnsiTheme="minorHAnsi" w:cstheme="minorHAnsi"/>
          <w:i/>
          <w:color w:val="59595B"/>
          <w:lang w:val="en-GB"/>
        </w:rPr>
        <w:t xml:space="preserve"> Pharming has transitioned </w:t>
      </w:r>
      <w:r w:rsidR="00B24642" w:rsidRPr="00426BBC">
        <w:rPr>
          <w:rFonts w:asciiTheme="minorHAnsi" w:hAnsiTheme="minorHAnsi" w:cstheme="minorHAnsi"/>
          <w:i/>
          <w:color w:val="59595B"/>
          <w:lang w:val="en-GB"/>
        </w:rPr>
        <w:t xml:space="preserve">into </w:t>
      </w:r>
      <w:r w:rsidR="000B2EC4" w:rsidRPr="00426BBC">
        <w:rPr>
          <w:rFonts w:asciiTheme="minorHAnsi" w:hAnsiTheme="minorHAnsi" w:cstheme="minorHAnsi"/>
          <w:i/>
          <w:color w:val="59595B"/>
          <w:lang w:val="en-GB"/>
        </w:rPr>
        <w:t xml:space="preserve">a profitable </w:t>
      </w:r>
      <w:r w:rsidR="004914D1" w:rsidRPr="00426BBC">
        <w:rPr>
          <w:rFonts w:asciiTheme="minorHAnsi" w:hAnsiTheme="minorHAnsi" w:cstheme="minorHAnsi"/>
          <w:i/>
          <w:color w:val="59595B"/>
          <w:lang w:val="en-GB"/>
        </w:rPr>
        <w:t>biopharmaceutical</w:t>
      </w:r>
      <w:r w:rsidR="000B2EC4" w:rsidRPr="00426BBC">
        <w:rPr>
          <w:rFonts w:asciiTheme="minorHAnsi" w:hAnsiTheme="minorHAnsi" w:cstheme="minorHAnsi"/>
          <w:i/>
          <w:color w:val="59595B"/>
          <w:lang w:val="en-GB"/>
        </w:rPr>
        <w:t xml:space="preserve"> company </w:t>
      </w:r>
      <w:r w:rsidR="006D7E35" w:rsidRPr="00426BBC">
        <w:rPr>
          <w:rFonts w:asciiTheme="minorHAnsi" w:hAnsiTheme="minorHAnsi" w:cstheme="minorHAnsi"/>
          <w:i/>
          <w:color w:val="59595B"/>
          <w:lang w:val="en-GB"/>
        </w:rPr>
        <w:t xml:space="preserve">with its own direct sales operations in the US and </w:t>
      </w:r>
      <w:r w:rsidR="00B24642" w:rsidRPr="00426BBC">
        <w:rPr>
          <w:rFonts w:asciiTheme="minorHAnsi" w:hAnsiTheme="minorHAnsi" w:cstheme="minorHAnsi"/>
          <w:i/>
          <w:color w:val="59595B"/>
          <w:lang w:val="en-GB"/>
        </w:rPr>
        <w:t xml:space="preserve">the </w:t>
      </w:r>
      <w:r w:rsidR="006D7E35" w:rsidRPr="00426BBC">
        <w:rPr>
          <w:rFonts w:asciiTheme="minorHAnsi" w:hAnsiTheme="minorHAnsi" w:cstheme="minorHAnsi"/>
          <w:i/>
          <w:color w:val="59595B"/>
          <w:lang w:val="en-GB"/>
        </w:rPr>
        <w:t>EU to continue to expand our patient reach and an advancing pipeline</w:t>
      </w:r>
      <w:r w:rsidR="00FA07B5" w:rsidRPr="00426BBC">
        <w:rPr>
          <w:rFonts w:asciiTheme="minorHAnsi" w:hAnsiTheme="minorHAnsi" w:cstheme="minorHAnsi"/>
          <w:i/>
          <w:color w:val="59595B"/>
          <w:lang w:val="en-GB"/>
        </w:rPr>
        <w:t>.</w:t>
      </w:r>
      <w:r w:rsidR="00AA759D" w:rsidRPr="00426BBC">
        <w:rPr>
          <w:rFonts w:asciiTheme="minorHAnsi" w:hAnsiTheme="minorHAnsi" w:cstheme="minorHAnsi"/>
          <w:i/>
          <w:color w:val="59595B"/>
          <w:lang w:val="en-GB"/>
        </w:rPr>
        <w:t xml:space="preserve"> </w:t>
      </w:r>
      <w:r w:rsidR="006D7E35" w:rsidRPr="00426BBC">
        <w:rPr>
          <w:rFonts w:asciiTheme="minorHAnsi" w:hAnsiTheme="minorHAnsi" w:cstheme="minorHAnsi"/>
          <w:i/>
          <w:color w:val="59595B"/>
          <w:lang w:val="en-GB"/>
        </w:rPr>
        <w:t xml:space="preserve">We believe the Company is well-positioned to </w:t>
      </w:r>
      <w:r w:rsidR="004A26CD" w:rsidRPr="00426BBC">
        <w:rPr>
          <w:rFonts w:asciiTheme="minorHAnsi" w:hAnsiTheme="minorHAnsi" w:cstheme="minorHAnsi"/>
          <w:i/>
          <w:color w:val="59595B"/>
          <w:lang w:val="en-GB"/>
        </w:rPr>
        <w:t>continue to deliver significant value t</w:t>
      </w:r>
      <w:r w:rsidR="00703416" w:rsidRPr="00426BBC">
        <w:rPr>
          <w:rFonts w:asciiTheme="minorHAnsi" w:hAnsiTheme="minorHAnsi" w:cstheme="minorHAnsi"/>
          <w:i/>
          <w:color w:val="59595B"/>
          <w:lang w:val="en-GB"/>
        </w:rPr>
        <w:t xml:space="preserve">o </w:t>
      </w:r>
      <w:r w:rsidR="00B24642" w:rsidRPr="00426BBC">
        <w:rPr>
          <w:rFonts w:asciiTheme="minorHAnsi" w:hAnsiTheme="minorHAnsi" w:cstheme="minorHAnsi"/>
          <w:i/>
          <w:color w:val="59595B"/>
          <w:lang w:val="en-GB"/>
        </w:rPr>
        <w:t xml:space="preserve">both </w:t>
      </w:r>
      <w:r w:rsidR="00703416" w:rsidRPr="00426BBC">
        <w:rPr>
          <w:rFonts w:asciiTheme="minorHAnsi" w:hAnsiTheme="minorHAnsi" w:cstheme="minorHAnsi"/>
          <w:i/>
          <w:color w:val="59595B"/>
          <w:lang w:val="en-GB"/>
        </w:rPr>
        <w:t xml:space="preserve">our patients and </w:t>
      </w:r>
      <w:r w:rsidR="00B24642" w:rsidRPr="00426BBC">
        <w:rPr>
          <w:rFonts w:asciiTheme="minorHAnsi" w:hAnsiTheme="minorHAnsi" w:cstheme="minorHAnsi"/>
          <w:i/>
          <w:color w:val="59595B"/>
          <w:lang w:val="en-GB"/>
        </w:rPr>
        <w:t xml:space="preserve">our </w:t>
      </w:r>
      <w:r w:rsidR="00703416" w:rsidRPr="00426BBC">
        <w:rPr>
          <w:rFonts w:asciiTheme="minorHAnsi" w:hAnsiTheme="minorHAnsi" w:cstheme="minorHAnsi"/>
          <w:i/>
          <w:color w:val="59595B"/>
          <w:lang w:val="en-GB"/>
        </w:rPr>
        <w:t>stakeholders</w:t>
      </w:r>
      <w:r w:rsidR="003324BE" w:rsidRPr="00426BBC">
        <w:rPr>
          <w:rFonts w:asciiTheme="minorHAnsi" w:hAnsiTheme="minorHAnsi" w:cstheme="minorHAnsi"/>
          <w:i/>
          <w:color w:val="59595B"/>
          <w:lang w:val="en-GB"/>
        </w:rPr>
        <w:t>.</w:t>
      </w:r>
      <w:r w:rsidR="00C447F3" w:rsidRPr="00426BBC">
        <w:rPr>
          <w:rFonts w:asciiTheme="minorHAnsi" w:hAnsiTheme="minorHAnsi" w:cstheme="minorHAnsi"/>
          <w:i/>
          <w:color w:val="59595B"/>
          <w:lang w:val="en-GB"/>
        </w:rPr>
        <w:t>”</w:t>
      </w:r>
    </w:p>
    <w:p w14:paraId="5907335D" w14:textId="044A58B8" w:rsidR="00B32B17" w:rsidRPr="00426BBC" w:rsidRDefault="00B32B17" w:rsidP="00EA6368">
      <w:pPr>
        <w:pStyle w:val="NoSpacing"/>
        <w:jc w:val="both"/>
        <w:rPr>
          <w:rFonts w:asciiTheme="minorHAnsi" w:hAnsiTheme="minorHAnsi" w:cstheme="minorHAnsi"/>
          <w:i/>
          <w:color w:val="59595B"/>
          <w:lang w:val="en-GB"/>
        </w:rPr>
      </w:pPr>
    </w:p>
    <w:p w14:paraId="06DD8B6F" w14:textId="77777777" w:rsidR="00BC489A" w:rsidRDefault="00BC489A" w:rsidP="00EA6368">
      <w:pPr>
        <w:rPr>
          <w:rFonts w:asciiTheme="minorHAnsi" w:hAnsiTheme="minorHAnsi" w:cstheme="minorHAnsi"/>
          <w:b/>
          <w:lang w:val="en-GB"/>
        </w:rPr>
      </w:pPr>
    </w:p>
    <w:p w14:paraId="7636A2D5" w14:textId="77777777" w:rsidR="00BC489A" w:rsidRDefault="00BC489A" w:rsidP="00EA6368">
      <w:pPr>
        <w:rPr>
          <w:rFonts w:asciiTheme="minorHAnsi" w:hAnsiTheme="minorHAnsi" w:cstheme="minorHAnsi"/>
          <w:b/>
          <w:lang w:val="en-GB"/>
        </w:rPr>
      </w:pPr>
    </w:p>
    <w:p w14:paraId="2ADE2AFB" w14:textId="77777777" w:rsidR="00BC489A" w:rsidRDefault="00BC489A" w:rsidP="00EA6368">
      <w:pPr>
        <w:rPr>
          <w:rFonts w:asciiTheme="minorHAnsi" w:hAnsiTheme="minorHAnsi" w:cstheme="minorHAnsi"/>
          <w:b/>
          <w:lang w:val="en-GB"/>
        </w:rPr>
      </w:pPr>
    </w:p>
    <w:p w14:paraId="7964BC0D" w14:textId="77777777" w:rsidR="00BC489A" w:rsidRDefault="00BC489A" w:rsidP="00EA6368">
      <w:pPr>
        <w:rPr>
          <w:rFonts w:asciiTheme="minorHAnsi" w:hAnsiTheme="minorHAnsi" w:cstheme="minorHAnsi"/>
          <w:b/>
          <w:lang w:val="en-GB"/>
        </w:rPr>
      </w:pPr>
    </w:p>
    <w:p w14:paraId="7AEE74CD" w14:textId="28239DAD" w:rsidR="006446EE" w:rsidRPr="00426BBC" w:rsidRDefault="006446EE" w:rsidP="00EA6368">
      <w:pPr>
        <w:rPr>
          <w:rFonts w:asciiTheme="minorHAnsi" w:hAnsiTheme="minorHAnsi" w:cstheme="minorHAnsi"/>
          <w:b/>
          <w:lang w:val="en-GB"/>
        </w:rPr>
      </w:pPr>
      <w:r w:rsidRPr="00426BBC">
        <w:rPr>
          <w:rFonts w:asciiTheme="minorHAnsi" w:hAnsiTheme="minorHAnsi" w:cstheme="minorHAnsi"/>
          <w:b/>
          <w:lang w:val="en-GB"/>
        </w:rPr>
        <w:lastRenderedPageBreak/>
        <w:t>Outlook</w:t>
      </w:r>
    </w:p>
    <w:p w14:paraId="268F586D" w14:textId="77777777" w:rsidR="00B276C5" w:rsidRDefault="00B276C5" w:rsidP="00EA6368">
      <w:pPr>
        <w:autoSpaceDE w:val="0"/>
        <w:autoSpaceDN w:val="0"/>
        <w:adjustRightInd w:val="0"/>
        <w:rPr>
          <w:rFonts w:asciiTheme="minorHAnsi" w:hAnsiTheme="minorHAnsi" w:cstheme="minorHAnsi"/>
          <w:color w:val="59595B"/>
          <w:sz w:val="22"/>
          <w:szCs w:val="22"/>
          <w:lang w:val="en-GB"/>
        </w:rPr>
      </w:pPr>
    </w:p>
    <w:p w14:paraId="2903E3A5" w14:textId="6D8F1E6E" w:rsidR="006446EE" w:rsidRPr="00426BBC" w:rsidRDefault="006446EE" w:rsidP="00EA6368">
      <w:pPr>
        <w:autoSpaceDE w:val="0"/>
        <w:autoSpaceDN w:val="0"/>
        <w:adjustRightInd w:val="0"/>
        <w:rPr>
          <w:rFonts w:asciiTheme="minorHAnsi" w:hAnsiTheme="minorHAnsi" w:cstheme="minorHAnsi"/>
          <w:color w:val="59595B"/>
          <w:sz w:val="22"/>
          <w:szCs w:val="22"/>
          <w:lang w:val="en-GB"/>
        </w:rPr>
      </w:pPr>
      <w:r w:rsidRPr="00426BBC">
        <w:rPr>
          <w:rFonts w:asciiTheme="minorHAnsi" w:hAnsiTheme="minorHAnsi" w:cstheme="minorHAnsi"/>
          <w:color w:val="59595B"/>
          <w:sz w:val="22"/>
          <w:szCs w:val="22"/>
          <w:lang w:val="en-GB"/>
        </w:rPr>
        <w:t xml:space="preserve">For the remainder of 2020, the Company expects: </w:t>
      </w:r>
    </w:p>
    <w:p w14:paraId="1540FE7F" w14:textId="22BDE08B" w:rsidR="006446EE" w:rsidRPr="00426BBC"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E9120D">
        <w:rPr>
          <w:rFonts w:asciiTheme="minorHAnsi" w:hAnsiTheme="minorHAnsi" w:cstheme="minorHAnsi"/>
          <w:noProof/>
          <w:color w:val="59595B"/>
          <w:sz w:val="22"/>
        </w:rPr>
        <mc:AlternateContent>
          <mc:Choice Requires="wps">
            <w:drawing>
              <wp:anchor distT="0" distB="0" distL="114300" distR="114300" simplePos="0" relativeHeight="251660288" behindDoc="0" locked="0" layoutInCell="1" allowOverlap="1" wp14:anchorId="6567D922" wp14:editId="5C01D8A6">
                <wp:simplePos x="0" y="0"/>
                <wp:positionH relativeFrom="page">
                  <wp:posOffset>12595225</wp:posOffset>
                </wp:positionH>
                <wp:positionV relativeFrom="paragraph">
                  <wp:posOffset>34925</wp:posOffset>
                </wp:positionV>
                <wp:extent cx="92075" cy="92075"/>
                <wp:effectExtent l="3175" t="6350" r="0" b="635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5 55"/>
                            <a:gd name="T3" fmla="*/ 55 h 145"/>
                            <a:gd name="T4" fmla="+- 0 19835 19835"/>
                            <a:gd name="T5" fmla="*/ T4 w 145"/>
                            <a:gd name="T6" fmla="+- 0 127 55"/>
                            <a:gd name="T7" fmla="*/ 127 h 145"/>
                            <a:gd name="T8" fmla="+- 0 19907 19835"/>
                            <a:gd name="T9" fmla="*/ T8 w 145"/>
                            <a:gd name="T10" fmla="+- 0 199 55"/>
                            <a:gd name="T11" fmla="*/ 199 h 145"/>
                            <a:gd name="T12" fmla="+- 0 19979 19835"/>
                            <a:gd name="T13" fmla="*/ T12 w 145"/>
                            <a:gd name="T14" fmla="+- 0 127 55"/>
                            <a:gd name="T15" fmla="*/ 127 h 145"/>
                            <a:gd name="T16" fmla="+- 0 19907 19835"/>
                            <a:gd name="T17" fmla="*/ T16 w 145"/>
                            <a:gd name="T18" fmla="+- 0 55 55"/>
                            <a:gd name="T19" fmla="*/ 55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EDD71" id="Freeform: Shape 27" o:spid="_x0000_s1026" style="position:absolute;margin-left:991.75pt;margin-top:2.75pt;width:7.25pt;height: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" path="m72,l,72r72,72l144,72,72,xe" fillcolor="#49afe0" stroked="f">
                <v:path arrowok="t" o:connecttype="custom" o:connectlocs="45720,34925;0,80645;45720,126365;91440,80645;45720,34925" o:connectangles="0,0,0,0,0"/>
                <w10:wrap anchorx="page"/>
              </v:shape>
            </w:pict>
          </mc:Fallback>
        </mc:AlternateContent>
      </w:r>
      <w:r w:rsidRPr="00E9120D">
        <w:rPr>
          <w:rFonts w:asciiTheme="minorHAnsi" w:eastAsiaTheme="majorEastAsia" w:hAnsiTheme="minorHAnsi" w:cstheme="minorHAnsi"/>
          <w:color w:val="59595B"/>
          <w:sz w:val="22"/>
          <w:szCs w:val="22"/>
          <w:lang w:val="en-GB"/>
        </w:rPr>
        <w:t xml:space="preserve">Subject to progression of the COVID-19 pandemic in the US; continued growth in revenues from sales of RUCONEST®, mainly driven by the US and expanded </w:t>
      </w:r>
      <w:r w:rsidR="00B757FB" w:rsidRPr="00426BBC">
        <w:rPr>
          <w:rFonts w:asciiTheme="minorHAnsi" w:eastAsiaTheme="majorEastAsia" w:hAnsiTheme="minorHAnsi" w:cstheme="minorHAnsi"/>
          <w:color w:val="59595B"/>
          <w:sz w:val="22"/>
          <w:szCs w:val="22"/>
          <w:lang w:val="en-GB"/>
        </w:rPr>
        <w:t xml:space="preserve">EU </w:t>
      </w:r>
      <w:r w:rsidRPr="00426BBC">
        <w:rPr>
          <w:rFonts w:asciiTheme="minorHAnsi" w:eastAsiaTheme="majorEastAsia" w:hAnsiTheme="minorHAnsi" w:cstheme="minorHAnsi"/>
          <w:color w:val="59595B"/>
          <w:sz w:val="22"/>
          <w:szCs w:val="22"/>
          <w:lang w:val="en-GB"/>
        </w:rPr>
        <w:t>operations</w:t>
      </w:r>
    </w:p>
    <w:p w14:paraId="79700189" w14:textId="695C03EB" w:rsidR="006446EE" w:rsidRPr="00E9120D"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E9120D">
        <w:rPr>
          <w:rFonts w:asciiTheme="minorHAnsi" w:hAnsiTheme="minorHAnsi" w:cstheme="minorHAnsi"/>
          <w:noProof/>
          <w:color w:val="59595B"/>
          <w:sz w:val="22"/>
        </w:rPr>
        <mc:AlternateContent>
          <mc:Choice Requires="wps">
            <w:drawing>
              <wp:anchor distT="0" distB="0" distL="114300" distR="114300" simplePos="0" relativeHeight="251654144" behindDoc="0" locked="0" layoutInCell="1" allowOverlap="1" wp14:anchorId="4DE13657" wp14:editId="53EE7FDF">
                <wp:simplePos x="0" y="0"/>
                <wp:positionH relativeFrom="page">
                  <wp:posOffset>12595225</wp:posOffset>
                </wp:positionH>
                <wp:positionV relativeFrom="paragraph">
                  <wp:posOffset>34290</wp:posOffset>
                </wp:positionV>
                <wp:extent cx="92075" cy="92075"/>
                <wp:effectExtent l="3175" t="5715" r="0" b="6985"/>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D23F" id="Freeform: Shape 28" o:spid="_x0000_s1026" style="position:absolute;margin-left:991.75pt;margin-top:2.7pt;width:7.25pt;height:7.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" path="m72,l,72r72,72l144,72,72,xe" fillcolor="#49afe0" stroked="f">
                <v:path arrowok="t" o:connecttype="custom" o:connectlocs="45720,34290;0,80010;45720,125730;91440,80010;45720,34290" o:connectangles="0,0,0,0,0"/>
                <w10:wrap anchorx="page"/>
              </v:shape>
            </w:pict>
          </mc:Fallback>
        </mc:AlternateContent>
      </w:r>
      <w:r w:rsidRPr="00E9120D">
        <w:rPr>
          <w:rFonts w:asciiTheme="minorHAnsi" w:eastAsiaTheme="majorEastAsia" w:hAnsiTheme="minorHAnsi" w:cstheme="minorHAnsi"/>
          <w:color w:val="59595B"/>
          <w:sz w:val="22"/>
          <w:szCs w:val="22"/>
          <w:lang w:val="en-GB"/>
        </w:rPr>
        <w:t>Maintenance of positive net earnings during the year</w:t>
      </w:r>
    </w:p>
    <w:p w14:paraId="58F7D5D6" w14:textId="0A0F3CE5" w:rsidR="006446EE" w:rsidRPr="00426BBC"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E9120D">
        <w:rPr>
          <w:rFonts w:asciiTheme="minorHAnsi" w:hAnsiTheme="minorHAnsi" w:cstheme="minorHAnsi"/>
          <w:noProof/>
          <w:color w:val="59595B"/>
          <w:sz w:val="22"/>
        </w:rPr>
        <mc:AlternateContent>
          <mc:Choice Requires="wps">
            <w:drawing>
              <wp:anchor distT="0" distB="0" distL="114300" distR="114300" simplePos="0" relativeHeight="251656192" behindDoc="0" locked="0" layoutInCell="1" allowOverlap="1" wp14:anchorId="7FAC66CC" wp14:editId="13F0A9AE">
                <wp:simplePos x="0" y="0"/>
                <wp:positionH relativeFrom="page">
                  <wp:posOffset>12595225</wp:posOffset>
                </wp:positionH>
                <wp:positionV relativeFrom="paragraph">
                  <wp:posOffset>34290</wp:posOffset>
                </wp:positionV>
                <wp:extent cx="92075" cy="92075"/>
                <wp:effectExtent l="3175" t="5715" r="0" b="6985"/>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3CD74" id="Freeform: Shape 29" o:spid="_x0000_s1026" style="position:absolute;margin-left:991.75pt;margin-top:2.7pt;width:7.25pt;height: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" path="m72,l,72r72,72l144,72,72,xe" fillcolor="#49afe0" stroked="f">
                <v:path arrowok="t" o:connecttype="custom" o:connectlocs="45720,34290;0,80010;45720,125730;91440,80010;45720,34290" o:connectangles="0,0,0,0,0"/>
                <w10:wrap anchorx="page"/>
              </v:shape>
            </w:pict>
          </mc:Fallback>
        </mc:AlternateContent>
      </w:r>
      <w:r w:rsidRPr="00E9120D">
        <w:rPr>
          <w:rFonts w:asciiTheme="minorHAnsi" w:eastAsiaTheme="majorEastAsia" w:hAnsiTheme="minorHAnsi" w:cstheme="minorHAnsi"/>
          <w:color w:val="59595B"/>
          <w:sz w:val="22"/>
          <w:szCs w:val="22"/>
          <w:lang w:val="en-GB"/>
        </w:rPr>
        <w:t>Continued investment in the expansion of production of RUCONEST® in order to ensure continuity of supply to the growing markets in the US, Europe, China and the RoW</w:t>
      </w:r>
    </w:p>
    <w:p w14:paraId="36D35054" w14:textId="59927AD3" w:rsidR="006446EE" w:rsidRPr="00426BBC"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E9120D">
        <w:rPr>
          <w:rFonts w:asciiTheme="minorHAnsi" w:eastAsiaTheme="majorEastAsia" w:hAnsiTheme="minorHAnsi" w:cstheme="minorHAnsi"/>
          <w:noProof/>
          <w:color w:val="59595B"/>
          <w:sz w:val="22"/>
        </w:rPr>
        <mc:AlternateContent>
          <mc:Choice Requires="wps">
            <w:drawing>
              <wp:anchor distT="0" distB="0" distL="114300" distR="114300" simplePos="0" relativeHeight="251663360" behindDoc="0" locked="0" layoutInCell="1" allowOverlap="1" wp14:anchorId="12AA3E92" wp14:editId="282F3005">
                <wp:simplePos x="0" y="0"/>
                <wp:positionH relativeFrom="page">
                  <wp:posOffset>12595225</wp:posOffset>
                </wp:positionH>
                <wp:positionV relativeFrom="paragraph">
                  <wp:posOffset>34290</wp:posOffset>
                </wp:positionV>
                <wp:extent cx="92075" cy="92075"/>
                <wp:effectExtent l="3175" t="5715" r="0" b="6985"/>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DA09" id="Freeform: Shape 30" o:spid="_x0000_s1026" style="position:absolute;margin-left:991.75pt;margin-top:2.7pt;width:7.25pt;height: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" path="m72,l,72r72,72l144,72,72,xe" fillcolor="#49afe0" stroked="f">
                <v:path arrowok="t" o:connecttype="custom" o:connectlocs="45720,34290;0,80010;45720,125730;91440,80010;45720,34290" o:connectangles="0,0,0,0,0"/>
                <w10:wrap anchorx="page"/>
              </v:shape>
            </w:pict>
          </mc:Fallback>
        </mc:AlternateContent>
      </w:r>
      <w:r w:rsidRPr="00E9120D">
        <w:rPr>
          <w:rFonts w:asciiTheme="minorHAnsi" w:eastAsiaTheme="majorEastAsia" w:hAnsiTheme="minorHAnsi" w:cstheme="minorHAnsi"/>
          <w:color w:val="59595B"/>
          <w:sz w:val="22"/>
          <w:szCs w:val="22"/>
          <w:lang w:val="en-GB"/>
        </w:rPr>
        <w:t xml:space="preserve">Investment in the ongoing clinical trials for pre-eclampsia and acute kidney injury, </w:t>
      </w:r>
      <w:r w:rsidR="007F0351" w:rsidRPr="00E9120D">
        <w:rPr>
          <w:rFonts w:asciiTheme="minorHAnsi" w:eastAsiaTheme="majorEastAsia" w:hAnsiTheme="minorHAnsi" w:cstheme="minorHAnsi"/>
          <w:color w:val="59595B"/>
          <w:sz w:val="22"/>
          <w:szCs w:val="22"/>
          <w:lang w:val="en-GB"/>
        </w:rPr>
        <w:t>severe pneumonia as a result of C</w:t>
      </w:r>
      <w:r w:rsidR="007F0351" w:rsidRPr="00426BBC">
        <w:rPr>
          <w:rFonts w:asciiTheme="minorHAnsi" w:eastAsiaTheme="majorEastAsia" w:hAnsiTheme="minorHAnsi" w:cstheme="minorHAnsi"/>
          <w:color w:val="59595B"/>
          <w:sz w:val="22"/>
          <w:szCs w:val="22"/>
          <w:lang w:val="en-GB"/>
        </w:rPr>
        <w:t>OVID-19</w:t>
      </w:r>
      <w:r w:rsidR="00FC0544" w:rsidRPr="00426BBC">
        <w:rPr>
          <w:rFonts w:asciiTheme="minorHAnsi" w:eastAsiaTheme="majorEastAsia" w:hAnsiTheme="minorHAnsi" w:cstheme="minorHAnsi"/>
          <w:color w:val="59595B"/>
          <w:sz w:val="22"/>
          <w:szCs w:val="22"/>
          <w:lang w:val="en-GB"/>
        </w:rPr>
        <w:t xml:space="preserve"> infection</w:t>
      </w:r>
      <w:r w:rsidR="007F0351" w:rsidRPr="00426BBC">
        <w:rPr>
          <w:rFonts w:asciiTheme="minorHAnsi" w:eastAsiaTheme="majorEastAsia" w:hAnsiTheme="minorHAnsi" w:cstheme="minorHAnsi"/>
          <w:color w:val="59595B"/>
          <w:sz w:val="22"/>
          <w:szCs w:val="22"/>
          <w:lang w:val="en-GB"/>
        </w:rPr>
        <w:t xml:space="preserve"> </w:t>
      </w:r>
      <w:r w:rsidRPr="00426BBC">
        <w:rPr>
          <w:rFonts w:asciiTheme="minorHAnsi" w:eastAsiaTheme="majorEastAsia" w:hAnsiTheme="minorHAnsi" w:cstheme="minorHAnsi"/>
          <w:color w:val="59595B"/>
          <w:sz w:val="22"/>
          <w:szCs w:val="22"/>
          <w:lang w:val="en-GB"/>
        </w:rPr>
        <w:t xml:space="preserve">and support for investigators wishing to explore additional indications for </w:t>
      </w:r>
      <w:r w:rsidR="004914D1" w:rsidRPr="00426BBC">
        <w:rPr>
          <w:rFonts w:asciiTheme="minorHAnsi" w:eastAsiaTheme="majorEastAsia" w:hAnsiTheme="minorHAnsi" w:cstheme="minorHAnsi"/>
          <w:color w:val="59595B"/>
          <w:sz w:val="22"/>
          <w:szCs w:val="22"/>
          <w:lang w:val="en-GB"/>
        </w:rPr>
        <w:t>rhC1INH</w:t>
      </w:r>
    </w:p>
    <w:p w14:paraId="77315D64" w14:textId="10723C12" w:rsidR="006446EE" w:rsidRPr="00426BBC"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426BBC">
        <w:rPr>
          <w:rFonts w:asciiTheme="minorHAnsi" w:eastAsiaTheme="majorEastAsia" w:hAnsiTheme="minorHAnsi" w:cstheme="minorHAnsi"/>
          <w:color w:val="59595B"/>
          <w:sz w:val="22"/>
          <w:szCs w:val="22"/>
          <w:lang w:val="en-GB"/>
        </w:rPr>
        <w:t xml:space="preserve">Investment in the continuing registration-enabling study for leniolisib for APDS, leading to headline data </w:t>
      </w:r>
      <w:r w:rsidR="0066379E" w:rsidRPr="00426BBC">
        <w:rPr>
          <w:rFonts w:asciiTheme="minorHAnsi" w:eastAsiaTheme="majorEastAsia" w:hAnsiTheme="minorHAnsi" w:cstheme="minorHAnsi"/>
          <w:color w:val="59595B"/>
          <w:sz w:val="22"/>
          <w:szCs w:val="22"/>
          <w:lang w:val="en-GB"/>
        </w:rPr>
        <w:t xml:space="preserve">mid </w:t>
      </w:r>
      <w:r w:rsidRPr="00426BBC">
        <w:rPr>
          <w:rFonts w:asciiTheme="minorHAnsi" w:eastAsiaTheme="majorEastAsia" w:hAnsiTheme="minorHAnsi" w:cstheme="minorHAnsi"/>
          <w:color w:val="59595B"/>
          <w:sz w:val="22"/>
          <w:szCs w:val="22"/>
          <w:lang w:val="en-GB"/>
        </w:rPr>
        <w:t>2021</w:t>
      </w:r>
    </w:p>
    <w:p w14:paraId="3BD8CCA6" w14:textId="6CB3EDB4" w:rsidR="006446EE" w:rsidRPr="004F1620"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E9120D">
        <w:rPr>
          <w:rFonts w:asciiTheme="minorHAnsi" w:eastAsiaTheme="majorEastAsia" w:hAnsiTheme="minorHAnsi" w:cstheme="minorHAnsi"/>
          <w:noProof/>
          <w:color w:val="59595B"/>
          <w:sz w:val="22"/>
        </w:rPr>
        <mc:AlternateContent>
          <mc:Choice Requires="wps">
            <w:drawing>
              <wp:anchor distT="0" distB="0" distL="114300" distR="114300" simplePos="0" relativeHeight="251651072" behindDoc="0" locked="0" layoutInCell="1" allowOverlap="1" wp14:anchorId="35520682" wp14:editId="26D08923">
                <wp:simplePos x="0" y="0"/>
                <wp:positionH relativeFrom="page">
                  <wp:posOffset>12595225</wp:posOffset>
                </wp:positionH>
                <wp:positionV relativeFrom="paragraph">
                  <wp:posOffset>34290</wp:posOffset>
                </wp:positionV>
                <wp:extent cx="92075" cy="92075"/>
                <wp:effectExtent l="3175" t="5715" r="0" b="6985"/>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8B752" id="Freeform: Shape 31" o:spid="_x0000_s1026" style="position:absolute;margin-left:991.75pt;margin-top:2.7pt;width:7.25pt;height:7.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" path="m72,l,72r72,72l144,72,72,xe" fillcolor="#49afe0" stroked="f">
                <v:path arrowok="t" o:connecttype="custom" o:connectlocs="45720,34290;0,80010;45720,125730;91440,80010;45720,34290" o:connectangles="0,0,0,0,0"/>
                <w10:wrap anchorx="page"/>
              </v:shape>
            </w:pict>
          </mc:Fallback>
        </mc:AlternateContent>
      </w:r>
      <w:r w:rsidRPr="00E9120D">
        <w:rPr>
          <w:rFonts w:asciiTheme="minorHAnsi" w:eastAsiaTheme="majorEastAsia" w:hAnsiTheme="minorHAnsi" w:cstheme="minorHAnsi"/>
          <w:color w:val="59595B"/>
          <w:sz w:val="22"/>
          <w:szCs w:val="22"/>
          <w:lang w:val="en-GB"/>
        </w:rPr>
        <w:t xml:space="preserve">Investment in </w:t>
      </w:r>
      <w:r w:rsidR="00E47BBB" w:rsidRPr="00E9120D">
        <w:rPr>
          <w:rFonts w:asciiTheme="minorHAnsi" w:eastAsiaTheme="majorEastAsia" w:hAnsiTheme="minorHAnsi" w:cstheme="minorHAnsi"/>
          <w:color w:val="59595B"/>
          <w:sz w:val="22"/>
          <w:szCs w:val="22"/>
          <w:lang w:val="en-GB"/>
        </w:rPr>
        <w:t xml:space="preserve">upscaling and IND </w:t>
      </w:r>
      <w:r w:rsidR="00E47BBB" w:rsidRPr="00E008A5">
        <w:rPr>
          <w:rFonts w:asciiTheme="minorHAnsi" w:eastAsiaTheme="majorEastAsia" w:hAnsiTheme="minorHAnsi" w:cstheme="minorHAnsi"/>
          <w:color w:val="59595B"/>
          <w:sz w:val="22"/>
          <w:szCs w:val="22"/>
          <w:lang w:val="en-GB"/>
        </w:rPr>
        <w:t>enabling studies</w:t>
      </w:r>
      <w:r w:rsidRPr="00E008A5">
        <w:rPr>
          <w:rFonts w:asciiTheme="minorHAnsi" w:eastAsiaTheme="majorEastAsia" w:hAnsiTheme="minorHAnsi" w:cstheme="minorHAnsi"/>
          <w:color w:val="59595B"/>
          <w:sz w:val="22"/>
          <w:szCs w:val="22"/>
          <w:lang w:val="en-GB"/>
        </w:rPr>
        <w:t xml:space="preserve"> for α-glucosidase in Pompe disease</w:t>
      </w:r>
      <w:r w:rsidR="006C3F0E" w:rsidRPr="001824A8">
        <w:rPr>
          <w:rFonts w:asciiTheme="minorHAnsi" w:eastAsiaTheme="majorEastAsia" w:hAnsiTheme="minorHAnsi" w:cstheme="minorHAnsi"/>
          <w:color w:val="59595B"/>
          <w:sz w:val="22"/>
          <w:szCs w:val="22"/>
          <w:lang w:val="en-GB"/>
        </w:rPr>
        <w:t>.</w:t>
      </w:r>
    </w:p>
    <w:p w14:paraId="072FD7F2" w14:textId="1AABAC9F" w:rsidR="006446EE" w:rsidRPr="00426BBC"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426BBC">
        <w:rPr>
          <w:rFonts w:asciiTheme="minorHAnsi" w:eastAsiaTheme="majorEastAsia" w:hAnsiTheme="minorHAnsi" w:cstheme="minorHAnsi"/>
          <w:color w:val="59595B"/>
          <w:sz w:val="22"/>
          <w:szCs w:val="22"/>
          <w:lang w:val="en-GB"/>
        </w:rPr>
        <w:t>Investment in acquisitions</w:t>
      </w:r>
      <w:r w:rsidR="006C636D" w:rsidRPr="00426BBC">
        <w:rPr>
          <w:rFonts w:asciiTheme="minorHAnsi" w:eastAsiaTheme="majorEastAsia" w:hAnsiTheme="minorHAnsi" w:cstheme="minorHAnsi"/>
          <w:color w:val="59595B"/>
          <w:sz w:val="22"/>
          <w:szCs w:val="22"/>
          <w:lang w:val="en-GB"/>
        </w:rPr>
        <w:t xml:space="preserve"> </w:t>
      </w:r>
      <w:r w:rsidRPr="00426BBC">
        <w:rPr>
          <w:rFonts w:asciiTheme="minorHAnsi" w:eastAsiaTheme="majorEastAsia" w:hAnsiTheme="minorHAnsi" w:cstheme="minorHAnsi"/>
          <w:color w:val="59595B"/>
          <w:sz w:val="22"/>
          <w:szCs w:val="22"/>
          <w:lang w:val="en-GB"/>
        </w:rPr>
        <w:t>/ in-licensing of other new development opportunities and assets as these occur</w:t>
      </w:r>
    </w:p>
    <w:p w14:paraId="517C1802" w14:textId="470A0EA0" w:rsidR="006446EE" w:rsidRPr="00E9120D"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E9120D">
        <w:rPr>
          <w:rFonts w:asciiTheme="minorHAnsi" w:eastAsiaTheme="majorEastAsia" w:hAnsiTheme="minorHAnsi" w:cstheme="minorHAnsi"/>
          <w:noProof/>
          <w:color w:val="59595B"/>
          <w:sz w:val="22"/>
        </w:rPr>
        <mc:AlternateContent>
          <mc:Choice Requires="wps">
            <w:drawing>
              <wp:anchor distT="0" distB="0" distL="114300" distR="114300" simplePos="0" relativeHeight="251666432" behindDoc="0" locked="0" layoutInCell="1" allowOverlap="1" wp14:anchorId="2929CA60" wp14:editId="4345835E">
                <wp:simplePos x="0" y="0"/>
                <wp:positionH relativeFrom="page">
                  <wp:posOffset>12595225</wp:posOffset>
                </wp:positionH>
                <wp:positionV relativeFrom="paragraph">
                  <wp:posOffset>34290</wp:posOffset>
                </wp:positionV>
                <wp:extent cx="92075" cy="92075"/>
                <wp:effectExtent l="3175" t="5715" r="0" b="6985"/>
                <wp:wrapNone/>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B63E9" id="Freeform: Shape 32" o:spid="_x0000_s1026" style="position:absolute;margin-left:991.75pt;margin-top:2.7pt;width:7.25pt;height: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" path="m72,l,72r72,72l144,72,72,xe" fillcolor="#49afe0" stroked="f">
                <v:path arrowok="t" o:connecttype="custom" o:connectlocs="45720,34290;0,80010;45720,125730;91440,80010;45720,34290" o:connectangles="0,0,0,0,0"/>
                <w10:wrap anchorx="page"/>
              </v:shape>
            </w:pict>
          </mc:Fallback>
        </mc:AlternateContent>
      </w:r>
      <w:r w:rsidRPr="00E9120D">
        <w:rPr>
          <w:rFonts w:asciiTheme="minorHAnsi" w:eastAsiaTheme="majorEastAsia" w:hAnsiTheme="minorHAnsi" w:cstheme="minorHAnsi"/>
          <w:color w:val="59595B"/>
          <w:sz w:val="22"/>
          <w:szCs w:val="22"/>
          <w:lang w:val="en-GB"/>
        </w:rPr>
        <w:t>Increasing marketing activity where this can be profit-enhancing for Pharming</w:t>
      </w:r>
    </w:p>
    <w:p w14:paraId="20B1EE4E" w14:textId="67DFF92C" w:rsidR="006446EE" w:rsidRPr="00426BBC" w:rsidRDefault="006446EE" w:rsidP="00EF50DE">
      <w:pPr>
        <w:pStyle w:val="ListParagraph"/>
        <w:numPr>
          <w:ilvl w:val="0"/>
          <w:numId w:val="4"/>
        </w:numPr>
        <w:ind w:left="714" w:hanging="357"/>
        <w:contextualSpacing w:val="0"/>
        <w:rPr>
          <w:rFonts w:asciiTheme="minorHAnsi" w:eastAsiaTheme="majorEastAsia" w:hAnsiTheme="minorHAnsi" w:cstheme="minorHAnsi"/>
          <w:color w:val="59595B"/>
          <w:sz w:val="22"/>
          <w:szCs w:val="22"/>
          <w:lang w:val="en-GB"/>
        </w:rPr>
      </w:pPr>
      <w:r w:rsidRPr="00426BBC">
        <w:rPr>
          <w:rFonts w:asciiTheme="minorHAnsi" w:eastAsiaTheme="majorEastAsia" w:hAnsiTheme="minorHAnsi" w:cstheme="minorHAnsi"/>
          <w:color w:val="59595B"/>
          <w:sz w:val="22"/>
          <w:szCs w:val="22"/>
          <w:lang w:val="en-GB"/>
        </w:rPr>
        <w:t>Continued close monitoring of the ongoing COVID-19 pandemic and the potential impact on the business</w:t>
      </w:r>
    </w:p>
    <w:p w14:paraId="43DE8B8B" w14:textId="77777777" w:rsidR="001678EB" w:rsidRPr="00426BBC" w:rsidRDefault="001678EB" w:rsidP="00EA6368">
      <w:pPr>
        <w:shd w:val="clear" w:color="auto" w:fill="FFFFFF"/>
        <w:autoSpaceDE w:val="0"/>
        <w:autoSpaceDN w:val="0"/>
        <w:adjustRightInd w:val="0"/>
        <w:rPr>
          <w:rFonts w:asciiTheme="minorHAnsi" w:eastAsia="Calibri" w:hAnsiTheme="minorHAnsi" w:cstheme="minorHAnsi"/>
          <w:color w:val="59595B"/>
          <w:sz w:val="22"/>
          <w:szCs w:val="22"/>
          <w:lang w:val="en-GB"/>
        </w:rPr>
      </w:pPr>
    </w:p>
    <w:p w14:paraId="650FD730" w14:textId="117B57A8" w:rsidR="006446EE" w:rsidRPr="00426BBC" w:rsidRDefault="006446EE" w:rsidP="00EA6368">
      <w:pPr>
        <w:shd w:val="clear" w:color="auto" w:fill="FFFFFF"/>
        <w:autoSpaceDE w:val="0"/>
        <w:autoSpaceDN w:val="0"/>
        <w:adjustRightInd w:val="0"/>
        <w:rPr>
          <w:rFonts w:asciiTheme="minorHAnsi" w:eastAsia="Calibri" w:hAnsiTheme="minorHAnsi" w:cstheme="minorHAnsi"/>
          <w:color w:val="59595B"/>
          <w:sz w:val="22"/>
          <w:szCs w:val="22"/>
          <w:lang w:val="en-GB"/>
        </w:rPr>
      </w:pPr>
      <w:r w:rsidRPr="00426BBC">
        <w:rPr>
          <w:rFonts w:asciiTheme="minorHAnsi" w:eastAsia="Calibri" w:hAnsiTheme="minorHAnsi" w:cstheme="minorHAnsi"/>
          <w:color w:val="59595B"/>
          <w:sz w:val="22"/>
          <w:szCs w:val="22"/>
          <w:lang w:val="en-GB"/>
        </w:rPr>
        <w:t>No further financial guidance for 2020 is provided.</w:t>
      </w:r>
    </w:p>
    <w:p w14:paraId="2BBF36C3" w14:textId="644007D1" w:rsidR="006446EE" w:rsidRDefault="006446EE" w:rsidP="00EA6368">
      <w:pPr>
        <w:jc w:val="left"/>
        <w:rPr>
          <w:rStyle w:val="Strong"/>
          <w:rFonts w:asciiTheme="minorHAnsi" w:hAnsiTheme="minorHAnsi" w:cstheme="minorHAnsi"/>
          <w:color w:val="0070C0"/>
          <w:szCs w:val="22"/>
          <w:shd w:val="clear" w:color="auto" w:fill="FFFFFF"/>
          <w:lang w:val="en-GB"/>
        </w:rPr>
      </w:pPr>
    </w:p>
    <w:p w14:paraId="0778BBF0" w14:textId="77777777" w:rsidR="00B276C5" w:rsidRPr="00426BBC" w:rsidRDefault="00B276C5" w:rsidP="00EA6368">
      <w:pPr>
        <w:jc w:val="left"/>
        <w:rPr>
          <w:rStyle w:val="Strong"/>
          <w:rFonts w:asciiTheme="minorHAnsi" w:hAnsiTheme="minorHAnsi" w:cstheme="minorHAnsi"/>
          <w:color w:val="0070C0"/>
          <w:szCs w:val="22"/>
          <w:shd w:val="clear" w:color="auto" w:fill="FFFFFF"/>
          <w:lang w:val="en-GB"/>
        </w:rPr>
      </w:pPr>
    </w:p>
    <w:p w14:paraId="7C160A3F" w14:textId="4D1377C8" w:rsidR="009C5F26" w:rsidRPr="00E008A5" w:rsidRDefault="009C5F26" w:rsidP="00EA6368">
      <w:pPr>
        <w:contextualSpacing/>
        <w:jc w:val="left"/>
        <w:rPr>
          <w:rFonts w:asciiTheme="minorHAnsi" w:eastAsia="Calibri" w:hAnsiTheme="minorHAnsi" w:cstheme="minorHAnsi"/>
          <w:b/>
          <w:bCs/>
          <w:sz w:val="22"/>
          <w:szCs w:val="22"/>
          <w:shd w:val="clear" w:color="auto" w:fill="FFFFFF"/>
          <w:lang w:val="en-GB"/>
        </w:rPr>
      </w:pPr>
      <w:r w:rsidRPr="00E008A5">
        <w:rPr>
          <w:rFonts w:asciiTheme="minorHAnsi" w:eastAsia="Calibri" w:hAnsiTheme="minorHAnsi" w:cstheme="minorHAnsi"/>
          <w:b/>
          <w:bCs/>
          <w:sz w:val="22"/>
          <w:szCs w:val="22"/>
          <w:shd w:val="clear" w:color="auto" w:fill="FFFFFF"/>
          <w:lang w:val="en-GB"/>
        </w:rPr>
        <w:t>About Pharming Group N.V.</w:t>
      </w:r>
      <w:r w:rsidR="004914D1" w:rsidRPr="00E008A5">
        <w:rPr>
          <w:rFonts w:asciiTheme="minorHAnsi" w:eastAsia="Calibri" w:hAnsiTheme="minorHAnsi" w:cstheme="minorHAnsi"/>
          <w:b/>
          <w:bCs/>
          <w:sz w:val="22"/>
          <w:szCs w:val="22"/>
          <w:shd w:val="clear" w:color="auto" w:fill="FFFFFF"/>
          <w:lang w:val="en-GB"/>
        </w:rPr>
        <w:t xml:space="preserve"> </w:t>
      </w:r>
    </w:p>
    <w:p w14:paraId="3C1D7F2D" w14:textId="77777777" w:rsidR="00AA7857" w:rsidRPr="005F1520" w:rsidRDefault="00AA7857" w:rsidP="005F1520">
      <w:pPr>
        <w:spacing w:before="120" w:after="120"/>
        <w:rPr>
          <w:rFonts w:asciiTheme="minorHAnsi" w:eastAsia="Calibri" w:hAnsiTheme="minorHAnsi" w:cstheme="minorHAnsi"/>
          <w:color w:val="59595B"/>
          <w:sz w:val="22"/>
          <w:szCs w:val="22"/>
          <w:lang w:val="en-GB"/>
        </w:rPr>
      </w:pPr>
      <w:r w:rsidRPr="005F1520">
        <w:rPr>
          <w:rFonts w:asciiTheme="minorHAnsi" w:eastAsia="Calibri" w:hAnsiTheme="minorHAnsi" w:cstheme="minorHAnsi"/>
          <w:color w:val="59595B"/>
          <w:sz w:val="22"/>
          <w:szCs w:val="22"/>
          <w:lang w:val="en-GB"/>
        </w:rPr>
        <w:t xml:space="preserve">Pharming Group N.V. is a global, commercial stage biopharmaceutical company developing innovative protein replacement therapies and precision medicines for the treatment of rare diseases and unmet medical needs. </w:t>
      </w:r>
    </w:p>
    <w:p w14:paraId="5AEF5E4F" w14:textId="5006702A" w:rsidR="00076884" w:rsidRPr="005F1520" w:rsidRDefault="00AA7857" w:rsidP="005F1520">
      <w:pPr>
        <w:spacing w:before="120" w:after="120"/>
        <w:rPr>
          <w:rFonts w:asciiTheme="minorHAnsi" w:eastAsia="Calibri" w:hAnsiTheme="minorHAnsi" w:cstheme="minorHAnsi"/>
          <w:color w:val="59595B"/>
          <w:sz w:val="22"/>
          <w:szCs w:val="22"/>
          <w:lang w:val="en-GB"/>
        </w:rPr>
      </w:pPr>
      <w:r w:rsidRPr="005F1520">
        <w:rPr>
          <w:rFonts w:asciiTheme="minorHAnsi" w:eastAsia="Calibri" w:hAnsiTheme="minorHAnsi" w:cstheme="minorHAnsi"/>
          <w:color w:val="59595B"/>
          <w:sz w:val="22"/>
          <w:szCs w:val="22"/>
          <w:lang w:val="en-GB"/>
        </w:rPr>
        <w:t xml:space="preserve">The flagship of our portfolio is our recombinant human C1 esterase inhibitor, or rhC1INH, franchise. C1INH is a naturally occurring protein that downregulates the complement cascade in order to control swelling in affected tissues. </w:t>
      </w:r>
    </w:p>
    <w:p w14:paraId="62D993C2" w14:textId="02E89575" w:rsidR="00076884" w:rsidRPr="005F1520" w:rsidRDefault="00AA7857" w:rsidP="005F1520">
      <w:pPr>
        <w:spacing w:before="120" w:after="120"/>
        <w:rPr>
          <w:rFonts w:asciiTheme="minorHAnsi" w:eastAsia="Calibri" w:hAnsiTheme="minorHAnsi" w:cstheme="minorHAnsi"/>
          <w:color w:val="59595B"/>
          <w:sz w:val="22"/>
          <w:szCs w:val="22"/>
          <w:lang w:val="en-GB"/>
        </w:rPr>
      </w:pPr>
      <w:r w:rsidRPr="005F1520">
        <w:rPr>
          <w:rFonts w:asciiTheme="minorHAnsi" w:eastAsia="Calibri" w:hAnsiTheme="minorHAnsi" w:cstheme="minorHAnsi"/>
          <w:color w:val="59595B"/>
          <w:sz w:val="22"/>
          <w:szCs w:val="22"/>
          <w:lang w:val="en-GB"/>
        </w:rPr>
        <w:t xml:space="preserve">Our lead product, RUCONEST® is the first and only plasma-free rhC1INH protein replacement therapy. It is approved for the treatment of acute hereditary angioedema, or HAE, attacks. We are </w:t>
      </w:r>
      <w:r w:rsidR="00D65EF4" w:rsidRPr="005F1520">
        <w:rPr>
          <w:rFonts w:asciiTheme="minorHAnsi" w:eastAsia="Calibri" w:hAnsiTheme="minorHAnsi" w:cstheme="minorHAnsi"/>
          <w:color w:val="59595B"/>
          <w:sz w:val="22"/>
          <w:szCs w:val="22"/>
          <w:lang w:val="en-GB"/>
        </w:rPr>
        <w:t>c</w:t>
      </w:r>
      <w:r w:rsidRPr="005F1520">
        <w:rPr>
          <w:rFonts w:asciiTheme="minorHAnsi" w:eastAsia="Calibri" w:hAnsiTheme="minorHAnsi" w:cstheme="minorHAnsi"/>
          <w:color w:val="59595B"/>
          <w:sz w:val="22"/>
          <w:szCs w:val="22"/>
          <w:lang w:val="en-GB"/>
        </w:rPr>
        <w:t>ommercializing RUCONEST® in the United States, the European Union and the United Kingdom through our own sales and marketing organization,</w:t>
      </w:r>
      <w:r w:rsidR="00076884" w:rsidRPr="005F1520">
        <w:rPr>
          <w:rFonts w:asciiTheme="minorHAnsi" w:eastAsia="Calibri" w:hAnsiTheme="minorHAnsi" w:cstheme="minorHAnsi"/>
          <w:color w:val="59595B"/>
          <w:sz w:val="22"/>
          <w:szCs w:val="22"/>
          <w:lang w:val="en-GB"/>
        </w:rPr>
        <w:t xml:space="preserve"> </w:t>
      </w:r>
      <w:r w:rsidRPr="005F1520">
        <w:rPr>
          <w:rFonts w:asciiTheme="minorHAnsi" w:eastAsia="Calibri" w:hAnsiTheme="minorHAnsi" w:cstheme="minorHAnsi"/>
          <w:color w:val="59595B"/>
          <w:sz w:val="22"/>
          <w:szCs w:val="22"/>
          <w:lang w:val="en-GB"/>
        </w:rPr>
        <w:t xml:space="preserve">and the rest of the world through our distribution network. </w:t>
      </w:r>
    </w:p>
    <w:p w14:paraId="658A61A5" w14:textId="3BE04BA8" w:rsidR="00076884" w:rsidRPr="005F1520" w:rsidRDefault="00AA7857" w:rsidP="005F1520">
      <w:pPr>
        <w:spacing w:before="120" w:after="120"/>
        <w:rPr>
          <w:rFonts w:asciiTheme="minorHAnsi" w:eastAsia="Calibri" w:hAnsiTheme="minorHAnsi" w:cstheme="minorHAnsi"/>
          <w:color w:val="59595B"/>
          <w:sz w:val="22"/>
          <w:szCs w:val="22"/>
          <w:lang w:val="en-GB"/>
        </w:rPr>
      </w:pPr>
      <w:r w:rsidRPr="005F1520">
        <w:rPr>
          <w:rFonts w:asciiTheme="minorHAnsi" w:eastAsia="Calibri" w:hAnsiTheme="minorHAnsi" w:cstheme="minorHAnsi"/>
          <w:color w:val="59595B"/>
          <w:sz w:val="22"/>
          <w:szCs w:val="22"/>
          <w:lang w:val="en-GB"/>
        </w:rPr>
        <w:t xml:space="preserve">We are also developing rhC1INH for subsequent indications, including pre-eclampsia, </w:t>
      </w:r>
      <w:r w:rsidR="00244422" w:rsidRPr="005F1520">
        <w:rPr>
          <w:rFonts w:asciiTheme="minorHAnsi" w:eastAsia="Calibri" w:hAnsiTheme="minorHAnsi" w:cstheme="minorHAnsi"/>
          <w:color w:val="59595B"/>
          <w:sz w:val="22"/>
          <w:szCs w:val="22"/>
          <w:lang w:val="en-GB"/>
        </w:rPr>
        <w:t>a</w:t>
      </w:r>
      <w:r w:rsidRPr="005F1520">
        <w:rPr>
          <w:rFonts w:asciiTheme="minorHAnsi" w:eastAsia="Calibri" w:hAnsiTheme="minorHAnsi" w:cstheme="minorHAnsi"/>
          <w:color w:val="59595B"/>
          <w:sz w:val="22"/>
          <w:szCs w:val="22"/>
          <w:lang w:val="en-GB"/>
        </w:rPr>
        <w:t xml:space="preserve">cute </w:t>
      </w:r>
      <w:r w:rsidR="00244422" w:rsidRPr="005F1520">
        <w:rPr>
          <w:rFonts w:asciiTheme="minorHAnsi" w:eastAsia="Calibri" w:hAnsiTheme="minorHAnsi" w:cstheme="minorHAnsi"/>
          <w:color w:val="59595B"/>
          <w:sz w:val="22"/>
          <w:szCs w:val="22"/>
          <w:lang w:val="en-GB"/>
        </w:rPr>
        <w:t>k</w:t>
      </w:r>
      <w:r w:rsidRPr="005F1520">
        <w:rPr>
          <w:rFonts w:asciiTheme="minorHAnsi" w:eastAsia="Calibri" w:hAnsiTheme="minorHAnsi" w:cstheme="minorHAnsi"/>
          <w:color w:val="59595B"/>
          <w:sz w:val="22"/>
          <w:szCs w:val="22"/>
          <w:lang w:val="en-GB"/>
        </w:rPr>
        <w:t xml:space="preserve">idney </w:t>
      </w:r>
      <w:r w:rsidR="00244422" w:rsidRPr="005F1520">
        <w:rPr>
          <w:rFonts w:asciiTheme="minorHAnsi" w:eastAsia="Calibri" w:hAnsiTheme="minorHAnsi" w:cstheme="minorHAnsi"/>
          <w:color w:val="59595B"/>
          <w:sz w:val="22"/>
          <w:szCs w:val="22"/>
          <w:lang w:val="en-GB"/>
        </w:rPr>
        <w:t>i</w:t>
      </w:r>
      <w:r w:rsidRPr="005F1520">
        <w:rPr>
          <w:rFonts w:asciiTheme="minorHAnsi" w:eastAsia="Calibri" w:hAnsiTheme="minorHAnsi" w:cstheme="minorHAnsi"/>
          <w:color w:val="59595B"/>
          <w:sz w:val="22"/>
          <w:szCs w:val="22"/>
          <w:lang w:val="en-GB"/>
        </w:rPr>
        <w:t xml:space="preserve">njury and we also investigating the clinical efficacy of rhC1INH in COVID-19. </w:t>
      </w:r>
    </w:p>
    <w:p w14:paraId="5290A989" w14:textId="77777777" w:rsidR="00076884" w:rsidRPr="005F1520" w:rsidRDefault="00AA7857" w:rsidP="005F1520">
      <w:pPr>
        <w:spacing w:before="120" w:after="120"/>
        <w:rPr>
          <w:rFonts w:asciiTheme="minorHAnsi" w:eastAsia="Calibri" w:hAnsiTheme="minorHAnsi" w:cstheme="minorHAnsi"/>
          <w:color w:val="59595B"/>
          <w:sz w:val="22"/>
          <w:szCs w:val="22"/>
          <w:lang w:val="en-GB"/>
        </w:rPr>
      </w:pPr>
      <w:r w:rsidRPr="005F1520">
        <w:rPr>
          <w:rFonts w:asciiTheme="minorHAnsi" w:eastAsia="Calibri" w:hAnsiTheme="minorHAnsi" w:cstheme="minorHAnsi"/>
          <w:color w:val="59595B"/>
          <w:sz w:val="22"/>
          <w:szCs w:val="22"/>
          <w:lang w:val="en-GB"/>
        </w:rPr>
        <w:t xml:space="preserve">In addition, we are studying our oral precision medicine, leniolisib (a phosphoinositide 3-kinase delta, or PI3K delta, inhibitor), for the treatment of activated PI3K delta syndrome, or APDS, in a registration enabling Phase 2/3 study in the US and Europe. </w:t>
      </w:r>
    </w:p>
    <w:p w14:paraId="064A0CC0" w14:textId="12C4C1D1" w:rsidR="00AA7857" w:rsidRPr="005F1520" w:rsidRDefault="00AA7857" w:rsidP="005F1520">
      <w:pPr>
        <w:spacing w:before="120" w:after="120"/>
        <w:rPr>
          <w:rFonts w:asciiTheme="minorHAnsi" w:eastAsia="Calibri" w:hAnsiTheme="minorHAnsi" w:cstheme="minorHAnsi"/>
          <w:color w:val="59595B"/>
          <w:sz w:val="22"/>
          <w:szCs w:val="22"/>
          <w:lang w:val="en-GB"/>
        </w:rPr>
      </w:pPr>
      <w:r w:rsidRPr="005F1520">
        <w:rPr>
          <w:rFonts w:asciiTheme="minorHAnsi" w:eastAsia="Calibri" w:hAnsiTheme="minorHAnsi" w:cstheme="minorHAnsi"/>
          <w:color w:val="59595B"/>
          <w:sz w:val="22"/>
          <w:szCs w:val="22"/>
          <w:lang w:val="en-GB"/>
        </w:rPr>
        <w:t>Furthermore, we are also leveraging our transgenic manufacturing technology to develop next-generation protein replacement therapies most notably for Pompe disease, which program is currently in the preclinical stage.</w:t>
      </w:r>
    </w:p>
    <w:p w14:paraId="5CD6BFB7" w14:textId="77777777" w:rsidR="00AA7857" w:rsidRPr="00E008A5" w:rsidRDefault="00AA7857" w:rsidP="005F1520">
      <w:pPr>
        <w:spacing w:before="120" w:after="240"/>
        <w:contextualSpacing/>
        <w:jc w:val="left"/>
        <w:rPr>
          <w:rFonts w:asciiTheme="minorHAnsi" w:eastAsia="Calibri" w:hAnsiTheme="minorHAnsi" w:cstheme="minorHAnsi"/>
          <w:b/>
          <w:bCs/>
          <w:color w:val="auto"/>
          <w:sz w:val="22"/>
          <w:szCs w:val="22"/>
          <w:lang w:val="en-GB"/>
        </w:rPr>
      </w:pPr>
    </w:p>
    <w:p w14:paraId="564072B1" w14:textId="77777777" w:rsidR="009C5F26" w:rsidRPr="00E008A5" w:rsidRDefault="009C5F26" w:rsidP="00EA6368">
      <w:pPr>
        <w:contextualSpacing/>
        <w:jc w:val="left"/>
        <w:rPr>
          <w:rFonts w:asciiTheme="minorHAnsi" w:eastAsia="Calibri" w:hAnsiTheme="minorHAnsi" w:cstheme="minorHAnsi"/>
          <w:color w:val="59595B"/>
          <w:sz w:val="22"/>
          <w:szCs w:val="22"/>
          <w:lang w:val="en-GB" w:eastAsia="nl-NL"/>
        </w:rPr>
      </w:pPr>
    </w:p>
    <w:p w14:paraId="1B902EB6" w14:textId="77777777" w:rsidR="00BC489A" w:rsidRDefault="00BC489A" w:rsidP="00EA6368">
      <w:pPr>
        <w:contextualSpacing/>
        <w:jc w:val="left"/>
        <w:rPr>
          <w:rFonts w:asciiTheme="minorHAnsi" w:eastAsia="Calibri" w:hAnsiTheme="minorHAnsi" w:cstheme="minorHAnsi"/>
          <w:b/>
          <w:bCs/>
          <w:sz w:val="22"/>
          <w:szCs w:val="22"/>
          <w:shd w:val="clear" w:color="auto" w:fill="FFFFFF"/>
          <w:lang w:val="en-GB"/>
        </w:rPr>
      </w:pPr>
    </w:p>
    <w:p w14:paraId="509542B5" w14:textId="77777777" w:rsidR="00BC489A" w:rsidRDefault="00BC489A" w:rsidP="00EA6368">
      <w:pPr>
        <w:contextualSpacing/>
        <w:jc w:val="left"/>
        <w:rPr>
          <w:rFonts w:asciiTheme="minorHAnsi" w:eastAsia="Calibri" w:hAnsiTheme="minorHAnsi" w:cstheme="minorHAnsi"/>
          <w:b/>
          <w:bCs/>
          <w:sz w:val="22"/>
          <w:szCs w:val="22"/>
          <w:shd w:val="clear" w:color="auto" w:fill="FFFFFF"/>
          <w:lang w:val="en-GB"/>
        </w:rPr>
      </w:pPr>
    </w:p>
    <w:p w14:paraId="1E9DA7F8" w14:textId="77777777" w:rsidR="00BC489A" w:rsidRDefault="00BC489A" w:rsidP="00EA6368">
      <w:pPr>
        <w:contextualSpacing/>
        <w:jc w:val="left"/>
        <w:rPr>
          <w:rFonts w:asciiTheme="minorHAnsi" w:eastAsia="Calibri" w:hAnsiTheme="minorHAnsi" w:cstheme="minorHAnsi"/>
          <w:b/>
          <w:bCs/>
          <w:sz w:val="22"/>
          <w:szCs w:val="22"/>
          <w:shd w:val="clear" w:color="auto" w:fill="FFFFFF"/>
          <w:lang w:val="en-GB"/>
        </w:rPr>
      </w:pPr>
    </w:p>
    <w:p w14:paraId="7BEB8EE3" w14:textId="092D0175" w:rsidR="00326BED" w:rsidRDefault="009C5F26" w:rsidP="00EA6368">
      <w:pPr>
        <w:contextualSpacing/>
        <w:jc w:val="left"/>
        <w:rPr>
          <w:rFonts w:asciiTheme="minorHAnsi" w:eastAsia="Calibri" w:hAnsiTheme="minorHAnsi" w:cstheme="minorHAnsi"/>
          <w:b/>
          <w:bCs/>
          <w:sz w:val="22"/>
          <w:szCs w:val="22"/>
          <w:shd w:val="clear" w:color="auto" w:fill="FFFFFF"/>
          <w:lang w:val="en-GB"/>
        </w:rPr>
      </w:pPr>
      <w:r w:rsidRPr="00E008A5">
        <w:rPr>
          <w:rFonts w:asciiTheme="minorHAnsi" w:eastAsia="Calibri" w:hAnsiTheme="minorHAnsi" w:cstheme="minorHAnsi"/>
          <w:b/>
          <w:bCs/>
          <w:sz w:val="22"/>
          <w:szCs w:val="22"/>
          <w:shd w:val="clear" w:color="auto" w:fill="FFFFFF"/>
          <w:lang w:val="en-GB"/>
        </w:rPr>
        <w:lastRenderedPageBreak/>
        <w:t>Forward-looking Statements</w:t>
      </w:r>
      <w:r w:rsidR="004914D1" w:rsidRPr="00E008A5">
        <w:rPr>
          <w:rFonts w:asciiTheme="minorHAnsi" w:eastAsia="Calibri" w:hAnsiTheme="minorHAnsi" w:cstheme="minorHAnsi"/>
          <w:b/>
          <w:bCs/>
          <w:sz w:val="22"/>
          <w:szCs w:val="22"/>
          <w:shd w:val="clear" w:color="auto" w:fill="FFFFFF"/>
          <w:lang w:val="en-GB"/>
        </w:rPr>
        <w:t xml:space="preserve"> </w:t>
      </w:r>
    </w:p>
    <w:p w14:paraId="36FEFEF9" w14:textId="77777777" w:rsidR="00EF50DE" w:rsidRPr="00EF50DE" w:rsidRDefault="00EF50DE" w:rsidP="00EA6368">
      <w:pPr>
        <w:contextualSpacing/>
        <w:jc w:val="left"/>
        <w:rPr>
          <w:rFonts w:asciiTheme="minorHAnsi" w:eastAsia="Calibri" w:hAnsiTheme="minorHAnsi" w:cstheme="minorHAnsi"/>
          <w:b/>
          <w:bCs/>
          <w:sz w:val="22"/>
          <w:szCs w:val="22"/>
          <w:shd w:val="clear" w:color="auto" w:fill="FFFFFF"/>
          <w:lang w:val="en-GB"/>
        </w:rPr>
      </w:pPr>
    </w:p>
    <w:p w14:paraId="0246E15F" w14:textId="277A04ED" w:rsidR="007C186D" w:rsidRPr="00E008A5" w:rsidRDefault="007C186D" w:rsidP="00B276C5">
      <w:pPr>
        <w:spacing w:before="120" w:after="120" w:line="360" w:lineRule="auto"/>
        <w:contextualSpacing/>
        <w:jc w:val="left"/>
        <w:rPr>
          <w:rFonts w:asciiTheme="minorHAnsi" w:eastAsia="MS Mincho" w:hAnsiTheme="minorHAnsi" w:cstheme="minorHAnsi"/>
          <w:i/>
          <w:iCs/>
          <w:color w:val="59595B"/>
          <w:sz w:val="22"/>
          <w:szCs w:val="22"/>
          <w:lang w:val="en-GB"/>
        </w:rPr>
      </w:pPr>
      <w:r w:rsidRPr="00E008A5">
        <w:rPr>
          <w:rFonts w:asciiTheme="minorHAnsi" w:eastAsia="MS Mincho" w:hAnsiTheme="minorHAnsi" w:cstheme="minorHAnsi"/>
          <w:i/>
          <w:iCs/>
          <w:color w:val="59595B"/>
          <w:sz w:val="22"/>
          <w:szCs w:val="22"/>
          <w:lang w:val="en-G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six months ended 30 June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714A4B4C" w14:textId="77777777" w:rsidR="007C186D" w:rsidRPr="00E008A5" w:rsidRDefault="007C186D" w:rsidP="00EA6368">
      <w:pPr>
        <w:contextualSpacing/>
        <w:jc w:val="left"/>
        <w:rPr>
          <w:rFonts w:asciiTheme="minorHAnsi" w:eastAsia="MS Mincho" w:hAnsiTheme="minorHAnsi" w:cstheme="minorHAnsi"/>
          <w:i/>
          <w:iCs/>
          <w:strike/>
          <w:color w:val="59595B"/>
          <w:sz w:val="22"/>
          <w:szCs w:val="22"/>
          <w:lang w:val="en-GB"/>
        </w:rPr>
      </w:pPr>
    </w:p>
    <w:p w14:paraId="5E64DF01" w14:textId="77777777" w:rsidR="00B276C5" w:rsidRDefault="00B276C5" w:rsidP="00EA6368">
      <w:pPr>
        <w:contextualSpacing/>
        <w:jc w:val="left"/>
        <w:rPr>
          <w:rFonts w:asciiTheme="minorHAnsi" w:hAnsiTheme="minorHAnsi" w:cstheme="minorHAnsi"/>
          <w:b/>
          <w:color w:val="59595B"/>
          <w:sz w:val="22"/>
          <w:szCs w:val="28"/>
          <w:lang w:val="en-GB" w:eastAsia="zh-CN"/>
        </w:rPr>
      </w:pPr>
    </w:p>
    <w:p w14:paraId="11E3B538" w14:textId="3BC3B789" w:rsidR="009C5F26" w:rsidRPr="00E008A5" w:rsidRDefault="009C5F26" w:rsidP="00EA6368">
      <w:pPr>
        <w:contextualSpacing/>
        <w:jc w:val="left"/>
        <w:rPr>
          <w:rFonts w:asciiTheme="minorHAnsi" w:hAnsiTheme="minorHAnsi" w:cstheme="minorHAnsi"/>
          <w:b/>
          <w:color w:val="59595B"/>
          <w:sz w:val="22"/>
          <w:szCs w:val="28"/>
          <w:lang w:val="en-GB" w:eastAsia="zh-CN"/>
        </w:rPr>
      </w:pPr>
      <w:r w:rsidRPr="00E008A5">
        <w:rPr>
          <w:rFonts w:asciiTheme="minorHAnsi" w:hAnsiTheme="minorHAnsi" w:cstheme="minorHAnsi"/>
          <w:b/>
          <w:color w:val="59595B"/>
          <w:sz w:val="22"/>
          <w:szCs w:val="28"/>
          <w:lang w:val="en-GB" w:eastAsia="zh-CN"/>
        </w:rPr>
        <w:t>For further public information, contact:</w:t>
      </w:r>
    </w:p>
    <w:p w14:paraId="67ABEC4C" w14:textId="77777777" w:rsidR="009C5F26" w:rsidRPr="00E008A5" w:rsidRDefault="009C5F26" w:rsidP="00EA6368">
      <w:pPr>
        <w:contextualSpacing/>
        <w:jc w:val="left"/>
        <w:rPr>
          <w:rFonts w:asciiTheme="minorHAnsi" w:hAnsiTheme="minorHAnsi" w:cstheme="minorHAnsi"/>
          <w:b/>
          <w:color w:val="59595B"/>
          <w:sz w:val="22"/>
          <w:szCs w:val="28"/>
          <w:lang w:val="en-GB" w:eastAsia="zh-CN"/>
        </w:rPr>
      </w:pPr>
    </w:p>
    <w:p w14:paraId="49952056" w14:textId="77777777" w:rsidR="009C5F26" w:rsidRPr="00E008A5" w:rsidRDefault="009C5F26" w:rsidP="00EA6368">
      <w:pPr>
        <w:contextualSpacing/>
        <w:jc w:val="left"/>
        <w:rPr>
          <w:rFonts w:asciiTheme="minorHAnsi" w:eastAsia="Calibri" w:hAnsiTheme="minorHAnsi" w:cstheme="minorHAnsi"/>
          <w:b/>
          <w:color w:val="59595B"/>
          <w:sz w:val="22"/>
          <w:szCs w:val="22"/>
          <w:lang w:val="en-GB"/>
        </w:rPr>
      </w:pPr>
      <w:r w:rsidRPr="00E008A5">
        <w:rPr>
          <w:rFonts w:asciiTheme="minorHAnsi" w:eastAsia="Calibri" w:hAnsiTheme="minorHAnsi" w:cstheme="minorHAnsi"/>
          <w:b/>
          <w:color w:val="59595B"/>
          <w:sz w:val="22"/>
          <w:szCs w:val="22"/>
          <w:lang w:val="en-GB"/>
        </w:rPr>
        <w:t>Pharming Group, Leiden, The Netherlands</w:t>
      </w:r>
    </w:p>
    <w:p w14:paraId="79065F53" w14:textId="77777777" w:rsidR="009C5F26" w:rsidRPr="00E008A5" w:rsidRDefault="009C5F26" w:rsidP="00EA6368">
      <w:pPr>
        <w:contextualSpacing/>
        <w:jc w:val="left"/>
        <w:rPr>
          <w:rFonts w:asciiTheme="minorHAnsi" w:eastAsia="Calibri" w:hAnsiTheme="minorHAnsi" w:cstheme="minorHAnsi"/>
          <w:color w:val="59595B"/>
          <w:sz w:val="22"/>
          <w:szCs w:val="22"/>
          <w:lang w:val="en-GB"/>
        </w:rPr>
      </w:pPr>
      <w:r w:rsidRPr="00E008A5">
        <w:rPr>
          <w:rFonts w:asciiTheme="minorHAnsi" w:eastAsia="Calibri" w:hAnsiTheme="minorHAnsi" w:cstheme="minorHAnsi"/>
          <w:color w:val="59595B"/>
          <w:sz w:val="22"/>
          <w:szCs w:val="22"/>
          <w:lang w:val="en-GB"/>
        </w:rPr>
        <w:t>Sijmen de Vries, CEO: T: +31 71 524 7400</w:t>
      </w:r>
    </w:p>
    <w:p w14:paraId="0483FC6D" w14:textId="77777777" w:rsidR="009C5F26" w:rsidRPr="00E008A5" w:rsidRDefault="009C5F26" w:rsidP="00EA6368">
      <w:pPr>
        <w:contextualSpacing/>
        <w:jc w:val="left"/>
        <w:rPr>
          <w:rFonts w:asciiTheme="minorHAnsi" w:eastAsia="SimSun" w:hAnsiTheme="minorHAnsi" w:cstheme="minorHAnsi"/>
          <w:i/>
          <w:color w:val="59595B"/>
          <w:sz w:val="22"/>
          <w:szCs w:val="22"/>
          <w:lang w:val="en-GB" w:eastAsia="zh-CN"/>
        </w:rPr>
      </w:pPr>
      <w:r w:rsidRPr="00E008A5">
        <w:rPr>
          <w:rFonts w:asciiTheme="minorHAnsi" w:eastAsia="Calibri" w:hAnsiTheme="minorHAnsi" w:cstheme="minorHAnsi"/>
          <w:color w:val="59595B"/>
          <w:sz w:val="22"/>
          <w:szCs w:val="22"/>
          <w:lang w:val="en-GB"/>
        </w:rPr>
        <w:t>Susanne Embleton, Investor Relations Manager: T: +31 71 524 7400 E: investor@pharming.com</w:t>
      </w:r>
    </w:p>
    <w:p w14:paraId="56778C15" w14:textId="77777777" w:rsidR="009C5F26" w:rsidRPr="00E008A5" w:rsidRDefault="009C5F26" w:rsidP="00EA6368">
      <w:pPr>
        <w:contextualSpacing/>
        <w:jc w:val="left"/>
        <w:rPr>
          <w:rFonts w:asciiTheme="minorHAnsi" w:eastAsia="SimSun" w:hAnsiTheme="minorHAnsi" w:cstheme="minorHAnsi"/>
          <w:b/>
          <w:color w:val="59595B"/>
          <w:sz w:val="22"/>
          <w:szCs w:val="22"/>
          <w:lang w:val="en-GB" w:eastAsia="zh-CN"/>
        </w:rPr>
      </w:pPr>
    </w:p>
    <w:p w14:paraId="4345DB18" w14:textId="77777777" w:rsidR="009C5F26" w:rsidRPr="00E008A5" w:rsidRDefault="009C5F26" w:rsidP="00EA6368">
      <w:pPr>
        <w:contextualSpacing/>
        <w:jc w:val="left"/>
        <w:rPr>
          <w:rFonts w:asciiTheme="minorHAnsi" w:eastAsia="SimSun" w:hAnsiTheme="minorHAnsi" w:cstheme="minorHAnsi"/>
          <w:b/>
          <w:color w:val="59595B"/>
          <w:sz w:val="22"/>
          <w:szCs w:val="22"/>
          <w:lang w:val="en-GB" w:eastAsia="zh-CN"/>
        </w:rPr>
      </w:pPr>
      <w:r w:rsidRPr="00E008A5">
        <w:rPr>
          <w:rFonts w:asciiTheme="minorHAnsi" w:eastAsia="SimSun" w:hAnsiTheme="minorHAnsi" w:cstheme="minorHAnsi"/>
          <w:b/>
          <w:color w:val="59595B"/>
          <w:sz w:val="22"/>
          <w:szCs w:val="22"/>
          <w:lang w:val="en-GB" w:eastAsia="zh-CN"/>
        </w:rPr>
        <w:t>FTI Consulting, London, UK</w:t>
      </w:r>
    </w:p>
    <w:p w14:paraId="69F2FCE9" w14:textId="77777777" w:rsidR="009C5F26" w:rsidRPr="00E008A5" w:rsidRDefault="009C5F26" w:rsidP="00EA6368">
      <w:pPr>
        <w:contextualSpacing/>
        <w:jc w:val="left"/>
        <w:rPr>
          <w:rFonts w:asciiTheme="minorHAnsi" w:eastAsia="SimSun" w:hAnsiTheme="minorHAnsi" w:cstheme="minorHAnsi"/>
          <w:color w:val="59595B"/>
          <w:sz w:val="22"/>
          <w:szCs w:val="22"/>
          <w:lang w:val="en-GB" w:eastAsia="zh-CN"/>
        </w:rPr>
      </w:pPr>
      <w:r w:rsidRPr="00E008A5">
        <w:rPr>
          <w:rFonts w:asciiTheme="minorHAnsi" w:eastAsia="SimSun" w:hAnsiTheme="minorHAnsi" w:cstheme="minorHAnsi"/>
          <w:color w:val="59595B"/>
          <w:sz w:val="22"/>
          <w:szCs w:val="22"/>
          <w:lang w:val="en-GB" w:eastAsia="zh-CN"/>
        </w:rPr>
        <w:t xml:space="preserve">Victoria Foster Mitchell/Mary Whittow </w:t>
      </w:r>
    </w:p>
    <w:p w14:paraId="29DD64A4" w14:textId="77777777" w:rsidR="009C5F26" w:rsidRPr="00E008A5" w:rsidRDefault="009C5F26" w:rsidP="00EA6368">
      <w:pPr>
        <w:contextualSpacing/>
        <w:jc w:val="left"/>
        <w:rPr>
          <w:rFonts w:asciiTheme="minorHAnsi" w:eastAsia="MS Mincho" w:hAnsiTheme="minorHAnsi" w:cstheme="minorHAnsi"/>
          <w:color w:val="59595B"/>
          <w:sz w:val="22"/>
          <w:szCs w:val="22"/>
          <w:lang w:val="en-GB"/>
        </w:rPr>
      </w:pPr>
      <w:r w:rsidRPr="00E008A5">
        <w:rPr>
          <w:rFonts w:asciiTheme="minorHAnsi" w:eastAsia="SimSun" w:hAnsiTheme="minorHAnsi" w:cstheme="minorHAnsi"/>
          <w:color w:val="59595B"/>
          <w:sz w:val="22"/>
          <w:szCs w:val="22"/>
          <w:lang w:val="en-GB" w:eastAsia="zh-CN"/>
        </w:rPr>
        <w:t xml:space="preserve">T: +44 </w:t>
      </w:r>
      <w:r w:rsidRPr="00E008A5">
        <w:rPr>
          <w:rFonts w:asciiTheme="minorHAnsi" w:eastAsia="Calibri" w:hAnsiTheme="minorHAnsi" w:cstheme="minorHAnsi"/>
          <w:color w:val="59595B"/>
          <w:sz w:val="22"/>
          <w:szCs w:val="22"/>
          <w:lang w:val="en-GB"/>
        </w:rPr>
        <w:t>203 727 1000</w:t>
      </w:r>
    </w:p>
    <w:p w14:paraId="2D6AB3EE" w14:textId="77777777" w:rsidR="009C5F26" w:rsidRPr="00E008A5" w:rsidRDefault="009C5F26" w:rsidP="00EA6368">
      <w:pPr>
        <w:contextualSpacing/>
        <w:jc w:val="left"/>
        <w:rPr>
          <w:rFonts w:asciiTheme="minorHAnsi" w:eastAsia="MS Mincho" w:hAnsiTheme="minorHAnsi" w:cstheme="minorHAnsi"/>
          <w:b/>
          <w:color w:val="59595B"/>
          <w:sz w:val="22"/>
          <w:szCs w:val="22"/>
          <w:lang w:val="en-GB"/>
        </w:rPr>
      </w:pPr>
    </w:p>
    <w:p w14:paraId="71858ED2" w14:textId="77777777" w:rsidR="009C5F26" w:rsidRPr="00E008A5" w:rsidRDefault="009C5F26" w:rsidP="00EA6368">
      <w:pPr>
        <w:contextualSpacing/>
        <w:jc w:val="left"/>
        <w:rPr>
          <w:rFonts w:asciiTheme="minorHAnsi" w:eastAsia="MS Mincho" w:hAnsiTheme="minorHAnsi" w:cstheme="minorHAnsi"/>
          <w:b/>
          <w:color w:val="59595B"/>
          <w:sz w:val="22"/>
          <w:szCs w:val="22"/>
          <w:lang w:val="en-GB"/>
        </w:rPr>
      </w:pPr>
      <w:r w:rsidRPr="00E008A5">
        <w:rPr>
          <w:rFonts w:asciiTheme="minorHAnsi" w:eastAsia="MS Mincho" w:hAnsiTheme="minorHAnsi" w:cstheme="minorHAnsi"/>
          <w:b/>
          <w:color w:val="59595B"/>
          <w:sz w:val="22"/>
          <w:szCs w:val="22"/>
          <w:lang w:val="en-GB"/>
        </w:rPr>
        <w:t>LifeSpring Life Sciences Communication, Amsterdam, The Netherlands</w:t>
      </w:r>
    </w:p>
    <w:p w14:paraId="2BC4F491" w14:textId="77777777" w:rsidR="009C5F26" w:rsidRPr="00E008A5" w:rsidRDefault="009C5F26" w:rsidP="00EA6368">
      <w:pPr>
        <w:autoSpaceDE w:val="0"/>
        <w:autoSpaceDN w:val="0"/>
        <w:contextualSpacing/>
        <w:jc w:val="left"/>
        <w:rPr>
          <w:rFonts w:asciiTheme="minorHAnsi" w:eastAsia="MS Mincho" w:hAnsiTheme="minorHAnsi" w:cstheme="minorHAnsi"/>
          <w:color w:val="59595B"/>
          <w:sz w:val="22"/>
          <w:szCs w:val="22"/>
          <w:lang w:val="nl-NL"/>
        </w:rPr>
      </w:pPr>
      <w:r w:rsidRPr="00E008A5">
        <w:rPr>
          <w:rFonts w:asciiTheme="minorHAnsi" w:eastAsia="MS Mincho" w:hAnsiTheme="minorHAnsi" w:cstheme="minorHAnsi"/>
          <w:color w:val="59595B"/>
          <w:sz w:val="22"/>
          <w:szCs w:val="22"/>
          <w:lang w:val="nl-NL"/>
        </w:rPr>
        <w:t>Leon Melens</w:t>
      </w:r>
    </w:p>
    <w:p w14:paraId="3DE73644" w14:textId="77777777" w:rsidR="009C5F26" w:rsidRPr="00E008A5" w:rsidRDefault="009C5F26" w:rsidP="00EA6368">
      <w:pPr>
        <w:autoSpaceDE w:val="0"/>
        <w:autoSpaceDN w:val="0"/>
        <w:contextualSpacing/>
        <w:jc w:val="left"/>
        <w:rPr>
          <w:rFonts w:asciiTheme="minorHAnsi" w:eastAsia="Calibri" w:hAnsiTheme="minorHAnsi" w:cstheme="minorHAnsi"/>
          <w:color w:val="59595B"/>
          <w:sz w:val="22"/>
          <w:szCs w:val="22"/>
          <w:lang w:val="nl-NL"/>
        </w:rPr>
      </w:pPr>
      <w:r w:rsidRPr="00E008A5">
        <w:rPr>
          <w:rFonts w:asciiTheme="minorHAnsi" w:eastAsia="MS Mincho" w:hAnsiTheme="minorHAnsi" w:cstheme="minorHAnsi"/>
          <w:color w:val="59595B"/>
          <w:sz w:val="22"/>
          <w:szCs w:val="22"/>
          <w:lang w:val="nl-NL"/>
        </w:rPr>
        <w:t>T: +</w:t>
      </w:r>
      <w:r w:rsidRPr="00E008A5">
        <w:rPr>
          <w:rFonts w:asciiTheme="minorHAnsi" w:eastAsia="Calibri" w:hAnsiTheme="minorHAnsi" w:cstheme="minorHAnsi"/>
          <w:color w:val="59595B"/>
          <w:sz w:val="22"/>
          <w:szCs w:val="22"/>
          <w:lang w:val="nl-NL"/>
        </w:rPr>
        <w:t>31 6 53 81 64 27</w:t>
      </w:r>
    </w:p>
    <w:p w14:paraId="6A19B581" w14:textId="77777777" w:rsidR="009C5F26" w:rsidRPr="00E008A5" w:rsidRDefault="009C5F26" w:rsidP="00EA6368">
      <w:pPr>
        <w:autoSpaceDE w:val="0"/>
        <w:autoSpaceDN w:val="0"/>
        <w:contextualSpacing/>
        <w:jc w:val="left"/>
        <w:rPr>
          <w:rFonts w:asciiTheme="minorHAnsi" w:eastAsia="Calibri" w:hAnsiTheme="minorHAnsi" w:cstheme="minorHAnsi"/>
          <w:color w:val="59595B"/>
          <w:sz w:val="22"/>
          <w:szCs w:val="22"/>
          <w:lang w:val="nl-NL"/>
        </w:rPr>
      </w:pPr>
      <w:r w:rsidRPr="00E008A5">
        <w:rPr>
          <w:rFonts w:asciiTheme="minorHAnsi" w:eastAsia="Calibri" w:hAnsiTheme="minorHAnsi" w:cstheme="minorHAnsi"/>
          <w:color w:val="59595B"/>
          <w:sz w:val="22"/>
          <w:szCs w:val="22"/>
          <w:lang w:val="nl-NL"/>
        </w:rPr>
        <w:t>E: pharming@lifespring.nl</w:t>
      </w:r>
    </w:p>
    <w:p w14:paraId="7754F7CB" w14:textId="77777777" w:rsidR="009C5F26" w:rsidRPr="00E008A5" w:rsidRDefault="009C5F26" w:rsidP="00EA6368">
      <w:pPr>
        <w:tabs>
          <w:tab w:val="left" w:pos="9360"/>
        </w:tabs>
        <w:jc w:val="left"/>
        <w:rPr>
          <w:rFonts w:asciiTheme="minorHAnsi" w:eastAsia="Calibri" w:hAnsiTheme="minorHAnsi" w:cstheme="minorHAnsi"/>
          <w:color w:val="auto"/>
          <w:sz w:val="22"/>
          <w:szCs w:val="22"/>
          <w:lang w:val="nl-NL"/>
        </w:rPr>
      </w:pPr>
    </w:p>
    <w:p w14:paraId="12051C49" w14:textId="05AF5CE2" w:rsidR="009C5F26" w:rsidRPr="00E9120D" w:rsidRDefault="009C5F26" w:rsidP="00EA6368">
      <w:pPr>
        <w:rPr>
          <w:rFonts w:asciiTheme="minorHAnsi" w:eastAsiaTheme="majorEastAsia" w:hAnsiTheme="minorHAnsi" w:cstheme="minorHAnsi"/>
          <w:b/>
          <w:color w:val="59595B"/>
          <w:szCs w:val="28"/>
          <w:lang w:val="nl-NL" w:eastAsia="zh-CN"/>
        </w:rPr>
      </w:pPr>
    </w:p>
    <w:p w14:paraId="338B097E" w14:textId="77F7F3DF" w:rsidR="007F0351" w:rsidRPr="00426BBC" w:rsidRDefault="007F0351" w:rsidP="00EA6368">
      <w:pPr>
        <w:rPr>
          <w:rFonts w:asciiTheme="minorHAnsi" w:eastAsiaTheme="majorEastAsia" w:hAnsiTheme="minorHAnsi" w:cstheme="minorHAnsi"/>
          <w:b/>
          <w:color w:val="59595B"/>
          <w:szCs w:val="28"/>
          <w:lang w:val="nl-NL" w:eastAsia="zh-CN"/>
        </w:rPr>
      </w:pPr>
    </w:p>
    <w:p w14:paraId="7E53AEB0" w14:textId="6B619FBA" w:rsidR="007F0351" w:rsidRPr="00426BBC" w:rsidRDefault="007F0351" w:rsidP="00EA6368">
      <w:pPr>
        <w:rPr>
          <w:rFonts w:asciiTheme="minorHAnsi" w:eastAsiaTheme="majorEastAsia" w:hAnsiTheme="minorHAnsi" w:cstheme="minorHAnsi"/>
          <w:b/>
          <w:color w:val="59595B"/>
          <w:szCs w:val="28"/>
          <w:lang w:val="nl-NL" w:eastAsia="zh-CN"/>
        </w:rPr>
      </w:pPr>
    </w:p>
    <w:p w14:paraId="1B39A446" w14:textId="0D5FD518" w:rsidR="007F0351" w:rsidRPr="00426BBC" w:rsidRDefault="007F0351" w:rsidP="00EA6368">
      <w:pPr>
        <w:rPr>
          <w:rFonts w:asciiTheme="minorHAnsi" w:eastAsiaTheme="majorEastAsia" w:hAnsiTheme="minorHAnsi" w:cstheme="minorHAnsi"/>
          <w:b/>
          <w:color w:val="59595B"/>
          <w:szCs w:val="28"/>
          <w:lang w:val="nl-NL" w:eastAsia="zh-CN"/>
        </w:rPr>
      </w:pPr>
    </w:p>
    <w:p w14:paraId="307EAE05" w14:textId="06E6C76B" w:rsidR="007F0351" w:rsidRPr="00426BBC" w:rsidRDefault="007F0351" w:rsidP="00EA6368">
      <w:pPr>
        <w:rPr>
          <w:rFonts w:asciiTheme="minorHAnsi" w:eastAsiaTheme="majorEastAsia" w:hAnsiTheme="minorHAnsi" w:cstheme="minorHAnsi"/>
          <w:b/>
          <w:color w:val="59595B"/>
          <w:szCs w:val="28"/>
          <w:lang w:val="nl-NL" w:eastAsia="zh-CN"/>
        </w:rPr>
      </w:pPr>
    </w:p>
    <w:p w14:paraId="5E7CFFED" w14:textId="77777777" w:rsidR="007F0351" w:rsidRPr="00426BBC" w:rsidRDefault="007F0351" w:rsidP="00EA6368">
      <w:pPr>
        <w:rPr>
          <w:rFonts w:asciiTheme="minorHAnsi" w:eastAsiaTheme="majorEastAsia" w:hAnsiTheme="minorHAnsi" w:cstheme="minorHAnsi"/>
          <w:b/>
          <w:color w:val="59595B"/>
          <w:szCs w:val="28"/>
          <w:lang w:val="nl-NL" w:eastAsia="zh-CN"/>
        </w:rPr>
      </w:pPr>
    </w:p>
    <w:p w14:paraId="38AAC2AF"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11F9F25B"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11034690"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0F2943E2"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40C3782D"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0C9F5E6C"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7093CCFA"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2F63A28D"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1EC64ECE"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357D4FC0"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1BA6301D" w14:textId="77777777" w:rsidR="00E66C9A" w:rsidRPr="00426BBC" w:rsidRDefault="00E66C9A" w:rsidP="00E66C9A">
      <w:pPr>
        <w:rPr>
          <w:rFonts w:asciiTheme="minorHAnsi" w:eastAsiaTheme="majorEastAsia" w:hAnsiTheme="minorHAnsi" w:cstheme="minorHAnsi"/>
          <w:b/>
          <w:color w:val="59595B"/>
          <w:szCs w:val="28"/>
          <w:lang w:val="nl-NL" w:eastAsia="zh-CN"/>
        </w:rPr>
      </w:pPr>
    </w:p>
    <w:p w14:paraId="14FBE7A7" w14:textId="54E740A0" w:rsidR="00E66C9A" w:rsidRPr="00426BBC" w:rsidRDefault="00E66C9A" w:rsidP="00E66C9A">
      <w:pPr>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t>Pharming Group N.V.</w:t>
      </w:r>
    </w:p>
    <w:p w14:paraId="1EF2ADC3" w14:textId="77777777" w:rsidR="00E66C9A" w:rsidRPr="00426BBC" w:rsidRDefault="00E66C9A" w:rsidP="00E66C9A">
      <w:pPr>
        <w:rPr>
          <w:rFonts w:asciiTheme="minorHAnsi" w:hAnsiTheme="minorHAnsi" w:cstheme="minorHAnsi"/>
          <w:b/>
          <w:color w:val="7E7B99" w:themeColor="text2" w:themeTint="99"/>
          <w:szCs w:val="22"/>
          <w:lang w:val="en-GB"/>
        </w:rPr>
      </w:pPr>
    </w:p>
    <w:p w14:paraId="5F00DF3D" w14:textId="77777777" w:rsidR="00E66C9A" w:rsidRPr="00EF50DE" w:rsidRDefault="00E66C9A" w:rsidP="00E66C9A">
      <w:pPr>
        <w:rPr>
          <w:rFonts w:asciiTheme="minorHAnsi" w:eastAsia="Calibri" w:hAnsiTheme="minorHAnsi" w:cstheme="minorHAnsi"/>
          <w:sz w:val="22"/>
          <w:szCs w:val="22"/>
          <w:shd w:val="clear" w:color="auto" w:fill="FFFFFF"/>
          <w:lang w:val="en-GB"/>
        </w:rPr>
      </w:pPr>
      <w:r w:rsidRPr="00EF50DE">
        <w:rPr>
          <w:rFonts w:asciiTheme="minorHAnsi" w:eastAsia="Calibri" w:hAnsiTheme="minorHAnsi" w:cstheme="minorHAnsi"/>
          <w:b/>
          <w:bCs/>
          <w:sz w:val="22"/>
          <w:szCs w:val="22"/>
          <w:shd w:val="clear" w:color="auto" w:fill="FFFFFF"/>
          <w:lang w:val="en-GB"/>
        </w:rPr>
        <w:t xml:space="preserve">Condensed Consolidated Interim Financial Statements </w:t>
      </w:r>
      <w:r w:rsidRPr="00EF50DE">
        <w:rPr>
          <w:rFonts w:asciiTheme="minorHAnsi" w:eastAsia="Calibri" w:hAnsiTheme="minorHAnsi" w:cstheme="minorHAnsi"/>
          <w:sz w:val="22"/>
          <w:szCs w:val="22"/>
          <w:shd w:val="clear" w:color="auto" w:fill="FFFFFF"/>
          <w:lang w:val="en-GB"/>
        </w:rPr>
        <w:t>(unaudited)</w:t>
      </w:r>
    </w:p>
    <w:p w14:paraId="3F81195A" w14:textId="77777777" w:rsidR="00E66C9A" w:rsidRPr="00426BBC" w:rsidRDefault="00E66C9A" w:rsidP="00E66C9A">
      <w:pPr>
        <w:rPr>
          <w:rFonts w:asciiTheme="minorHAnsi" w:hAnsiTheme="minorHAnsi" w:cstheme="minorHAnsi"/>
          <w:color w:val="0070C0"/>
          <w:lang w:val="en-GB"/>
        </w:rPr>
      </w:pPr>
      <w:r w:rsidRPr="00EF50DE">
        <w:rPr>
          <w:rFonts w:asciiTheme="minorHAnsi" w:eastAsia="Calibri" w:hAnsiTheme="minorHAnsi" w:cstheme="minorHAnsi"/>
          <w:sz w:val="22"/>
          <w:szCs w:val="22"/>
          <w:shd w:val="clear" w:color="auto" w:fill="FFFFFF"/>
          <w:lang w:val="en-GB"/>
        </w:rPr>
        <w:t>For the period ended 30 September 2020</w:t>
      </w:r>
    </w:p>
    <w:p w14:paraId="56B664A4" w14:textId="77777777" w:rsidR="00E66C9A" w:rsidRPr="00426BBC" w:rsidRDefault="00E66C9A" w:rsidP="00EF50DE">
      <w:pPr>
        <w:rPr>
          <w:rFonts w:asciiTheme="minorHAnsi" w:hAnsiTheme="minorHAnsi" w:cstheme="minorHAnsi"/>
          <w:color w:val="276E8B" w:themeColor="accent1" w:themeShade="BF"/>
          <w:szCs w:val="22"/>
          <w:lang w:val="en-GB"/>
        </w:rPr>
      </w:pPr>
    </w:p>
    <w:p w14:paraId="2E3FC457" w14:textId="77777777" w:rsidR="00E66C9A" w:rsidRPr="00EF50DE" w:rsidRDefault="00E66C9A" w:rsidP="00EF50DE">
      <w:pPr>
        <w:pStyle w:val="ListParagraph"/>
        <w:numPr>
          <w:ilvl w:val="0"/>
          <w:numId w:val="7"/>
        </w:numPr>
        <w:spacing w:after="120"/>
        <w:rPr>
          <w:rFonts w:asciiTheme="minorHAnsi" w:eastAsia="Calibri" w:hAnsiTheme="minorHAnsi" w:cstheme="minorHAnsi"/>
          <w:color w:val="59595B"/>
          <w:sz w:val="22"/>
          <w:szCs w:val="22"/>
          <w:lang w:val="en-GB"/>
        </w:rPr>
      </w:pPr>
      <w:r w:rsidRPr="00EF50DE">
        <w:rPr>
          <w:rFonts w:asciiTheme="minorHAnsi" w:eastAsia="Calibri" w:hAnsiTheme="minorHAnsi" w:cstheme="minorHAnsi"/>
          <w:color w:val="59595B"/>
          <w:sz w:val="22"/>
          <w:szCs w:val="22"/>
          <w:lang w:val="en-GB"/>
        </w:rPr>
        <w:t>Condensed consolidated statement of profit or loss</w:t>
      </w:r>
    </w:p>
    <w:p w14:paraId="5F5C127F" w14:textId="77777777" w:rsidR="00E66C9A" w:rsidRPr="00EF50DE" w:rsidRDefault="00E66C9A" w:rsidP="00EF50DE">
      <w:pPr>
        <w:pStyle w:val="ListParagraph"/>
        <w:numPr>
          <w:ilvl w:val="0"/>
          <w:numId w:val="7"/>
        </w:numPr>
        <w:spacing w:after="120"/>
        <w:rPr>
          <w:rFonts w:asciiTheme="minorHAnsi" w:eastAsia="Calibri" w:hAnsiTheme="minorHAnsi" w:cstheme="minorHAnsi"/>
          <w:color w:val="59595B"/>
          <w:sz w:val="22"/>
          <w:szCs w:val="22"/>
          <w:lang w:val="en-GB"/>
        </w:rPr>
      </w:pPr>
      <w:r w:rsidRPr="00EF50DE">
        <w:rPr>
          <w:rFonts w:asciiTheme="minorHAnsi" w:eastAsia="Calibri" w:hAnsiTheme="minorHAnsi" w:cstheme="minorHAnsi"/>
          <w:color w:val="59595B"/>
          <w:sz w:val="22"/>
          <w:szCs w:val="22"/>
          <w:lang w:val="en-GB"/>
        </w:rPr>
        <w:t>Condensed consolidated statement of comprehensive income</w:t>
      </w:r>
    </w:p>
    <w:p w14:paraId="6A3E8A9F" w14:textId="77777777" w:rsidR="00E66C9A" w:rsidRPr="00EF50DE" w:rsidRDefault="00E66C9A" w:rsidP="00EF50DE">
      <w:pPr>
        <w:pStyle w:val="ListParagraph"/>
        <w:numPr>
          <w:ilvl w:val="0"/>
          <w:numId w:val="7"/>
        </w:numPr>
        <w:spacing w:after="120"/>
        <w:rPr>
          <w:rFonts w:asciiTheme="minorHAnsi" w:eastAsia="Calibri" w:hAnsiTheme="minorHAnsi" w:cstheme="minorHAnsi"/>
          <w:color w:val="59595B"/>
          <w:sz w:val="22"/>
          <w:szCs w:val="22"/>
          <w:lang w:val="en-GB"/>
        </w:rPr>
      </w:pPr>
      <w:r w:rsidRPr="00EF50DE">
        <w:rPr>
          <w:rFonts w:asciiTheme="minorHAnsi" w:eastAsia="Calibri" w:hAnsiTheme="minorHAnsi" w:cstheme="minorHAnsi"/>
          <w:color w:val="59595B"/>
          <w:sz w:val="22"/>
          <w:szCs w:val="22"/>
          <w:lang w:val="en-GB"/>
        </w:rPr>
        <w:t>Condensed consolidated balance sheet</w:t>
      </w:r>
    </w:p>
    <w:p w14:paraId="7C58D298" w14:textId="77777777" w:rsidR="00E66C9A" w:rsidRPr="00EF50DE" w:rsidRDefault="00E66C9A" w:rsidP="00EF50DE">
      <w:pPr>
        <w:pStyle w:val="ListParagraph"/>
        <w:numPr>
          <w:ilvl w:val="0"/>
          <w:numId w:val="7"/>
        </w:numPr>
        <w:spacing w:after="120"/>
        <w:rPr>
          <w:rFonts w:asciiTheme="minorHAnsi" w:eastAsia="Calibri" w:hAnsiTheme="minorHAnsi" w:cstheme="minorHAnsi"/>
          <w:color w:val="59595B"/>
          <w:sz w:val="22"/>
          <w:szCs w:val="22"/>
          <w:lang w:val="en-GB"/>
        </w:rPr>
      </w:pPr>
      <w:r w:rsidRPr="00EF50DE">
        <w:rPr>
          <w:rFonts w:asciiTheme="minorHAnsi" w:eastAsia="Calibri" w:hAnsiTheme="minorHAnsi" w:cstheme="minorHAnsi"/>
          <w:color w:val="59595B"/>
          <w:sz w:val="22"/>
          <w:szCs w:val="22"/>
          <w:lang w:val="en-GB"/>
        </w:rPr>
        <w:t>Condensed consolidated statement of cash flow</w:t>
      </w:r>
    </w:p>
    <w:p w14:paraId="76941371" w14:textId="77777777" w:rsidR="00E66C9A" w:rsidRPr="00426BBC" w:rsidRDefault="00E66C9A" w:rsidP="00E66C9A">
      <w:pPr>
        <w:ind w:left="540" w:hanging="540"/>
        <w:rPr>
          <w:rFonts w:asciiTheme="minorHAnsi" w:hAnsiTheme="minorHAnsi" w:cstheme="minorHAnsi"/>
          <w:b/>
          <w:szCs w:val="22"/>
          <w:lang w:val="en-GB"/>
        </w:rPr>
      </w:pPr>
    </w:p>
    <w:p w14:paraId="29BACA91" w14:textId="77777777" w:rsidR="00E66C9A" w:rsidRPr="00426BBC" w:rsidRDefault="00E66C9A" w:rsidP="00E66C9A">
      <w:pPr>
        <w:ind w:left="540" w:hanging="540"/>
        <w:rPr>
          <w:rFonts w:asciiTheme="minorHAnsi" w:hAnsiTheme="minorHAnsi" w:cstheme="minorHAnsi"/>
          <w:b/>
          <w:szCs w:val="22"/>
          <w:lang w:val="en-GB"/>
        </w:rPr>
      </w:pPr>
    </w:p>
    <w:p w14:paraId="7DF9E188" w14:textId="77777777" w:rsidR="00E66C9A" w:rsidRPr="00426BBC" w:rsidRDefault="00E66C9A" w:rsidP="00E66C9A">
      <w:pPr>
        <w:ind w:left="540" w:hanging="540"/>
        <w:rPr>
          <w:rFonts w:asciiTheme="minorHAnsi" w:hAnsiTheme="minorHAnsi" w:cstheme="minorHAnsi"/>
          <w:b/>
          <w:szCs w:val="22"/>
          <w:lang w:val="en-GB"/>
        </w:rPr>
      </w:pPr>
    </w:p>
    <w:p w14:paraId="764E1BD5" w14:textId="77777777" w:rsidR="00E66C9A" w:rsidRPr="00426BBC" w:rsidRDefault="00E66C9A" w:rsidP="00E66C9A">
      <w:pPr>
        <w:ind w:left="540" w:hanging="540"/>
        <w:rPr>
          <w:rFonts w:asciiTheme="minorHAnsi" w:hAnsiTheme="minorHAnsi" w:cstheme="minorHAnsi"/>
          <w:b/>
          <w:szCs w:val="22"/>
          <w:lang w:val="en-GB"/>
        </w:rPr>
      </w:pPr>
    </w:p>
    <w:p w14:paraId="2D8EBD48" w14:textId="255F6D03" w:rsidR="00E66C9A" w:rsidRPr="00EF50DE" w:rsidRDefault="00E66C9A" w:rsidP="00E66C9A">
      <w:pPr>
        <w:ind w:left="540" w:hanging="540"/>
        <w:jc w:val="left"/>
        <w:rPr>
          <w:rFonts w:asciiTheme="minorHAnsi" w:eastAsia="Calibri" w:hAnsiTheme="minorHAnsi" w:cstheme="minorHAnsi"/>
          <w:b/>
          <w:bCs/>
          <w:sz w:val="22"/>
          <w:szCs w:val="22"/>
          <w:shd w:val="clear" w:color="auto" w:fill="FFFFFF"/>
          <w:lang w:val="en-GB"/>
        </w:rPr>
      </w:pPr>
      <w:r w:rsidRPr="00EF50DE">
        <w:rPr>
          <w:rFonts w:asciiTheme="minorHAnsi" w:eastAsia="Calibri" w:hAnsiTheme="minorHAnsi" w:cstheme="minorHAnsi"/>
          <w:b/>
          <w:bCs/>
          <w:sz w:val="22"/>
          <w:szCs w:val="22"/>
          <w:shd w:val="clear" w:color="auto" w:fill="FFFFFF"/>
          <w:lang w:val="en-GB"/>
        </w:rPr>
        <w:t>Appendix: Main Condensed Consolidated Interim Financial Statements reported in US dollars</w:t>
      </w:r>
    </w:p>
    <w:p w14:paraId="58003338" w14:textId="2A00A472" w:rsidR="00E66C9A" w:rsidRPr="00EF50DE" w:rsidRDefault="00E66C9A" w:rsidP="00E66C9A">
      <w:pPr>
        <w:rPr>
          <w:rFonts w:asciiTheme="minorHAnsi" w:eastAsia="Calibri" w:hAnsiTheme="minorHAnsi" w:cstheme="minorHAnsi"/>
          <w:sz w:val="22"/>
          <w:szCs w:val="22"/>
          <w:shd w:val="clear" w:color="auto" w:fill="FFFFFF"/>
          <w:lang w:val="en-GB"/>
        </w:rPr>
      </w:pPr>
      <w:r w:rsidRPr="00EF50DE">
        <w:rPr>
          <w:rFonts w:asciiTheme="minorHAnsi" w:eastAsia="Calibri" w:hAnsiTheme="minorHAnsi" w:cstheme="minorHAnsi"/>
          <w:sz w:val="22"/>
          <w:szCs w:val="22"/>
          <w:shd w:val="clear" w:color="auto" w:fill="FFFFFF"/>
          <w:lang w:val="en-GB"/>
        </w:rPr>
        <w:t>(This appendix is not part of the Condensed Consolidated Interim Financial Statements)</w:t>
      </w:r>
    </w:p>
    <w:p w14:paraId="1AB9D0CD" w14:textId="77777777" w:rsidR="00E66C9A" w:rsidRPr="00426BBC" w:rsidRDefault="00E66C9A" w:rsidP="00E66C9A">
      <w:pPr>
        <w:ind w:left="540" w:hanging="540"/>
        <w:rPr>
          <w:rFonts w:asciiTheme="minorHAnsi" w:hAnsiTheme="minorHAnsi" w:cstheme="minorHAnsi"/>
          <w:b/>
          <w:szCs w:val="22"/>
          <w:lang w:val="en-GB"/>
        </w:rPr>
      </w:pPr>
    </w:p>
    <w:p w14:paraId="658BF9B3" w14:textId="77777777" w:rsidR="00E66C9A" w:rsidRPr="00EF50DE" w:rsidRDefault="00E66C9A" w:rsidP="00EF50DE">
      <w:pPr>
        <w:pStyle w:val="ListParagraph"/>
        <w:numPr>
          <w:ilvl w:val="0"/>
          <w:numId w:val="6"/>
        </w:numPr>
        <w:spacing w:after="120"/>
        <w:rPr>
          <w:rFonts w:asciiTheme="minorHAnsi" w:eastAsia="Calibri" w:hAnsiTheme="minorHAnsi" w:cstheme="minorHAnsi"/>
          <w:color w:val="59595B"/>
          <w:sz w:val="22"/>
          <w:szCs w:val="22"/>
          <w:lang w:val="en-GB"/>
        </w:rPr>
      </w:pPr>
      <w:r w:rsidRPr="00EF50DE">
        <w:rPr>
          <w:rFonts w:asciiTheme="minorHAnsi" w:eastAsia="Calibri" w:hAnsiTheme="minorHAnsi" w:cstheme="minorHAnsi"/>
          <w:color w:val="59595B"/>
          <w:sz w:val="22"/>
          <w:szCs w:val="22"/>
          <w:lang w:val="en-GB"/>
        </w:rPr>
        <w:t>Condensed consolidated statement of profit or loss in US Dollar</w:t>
      </w:r>
    </w:p>
    <w:p w14:paraId="45F72ED4" w14:textId="77777777" w:rsidR="00E66C9A" w:rsidRPr="00EF50DE" w:rsidRDefault="00E66C9A" w:rsidP="00EF50DE">
      <w:pPr>
        <w:pStyle w:val="ListParagraph"/>
        <w:numPr>
          <w:ilvl w:val="0"/>
          <w:numId w:val="6"/>
        </w:numPr>
        <w:spacing w:after="120"/>
        <w:rPr>
          <w:rFonts w:asciiTheme="minorHAnsi" w:eastAsia="Calibri" w:hAnsiTheme="minorHAnsi" w:cstheme="minorHAnsi"/>
          <w:color w:val="59595B"/>
          <w:sz w:val="22"/>
          <w:szCs w:val="22"/>
          <w:lang w:val="en-GB"/>
        </w:rPr>
      </w:pPr>
      <w:r w:rsidRPr="00EF50DE">
        <w:rPr>
          <w:rFonts w:asciiTheme="minorHAnsi" w:eastAsia="Calibri" w:hAnsiTheme="minorHAnsi" w:cstheme="minorHAnsi"/>
          <w:color w:val="59595B"/>
          <w:sz w:val="22"/>
          <w:szCs w:val="22"/>
          <w:lang w:val="en-GB"/>
        </w:rPr>
        <w:t>Condensed consolidated statement balance sheet in US Dollar</w:t>
      </w:r>
    </w:p>
    <w:p w14:paraId="36CC5CF3" w14:textId="77777777" w:rsidR="00E66C9A" w:rsidRPr="00426BBC" w:rsidRDefault="00E66C9A" w:rsidP="00EF50DE">
      <w:pPr>
        <w:pStyle w:val="ListParagraph"/>
        <w:numPr>
          <w:ilvl w:val="0"/>
          <w:numId w:val="6"/>
        </w:numPr>
        <w:spacing w:after="120"/>
        <w:rPr>
          <w:rFonts w:asciiTheme="minorHAnsi" w:hAnsiTheme="minorHAnsi" w:cstheme="minorHAnsi"/>
          <w:b/>
          <w:szCs w:val="22"/>
          <w:lang w:val="en-GB"/>
        </w:rPr>
      </w:pPr>
      <w:r w:rsidRPr="00EF50DE">
        <w:rPr>
          <w:rFonts w:asciiTheme="minorHAnsi" w:eastAsia="Calibri" w:hAnsiTheme="minorHAnsi" w:cstheme="minorHAnsi"/>
          <w:color w:val="59595B"/>
          <w:sz w:val="22"/>
          <w:szCs w:val="22"/>
          <w:lang w:val="en-GB"/>
        </w:rPr>
        <w:t>Condensed consolidated statement of cash flows in US Dollar</w:t>
      </w:r>
      <w:r w:rsidRPr="00426BBC">
        <w:rPr>
          <w:rFonts w:asciiTheme="minorHAnsi" w:hAnsiTheme="minorHAnsi" w:cstheme="minorHAnsi"/>
          <w:b/>
          <w:szCs w:val="22"/>
          <w:lang w:val="en-GB"/>
        </w:rPr>
        <w:br w:type="page"/>
      </w:r>
    </w:p>
    <w:p w14:paraId="59169943" w14:textId="77777777" w:rsidR="00E66C9A" w:rsidRPr="00E008A5" w:rsidRDefault="00E66C9A" w:rsidP="00E66C9A">
      <w:pPr>
        <w:rPr>
          <w:rFonts w:asciiTheme="minorHAnsi" w:eastAsiaTheme="majorEastAsia" w:hAnsiTheme="minorHAnsi" w:cstheme="minorHAnsi"/>
          <w:b/>
          <w:color w:val="59595B"/>
          <w:szCs w:val="28"/>
          <w:lang w:val="en-GB" w:eastAsia="zh-CN"/>
        </w:rPr>
      </w:pPr>
      <w:r w:rsidRPr="00E9120D">
        <w:rPr>
          <w:rFonts w:asciiTheme="minorHAnsi" w:eastAsiaTheme="majorEastAsia" w:hAnsiTheme="minorHAnsi" w:cstheme="minorHAnsi"/>
          <w:b/>
          <w:color w:val="59595B"/>
          <w:szCs w:val="28"/>
          <w:lang w:val="en-GB" w:eastAsia="zh-CN"/>
        </w:rPr>
        <w:lastRenderedPageBreak/>
        <w:t>Condensed Consolidated Statement of Profit or Loss</w:t>
      </w:r>
      <w:r w:rsidRPr="00E9120D">
        <w:rPr>
          <w:rFonts w:asciiTheme="minorHAnsi" w:eastAsiaTheme="majorEastAsia" w:hAnsiTheme="minorHAnsi" w:cstheme="minorHAnsi"/>
          <w:b/>
          <w:color w:val="59595B"/>
          <w:szCs w:val="28"/>
          <w:lang w:val="en-GB" w:eastAsia="zh-CN"/>
        </w:rPr>
        <w:tab/>
      </w:r>
      <w:r w:rsidRPr="00E9120D">
        <w:rPr>
          <w:rFonts w:asciiTheme="minorHAnsi" w:eastAsiaTheme="majorEastAsia" w:hAnsiTheme="minorHAnsi" w:cstheme="minorHAnsi"/>
          <w:b/>
          <w:color w:val="59595B"/>
          <w:szCs w:val="28"/>
          <w:lang w:val="en-GB" w:eastAsia="zh-CN"/>
        </w:rPr>
        <w:tab/>
      </w:r>
      <w:r w:rsidRPr="00E9120D">
        <w:rPr>
          <w:rFonts w:asciiTheme="minorHAnsi" w:eastAsiaTheme="majorEastAsia" w:hAnsiTheme="minorHAnsi" w:cstheme="minorHAnsi"/>
          <w:b/>
          <w:color w:val="59595B"/>
          <w:szCs w:val="28"/>
          <w:lang w:val="en-GB" w:eastAsia="zh-CN"/>
        </w:rPr>
        <w:tab/>
      </w:r>
      <w:r w:rsidRPr="00E9120D">
        <w:rPr>
          <w:rFonts w:asciiTheme="minorHAnsi" w:eastAsiaTheme="majorEastAsia" w:hAnsiTheme="minorHAnsi" w:cstheme="minorHAnsi"/>
          <w:b/>
          <w:color w:val="59595B"/>
          <w:szCs w:val="28"/>
          <w:lang w:val="en-GB" w:eastAsia="zh-CN"/>
        </w:rPr>
        <w:tab/>
      </w:r>
    </w:p>
    <w:p w14:paraId="53028804" w14:textId="77777777" w:rsidR="00E66C9A" w:rsidRPr="00426BBC" w:rsidRDefault="00E66C9A" w:rsidP="00E66C9A">
      <w:pPr>
        <w:rPr>
          <w:rFonts w:asciiTheme="minorHAnsi" w:hAnsiTheme="minorHAnsi" w:cstheme="minorHAnsi"/>
          <w:lang w:val="en-GB"/>
        </w:rPr>
      </w:pPr>
      <w:r w:rsidRPr="00426BBC">
        <w:rPr>
          <w:rFonts w:asciiTheme="minorHAnsi" w:hAnsiTheme="minorHAnsi" w:cstheme="minorHAnsi"/>
          <w:lang w:val="en-GB"/>
        </w:rPr>
        <w:t>For the period ended 30 September</w:t>
      </w:r>
    </w:p>
    <w:p w14:paraId="2328D1C7" w14:textId="77777777" w:rsidR="00E66C9A" w:rsidRPr="00426BBC" w:rsidRDefault="00E66C9A" w:rsidP="00E66C9A">
      <w:pPr>
        <w:rPr>
          <w:rFonts w:asciiTheme="minorHAnsi" w:hAnsiTheme="minorHAnsi" w:cstheme="minorHAnsi"/>
          <w:szCs w:val="22"/>
          <w:lang w:val="en-GB"/>
        </w:rPr>
      </w:pPr>
    </w:p>
    <w:tbl>
      <w:tblPr>
        <w:tblW w:w="9072" w:type="dxa"/>
        <w:tblLook w:val="04A0" w:firstRow="1" w:lastRow="0" w:firstColumn="1" w:lastColumn="0" w:noHBand="0" w:noVBand="1"/>
      </w:tblPr>
      <w:tblGrid>
        <w:gridCol w:w="5312"/>
        <w:gridCol w:w="1880"/>
        <w:gridCol w:w="1880"/>
      </w:tblGrid>
      <w:tr w:rsidR="00E66C9A" w:rsidRPr="00426BBC" w14:paraId="12056BE3" w14:textId="77777777" w:rsidTr="001857FB">
        <w:trPr>
          <w:trHeight w:val="613"/>
        </w:trPr>
        <w:tc>
          <w:tcPr>
            <w:tcW w:w="6340" w:type="dxa"/>
            <w:tcBorders>
              <w:top w:val="nil"/>
              <w:left w:val="nil"/>
              <w:bottom w:val="single" w:sz="8" w:space="0" w:color="BFBFBF"/>
              <w:right w:val="nil"/>
            </w:tcBorders>
            <w:shd w:val="clear" w:color="000000" w:fill="366092"/>
            <w:vAlign w:val="center"/>
            <w:hideMark/>
          </w:tcPr>
          <w:p w14:paraId="70048E57" w14:textId="77777777" w:rsidR="00E66C9A" w:rsidRPr="00426BBC" w:rsidRDefault="00E66C9A" w:rsidP="001857FB">
            <w:pPr>
              <w:jc w:val="left"/>
              <w:rPr>
                <w:rFonts w:asciiTheme="minorHAnsi" w:hAnsiTheme="minorHAnsi" w:cstheme="minorHAnsi"/>
                <w:color w:val="FFFFFF"/>
                <w:sz w:val="16"/>
                <w:szCs w:val="16"/>
                <w:lang w:val="en-GB"/>
              </w:rPr>
            </w:pPr>
            <w:r w:rsidRPr="00426BBC">
              <w:rPr>
                <w:rFonts w:asciiTheme="minorHAnsi" w:hAnsiTheme="minorHAnsi" w:cstheme="minorHAnsi"/>
                <w:color w:val="FFFFFF"/>
                <w:sz w:val="16"/>
                <w:szCs w:val="16"/>
                <w:lang w:val="en-GB"/>
              </w:rPr>
              <w:t>Amounts in € ‘000</w:t>
            </w:r>
          </w:p>
        </w:tc>
        <w:tc>
          <w:tcPr>
            <w:tcW w:w="1880" w:type="dxa"/>
            <w:tcBorders>
              <w:top w:val="nil"/>
              <w:left w:val="nil"/>
              <w:bottom w:val="single" w:sz="8" w:space="0" w:color="BFBFBF"/>
              <w:right w:val="nil"/>
            </w:tcBorders>
            <w:shd w:val="clear" w:color="000000" w:fill="366092"/>
            <w:vAlign w:val="center"/>
            <w:hideMark/>
          </w:tcPr>
          <w:p w14:paraId="79D591A5"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2020</w:t>
            </w:r>
          </w:p>
        </w:tc>
        <w:tc>
          <w:tcPr>
            <w:tcW w:w="1880" w:type="dxa"/>
            <w:tcBorders>
              <w:top w:val="nil"/>
              <w:left w:val="nil"/>
              <w:bottom w:val="nil"/>
              <w:right w:val="nil"/>
            </w:tcBorders>
            <w:shd w:val="clear" w:color="000000" w:fill="366092"/>
            <w:vAlign w:val="center"/>
            <w:hideMark/>
          </w:tcPr>
          <w:p w14:paraId="11415277"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2019</w:t>
            </w:r>
          </w:p>
        </w:tc>
      </w:tr>
      <w:tr w:rsidR="00E66C9A" w:rsidRPr="00426BBC" w14:paraId="57313352" w14:textId="77777777" w:rsidTr="001857FB">
        <w:trPr>
          <w:trHeight w:val="208"/>
        </w:trPr>
        <w:tc>
          <w:tcPr>
            <w:tcW w:w="6340" w:type="dxa"/>
            <w:tcBorders>
              <w:top w:val="nil"/>
              <w:left w:val="single" w:sz="8" w:space="0" w:color="BFBFBF"/>
              <w:bottom w:val="nil"/>
              <w:right w:val="single" w:sz="8" w:space="0" w:color="BFBFBF"/>
            </w:tcBorders>
            <w:shd w:val="clear" w:color="000000" w:fill="FFFFFF"/>
            <w:vAlign w:val="center"/>
            <w:hideMark/>
          </w:tcPr>
          <w:p w14:paraId="75088FF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000000" w:fill="DCE6F1"/>
            <w:noWrap/>
            <w:vAlign w:val="bottom"/>
            <w:hideMark/>
          </w:tcPr>
          <w:p w14:paraId="6488193F" w14:textId="77777777" w:rsidR="00E66C9A" w:rsidRPr="00426BBC" w:rsidRDefault="00E66C9A" w:rsidP="001857FB">
            <w:pPr>
              <w:jc w:val="left"/>
              <w:rPr>
                <w:rFonts w:asciiTheme="minorHAnsi" w:hAnsiTheme="minorHAnsi" w:cstheme="minorHAnsi"/>
                <w:color w:val="00B0F0"/>
                <w:sz w:val="20"/>
                <w:szCs w:val="20"/>
                <w:lang w:val="en-GB"/>
              </w:rPr>
            </w:pPr>
            <w:r w:rsidRPr="00426BBC">
              <w:rPr>
                <w:rFonts w:asciiTheme="minorHAnsi" w:hAnsiTheme="minorHAnsi" w:cstheme="minorHAnsi"/>
                <w:color w:val="00B0F0"/>
                <w:sz w:val="20"/>
                <w:szCs w:val="20"/>
                <w:lang w:val="en-GB"/>
              </w:rPr>
              <w:t> </w:t>
            </w:r>
          </w:p>
        </w:tc>
        <w:tc>
          <w:tcPr>
            <w:tcW w:w="1880" w:type="dxa"/>
            <w:tcBorders>
              <w:top w:val="single" w:sz="8" w:space="0" w:color="BFBFBF"/>
              <w:left w:val="nil"/>
              <w:bottom w:val="nil"/>
              <w:right w:val="single" w:sz="8" w:space="0" w:color="BFBFBF"/>
            </w:tcBorders>
            <w:shd w:val="clear" w:color="auto" w:fill="auto"/>
            <w:noWrap/>
            <w:vAlign w:val="bottom"/>
            <w:hideMark/>
          </w:tcPr>
          <w:p w14:paraId="543D855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2F6D5F3C"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158AAD07"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Revenues</w:t>
            </w:r>
          </w:p>
        </w:tc>
        <w:tc>
          <w:tcPr>
            <w:tcW w:w="1880" w:type="dxa"/>
            <w:tcBorders>
              <w:top w:val="nil"/>
              <w:left w:val="nil"/>
              <w:bottom w:val="single" w:sz="8" w:space="0" w:color="BFBFBF"/>
              <w:right w:val="single" w:sz="8" w:space="0" w:color="BFBFBF"/>
            </w:tcBorders>
            <w:shd w:val="clear" w:color="000000" w:fill="DCE6F1"/>
            <w:noWrap/>
            <w:vAlign w:val="center"/>
            <w:hideMark/>
          </w:tcPr>
          <w:p w14:paraId="041CB007"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134.714 </w:t>
            </w:r>
          </w:p>
        </w:tc>
        <w:tc>
          <w:tcPr>
            <w:tcW w:w="1880" w:type="dxa"/>
            <w:tcBorders>
              <w:top w:val="nil"/>
              <w:left w:val="nil"/>
              <w:bottom w:val="single" w:sz="8" w:space="0" w:color="BFBFBF"/>
              <w:right w:val="single" w:sz="8" w:space="0" w:color="BFBFBF"/>
            </w:tcBorders>
            <w:shd w:val="clear" w:color="auto" w:fill="auto"/>
            <w:noWrap/>
            <w:vAlign w:val="center"/>
            <w:hideMark/>
          </w:tcPr>
          <w:p w14:paraId="5B999EC9" w14:textId="77777777" w:rsidR="00E66C9A" w:rsidRPr="00426BBC" w:rsidRDefault="00E66C9A" w:rsidP="001857FB">
            <w:pPr>
              <w:jc w:val="righ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123.358 </w:t>
            </w:r>
          </w:p>
        </w:tc>
      </w:tr>
      <w:tr w:rsidR="00E66C9A" w:rsidRPr="00426BBC" w14:paraId="646D7926"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11EB4EF3"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Costs of sales</w:t>
            </w:r>
          </w:p>
        </w:tc>
        <w:tc>
          <w:tcPr>
            <w:tcW w:w="1880" w:type="dxa"/>
            <w:tcBorders>
              <w:top w:val="nil"/>
              <w:left w:val="nil"/>
              <w:bottom w:val="single" w:sz="8" w:space="0" w:color="BFBFBF"/>
              <w:right w:val="single" w:sz="8" w:space="0" w:color="BFBFBF"/>
            </w:tcBorders>
            <w:shd w:val="clear" w:color="000000" w:fill="DCE6F1"/>
            <w:noWrap/>
            <w:vAlign w:val="center"/>
            <w:hideMark/>
          </w:tcPr>
          <w:p w14:paraId="0B408511"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(14.694)</w:t>
            </w:r>
          </w:p>
        </w:tc>
        <w:tc>
          <w:tcPr>
            <w:tcW w:w="1880" w:type="dxa"/>
            <w:tcBorders>
              <w:top w:val="nil"/>
              <w:left w:val="nil"/>
              <w:bottom w:val="single" w:sz="8" w:space="0" w:color="BFBFBF"/>
              <w:right w:val="single" w:sz="8" w:space="0" w:color="BFBFBF"/>
            </w:tcBorders>
            <w:shd w:val="clear" w:color="auto" w:fill="auto"/>
            <w:noWrap/>
            <w:vAlign w:val="center"/>
            <w:hideMark/>
          </w:tcPr>
          <w:p w14:paraId="453D86E9"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(16.278)</w:t>
            </w:r>
          </w:p>
        </w:tc>
      </w:tr>
      <w:tr w:rsidR="00E66C9A" w:rsidRPr="00426BBC" w14:paraId="222989C6"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56CDA53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Gross profit</w:t>
            </w:r>
          </w:p>
        </w:tc>
        <w:tc>
          <w:tcPr>
            <w:tcW w:w="1880" w:type="dxa"/>
            <w:tcBorders>
              <w:top w:val="nil"/>
              <w:left w:val="nil"/>
              <w:bottom w:val="single" w:sz="8" w:space="0" w:color="BFBFBF"/>
              <w:right w:val="single" w:sz="8" w:space="0" w:color="BFBFBF"/>
            </w:tcBorders>
            <w:shd w:val="clear" w:color="000000" w:fill="DCE6F1"/>
            <w:noWrap/>
            <w:vAlign w:val="center"/>
            <w:hideMark/>
          </w:tcPr>
          <w:p w14:paraId="2A47CC81"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120.020 </w:t>
            </w:r>
          </w:p>
        </w:tc>
        <w:tc>
          <w:tcPr>
            <w:tcW w:w="1880" w:type="dxa"/>
            <w:tcBorders>
              <w:top w:val="nil"/>
              <w:left w:val="nil"/>
              <w:bottom w:val="single" w:sz="8" w:space="0" w:color="D9D9D9"/>
              <w:right w:val="single" w:sz="8" w:space="0" w:color="BFBFBF"/>
            </w:tcBorders>
            <w:shd w:val="clear" w:color="auto" w:fill="auto"/>
            <w:noWrap/>
            <w:vAlign w:val="center"/>
            <w:hideMark/>
          </w:tcPr>
          <w:p w14:paraId="1F7D3A1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107.080 </w:t>
            </w:r>
          </w:p>
        </w:tc>
      </w:tr>
      <w:tr w:rsidR="00E66C9A" w:rsidRPr="00426BBC" w14:paraId="38E0487E"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2E97447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Other income</w:t>
            </w:r>
          </w:p>
        </w:tc>
        <w:tc>
          <w:tcPr>
            <w:tcW w:w="1880" w:type="dxa"/>
            <w:tcBorders>
              <w:top w:val="nil"/>
              <w:left w:val="nil"/>
              <w:bottom w:val="single" w:sz="8" w:space="0" w:color="BFBFBF"/>
              <w:right w:val="single" w:sz="8" w:space="0" w:color="BFBFBF"/>
            </w:tcBorders>
            <w:shd w:val="clear" w:color="000000" w:fill="DCE6F1"/>
            <w:noWrap/>
            <w:vAlign w:val="center"/>
            <w:hideMark/>
          </w:tcPr>
          <w:p w14:paraId="7C2AC419"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718 </w:t>
            </w:r>
          </w:p>
        </w:tc>
        <w:tc>
          <w:tcPr>
            <w:tcW w:w="1880" w:type="dxa"/>
            <w:tcBorders>
              <w:top w:val="nil"/>
              <w:left w:val="nil"/>
              <w:bottom w:val="single" w:sz="8" w:space="0" w:color="BFBFBF"/>
              <w:right w:val="single" w:sz="8" w:space="0" w:color="BFBFBF"/>
            </w:tcBorders>
            <w:shd w:val="clear" w:color="auto" w:fill="auto"/>
            <w:noWrap/>
            <w:vAlign w:val="center"/>
            <w:hideMark/>
          </w:tcPr>
          <w:p w14:paraId="0FB1F3B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292 </w:t>
            </w:r>
          </w:p>
        </w:tc>
      </w:tr>
      <w:tr w:rsidR="00E66C9A" w:rsidRPr="00426BBC" w14:paraId="31683465" w14:textId="77777777" w:rsidTr="001857FB">
        <w:trPr>
          <w:trHeight w:val="313"/>
        </w:trPr>
        <w:tc>
          <w:tcPr>
            <w:tcW w:w="6340" w:type="dxa"/>
            <w:tcBorders>
              <w:top w:val="nil"/>
              <w:left w:val="single" w:sz="8" w:space="0" w:color="BFBFBF"/>
              <w:bottom w:val="nil"/>
              <w:right w:val="single" w:sz="8" w:space="0" w:color="BFBFBF"/>
            </w:tcBorders>
            <w:shd w:val="clear" w:color="auto" w:fill="auto"/>
            <w:vAlign w:val="center"/>
            <w:hideMark/>
          </w:tcPr>
          <w:p w14:paraId="0F49D16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Research and development</w:t>
            </w:r>
          </w:p>
        </w:tc>
        <w:tc>
          <w:tcPr>
            <w:tcW w:w="1880" w:type="dxa"/>
            <w:tcBorders>
              <w:top w:val="nil"/>
              <w:left w:val="nil"/>
              <w:bottom w:val="nil"/>
              <w:right w:val="single" w:sz="8" w:space="0" w:color="BFBFBF"/>
            </w:tcBorders>
            <w:shd w:val="clear" w:color="000000" w:fill="DCE6F1"/>
            <w:noWrap/>
            <w:vAlign w:val="bottom"/>
            <w:hideMark/>
          </w:tcPr>
          <w:p w14:paraId="1DF34F2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(23.810)</w:t>
            </w:r>
          </w:p>
        </w:tc>
        <w:tc>
          <w:tcPr>
            <w:tcW w:w="1880" w:type="dxa"/>
            <w:tcBorders>
              <w:top w:val="nil"/>
              <w:left w:val="nil"/>
              <w:bottom w:val="nil"/>
              <w:right w:val="single" w:sz="8" w:space="0" w:color="BFBFBF"/>
            </w:tcBorders>
            <w:shd w:val="clear" w:color="auto" w:fill="auto"/>
            <w:noWrap/>
            <w:vAlign w:val="bottom"/>
            <w:hideMark/>
          </w:tcPr>
          <w:p w14:paraId="1A2FA8B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(23.726)</w:t>
            </w:r>
          </w:p>
        </w:tc>
      </w:tr>
      <w:tr w:rsidR="00E66C9A" w:rsidRPr="00426BBC" w14:paraId="1BDC27F9" w14:textId="77777777" w:rsidTr="001857FB">
        <w:trPr>
          <w:trHeight w:val="313"/>
        </w:trPr>
        <w:tc>
          <w:tcPr>
            <w:tcW w:w="6340" w:type="dxa"/>
            <w:tcBorders>
              <w:top w:val="nil"/>
              <w:left w:val="single" w:sz="8" w:space="0" w:color="BFBFBF"/>
              <w:bottom w:val="nil"/>
              <w:right w:val="single" w:sz="8" w:space="0" w:color="BFBFBF"/>
            </w:tcBorders>
            <w:shd w:val="clear" w:color="auto" w:fill="auto"/>
            <w:vAlign w:val="center"/>
            <w:hideMark/>
          </w:tcPr>
          <w:p w14:paraId="05AEDE3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General and administrative</w:t>
            </w:r>
          </w:p>
        </w:tc>
        <w:tc>
          <w:tcPr>
            <w:tcW w:w="1880" w:type="dxa"/>
            <w:tcBorders>
              <w:top w:val="nil"/>
              <w:left w:val="nil"/>
              <w:bottom w:val="nil"/>
              <w:right w:val="single" w:sz="8" w:space="0" w:color="BFBFBF"/>
            </w:tcBorders>
            <w:shd w:val="clear" w:color="000000" w:fill="DCE6F1"/>
            <w:noWrap/>
            <w:vAlign w:val="bottom"/>
            <w:hideMark/>
          </w:tcPr>
          <w:p w14:paraId="208F771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(13.670)</w:t>
            </w:r>
          </w:p>
        </w:tc>
        <w:tc>
          <w:tcPr>
            <w:tcW w:w="1880" w:type="dxa"/>
            <w:tcBorders>
              <w:top w:val="nil"/>
              <w:left w:val="nil"/>
              <w:bottom w:val="nil"/>
              <w:right w:val="single" w:sz="8" w:space="0" w:color="BFBFBF"/>
            </w:tcBorders>
            <w:shd w:val="clear" w:color="auto" w:fill="auto"/>
            <w:noWrap/>
            <w:vAlign w:val="bottom"/>
            <w:hideMark/>
          </w:tcPr>
          <w:p w14:paraId="3AD86D0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(10.780)</w:t>
            </w:r>
          </w:p>
        </w:tc>
      </w:tr>
      <w:tr w:rsidR="00E66C9A" w:rsidRPr="00426BBC" w14:paraId="3DACA019" w14:textId="77777777" w:rsidTr="001857FB">
        <w:trPr>
          <w:trHeight w:val="313"/>
        </w:trPr>
        <w:tc>
          <w:tcPr>
            <w:tcW w:w="6340" w:type="dxa"/>
            <w:tcBorders>
              <w:top w:val="nil"/>
              <w:left w:val="single" w:sz="8" w:space="0" w:color="BFBFBF"/>
              <w:bottom w:val="single" w:sz="8" w:space="0" w:color="BFBFBF"/>
              <w:right w:val="single" w:sz="8" w:space="0" w:color="BFBFBF"/>
            </w:tcBorders>
            <w:shd w:val="clear" w:color="auto" w:fill="auto"/>
            <w:vAlign w:val="center"/>
            <w:hideMark/>
          </w:tcPr>
          <w:p w14:paraId="67F6414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Marketing and sales</w:t>
            </w:r>
          </w:p>
        </w:tc>
        <w:tc>
          <w:tcPr>
            <w:tcW w:w="1880" w:type="dxa"/>
            <w:tcBorders>
              <w:top w:val="nil"/>
              <w:left w:val="nil"/>
              <w:bottom w:val="single" w:sz="8" w:space="0" w:color="BFBFBF"/>
              <w:right w:val="single" w:sz="8" w:space="0" w:color="BFBFBF"/>
            </w:tcBorders>
            <w:shd w:val="clear" w:color="000000" w:fill="DCE6F1"/>
            <w:noWrap/>
            <w:vAlign w:val="bottom"/>
            <w:hideMark/>
          </w:tcPr>
          <w:p w14:paraId="6D3398C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(32.113)</w:t>
            </w:r>
          </w:p>
        </w:tc>
        <w:tc>
          <w:tcPr>
            <w:tcW w:w="1880" w:type="dxa"/>
            <w:tcBorders>
              <w:top w:val="nil"/>
              <w:left w:val="nil"/>
              <w:bottom w:val="single" w:sz="8" w:space="0" w:color="BFBFBF"/>
              <w:right w:val="single" w:sz="8" w:space="0" w:color="BFBFBF"/>
            </w:tcBorders>
            <w:shd w:val="clear" w:color="auto" w:fill="auto"/>
            <w:noWrap/>
            <w:vAlign w:val="bottom"/>
            <w:hideMark/>
          </w:tcPr>
          <w:p w14:paraId="6F7A30B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(30.182)</w:t>
            </w:r>
          </w:p>
        </w:tc>
      </w:tr>
      <w:tr w:rsidR="00E66C9A" w:rsidRPr="00426BBC" w14:paraId="7EAC451C"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2286A60B"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Costs</w:t>
            </w:r>
          </w:p>
        </w:tc>
        <w:tc>
          <w:tcPr>
            <w:tcW w:w="1880" w:type="dxa"/>
            <w:tcBorders>
              <w:top w:val="nil"/>
              <w:left w:val="nil"/>
              <w:bottom w:val="single" w:sz="8" w:space="0" w:color="BFBFBF"/>
              <w:right w:val="single" w:sz="8" w:space="0" w:color="BFBFBF"/>
            </w:tcBorders>
            <w:shd w:val="clear" w:color="000000" w:fill="DCE6F1"/>
            <w:noWrap/>
            <w:vAlign w:val="center"/>
            <w:hideMark/>
          </w:tcPr>
          <w:p w14:paraId="229CA800"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(69.593)</w:t>
            </w:r>
          </w:p>
        </w:tc>
        <w:tc>
          <w:tcPr>
            <w:tcW w:w="1880" w:type="dxa"/>
            <w:tcBorders>
              <w:top w:val="nil"/>
              <w:left w:val="nil"/>
              <w:bottom w:val="single" w:sz="8" w:space="0" w:color="BFBFBF"/>
              <w:right w:val="single" w:sz="8" w:space="0" w:color="BFBFBF"/>
            </w:tcBorders>
            <w:shd w:val="clear" w:color="auto" w:fill="auto"/>
            <w:noWrap/>
            <w:vAlign w:val="center"/>
            <w:hideMark/>
          </w:tcPr>
          <w:p w14:paraId="6EE5BDB9"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(64.688)</w:t>
            </w:r>
          </w:p>
        </w:tc>
      </w:tr>
      <w:tr w:rsidR="00E66C9A" w:rsidRPr="00426BBC" w14:paraId="0EE65E0A"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31E43A62" w14:textId="1BFB4A6D"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Operating </w:t>
            </w:r>
            <w:r w:rsidR="006A5785" w:rsidRPr="00426BBC">
              <w:rPr>
                <w:rFonts w:asciiTheme="minorHAnsi" w:hAnsiTheme="minorHAnsi" w:cstheme="minorHAnsi"/>
                <w:b/>
                <w:bCs/>
                <w:color w:val="366092"/>
                <w:sz w:val="20"/>
                <w:szCs w:val="20"/>
                <w:lang w:val="en-GB"/>
              </w:rPr>
              <w:t>profit</w:t>
            </w:r>
          </w:p>
        </w:tc>
        <w:tc>
          <w:tcPr>
            <w:tcW w:w="1880" w:type="dxa"/>
            <w:tcBorders>
              <w:top w:val="nil"/>
              <w:left w:val="nil"/>
              <w:bottom w:val="single" w:sz="8" w:space="0" w:color="BFBFBF"/>
              <w:right w:val="single" w:sz="8" w:space="0" w:color="BFBFBF"/>
            </w:tcBorders>
            <w:shd w:val="clear" w:color="000000" w:fill="DCE6F1"/>
            <w:noWrap/>
            <w:vAlign w:val="center"/>
            <w:hideMark/>
          </w:tcPr>
          <w:p w14:paraId="1BA09B2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51.145 </w:t>
            </w:r>
          </w:p>
        </w:tc>
        <w:tc>
          <w:tcPr>
            <w:tcW w:w="1880" w:type="dxa"/>
            <w:tcBorders>
              <w:top w:val="nil"/>
              <w:left w:val="nil"/>
              <w:bottom w:val="single" w:sz="8" w:space="0" w:color="D9D9D9"/>
              <w:right w:val="single" w:sz="8" w:space="0" w:color="BFBFBF"/>
            </w:tcBorders>
            <w:shd w:val="clear" w:color="auto" w:fill="auto"/>
            <w:noWrap/>
            <w:vAlign w:val="center"/>
            <w:hideMark/>
          </w:tcPr>
          <w:p w14:paraId="7B6C903D"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42.684 </w:t>
            </w:r>
          </w:p>
        </w:tc>
      </w:tr>
      <w:tr w:rsidR="00E66C9A" w:rsidRPr="00426BBC" w14:paraId="417C55F1" w14:textId="77777777" w:rsidTr="001857FB">
        <w:trPr>
          <w:trHeight w:val="313"/>
        </w:trPr>
        <w:tc>
          <w:tcPr>
            <w:tcW w:w="6340" w:type="dxa"/>
            <w:tcBorders>
              <w:top w:val="nil"/>
              <w:left w:val="single" w:sz="8" w:space="0" w:color="BFBFBF"/>
              <w:bottom w:val="nil"/>
              <w:right w:val="single" w:sz="8" w:space="0" w:color="BFBFBF"/>
            </w:tcBorders>
            <w:shd w:val="clear" w:color="auto" w:fill="auto"/>
            <w:vAlign w:val="center"/>
            <w:hideMark/>
          </w:tcPr>
          <w:p w14:paraId="36B24C1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Fair value gain (loss) on revaluation derivatives</w:t>
            </w:r>
          </w:p>
        </w:tc>
        <w:tc>
          <w:tcPr>
            <w:tcW w:w="1880" w:type="dxa"/>
            <w:tcBorders>
              <w:top w:val="nil"/>
              <w:left w:val="nil"/>
              <w:bottom w:val="nil"/>
              <w:right w:val="single" w:sz="8" w:space="0" w:color="BFBFBF"/>
            </w:tcBorders>
            <w:shd w:val="clear" w:color="000000" w:fill="DCE6F1"/>
            <w:noWrap/>
            <w:vAlign w:val="bottom"/>
            <w:hideMark/>
          </w:tcPr>
          <w:p w14:paraId="711D2F5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131 </w:t>
            </w:r>
          </w:p>
        </w:tc>
        <w:tc>
          <w:tcPr>
            <w:tcW w:w="1880" w:type="dxa"/>
            <w:tcBorders>
              <w:top w:val="nil"/>
              <w:left w:val="nil"/>
              <w:bottom w:val="nil"/>
              <w:right w:val="single" w:sz="8" w:space="0" w:color="BFBFBF"/>
            </w:tcBorders>
            <w:shd w:val="clear" w:color="auto" w:fill="auto"/>
            <w:noWrap/>
            <w:vAlign w:val="bottom"/>
            <w:hideMark/>
          </w:tcPr>
          <w:p w14:paraId="07AE36E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(141)</w:t>
            </w:r>
          </w:p>
        </w:tc>
      </w:tr>
      <w:tr w:rsidR="00E66C9A" w:rsidRPr="00426BBC" w14:paraId="6C0A6F73" w14:textId="77777777" w:rsidTr="001857FB">
        <w:trPr>
          <w:trHeight w:val="313"/>
        </w:trPr>
        <w:tc>
          <w:tcPr>
            <w:tcW w:w="6340" w:type="dxa"/>
            <w:tcBorders>
              <w:top w:val="nil"/>
              <w:left w:val="single" w:sz="8" w:space="0" w:color="BFBFBF"/>
              <w:bottom w:val="nil"/>
              <w:right w:val="single" w:sz="8" w:space="0" w:color="BFBFBF"/>
            </w:tcBorders>
            <w:shd w:val="clear" w:color="auto" w:fill="auto"/>
            <w:vAlign w:val="center"/>
            <w:hideMark/>
          </w:tcPr>
          <w:p w14:paraId="59F9D03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income</w:t>
            </w:r>
          </w:p>
        </w:tc>
        <w:tc>
          <w:tcPr>
            <w:tcW w:w="1880" w:type="dxa"/>
            <w:tcBorders>
              <w:top w:val="nil"/>
              <w:left w:val="nil"/>
              <w:bottom w:val="nil"/>
              <w:right w:val="single" w:sz="8" w:space="0" w:color="BFBFBF"/>
            </w:tcBorders>
            <w:shd w:val="clear" w:color="000000" w:fill="DCE6F1"/>
            <w:noWrap/>
            <w:vAlign w:val="bottom"/>
            <w:hideMark/>
          </w:tcPr>
          <w:p w14:paraId="5FB5F41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581 </w:t>
            </w:r>
          </w:p>
        </w:tc>
        <w:tc>
          <w:tcPr>
            <w:tcW w:w="1880" w:type="dxa"/>
            <w:tcBorders>
              <w:top w:val="nil"/>
              <w:left w:val="nil"/>
              <w:bottom w:val="nil"/>
              <w:right w:val="single" w:sz="8" w:space="0" w:color="BFBFBF"/>
            </w:tcBorders>
            <w:shd w:val="clear" w:color="auto" w:fill="auto"/>
            <w:noWrap/>
            <w:vAlign w:val="bottom"/>
            <w:hideMark/>
          </w:tcPr>
          <w:p w14:paraId="6262314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769 </w:t>
            </w:r>
          </w:p>
        </w:tc>
      </w:tr>
      <w:tr w:rsidR="00E66C9A" w:rsidRPr="00426BBC" w14:paraId="7215FCC5" w14:textId="77777777" w:rsidTr="001857FB">
        <w:trPr>
          <w:trHeight w:val="313"/>
        </w:trPr>
        <w:tc>
          <w:tcPr>
            <w:tcW w:w="6340" w:type="dxa"/>
            <w:tcBorders>
              <w:top w:val="nil"/>
              <w:left w:val="single" w:sz="8" w:space="0" w:color="BFBFBF"/>
              <w:bottom w:val="single" w:sz="8" w:space="0" w:color="BFBFBF"/>
              <w:right w:val="single" w:sz="8" w:space="0" w:color="BFBFBF"/>
            </w:tcBorders>
            <w:shd w:val="clear" w:color="auto" w:fill="auto"/>
            <w:vAlign w:val="center"/>
            <w:hideMark/>
          </w:tcPr>
          <w:p w14:paraId="6762811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Other financial expenses </w:t>
            </w:r>
          </w:p>
        </w:tc>
        <w:tc>
          <w:tcPr>
            <w:tcW w:w="1880" w:type="dxa"/>
            <w:tcBorders>
              <w:top w:val="nil"/>
              <w:left w:val="nil"/>
              <w:bottom w:val="single" w:sz="8" w:space="0" w:color="BFBFBF"/>
              <w:right w:val="single" w:sz="8" w:space="0" w:color="BFBFBF"/>
            </w:tcBorders>
            <w:shd w:val="clear" w:color="000000" w:fill="DCE6F1"/>
            <w:noWrap/>
            <w:vAlign w:val="bottom"/>
            <w:hideMark/>
          </w:tcPr>
          <w:p w14:paraId="49003CE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(18.285)</w:t>
            </w:r>
          </w:p>
        </w:tc>
        <w:tc>
          <w:tcPr>
            <w:tcW w:w="1880" w:type="dxa"/>
            <w:tcBorders>
              <w:top w:val="nil"/>
              <w:left w:val="nil"/>
              <w:bottom w:val="single" w:sz="8" w:space="0" w:color="BFBFBF"/>
              <w:right w:val="single" w:sz="8" w:space="0" w:color="BFBFBF"/>
            </w:tcBorders>
            <w:shd w:val="clear" w:color="auto" w:fill="auto"/>
            <w:noWrap/>
            <w:vAlign w:val="bottom"/>
            <w:hideMark/>
          </w:tcPr>
          <w:p w14:paraId="292E58E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(12.146)</w:t>
            </w:r>
          </w:p>
        </w:tc>
      </w:tr>
      <w:tr w:rsidR="00E66C9A" w:rsidRPr="00426BBC" w14:paraId="277AE688"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508F03C2"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Financial income and expenses</w:t>
            </w:r>
          </w:p>
        </w:tc>
        <w:tc>
          <w:tcPr>
            <w:tcW w:w="1880" w:type="dxa"/>
            <w:tcBorders>
              <w:top w:val="nil"/>
              <w:left w:val="nil"/>
              <w:bottom w:val="single" w:sz="8" w:space="0" w:color="BFBFBF"/>
              <w:right w:val="single" w:sz="8" w:space="0" w:color="BFBFBF"/>
            </w:tcBorders>
            <w:shd w:val="clear" w:color="000000" w:fill="DCE6F1"/>
            <w:noWrap/>
            <w:vAlign w:val="center"/>
            <w:hideMark/>
          </w:tcPr>
          <w:p w14:paraId="198FFC6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(17.573)</w:t>
            </w:r>
          </w:p>
        </w:tc>
        <w:tc>
          <w:tcPr>
            <w:tcW w:w="1880" w:type="dxa"/>
            <w:tcBorders>
              <w:top w:val="nil"/>
              <w:left w:val="nil"/>
              <w:bottom w:val="single" w:sz="8" w:space="0" w:color="BFBFBF"/>
              <w:right w:val="single" w:sz="8" w:space="0" w:color="BFBFBF"/>
            </w:tcBorders>
            <w:shd w:val="clear" w:color="auto" w:fill="auto"/>
            <w:noWrap/>
            <w:vAlign w:val="center"/>
            <w:hideMark/>
          </w:tcPr>
          <w:p w14:paraId="43D397F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(11.518)</w:t>
            </w:r>
          </w:p>
        </w:tc>
      </w:tr>
      <w:tr w:rsidR="00E66C9A" w:rsidRPr="00426BBC" w14:paraId="37351CF2"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auto" w:fill="auto"/>
            <w:vAlign w:val="center"/>
            <w:hideMark/>
          </w:tcPr>
          <w:p w14:paraId="30EAC187"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Share of net profits in associates using the equity method</w:t>
            </w:r>
          </w:p>
        </w:tc>
        <w:tc>
          <w:tcPr>
            <w:tcW w:w="1880" w:type="dxa"/>
            <w:tcBorders>
              <w:top w:val="nil"/>
              <w:left w:val="nil"/>
              <w:bottom w:val="single" w:sz="8" w:space="0" w:color="BFBFBF"/>
              <w:right w:val="single" w:sz="8" w:space="0" w:color="BFBFBF"/>
            </w:tcBorders>
            <w:shd w:val="clear" w:color="000000" w:fill="DCE6F1"/>
            <w:noWrap/>
            <w:vAlign w:val="center"/>
            <w:hideMark/>
          </w:tcPr>
          <w:p w14:paraId="390F34E1"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195 </w:t>
            </w:r>
          </w:p>
        </w:tc>
        <w:tc>
          <w:tcPr>
            <w:tcW w:w="1880" w:type="dxa"/>
            <w:tcBorders>
              <w:top w:val="nil"/>
              <w:left w:val="nil"/>
              <w:bottom w:val="single" w:sz="8" w:space="0" w:color="D9D9D9"/>
              <w:right w:val="single" w:sz="8" w:space="0" w:color="BFBFBF"/>
            </w:tcBorders>
            <w:shd w:val="clear" w:color="auto" w:fill="auto"/>
            <w:noWrap/>
            <w:vAlign w:val="center"/>
            <w:hideMark/>
          </w:tcPr>
          <w:p w14:paraId="176C779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439 </w:t>
            </w:r>
          </w:p>
        </w:tc>
      </w:tr>
      <w:tr w:rsidR="00E66C9A" w:rsidRPr="00426BBC" w14:paraId="547E8D7E"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0BA44D21"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Result before income tax</w:t>
            </w:r>
          </w:p>
        </w:tc>
        <w:tc>
          <w:tcPr>
            <w:tcW w:w="1880" w:type="dxa"/>
            <w:tcBorders>
              <w:top w:val="nil"/>
              <w:left w:val="nil"/>
              <w:bottom w:val="single" w:sz="8" w:space="0" w:color="BFBFBF"/>
              <w:right w:val="single" w:sz="8" w:space="0" w:color="BFBFBF"/>
            </w:tcBorders>
            <w:shd w:val="clear" w:color="000000" w:fill="DCE6F1"/>
            <w:noWrap/>
            <w:vAlign w:val="center"/>
            <w:hideMark/>
          </w:tcPr>
          <w:p w14:paraId="392F9CF7"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33.767 </w:t>
            </w:r>
          </w:p>
        </w:tc>
        <w:tc>
          <w:tcPr>
            <w:tcW w:w="1880" w:type="dxa"/>
            <w:tcBorders>
              <w:top w:val="nil"/>
              <w:left w:val="nil"/>
              <w:bottom w:val="single" w:sz="8" w:space="0" w:color="D9D9D9"/>
              <w:right w:val="single" w:sz="8" w:space="0" w:color="BFBFBF"/>
            </w:tcBorders>
            <w:shd w:val="clear" w:color="auto" w:fill="auto"/>
            <w:noWrap/>
            <w:vAlign w:val="center"/>
            <w:hideMark/>
          </w:tcPr>
          <w:p w14:paraId="72A58F7C"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31.605 </w:t>
            </w:r>
          </w:p>
        </w:tc>
      </w:tr>
      <w:tr w:rsidR="00E66C9A" w:rsidRPr="00426BBC" w14:paraId="7FBA7EFA"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160707F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Income tax credit (expense)</w:t>
            </w:r>
          </w:p>
        </w:tc>
        <w:tc>
          <w:tcPr>
            <w:tcW w:w="1880" w:type="dxa"/>
            <w:tcBorders>
              <w:top w:val="nil"/>
              <w:left w:val="nil"/>
              <w:bottom w:val="single" w:sz="8" w:space="0" w:color="BFBFBF"/>
              <w:right w:val="single" w:sz="8" w:space="0" w:color="BFBFBF"/>
            </w:tcBorders>
            <w:shd w:val="clear" w:color="000000" w:fill="DCE6F1"/>
            <w:noWrap/>
            <w:vAlign w:val="center"/>
            <w:hideMark/>
          </w:tcPr>
          <w:p w14:paraId="26C89B5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(8.171)</w:t>
            </w:r>
          </w:p>
        </w:tc>
        <w:tc>
          <w:tcPr>
            <w:tcW w:w="1880" w:type="dxa"/>
            <w:tcBorders>
              <w:top w:val="nil"/>
              <w:left w:val="nil"/>
              <w:bottom w:val="single" w:sz="8" w:space="0" w:color="D9D9D9"/>
              <w:right w:val="single" w:sz="8" w:space="0" w:color="BFBFBF"/>
            </w:tcBorders>
            <w:shd w:val="clear" w:color="auto" w:fill="auto"/>
            <w:noWrap/>
            <w:vAlign w:val="center"/>
            <w:hideMark/>
          </w:tcPr>
          <w:p w14:paraId="78FC3CE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(7.549)</w:t>
            </w:r>
          </w:p>
        </w:tc>
      </w:tr>
      <w:tr w:rsidR="00E66C9A" w:rsidRPr="00426BBC" w14:paraId="5C2A01E4"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30A63B3A" w14:textId="1262F0FF"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Net </w:t>
            </w:r>
            <w:r w:rsidR="006A5785" w:rsidRPr="00426BBC">
              <w:rPr>
                <w:rFonts w:asciiTheme="minorHAnsi" w:hAnsiTheme="minorHAnsi" w:cstheme="minorHAnsi"/>
                <w:b/>
                <w:bCs/>
                <w:color w:val="366092"/>
                <w:sz w:val="20"/>
                <w:szCs w:val="20"/>
                <w:lang w:val="en-GB"/>
              </w:rPr>
              <w:t xml:space="preserve">profit </w:t>
            </w:r>
            <w:r w:rsidRPr="00426BBC">
              <w:rPr>
                <w:rFonts w:asciiTheme="minorHAnsi" w:hAnsiTheme="minorHAnsi" w:cstheme="minorHAnsi"/>
                <w:b/>
                <w:bCs/>
                <w:color w:val="366092"/>
                <w:sz w:val="20"/>
                <w:szCs w:val="20"/>
                <w:lang w:val="en-GB"/>
              </w:rPr>
              <w:t>for the year</w:t>
            </w:r>
          </w:p>
        </w:tc>
        <w:tc>
          <w:tcPr>
            <w:tcW w:w="1880" w:type="dxa"/>
            <w:tcBorders>
              <w:top w:val="nil"/>
              <w:left w:val="nil"/>
              <w:bottom w:val="single" w:sz="8" w:space="0" w:color="BFBFBF"/>
              <w:right w:val="single" w:sz="8" w:space="0" w:color="BFBFBF"/>
            </w:tcBorders>
            <w:shd w:val="clear" w:color="000000" w:fill="DCE6F1"/>
            <w:noWrap/>
            <w:vAlign w:val="center"/>
            <w:hideMark/>
          </w:tcPr>
          <w:p w14:paraId="743AE407"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25.596 </w:t>
            </w:r>
          </w:p>
        </w:tc>
        <w:tc>
          <w:tcPr>
            <w:tcW w:w="1880" w:type="dxa"/>
            <w:tcBorders>
              <w:top w:val="nil"/>
              <w:left w:val="nil"/>
              <w:bottom w:val="single" w:sz="8" w:space="0" w:color="D9D9D9"/>
              <w:right w:val="single" w:sz="8" w:space="0" w:color="BFBFBF"/>
            </w:tcBorders>
            <w:shd w:val="clear" w:color="auto" w:fill="auto"/>
            <w:noWrap/>
            <w:vAlign w:val="center"/>
            <w:hideMark/>
          </w:tcPr>
          <w:p w14:paraId="124AD71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24.056 </w:t>
            </w:r>
          </w:p>
        </w:tc>
      </w:tr>
      <w:tr w:rsidR="00E66C9A" w:rsidRPr="00426BBC" w14:paraId="1C4641A3" w14:textId="77777777" w:rsidTr="001857FB">
        <w:trPr>
          <w:trHeight w:val="390"/>
        </w:trPr>
        <w:tc>
          <w:tcPr>
            <w:tcW w:w="6340" w:type="dxa"/>
            <w:tcBorders>
              <w:top w:val="nil"/>
              <w:left w:val="single" w:sz="8" w:space="0" w:color="BFBFBF"/>
              <w:bottom w:val="nil"/>
              <w:right w:val="single" w:sz="8" w:space="0" w:color="BFBFBF"/>
            </w:tcBorders>
            <w:shd w:val="clear" w:color="000000" w:fill="FFFFFF"/>
            <w:vAlign w:val="center"/>
            <w:hideMark/>
          </w:tcPr>
          <w:p w14:paraId="529769A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Attributable to:</w:t>
            </w:r>
          </w:p>
        </w:tc>
        <w:tc>
          <w:tcPr>
            <w:tcW w:w="1880" w:type="dxa"/>
            <w:tcBorders>
              <w:top w:val="nil"/>
              <w:left w:val="nil"/>
              <w:bottom w:val="nil"/>
              <w:right w:val="single" w:sz="8" w:space="0" w:color="BFBFBF"/>
            </w:tcBorders>
            <w:shd w:val="clear" w:color="000000" w:fill="DCE6F1"/>
            <w:noWrap/>
            <w:vAlign w:val="bottom"/>
            <w:hideMark/>
          </w:tcPr>
          <w:p w14:paraId="15BE40F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3ECEBD7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6F8C3C34" w14:textId="77777777" w:rsidTr="001857FB">
        <w:trPr>
          <w:trHeight w:val="39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4E50DCC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Owners of the parent</w:t>
            </w:r>
          </w:p>
        </w:tc>
        <w:tc>
          <w:tcPr>
            <w:tcW w:w="1880" w:type="dxa"/>
            <w:tcBorders>
              <w:top w:val="nil"/>
              <w:left w:val="nil"/>
              <w:bottom w:val="single" w:sz="8" w:space="0" w:color="BFBFBF"/>
              <w:right w:val="single" w:sz="8" w:space="0" w:color="BFBFBF"/>
            </w:tcBorders>
            <w:shd w:val="clear" w:color="000000" w:fill="DCE6F1"/>
            <w:noWrap/>
            <w:vAlign w:val="center"/>
            <w:hideMark/>
          </w:tcPr>
          <w:p w14:paraId="0F32EB4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25.596 </w:t>
            </w:r>
          </w:p>
        </w:tc>
        <w:tc>
          <w:tcPr>
            <w:tcW w:w="1880" w:type="dxa"/>
            <w:tcBorders>
              <w:top w:val="nil"/>
              <w:left w:val="nil"/>
              <w:bottom w:val="single" w:sz="8" w:space="0" w:color="BFBFBF"/>
              <w:right w:val="single" w:sz="8" w:space="0" w:color="BFBFBF"/>
            </w:tcBorders>
            <w:shd w:val="clear" w:color="auto" w:fill="auto"/>
            <w:noWrap/>
            <w:vAlign w:val="center"/>
            <w:hideMark/>
          </w:tcPr>
          <w:p w14:paraId="2F79D27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24.056 </w:t>
            </w:r>
          </w:p>
        </w:tc>
      </w:tr>
      <w:tr w:rsidR="00E66C9A" w:rsidRPr="00426BBC" w14:paraId="6D9262AA" w14:textId="77777777" w:rsidTr="001857FB">
        <w:trPr>
          <w:trHeight w:val="630"/>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71EE8555" w14:textId="78C41F5B"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Total net </w:t>
            </w:r>
            <w:r w:rsidR="006A5785" w:rsidRPr="00426BBC">
              <w:rPr>
                <w:rFonts w:asciiTheme="minorHAnsi" w:hAnsiTheme="minorHAnsi" w:cstheme="minorHAnsi"/>
                <w:b/>
                <w:bCs/>
                <w:color w:val="366092"/>
                <w:sz w:val="20"/>
                <w:szCs w:val="20"/>
                <w:lang w:val="en-GB"/>
              </w:rPr>
              <w:t>profit</w:t>
            </w:r>
          </w:p>
        </w:tc>
        <w:tc>
          <w:tcPr>
            <w:tcW w:w="1880" w:type="dxa"/>
            <w:tcBorders>
              <w:top w:val="nil"/>
              <w:left w:val="nil"/>
              <w:bottom w:val="single" w:sz="8" w:space="0" w:color="BFBFBF"/>
              <w:right w:val="single" w:sz="8" w:space="0" w:color="BFBFBF"/>
            </w:tcBorders>
            <w:shd w:val="clear" w:color="000000" w:fill="DCE6F1"/>
            <w:noWrap/>
            <w:vAlign w:val="center"/>
            <w:hideMark/>
          </w:tcPr>
          <w:p w14:paraId="667E0430"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25.596 </w:t>
            </w:r>
          </w:p>
        </w:tc>
        <w:tc>
          <w:tcPr>
            <w:tcW w:w="1880" w:type="dxa"/>
            <w:tcBorders>
              <w:top w:val="nil"/>
              <w:left w:val="nil"/>
              <w:bottom w:val="single" w:sz="8" w:space="0" w:color="BFBFBF"/>
              <w:right w:val="single" w:sz="8" w:space="0" w:color="BFBFBF"/>
            </w:tcBorders>
            <w:shd w:val="clear" w:color="auto" w:fill="auto"/>
            <w:noWrap/>
            <w:vAlign w:val="center"/>
            <w:hideMark/>
          </w:tcPr>
          <w:p w14:paraId="0B739E73"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24.056 </w:t>
            </w:r>
          </w:p>
        </w:tc>
      </w:tr>
      <w:tr w:rsidR="00E66C9A" w:rsidRPr="00426BBC" w14:paraId="667610B4" w14:textId="77777777" w:rsidTr="001857FB">
        <w:trPr>
          <w:trHeight w:val="390"/>
        </w:trPr>
        <w:tc>
          <w:tcPr>
            <w:tcW w:w="6340" w:type="dxa"/>
            <w:tcBorders>
              <w:top w:val="nil"/>
              <w:left w:val="single" w:sz="8" w:space="0" w:color="BFBFBF"/>
              <w:bottom w:val="nil"/>
              <w:right w:val="single" w:sz="8" w:space="0" w:color="BFBFBF"/>
            </w:tcBorders>
            <w:shd w:val="clear" w:color="000000" w:fill="FFFFFF"/>
            <w:vAlign w:val="center"/>
            <w:hideMark/>
          </w:tcPr>
          <w:p w14:paraId="23DFF92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Basic earnings per share (€) </w:t>
            </w:r>
          </w:p>
        </w:tc>
        <w:tc>
          <w:tcPr>
            <w:tcW w:w="1880" w:type="dxa"/>
            <w:tcBorders>
              <w:top w:val="nil"/>
              <w:left w:val="nil"/>
              <w:bottom w:val="single" w:sz="8" w:space="0" w:color="BFBFBF"/>
              <w:right w:val="single" w:sz="8" w:space="0" w:color="BFBFBF"/>
            </w:tcBorders>
            <w:shd w:val="clear" w:color="000000" w:fill="DCE6F1"/>
            <w:noWrap/>
            <w:vAlign w:val="center"/>
            <w:hideMark/>
          </w:tcPr>
          <w:p w14:paraId="6265846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0,040 </w:t>
            </w:r>
          </w:p>
        </w:tc>
        <w:tc>
          <w:tcPr>
            <w:tcW w:w="1880" w:type="dxa"/>
            <w:tcBorders>
              <w:top w:val="nil"/>
              <w:left w:val="nil"/>
              <w:bottom w:val="single" w:sz="8" w:space="0" w:color="D9D9D9"/>
              <w:right w:val="single" w:sz="8" w:space="0" w:color="BFBFBF"/>
            </w:tcBorders>
            <w:shd w:val="clear" w:color="auto" w:fill="auto"/>
            <w:noWrap/>
            <w:vAlign w:val="center"/>
            <w:hideMark/>
          </w:tcPr>
          <w:p w14:paraId="6B95A20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0,038 </w:t>
            </w:r>
          </w:p>
        </w:tc>
      </w:tr>
      <w:tr w:rsidR="00E66C9A" w:rsidRPr="00426BBC" w14:paraId="58EFF88C" w14:textId="77777777" w:rsidTr="001857FB">
        <w:trPr>
          <w:trHeight w:val="390"/>
        </w:trPr>
        <w:tc>
          <w:tcPr>
            <w:tcW w:w="634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5A6BB6B6" w14:textId="708B521B" w:rsidR="00E66C9A" w:rsidRPr="00426BBC" w:rsidRDefault="00166768"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Fully diluted</w:t>
            </w:r>
            <w:r w:rsidR="00E66C9A" w:rsidRPr="00426BBC">
              <w:rPr>
                <w:rFonts w:asciiTheme="minorHAnsi" w:hAnsiTheme="minorHAnsi" w:cstheme="minorHAnsi"/>
                <w:color w:val="808080"/>
                <w:sz w:val="20"/>
                <w:szCs w:val="20"/>
                <w:lang w:val="en-GB"/>
              </w:rPr>
              <w:t xml:space="preserve"> earnings per share (€) </w:t>
            </w:r>
          </w:p>
        </w:tc>
        <w:tc>
          <w:tcPr>
            <w:tcW w:w="1880" w:type="dxa"/>
            <w:tcBorders>
              <w:top w:val="nil"/>
              <w:left w:val="nil"/>
              <w:bottom w:val="single" w:sz="8" w:space="0" w:color="BFBFBF"/>
              <w:right w:val="single" w:sz="8" w:space="0" w:color="BFBFBF"/>
            </w:tcBorders>
            <w:shd w:val="clear" w:color="000000" w:fill="DCE6F1"/>
            <w:noWrap/>
            <w:vAlign w:val="center"/>
            <w:hideMark/>
          </w:tcPr>
          <w:p w14:paraId="714D3E7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0,035 </w:t>
            </w:r>
          </w:p>
        </w:tc>
        <w:tc>
          <w:tcPr>
            <w:tcW w:w="1880" w:type="dxa"/>
            <w:tcBorders>
              <w:top w:val="nil"/>
              <w:left w:val="nil"/>
              <w:bottom w:val="single" w:sz="8" w:space="0" w:color="D9D9D9"/>
              <w:right w:val="single" w:sz="8" w:space="0" w:color="BFBFBF"/>
            </w:tcBorders>
            <w:shd w:val="clear" w:color="auto" w:fill="auto"/>
            <w:noWrap/>
            <w:vAlign w:val="center"/>
            <w:hideMark/>
          </w:tcPr>
          <w:p w14:paraId="3B62D0C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0,036 </w:t>
            </w:r>
          </w:p>
        </w:tc>
      </w:tr>
    </w:tbl>
    <w:p w14:paraId="091EEAAE" w14:textId="77777777" w:rsidR="00E66C9A" w:rsidRPr="00426BBC" w:rsidRDefault="00E66C9A" w:rsidP="00E66C9A">
      <w:pPr>
        <w:jc w:val="left"/>
        <w:rPr>
          <w:rFonts w:asciiTheme="minorHAnsi" w:hAnsiTheme="minorHAnsi" w:cstheme="minorHAnsi"/>
          <w:color w:val="808080"/>
          <w:lang w:val="en-GB"/>
        </w:rPr>
      </w:pPr>
    </w:p>
    <w:p w14:paraId="021DC432" w14:textId="77777777" w:rsidR="00E66C9A" w:rsidRPr="00426BBC" w:rsidRDefault="00E66C9A" w:rsidP="00E66C9A">
      <w:pPr>
        <w:jc w:val="left"/>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br w:type="page"/>
      </w:r>
    </w:p>
    <w:p w14:paraId="4AFC615E" w14:textId="77777777" w:rsidR="00E66C9A" w:rsidRPr="00426BBC" w:rsidRDefault="00E66C9A" w:rsidP="00E66C9A">
      <w:pPr>
        <w:rPr>
          <w:rFonts w:asciiTheme="minorHAnsi" w:hAnsiTheme="minorHAnsi" w:cstheme="minorHAnsi"/>
          <w:b/>
          <w:color w:val="276E8B" w:themeColor="accent1" w:themeShade="BF"/>
          <w:szCs w:val="22"/>
          <w:lang w:val="en-GB"/>
        </w:rPr>
      </w:pPr>
      <w:r w:rsidRPr="00426BBC">
        <w:rPr>
          <w:rFonts w:asciiTheme="minorHAnsi" w:eastAsiaTheme="majorEastAsia" w:hAnsiTheme="minorHAnsi" w:cstheme="minorHAnsi"/>
          <w:b/>
          <w:color w:val="59595B"/>
          <w:szCs w:val="28"/>
          <w:lang w:val="en-GB" w:eastAsia="zh-CN"/>
        </w:rPr>
        <w:lastRenderedPageBreak/>
        <w:t>Condensed Consolidated Statement of Comprehensive Income</w:t>
      </w:r>
      <w:r w:rsidRPr="00426BBC">
        <w:rPr>
          <w:rFonts w:asciiTheme="minorHAnsi" w:hAnsiTheme="minorHAnsi" w:cstheme="minorHAnsi"/>
          <w:b/>
          <w:color w:val="276E8B" w:themeColor="accent1" w:themeShade="BF"/>
          <w:szCs w:val="22"/>
          <w:lang w:val="en-GB"/>
        </w:rPr>
        <w:t xml:space="preserve"> </w:t>
      </w:r>
    </w:p>
    <w:p w14:paraId="4F303DA0" w14:textId="77777777" w:rsidR="00E66C9A" w:rsidRPr="00E008A5" w:rsidRDefault="00E66C9A" w:rsidP="00E66C9A">
      <w:pPr>
        <w:pStyle w:val="NoSpacing"/>
        <w:rPr>
          <w:rFonts w:asciiTheme="minorHAnsi" w:hAnsiTheme="minorHAnsi" w:cstheme="minorHAnsi"/>
          <w:sz w:val="24"/>
          <w:lang w:val="en-GB"/>
        </w:rPr>
      </w:pPr>
      <w:r w:rsidRPr="00E9120D">
        <w:rPr>
          <w:rFonts w:asciiTheme="minorHAnsi" w:hAnsiTheme="minorHAnsi" w:cstheme="minorHAnsi"/>
          <w:sz w:val="24"/>
          <w:lang w:val="en-GB"/>
        </w:rPr>
        <w:t>For the period ended 30 September</w:t>
      </w:r>
    </w:p>
    <w:p w14:paraId="08B8F1E1" w14:textId="77777777" w:rsidR="00E66C9A" w:rsidRPr="00426BBC" w:rsidRDefault="00E66C9A" w:rsidP="00E66C9A">
      <w:pPr>
        <w:jc w:val="left"/>
        <w:rPr>
          <w:rFonts w:asciiTheme="minorHAnsi" w:hAnsiTheme="minorHAnsi" w:cstheme="minorHAnsi"/>
          <w:b/>
          <w:color w:val="276E8B" w:themeColor="accent1" w:themeShade="BF"/>
          <w:szCs w:val="22"/>
          <w:lang w:val="en-GB"/>
        </w:rPr>
      </w:pPr>
    </w:p>
    <w:tbl>
      <w:tblPr>
        <w:tblW w:w="9072" w:type="dxa"/>
        <w:tblLook w:val="04A0" w:firstRow="1" w:lastRow="0" w:firstColumn="1" w:lastColumn="0" w:noHBand="0" w:noVBand="1"/>
      </w:tblPr>
      <w:tblGrid>
        <w:gridCol w:w="5392"/>
        <w:gridCol w:w="1840"/>
        <w:gridCol w:w="1840"/>
      </w:tblGrid>
      <w:tr w:rsidR="00E66C9A" w:rsidRPr="00426BBC" w14:paraId="1626DB86" w14:textId="77777777" w:rsidTr="00E66C9A">
        <w:trPr>
          <w:trHeight w:val="480"/>
        </w:trPr>
        <w:tc>
          <w:tcPr>
            <w:tcW w:w="5392" w:type="dxa"/>
            <w:tcBorders>
              <w:top w:val="nil"/>
              <w:left w:val="nil"/>
              <w:bottom w:val="single" w:sz="8" w:space="0" w:color="BFBFBF"/>
              <w:right w:val="nil"/>
            </w:tcBorders>
            <w:shd w:val="clear" w:color="000000" w:fill="366092"/>
            <w:vAlign w:val="center"/>
            <w:hideMark/>
          </w:tcPr>
          <w:p w14:paraId="10694DFE" w14:textId="77777777" w:rsidR="00E66C9A" w:rsidRPr="00426BBC" w:rsidRDefault="00E66C9A" w:rsidP="001857FB">
            <w:pPr>
              <w:jc w:val="left"/>
              <w:rPr>
                <w:rFonts w:asciiTheme="minorHAnsi" w:hAnsiTheme="minorHAnsi" w:cstheme="minorHAnsi"/>
                <w:color w:val="FFFFFF"/>
                <w:sz w:val="16"/>
                <w:szCs w:val="16"/>
                <w:lang w:val="en-GB"/>
              </w:rPr>
            </w:pPr>
            <w:r w:rsidRPr="00426BBC">
              <w:rPr>
                <w:rFonts w:asciiTheme="minorHAnsi" w:hAnsiTheme="minorHAnsi" w:cstheme="minorHAnsi"/>
                <w:color w:val="FFFFFF"/>
                <w:sz w:val="16"/>
                <w:szCs w:val="16"/>
                <w:lang w:val="en-GB"/>
              </w:rPr>
              <w:t>Amounts in € ‘000</w:t>
            </w:r>
          </w:p>
        </w:tc>
        <w:tc>
          <w:tcPr>
            <w:tcW w:w="1840" w:type="dxa"/>
            <w:tcBorders>
              <w:top w:val="nil"/>
              <w:left w:val="nil"/>
              <w:bottom w:val="single" w:sz="8" w:space="0" w:color="BFBFBF"/>
              <w:right w:val="nil"/>
            </w:tcBorders>
            <w:shd w:val="clear" w:color="000000" w:fill="366092"/>
            <w:vAlign w:val="center"/>
            <w:hideMark/>
          </w:tcPr>
          <w:p w14:paraId="32E1C66B"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2020</w:t>
            </w:r>
          </w:p>
        </w:tc>
        <w:tc>
          <w:tcPr>
            <w:tcW w:w="1840" w:type="dxa"/>
            <w:tcBorders>
              <w:top w:val="nil"/>
              <w:left w:val="nil"/>
              <w:bottom w:val="single" w:sz="8" w:space="0" w:color="BFBFBF"/>
              <w:right w:val="nil"/>
            </w:tcBorders>
            <w:shd w:val="clear" w:color="000000" w:fill="366092"/>
            <w:vAlign w:val="center"/>
            <w:hideMark/>
          </w:tcPr>
          <w:p w14:paraId="1A85B2BE"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2019</w:t>
            </w:r>
          </w:p>
        </w:tc>
      </w:tr>
      <w:tr w:rsidR="00E66C9A" w:rsidRPr="00426BBC" w14:paraId="226F4AEC" w14:textId="77777777" w:rsidTr="00E66C9A">
        <w:trPr>
          <w:trHeight w:val="495"/>
        </w:trPr>
        <w:tc>
          <w:tcPr>
            <w:tcW w:w="5392" w:type="dxa"/>
            <w:tcBorders>
              <w:top w:val="nil"/>
              <w:left w:val="single" w:sz="8" w:space="0" w:color="BFBFBF"/>
              <w:bottom w:val="single" w:sz="8" w:space="0" w:color="BFBFBF"/>
              <w:right w:val="single" w:sz="8" w:space="0" w:color="BFBFBF"/>
            </w:tcBorders>
            <w:shd w:val="clear" w:color="000000" w:fill="FFFFFF"/>
            <w:vAlign w:val="center"/>
            <w:hideMark/>
          </w:tcPr>
          <w:p w14:paraId="6BC05581" w14:textId="16F3D328"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Net </w:t>
            </w:r>
            <w:r w:rsidR="006A5785" w:rsidRPr="00426BBC">
              <w:rPr>
                <w:rFonts w:asciiTheme="minorHAnsi" w:hAnsiTheme="minorHAnsi" w:cstheme="minorHAnsi"/>
                <w:b/>
                <w:bCs/>
                <w:color w:val="366092"/>
                <w:sz w:val="20"/>
                <w:szCs w:val="20"/>
                <w:lang w:val="en-GB"/>
              </w:rPr>
              <w:t xml:space="preserve">profit </w:t>
            </w:r>
            <w:r w:rsidRPr="00426BBC">
              <w:rPr>
                <w:rFonts w:asciiTheme="minorHAnsi" w:hAnsiTheme="minorHAnsi" w:cstheme="minorHAnsi"/>
                <w:b/>
                <w:bCs/>
                <w:color w:val="366092"/>
                <w:sz w:val="20"/>
                <w:szCs w:val="20"/>
                <w:lang w:val="en-GB"/>
              </w:rPr>
              <w:t>for the year</w:t>
            </w:r>
          </w:p>
        </w:tc>
        <w:tc>
          <w:tcPr>
            <w:tcW w:w="1840" w:type="dxa"/>
            <w:tcBorders>
              <w:top w:val="nil"/>
              <w:left w:val="nil"/>
              <w:bottom w:val="single" w:sz="8" w:space="0" w:color="BFBFBF"/>
              <w:right w:val="single" w:sz="8" w:space="0" w:color="BFBFBF"/>
            </w:tcBorders>
            <w:shd w:val="clear" w:color="000000" w:fill="DCE6F1"/>
            <w:noWrap/>
            <w:vAlign w:val="center"/>
            <w:hideMark/>
          </w:tcPr>
          <w:p w14:paraId="4C9D2E0C"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25.596  </w:t>
            </w:r>
          </w:p>
        </w:tc>
        <w:tc>
          <w:tcPr>
            <w:tcW w:w="1840" w:type="dxa"/>
            <w:tcBorders>
              <w:top w:val="nil"/>
              <w:left w:val="nil"/>
              <w:bottom w:val="single" w:sz="8" w:space="0" w:color="D9D9D9"/>
              <w:right w:val="single" w:sz="8" w:space="0" w:color="BFBFBF"/>
            </w:tcBorders>
            <w:shd w:val="clear" w:color="auto" w:fill="auto"/>
            <w:noWrap/>
            <w:vAlign w:val="center"/>
            <w:hideMark/>
          </w:tcPr>
          <w:p w14:paraId="44FC69AF"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24.056 </w:t>
            </w:r>
          </w:p>
        </w:tc>
      </w:tr>
      <w:tr w:rsidR="00E66C9A" w:rsidRPr="00426BBC" w14:paraId="1443CF62" w14:textId="77777777" w:rsidTr="00E66C9A">
        <w:trPr>
          <w:trHeight w:val="495"/>
        </w:trPr>
        <w:tc>
          <w:tcPr>
            <w:tcW w:w="5392" w:type="dxa"/>
            <w:tcBorders>
              <w:top w:val="nil"/>
              <w:left w:val="single" w:sz="8" w:space="0" w:color="BFBFBF"/>
              <w:bottom w:val="nil"/>
              <w:right w:val="single" w:sz="8" w:space="0" w:color="BFBFBF"/>
            </w:tcBorders>
            <w:shd w:val="clear" w:color="000000" w:fill="FFFFFF"/>
            <w:vAlign w:val="center"/>
            <w:hideMark/>
          </w:tcPr>
          <w:p w14:paraId="229A0C3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Currency translation differences</w:t>
            </w:r>
          </w:p>
        </w:tc>
        <w:tc>
          <w:tcPr>
            <w:tcW w:w="1840" w:type="dxa"/>
            <w:tcBorders>
              <w:top w:val="nil"/>
              <w:left w:val="nil"/>
              <w:bottom w:val="nil"/>
              <w:right w:val="single" w:sz="8" w:space="0" w:color="BFBFBF"/>
            </w:tcBorders>
            <w:shd w:val="clear" w:color="000000" w:fill="DCE6F1"/>
            <w:noWrap/>
            <w:vAlign w:val="center"/>
            <w:hideMark/>
          </w:tcPr>
          <w:p w14:paraId="0AD4451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441</w:t>
            </w:r>
          </w:p>
        </w:tc>
        <w:tc>
          <w:tcPr>
            <w:tcW w:w="1840" w:type="dxa"/>
            <w:tcBorders>
              <w:top w:val="nil"/>
              <w:left w:val="nil"/>
              <w:bottom w:val="nil"/>
              <w:right w:val="single" w:sz="8" w:space="0" w:color="BFBFBF"/>
            </w:tcBorders>
            <w:shd w:val="clear" w:color="auto" w:fill="auto"/>
            <w:noWrap/>
            <w:vAlign w:val="center"/>
            <w:hideMark/>
          </w:tcPr>
          <w:p w14:paraId="0C6B87C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170 </w:t>
            </w:r>
          </w:p>
        </w:tc>
      </w:tr>
      <w:tr w:rsidR="00E66C9A" w:rsidRPr="00426BBC" w14:paraId="6212673A" w14:textId="77777777" w:rsidTr="00E66C9A">
        <w:trPr>
          <w:trHeight w:val="495"/>
        </w:trPr>
        <w:tc>
          <w:tcPr>
            <w:tcW w:w="5392" w:type="dxa"/>
            <w:tcBorders>
              <w:top w:val="nil"/>
              <w:left w:val="single" w:sz="8" w:space="0" w:color="BFBFBF"/>
              <w:bottom w:val="nil"/>
              <w:right w:val="single" w:sz="8" w:space="0" w:color="BFBFBF"/>
            </w:tcBorders>
            <w:shd w:val="clear" w:color="000000" w:fill="FFFFFF"/>
            <w:vAlign w:val="center"/>
            <w:hideMark/>
          </w:tcPr>
          <w:p w14:paraId="08779508"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Items that may be subsequently reclassified to profit or loss</w:t>
            </w:r>
          </w:p>
        </w:tc>
        <w:tc>
          <w:tcPr>
            <w:tcW w:w="1840" w:type="dxa"/>
            <w:tcBorders>
              <w:top w:val="nil"/>
              <w:left w:val="nil"/>
              <w:bottom w:val="nil"/>
              <w:right w:val="single" w:sz="8" w:space="0" w:color="BFBFBF"/>
            </w:tcBorders>
            <w:shd w:val="clear" w:color="000000" w:fill="DCE6F1"/>
            <w:noWrap/>
            <w:vAlign w:val="center"/>
            <w:hideMark/>
          </w:tcPr>
          <w:p w14:paraId="6E9D10B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441   </w:t>
            </w:r>
          </w:p>
        </w:tc>
        <w:tc>
          <w:tcPr>
            <w:tcW w:w="1840" w:type="dxa"/>
            <w:tcBorders>
              <w:top w:val="nil"/>
              <w:left w:val="nil"/>
              <w:bottom w:val="nil"/>
              <w:right w:val="single" w:sz="8" w:space="0" w:color="BFBFBF"/>
            </w:tcBorders>
            <w:shd w:val="clear" w:color="auto" w:fill="auto"/>
            <w:noWrap/>
            <w:vAlign w:val="center"/>
            <w:hideMark/>
          </w:tcPr>
          <w:p w14:paraId="1A985C1C"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170 </w:t>
            </w:r>
          </w:p>
        </w:tc>
      </w:tr>
      <w:tr w:rsidR="00E66C9A" w:rsidRPr="00426BBC" w14:paraId="1CD7EB5D" w14:textId="77777777" w:rsidTr="00E66C9A">
        <w:trPr>
          <w:trHeight w:val="495"/>
        </w:trPr>
        <w:tc>
          <w:tcPr>
            <w:tcW w:w="5392" w:type="dxa"/>
            <w:tcBorders>
              <w:top w:val="nil"/>
              <w:left w:val="single" w:sz="8" w:space="0" w:color="BFBFBF"/>
              <w:bottom w:val="nil"/>
              <w:right w:val="single" w:sz="8" w:space="0" w:color="BFBFBF"/>
            </w:tcBorders>
            <w:shd w:val="clear" w:color="000000" w:fill="FFFFFF"/>
            <w:vAlign w:val="center"/>
            <w:hideMark/>
          </w:tcPr>
          <w:p w14:paraId="770EF9B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Other comprehensive income (loss), net of tax</w:t>
            </w:r>
          </w:p>
        </w:tc>
        <w:tc>
          <w:tcPr>
            <w:tcW w:w="1840" w:type="dxa"/>
            <w:tcBorders>
              <w:top w:val="nil"/>
              <w:left w:val="nil"/>
              <w:bottom w:val="nil"/>
              <w:right w:val="single" w:sz="8" w:space="0" w:color="BFBFBF"/>
            </w:tcBorders>
            <w:shd w:val="clear" w:color="000000" w:fill="DCE6F1"/>
            <w:noWrap/>
            <w:vAlign w:val="center"/>
            <w:hideMark/>
          </w:tcPr>
          <w:p w14:paraId="148F56B9"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441   </w:t>
            </w:r>
          </w:p>
        </w:tc>
        <w:tc>
          <w:tcPr>
            <w:tcW w:w="1840" w:type="dxa"/>
            <w:tcBorders>
              <w:top w:val="nil"/>
              <w:left w:val="nil"/>
              <w:bottom w:val="nil"/>
              <w:right w:val="single" w:sz="8" w:space="0" w:color="BFBFBF"/>
            </w:tcBorders>
            <w:shd w:val="clear" w:color="auto" w:fill="auto"/>
            <w:noWrap/>
            <w:vAlign w:val="center"/>
            <w:hideMark/>
          </w:tcPr>
          <w:p w14:paraId="59FEBE50"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170 </w:t>
            </w:r>
          </w:p>
        </w:tc>
      </w:tr>
      <w:tr w:rsidR="00E66C9A" w:rsidRPr="00426BBC" w14:paraId="3E12F681" w14:textId="77777777" w:rsidTr="00E66C9A">
        <w:trPr>
          <w:trHeight w:val="495"/>
        </w:trPr>
        <w:tc>
          <w:tcPr>
            <w:tcW w:w="5392"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226D22A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comprehensive income (loss) for the year</w:t>
            </w:r>
          </w:p>
        </w:tc>
        <w:tc>
          <w:tcPr>
            <w:tcW w:w="1840" w:type="dxa"/>
            <w:tcBorders>
              <w:top w:val="single" w:sz="8" w:space="0" w:color="BFBFBF"/>
              <w:left w:val="nil"/>
              <w:bottom w:val="single" w:sz="8" w:space="0" w:color="BFBFBF"/>
              <w:right w:val="single" w:sz="8" w:space="0" w:color="BFBFBF"/>
            </w:tcBorders>
            <w:shd w:val="clear" w:color="000000" w:fill="DCE6F1"/>
            <w:noWrap/>
            <w:vAlign w:val="center"/>
            <w:hideMark/>
          </w:tcPr>
          <w:p w14:paraId="4FD65E24"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26.037   </w:t>
            </w:r>
          </w:p>
        </w:tc>
        <w:tc>
          <w:tcPr>
            <w:tcW w:w="1840" w:type="dxa"/>
            <w:tcBorders>
              <w:top w:val="single" w:sz="8" w:space="0" w:color="BFBFBF"/>
              <w:left w:val="nil"/>
              <w:bottom w:val="single" w:sz="8" w:space="0" w:color="BFBFBF"/>
              <w:right w:val="single" w:sz="8" w:space="0" w:color="BFBFBF"/>
            </w:tcBorders>
            <w:shd w:val="clear" w:color="auto" w:fill="auto"/>
            <w:noWrap/>
            <w:vAlign w:val="center"/>
            <w:hideMark/>
          </w:tcPr>
          <w:p w14:paraId="6DE67B3E"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24.226 </w:t>
            </w:r>
          </w:p>
        </w:tc>
      </w:tr>
      <w:tr w:rsidR="00E66C9A" w:rsidRPr="00426BBC" w14:paraId="578D986D" w14:textId="77777777" w:rsidTr="00E66C9A">
        <w:trPr>
          <w:trHeight w:val="495"/>
        </w:trPr>
        <w:tc>
          <w:tcPr>
            <w:tcW w:w="5392" w:type="dxa"/>
            <w:tcBorders>
              <w:top w:val="nil"/>
              <w:left w:val="single" w:sz="8" w:space="0" w:color="BFBFBF"/>
              <w:bottom w:val="nil"/>
              <w:right w:val="single" w:sz="8" w:space="0" w:color="BFBFBF"/>
            </w:tcBorders>
            <w:shd w:val="clear" w:color="000000" w:fill="FFFFFF"/>
            <w:vAlign w:val="center"/>
            <w:hideMark/>
          </w:tcPr>
          <w:p w14:paraId="78878BC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Attributable to:</w:t>
            </w:r>
          </w:p>
        </w:tc>
        <w:tc>
          <w:tcPr>
            <w:tcW w:w="1840" w:type="dxa"/>
            <w:tcBorders>
              <w:top w:val="nil"/>
              <w:left w:val="nil"/>
              <w:bottom w:val="nil"/>
              <w:right w:val="single" w:sz="8" w:space="0" w:color="BFBFBF"/>
            </w:tcBorders>
            <w:shd w:val="clear" w:color="000000" w:fill="DCE6F1"/>
            <w:noWrap/>
            <w:vAlign w:val="bottom"/>
            <w:hideMark/>
          </w:tcPr>
          <w:p w14:paraId="030B289E" w14:textId="77777777" w:rsidR="00E66C9A" w:rsidRPr="00426BBC" w:rsidRDefault="00E66C9A" w:rsidP="001857FB">
            <w:pPr>
              <w:jc w:val="left"/>
              <w:rPr>
                <w:rFonts w:asciiTheme="minorHAnsi" w:hAnsiTheme="minorHAnsi" w:cstheme="minorHAnsi"/>
                <w:color w:val="00B0F0"/>
                <w:sz w:val="20"/>
                <w:szCs w:val="20"/>
                <w:lang w:val="en-GB"/>
              </w:rPr>
            </w:pPr>
            <w:r w:rsidRPr="00426BBC">
              <w:rPr>
                <w:rFonts w:asciiTheme="minorHAnsi" w:hAnsiTheme="minorHAnsi" w:cstheme="minorHAnsi"/>
                <w:color w:val="00B0F0"/>
                <w:sz w:val="20"/>
                <w:szCs w:val="20"/>
                <w:lang w:val="en-GB"/>
              </w:rPr>
              <w:t> </w:t>
            </w:r>
          </w:p>
        </w:tc>
        <w:tc>
          <w:tcPr>
            <w:tcW w:w="1840" w:type="dxa"/>
            <w:tcBorders>
              <w:top w:val="nil"/>
              <w:left w:val="nil"/>
              <w:bottom w:val="nil"/>
              <w:right w:val="single" w:sz="8" w:space="0" w:color="BFBFBF"/>
            </w:tcBorders>
            <w:shd w:val="clear" w:color="auto" w:fill="auto"/>
            <w:noWrap/>
            <w:vAlign w:val="bottom"/>
            <w:hideMark/>
          </w:tcPr>
          <w:p w14:paraId="5E21F3AA" w14:textId="77777777" w:rsidR="00E66C9A" w:rsidRPr="00426BBC" w:rsidRDefault="00E66C9A" w:rsidP="001857FB">
            <w:pPr>
              <w:jc w:val="left"/>
              <w:rPr>
                <w:rFonts w:asciiTheme="minorHAnsi" w:hAnsiTheme="minorHAnsi" w:cstheme="minorHAnsi"/>
                <w:color w:val="00B0F0"/>
                <w:sz w:val="20"/>
                <w:szCs w:val="20"/>
                <w:lang w:val="en-GB"/>
              </w:rPr>
            </w:pPr>
            <w:r w:rsidRPr="00426BBC">
              <w:rPr>
                <w:rFonts w:asciiTheme="minorHAnsi" w:hAnsiTheme="minorHAnsi" w:cstheme="minorHAnsi"/>
                <w:color w:val="00B0F0"/>
                <w:sz w:val="20"/>
                <w:szCs w:val="20"/>
                <w:lang w:val="en-GB"/>
              </w:rPr>
              <w:t> </w:t>
            </w:r>
          </w:p>
        </w:tc>
      </w:tr>
      <w:tr w:rsidR="00E66C9A" w:rsidRPr="00426BBC" w14:paraId="4011BD1A" w14:textId="77777777" w:rsidTr="00E66C9A">
        <w:trPr>
          <w:trHeight w:val="495"/>
        </w:trPr>
        <w:tc>
          <w:tcPr>
            <w:tcW w:w="5392" w:type="dxa"/>
            <w:tcBorders>
              <w:top w:val="nil"/>
              <w:left w:val="single" w:sz="8" w:space="0" w:color="BFBFBF"/>
              <w:bottom w:val="single" w:sz="8" w:space="0" w:color="BFBFBF"/>
              <w:right w:val="single" w:sz="8" w:space="0" w:color="BFBFBF"/>
            </w:tcBorders>
            <w:shd w:val="clear" w:color="000000" w:fill="FFFFFF"/>
            <w:vAlign w:val="center"/>
            <w:hideMark/>
          </w:tcPr>
          <w:p w14:paraId="6E1D6C0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Owners of the parent</w:t>
            </w:r>
          </w:p>
        </w:tc>
        <w:tc>
          <w:tcPr>
            <w:tcW w:w="1840" w:type="dxa"/>
            <w:tcBorders>
              <w:top w:val="nil"/>
              <w:left w:val="nil"/>
              <w:bottom w:val="single" w:sz="8" w:space="0" w:color="BFBFBF"/>
              <w:right w:val="single" w:sz="8" w:space="0" w:color="BFBFBF"/>
            </w:tcBorders>
            <w:shd w:val="clear" w:color="000000" w:fill="DCE6F1"/>
            <w:noWrap/>
            <w:vAlign w:val="center"/>
            <w:hideMark/>
          </w:tcPr>
          <w:p w14:paraId="79C55D7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26.037 </w:t>
            </w:r>
          </w:p>
        </w:tc>
        <w:tc>
          <w:tcPr>
            <w:tcW w:w="1840" w:type="dxa"/>
            <w:tcBorders>
              <w:top w:val="nil"/>
              <w:left w:val="nil"/>
              <w:bottom w:val="single" w:sz="8" w:space="0" w:color="BFBFBF"/>
              <w:right w:val="single" w:sz="8" w:space="0" w:color="BFBFBF"/>
            </w:tcBorders>
            <w:shd w:val="clear" w:color="auto" w:fill="auto"/>
            <w:noWrap/>
            <w:vAlign w:val="center"/>
            <w:hideMark/>
          </w:tcPr>
          <w:p w14:paraId="239FAF3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24.226 </w:t>
            </w:r>
          </w:p>
        </w:tc>
      </w:tr>
    </w:tbl>
    <w:p w14:paraId="03906C69"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569BA314"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2BCC132E"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4F08882D"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155D1698"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2F387C71"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250ACFDF"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2AD5692B"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58305137"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50A88678"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6C3B7B1D"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40EEF95A"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2AE0C83D"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0C6E9E23"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0AB54D41"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6861745A"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7DB9944E"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537B7EF4"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43C231FA"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0C042DC6"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175CB244"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5A2F8A0E"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6CD0337E"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0A546502"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62B3B77F"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23935EB3"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67A4D184"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3906A2A6"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4E9A9125"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1ABF264A"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322CA34D"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75818036" w14:textId="77777777" w:rsidR="00E66C9A" w:rsidRPr="00426BBC" w:rsidRDefault="00E66C9A" w:rsidP="00E66C9A">
      <w:pPr>
        <w:jc w:val="left"/>
        <w:rPr>
          <w:rFonts w:asciiTheme="minorHAnsi" w:hAnsiTheme="minorHAnsi" w:cstheme="minorHAnsi"/>
          <w:b/>
          <w:color w:val="276E8B" w:themeColor="accent1" w:themeShade="BF"/>
          <w:szCs w:val="22"/>
          <w:lang w:val="en-GB"/>
        </w:rPr>
      </w:pPr>
    </w:p>
    <w:p w14:paraId="04207D26" w14:textId="77777777" w:rsidR="00E66C9A" w:rsidRPr="00426BBC" w:rsidRDefault="00E66C9A" w:rsidP="00E66C9A">
      <w:pPr>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t xml:space="preserve">Condensed Consolidated Balance Sheet </w:t>
      </w:r>
    </w:p>
    <w:p w14:paraId="6D6DD313" w14:textId="77777777" w:rsidR="00E66C9A" w:rsidRPr="00426BBC" w:rsidRDefault="00E66C9A" w:rsidP="00E66C9A">
      <w:pPr>
        <w:pStyle w:val="NoSpacing"/>
        <w:rPr>
          <w:rFonts w:asciiTheme="minorHAnsi" w:hAnsiTheme="minorHAnsi" w:cstheme="minorHAnsi"/>
          <w:color w:val="276E8B" w:themeColor="accent1" w:themeShade="BF"/>
          <w:lang w:val="en-GB"/>
        </w:rPr>
      </w:pPr>
      <w:r w:rsidRPr="00E9120D">
        <w:rPr>
          <w:rFonts w:asciiTheme="minorHAnsi" w:hAnsiTheme="minorHAnsi" w:cstheme="minorHAnsi"/>
          <w:sz w:val="24"/>
          <w:lang w:val="en-GB"/>
        </w:rPr>
        <w:t>As at date shown</w:t>
      </w:r>
      <w:r w:rsidRPr="00426BBC">
        <w:rPr>
          <w:rFonts w:asciiTheme="minorHAnsi" w:hAnsiTheme="minorHAnsi" w:cstheme="minorHAnsi"/>
          <w:color w:val="276E8B" w:themeColor="accent1" w:themeShade="BF"/>
          <w:lang w:val="en-GB"/>
        </w:rPr>
        <w:tab/>
      </w:r>
    </w:p>
    <w:p w14:paraId="2947698E" w14:textId="77777777" w:rsidR="00E66C9A" w:rsidRPr="00426BBC" w:rsidRDefault="00E66C9A" w:rsidP="00E66C9A">
      <w:pPr>
        <w:rPr>
          <w:rFonts w:asciiTheme="minorHAnsi" w:hAnsiTheme="minorHAnsi" w:cstheme="minorHAnsi"/>
          <w:szCs w:val="22"/>
          <w:lang w:val="en-GB"/>
        </w:rPr>
      </w:pPr>
    </w:p>
    <w:tbl>
      <w:tblPr>
        <w:tblW w:w="9072" w:type="dxa"/>
        <w:tblLook w:val="04A0" w:firstRow="1" w:lastRow="0" w:firstColumn="1" w:lastColumn="0" w:noHBand="0" w:noVBand="1"/>
      </w:tblPr>
      <w:tblGrid>
        <w:gridCol w:w="5730"/>
        <w:gridCol w:w="1671"/>
        <w:gridCol w:w="1671"/>
      </w:tblGrid>
      <w:tr w:rsidR="00E66C9A" w:rsidRPr="00426BBC" w14:paraId="6C9A2827" w14:textId="77777777" w:rsidTr="001857FB">
        <w:trPr>
          <w:trHeight w:val="510"/>
        </w:trPr>
        <w:tc>
          <w:tcPr>
            <w:tcW w:w="5420" w:type="dxa"/>
            <w:tcBorders>
              <w:top w:val="nil"/>
              <w:left w:val="nil"/>
              <w:bottom w:val="nil"/>
              <w:right w:val="nil"/>
            </w:tcBorders>
            <w:shd w:val="clear" w:color="000000" w:fill="366092"/>
            <w:vAlign w:val="center"/>
            <w:hideMark/>
          </w:tcPr>
          <w:p w14:paraId="33A9248F" w14:textId="6D1F3C16" w:rsidR="00E66C9A" w:rsidRPr="00426BBC" w:rsidRDefault="00E66C9A" w:rsidP="001857FB">
            <w:pPr>
              <w:jc w:val="left"/>
              <w:rPr>
                <w:rFonts w:asciiTheme="minorHAnsi" w:hAnsiTheme="minorHAnsi" w:cstheme="minorHAnsi"/>
                <w:color w:val="FFFFFF"/>
                <w:sz w:val="16"/>
                <w:szCs w:val="16"/>
                <w:lang w:val="en-GB"/>
              </w:rPr>
            </w:pPr>
            <w:r w:rsidRPr="00426BBC">
              <w:rPr>
                <w:rFonts w:asciiTheme="minorHAnsi" w:hAnsiTheme="minorHAnsi" w:cstheme="minorHAnsi"/>
                <w:color w:val="FFFFFF"/>
                <w:sz w:val="16"/>
                <w:szCs w:val="16"/>
                <w:lang w:val="en-GB"/>
              </w:rPr>
              <w:t>Amounts in €’000</w:t>
            </w:r>
          </w:p>
        </w:tc>
        <w:tc>
          <w:tcPr>
            <w:tcW w:w="1580" w:type="dxa"/>
            <w:tcBorders>
              <w:top w:val="nil"/>
              <w:left w:val="nil"/>
              <w:bottom w:val="nil"/>
              <w:right w:val="nil"/>
            </w:tcBorders>
            <w:shd w:val="clear" w:color="000000" w:fill="366092"/>
            <w:vAlign w:val="center"/>
            <w:hideMark/>
          </w:tcPr>
          <w:p w14:paraId="7AEC4FB9"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30 September</w:t>
            </w:r>
            <w:r w:rsidRPr="00426BBC">
              <w:rPr>
                <w:rFonts w:asciiTheme="minorHAnsi" w:hAnsiTheme="minorHAnsi" w:cstheme="minorHAnsi"/>
                <w:b/>
                <w:bCs/>
                <w:color w:val="FFFFFF"/>
                <w:sz w:val="20"/>
                <w:szCs w:val="20"/>
                <w:lang w:val="en-GB"/>
              </w:rPr>
              <w:br/>
              <w:t>2020</w:t>
            </w:r>
          </w:p>
        </w:tc>
        <w:tc>
          <w:tcPr>
            <w:tcW w:w="1580" w:type="dxa"/>
            <w:tcBorders>
              <w:top w:val="nil"/>
              <w:left w:val="nil"/>
              <w:bottom w:val="nil"/>
              <w:right w:val="nil"/>
            </w:tcBorders>
            <w:shd w:val="clear" w:color="000000" w:fill="366092"/>
            <w:vAlign w:val="center"/>
            <w:hideMark/>
          </w:tcPr>
          <w:p w14:paraId="56BB5AE0"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31 December</w:t>
            </w:r>
            <w:r w:rsidRPr="00426BBC">
              <w:rPr>
                <w:rFonts w:asciiTheme="minorHAnsi" w:hAnsiTheme="minorHAnsi" w:cstheme="minorHAnsi"/>
                <w:b/>
                <w:bCs/>
                <w:color w:val="FFFFFF"/>
                <w:sz w:val="20"/>
                <w:szCs w:val="20"/>
                <w:lang w:val="en-GB"/>
              </w:rPr>
              <w:br/>
              <w:t>2019</w:t>
            </w:r>
          </w:p>
        </w:tc>
      </w:tr>
      <w:tr w:rsidR="00E66C9A" w:rsidRPr="00426BBC" w14:paraId="7E04FD57" w14:textId="77777777" w:rsidTr="001857FB">
        <w:trPr>
          <w:trHeight w:val="240"/>
        </w:trPr>
        <w:tc>
          <w:tcPr>
            <w:tcW w:w="5420" w:type="dxa"/>
            <w:tcBorders>
              <w:top w:val="nil"/>
              <w:left w:val="single" w:sz="8" w:space="0" w:color="D9D9D9"/>
              <w:bottom w:val="nil"/>
              <w:right w:val="single" w:sz="8" w:space="0" w:color="D9D9D9"/>
            </w:tcBorders>
            <w:shd w:val="clear" w:color="000000" w:fill="FFFFFF"/>
            <w:vAlign w:val="center"/>
            <w:hideMark/>
          </w:tcPr>
          <w:p w14:paraId="710345C5"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w:t>
            </w:r>
          </w:p>
        </w:tc>
        <w:tc>
          <w:tcPr>
            <w:tcW w:w="1580" w:type="dxa"/>
            <w:tcBorders>
              <w:top w:val="nil"/>
              <w:left w:val="nil"/>
              <w:bottom w:val="nil"/>
              <w:right w:val="single" w:sz="8" w:space="0" w:color="BFBFBF"/>
            </w:tcBorders>
            <w:shd w:val="clear" w:color="000000" w:fill="DCE6F1"/>
            <w:vAlign w:val="center"/>
            <w:hideMark/>
          </w:tcPr>
          <w:p w14:paraId="25987C19"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000000" w:fill="FFFFFF"/>
            <w:vAlign w:val="center"/>
            <w:hideMark/>
          </w:tcPr>
          <w:p w14:paraId="65DD835A"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3064474C"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2077F72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Intangible assets</w:t>
            </w:r>
          </w:p>
        </w:tc>
        <w:tc>
          <w:tcPr>
            <w:tcW w:w="1580" w:type="dxa"/>
            <w:tcBorders>
              <w:top w:val="nil"/>
              <w:left w:val="nil"/>
              <w:bottom w:val="nil"/>
              <w:right w:val="single" w:sz="8" w:space="0" w:color="BFBFBF"/>
            </w:tcBorders>
            <w:shd w:val="clear" w:color="000000" w:fill="DCE6F1"/>
            <w:noWrap/>
            <w:vAlign w:val="bottom"/>
            <w:hideMark/>
          </w:tcPr>
          <w:p w14:paraId="3551797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76.946 </w:t>
            </w:r>
          </w:p>
        </w:tc>
        <w:tc>
          <w:tcPr>
            <w:tcW w:w="1580" w:type="dxa"/>
            <w:tcBorders>
              <w:top w:val="nil"/>
              <w:left w:val="nil"/>
              <w:bottom w:val="nil"/>
              <w:right w:val="single" w:sz="8" w:space="0" w:color="BFBFBF"/>
            </w:tcBorders>
            <w:shd w:val="clear" w:color="auto" w:fill="auto"/>
            <w:noWrap/>
            <w:vAlign w:val="bottom"/>
            <w:hideMark/>
          </w:tcPr>
          <w:p w14:paraId="11ACE1E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70.809 </w:t>
            </w:r>
          </w:p>
        </w:tc>
      </w:tr>
      <w:tr w:rsidR="00E66C9A" w:rsidRPr="00426BBC" w14:paraId="12D6E715"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120FEE4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Property, plant and equipment</w:t>
            </w:r>
          </w:p>
        </w:tc>
        <w:tc>
          <w:tcPr>
            <w:tcW w:w="1580" w:type="dxa"/>
            <w:tcBorders>
              <w:top w:val="nil"/>
              <w:left w:val="nil"/>
              <w:bottom w:val="nil"/>
              <w:right w:val="single" w:sz="8" w:space="0" w:color="BFBFBF"/>
            </w:tcBorders>
            <w:shd w:val="clear" w:color="000000" w:fill="DCE6F1"/>
            <w:noWrap/>
            <w:vAlign w:val="bottom"/>
            <w:hideMark/>
          </w:tcPr>
          <w:p w14:paraId="0835C29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8.630 </w:t>
            </w:r>
          </w:p>
        </w:tc>
        <w:tc>
          <w:tcPr>
            <w:tcW w:w="1580" w:type="dxa"/>
            <w:tcBorders>
              <w:top w:val="nil"/>
              <w:left w:val="nil"/>
              <w:bottom w:val="nil"/>
              <w:right w:val="single" w:sz="8" w:space="0" w:color="BFBFBF"/>
            </w:tcBorders>
            <w:shd w:val="clear" w:color="auto" w:fill="auto"/>
            <w:noWrap/>
            <w:vAlign w:val="bottom"/>
            <w:hideMark/>
          </w:tcPr>
          <w:p w14:paraId="1176BA5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8.553 </w:t>
            </w:r>
          </w:p>
        </w:tc>
      </w:tr>
      <w:tr w:rsidR="00E66C9A" w:rsidRPr="00426BBC" w14:paraId="17FD9DAE"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596BDDC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Right-of-use assets</w:t>
            </w:r>
          </w:p>
        </w:tc>
        <w:tc>
          <w:tcPr>
            <w:tcW w:w="1580" w:type="dxa"/>
            <w:tcBorders>
              <w:top w:val="nil"/>
              <w:left w:val="nil"/>
              <w:bottom w:val="nil"/>
              <w:right w:val="single" w:sz="8" w:space="0" w:color="BFBFBF"/>
            </w:tcBorders>
            <w:shd w:val="clear" w:color="000000" w:fill="DCE6F1"/>
            <w:noWrap/>
            <w:vAlign w:val="bottom"/>
            <w:hideMark/>
          </w:tcPr>
          <w:p w14:paraId="1A29052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7.882 </w:t>
            </w:r>
          </w:p>
        </w:tc>
        <w:tc>
          <w:tcPr>
            <w:tcW w:w="1580" w:type="dxa"/>
            <w:tcBorders>
              <w:top w:val="nil"/>
              <w:left w:val="nil"/>
              <w:bottom w:val="nil"/>
              <w:right w:val="single" w:sz="8" w:space="0" w:color="BFBFBF"/>
            </w:tcBorders>
            <w:shd w:val="clear" w:color="auto" w:fill="auto"/>
            <w:noWrap/>
            <w:vAlign w:val="bottom"/>
            <w:hideMark/>
          </w:tcPr>
          <w:p w14:paraId="32B6559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5.979 </w:t>
            </w:r>
          </w:p>
        </w:tc>
      </w:tr>
      <w:tr w:rsidR="00E66C9A" w:rsidRPr="00426BBC" w14:paraId="63CF2930"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7796D54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Deferred tax assets</w:t>
            </w:r>
          </w:p>
        </w:tc>
        <w:tc>
          <w:tcPr>
            <w:tcW w:w="1580" w:type="dxa"/>
            <w:tcBorders>
              <w:top w:val="nil"/>
              <w:left w:val="nil"/>
              <w:bottom w:val="nil"/>
              <w:right w:val="single" w:sz="8" w:space="0" w:color="BFBFBF"/>
            </w:tcBorders>
            <w:shd w:val="clear" w:color="000000" w:fill="DCE6F1"/>
            <w:noWrap/>
            <w:vAlign w:val="bottom"/>
            <w:hideMark/>
          </w:tcPr>
          <w:p w14:paraId="7081FAE8" w14:textId="48AE3D33"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21.</w:t>
            </w:r>
            <w:r w:rsidR="007C186D" w:rsidRPr="00426BBC">
              <w:rPr>
                <w:rFonts w:asciiTheme="minorHAnsi" w:hAnsiTheme="minorHAnsi" w:cstheme="minorHAnsi"/>
                <w:color w:val="808080"/>
                <w:sz w:val="20"/>
                <w:szCs w:val="20"/>
                <w:lang w:val="en-GB"/>
              </w:rPr>
              <w:t>329</w:t>
            </w:r>
            <w:r w:rsidRPr="00426BBC">
              <w:rPr>
                <w:rFonts w:asciiTheme="minorHAnsi" w:hAnsiTheme="minorHAnsi" w:cstheme="minorHAnsi"/>
                <w:color w:val="808080"/>
                <w:sz w:val="20"/>
                <w:szCs w:val="20"/>
                <w:lang w:val="en-GB"/>
              </w:rPr>
              <w:t xml:space="preserve"> </w:t>
            </w:r>
          </w:p>
        </w:tc>
        <w:tc>
          <w:tcPr>
            <w:tcW w:w="1580" w:type="dxa"/>
            <w:tcBorders>
              <w:top w:val="nil"/>
              <w:left w:val="nil"/>
              <w:bottom w:val="nil"/>
              <w:right w:val="single" w:sz="8" w:space="0" w:color="BFBFBF"/>
            </w:tcBorders>
            <w:shd w:val="clear" w:color="auto" w:fill="auto"/>
            <w:noWrap/>
            <w:vAlign w:val="bottom"/>
            <w:hideMark/>
          </w:tcPr>
          <w:p w14:paraId="458393F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28.590 </w:t>
            </w:r>
          </w:p>
        </w:tc>
      </w:tr>
      <w:tr w:rsidR="00E66C9A" w:rsidRPr="00426BBC" w14:paraId="08054A5B"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1D6C0FD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Investments accounted for using the equity method</w:t>
            </w:r>
          </w:p>
        </w:tc>
        <w:tc>
          <w:tcPr>
            <w:tcW w:w="1580" w:type="dxa"/>
            <w:tcBorders>
              <w:top w:val="nil"/>
              <w:left w:val="nil"/>
              <w:bottom w:val="nil"/>
              <w:right w:val="single" w:sz="8" w:space="0" w:color="BFBFBF"/>
            </w:tcBorders>
            <w:shd w:val="clear" w:color="000000" w:fill="DCE6F1"/>
            <w:noWrap/>
            <w:vAlign w:val="bottom"/>
            <w:hideMark/>
          </w:tcPr>
          <w:p w14:paraId="55A7CF0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5.682 </w:t>
            </w:r>
          </w:p>
        </w:tc>
        <w:tc>
          <w:tcPr>
            <w:tcW w:w="1580" w:type="dxa"/>
            <w:tcBorders>
              <w:top w:val="nil"/>
              <w:left w:val="nil"/>
              <w:bottom w:val="nil"/>
              <w:right w:val="single" w:sz="8" w:space="0" w:color="BFBFBF"/>
            </w:tcBorders>
            <w:shd w:val="clear" w:color="auto" w:fill="auto"/>
            <w:noWrap/>
            <w:vAlign w:val="bottom"/>
            <w:hideMark/>
          </w:tcPr>
          <w:p w14:paraId="21BDC39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5.508 </w:t>
            </w:r>
          </w:p>
        </w:tc>
      </w:tr>
      <w:tr w:rsidR="00E66C9A" w:rsidRPr="00426BBC" w14:paraId="06382CDC"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4E02380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Restricted cash</w:t>
            </w:r>
          </w:p>
        </w:tc>
        <w:tc>
          <w:tcPr>
            <w:tcW w:w="1580" w:type="dxa"/>
            <w:tcBorders>
              <w:top w:val="nil"/>
              <w:left w:val="nil"/>
              <w:bottom w:val="nil"/>
              <w:right w:val="single" w:sz="8" w:space="0" w:color="BFBFBF"/>
            </w:tcBorders>
            <w:shd w:val="clear" w:color="000000" w:fill="DCE6F1"/>
            <w:noWrap/>
            <w:vAlign w:val="bottom"/>
            <w:hideMark/>
          </w:tcPr>
          <w:p w14:paraId="462B925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1.256 </w:t>
            </w:r>
          </w:p>
        </w:tc>
        <w:tc>
          <w:tcPr>
            <w:tcW w:w="1580" w:type="dxa"/>
            <w:tcBorders>
              <w:top w:val="nil"/>
              <w:left w:val="nil"/>
              <w:bottom w:val="nil"/>
              <w:right w:val="single" w:sz="8" w:space="0" w:color="BFBFBF"/>
            </w:tcBorders>
            <w:shd w:val="clear" w:color="auto" w:fill="auto"/>
            <w:noWrap/>
            <w:vAlign w:val="bottom"/>
            <w:hideMark/>
          </w:tcPr>
          <w:p w14:paraId="109A303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2.268 </w:t>
            </w:r>
          </w:p>
        </w:tc>
      </w:tr>
      <w:tr w:rsidR="00E66C9A" w:rsidRPr="00426BBC" w14:paraId="17A35D56"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341DB1F7"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Non-current assets</w:t>
            </w:r>
          </w:p>
        </w:tc>
        <w:tc>
          <w:tcPr>
            <w:tcW w:w="1580" w:type="dxa"/>
            <w:tcBorders>
              <w:top w:val="nil"/>
              <w:left w:val="nil"/>
              <w:bottom w:val="nil"/>
              <w:right w:val="single" w:sz="8" w:space="0" w:color="BFBFBF"/>
            </w:tcBorders>
            <w:shd w:val="clear" w:color="000000" w:fill="DCE6F1"/>
            <w:noWrap/>
            <w:vAlign w:val="bottom"/>
            <w:hideMark/>
          </w:tcPr>
          <w:p w14:paraId="7241137D" w14:textId="36228FC6"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121.</w:t>
            </w:r>
            <w:r w:rsidR="007C186D" w:rsidRPr="00426BBC">
              <w:rPr>
                <w:rFonts w:asciiTheme="minorHAnsi" w:hAnsiTheme="minorHAnsi" w:cstheme="minorHAnsi"/>
                <w:b/>
                <w:bCs/>
                <w:color w:val="808080"/>
                <w:sz w:val="20"/>
                <w:szCs w:val="20"/>
                <w:lang w:val="en-GB"/>
              </w:rPr>
              <w:t>725</w:t>
            </w:r>
            <w:r w:rsidRPr="00426BBC">
              <w:rPr>
                <w:rFonts w:asciiTheme="minorHAnsi" w:hAnsiTheme="minorHAnsi" w:cstheme="minorHAnsi"/>
                <w:b/>
                <w:bCs/>
                <w:color w:val="808080"/>
                <w:sz w:val="20"/>
                <w:szCs w:val="20"/>
                <w:lang w:val="en-GB"/>
              </w:rPr>
              <w:t xml:space="preserve"> </w:t>
            </w:r>
          </w:p>
        </w:tc>
        <w:tc>
          <w:tcPr>
            <w:tcW w:w="1580" w:type="dxa"/>
            <w:tcBorders>
              <w:top w:val="nil"/>
              <w:left w:val="nil"/>
              <w:bottom w:val="nil"/>
              <w:right w:val="single" w:sz="8" w:space="0" w:color="BFBFBF"/>
            </w:tcBorders>
            <w:shd w:val="clear" w:color="auto" w:fill="auto"/>
            <w:noWrap/>
            <w:vAlign w:val="bottom"/>
            <w:hideMark/>
          </w:tcPr>
          <w:p w14:paraId="45959C8B"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121.707 </w:t>
            </w:r>
          </w:p>
        </w:tc>
      </w:tr>
      <w:tr w:rsidR="00E66C9A" w:rsidRPr="00426BBC" w14:paraId="34EE2F8A" w14:textId="77777777" w:rsidTr="001857FB">
        <w:trPr>
          <w:trHeight w:val="240"/>
        </w:trPr>
        <w:tc>
          <w:tcPr>
            <w:tcW w:w="5420" w:type="dxa"/>
            <w:tcBorders>
              <w:top w:val="nil"/>
              <w:left w:val="single" w:sz="8" w:space="0" w:color="D9D9D9"/>
              <w:bottom w:val="nil"/>
              <w:right w:val="single" w:sz="8" w:space="0" w:color="D9D9D9"/>
            </w:tcBorders>
            <w:shd w:val="clear" w:color="auto" w:fill="auto"/>
            <w:vAlign w:val="bottom"/>
            <w:hideMark/>
          </w:tcPr>
          <w:p w14:paraId="714061B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000000" w:fill="DCE6F1"/>
            <w:noWrap/>
            <w:vAlign w:val="bottom"/>
            <w:hideMark/>
          </w:tcPr>
          <w:p w14:paraId="4DF2840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auto" w:fill="auto"/>
            <w:noWrap/>
            <w:vAlign w:val="bottom"/>
            <w:hideMark/>
          </w:tcPr>
          <w:p w14:paraId="6BBFB77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08CF4F55"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30A29CC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Inventories</w:t>
            </w:r>
          </w:p>
        </w:tc>
        <w:tc>
          <w:tcPr>
            <w:tcW w:w="1580" w:type="dxa"/>
            <w:tcBorders>
              <w:top w:val="nil"/>
              <w:left w:val="nil"/>
              <w:bottom w:val="nil"/>
              <w:right w:val="single" w:sz="8" w:space="0" w:color="BFBFBF"/>
            </w:tcBorders>
            <w:shd w:val="clear" w:color="000000" w:fill="DCE6F1"/>
            <w:noWrap/>
            <w:vAlign w:val="bottom"/>
            <w:hideMark/>
          </w:tcPr>
          <w:p w14:paraId="6965110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16.382 </w:t>
            </w:r>
          </w:p>
        </w:tc>
        <w:tc>
          <w:tcPr>
            <w:tcW w:w="1580" w:type="dxa"/>
            <w:tcBorders>
              <w:top w:val="nil"/>
              <w:left w:val="nil"/>
              <w:bottom w:val="nil"/>
              <w:right w:val="single" w:sz="8" w:space="0" w:color="BFBFBF"/>
            </w:tcBorders>
            <w:shd w:val="clear" w:color="auto" w:fill="auto"/>
            <w:noWrap/>
            <w:vAlign w:val="bottom"/>
            <w:hideMark/>
          </w:tcPr>
          <w:p w14:paraId="654AFCC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14.467 </w:t>
            </w:r>
          </w:p>
        </w:tc>
      </w:tr>
      <w:tr w:rsidR="00E66C9A" w:rsidRPr="00426BBC" w14:paraId="6C11F0FC"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142333D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Trade and other receivables</w:t>
            </w:r>
          </w:p>
        </w:tc>
        <w:tc>
          <w:tcPr>
            <w:tcW w:w="1580" w:type="dxa"/>
            <w:tcBorders>
              <w:top w:val="nil"/>
              <w:left w:val="nil"/>
              <w:bottom w:val="nil"/>
              <w:right w:val="single" w:sz="8" w:space="0" w:color="BFBFBF"/>
            </w:tcBorders>
            <w:shd w:val="clear" w:color="000000" w:fill="DCE6F1"/>
            <w:noWrap/>
            <w:vAlign w:val="bottom"/>
            <w:hideMark/>
          </w:tcPr>
          <w:p w14:paraId="25888F48" w14:textId="7E5AD762"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w:t>
            </w:r>
            <w:r w:rsidR="007C186D" w:rsidRPr="00426BBC">
              <w:rPr>
                <w:rFonts w:asciiTheme="minorHAnsi" w:hAnsiTheme="minorHAnsi" w:cstheme="minorHAnsi"/>
                <w:color w:val="808080"/>
                <w:sz w:val="20"/>
                <w:szCs w:val="20"/>
                <w:lang w:val="en-GB"/>
              </w:rPr>
              <w:t>6</w:t>
            </w:r>
            <w:r w:rsidRPr="00426BBC">
              <w:rPr>
                <w:rFonts w:asciiTheme="minorHAnsi" w:hAnsiTheme="minorHAnsi" w:cstheme="minorHAnsi"/>
                <w:color w:val="808080"/>
                <w:sz w:val="20"/>
                <w:szCs w:val="20"/>
                <w:lang w:val="en-GB"/>
              </w:rPr>
              <w:t>.</w:t>
            </w:r>
            <w:r w:rsidR="007C186D" w:rsidRPr="00426BBC">
              <w:rPr>
                <w:rFonts w:asciiTheme="minorHAnsi" w:hAnsiTheme="minorHAnsi" w:cstheme="minorHAnsi"/>
                <w:color w:val="808080"/>
                <w:sz w:val="20"/>
                <w:szCs w:val="20"/>
                <w:lang w:val="en-GB"/>
              </w:rPr>
              <w:t>446</w:t>
            </w:r>
            <w:r w:rsidRPr="00426BBC">
              <w:rPr>
                <w:rFonts w:asciiTheme="minorHAnsi" w:hAnsiTheme="minorHAnsi" w:cstheme="minorHAnsi"/>
                <w:color w:val="808080"/>
                <w:sz w:val="20"/>
                <w:szCs w:val="20"/>
                <w:lang w:val="en-GB"/>
              </w:rPr>
              <w:t xml:space="preserve"> </w:t>
            </w:r>
          </w:p>
        </w:tc>
        <w:tc>
          <w:tcPr>
            <w:tcW w:w="1580" w:type="dxa"/>
            <w:tcBorders>
              <w:top w:val="nil"/>
              <w:left w:val="nil"/>
              <w:bottom w:val="nil"/>
              <w:right w:val="single" w:sz="8" w:space="0" w:color="BFBFBF"/>
            </w:tcBorders>
            <w:shd w:val="clear" w:color="auto" w:fill="auto"/>
            <w:noWrap/>
            <w:vAlign w:val="bottom"/>
            <w:hideMark/>
          </w:tcPr>
          <w:p w14:paraId="02ED7E4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25.737 </w:t>
            </w:r>
          </w:p>
        </w:tc>
      </w:tr>
      <w:tr w:rsidR="00E66C9A" w:rsidRPr="00426BBC" w14:paraId="5924C063"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0756DE2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Cash and cash equivalents</w:t>
            </w:r>
          </w:p>
        </w:tc>
        <w:tc>
          <w:tcPr>
            <w:tcW w:w="1580" w:type="dxa"/>
            <w:tcBorders>
              <w:top w:val="nil"/>
              <w:left w:val="nil"/>
              <w:bottom w:val="nil"/>
              <w:right w:val="single" w:sz="8" w:space="0" w:color="BFBFBF"/>
            </w:tcBorders>
            <w:shd w:val="clear" w:color="000000" w:fill="DCE6F1"/>
            <w:noWrap/>
            <w:vAlign w:val="bottom"/>
            <w:hideMark/>
          </w:tcPr>
          <w:p w14:paraId="2A961AA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154.795 </w:t>
            </w:r>
          </w:p>
        </w:tc>
        <w:tc>
          <w:tcPr>
            <w:tcW w:w="1580" w:type="dxa"/>
            <w:tcBorders>
              <w:top w:val="nil"/>
              <w:left w:val="nil"/>
              <w:bottom w:val="nil"/>
              <w:right w:val="single" w:sz="8" w:space="0" w:color="BFBFBF"/>
            </w:tcBorders>
            <w:shd w:val="clear" w:color="auto" w:fill="auto"/>
            <w:noWrap/>
            <w:vAlign w:val="bottom"/>
            <w:hideMark/>
          </w:tcPr>
          <w:p w14:paraId="5B8A066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66.299 </w:t>
            </w:r>
          </w:p>
        </w:tc>
      </w:tr>
      <w:tr w:rsidR="00E66C9A" w:rsidRPr="00426BBC" w14:paraId="118D31AB"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71F5726C"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Current assets</w:t>
            </w:r>
          </w:p>
        </w:tc>
        <w:tc>
          <w:tcPr>
            <w:tcW w:w="1580" w:type="dxa"/>
            <w:tcBorders>
              <w:top w:val="nil"/>
              <w:left w:val="nil"/>
              <w:bottom w:val="nil"/>
              <w:right w:val="single" w:sz="8" w:space="0" w:color="BFBFBF"/>
            </w:tcBorders>
            <w:shd w:val="clear" w:color="000000" w:fill="DCE6F1"/>
            <w:noWrap/>
            <w:vAlign w:val="bottom"/>
            <w:hideMark/>
          </w:tcPr>
          <w:p w14:paraId="70339EFB" w14:textId="7E05C16F"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197.</w:t>
            </w:r>
            <w:r w:rsidR="007C186D" w:rsidRPr="00426BBC">
              <w:rPr>
                <w:rFonts w:asciiTheme="minorHAnsi" w:hAnsiTheme="minorHAnsi" w:cstheme="minorHAnsi"/>
                <w:b/>
                <w:bCs/>
                <w:color w:val="808080"/>
                <w:sz w:val="20"/>
                <w:szCs w:val="20"/>
                <w:lang w:val="en-GB"/>
              </w:rPr>
              <w:t>623</w:t>
            </w:r>
            <w:r w:rsidRPr="00426BBC">
              <w:rPr>
                <w:rFonts w:asciiTheme="minorHAnsi" w:hAnsiTheme="minorHAnsi" w:cstheme="minorHAnsi"/>
                <w:b/>
                <w:bCs/>
                <w:color w:val="808080"/>
                <w:sz w:val="20"/>
                <w:szCs w:val="20"/>
                <w:lang w:val="en-GB"/>
              </w:rPr>
              <w:t xml:space="preserve"> </w:t>
            </w:r>
          </w:p>
        </w:tc>
        <w:tc>
          <w:tcPr>
            <w:tcW w:w="1580" w:type="dxa"/>
            <w:tcBorders>
              <w:top w:val="nil"/>
              <w:left w:val="nil"/>
              <w:bottom w:val="nil"/>
              <w:right w:val="single" w:sz="8" w:space="0" w:color="BFBFBF"/>
            </w:tcBorders>
            <w:shd w:val="clear" w:color="auto" w:fill="auto"/>
            <w:noWrap/>
            <w:vAlign w:val="bottom"/>
            <w:hideMark/>
          </w:tcPr>
          <w:p w14:paraId="0766E5DE"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106.503 </w:t>
            </w:r>
          </w:p>
        </w:tc>
      </w:tr>
      <w:tr w:rsidR="00E66C9A" w:rsidRPr="00426BBC" w14:paraId="67C189C2"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center"/>
            <w:hideMark/>
          </w:tcPr>
          <w:p w14:paraId="70B7338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000000" w:fill="DCE6F1"/>
            <w:noWrap/>
            <w:vAlign w:val="bottom"/>
            <w:hideMark/>
          </w:tcPr>
          <w:p w14:paraId="3F419E8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auto" w:fill="auto"/>
            <w:noWrap/>
            <w:vAlign w:val="bottom"/>
            <w:hideMark/>
          </w:tcPr>
          <w:p w14:paraId="536BC06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60693968" w14:textId="77777777" w:rsidTr="001857FB">
        <w:trPr>
          <w:trHeight w:val="313"/>
        </w:trPr>
        <w:tc>
          <w:tcPr>
            <w:tcW w:w="542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06CEBCDC"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assets</w:t>
            </w:r>
          </w:p>
        </w:tc>
        <w:tc>
          <w:tcPr>
            <w:tcW w:w="1580" w:type="dxa"/>
            <w:tcBorders>
              <w:top w:val="single" w:sz="8" w:space="0" w:color="BFBFBF"/>
              <w:left w:val="nil"/>
              <w:bottom w:val="single" w:sz="8" w:space="0" w:color="BFBFBF"/>
              <w:right w:val="single" w:sz="8" w:space="0" w:color="BFBFBF"/>
            </w:tcBorders>
            <w:shd w:val="clear" w:color="000000" w:fill="DCE6F1"/>
            <w:noWrap/>
            <w:vAlign w:val="center"/>
            <w:hideMark/>
          </w:tcPr>
          <w:p w14:paraId="442FEE2E" w14:textId="0C70EA1A"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31</w:t>
            </w:r>
            <w:r w:rsidR="007C186D" w:rsidRPr="00426BBC">
              <w:rPr>
                <w:rFonts w:asciiTheme="minorHAnsi" w:hAnsiTheme="minorHAnsi" w:cstheme="minorHAnsi"/>
                <w:b/>
                <w:bCs/>
                <w:color w:val="366092"/>
                <w:sz w:val="20"/>
                <w:szCs w:val="20"/>
                <w:lang w:val="en-GB"/>
              </w:rPr>
              <w:t>9</w:t>
            </w:r>
            <w:r w:rsidRPr="00426BBC">
              <w:rPr>
                <w:rFonts w:asciiTheme="minorHAnsi" w:hAnsiTheme="minorHAnsi" w:cstheme="minorHAnsi"/>
                <w:b/>
                <w:bCs/>
                <w:color w:val="366092"/>
                <w:sz w:val="20"/>
                <w:szCs w:val="20"/>
                <w:lang w:val="en-GB"/>
              </w:rPr>
              <w:t>.</w:t>
            </w:r>
            <w:r w:rsidR="007C186D" w:rsidRPr="00426BBC">
              <w:rPr>
                <w:rFonts w:asciiTheme="minorHAnsi" w:hAnsiTheme="minorHAnsi" w:cstheme="minorHAnsi"/>
                <w:b/>
                <w:bCs/>
                <w:color w:val="366092"/>
                <w:sz w:val="20"/>
                <w:szCs w:val="20"/>
                <w:lang w:val="en-GB"/>
              </w:rPr>
              <w:t>348</w:t>
            </w:r>
            <w:r w:rsidRPr="00426BBC">
              <w:rPr>
                <w:rFonts w:asciiTheme="minorHAnsi" w:hAnsiTheme="minorHAnsi" w:cstheme="minorHAnsi"/>
                <w:b/>
                <w:bCs/>
                <w:color w:val="366092"/>
                <w:sz w:val="20"/>
                <w:szCs w:val="20"/>
                <w:lang w:val="en-GB"/>
              </w:rPr>
              <w:t xml:space="preserve"> </w:t>
            </w:r>
          </w:p>
        </w:tc>
        <w:tc>
          <w:tcPr>
            <w:tcW w:w="1580" w:type="dxa"/>
            <w:tcBorders>
              <w:top w:val="single" w:sz="8" w:space="0" w:color="BFBFBF"/>
              <w:left w:val="nil"/>
              <w:bottom w:val="single" w:sz="8" w:space="0" w:color="BFBFBF"/>
              <w:right w:val="single" w:sz="8" w:space="0" w:color="BFBFBF"/>
            </w:tcBorders>
            <w:shd w:val="clear" w:color="auto" w:fill="auto"/>
            <w:noWrap/>
            <w:vAlign w:val="center"/>
            <w:hideMark/>
          </w:tcPr>
          <w:p w14:paraId="7DD145A1"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228.210 </w:t>
            </w:r>
          </w:p>
        </w:tc>
      </w:tr>
      <w:tr w:rsidR="00E66C9A" w:rsidRPr="00426BBC" w14:paraId="01235E9E" w14:textId="77777777" w:rsidTr="001857FB">
        <w:trPr>
          <w:trHeight w:val="240"/>
        </w:trPr>
        <w:tc>
          <w:tcPr>
            <w:tcW w:w="5420" w:type="dxa"/>
            <w:tcBorders>
              <w:top w:val="nil"/>
              <w:left w:val="single" w:sz="8" w:space="0" w:color="D9D9D9"/>
              <w:bottom w:val="nil"/>
              <w:right w:val="single" w:sz="8" w:space="0" w:color="D9D9D9"/>
            </w:tcBorders>
            <w:shd w:val="clear" w:color="000000" w:fill="FFFFFF"/>
            <w:vAlign w:val="center"/>
            <w:hideMark/>
          </w:tcPr>
          <w:p w14:paraId="3FCC37C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w:t>
            </w:r>
          </w:p>
        </w:tc>
        <w:tc>
          <w:tcPr>
            <w:tcW w:w="1580" w:type="dxa"/>
            <w:tcBorders>
              <w:top w:val="nil"/>
              <w:left w:val="nil"/>
              <w:bottom w:val="nil"/>
              <w:right w:val="single" w:sz="8" w:space="0" w:color="BFBFBF"/>
            </w:tcBorders>
            <w:shd w:val="clear" w:color="000000" w:fill="DCE6F1"/>
            <w:noWrap/>
            <w:vAlign w:val="bottom"/>
            <w:hideMark/>
          </w:tcPr>
          <w:p w14:paraId="1885985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auto" w:fill="auto"/>
            <w:noWrap/>
            <w:vAlign w:val="bottom"/>
            <w:hideMark/>
          </w:tcPr>
          <w:p w14:paraId="583194B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6CE0F7FA"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44F18BF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Share capital</w:t>
            </w:r>
          </w:p>
        </w:tc>
        <w:tc>
          <w:tcPr>
            <w:tcW w:w="1580" w:type="dxa"/>
            <w:tcBorders>
              <w:top w:val="nil"/>
              <w:left w:val="nil"/>
              <w:bottom w:val="nil"/>
              <w:right w:val="single" w:sz="8" w:space="0" w:color="BFBFBF"/>
            </w:tcBorders>
            <w:shd w:val="clear" w:color="000000" w:fill="DCE6F1"/>
            <w:noWrap/>
            <w:vAlign w:val="bottom"/>
            <w:hideMark/>
          </w:tcPr>
          <w:p w14:paraId="0193884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6.381 </w:t>
            </w:r>
          </w:p>
        </w:tc>
        <w:tc>
          <w:tcPr>
            <w:tcW w:w="1580" w:type="dxa"/>
            <w:tcBorders>
              <w:top w:val="nil"/>
              <w:left w:val="nil"/>
              <w:bottom w:val="nil"/>
              <w:right w:val="single" w:sz="8" w:space="0" w:color="BFBFBF"/>
            </w:tcBorders>
            <w:shd w:val="clear" w:color="auto" w:fill="auto"/>
            <w:noWrap/>
            <w:vAlign w:val="bottom"/>
            <w:hideMark/>
          </w:tcPr>
          <w:p w14:paraId="13DEFEC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6.313 </w:t>
            </w:r>
          </w:p>
        </w:tc>
      </w:tr>
      <w:tr w:rsidR="00E66C9A" w:rsidRPr="00426BBC" w14:paraId="010C9550"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0D96157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Share premium</w:t>
            </w:r>
          </w:p>
        </w:tc>
        <w:tc>
          <w:tcPr>
            <w:tcW w:w="1580" w:type="dxa"/>
            <w:tcBorders>
              <w:top w:val="nil"/>
              <w:left w:val="nil"/>
              <w:bottom w:val="nil"/>
              <w:right w:val="single" w:sz="8" w:space="0" w:color="BFBFBF"/>
            </w:tcBorders>
            <w:shd w:val="clear" w:color="000000" w:fill="DCE6F1"/>
            <w:noWrap/>
            <w:vAlign w:val="bottom"/>
            <w:hideMark/>
          </w:tcPr>
          <w:p w14:paraId="51C1433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396.231 </w:t>
            </w:r>
          </w:p>
        </w:tc>
        <w:tc>
          <w:tcPr>
            <w:tcW w:w="1580" w:type="dxa"/>
            <w:tcBorders>
              <w:top w:val="nil"/>
              <w:left w:val="nil"/>
              <w:bottom w:val="nil"/>
              <w:right w:val="single" w:sz="8" w:space="0" w:color="BFBFBF"/>
            </w:tcBorders>
            <w:shd w:val="clear" w:color="auto" w:fill="auto"/>
            <w:noWrap/>
            <w:vAlign w:val="bottom"/>
            <w:hideMark/>
          </w:tcPr>
          <w:p w14:paraId="7E3CE43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392.266 </w:t>
            </w:r>
          </w:p>
        </w:tc>
      </w:tr>
      <w:tr w:rsidR="00E66C9A" w:rsidRPr="00426BBC" w14:paraId="70646C3A"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5AC8C48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Legal reserves</w:t>
            </w:r>
          </w:p>
        </w:tc>
        <w:tc>
          <w:tcPr>
            <w:tcW w:w="1580" w:type="dxa"/>
            <w:tcBorders>
              <w:top w:val="nil"/>
              <w:left w:val="nil"/>
              <w:bottom w:val="nil"/>
              <w:right w:val="single" w:sz="8" w:space="0" w:color="BFBFBF"/>
            </w:tcBorders>
            <w:shd w:val="clear" w:color="000000" w:fill="DCE6F1"/>
            <w:noWrap/>
            <w:vAlign w:val="bottom"/>
            <w:hideMark/>
          </w:tcPr>
          <w:p w14:paraId="6327434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4.242 </w:t>
            </w:r>
          </w:p>
        </w:tc>
        <w:tc>
          <w:tcPr>
            <w:tcW w:w="1580" w:type="dxa"/>
            <w:tcBorders>
              <w:top w:val="nil"/>
              <w:left w:val="nil"/>
              <w:bottom w:val="nil"/>
              <w:right w:val="single" w:sz="8" w:space="0" w:color="BFBFBF"/>
            </w:tcBorders>
            <w:shd w:val="clear" w:color="auto" w:fill="auto"/>
            <w:noWrap/>
            <w:vAlign w:val="bottom"/>
            <w:hideMark/>
          </w:tcPr>
          <w:p w14:paraId="744E06B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3.718 </w:t>
            </w:r>
          </w:p>
        </w:tc>
      </w:tr>
      <w:tr w:rsidR="00E66C9A" w:rsidRPr="00426BBC" w14:paraId="561C21E2"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5798CD8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Accumulated deficit</w:t>
            </w:r>
          </w:p>
        </w:tc>
        <w:tc>
          <w:tcPr>
            <w:tcW w:w="1580" w:type="dxa"/>
            <w:tcBorders>
              <w:top w:val="nil"/>
              <w:left w:val="nil"/>
              <w:bottom w:val="nil"/>
              <w:right w:val="single" w:sz="8" w:space="0" w:color="BFBFBF"/>
            </w:tcBorders>
            <w:shd w:val="clear" w:color="000000" w:fill="DCE6F1"/>
            <w:noWrap/>
            <w:vAlign w:val="bottom"/>
            <w:hideMark/>
          </w:tcPr>
          <w:p w14:paraId="1C109F0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(270.601)</w:t>
            </w:r>
          </w:p>
        </w:tc>
        <w:tc>
          <w:tcPr>
            <w:tcW w:w="1580" w:type="dxa"/>
            <w:tcBorders>
              <w:top w:val="nil"/>
              <w:left w:val="nil"/>
              <w:bottom w:val="nil"/>
              <w:right w:val="single" w:sz="8" w:space="0" w:color="BFBFBF"/>
            </w:tcBorders>
            <w:shd w:val="clear" w:color="auto" w:fill="auto"/>
            <w:noWrap/>
            <w:vAlign w:val="bottom"/>
            <w:hideMark/>
          </w:tcPr>
          <w:p w14:paraId="44B1051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(297.618)</w:t>
            </w:r>
          </w:p>
        </w:tc>
      </w:tr>
      <w:tr w:rsidR="00E66C9A" w:rsidRPr="00426BBC" w14:paraId="3CD2970F"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104CCA99"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Shareholders’ equity</w:t>
            </w:r>
          </w:p>
        </w:tc>
        <w:tc>
          <w:tcPr>
            <w:tcW w:w="1580" w:type="dxa"/>
            <w:tcBorders>
              <w:top w:val="nil"/>
              <w:left w:val="nil"/>
              <w:bottom w:val="nil"/>
              <w:right w:val="single" w:sz="8" w:space="0" w:color="BFBFBF"/>
            </w:tcBorders>
            <w:shd w:val="clear" w:color="000000" w:fill="DCE6F1"/>
            <w:noWrap/>
            <w:vAlign w:val="bottom"/>
            <w:hideMark/>
          </w:tcPr>
          <w:p w14:paraId="6D050DD8"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136.253 </w:t>
            </w:r>
          </w:p>
        </w:tc>
        <w:tc>
          <w:tcPr>
            <w:tcW w:w="1580" w:type="dxa"/>
            <w:tcBorders>
              <w:top w:val="nil"/>
              <w:left w:val="nil"/>
              <w:bottom w:val="nil"/>
              <w:right w:val="single" w:sz="8" w:space="0" w:color="BFBFBF"/>
            </w:tcBorders>
            <w:shd w:val="clear" w:color="auto" w:fill="auto"/>
            <w:noWrap/>
            <w:vAlign w:val="bottom"/>
            <w:hideMark/>
          </w:tcPr>
          <w:p w14:paraId="75F1157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104.679 </w:t>
            </w:r>
          </w:p>
        </w:tc>
      </w:tr>
      <w:tr w:rsidR="00E66C9A" w:rsidRPr="00426BBC" w14:paraId="3AD759A3" w14:textId="77777777" w:rsidTr="001857FB">
        <w:trPr>
          <w:trHeight w:val="253"/>
        </w:trPr>
        <w:tc>
          <w:tcPr>
            <w:tcW w:w="5420" w:type="dxa"/>
            <w:tcBorders>
              <w:top w:val="nil"/>
              <w:left w:val="single" w:sz="8" w:space="0" w:color="D9D9D9"/>
              <w:bottom w:val="nil"/>
              <w:right w:val="single" w:sz="8" w:space="0" w:color="D9D9D9"/>
            </w:tcBorders>
            <w:shd w:val="clear" w:color="000000" w:fill="FFFFFF"/>
            <w:vAlign w:val="bottom"/>
            <w:hideMark/>
          </w:tcPr>
          <w:p w14:paraId="75F9DFE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000000" w:fill="DCE6F1"/>
            <w:noWrap/>
            <w:vAlign w:val="bottom"/>
            <w:hideMark/>
          </w:tcPr>
          <w:p w14:paraId="0E0FAFB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auto" w:fill="auto"/>
            <w:noWrap/>
            <w:vAlign w:val="bottom"/>
            <w:hideMark/>
          </w:tcPr>
          <w:p w14:paraId="0AD57AD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8F8D834"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7296848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Convertible bonds</w:t>
            </w:r>
          </w:p>
        </w:tc>
        <w:tc>
          <w:tcPr>
            <w:tcW w:w="1580" w:type="dxa"/>
            <w:tcBorders>
              <w:top w:val="nil"/>
              <w:left w:val="nil"/>
              <w:bottom w:val="nil"/>
              <w:right w:val="single" w:sz="8" w:space="0" w:color="BFBFBF"/>
            </w:tcBorders>
            <w:shd w:val="clear" w:color="000000" w:fill="DCE6F1"/>
            <w:noWrap/>
            <w:vAlign w:val="bottom"/>
            <w:hideMark/>
          </w:tcPr>
          <w:p w14:paraId="1366FF5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121.744 </w:t>
            </w:r>
          </w:p>
        </w:tc>
        <w:tc>
          <w:tcPr>
            <w:tcW w:w="1580" w:type="dxa"/>
            <w:tcBorders>
              <w:top w:val="nil"/>
              <w:left w:val="nil"/>
              <w:bottom w:val="nil"/>
              <w:right w:val="single" w:sz="8" w:space="0" w:color="BFBFBF"/>
            </w:tcBorders>
            <w:shd w:val="clear" w:color="auto" w:fill="auto"/>
            <w:noWrap/>
            <w:vAlign w:val="bottom"/>
            <w:hideMark/>
          </w:tcPr>
          <w:p w14:paraId="715F883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r>
      <w:tr w:rsidR="00E66C9A" w:rsidRPr="00426BBC" w14:paraId="631B1CDD"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7D8B2E6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Lease liabilities</w:t>
            </w:r>
          </w:p>
        </w:tc>
        <w:tc>
          <w:tcPr>
            <w:tcW w:w="1580" w:type="dxa"/>
            <w:tcBorders>
              <w:top w:val="nil"/>
              <w:left w:val="nil"/>
              <w:bottom w:val="nil"/>
              <w:right w:val="single" w:sz="8" w:space="0" w:color="BFBFBF"/>
            </w:tcBorders>
            <w:shd w:val="clear" w:color="000000" w:fill="DCE6F1"/>
            <w:noWrap/>
            <w:vAlign w:val="bottom"/>
            <w:hideMark/>
          </w:tcPr>
          <w:p w14:paraId="5F80652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6.549 </w:t>
            </w:r>
          </w:p>
        </w:tc>
        <w:tc>
          <w:tcPr>
            <w:tcW w:w="1580" w:type="dxa"/>
            <w:tcBorders>
              <w:top w:val="nil"/>
              <w:left w:val="nil"/>
              <w:bottom w:val="nil"/>
              <w:right w:val="single" w:sz="8" w:space="0" w:color="BFBFBF"/>
            </w:tcBorders>
            <w:shd w:val="clear" w:color="auto" w:fill="auto"/>
            <w:noWrap/>
            <w:vAlign w:val="bottom"/>
            <w:hideMark/>
          </w:tcPr>
          <w:p w14:paraId="5BB5A8D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4.363 </w:t>
            </w:r>
          </w:p>
        </w:tc>
      </w:tr>
      <w:tr w:rsidR="00E66C9A" w:rsidRPr="00426BBC" w14:paraId="5AA5AAA8"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222F458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liabilities</w:t>
            </w:r>
          </w:p>
        </w:tc>
        <w:tc>
          <w:tcPr>
            <w:tcW w:w="1580" w:type="dxa"/>
            <w:tcBorders>
              <w:top w:val="nil"/>
              <w:left w:val="nil"/>
              <w:bottom w:val="nil"/>
              <w:right w:val="single" w:sz="8" w:space="0" w:color="BFBFBF"/>
            </w:tcBorders>
            <w:shd w:val="clear" w:color="000000" w:fill="DCE6F1"/>
            <w:noWrap/>
            <w:vAlign w:val="bottom"/>
            <w:hideMark/>
          </w:tcPr>
          <w:p w14:paraId="0A8BB79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18.298 </w:t>
            </w:r>
          </w:p>
        </w:tc>
        <w:tc>
          <w:tcPr>
            <w:tcW w:w="1580" w:type="dxa"/>
            <w:tcBorders>
              <w:top w:val="nil"/>
              <w:left w:val="nil"/>
              <w:bottom w:val="nil"/>
              <w:right w:val="single" w:sz="8" w:space="0" w:color="BFBFBF"/>
            </w:tcBorders>
            <w:shd w:val="clear" w:color="auto" w:fill="auto"/>
            <w:noWrap/>
            <w:vAlign w:val="bottom"/>
            <w:hideMark/>
          </w:tcPr>
          <w:p w14:paraId="2D10053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17.282 </w:t>
            </w:r>
          </w:p>
        </w:tc>
      </w:tr>
      <w:tr w:rsidR="00E66C9A" w:rsidRPr="00426BBC" w14:paraId="294347D0"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2090E366"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Non-current liabilities</w:t>
            </w:r>
          </w:p>
        </w:tc>
        <w:tc>
          <w:tcPr>
            <w:tcW w:w="1580" w:type="dxa"/>
            <w:tcBorders>
              <w:top w:val="nil"/>
              <w:left w:val="nil"/>
              <w:bottom w:val="nil"/>
              <w:right w:val="single" w:sz="8" w:space="0" w:color="BFBFBF"/>
            </w:tcBorders>
            <w:shd w:val="clear" w:color="000000" w:fill="DCE6F1"/>
            <w:noWrap/>
            <w:vAlign w:val="bottom"/>
            <w:hideMark/>
          </w:tcPr>
          <w:p w14:paraId="717076E6"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146.591 </w:t>
            </w:r>
          </w:p>
        </w:tc>
        <w:tc>
          <w:tcPr>
            <w:tcW w:w="1580" w:type="dxa"/>
            <w:tcBorders>
              <w:top w:val="nil"/>
              <w:left w:val="nil"/>
              <w:bottom w:val="nil"/>
              <w:right w:val="single" w:sz="8" w:space="0" w:color="BFBFBF"/>
            </w:tcBorders>
            <w:shd w:val="clear" w:color="auto" w:fill="auto"/>
            <w:noWrap/>
            <w:vAlign w:val="bottom"/>
            <w:hideMark/>
          </w:tcPr>
          <w:p w14:paraId="028E5443"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21.645 </w:t>
            </w:r>
          </w:p>
        </w:tc>
      </w:tr>
      <w:tr w:rsidR="00E66C9A" w:rsidRPr="00426BBC" w14:paraId="6B0C6B47" w14:textId="77777777" w:rsidTr="001857FB">
        <w:trPr>
          <w:trHeight w:val="240"/>
        </w:trPr>
        <w:tc>
          <w:tcPr>
            <w:tcW w:w="5420" w:type="dxa"/>
            <w:tcBorders>
              <w:top w:val="nil"/>
              <w:left w:val="single" w:sz="8" w:space="0" w:color="D9D9D9"/>
              <w:bottom w:val="nil"/>
              <w:right w:val="single" w:sz="8" w:space="0" w:color="D9D9D9"/>
            </w:tcBorders>
            <w:shd w:val="clear" w:color="000000" w:fill="FFFFFF"/>
            <w:vAlign w:val="bottom"/>
            <w:hideMark/>
          </w:tcPr>
          <w:p w14:paraId="1526B64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000000" w:fill="DCE6F1"/>
            <w:noWrap/>
            <w:vAlign w:val="bottom"/>
            <w:hideMark/>
          </w:tcPr>
          <w:p w14:paraId="092AB53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auto" w:fill="auto"/>
            <w:noWrap/>
            <w:vAlign w:val="bottom"/>
            <w:hideMark/>
          </w:tcPr>
          <w:p w14:paraId="4677553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6B929FF"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567C764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Loans and borrowings</w:t>
            </w:r>
          </w:p>
        </w:tc>
        <w:tc>
          <w:tcPr>
            <w:tcW w:w="1580" w:type="dxa"/>
            <w:tcBorders>
              <w:top w:val="nil"/>
              <w:left w:val="nil"/>
              <w:bottom w:val="nil"/>
              <w:right w:val="single" w:sz="8" w:space="0" w:color="BFBFBF"/>
            </w:tcBorders>
            <w:shd w:val="clear" w:color="000000" w:fill="DCE6F1"/>
            <w:noWrap/>
            <w:vAlign w:val="bottom"/>
            <w:hideMark/>
          </w:tcPr>
          <w:p w14:paraId="7FD1985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c>
          <w:tcPr>
            <w:tcW w:w="1580" w:type="dxa"/>
            <w:tcBorders>
              <w:top w:val="nil"/>
              <w:left w:val="nil"/>
              <w:bottom w:val="nil"/>
              <w:right w:val="single" w:sz="8" w:space="0" w:color="BFBFBF"/>
            </w:tcBorders>
            <w:shd w:val="clear" w:color="auto" w:fill="auto"/>
            <w:noWrap/>
            <w:vAlign w:val="bottom"/>
            <w:hideMark/>
          </w:tcPr>
          <w:p w14:paraId="26CF388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45.590 </w:t>
            </w:r>
          </w:p>
        </w:tc>
      </w:tr>
      <w:tr w:rsidR="00E66C9A" w:rsidRPr="00426BBC" w14:paraId="344C5C55"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388D255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Derivative financial liabilities</w:t>
            </w:r>
          </w:p>
        </w:tc>
        <w:tc>
          <w:tcPr>
            <w:tcW w:w="1580" w:type="dxa"/>
            <w:tcBorders>
              <w:top w:val="nil"/>
              <w:left w:val="nil"/>
              <w:bottom w:val="nil"/>
              <w:right w:val="single" w:sz="8" w:space="0" w:color="BFBFBF"/>
            </w:tcBorders>
            <w:shd w:val="clear" w:color="000000" w:fill="DCE6F1"/>
            <w:noWrap/>
            <w:vAlign w:val="bottom"/>
            <w:hideMark/>
          </w:tcPr>
          <w:p w14:paraId="19DEE88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138 </w:t>
            </w:r>
          </w:p>
        </w:tc>
        <w:tc>
          <w:tcPr>
            <w:tcW w:w="1580" w:type="dxa"/>
            <w:tcBorders>
              <w:top w:val="nil"/>
              <w:left w:val="nil"/>
              <w:bottom w:val="nil"/>
              <w:right w:val="single" w:sz="8" w:space="0" w:color="BFBFBF"/>
            </w:tcBorders>
            <w:shd w:val="clear" w:color="auto" w:fill="auto"/>
            <w:noWrap/>
            <w:vAlign w:val="bottom"/>
            <w:hideMark/>
          </w:tcPr>
          <w:p w14:paraId="178A6B8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268 </w:t>
            </w:r>
          </w:p>
        </w:tc>
      </w:tr>
      <w:tr w:rsidR="00E66C9A" w:rsidRPr="00426BBC" w14:paraId="168DF876"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707F027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Trade and other payables</w:t>
            </w:r>
          </w:p>
        </w:tc>
        <w:tc>
          <w:tcPr>
            <w:tcW w:w="1580" w:type="dxa"/>
            <w:tcBorders>
              <w:top w:val="nil"/>
              <w:left w:val="nil"/>
              <w:bottom w:val="nil"/>
              <w:right w:val="single" w:sz="8" w:space="0" w:color="BFBFBF"/>
            </w:tcBorders>
            <w:shd w:val="clear" w:color="000000" w:fill="DCE6F1"/>
            <w:noWrap/>
            <w:vAlign w:val="bottom"/>
            <w:hideMark/>
          </w:tcPr>
          <w:p w14:paraId="538F7EE7" w14:textId="20BDA40D"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w:t>
            </w:r>
            <w:r w:rsidR="007C186D" w:rsidRPr="00426BBC">
              <w:rPr>
                <w:rFonts w:asciiTheme="minorHAnsi" w:hAnsiTheme="minorHAnsi" w:cstheme="minorHAnsi"/>
                <w:color w:val="808080"/>
                <w:sz w:val="20"/>
                <w:szCs w:val="20"/>
                <w:lang w:val="en-GB"/>
              </w:rPr>
              <w:t>4</w:t>
            </w:r>
            <w:r w:rsidRPr="00426BBC">
              <w:rPr>
                <w:rFonts w:asciiTheme="minorHAnsi" w:hAnsiTheme="minorHAnsi" w:cstheme="minorHAnsi"/>
                <w:color w:val="808080"/>
                <w:sz w:val="20"/>
                <w:szCs w:val="20"/>
                <w:lang w:val="en-GB"/>
              </w:rPr>
              <w:t>.</w:t>
            </w:r>
            <w:r w:rsidR="007C186D" w:rsidRPr="00426BBC">
              <w:rPr>
                <w:rFonts w:asciiTheme="minorHAnsi" w:hAnsiTheme="minorHAnsi" w:cstheme="minorHAnsi"/>
                <w:color w:val="808080"/>
                <w:sz w:val="20"/>
                <w:szCs w:val="20"/>
                <w:lang w:val="en-GB"/>
              </w:rPr>
              <w:t>622</w:t>
            </w:r>
          </w:p>
        </w:tc>
        <w:tc>
          <w:tcPr>
            <w:tcW w:w="1580" w:type="dxa"/>
            <w:tcBorders>
              <w:top w:val="nil"/>
              <w:left w:val="nil"/>
              <w:bottom w:val="nil"/>
              <w:right w:val="single" w:sz="8" w:space="0" w:color="BFBFBF"/>
            </w:tcBorders>
            <w:shd w:val="clear" w:color="auto" w:fill="auto"/>
            <w:noWrap/>
            <w:vAlign w:val="bottom"/>
            <w:hideMark/>
          </w:tcPr>
          <w:p w14:paraId="430449B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36.247 </w:t>
            </w:r>
          </w:p>
        </w:tc>
      </w:tr>
      <w:tr w:rsidR="00E66C9A" w:rsidRPr="00426BBC" w14:paraId="01696AA4" w14:textId="77777777" w:rsidTr="001857FB">
        <w:trPr>
          <w:trHeight w:val="315"/>
        </w:trPr>
        <w:tc>
          <w:tcPr>
            <w:tcW w:w="5420" w:type="dxa"/>
            <w:tcBorders>
              <w:top w:val="nil"/>
              <w:left w:val="single" w:sz="8" w:space="0" w:color="D9D9D9"/>
              <w:bottom w:val="nil"/>
              <w:right w:val="single" w:sz="8" w:space="0" w:color="D9D9D9"/>
            </w:tcBorders>
            <w:shd w:val="clear" w:color="auto" w:fill="auto"/>
            <w:vAlign w:val="bottom"/>
            <w:hideMark/>
          </w:tcPr>
          <w:p w14:paraId="5F8172B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Lease liabilities</w:t>
            </w:r>
          </w:p>
        </w:tc>
        <w:tc>
          <w:tcPr>
            <w:tcW w:w="1580" w:type="dxa"/>
            <w:tcBorders>
              <w:top w:val="nil"/>
              <w:left w:val="nil"/>
              <w:bottom w:val="nil"/>
              <w:right w:val="single" w:sz="8" w:space="0" w:color="BFBFBF"/>
            </w:tcBorders>
            <w:shd w:val="clear" w:color="000000" w:fill="DCE6F1"/>
            <w:noWrap/>
            <w:vAlign w:val="bottom"/>
            <w:hideMark/>
          </w:tcPr>
          <w:p w14:paraId="041A20D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1.744 </w:t>
            </w:r>
          </w:p>
        </w:tc>
        <w:tc>
          <w:tcPr>
            <w:tcW w:w="1580" w:type="dxa"/>
            <w:tcBorders>
              <w:top w:val="nil"/>
              <w:left w:val="nil"/>
              <w:bottom w:val="nil"/>
              <w:right w:val="single" w:sz="8" w:space="0" w:color="BFBFBF"/>
            </w:tcBorders>
            <w:shd w:val="clear" w:color="auto" w:fill="auto"/>
            <w:noWrap/>
            <w:vAlign w:val="bottom"/>
            <w:hideMark/>
          </w:tcPr>
          <w:p w14:paraId="796A631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1.946 </w:t>
            </w:r>
          </w:p>
        </w:tc>
      </w:tr>
      <w:tr w:rsidR="00E66C9A" w:rsidRPr="00426BBC" w14:paraId="0861E517"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442CC90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liabilities</w:t>
            </w:r>
          </w:p>
        </w:tc>
        <w:tc>
          <w:tcPr>
            <w:tcW w:w="1580" w:type="dxa"/>
            <w:tcBorders>
              <w:top w:val="nil"/>
              <w:left w:val="nil"/>
              <w:bottom w:val="nil"/>
              <w:right w:val="single" w:sz="8" w:space="0" w:color="BFBFBF"/>
            </w:tcBorders>
            <w:shd w:val="clear" w:color="000000" w:fill="DCE6F1"/>
            <w:noWrap/>
            <w:vAlign w:val="bottom"/>
            <w:hideMark/>
          </w:tcPr>
          <w:p w14:paraId="0529EFC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c>
          <w:tcPr>
            <w:tcW w:w="1580" w:type="dxa"/>
            <w:tcBorders>
              <w:top w:val="nil"/>
              <w:left w:val="nil"/>
              <w:bottom w:val="nil"/>
              <w:right w:val="single" w:sz="8" w:space="0" w:color="BFBFBF"/>
            </w:tcBorders>
            <w:shd w:val="clear" w:color="auto" w:fill="auto"/>
            <w:noWrap/>
            <w:vAlign w:val="bottom"/>
            <w:hideMark/>
          </w:tcPr>
          <w:p w14:paraId="34DFCA5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17.835 </w:t>
            </w:r>
          </w:p>
        </w:tc>
      </w:tr>
      <w:tr w:rsidR="00E66C9A" w:rsidRPr="00426BBC" w14:paraId="4DC5FA3D" w14:textId="77777777" w:rsidTr="001857FB">
        <w:trPr>
          <w:trHeight w:val="315"/>
        </w:trPr>
        <w:tc>
          <w:tcPr>
            <w:tcW w:w="5420" w:type="dxa"/>
            <w:tcBorders>
              <w:top w:val="nil"/>
              <w:left w:val="single" w:sz="8" w:space="0" w:color="D9D9D9"/>
              <w:bottom w:val="nil"/>
              <w:right w:val="single" w:sz="8" w:space="0" w:color="D9D9D9"/>
            </w:tcBorders>
            <w:shd w:val="clear" w:color="000000" w:fill="FFFFFF"/>
            <w:vAlign w:val="bottom"/>
            <w:hideMark/>
          </w:tcPr>
          <w:p w14:paraId="2E9E5E66"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Current liabilities</w:t>
            </w:r>
          </w:p>
        </w:tc>
        <w:tc>
          <w:tcPr>
            <w:tcW w:w="1580" w:type="dxa"/>
            <w:tcBorders>
              <w:top w:val="nil"/>
              <w:left w:val="nil"/>
              <w:bottom w:val="nil"/>
              <w:right w:val="single" w:sz="8" w:space="0" w:color="BFBFBF"/>
            </w:tcBorders>
            <w:shd w:val="clear" w:color="000000" w:fill="DCE6F1"/>
            <w:noWrap/>
            <w:vAlign w:val="bottom"/>
            <w:hideMark/>
          </w:tcPr>
          <w:p w14:paraId="0C984DFE" w14:textId="327CC03D"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3</w:t>
            </w:r>
            <w:r w:rsidR="007C186D" w:rsidRPr="00426BBC">
              <w:rPr>
                <w:rFonts w:asciiTheme="minorHAnsi" w:hAnsiTheme="minorHAnsi" w:cstheme="minorHAnsi"/>
                <w:b/>
                <w:bCs/>
                <w:color w:val="808080"/>
                <w:sz w:val="20"/>
                <w:szCs w:val="20"/>
                <w:lang w:val="en-GB"/>
              </w:rPr>
              <w:t>6</w:t>
            </w:r>
            <w:r w:rsidRPr="00426BBC">
              <w:rPr>
                <w:rFonts w:asciiTheme="minorHAnsi" w:hAnsiTheme="minorHAnsi" w:cstheme="minorHAnsi"/>
                <w:b/>
                <w:bCs/>
                <w:color w:val="808080"/>
                <w:sz w:val="20"/>
                <w:szCs w:val="20"/>
                <w:lang w:val="en-GB"/>
              </w:rPr>
              <w:t>.</w:t>
            </w:r>
            <w:r w:rsidR="007C186D" w:rsidRPr="00426BBC">
              <w:rPr>
                <w:rFonts w:asciiTheme="minorHAnsi" w:hAnsiTheme="minorHAnsi" w:cstheme="minorHAnsi"/>
                <w:b/>
                <w:bCs/>
                <w:color w:val="808080"/>
                <w:sz w:val="20"/>
                <w:szCs w:val="20"/>
                <w:lang w:val="en-GB"/>
              </w:rPr>
              <w:t>504</w:t>
            </w:r>
            <w:r w:rsidRPr="00426BBC">
              <w:rPr>
                <w:rFonts w:asciiTheme="minorHAnsi" w:hAnsiTheme="minorHAnsi" w:cstheme="minorHAnsi"/>
                <w:b/>
                <w:bCs/>
                <w:color w:val="808080"/>
                <w:sz w:val="20"/>
                <w:szCs w:val="20"/>
                <w:lang w:val="en-GB"/>
              </w:rPr>
              <w:t xml:space="preserve"> </w:t>
            </w:r>
          </w:p>
        </w:tc>
        <w:tc>
          <w:tcPr>
            <w:tcW w:w="1580" w:type="dxa"/>
            <w:tcBorders>
              <w:top w:val="nil"/>
              <w:left w:val="nil"/>
              <w:bottom w:val="nil"/>
              <w:right w:val="single" w:sz="8" w:space="0" w:color="BFBFBF"/>
            </w:tcBorders>
            <w:shd w:val="clear" w:color="auto" w:fill="auto"/>
            <w:noWrap/>
            <w:vAlign w:val="bottom"/>
            <w:hideMark/>
          </w:tcPr>
          <w:p w14:paraId="49F4C212"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101.886 </w:t>
            </w:r>
          </w:p>
        </w:tc>
      </w:tr>
      <w:tr w:rsidR="00E66C9A" w:rsidRPr="00426BBC" w14:paraId="2E684143" w14:textId="77777777" w:rsidTr="001857FB">
        <w:trPr>
          <w:trHeight w:val="315"/>
        </w:trPr>
        <w:tc>
          <w:tcPr>
            <w:tcW w:w="5420" w:type="dxa"/>
            <w:tcBorders>
              <w:top w:val="nil"/>
              <w:left w:val="single" w:sz="8" w:space="0" w:color="D9D9D9"/>
              <w:bottom w:val="single" w:sz="8" w:space="0" w:color="BFBFBF"/>
              <w:right w:val="single" w:sz="8" w:space="0" w:color="D9D9D9"/>
            </w:tcBorders>
            <w:shd w:val="clear" w:color="000000" w:fill="FFFFFF"/>
            <w:vAlign w:val="center"/>
            <w:hideMark/>
          </w:tcPr>
          <w:p w14:paraId="3F1DDDD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000000" w:fill="DCE6F1"/>
            <w:noWrap/>
            <w:vAlign w:val="bottom"/>
            <w:hideMark/>
          </w:tcPr>
          <w:p w14:paraId="77D529B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580" w:type="dxa"/>
            <w:tcBorders>
              <w:top w:val="nil"/>
              <w:left w:val="nil"/>
              <w:bottom w:val="nil"/>
              <w:right w:val="single" w:sz="8" w:space="0" w:color="BFBFBF"/>
            </w:tcBorders>
            <w:shd w:val="clear" w:color="auto" w:fill="auto"/>
            <w:noWrap/>
            <w:vAlign w:val="bottom"/>
            <w:hideMark/>
          </w:tcPr>
          <w:p w14:paraId="47AF62A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062AC2CB" w14:textId="77777777" w:rsidTr="001857FB">
        <w:trPr>
          <w:trHeight w:val="315"/>
        </w:trPr>
        <w:tc>
          <w:tcPr>
            <w:tcW w:w="5420" w:type="dxa"/>
            <w:tcBorders>
              <w:top w:val="nil"/>
              <w:left w:val="single" w:sz="8" w:space="0" w:color="BFBFBF"/>
              <w:bottom w:val="single" w:sz="8" w:space="0" w:color="BFBFBF"/>
              <w:right w:val="single" w:sz="8" w:space="0" w:color="BFBFBF"/>
            </w:tcBorders>
            <w:shd w:val="clear" w:color="000000" w:fill="FFFFFF"/>
            <w:vAlign w:val="center"/>
            <w:hideMark/>
          </w:tcPr>
          <w:p w14:paraId="709C81B3"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equity and liabilities</w:t>
            </w:r>
          </w:p>
        </w:tc>
        <w:tc>
          <w:tcPr>
            <w:tcW w:w="1580" w:type="dxa"/>
            <w:tcBorders>
              <w:top w:val="single" w:sz="8" w:space="0" w:color="BFBFBF"/>
              <w:left w:val="nil"/>
              <w:bottom w:val="single" w:sz="8" w:space="0" w:color="BFBFBF"/>
              <w:right w:val="single" w:sz="8" w:space="0" w:color="BFBFBF"/>
            </w:tcBorders>
            <w:shd w:val="clear" w:color="000000" w:fill="DCE6F1"/>
            <w:noWrap/>
            <w:vAlign w:val="center"/>
            <w:hideMark/>
          </w:tcPr>
          <w:p w14:paraId="3F28B27A" w14:textId="32430541"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31</w:t>
            </w:r>
            <w:r w:rsidR="007C186D" w:rsidRPr="00426BBC">
              <w:rPr>
                <w:rFonts w:asciiTheme="minorHAnsi" w:hAnsiTheme="minorHAnsi" w:cstheme="minorHAnsi"/>
                <w:b/>
                <w:bCs/>
                <w:color w:val="366092"/>
                <w:sz w:val="20"/>
                <w:szCs w:val="20"/>
                <w:lang w:val="en-GB"/>
              </w:rPr>
              <w:t>9</w:t>
            </w:r>
            <w:r w:rsidRPr="00426BBC">
              <w:rPr>
                <w:rFonts w:asciiTheme="minorHAnsi" w:hAnsiTheme="minorHAnsi" w:cstheme="minorHAnsi"/>
                <w:b/>
                <w:bCs/>
                <w:color w:val="366092"/>
                <w:sz w:val="20"/>
                <w:szCs w:val="20"/>
                <w:lang w:val="en-GB"/>
              </w:rPr>
              <w:t>.</w:t>
            </w:r>
            <w:r w:rsidR="007C186D" w:rsidRPr="00426BBC">
              <w:rPr>
                <w:rFonts w:asciiTheme="minorHAnsi" w:hAnsiTheme="minorHAnsi" w:cstheme="minorHAnsi"/>
                <w:b/>
                <w:bCs/>
                <w:color w:val="366092"/>
                <w:sz w:val="20"/>
                <w:szCs w:val="20"/>
                <w:lang w:val="en-GB"/>
              </w:rPr>
              <w:t>348</w:t>
            </w:r>
            <w:r w:rsidRPr="00426BBC">
              <w:rPr>
                <w:rFonts w:asciiTheme="minorHAnsi" w:hAnsiTheme="minorHAnsi" w:cstheme="minorHAnsi"/>
                <w:b/>
                <w:bCs/>
                <w:color w:val="366092"/>
                <w:sz w:val="20"/>
                <w:szCs w:val="20"/>
                <w:lang w:val="en-GB"/>
              </w:rPr>
              <w:t xml:space="preserve"> </w:t>
            </w:r>
          </w:p>
        </w:tc>
        <w:tc>
          <w:tcPr>
            <w:tcW w:w="1580" w:type="dxa"/>
            <w:tcBorders>
              <w:top w:val="single" w:sz="8" w:space="0" w:color="BFBFBF"/>
              <w:left w:val="nil"/>
              <w:bottom w:val="single" w:sz="8" w:space="0" w:color="BFBFBF"/>
              <w:right w:val="single" w:sz="8" w:space="0" w:color="BFBFBF"/>
            </w:tcBorders>
            <w:shd w:val="clear" w:color="auto" w:fill="auto"/>
            <w:noWrap/>
            <w:vAlign w:val="center"/>
            <w:hideMark/>
          </w:tcPr>
          <w:p w14:paraId="1753D54E"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228.210 </w:t>
            </w:r>
          </w:p>
        </w:tc>
      </w:tr>
    </w:tbl>
    <w:p w14:paraId="0AC8FC64" w14:textId="77777777" w:rsidR="00E66C9A" w:rsidRPr="00426BBC" w:rsidRDefault="00E66C9A" w:rsidP="00E66C9A">
      <w:pPr>
        <w:rPr>
          <w:rFonts w:asciiTheme="minorHAnsi" w:hAnsiTheme="minorHAnsi" w:cstheme="minorHAnsi"/>
          <w:szCs w:val="22"/>
          <w:lang w:val="en-GB"/>
        </w:rPr>
      </w:pPr>
    </w:p>
    <w:p w14:paraId="4958FE4A" w14:textId="77777777" w:rsidR="00E008A5" w:rsidRDefault="00E008A5" w:rsidP="00E66C9A">
      <w:pPr>
        <w:rPr>
          <w:rFonts w:asciiTheme="minorHAnsi" w:eastAsiaTheme="majorEastAsia" w:hAnsiTheme="minorHAnsi" w:cstheme="minorHAnsi"/>
          <w:b/>
          <w:color w:val="59595B"/>
          <w:szCs w:val="28"/>
          <w:lang w:val="en-GB" w:eastAsia="zh-CN"/>
        </w:rPr>
      </w:pPr>
    </w:p>
    <w:p w14:paraId="4E41B8F9" w14:textId="77777777" w:rsidR="00E008A5" w:rsidRDefault="00E008A5" w:rsidP="00E66C9A">
      <w:pPr>
        <w:rPr>
          <w:rFonts w:asciiTheme="minorHAnsi" w:eastAsiaTheme="majorEastAsia" w:hAnsiTheme="minorHAnsi" w:cstheme="minorHAnsi"/>
          <w:b/>
          <w:color w:val="59595B"/>
          <w:szCs w:val="28"/>
          <w:lang w:val="en-GB" w:eastAsia="zh-CN"/>
        </w:rPr>
      </w:pPr>
    </w:p>
    <w:p w14:paraId="2BB73E07" w14:textId="77777777" w:rsidR="00E008A5" w:rsidRDefault="00E008A5" w:rsidP="00E66C9A">
      <w:pPr>
        <w:rPr>
          <w:rFonts w:asciiTheme="minorHAnsi" w:eastAsiaTheme="majorEastAsia" w:hAnsiTheme="minorHAnsi" w:cstheme="minorHAnsi"/>
          <w:b/>
          <w:color w:val="59595B"/>
          <w:szCs w:val="28"/>
          <w:lang w:val="en-GB" w:eastAsia="zh-CN"/>
        </w:rPr>
      </w:pPr>
    </w:p>
    <w:p w14:paraId="588AEFF8" w14:textId="77777777" w:rsidR="00E008A5" w:rsidRDefault="00E008A5" w:rsidP="00E66C9A">
      <w:pPr>
        <w:rPr>
          <w:rFonts w:asciiTheme="minorHAnsi" w:eastAsiaTheme="majorEastAsia" w:hAnsiTheme="minorHAnsi" w:cstheme="minorHAnsi"/>
          <w:b/>
          <w:color w:val="59595B"/>
          <w:szCs w:val="28"/>
          <w:lang w:val="en-GB" w:eastAsia="zh-CN"/>
        </w:rPr>
      </w:pPr>
    </w:p>
    <w:p w14:paraId="5B8745B1" w14:textId="2FD34F03" w:rsidR="00E66C9A" w:rsidRPr="00426BBC" w:rsidRDefault="00E66C9A" w:rsidP="00E66C9A">
      <w:pPr>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lastRenderedPageBreak/>
        <w:t>Condensed Consolidated Statement of Cash Flow</w:t>
      </w:r>
    </w:p>
    <w:p w14:paraId="6F898E6F" w14:textId="77777777" w:rsidR="00E66C9A" w:rsidRPr="00E008A5" w:rsidRDefault="00E66C9A" w:rsidP="00E66C9A">
      <w:pPr>
        <w:pStyle w:val="NoSpacing"/>
        <w:rPr>
          <w:rFonts w:asciiTheme="minorHAnsi" w:hAnsiTheme="minorHAnsi" w:cstheme="minorHAnsi"/>
          <w:sz w:val="24"/>
          <w:lang w:val="en-GB"/>
        </w:rPr>
      </w:pPr>
      <w:r w:rsidRPr="00E9120D">
        <w:rPr>
          <w:rFonts w:asciiTheme="minorHAnsi" w:hAnsiTheme="minorHAnsi" w:cstheme="minorHAnsi"/>
          <w:sz w:val="24"/>
          <w:lang w:val="en-GB"/>
        </w:rPr>
        <w:t>For the period ended 30 September</w:t>
      </w:r>
    </w:p>
    <w:p w14:paraId="0B2A3130" w14:textId="77777777" w:rsidR="00E66C9A" w:rsidRPr="00426BBC" w:rsidRDefault="00E66C9A" w:rsidP="00E66C9A">
      <w:pPr>
        <w:jc w:val="left"/>
        <w:rPr>
          <w:rFonts w:asciiTheme="minorHAnsi" w:eastAsiaTheme="majorEastAsia" w:hAnsiTheme="minorHAnsi" w:cstheme="minorHAnsi"/>
          <w:b/>
          <w:color w:val="59595B"/>
          <w:szCs w:val="28"/>
          <w:lang w:val="en-GB" w:eastAsia="zh-CN"/>
        </w:rPr>
      </w:pPr>
    </w:p>
    <w:p w14:paraId="6CADB176" w14:textId="77777777" w:rsidR="00E66C9A" w:rsidRPr="00426BBC" w:rsidRDefault="00E66C9A" w:rsidP="00E66C9A">
      <w:pPr>
        <w:jc w:val="left"/>
        <w:rPr>
          <w:rFonts w:asciiTheme="minorHAnsi" w:eastAsiaTheme="majorEastAsia" w:hAnsiTheme="minorHAnsi" w:cstheme="minorHAnsi"/>
          <w:b/>
          <w:color w:val="59595B"/>
          <w:szCs w:val="28"/>
          <w:lang w:val="en-GB" w:eastAsia="zh-CN"/>
        </w:rPr>
      </w:pPr>
    </w:p>
    <w:tbl>
      <w:tblPr>
        <w:tblW w:w="9072" w:type="dxa"/>
        <w:tblLook w:val="04A0" w:firstRow="1" w:lastRow="0" w:firstColumn="1" w:lastColumn="0" w:noHBand="0" w:noVBand="1"/>
      </w:tblPr>
      <w:tblGrid>
        <w:gridCol w:w="6244"/>
        <w:gridCol w:w="1414"/>
        <w:gridCol w:w="1414"/>
      </w:tblGrid>
      <w:tr w:rsidR="00E66C9A" w:rsidRPr="00426BBC" w14:paraId="3732A886" w14:textId="77777777" w:rsidTr="001857FB">
        <w:trPr>
          <w:trHeight w:val="300"/>
        </w:trPr>
        <w:tc>
          <w:tcPr>
            <w:tcW w:w="5920" w:type="dxa"/>
            <w:vMerge w:val="restart"/>
            <w:tcBorders>
              <w:top w:val="nil"/>
              <w:left w:val="nil"/>
              <w:bottom w:val="nil"/>
              <w:right w:val="nil"/>
            </w:tcBorders>
            <w:shd w:val="clear" w:color="000000" w:fill="366092"/>
            <w:vAlign w:val="center"/>
            <w:hideMark/>
          </w:tcPr>
          <w:p w14:paraId="5E7DF074" w14:textId="77777777" w:rsidR="00E66C9A" w:rsidRPr="00426BBC" w:rsidRDefault="00E66C9A" w:rsidP="001857FB">
            <w:pPr>
              <w:jc w:val="left"/>
              <w:rPr>
                <w:rFonts w:asciiTheme="minorHAnsi" w:hAnsiTheme="minorHAnsi" w:cstheme="minorHAnsi"/>
                <w:color w:val="FFFFFF"/>
                <w:sz w:val="16"/>
                <w:szCs w:val="16"/>
                <w:lang w:val="en-GB"/>
              </w:rPr>
            </w:pPr>
            <w:r w:rsidRPr="00426BBC">
              <w:rPr>
                <w:rFonts w:asciiTheme="minorHAnsi" w:hAnsiTheme="minorHAnsi" w:cstheme="minorHAnsi"/>
                <w:color w:val="FFFFFF"/>
                <w:sz w:val="16"/>
                <w:szCs w:val="16"/>
                <w:lang w:val="en-GB"/>
              </w:rPr>
              <w:t>Amounts in €’000</w:t>
            </w:r>
          </w:p>
        </w:tc>
        <w:tc>
          <w:tcPr>
            <w:tcW w:w="1340" w:type="dxa"/>
            <w:vMerge w:val="restart"/>
            <w:tcBorders>
              <w:top w:val="nil"/>
              <w:left w:val="nil"/>
              <w:bottom w:val="nil"/>
              <w:right w:val="nil"/>
            </w:tcBorders>
            <w:shd w:val="clear" w:color="000000" w:fill="366092"/>
            <w:vAlign w:val="center"/>
            <w:hideMark/>
          </w:tcPr>
          <w:p w14:paraId="207E8442"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2020</w:t>
            </w:r>
          </w:p>
        </w:tc>
        <w:tc>
          <w:tcPr>
            <w:tcW w:w="1340" w:type="dxa"/>
            <w:vMerge w:val="restart"/>
            <w:tcBorders>
              <w:top w:val="nil"/>
              <w:left w:val="nil"/>
              <w:bottom w:val="nil"/>
              <w:right w:val="nil"/>
            </w:tcBorders>
            <w:shd w:val="clear" w:color="000000" w:fill="366092"/>
            <w:vAlign w:val="center"/>
            <w:hideMark/>
          </w:tcPr>
          <w:p w14:paraId="30A4A3F5"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2019</w:t>
            </w:r>
          </w:p>
        </w:tc>
      </w:tr>
      <w:tr w:rsidR="00E66C9A" w:rsidRPr="00426BBC" w14:paraId="7391B5F3" w14:textId="77777777" w:rsidTr="001857FB">
        <w:trPr>
          <w:trHeight w:val="300"/>
        </w:trPr>
        <w:tc>
          <w:tcPr>
            <w:tcW w:w="5920" w:type="dxa"/>
            <w:vMerge/>
            <w:tcBorders>
              <w:top w:val="nil"/>
              <w:left w:val="nil"/>
              <w:bottom w:val="nil"/>
              <w:right w:val="nil"/>
            </w:tcBorders>
            <w:vAlign w:val="center"/>
            <w:hideMark/>
          </w:tcPr>
          <w:p w14:paraId="2D77F133" w14:textId="77777777" w:rsidR="00E66C9A" w:rsidRPr="00426BBC" w:rsidRDefault="00E66C9A" w:rsidP="001857FB">
            <w:pPr>
              <w:jc w:val="left"/>
              <w:rPr>
                <w:rFonts w:asciiTheme="minorHAnsi" w:hAnsiTheme="minorHAnsi" w:cstheme="minorHAnsi"/>
                <w:color w:val="FFFFFF"/>
                <w:sz w:val="16"/>
                <w:szCs w:val="16"/>
                <w:lang w:val="en-GB"/>
              </w:rPr>
            </w:pPr>
          </w:p>
        </w:tc>
        <w:tc>
          <w:tcPr>
            <w:tcW w:w="1340" w:type="dxa"/>
            <w:vMerge/>
            <w:tcBorders>
              <w:top w:val="nil"/>
              <w:left w:val="nil"/>
              <w:bottom w:val="nil"/>
              <w:right w:val="nil"/>
            </w:tcBorders>
            <w:vAlign w:val="center"/>
            <w:hideMark/>
          </w:tcPr>
          <w:p w14:paraId="6D6D072B" w14:textId="77777777" w:rsidR="00E66C9A" w:rsidRPr="00426BBC" w:rsidRDefault="00E66C9A" w:rsidP="001857FB">
            <w:pPr>
              <w:jc w:val="left"/>
              <w:rPr>
                <w:rFonts w:asciiTheme="minorHAnsi" w:hAnsiTheme="minorHAnsi" w:cstheme="minorHAnsi"/>
                <w:b/>
                <w:bCs/>
                <w:color w:val="FFFFFF"/>
                <w:sz w:val="20"/>
                <w:szCs w:val="20"/>
                <w:lang w:val="en-GB"/>
              </w:rPr>
            </w:pPr>
          </w:p>
        </w:tc>
        <w:tc>
          <w:tcPr>
            <w:tcW w:w="1340" w:type="dxa"/>
            <w:vMerge/>
            <w:tcBorders>
              <w:top w:val="nil"/>
              <w:left w:val="nil"/>
              <w:bottom w:val="nil"/>
              <w:right w:val="nil"/>
            </w:tcBorders>
            <w:vAlign w:val="center"/>
            <w:hideMark/>
          </w:tcPr>
          <w:p w14:paraId="0AB8EE11" w14:textId="77777777" w:rsidR="00E66C9A" w:rsidRPr="00426BBC" w:rsidRDefault="00E66C9A" w:rsidP="001857FB">
            <w:pPr>
              <w:jc w:val="left"/>
              <w:rPr>
                <w:rFonts w:asciiTheme="minorHAnsi" w:hAnsiTheme="minorHAnsi" w:cstheme="minorHAnsi"/>
                <w:b/>
                <w:bCs/>
                <w:color w:val="FFFFFF"/>
                <w:sz w:val="20"/>
                <w:szCs w:val="20"/>
                <w:lang w:val="en-GB"/>
              </w:rPr>
            </w:pPr>
          </w:p>
        </w:tc>
      </w:tr>
      <w:tr w:rsidR="00E66C9A" w:rsidRPr="00426BBC" w14:paraId="41CFFE4C" w14:textId="77777777" w:rsidTr="001857FB">
        <w:trPr>
          <w:trHeight w:val="238"/>
        </w:trPr>
        <w:tc>
          <w:tcPr>
            <w:tcW w:w="5920" w:type="dxa"/>
            <w:tcBorders>
              <w:top w:val="nil"/>
              <w:left w:val="single" w:sz="8" w:space="0" w:color="BFBFBF"/>
              <w:bottom w:val="single" w:sz="8" w:space="0" w:color="BFBFBF"/>
              <w:right w:val="single" w:sz="8" w:space="0" w:color="BFBFBF"/>
            </w:tcBorders>
            <w:shd w:val="clear" w:color="000000" w:fill="FFFFFF"/>
            <w:vAlign w:val="center"/>
            <w:hideMark/>
          </w:tcPr>
          <w:p w14:paraId="37FE18D3"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Operating result</w:t>
            </w:r>
          </w:p>
        </w:tc>
        <w:tc>
          <w:tcPr>
            <w:tcW w:w="1340" w:type="dxa"/>
            <w:tcBorders>
              <w:top w:val="nil"/>
              <w:left w:val="nil"/>
              <w:bottom w:val="single" w:sz="8" w:space="0" w:color="BFBFBF"/>
              <w:right w:val="single" w:sz="8" w:space="0" w:color="BFBFBF"/>
            </w:tcBorders>
            <w:shd w:val="clear" w:color="000000" w:fill="DCE6F1"/>
            <w:noWrap/>
            <w:vAlign w:val="center"/>
            <w:hideMark/>
          </w:tcPr>
          <w:p w14:paraId="2A0B1FB6"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51.145 </w:t>
            </w:r>
          </w:p>
        </w:tc>
        <w:tc>
          <w:tcPr>
            <w:tcW w:w="1340" w:type="dxa"/>
            <w:tcBorders>
              <w:top w:val="nil"/>
              <w:left w:val="nil"/>
              <w:bottom w:val="single" w:sz="8" w:space="0" w:color="BFBFBF"/>
              <w:right w:val="single" w:sz="8" w:space="0" w:color="BFBFBF"/>
            </w:tcBorders>
            <w:shd w:val="clear" w:color="auto" w:fill="auto"/>
            <w:noWrap/>
            <w:vAlign w:val="center"/>
            <w:hideMark/>
          </w:tcPr>
          <w:p w14:paraId="07CC406B"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42.684 </w:t>
            </w:r>
          </w:p>
        </w:tc>
      </w:tr>
      <w:tr w:rsidR="00E66C9A" w:rsidRPr="00426BBC" w14:paraId="459F01F4"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center"/>
            <w:hideMark/>
          </w:tcPr>
          <w:p w14:paraId="635B70A4" w14:textId="77777777" w:rsidR="00E66C9A" w:rsidRPr="00426BBC" w:rsidRDefault="00E66C9A" w:rsidP="001857FB">
            <w:pPr>
              <w:jc w:val="left"/>
              <w:rPr>
                <w:rFonts w:asciiTheme="minorHAnsi" w:hAnsiTheme="minorHAnsi" w:cstheme="minorHAnsi"/>
                <w:b/>
                <w:bCs/>
                <w:color w:val="595959"/>
                <w:sz w:val="20"/>
                <w:szCs w:val="20"/>
                <w:lang w:val="en-GB"/>
              </w:rPr>
            </w:pPr>
            <w:r w:rsidRPr="00426BBC">
              <w:rPr>
                <w:rFonts w:asciiTheme="minorHAnsi" w:hAnsiTheme="minorHAnsi" w:cstheme="minorHAnsi"/>
                <w:b/>
                <w:bCs/>
                <w:color w:val="595959"/>
                <w:sz w:val="20"/>
                <w:szCs w:val="20"/>
                <w:lang w:val="en-GB"/>
              </w:rPr>
              <w:t> </w:t>
            </w:r>
          </w:p>
        </w:tc>
        <w:tc>
          <w:tcPr>
            <w:tcW w:w="1340" w:type="dxa"/>
            <w:tcBorders>
              <w:top w:val="nil"/>
              <w:left w:val="nil"/>
              <w:bottom w:val="nil"/>
              <w:right w:val="single" w:sz="8" w:space="0" w:color="BFBFBF"/>
            </w:tcBorders>
            <w:shd w:val="clear" w:color="000000" w:fill="DCE6F1"/>
            <w:vAlign w:val="center"/>
            <w:hideMark/>
          </w:tcPr>
          <w:p w14:paraId="45FD24E9" w14:textId="77777777" w:rsidR="00E66C9A" w:rsidRPr="00426BBC" w:rsidRDefault="00E66C9A" w:rsidP="001857FB">
            <w:pPr>
              <w:jc w:val="righ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vAlign w:val="center"/>
            <w:hideMark/>
          </w:tcPr>
          <w:p w14:paraId="1B7DD69D" w14:textId="77777777" w:rsidR="00E66C9A" w:rsidRPr="00426BBC" w:rsidRDefault="00E66C9A" w:rsidP="001857FB">
            <w:pPr>
              <w:jc w:val="righ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4A23F587"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001ABAF9" w14:textId="77777777" w:rsidR="00E66C9A" w:rsidRPr="00426BBC" w:rsidRDefault="00E66C9A" w:rsidP="001857FB">
            <w:pPr>
              <w:jc w:val="left"/>
              <w:rPr>
                <w:rFonts w:asciiTheme="minorHAnsi" w:hAnsiTheme="minorHAnsi" w:cstheme="minorHAnsi"/>
                <w:b/>
                <w:bCs/>
                <w:i/>
                <w:iCs/>
                <w:color w:val="59595B"/>
                <w:sz w:val="20"/>
                <w:szCs w:val="20"/>
                <w:lang w:val="en-GB"/>
              </w:rPr>
            </w:pPr>
            <w:r w:rsidRPr="00426BBC">
              <w:rPr>
                <w:rFonts w:asciiTheme="minorHAnsi" w:hAnsiTheme="minorHAnsi" w:cstheme="minorHAnsi"/>
                <w:b/>
                <w:bCs/>
                <w:i/>
                <w:iCs/>
                <w:color w:val="59595B"/>
                <w:sz w:val="20"/>
                <w:szCs w:val="20"/>
                <w:lang w:val="en-GB"/>
              </w:rPr>
              <w:t>Non-cash adjustments:</w:t>
            </w:r>
          </w:p>
        </w:tc>
        <w:tc>
          <w:tcPr>
            <w:tcW w:w="1340" w:type="dxa"/>
            <w:tcBorders>
              <w:top w:val="nil"/>
              <w:left w:val="nil"/>
              <w:bottom w:val="nil"/>
              <w:right w:val="single" w:sz="8" w:space="0" w:color="BFBFBF"/>
            </w:tcBorders>
            <w:shd w:val="clear" w:color="000000" w:fill="DCE6F1"/>
            <w:vAlign w:val="bottom"/>
            <w:hideMark/>
          </w:tcPr>
          <w:p w14:paraId="1C8380F5"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vAlign w:val="bottom"/>
            <w:hideMark/>
          </w:tcPr>
          <w:p w14:paraId="7BF6E7B5"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14E58877"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608F0FBC"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Depreciation, amortisation, impairment</w:t>
            </w:r>
          </w:p>
        </w:tc>
        <w:tc>
          <w:tcPr>
            <w:tcW w:w="1340" w:type="dxa"/>
            <w:tcBorders>
              <w:top w:val="nil"/>
              <w:left w:val="nil"/>
              <w:bottom w:val="nil"/>
              <w:right w:val="single" w:sz="8" w:space="0" w:color="BFBFBF"/>
            </w:tcBorders>
            <w:shd w:val="clear" w:color="000000" w:fill="DCE6F1"/>
            <w:noWrap/>
            <w:vAlign w:val="bottom"/>
            <w:hideMark/>
          </w:tcPr>
          <w:p w14:paraId="6B5B9B6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5.092 </w:t>
            </w:r>
          </w:p>
        </w:tc>
        <w:tc>
          <w:tcPr>
            <w:tcW w:w="1340" w:type="dxa"/>
            <w:tcBorders>
              <w:top w:val="nil"/>
              <w:left w:val="nil"/>
              <w:bottom w:val="nil"/>
              <w:right w:val="single" w:sz="8" w:space="0" w:color="BFBFBF"/>
            </w:tcBorders>
            <w:shd w:val="clear" w:color="auto" w:fill="auto"/>
            <w:noWrap/>
            <w:vAlign w:val="bottom"/>
            <w:hideMark/>
          </w:tcPr>
          <w:p w14:paraId="3464AA4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5.281 </w:t>
            </w:r>
          </w:p>
        </w:tc>
      </w:tr>
      <w:tr w:rsidR="00E66C9A" w:rsidRPr="00426BBC" w14:paraId="0C092A9F"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44B0FDD2"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Accrued employee benefits</w:t>
            </w:r>
          </w:p>
        </w:tc>
        <w:tc>
          <w:tcPr>
            <w:tcW w:w="1340" w:type="dxa"/>
            <w:tcBorders>
              <w:top w:val="nil"/>
              <w:left w:val="nil"/>
              <w:bottom w:val="nil"/>
              <w:right w:val="single" w:sz="8" w:space="0" w:color="BFBFBF"/>
            </w:tcBorders>
            <w:shd w:val="clear" w:color="000000" w:fill="DCE6F1"/>
            <w:noWrap/>
            <w:vAlign w:val="bottom"/>
            <w:hideMark/>
          </w:tcPr>
          <w:p w14:paraId="55062AC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2.098 </w:t>
            </w:r>
          </w:p>
        </w:tc>
        <w:tc>
          <w:tcPr>
            <w:tcW w:w="1340" w:type="dxa"/>
            <w:tcBorders>
              <w:top w:val="nil"/>
              <w:left w:val="nil"/>
              <w:bottom w:val="nil"/>
              <w:right w:val="single" w:sz="8" w:space="0" w:color="BFBFBF"/>
            </w:tcBorders>
            <w:shd w:val="clear" w:color="auto" w:fill="auto"/>
            <w:noWrap/>
            <w:vAlign w:val="bottom"/>
            <w:hideMark/>
          </w:tcPr>
          <w:p w14:paraId="68A48ED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794 </w:t>
            </w:r>
          </w:p>
        </w:tc>
      </w:tr>
      <w:tr w:rsidR="00E66C9A" w:rsidRPr="00426BBC" w14:paraId="3DF2FCCC"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56B4DF0A"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Release contract liabilities</w:t>
            </w:r>
          </w:p>
        </w:tc>
        <w:tc>
          <w:tcPr>
            <w:tcW w:w="1340" w:type="dxa"/>
            <w:tcBorders>
              <w:top w:val="nil"/>
              <w:left w:val="nil"/>
              <w:bottom w:val="nil"/>
              <w:right w:val="single" w:sz="8" w:space="0" w:color="BFBFBF"/>
            </w:tcBorders>
            <w:shd w:val="clear" w:color="000000" w:fill="DCE6F1"/>
            <w:noWrap/>
            <w:vAlign w:val="bottom"/>
            <w:hideMark/>
          </w:tcPr>
          <w:p w14:paraId="73DD753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c>
          <w:tcPr>
            <w:tcW w:w="1340" w:type="dxa"/>
            <w:tcBorders>
              <w:top w:val="nil"/>
              <w:left w:val="nil"/>
              <w:bottom w:val="nil"/>
              <w:right w:val="single" w:sz="8" w:space="0" w:color="BFBFBF"/>
            </w:tcBorders>
            <w:shd w:val="clear" w:color="auto" w:fill="auto"/>
            <w:noWrap/>
            <w:vAlign w:val="bottom"/>
            <w:hideMark/>
          </w:tcPr>
          <w:p w14:paraId="11E5F4F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(600)</w:t>
            </w:r>
          </w:p>
        </w:tc>
      </w:tr>
      <w:tr w:rsidR="00E66C9A" w:rsidRPr="00426BBC" w14:paraId="77301308"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2DD8F4E1"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Operating cash flows before changes in working capital</w:t>
            </w:r>
          </w:p>
        </w:tc>
        <w:tc>
          <w:tcPr>
            <w:tcW w:w="1340" w:type="dxa"/>
            <w:tcBorders>
              <w:top w:val="nil"/>
              <w:left w:val="nil"/>
              <w:bottom w:val="nil"/>
              <w:right w:val="single" w:sz="8" w:space="0" w:color="BFBFBF"/>
            </w:tcBorders>
            <w:shd w:val="clear" w:color="000000" w:fill="DCE6F1"/>
            <w:noWrap/>
            <w:vAlign w:val="bottom"/>
            <w:hideMark/>
          </w:tcPr>
          <w:p w14:paraId="77371C40"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58.335 </w:t>
            </w:r>
          </w:p>
        </w:tc>
        <w:tc>
          <w:tcPr>
            <w:tcW w:w="1340" w:type="dxa"/>
            <w:tcBorders>
              <w:top w:val="nil"/>
              <w:left w:val="nil"/>
              <w:bottom w:val="nil"/>
              <w:right w:val="single" w:sz="8" w:space="0" w:color="BFBFBF"/>
            </w:tcBorders>
            <w:shd w:val="clear" w:color="auto" w:fill="auto"/>
            <w:noWrap/>
            <w:vAlign w:val="bottom"/>
            <w:hideMark/>
          </w:tcPr>
          <w:p w14:paraId="1843AC27"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48.159 </w:t>
            </w:r>
          </w:p>
        </w:tc>
      </w:tr>
      <w:tr w:rsidR="00E66C9A" w:rsidRPr="00426BBC" w14:paraId="4CCAA346"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0A5702F6"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47193DF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2E6AA86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A61BCEB"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14E68EF2" w14:textId="77777777" w:rsidR="00E66C9A" w:rsidRPr="00426BBC" w:rsidRDefault="00E66C9A" w:rsidP="001857FB">
            <w:pPr>
              <w:jc w:val="left"/>
              <w:rPr>
                <w:rFonts w:asciiTheme="minorHAnsi" w:hAnsiTheme="minorHAnsi" w:cstheme="minorHAnsi"/>
                <w:b/>
                <w:bCs/>
                <w:i/>
                <w:iCs/>
                <w:color w:val="59595B"/>
                <w:sz w:val="20"/>
                <w:szCs w:val="20"/>
                <w:lang w:val="en-GB"/>
              </w:rPr>
            </w:pPr>
            <w:r w:rsidRPr="00426BBC">
              <w:rPr>
                <w:rFonts w:asciiTheme="minorHAnsi" w:hAnsiTheme="minorHAnsi" w:cstheme="minorHAnsi"/>
                <w:b/>
                <w:bCs/>
                <w:i/>
                <w:iCs/>
                <w:color w:val="59595B"/>
                <w:sz w:val="20"/>
                <w:szCs w:val="20"/>
                <w:lang w:val="en-GB"/>
              </w:rPr>
              <w:t>Changes in working capital:</w:t>
            </w:r>
          </w:p>
        </w:tc>
        <w:tc>
          <w:tcPr>
            <w:tcW w:w="1340" w:type="dxa"/>
            <w:tcBorders>
              <w:top w:val="nil"/>
              <w:left w:val="nil"/>
              <w:bottom w:val="nil"/>
              <w:right w:val="single" w:sz="8" w:space="0" w:color="BFBFBF"/>
            </w:tcBorders>
            <w:shd w:val="clear" w:color="000000" w:fill="DCE6F1"/>
            <w:noWrap/>
            <w:vAlign w:val="bottom"/>
            <w:hideMark/>
          </w:tcPr>
          <w:p w14:paraId="6C069D9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54D7EB1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39CBAE4"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12998A18"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Inventories</w:t>
            </w:r>
          </w:p>
        </w:tc>
        <w:tc>
          <w:tcPr>
            <w:tcW w:w="1340" w:type="dxa"/>
            <w:tcBorders>
              <w:top w:val="nil"/>
              <w:left w:val="nil"/>
              <w:bottom w:val="nil"/>
              <w:right w:val="single" w:sz="8" w:space="0" w:color="BFBFBF"/>
            </w:tcBorders>
            <w:shd w:val="clear" w:color="000000" w:fill="DCE6F1"/>
            <w:noWrap/>
            <w:vAlign w:val="bottom"/>
            <w:hideMark/>
          </w:tcPr>
          <w:p w14:paraId="275384F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(1.915)</w:t>
            </w:r>
          </w:p>
        </w:tc>
        <w:tc>
          <w:tcPr>
            <w:tcW w:w="1340" w:type="dxa"/>
            <w:tcBorders>
              <w:top w:val="nil"/>
              <w:left w:val="nil"/>
              <w:bottom w:val="nil"/>
              <w:right w:val="single" w:sz="8" w:space="0" w:color="BFBFBF"/>
            </w:tcBorders>
            <w:shd w:val="clear" w:color="auto" w:fill="auto"/>
            <w:noWrap/>
            <w:vAlign w:val="bottom"/>
            <w:hideMark/>
          </w:tcPr>
          <w:p w14:paraId="4A211E8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5.779 </w:t>
            </w:r>
          </w:p>
        </w:tc>
      </w:tr>
      <w:tr w:rsidR="00E66C9A" w:rsidRPr="00426BBC" w14:paraId="0D1F9A16"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5EBAB037"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Trade and other receivables</w:t>
            </w:r>
          </w:p>
        </w:tc>
        <w:tc>
          <w:tcPr>
            <w:tcW w:w="1340" w:type="dxa"/>
            <w:tcBorders>
              <w:top w:val="nil"/>
              <w:left w:val="nil"/>
              <w:bottom w:val="nil"/>
              <w:right w:val="single" w:sz="8" w:space="0" w:color="BFBFBF"/>
            </w:tcBorders>
            <w:shd w:val="clear" w:color="000000" w:fill="DCE6F1"/>
            <w:noWrap/>
            <w:vAlign w:val="bottom"/>
            <w:hideMark/>
          </w:tcPr>
          <w:p w14:paraId="3B0723B2" w14:textId="5054E30A"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w:t>
            </w:r>
            <w:r w:rsidR="007C186D" w:rsidRPr="00426BBC">
              <w:rPr>
                <w:rFonts w:asciiTheme="minorHAnsi" w:hAnsiTheme="minorHAnsi" w:cstheme="minorHAnsi"/>
                <w:color w:val="808080"/>
                <w:sz w:val="20"/>
                <w:szCs w:val="20"/>
                <w:lang w:val="en-GB"/>
              </w:rPr>
              <w:t>709</w:t>
            </w:r>
            <w:r w:rsidRPr="00426BBC">
              <w:rPr>
                <w:rFonts w:asciiTheme="minorHAnsi" w:hAnsiTheme="minorHAnsi" w:cstheme="minorHAnsi"/>
                <w:color w:val="808080"/>
                <w:sz w:val="20"/>
                <w:szCs w:val="20"/>
                <w:lang w:val="en-GB"/>
              </w:rPr>
              <w:t>)</w:t>
            </w:r>
          </w:p>
        </w:tc>
        <w:tc>
          <w:tcPr>
            <w:tcW w:w="1340" w:type="dxa"/>
            <w:tcBorders>
              <w:top w:val="nil"/>
              <w:left w:val="nil"/>
              <w:bottom w:val="nil"/>
              <w:right w:val="single" w:sz="8" w:space="0" w:color="BFBFBF"/>
            </w:tcBorders>
            <w:shd w:val="clear" w:color="auto" w:fill="auto"/>
            <w:noWrap/>
            <w:vAlign w:val="bottom"/>
            <w:hideMark/>
          </w:tcPr>
          <w:p w14:paraId="1BF124D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(9.740)</w:t>
            </w:r>
          </w:p>
        </w:tc>
      </w:tr>
      <w:tr w:rsidR="00E66C9A" w:rsidRPr="00426BBC" w14:paraId="681EA536"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1066FE22"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Payables and other current liabilities</w:t>
            </w:r>
          </w:p>
        </w:tc>
        <w:tc>
          <w:tcPr>
            <w:tcW w:w="1340" w:type="dxa"/>
            <w:tcBorders>
              <w:top w:val="nil"/>
              <w:left w:val="nil"/>
              <w:bottom w:val="nil"/>
              <w:right w:val="single" w:sz="8" w:space="0" w:color="BFBFBF"/>
            </w:tcBorders>
            <w:shd w:val="clear" w:color="000000" w:fill="DCE6F1"/>
            <w:noWrap/>
            <w:vAlign w:val="bottom"/>
            <w:hideMark/>
          </w:tcPr>
          <w:p w14:paraId="5A302469" w14:textId="6396E141"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w:t>
            </w:r>
            <w:r w:rsidR="007C186D" w:rsidRPr="00426BBC">
              <w:rPr>
                <w:rFonts w:asciiTheme="minorHAnsi" w:hAnsiTheme="minorHAnsi" w:cstheme="minorHAnsi"/>
                <w:color w:val="808080"/>
                <w:sz w:val="20"/>
                <w:szCs w:val="20"/>
                <w:lang w:val="en-GB"/>
              </w:rPr>
              <w:t>1.755</w:t>
            </w:r>
            <w:r w:rsidRPr="00426BBC">
              <w:rPr>
                <w:rFonts w:asciiTheme="minorHAnsi" w:hAnsiTheme="minorHAnsi" w:cstheme="minorHAnsi"/>
                <w:color w:val="808080"/>
                <w:sz w:val="20"/>
                <w:szCs w:val="20"/>
                <w:lang w:val="en-GB"/>
              </w:rPr>
              <w:t>)</w:t>
            </w:r>
          </w:p>
        </w:tc>
        <w:tc>
          <w:tcPr>
            <w:tcW w:w="1340" w:type="dxa"/>
            <w:tcBorders>
              <w:top w:val="nil"/>
              <w:left w:val="nil"/>
              <w:bottom w:val="nil"/>
              <w:right w:val="single" w:sz="8" w:space="0" w:color="BFBFBF"/>
            </w:tcBorders>
            <w:shd w:val="clear" w:color="auto" w:fill="auto"/>
            <w:noWrap/>
            <w:vAlign w:val="bottom"/>
            <w:hideMark/>
          </w:tcPr>
          <w:p w14:paraId="03F1A39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4.882 </w:t>
            </w:r>
          </w:p>
        </w:tc>
      </w:tr>
      <w:tr w:rsidR="00E66C9A" w:rsidRPr="00426BBC" w14:paraId="78420C1F" w14:textId="77777777" w:rsidTr="001857FB">
        <w:trPr>
          <w:trHeight w:val="238"/>
        </w:trPr>
        <w:tc>
          <w:tcPr>
            <w:tcW w:w="5920" w:type="dxa"/>
            <w:tcBorders>
              <w:top w:val="nil"/>
              <w:left w:val="single" w:sz="8" w:space="0" w:color="BFBFBF"/>
              <w:bottom w:val="nil"/>
              <w:right w:val="single" w:sz="8" w:space="0" w:color="BFBFBF"/>
            </w:tcBorders>
            <w:shd w:val="clear" w:color="auto" w:fill="auto"/>
            <w:noWrap/>
            <w:vAlign w:val="bottom"/>
            <w:hideMark/>
          </w:tcPr>
          <w:p w14:paraId="7AB4E706"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Total changes in working capital</w:t>
            </w:r>
          </w:p>
        </w:tc>
        <w:tc>
          <w:tcPr>
            <w:tcW w:w="1340" w:type="dxa"/>
            <w:tcBorders>
              <w:top w:val="nil"/>
              <w:left w:val="nil"/>
              <w:bottom w:val="nil"/>
              <w:right w:val="single" w:sz="8" w:space="0" w:color="BFBFBF"/>
            </w:tcBorders>
            <w:shd w:val="clear" w:color="000000" w:fill="DCE6F1"/>
            <w:noWrap/>
            <w:vAlign w:val="bottom"/>
            <w:hideMark/>
          </w:tcPr>
          <w:p w14:paraId="090FCC4A" w14:textId="2E4C66A9"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w:t>
            </w:r>
            <w:r w:rsidR="007C186D" w:rsidRPr="00426BBC">
              <w:rPr>
                <w:rFonts w:asciiTheme="minorHAnsi" w:hAnsiTheme="minorHAnsi" w:cstheme="minorHAnsi"/>
                <w:b/>
                <w:bCs/>
                <w:color w:val="808080"/>
                <w:sz w:val="20"/>
                <w:szCs w:val="20"/>
                <w:lang w:val="en-GB"/>
              </w:rPr>
              <w:t>379</w:t>
            </w:r>
            <w:r w:rsidRPr="00426BBC">
              <w:rPr>
                <w:rFonts w:asciiTheme="minorHAnsi" w:hAnsiTheme="minorHAnsi" w:cstheme="minorHAnsi"/>
                <w:b/>
                <w:bCs/>
                <w:color w:val="808080"/>
                <w:sz w:val="20"/>
                <w:szCs w:val="20"/>
                <w:lang w:val="en-GB"/>
              </w:rPr>
              <w:t>)</w:t>
            </w:r>
          </w:p>
        </w:tc>
        <w:tc>
          <w:tcPr>
            <w:tcW w:w="1340" w:type="dxa"/>
            <w:tcBorders>
              <w:top w:val="nil"/>
              <w:left w:val="nil"/>
              <w:bottom w:val="nil"/>
              <w:right w:val="single" w:sz="8" w:space="0" w:color="BFBFBF"/>
            </w:tcBorders>
            <w:shd w:val="clear" w:color="auto" w:fill="auto"/>
            <w:noWrap/>
            <w:vAlign w:val="bottom"/>
            <w:hideMark/>
          </w:tcPr>
          <w:p w14:paraId="3E1CF725"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921 </w:t>
            </w:r>
          </w:p>
        </w:tc>
      </w:tr>
      <w:tr w:rsidR="00E66C9A" w:rsidRPr="00426BBC" w14:paraId="4D91BD1C" w14:textId="77777777" w:rsidTr="001857FB">
        <w:trPr>
          <w:trHeight w:val="238"/>
        </w:trPr>
        <w:tc>
          <w:tcPr>
            <w:tcW w:w="5920" w:type="dxa"/>
            <w:tcBorders>
              <w:top w:val="nil"/>
              <w:left w:val="single" w:sz="8" w:space="0" w:color="BFBFBF"/>
              <w:bottom w:val="nil"/>
              <w:right w:val="single" w:sz="8" w:space="0" w:color="BFBFBF"/>
            </w:tcBorders>
            <w:shd w:val="clear" w:color="auto" w:fill="auto"/>
            <w:noWrap/>
            <w:vAlign w:val="bottom"/>
            <w:hideMark/>
          </w:tcPr>
          <w:p w14:paraId="18D7FE9F"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314FC8E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5CDAB65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2D5FFA31"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6B10BA07"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Changes in non-current assets, liabilities and equity</w:t>
            </w:r>
          </w:p>
        </w:tc>
        <w:tc>
          <w:tcPr>
            <w:tcW w:w="1340" w:type="dxa"/>
            <w:tcBorders>
              <w:top w:val="nil"/>
              <w:left w:val="nil"/>
              <w:bottom w:val="nil"/>
              <w:right w:val="single" w:sz="8" w:space="0" w:color="BFBFBF"/>
            </w:tcBorders>
            <w:shd w:val="clear" w:color="000000" w:fill="DCE6F1"/>
            <w:noWrap/>
            <w:vAlign w:val="bottom"/>
            <w:hideMark/>
          </w:tcPr>
          <w:p w14:paraId="7BBD9D18" w14:textId="440B3863"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w:t>
            </w:r>
            <w:r w:rsidR="007C186D" w:rsidRPr="00426BBC">
              <w:rPr>
                <w:rFonts w:asciiTheme="minorHAnsi" w:hAnsiTheme="minorHAnsi" w:cstheme="minorHAnsi"/>
                <w:color w:val="808080"/>
                <w:sz w:val="20"/>
                <w:szCs w:val="20"/>
                <w:lang w:val="en-GB"/>
              </w:rPr>
              <w:t>20</w:t>
            </w:r>
            <w:r w:rsidRPr="00426BBC">
              <w:rPr>
                <w:rFonts w:asciiTheme="minorHAnsi" w:hAnsiTheme="minorHAnsi" w:cstheme="minorHAnsi"/>
                <w:color w:val="808080"/>
                <w:sz w:val="20"/>
                <w:szCs w:val="20"/>
                <w:lang w:val="en-GB"/>
              </w:rPr>
              <w:t xml:space="preserve">8 </w:t>
            </w:r>
          </w:p>
        </w:tc>
        <w:tc>
          <w:tcPr>
            <w:tcW w:w="1340" w:type="dxa"/>
            <w:tcBorders>
              <w:top w:val="nil"/>
              <w:left w:val="nil"/>
              <w:bottom w:val="nil"/>
              <w:right w:val="single" w:sz="8" w:space="0" w:color="BFBFBF"/>
            </w:tcBorders>
            <w:shd w:val="clear" w:color="auto" w:fill="auto"/>
            <w:noWrap/>
            <w:vAlign w:val="bottom"/>
            <w:hideMark/>
          </w:tcPr>
          <w:p w14:paraId="344099F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(1.354)</w:t>
            </w:r>
          </w:p>
        </w:tc>
      </w:tr>
      <w:tr w:rsidR="00E66C9A" w:rsidRPr="00426BBC" w14:paraId="3ACC4FED"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560DF2A1"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7021F99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6271977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50916F0D"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4B230A91"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Cash generated from (used in) operations before interest and taxes</w:t>
            </w:r>
          </w:p>
        </w:tc>
        <w:tc>
          <w:tcPr>
            <w:tcW w:w="1340" w:type="dxa"/>
            <w:tcBorders>
              <w:top w:val="nil"/>
              <w:left w:val="nil"/>
              <w:bottom w:val="nil"/>
              <w:right w:val="single" w:sz="8" w:space="0" w:color="BFBFBF"/>
            </w:tcBorders>
            <w:shd w:val="clear" w:color="000000" w:fill="DCE6F1"/>
            <w:noWrap/>
            <w:vAlign w:val="bottom"/>
            <w:hideMark/>
          </w:tcPr>
          <w:p w14:paraId="1A5943DB"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56.164 </w:t>
            </w:r>
          </w:p>
        </w:tc>
        <w:tc>
          <w:tcPr>
            <w:tcW w:w="1340" w:type="dxa"/>
            <w:tcBorders>
              <w:top w:val="nil"/>
              <w:left w:val="nil"/>
              <w:bottom w:val="nil"/>
              <w:right w:val="single" w:sz="8" w:space="0" w:color="BFBFBF"/>
            </w:tcBorders>
            <w:shd w:val="clear" w:color="auto" w:fill="auto"/>
            <w:noWrap/>
            <w:vAlign w:val="bottom"/>
            <w:hideMark/>
          </w:tcPr>
          <w:p w14:paraId="6D8CE09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47.726 </w:t>
            </w:r>
          </w:p>
        </w:tc>
      </w:tr>
      <w:tr w:rsidR="00E66C9A" w:rsidRPr="00426BBC" w14:paraId="55284693"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765E3058"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16718C0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1D154C9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31EA08E2"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052849B3"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Interest received</w:t>
            </w:r>
          </w:p>
        </w:tc>
        <w:tc>
          <w:tcPr>
            <w:tcW w:w="1340" w:type="dxa"/>
            <w:tcBorders>
              <w:top w:val="nil"/>
              <w:left w:val="nil"/>
              <w:bottom w:val="nil"/>
              <w:right w:val="single" w:sz="8" w:space="0" w:color="BFBFBF"/>
            </w:tcBorders>
            <w:shd w:val="clear" w:color="000000" w:fill="DCE6F1"/>
            <w:noWrap/>
            <w:vAlign w:val="bottom"/>
            <w:hideMark/>
          </w:tcPr>
          <w:p w14:paraId="75A018C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581 </w:t>
            </w:r>
          </w:p>
        </w:tc>
        <w:tc>
          <w:tcPr>
            <w:tcW w:w="1340" w:type="dxa"/>
            <w:tcBorders>
              <w:top w:val="nil"/>
              <w:left w:val="nil"/>
              <w:bottom w:val="nil"/>
              <w:right w:val="single" w:sz="8" w:space="0" w:color="BFBFBF"/>
            </w:tcBorders>
            <w:shd w:val="clear" w:color="auto" w:fill="auto"/>
            <w:noWrap/>
            <w:vAlign w:val="bottom"/>
            <w:hideMark/>
          </w:tcPr>
          <w:p w14:paraId="19E2EEA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801 </w:t>
            </w:r>
          </w:p>
        </w:tc>
      </w:tr>
      <w:tr w:rsidR="00E66C9A" w:rsidRPr="00426BBC" w14:paraId="17CE8A6D"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7A6390E0"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Income taxes paid</w:t>
            </w:r>
          </w:p>
        </w:tc>
        <w:tc>
          <w:tcPr>
            <w:tcW w:w="1340" w:type="dxa"/>
            <w:tcBorders>
              <w:top w:val="nil"/>
              <w:left w:val="nil"/>
              <w:bottom w:val="nil"/>
              <w:right w:val="single" w:sz="8" w:space="0" w:color="BFBFBF"/>
            </w:tcBorders>
            <w:shd w:val="clear" w:color="000000" w:fill="DCE6F1"/>
            <w:noWrap/>
            <w:vAlign w:val="bottom"/>
            <w:hideMark/>
          </w:tcPr>
          <w:p w14:paraId="58B9EC3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(2.431)</w:t>
            </w:r>
          </w:p>
        </w:tc>
        <w:tc>
          <w:tcPr>
            <w:tcW w:w="1340" w:type="dxa"/>
            <w:tcBorders>
              <w:top w:val="nil"/>
              <w:left w:val="nil"/>
              <w:bottom w:val="nil"/>
              <w:right w:val="single" w:sz="8" w:space="0" w:color="BFBFBF"/>
            </w:tcBorders>
            <w:shd w:val="clear" w:color="auto" w:fill="auto"/>
            <w:noWrap/>
            <w:vAlign w:val="bottom"/>
            <w:hideMark/>
          </w:tcPr>
          <w:p w14:paraId="6FA7EA2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(1.278)</w:t>
            </w:r>
          </w:p>
        </w:tc>
      </w:tr>
      <w:tr w:rsidR="00E66C9A" w:rsidRPr="00426BBC" w14:paraId="0D0F288B"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69A12A2C"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single" w:sz="8" w:space="0" w:color="BFBFBF"/>
              <w:right w:val="single" w:sz="8" w:space="0" w:color="BFBFBF"/>
            </w:tcBorders>
            <w:shd w:val="clear" w:color="000000" w:fill="DCE6F1"/>
            <w:noWrap/>
            <w:vAlign w:val="bottom"/>
            <w:hideMark/>
          </w:tcPr>
          <w:p w14:paraId="66DBCB2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single" w:sz="8" w:space="0" w:color="BFBFBF"/>
              <w:right w:val="single" w:sz="8" w:space="0" w:color="BFBFBF"/>
            </w:tcBorders>
            <w:shd w:val="clear" w:color="auto" w:fill="auto"/>
            <w:noWrap/>
            <w:vAlign w:val="bottom"/>
            <w:hideMark/>
          </w:tcPr>
          <w:p w14:paraId="190C6F1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503777E3" w14:textId="77777777" w:rsidTr="001857FB">
        <w:trPr>
          <w:trHeight w:val="238"/>
        </w:trPr>
        <w:tc>
          <w:tcPr>
            <w:tcW w:w="592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199305C9"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Net cash flows generated from (used in) operating activities</w:t>
            </w:r>
          </w:p>
        </w:tc>
        <w:tc>
          <w:tcPr>
            <w:tcW w:w="1340" w:type="dxa"/>
            <w:tcBorders>
              <w:top w:val="nil"/>
              <w:left w:val="nil"/>
              <w:bottom w:val="nil"/>
              <w:right w:val="single" w:sz="8" w:space="0" w:color="BFBFBF"/>
            </w:tcBorders>
            <w:shd w:val="clear" w:color="000000" w:fill="DCE6F1"/>
            <w:noWrap/>
            <w:vAlign w:val="center"/>
            <w:hideMark/>
          </w:tcPr>
          <w:p w14:paraId="3851A6B8"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54.314 </w:t>
            </w:r>
          </w:p>
        </w:tc>
        <w:tc>
          <w:tcPr>
            <w:tcW w:w="1340" w:type="dxa"/>
            <w:tcBorders>
              <w:top w:val="nil"/>
              <w:left w:val="nil"/>
              <w:bottom w:val="nil"/>
              <w:right w:val="single" w:sz="8" w:space="0" w:color="BFBFBF"/>
            </w:tcBorders>
            <w:shd w:val="clear" w:color="auto" w:fill="auto"/>
            <w:noWrap/>
            <w:vAlign w:val="center"/>
            <w:hideMark/>
          </w:tcPr>
          <w:p w14:paraId="2F75AB40"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47.249 </w:t>
            </w:r>
          </w:p>
        </w:tc>
      </w:tr>
      <w:tr w:rsidR="00E66C9A" w:rsidRPr="00426BBC" w14:paraId="52203608"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7AFF1DCC"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c>
          <w:tcPr>
            <w:tcW w:w="1340" w:type="dxa"/>
            <w:tcBorders>
              <w:top w:val="single" w:sz="8" w:space="0" w:color="BFBFBF"/>
              <w:left w:val="single" w:sz="8" w:space="0" w:color="BFBFBF"/>
              <w:bottom w:val="nil"/>
              <w:right w:val="single" w:sz="8" w:space="0" w:color="BFBFBF"/>
            </w:tcBorders>
            <w:shd w:val="clear" w:color="000000" w:fill="DCE6F1"/>
            <w:noWrap/>
            <w:vAlign w:val="bottom"/>
            <w:hideMark/>
          </w:tcPr>
          <w:p w14:paraId="28270F40"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c>
          <w:tcPr>
            <w:tcW w:w="1340" w:type="dxa"/>
            <w:tcBorders>
              <w:top w:val="single" w:sz="8" w:space="0" w:color="BFBFBF"/>
              <w:left w:val="nil"/>
              <w:bottom w:val="nil"/>
              <w:right w:val="single" w:sz="8" w:space="0" w:color="BFBFBF"/>
            </w:tcBorders>
            <w:shd w:val="clear" w:color="auto" w:fill="auto"/>
            <w:noWrap/>
            <w:vAlign w:val="bottom"/>
            <w:hideMark/>
          </w:tcPr>
          <w:p w14:paraId="7D80D2B4"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r>
      <w:tr w:rsidR="00E66C9A" w:rsidRPr="00426BBC" w14:paraId="7DBE0068"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38C5A773"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Capital expenditure for property, plant and equipment</w:t>
            </w:r>
          </w:p>
        </w:tc>
        <w:tc>
          <w:tcPr>
            <w:tcW w:w="1340" w:type="dxa"/>
            <w:tcBorders>
              <w:top w:val="nil"/>
              <w:left w:val="single" w:sz="8" w:space="0" w:color="BFBFBF"/>
              <w:bottom w:val="nil"/>
              <w:right w:val="single" w:sz="8" w:space="0" w:color="BFBFBF"/>
            </w:tcBorders>
            <w:shd w:val="clear" w:color="000000" w:fill="DCE6F1"/>
            <w:noWrap/>
            <w:vAlign w:val="bottom"/>
            <w:hideMark/>
          </w:tcPr>
          <w:p w14:paraId="11B5B8C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(1.376)</w:t>
            </w:r>
          </w:p>
        </w:tc>
        <w:tc>
          <w:tcPr>
            <w:tcW w:w="1340" w:type="dxa"/>
            <w:tcBorders>
              <w:top w:val="nil"/>
              <w:left w:val="nil"/>
              <w:bottom w:val="nil"/>
              <w:right w:val="single" w:sz="8" w:space="0" w:color="BFBFBF"/>
            </w:tcBorders>
            <w:shd w:val="clear" w:color="auto" w:fill="auto"/>
            <w:noWrap/>
            <w:vAlign w:val="bottom"/>
            <w:hideMark/>
          </w:tcPr>
          <w:p w14:paraId="037D6CA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(1.724)</w:t>
            </w:r>
          </w:p>
        </w:tc>
      </w:tr>
      <w:tr w:rsidR="00E66C9A" w:rsidRPr="00426BBC" w14:paraId="7FEFB137"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7D228964"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Investment intangible assets</w:t>
            </w:r>
          </w:p>
        </w:tc>
        <w:tc>
          <w:tcPr>
            <w:tcW w:w="1340" w:type="dxa"/>
            <w:tcBorders>
              <w:top w:val="nil"/>
              <w:left w:val="single" w:sz="8" w:space="0" w:color="BFBFBF"/>
              <w:bottom w:val="nil"/>
              <w:right w:val="single" w:sz="8" w:space="0" w:color="BFBFBF"/>
            </w:tcBorders>
            <w:shd w:val="clear" w:color="000000" w:fill="DCE6F1"/>
            <w:noWrap/>
            <w:vAlign w:val="bottom"/>
            <w:hideMark/>
          </w:tcPr>
          <w:p w14:paraId="30FDCC0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(332)</w:t>
            </w:r>
          </w:p>
        </w:tc>
        <w:tc>
          <w:tcPr>
            <w:tcW w:w="1340" w:type="dxa"/>
            <w:tcBorders>
              <w:top w:val="nil"/>
              <w:left w:val="nil"/>
              <w:bottom w:val="nil"/>
              <w:right w:val="single" w:sz="8" w:space="0" w:color="BFBFBF"/>
            </w:tcBorders>
            <w:shd w:val="clear" w:color="auto" w:fill="auto"/>
            <w:noWrap/>
            <w:vAlign w:val="bottom"/>
            <w:hideMark/>
          </w:tcPr>
          <w:p w14:paraId="1388BE0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(623)</w:t>
            </w:r>
          </w:p>
        </w:tc>
      </w:tr>
      <w:tr w:rsidR="00E66C9A" w:rsidRPr="00426BBC" w14:paraId="138730F3"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296E8989"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Investment in associates</w:t>
            </w:r>
          </w:p>
        </w:tc>
        <w:tc>
          <w:tcPr>
            <w:tcW w:w="1340" w:type="dxa"/>
            <w:tcBorders>
              <w:top w:val="nil"/>
              <w:left w:val="single" w:sz="8" w:space="0" w:color="BFBFBF"/>
              <w:bottom w:val="nil"/>
              <w:right w:val="single" w:sz="8" w:space="0" w:color="BFBFBF"/>
            </w:tcBorders>
            <w:shd w:val="clear" w:color="000000" w:fill="DCE6F1"/>
            <w:noWrap/>
            <w:vAlign w:val="bottom"/>
            <w:hideMark/>
          </w:tcPr>
          <w:p w14:paraId="109F1EA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43684E0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(2.503)</w:t>
            </w:r>
          </w:p>
        </w:tc>
      </w:tr>
      <w:tr w:rsidR="00E66C9A" w:rsidRPr="00426BBC" w14:paraId="0330FD1D"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446DA727"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Acquisition of license</w:t>
            </w:r>
          </w:p>
        </w:tc>
        <w:tc>
          <w:tcPr>
            <w:tcW w:w="1340" w:type="dxa"/>
            <w:tcBorders>
              <w:top w:val="nil"/>
              <w:left w:val="single" w:sz="8" w:space="0" w:color="BFBFBF"/>
              <w:bottom w:val="nil"/>
              <w:right w:val="single" w:sz="8" w:space="0" w:color="BFBFBF"/>
            </w:tcBorders>
            <w:shd w:val="clear" w:color="000000" w:fill="DCE6F1"/>
            <w:noWrap/>
            <w:vAlign w:val="bottom"/>
            <w:hideMark/>
          </w:tcPr>
          <w:p w14:paraId="3DB26AF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(8.447)</w:t>
            </w:r>
          </w:p>
        </w:tc>
        <w:tc>
          <w:tcPr>
            <w:tcW w:w="1340" w:type="dxa"/>
            <w:tcBorders>
              <w:top w:val="nil"/>
              <w:left w:val="nil"/>
              <w:bottom w:val="nil"/>
              <w:right w:val="single" w:sz="8" w:space="0" w:color="BFBFBF"/>
            </w:tcBorders>
            <w:shd w:val="clear" w:color="auto" w:fill="auto"/>
            <w:noWrap/>
            <w:vAlign w:val="bottom"/>
            <w:hideMark/>
          </w:tcPr>
          <w:p w14:paraId="00BD8F5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(17.908)</w:t>
            </w:r>
          </w:p>
        </w:tc>
      </w:tr>
      <w:tr w:rsidR="00E66C9A" w:rsidRPr="00426BBC" w14:paraId="10B3BC11"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096AE25C"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single" w:sz="8" w:space="0" w:color="BFBFBF"/>
              <w:bottom w:val="single" w:sz="8" w:space="0" w:color="BFBFBF"/>
              <w:right w:val="single" w:sz="8" w:space="0" w:color="BFBFBF"/>
            </w:tcBorders>
            <w:shd w:val="clear" w:color="000000" w:fill="DCE6F1"/>
            <w:noWrap/>
            <w:vAlign w:val="bottom"/>
            <w:hideMark/>
          </w:tcPr>
          <w:p w14:paraId="647A9176"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4D2B499C"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5E1AAAAC" w14:textId="77777777" w:rsidTr="001857FB">
        <w:trPr>
          <w:trHeight w:val="238"/>
        </w:trPr>
        <w:tc>
          <w:tcPr>
            <w:tcW w:w="592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5A429C36"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Net cash flows used in investing activities</w:t>
            </w:r>
          </w:p>
        </w:tc>
        <w:tc>
          <w:tcPr>
            <w:tcW w:w="1340" w:type="dxa"/>
            <w:tcBorders>
              <w:top w:val="nil"/>
              <w:left w:val="nil"/>
              <w:bottom w:val="single" w:sz="8" w:space="0" w:color="BFBFBF"/>
              <w:right w:val="single" w:sz="8" w:space="0" w:color="BFBFBF"/>
            </w:tcBorders>
            <w:shd w:val="clear" w:color="000000" w:fill="DCE6F1"/>
            <w:noWrap/>
            <w:vAlign w:val="center"/>
            <w:hideMark/>
          </w:tcPr>
          <w:p w14:paraId="486F9AC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(10.155)</w:t>
            </w:r>
          </w:p>
        </w:tc>
        <w:tc>
          <w:tcPr>
            <w:tcW w:w="1340" w:type="dxa"/>
            <w:tcBorders>
              <w:top w:val="single" w:sz="8" w:space="0" w:color="BFBFBF"/>
              <w:left w:val="nil"/>
              <w:bottom w:val="single" w:sz="8" w:space="0" w:color="BFBFBF"/>
              <w:right w:val="single" w:sz="8" w:space="0" w:color="BFBFBF"/>
            </w:tcBorders>
            <w:shd w:val="clear" w:color="auto" w:fill="auto"/>
            <w:noWrap/>
            <w:vAlign w:val="center"/>
            <w:hideMark/>
          </w:tcPr>
          <w:p w14:paraId="7C90E7D4"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(22.758)</w:t>
            </w:r>
          </w:p>
        </w:tc>
      </w:tr>
      <w:tr w:rsidR="00E66C9A" w:rsidRPr="00426BBC" w14:paraId="2CD2C351"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40126FA9"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c>
          <w:tcPr>
            <w:tcW w:w="1340" w:type="dxa"/>
            <w:tcBorders>
              <w:top w:val="nil"/>
              <w:left w:val="single" w:sz="8" w:space="0" w:color="BFBFBF"/>
              <w:bottom w:val="nil"/>
              <w:right w:val="single" w:sz="8" w:space="0" w:color="BFBFBF"/>
            </w:tcBorders>
            <w:shd w:val="clear" w:color="000000" w:fill="DCE6F1"/>
            <w:noWrap/>
            <w:vAlign w:val="bottom"/>
            <w:hideMark/>
          </w:tcPr>
          <w:p w14:paraId="1E5284CE"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5EBDA794"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6D301799"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2C9BB924"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Repayment on loans and borrowings</w:t>
            </w:r>
          </w:p>
        </w:tc>
        <w:tc>
          <w:tcPr>
            <w:tcW w:w="1340" w:type="dxa"/>
            <w:tcBorders>
              <w:top w:val="nil"/>
              <w:left w:val="nil"/>
              <w:bottom w:val="nil"/>
              <w:right w:val="single" w:sz="8" w:space="0" w:color="BFBFBF"/>
            </w:tcBorders>
            <w:shd w:val="clear" w:color="000000" w:fill="DCE6F1"/>
            <w:noWrap/>
            <w:vAlign w:val="bottom"/>
            <w:hideMark/>
          </w:tcPr>
          <w:p w14:paraId="6D1A753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(49.914)</w:t>
            </w:r>
          </w:p>
        </w:tc>
        <w:tc>
          <w:tcPr>
            <w:tcW w:w="1340" w:type="dxa"/>
            <w:tcBorders>
              <w:top w:val="nil"/>
              <w:left w:val="nil"/>
              <w:bottom w:val="nil"/>
              <w:right w:val="single" w:sz="8" w:space="0" w:color="BFBFBF"/>
            </w:tcBorders>
            <w:shd w:val="clear" w:color="auto" w:fill="auto"/>
            <w:noWrap/>
            <w:vAlign w:val="bottom"/>
            <w:hideMark/>
          </w:tcPr>
          <w:p w14:paraId="2B0EADD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(23.460)</w:t>
            </w:r>
          </w:p>
        </w:tc>
      </w:tr>
      <w:tr w:rsidR="00E66C9A" w:rsidRPr="00426BBC" w14:paraId="5E3CB7F8"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69064A81"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Proceeds of issued convertible bonds</w:t>
            </w:r>
          </w:p>
        </w:tc>
        <w:tc>
          <w:tcPr>
            <w:tcW w:w="1340" w:type="dxa"/>
            <w:tcBorders>
              <w:top w:val="nil"/>
              <w:left w:val="nil"/>
              <w:bottom w:val="nil"/>
              <w:right w:val="single" w:sz="8" w:space="0" w:color="BFBFBF"/>
            </w:tcBorders>
            <w:shd w:val="clear" w:color="000000" w:fill="DCE6F1"/>
            <w:noWrap/>
            <w:vAlign w:val="bottom"/>
            <w:hideMark/>
          </w:tcPr>
          <w:p w14:paraId="316535D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122.682 </w:t>
            </w:r>
          </w:p>
        </w:tc>
        <w:tc>
          <w:tcPr>
            <w:tcW w:w="1340" w:type="dxa"/>
            <w:tcBorders>
              <w:top w:val="nil"/>
              <w:left w:val="nil"/>
              <w:bottom w:val="nil"/>
              <w:right w:val="single" w:sz="8" w:space="0" w:color="BFBFBF"/>
            </w:tcBorders>
            <w:shd w:val="clear" w:color="auto" w:fill="auto"/>
            <w:noWrap/>
            <w:vAlign w:val="bottom"/>
            <w:hideMark/>
          </w:tcPr>
          <w:p w14:paraId="12D05AE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r>
      <w:tr w:rsidR="00E66C9A" w:rsidRPr="00426BBC" w14:paraId="31FC3670"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5A6A93B0"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Interest on convertible bond</w:t>
            </w:r>
          </w:p>
        </w:tc>
        <w:tc>
          <w:tcPr>
            <w:tcW w:w="1340" w:type="dxa"/>
            <w:tcBorders>
              <w:top w:val="nil"/>
              <w:left w:val="nil"/>
              <w:bottom w:val="nil"/>
              <w:right w:val="single" w:sz="8" w:space="0" w:color="BFBFBF"/>
            </w:tcBorders>
            <w:shd w:val="clear" w:color="000000" w:fill="DCE6F1"/>
            <w:noWrap/>
            <w:vAlign w:val="bottom"/>
            <w:hideMark/>
          </w:tcPr>
          <w:p w14:paraId="45B0A4A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(1.875)</w:t>
            </w:r>
          </w:p>
        </w:tc>
        <w:tc>
          <w:tcPr>
            <w:tcW w:w="1340" w:type="dxa"/>
            <w:tcBorders>
              <w:top w:val="nil"/>
              <w:left w:val="nil"/>
              <w:bottom w:val="nil"/>
              <w:right w:val="single" w:sz="8" w:space="0" w:color="BFBFBF"/>
            </w:tcBorders>
            <w:shd w:val="clear" w:color="auto" w:fill="auto"/>
            <w:noWrap/>
            <w:vAlign w:val="bottom"/>
            <w:hideMark/>
          </w:tcPr>
          <w:p w14:paraId="24AA3D3E" w14:textId="77777777" w:rsidR="00E66C9A" w:rsidRPr="00426BBC" w:rsidRDefault="00E66C9A" w:rsidP="001857FB">
            <w:pPr>
              <w:jc w:val="center"/>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r>
      <w:tr w:rsidR="00E66C9A" w:rsidRPr="00426BBC" w14:paraId="184E73B7"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33C12208"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Payment on contingent consideration</w:t>
            </w:r>
          </w:p>
        </w:tc>
        <w:tc>
          <w:tcPr>
            <w:tcW w:w="1340" w:type="dxa"/>
            <w:tcBorders>
              <w:top w:val="nil"/>
              <w:left w:val="nil"/>
              <w:bottom w:val="nil"/>
              <w:right w:val="single" w:sz="8" w:space="0" w:color="BFBFBF"/>
            </w:tcBorders>
            <w:shd w:val="clear" w:color="000000" w:fill="DCE6F1"/>
            <w:noWrap/>
            <w:vAlign w:val="bottom"/>
            <w:hideMark/>
          </w:tcPr>
          <w:p w14:paraId="1343615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(18.135)</w:t>
            </w:r>
          </w:p>
        </w:tc>
        <w:tc>
          <w:tcPr>
            <w:tcW w:w="1340" w:type="dxa"/>
            <w:tcBorders>
              <w:top w:val="nil"/>
              <w:left w:val="nil"/>
              <w:bottom w:val="nil"/>
              <w:right w:val="single" w:sz="8" w:space="0" w:color="BFBFBF"/>
            </w:tcBorders>
            <w:shd w:val="clear" w:color="auto" w:fill="auto"/>
            <w:noWrap/>
            <w:vAlign w:val="bottom"/>
            <w:hideMark/>
          </w:tcPr>
          <w:p w14:paraId="1AFA885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(17.635)</w:t>
            </w:r>
          </w:p>
        </w:tc>
      </w:tr>
      <w:tr w:rsidR="00E66C9A" w:rsidRPr="00426BBC" w14:paraId="484835C7"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14B9E6BC"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Interests on loans and leases</w:t>
            </w:r>
          </w:p>
        </w:tc>
        <w:tc>
          <w:tcPr>
            <w:tcW w:w="1340" w:type="dxa"/>
            <w:tcBorders>
              <w:top w:val="nil"/>
              <w:left w:val="nil"/>
              <w:bottom w:val="nil"/>
              <w:right w:val="single" w:sz="8" w:space="0" w:color="BFBFBF"/>
            </w:tcBorders>
            <w:shd w:val="clear" w:color="000000" w:fill="DCE6F1"/>
            <w:noWrap/>
            <w:vAlign w:val="bottom"/>
            <w:hideMark/>
          </w:tcPr>
          <w:p w14:paraId="3AD5771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(850)</w:t>
            </w:r>
          </w:p>
        </w:tc>
        <w:tc>
          <w:tcPr>
            <w:tcW w:w="1340" w:type="dxa"/>
            <w:tcBorders>
              <w:top w:val="nil"/>
              <w:left w:val="nil"/>
              <w:bottom w:val="nil"/>
              <w:right w:val="single" w:sz="8" w:space="0" w:color="BFBFBF"/>
            </w:tcBorders>
            <w:shd w:val="clear" w:color="auto" w:fill="auto"/>
            <w:noWrap/>
            <w:vAlign w:val="bottom"/>
            <w:hideMark/>
          </w:tcPr>
          <w:p w14:paraId="2A45869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(6.794)</w:t>
            </w:r>
          </w:p>
        </w:tc>
      </w:tr>
      <w:tr w:rsidR="00E66C9A" w:rsidRPr="00426BBC" w14:paraId="41C6B3BC"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1543E99D"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Payment of lease liabilities</w:t>
            </w:r>
          </w:p>
        </w:tc>
        <w:tc>
          <w:tcPr>
            <w:tcW w:w="1340" w:type="dxa"/>
            <w:tcBorders>
              <w:top w:val="nil"/>
              <w:left w:val="nil"/>
              <w:bottom w:val="nil"/>
              <w:right w:val="single" w:sz="8" w:space="0" w:color="BFBFBF"/>
            </w:tcBorders>
            <w:shd w:val="clear" w:color="000000" w:fill="DCE6F1"/>
            <w:noWrap/>
            <w:vAlign w:val="bottom"/>
            <w:hideMark/>
          </w:tcPr>
          <w:p w14:paraId="6965E91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(1.321)</w:t>
            </w:r>
          </w:p>
        </w:tc>
        <w:tc>
          <w:tcPr>
            <w:tcW w:w="1340" w:type="dxa"/>
            <w:tcBorders>
              <w:top w:val="nil"/>
              <w:left w:val="nil"/>
              <w:bottom w:val="nil"/>
              <w:right w:val="single" w:sz="8" w:space="0" w:color="BFBFBF"/>
            </w:tcBorders>
            <w:shd w:val="clear" w:color="auto" w:fill="auto"/>
            <w:noWrap/>
            <w:vAlign w:val="bottom"/>
            <w:hideMark/>
          </w:tcPr>
          <w:p w14:paraId="05AC65B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49D23FC1"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7EEA0B1C"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Proceeds of equity and warrants</w:t>
            </w:r>
          </w:p>
        </w:tc>
        <w:tc>
          <w:tcPr>
            <w:tcW w:w="1340" w:type="dxa"/>
            <w:tcBorders>
              <w:top w:val="nil"/>
              <w:left w:val="nil"/>
              <w:bottom w:val="nil"/>
              <w:right w:val="single" w:sz="8" w:space="0" w:color="BFBFBF"/>
            </w:tcBorders>
            <w:shd w:val="clear" w:color="000000" w:fill="DCE6F1"/>
            <w:noWrap/>
            <w:vAlign w:val="bottom"/>
            <w:hideMark/>
          </w:tcPr>
          <w:p w14:paraId="73B92CE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2.035 </w:t>
            </w:r>
          </w:p>
        </w:tc>
        <w:tc>
          <w:tcPr>
            <w:tcW w:w="1340" w:type="dxa"/>
            <w:tcBorders>
              <w:top w:val="nil"/>
              <w:left w:val="nil"/>
              <w:bottom w:val="nil"/>
              <w:right w:val="single" w:sz="8" w:space="0" w:color="BFBFBF"/>
            </w:tcBorders>
            <w:shd w:val="clear" w:color="auto" w:fill="auto"/>
            <w:noWrap/>
            <w:vAlign w:val="bottom"/>
            <w:hideMark/>
          </w:tcPr>
          <w:p w14:paraId="21FB896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3.536 </w:t>
            </w:r>
          </w:p>
        </w:tc>
      </w:tr>
      <w:tr w:rsidR="00E66C9A" w:rsidRPr="00426BBC" w14:paraId="0E10EBA2" w14:textId="77777777" w:rsidTr="001857FB">
        <w:trPr>
          <w:trHeight w:val="238"/>
        </w:trPr>
        <w:tc>
          <w:tcPr>
            <w:tcW w:w="5920" w:type="dxa"/>
            <w:tcBorders>
              <w:top w:val="nil"/>
              <w:left w:val="single" w:sz="8" w:space="0" w:color="BFBFBF"/>
              <w:bottom w:val="nil"/>
              <w:right w:val="nil"/>
            </w:tcBorders>
            <w:shd w:val="clear" w:color="auto" w:fill="auto"/>
            <w:vAlign w:val="bottom"/>
            <w:hideMark/>
          </w:tcPr>
          <w:p w14:paraId="21E4B013"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single" w:sz="8" w:space="0" w:color="BFBFBF"/>
              <w:bottom w:val="nil"/>
              <w:right w:val="single" w:sz="8" w:space="0" w:color="BFBFBF"/>
            </w:tcBorders>
            <w:shd w:val="clear" w:color="000000" w:fill="DCE6F1"/>
            <w:noWrap/>
            <w:vAlign w:val="bottom"/>
            <w:hideMark/>
          </w:tcPr>
          <w:p w14:paraId="5D437E06"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0146A412"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39E06F45" w14:textId="77777777" w:rsidTr="001857FB">
        <w:trPr>
          <w:trHeight w:val="238"/>
        </w:trPr>
        <w:tc>
          <w:tcPr>
            <w:tcW w:w="592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3A2C55F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Net cash flows generated from (used in) financing activities</w:t>
            </w:r>
          </w:p>
        </w:tc>
        <w:tc>
          <w:tcPr>
            <w:tcW w:w="1340" w:type="dxa"/>
            <w:tcBorders>
              <w:top w:val="single" w:sz="8" w:space="0" w:color="BFBFBF"/>
              <w:left w:val="nil"/>
              <w:bottom w:val="single" w:sz="8" w:space="0" w:color="BFBFBF"/>
              <w:right w:val="single" w:sz="8" w:space="0" w:color="BFBFBF"/>
            </w:tcBorders>
            <w:shd w:val="clear" w:color="000000" w:fill="DCE6F1"/>
            <w:noWrap/>
            <w:vAlign w:val="center"/>
            <w:hideMark/>
          </w:tcPr>
          <w:p w14:paraId="51EA6E8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52.622 </w:t>
            </w:r>
          </w:p>
        </w:tc>
        <w:tc>
          <w:tcPr>
            <w:tcW w:w="1340" w:type="dxa"/>
            <w:tcBorders>
              <w:top w:val="single" w:sz="8" w:space="0" w:color="BFBFBF"/>
              <w:left w:val="nil"/>
              <w:bottom w:val="single" w:sz="8" w:space="0" w:color="BFBFBF"/>
              <w:right w:val="single" w:sz="8" w:space="0" w:color="BFBFBF"/>
            </w:tcBorders>
            <w:shd w:val="clear" w:color="auto" w:fill="auto"/>
            <w:noWrap/>
            <w:vAlign w:val="center"/>
            <w:hideMark/>
          </w:tcPr>
          <w:p w14:paraId="299E52EF"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(44.353)</w:t>
            </w:r>
          </w:p>
        </w:tc>
      </w:tr>
      <w:tr w:rsidR="00E66C9A" w:rsidRPr="00426BBC" w14:paraId="2C8A40CB"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721978BD"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5639E03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055BC46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4A0334CD"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4EE46704"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Increase (decrease) of cash</w:t>
            </w:r>
          </w:p>
        </w:tc>
        <w:tc>
          <w:tcPr>
            <w:tcW w:w="1340" w:type="dxa"/>
            <w:tcBorders>
              <w:top w:val="nil"/>
              <w:left w:val="nil"/>
              <w:bottom w:val="nil"/>
              <w:right w:val="single" w:sz="8" w:space="0" w:color="BFBFBF"/>
            </w:tcBorders>
            <w:shd w:val="clear" w:color="000000" w:fill="DCE6F1"/>
            <w:noWrap/>
            <w:vAlign w:val="bottom"/>
            <w:hideMark/>
          </w:tcPr>
          <w:p w14:paraId="2B50D1EE"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96.781 </w:t>
            </w:r>
          </w:p>
        </w:tc>
        <w:tc>
          <w:tcPr>
            <w:tcW w:w="1340" w:type="dxa"/>
            <w:tcBorders>
              <w:top w:val="nil"/>
              <w:left w:val="nil"/>
              <w:bottom w:val="nil"/>
              <w:right w:val="single" w:sz="8" w:space="0" w:color="BFBFBF"/>
            </w:tcBorders>
            <w:shd w:val="clear" w:color="auto" w:fill="auto"/>
            <w:noWrap/>
            <w:vAlign w:val="bottom"/>
            <w:hideMark/>
          </w:tcPr>
          <w:p w14:paraId="56926A41"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(19.862)</w:t>
            </w:r>
          </w:p>
        </w:tc>
      </w:tr>
      <w:tr w:rsidR="00E66C9A" w:rsidRPr="00426BBC" w14:paraId="07F293D4"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780D799B"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Exchange rate effects</w:t>
            </w:r>
          </w:p>
        </w:tc>
        <w:tc>
          <w:tcPr>
            <w:tcW w:w="1340" w:type="dxa"/>
            <w:tcBorders>
              <w:top w:val="nil"/>
              <w:left w:val="nil"/>
              <w:bottom w:val="nil"/>
              <w:right w:val="single" w:sz="8" w:space="0" w:color="BFBFBF"/>
            </w:tcBorders>
            <w:shd w:val="clear" w:color="000000" w:fill="DCE6F1"/>
            <w:noWrap/>
            <w:vAlign w:val="bottom"/>
            <w:hideMark/>
          </w:tcPr>
          <w:p w14:paraId="37FF270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(9.297)</w:t>
            </w:r>
          </w:p>
        </w:tc>
        <w:tc>
          <w:tcPr>
            <w:tcW w:w="1340" w:type="dxa"/>
            <w:tcBorders>
              <w:top w:val="nil"/>
              <w:left w:val="nil"/>
              <w:bottom w:val="nil"/>
              <w:right w:val="single" w:sz="8" w:space="0" w:color="BFBFBF"/>
            </w:tcBorders>
            <w:shd w:val="clear" w:color="auto" w:fill="auto"/>
            <w:noWrap/>
            <w:vAlign w:val="bottom"/>
            <w:hideMark/>
          </w:tcPr>
          <w:p w14:paraId="5289B50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2.736 </w:t>
            </w:r>
          </w:p>
        </w:tc>
      </w:tr>
      <w:tr w:rsidR="00E66C9A" w:rsidRPr="00426BBC" w14:paraId="4A0BDEC4"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001DEE08"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Cash and cash equivalents at 1 January</w:t>
            </w:r>
          </w:p>
        </w:tc>
        <w:tc>
          <w:tcPr>
            <w:tcW w:w="1340" w:type="dxa"/>
            <w:tcBorders>
              <w:top w:val="nil"/>
              <w:left w:val="nil"/>
              <w:bottom w:val="nil"/>
              <w:right w:val="single" w:sz="8" w:space="0" w:color="BFBFBF"/>
            </w:tcBorders>
            <w:shd w:val="clear" w:color="000000" w:fill="DCE6F1"/>
            <w:noWrap/>
            <w:vAlign w:val="bottom"/>
            <w:hideMark/>
          </w:tcPr>
          <w:p w14:paraId="17415D5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68.567 </w:t>
            </w:r>
          </w:p>
        </w:tc>
        <w:tc>
          <w:tcPr>
            <w:tcW w:w="1340" w:type="dxa"/>
            <w:tcBorders>
              <w:top w:val="nil"/>
              <w:left w:val="nil"/>
              <w:bottom w:val="nil"/>
              <w:right w:val="single" w:sz="8" w:space="0" w:color="BFBFBF"/>
            </w:tcBorders>
            <w:shd w:val="clear" w:color="auto" w:fill="auto"/>
            <w:noWrap/>
            <w:vAlign w:val="bottom"/>
            <w:hideMark/>
          </w:tcPr>
          <w:p w14:paraId="41A74B9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81.515 </w:t>
            </w:r>
          </w:p>
        </w:tc>
      </w:tr>
      <w:tr w:rsidR="00E66C9A" w:rsidRPr="00426BBC" w14:paraId="3B08D4E1" w14:textId="77777777" w:rsidTr="001857FB">
        <w:trPr>
          <w:trHeight w:val="238"/>
        </w:trPr>
        <w:tc>
          <w:tcPr>
            <w:tcW w:w="5920" w:type="dxa"/>
            <w:tcBorders>
              <w:top w:val="nil"/>
              <w:left w:val="single" w:sz="8" w:space="0" w:color="BFBFBF"/>
              <w:bottom w:val="nil"/>
              <w:right w:val="single" w:sz="8" w:space="0" w:color="BFBFBF"/>
            </w:tcBorders>
            <w:shd w:val="clear" w:color="auto" w:fill="auto"/>
            <w:vAlign w:val="bottom"/>
            <w:hideMark/>
          </w:tcPr>
          <w:p w14:paraId="446DDB5F"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4585A10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327E86D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4947C513" w14:textId="77777777" w:rsidTr="001857FB">
        <w:trPr>
          <w:trHeight w:val="238"/>
        </w:trPr>
        <w:tc>
          <w:tcPr>
            <w:tcW w:w="592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5CDB9A99"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cash and cash equivalents at 30 September</w:t>
            </w:r>
          </w:p>
        </w:tc>
        <w:tc>
          <w:tcPr>
            <w:tcW w:w="1340" w:type="dxa"/>
            <w:tcBorders>
              <w:top w:val="single" w:sz="8" w:space="0" w:color="BFBFBF"/>
              <w:left w:val="nil"/>
              <w:bottom w:val="single" w:sz="8" w:space="0" w:color="BFBFBF"/>
              <w:right w:val="single" w:sz="8" w:space="0" w:color="BFBFBF"/>
            </w:tcBorders>
            <w:shd w:val="clear" w:color="000000" w:fill="DCE6F1"/>
            <w:noWrap/>
            <w:vAlign w:val="center"/>
            <w:hideMark/>
          </w:tcPr>
          <w:p w14:paraId="6FC6B7C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156.051 </w:t>
            </w:r>
          </w:p>
        </w:tc>
        <w:tc>
          <w:tcPr>
            <w:tcW w:w="1340" w:type="dxa"/>
            <w:tcBorders>
              <w:top w:val="single" w:sz="8" w:space="0" w:color="BFBFBF"/>
              <w:left w:val="nil"/>
              <w:bottom w:val="single" w:sz="8" w:space="0" w:color="BFBFBF"/>
              <w:right w:val="single" w:sz="8" w:space="0" w:color="BFBFBF"/>
            </w:tcBorders>
            <w:shd w:val="clear" w:color="auto" w:fill="auto"/>
            <w:noWrap/>
            <w:vAlign w:val="center"/>
            <w:hideMark/>
          </w:tcPr>
          <w:p w14:paraId="3584F8C1"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64.389 </w:t>
            </w:r>
          </w:p>
        </w:tc>
      </w:tr>
    </w:tbl>
    <w:p w14:paraId="6160563F" w14:textId="77777777" w:rsidR="00E66C9A" w:rsidRPr="00426BBC" w:rsidRDefault="00E66C9A" w:rsidP="00E66C9A">
      <w:pPr>
        <w:jc w:val="left"/>
        <w:rPr>
          <w:rFonts w:asciiTheme="minorHAnsi" w:eastAsiaTheme="majorEastAsia" w:hAnsiTheme="minorHAnsi" w:cstheme="minorHAnsi"/>
          <w:b/>
          <w:color w:val="59595B"/>
          <w:szCs w:val="28"/>
          <w:lang w:val="en-GB" w:eastAsia="zh-CN"/>
        </w:rPr>
      </w:pPr>
    </w:p>
    <w:p w14:paraId="47D9A1C0" w14:textId="77777777" w:rsidR="00E66C9A" w:rsidRPr="00426BBC" w:rsidRDefault="00E66C9A" w:rsidP="00E66C9A">
      <w:pPr>
        <w:jc w:val="left"/>
        <w:rPr>
          <w:rFonts w:asciiTheme="minorHAnsi" w:eastAsiaTheme="majorEastAsia" w:hAnsiTheme="minorHAnsi" w:cstheme="minorHAnsi"/>
          <w:b/>
          <w:color w:val="59595B"/>
          <w:szCs w:val="28"/>
          <w:lang w:val="en-GB" w:eastAsia="zh-CN"/>
        </w:rPr>
      </w:pPr>
    </w:p>
    <w:p w14:paraId="031F2E0D" w14:textId="77777777" w:rsidR="00E66C9A" w:rsidRPr="00426BBC" w:rsidRDefault="00E66C9A" w:rsidP="00E66C9A">
      <w:pPr>
        <w:jc w:val="right"/>
        <w:rPr>
          <w:rFonts w:asciiTheme="minorHAnsi" w:hAnsiTheme="minorHAnsi" w:cstheme="minorHAnsi"/>
          <w:szCs w:val="22"/>
          <w:lang w:val="en-GB"/>
        </w:rPr>
      </w:pPr>
    </w:p>
    <w:p w14:paraId="5E366065" w14:textId="77777777" w:rsidR="00E66C9A" w:rsidRPr="00426BBC" w:rsidRDefault="00E66C9A" w:rsidP="00E66C9A">
      <w:pPr>
        <w:jc w:val="right"/>
        <w:rPr>
          <w:rFonts w:asciiTheme="minorHAnsi" w:hAnsiTheme="minorHAnsi" w:cstheme="minorHAnsi"/>
          <w:szCs w:val="22"/>
          <w:lang w:val="en-GB"/>
        </w:rPr>
      </w:pPr>
    </w:p>
    <w:p w14:paraId="66440CD5" w14:textId="77777777" w:rsidR="0071574C" w:rsidRPr="00426BBC" w:rsidRDefault="0071574C" w:rsidP="00E66C9A">
      <w:pPr>
        <w:pStyle w:val="NoSpacing"/>
        <w:spacing w:after="120"/>
        <w:rPr>
          <w:rFonts w:asciiTheme="minorHAnsi" w:hAnsiTheme="minorHAnsi" w:cstheme="minorHAnsi"/>
          <w:color w:val="0070C0"/>
          <w:sz w:val="24"/>
          <w:szCs w:val="20"/>
          <w:lang w:val="en-GB"/>
        </w:rPr>
      </w:pPr>
    </w:p>
    <w:p w14:paraId="671CDAF5" w14:textId="2A5DF668" w:rsidR="00E66C9A" w:rsidRPr="00426BBC" w:rsidRDefault="00E66C9A" w:rsidP="00E66C9A">
      <w:pPr>
        <w:pStyle w:val="NoSpacing"/>
        <w:spacing w:after="120"/>
        <w:rPr>
          <w:rFonts w:asciiTheme="minorHAnsi" w:hAnsiTheme="minorHAnsi" w:cstheme="minorHAnsi"/>
          <w:color w:val="0070C0"/>
          <w:sz w:val="24"/>
          <w:szCs w:val="20"/>
          <w:u w:val="single"/>
          <w:lang w:val="en-GB"/>
        </w:rPr>
      </w:pPr>
      <w:r w:rsidRPr="00426BBC">
        <w:rPr>
          <w:rFonts w:asciiTheme="minorHAnsi" w:hAnsiTheme="minorHAnsi" w:cstheme="minorHAnsi"/>
          <w:color w:val="0070C0"/>
          <w:sz w:val="24"/>
          <w:szCs w:val="20"/>
          <w:lang w:val="en-GB"/>
        </w:rPr>
        <w:t xml:space="preserve">Appendix: Main Condensed Consolidated Financial Statements reported in </w:t>
      </w:r>
      <w:r w:rsidRPr="00426BBC">
        <w:rPr>
          <w:rFonts w:asciiTheme="minorHAnsi" w:hAnsiTheme="minorHAnsi" w:cstheme="minorHAnsi"/>
          <w:color w:val="0070C0"/>
          <w:sz w:val="24"/>
          <w:szCs w:val="20"/>
          <w:u w:val="single"/>
          <w:lang w:val="en-GB"/>
        </w:rPr>
        <w:t>US dollars</w:t>
      </w:r>
    </w:p>
    <w:p w14:paraId="4371E440" w14:textId="503FE097" w:rsidR="00E66C9A" w:rsidRPr="00426BBC" w:rsidRDefault="00E66C9A" w:rsidP="00E66C9A">
      <w:pPr>
        <w:outlineLvl w:val="0"/>
        <w:rPr>
          <w:rFonts w:asciiTheme="minorHAnsi" w:hAnsiTheme="minorHAnsi" w:cstheme="minorHAnsi"/>
          <w:iCs/>
          <w:color w:val="595B5B"/>
          <w:lang w:val="en-GB"/>
        </w:rPr>
      </w:pPr>
      <w:r w:rsidRPr="00426BBC">
        <w:rPr>
          <w:rFonts w:asciiTheme="minorHAnsi" w:hAnsiTheme="minorHAnsi" w:cstheme="minorHAnsi"/>
          <w:iCs/>
          <w:color w:val="595B5B"/>
          <w:lang w:val="en-GB"/>
        </w:rPr>
        <w:t>These statements are not part of the original Interim Financial Statements. The original Interim Financial Statements are reported in euros. In case of differences of interpretation between the Financial Statements in US dollars and the Financial Statements in euros, the Financial Statements in euros will prevail.</w:t>
      </w:r>
      <w:r w:rsidR="006A5785" w:rsidRPr="00426BBC">
        <w:rPr>
          <w:rFonts w:asciiTheme="minorHAnsi" w:hAnsiTheme="minorHAnsi" w:cstheme="minorHAnsi"/>
          <w:iCs/>
          <w:color w:val="595B5B"/>
          <w:lang w:val="en-GB"/>
        </w:rPr>
        <w:t xml:space="preserve"> </w:t>
      </w:r>
    </w:p>
    <w:p w14:paraId="034E3270" w14:textId="77777777" w:rsidR="00E66C9A" w:rsidRPr="00426BBC" w:rsidRDefault="00E66C9A" w:rsidP="00E66C9A">
      <w:pPr>
        <w:outlineLvl w:val="0"/>
        <w:rPr>
          <w:rFonts w:asciiTheme="minorHAnsi" w:hAnsiTheme="minorHAnsi" w:cstheme="minorHAnsi"/>
          <w:iCs/>
          <w:color w:val="595B5B"/>
          <w:lang w:val="en-GB"/>
        </w:rPr>
      </w:pPr>
    </w:p>
    <w:p w14:paraId="3867F50B" w14:textId="480120A4" w:rsidR="00E66C9A" w:rsidRPr="00E9120D" w:rsidRDefault="00E66C9A" w:rsidP="00E66C9A">
      <w:pPr>
        <w:rPr>
          <w:rFonts w:asciiTheme="minorHAnsi" w:eastAsiaTheme="majorEastAsia" w:hAnsiTheme="minorHAnsi" w:cstheme="minorHAnsi"/>
          <w:b/>
          <w:color w:val="59595B"/>
          <w:szCs w:val="28"/>
          <w:lang w:val="en-GB" w:eastAsia="zh-CN"/>
        </w:rPr>
      </w:pPr>
    </w:p>
    <w:p w14:paraId="6E4DFC68" w14:textId="40D910E6" w:rsidR="00E66C9A" w:rsidRPr="00426BBC" w:rsidRDefault="00E66C9A" w:rsidP="00E66C9A">
      <w:pPr>
        <w:rPr>
          <w:rFonts w:asciiTheme="minorHAnsi" w:eastAsiaTheme="majorEastAsia" w:hAnsiTheme="minorHAnsi" w:cstheme="minorHAnsi"/>
          <w:b/>
          <w:color w:val="59595B"/>
          <w:szCs w:val="28"/>
          <w:lang w:val="en-GB" w:eastAsia="zh-CN"/>
        </w:rPr>
      </w:pPr>
    </w:p>
    <w:p w14:paraId="626A2FC7" w14:textId="1EB7D889" w:rsidR="00E66C9A" w:rsidRPr="00426BBC" w:rsidRDefault="00E66C9A" w:rsidP="00E66C9A">
      <w:pPr>
        <w:rPr>
          <w:rFonts w:asciiTheme="minorHAnsi" w:eastAsiaTheme="majorEastAsia" w:hAnsiTheme="minorHAnsi" w:cstheme="minorHAnsi"/>
          <w:b/>
          <w:color w:val="59595B"/>
          <w:szCs w:val="28"/>
          <w:lang w:val="en-GB" w:eastAsia="zh-CN"/>
        </w:rPr>
      </w:pPr>
    </w:p>
    <w:p w14:paraId="7C2ABC00"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073077C6"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696F930F"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7869A620"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08170740"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767DCBD5"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5301A350"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00E31480"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2961D36"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73EB689F"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9199675"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55ADDDF2"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0A2865C8"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4AD56D77"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78D556D4"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B70F2BC"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71CE98B"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1B384BC5"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59BF88FA"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3F6B271"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4A2867CD"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0B22F9A5"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57CFDE12"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5C873C0B"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4B17543A"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590713EE"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7F9469A6"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7BA5FD7D"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9FA8BBD"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0BCF97B9"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35FC4151"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962813E"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4304DF92"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2D01B8C9"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361ABB35" w14:textId="77777777" w:rsidR="00E66C9A" w:rsidRPr="00426BBC" w:rsidRDefault="00E66C9A" w:rsidP="00E66C9A">
      <w:pPr>
        <w:rPr>
          <w:rFonts w:asciiTheme="minorHAnsi" w:eastAsiaTheme="majorEastAsia" w:hAnsiTheme="minorHAnsi" w:cstheme="minorHAnsi"/>
          <w:b/>
          <w:color w:val="59595B"/>
          <w:szCs w:val="28"/>
          <w:lang w:val="en-GB" w:eastAsia="zh-CN"/>
        </w:rPr>
      </w:pPr>
    </w:p>
    <w:p w14:paraId="3A8C9EF8" w14:textId="5C90231A" w:rsidR="00E66C9A" w:rsidRPr="00426BBC" w:rsidRDefault="00E66C9A" w:rsidP="00E66C9A">
      <w:pPr>
        <w:rPr>
          <w:rFonts w:asciiTheme="minorHAnsi" w:eastAsiaTheme="majorEastAsia" w:hAnsiTheme="minorHAnsi" w:cstheme="minorHAnsi"/>
          <w:b/>
          <w:color w:val="59595B"/>
          <w:szCs w:val="28"/>
          <w:lang w:val="en-GB" w:eastAsia="zh-CN"/>
        </w:rPr>
      </w:pPr>
    </w:p>
    <w:p w14:paraId="209F9083" w14:textId="2477B2EE" w:rsidR="0071574C" w:rsidRPr="00426BBC" w:rsidRDefault="0071574C" w:rsidP="00E66C9A">
      <w:pPr>
        <w:rPr>
          <w:rFonts w:asciiTheme="minorHAnsi" w:eastAsiaTheme="majorEastAsia" w:hAnsiTheme="minorHAnsi" w:cstheme="minorHAnsi"/>
          <w:b/>
          <w:color w:val="59595B"/>
          <w:szCs w:val="28"/>
          <w:lang w:val="en-GB" w:eastAsia="zh-CN"/>
        </w:rPr>
      </w:pPr>
    </w:p>
    <w:p w14:paraId="3FBB6B35" w14:textId="77777777" w:rsidR="00E66C9A" w:rsidRPr="00426BBC" w:rsidRDefault="00E66C9A" w:rsidP="00E66C9A">
      <w:pPr>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t xml:space="preserve">Condensed Consolidated Statement of Profit or Loss </w:t>
      </w:r>
      <w:r w:rsidRPr="00426BBC">
        <w:rPr>
          <w:rFonts w:asciiTheme="minorHAnsi" w:eastAsiaTheme="majorEastAsia" w:hAnsiTheme="minorHAnsi" w:cstheme="minorHAnsi"/>
          <w:b/>
          <w:color w:val="59595B"/>
          <w:szCs w:val="28"/>
          <w:lang w:val="en-GB" w:eastAsia="zh-CN"/>
        </w:rPr>
        <w:tab/>
      </w:r>
      <w:r w:rsidRPr="00426BBC">
        <w:rPr>
          <w:rFonts w:asciiTheme="minorHAnsi" w:eastAsiaTheme="majorEastAsia" w:hAnsiTheme="minorHAnsi" w:cstheme="minorHAnsi"/>
          <w:b/>
          <w:color w:val="59595B"/>
          <w:szCs w:val="28"/>
          <w:u w:val="single"/>
          <w:lang w:val="en-GB" w:eastAsia="zh-CN"/>
        </w:rPr>
        <w:t>in US Dollars</w:t>
      </w:r>
      <w:r w:rsidRPr="00426BBC">
        <w:rPr>
          <w:rFonts w:asciiTheme="minorHAnsi" w:eastAsiaTheme="majorEastAsia" w:hAnsiTheme="minorHAnsi" w:cstheme="minorHAnsi"/>
          <w:b/>
          <w:color w:val="59595B"/>
          <w:szCs w:val="28"/>
          <w:lang w:val="en-GB" w:eastAsia="zh-CN"/>
        </w:rPr>
        <w:tab/>
      </w:r>
      <w:r w:rsidRPr="00426BBC">
        <w:rPr>
          <w:rFonts w:asciiTheme="minorHAnsi" w:eastAsiaTheme="majorEastAsia" w:hAnsiTheme="minorHAnsi" w:cstheme="minorHAnsi"/>
          <w:b/>
          <w:color w:val="59595B"/>
          <w:szCs w:val="28"/>
          <w:lang w:val="en-GB" w:eastAsia="zh-CN"/>
        </w:rPr>
        <w:tab/>
      </w:r>
      <w:r w:rsidRPr="00426BBC">
        <w:rPr>
          <w:rFonts w:asciiTheme="minorHAnsi" w:eastAsiaTheme="majorEastAsia" w:hAnsiTheme="minorHAnsi" w:cstheme="minorHAnsi"/>
          <w:b/>
          <w:color w:val="59595B"/>
          <w:szCs w:val="28"/>
          <w:lang w:val="en-GB" w:eastAsia="zh-CN"/>
        </w:rPr>
        <w:tab/>
      </w:r>
    </w:p>
    <w:p w14:paraId="140CA54D" w14:textId="77777777" w:rsidR="00E66C9A" w:rsidRPr="00426BBC" w:rsidRDefault="00E66C9A" w:rsidP="00E66C9A">
      <w:pPr>
        <w:rPr>
          <w:rFonts w:asciiTheme="minorHAnsi" w:hAnsiTheme="minorHAnsi" w:cstheme="minorHAnsi"/>
          <w:lang w:val="en-GB"/>
        </w:rPr>
      </w:pPr>
      <w:r w:rsidRPr="00426BBC">
        <w:rPr>
          <w:rFonts w:asciiTheme="minorHAnsi" w:hAnsiTheme="minorHAnsi" w:cstheme="minorHAnsi"/>
          <w:lang w:val="en-GB"/>
        </w:rPr>
        <w:t>For the period ended 30 September</w:t>
      </w:r>
    </w:p>
    <w:p w14:paraId="442E34AB" w14:textId="77777777" w:rsidR="00E66C9A" w:rsidRPr="00426BBC" w:rsidRDefault="00E66C9A" w:rsidP="00E66C9A">
      <w:pPr>
        <w:rPr>
          <w:rFonts w:asciiTheme="minorHAnsi" w:hAnsiTheme="minorHAnsi" w:cstheme="minorHAnsi"/>
          <w:color w:val="59595B"/>
          <w:lang w:val="en-GB"/>
        </w:rPr>
      </w:pPr>
    </w:p>
    <w:tbl>
      <w:tblPr>
        <w:tblW w:w="9072" w:type="dxa"/>
        <w:tblLook w:val="04A0" w:firstRow="1" w:lastRow="0" w:firstColumn="1" w:lastColumn="0" w:noHBand="0" w:noVBand="1"/>
      </w:tblPr>
      <w:tblGrid>
        <w:gridCol w:w="5312"/>
        <w:gridCol w:w="1880"/>
        <w:gridCol w:w="1880"/>
      </w:tblGrid>
      <w:tr w:rsidR="00E66C9A" w:rsidRPr="00426BBC" w14:paraId="54BE5336" w14:textId="77777777" w:rsidTr="001857FB">
        <w:trPr>
          <w:trHeight w:val="613"/>
        </w:trPr>
        <w:tc>
          <w:tcPr>
            <w:tcW w:w="7540" w:type="dxa"/>
            <w:tcBorders>
              <w:top w:val="nil"/>
              <w:left w:val="nil"/>
              <w:bottom w:val="single" w:sz="8" w:space="0" w:color="BFBFBF"/>
              <w:right w:val="nil"/>
            </w:tcBorders>
            <w:shd w:val="clear" w:color="000000" w:fill="366092"/>
            <w:vAlign w:val="center"/>
            <w:hideMark/>
          </w:tcPr>
          <w:p w14:paraId="3BA758B7" w14:textId="77777777" w:rsidR="00E66C9A" w:rsidRPr="00426BBC" w:rsidRDefault="00E66C9A" w:rsidP="001857FB">
            <w:pPr>
              <w:jc w:val="left"/>
              <w:rPr>
                <w:rFonts w:asciiTheme="minorHAnsi" w:hAnsiTheme="minorHAnsi" w:cstheme="minorHAnsi"/>
                <w:color w:val="FFFFFF"/>
                <w:sz w:val="16"/>
                <w:szCs w:val="16"/>
                <w:lang w:val="en-GB"/>
              </w:rPr>
            </w:pPr>
            <w:bookmarkStart w:id="0" w:name="RANGE!O4:Q27"/>
            <w:r w:rsidRPr="00426BBC">
              <w:rPr>
                <w:rFonts w:asciiTheme="minorHAnsi" w:hAnsiTheme="minorHAnsi" w:cstheme="minorHAnsi"/>
                <w:color w:val="FFFFFF"/>
                <w:sz w:val="16"/>
                <w:szCs w:val="16"/>
                <w:lang w:val="en-GB"/>
              </w:rPr>
              <w:t>Amounts in $ ‘000</w:t>
            </w:r>
            <w:bookmarkEnd w:id="0"/>
          </w:p>
        </w:tc>
        <w:tc>
          <w:tcPr>
            <w:tcW w:w="1880" w:type="dxa"/>
            <w:tcBorders>
              <w:top w:val="nil"/>
              <w:left w:val="nil"/>
              <w:bottom w:val="single" w:sz="8" w:space="0" w:color="BFBFBF"/>
              <w:right w:val="nil"/>
            </w:tcBorders>
            <w:shd w:val="clear" w:color="000000" w:fill="366092"/>
            <w:vAlign w:val="center"/>
            <w:hideMark/>
          </w:tcPr>
          <w:p w14:paraId="1E034118"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2020</w:t>
            </w:r>
          </w:p>
        </w:tc>
        <w:tc>
          <w:tcPr>
            <w:tcW w:w="1880" w:type="dxa"/>
            <w:tcBorders>
              <w:top w:val="nil"/>
              <w:left w:val="nil"/>
              <w:bottom w:val="single" w:sz="8" w:space="0" w:color="BFBFBF"/>
              <w:right w:val="nil"/>
            </w:tcBorders>
            <w:shd w:val="clear" w:color="000000" w:fill="366092"/>
            <w:vAlign w:val="center"/>
            <w:hideMark/>
          </w:tcPr>
          <w:p w14:paraId="7DE4FCAC"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2019</w:t>
            </w:r>
          </w:p>
        </w:tc>
      </w:tr>
      <w:tr w:rsidR="00E66C9A" w:rsidRPr="00426BBC" w14:paraId="45F92460" w14:textId="77777777" w:rsidTr="001857FB">
        <w:trPr>
          <w:trHeight w:val="208"/>
        </w:trPr>
        <w:tc>
          <w:tcPr>
            <w:tcW w:w="7540" w:type="dxa"/>
            <w:tcBorders>
              <w:top w:val="nil"/>
              <w:left w:val="single" w:sz="8" w:space="0" w:color="BFBFBF"/>
              <w:bottom w:val="nil"/>
              <w:right w:val="single" w:sz="8" w:space="0" w:color="BFBFBF"/>
            </w:tcBorders>
            <w:shd w:val="clear" w:color="000000" w:fill="FFFFFF"/>
            <w:vAlign w:val="center"/>
            <w:hideMark/>
          </w:tcPr>
          <w:p w14:paraId="248B1AD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000000" w:fill="DCE6F1"/>
            <w:noWrap/>
            <w:vAlign w:val="bottom"/>
            <w:hideMark/>
          </w:tcPr>
          <w:p w14:paraId="07920E0B" w14:textId="77777777" w:rsidR="00E66C9A" w:rsidRPr="00426BBC" w:rsidRDefault="00E66C9A" w:rsidP="001857FB">
            <w:pPr>
              <w:jc w:val="left"/>
              <w:rPr>
                <w:rFonts w:asciiTheme="minorHAnsi" w:hAnsiTheme="minorHAnsi" w:cstheme="minorHAnsi"/>
                <w:color w:val="00B0F0"/>
                <w:sz w:val="20"/>
                <w:szCs w:val="20"/>
                <w:lang w:val="en-GB"/>
              </w:rPr>
            </w:pPr>
            <w:r w:rsidRPr="00426BBC">
              <w:rPr>
                <w:rFonts w:asciiTheme="minorHAnsi" w:hAnsiTheme="minorHAnsi" w:cstheme="minorHAnsi"/>
                <w:color w:val="00B0F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09315E3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1F5AFE8C"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01F54508"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Revenues</w:t>
            </w:r>
          </w:p>
        </w:tc>
        <w:tc>
          <w:tcPr>
            <w:tcW w:w="1880" w:type="dxa"/>
            <w:tcBorders>
              <w:top w:val="nil"/>
              <w:left w:val="nil"/>
              <w:bottom w:val="single" w:sz="8" w:space="0" w:color="BFBFBF"/>
              <w:right w:val="single" w:sz="8" w:space="0" w:color="BFBFBF"/>
            </w:tcBorders>
            <w:shd w:val="clear" w:color="000000" w:fill="DCE6F1"/>
            <w:noWrap/>
            <w:vAlign w:val="center"/>
            <w:hideMark/>
          </w:tcPr>
          <w:p w14:paraId="3965E254"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151.874 </w:t>
            </w:r>
          </w:p>
        </w:tc>
        <w:tc>
          <w:tcPr>
            <w:tcW w:w="1880" w:type="dxa"/>
            <w:tcBorders>
              <w:top w:val="nil"/>
              <w:left w:val="nil"/>
              <w:bottom w:val="single" w:sz="8" w:space="0" w:color="BFBFBF"/>
              <w:right w:val="single" w:sz="8" w:space="0" w:color="BFBFBF"/>
            </w:tcBorders>
            <w:shd w:val="clear" w:color="auto" w:fill="auto"/>
            <w:noWrap/>
            <w:vAlign w:val="center"/>
            <w:hideMark/>
          </w:tcPr>
          <w:p w14:paraId="14A8809F"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138.728 </w:t>
            </w:r>
          </w:p>
        </w:tc>
      </w:tr>
      <w:tr w:rsidR="00E66C9A" w:rsidRPr="00426BBC" w14:paraId="16CD3729"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00E40FD7"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Costs of sales</w:t>
            </w:r>
          </w:p>
        </w:tc>
        <w:tc>
          <w:tcPr>
            <w:tcW w:w="1880" w:type="dxa"/>
            <w:tcBorders>
              <w:top w:val="nil"/>
              <w:left w:val="nil"/>
              <w:bottom w:val="single" w:sz="8" w:space="0" w:color="BFBFBF"/>
              <w:right w:val="single" w:sz="8" w:space="0" w:color="BFBFBF"/>
            </w:tcBorders>
            <w:shd w:val="clear" w:color="000000" w:fill="DCE6F1"/>
            <w:noWrap/>
            <w:vAlign w:val="center"/>
            <w:hideMark/>
          </w:tcPr>
          <w:p w14:paraId="48404974"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(16.566)</w:t>
            </w:r>
          </w:p>
        </w:tc>
        <w:tc>
          <w:tcPr>
            <w:tcW w:w="1880" w:type="dxa"/>
            <w:tcBorders>
              <w:top w:val="nil"/>
              <w:left w:val="nil"/>
              <w:bottom w:val="single" w:sz="8" w:space="0" w:color="BFBFBF"/>
              <w:right w:val="single" w:sz="8" w:space="0" w:color="BFBFBF"/>
            </w:tcBorders>
            <w:shd w:val="clear" w:color="auto" w:fill="auto"/>
            <w:noWrap/>
            <w:vAlign w:val="center"/>
            <w:hideMark/>
          </w:tcPr>
          <w:p w14:paraId="654EB045"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(18.306)</w:t>
            </w:r>
          </w:p>
        </w:tc>
      </w:tr>
      <w:tr w:rsidR="00E66C9A" w:rsidRPr="00426BBC" w14:paraId="47A360B2"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59C9EF8B"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Gross profit</w:t>
            </w:r>
          </w:p>
        </w:tc>
        <w:tc>
          <w:tcPr>
            <w:tcW w:w="1880" w:type="dxa"/>
            <w:tcBorders>
              <w:top w:val="nil"/>
              <w:left w:val="nil"/>
              <w:bottom w:val="single" w:sz="8" w:space="0" w:color="BFBFBF"/>
              <w:right w:val="single" w:sz="8" w:space="0" w:color="BFBFBF"/>
            </w:tcBorders>
            <w:shd w:val="clear" w:color="000000" w:fill="DCE6F1"/>
            <w:noWrap/>
            <w:vAlign w:val="center"/>
            <w:hideMark/>
          </w:tcPr>
          <w:p w14:paraId="32F7848F"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135.308 </w:t>
            </w:r>
          </w:p>
        </w:tc>
        <w:tc>
          <w:tcPr>
            <w:tcW w:w="1880" w:type="dxa"/>
            <w:tcBorders>
              <w:top w:val="nil"/>
              <w:left w:val="nil"/>
              <w:bottom w:val="single" w:sz="8" w:space="0" w:color="BFBFBF"/>
              <w:right w:val="single" w:sz="8" w:space="0" w:color="BFBFBF"/>
            </w:tcBorders>
            <w:shd w:val="clear" w:color="auto" w:fill="auto"/>
            <w:noWrap/>
            <w:vAlign w:val="center"/>
            <w:hideMark/>
          </w:tcPr>
          <w:p w14:paraId="5CA52C5A"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120.422 </w:t>
            </w:r>
          </w:p>
        </w:tc>
      </w:tr>
      <w:tr w:rsidR="00E66C9A" w:rsidRPr="00426BBC" w14:paraId="253ED04A"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61C16AF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Other income</w:t>
            </w:r>
          </w:p>
        </w:tc>
        <w:tc>
          <w:tcPr>
            <w:tcW w:w="1880" w:type="dxa"/>
            <w:tcBorders>
              <w:top w:val="nil"/>
              <w:left w:val="nil"/>
              <w:bottom w:val="single" w:sz="8" w:space="0" w:color="BFBFBF"/>
              <w:right w:val="single" w:sz="8" w:space="0" w:color="BFBFBF"/>
            </w:tcBorders>
            <w:shd w:val="clear" w:color="000000" w:fill="DCE6F1"/>
            <w:noWrap/>
            <w:vAlign w:val="center"/>
            <w:hideMark/>
          </w:tcPr>
          <w:p w14:paraId="5432ACC6"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810 </w:t>
            </w:r>
          </w:p>
        </w:tc>
        <w:tc>
          <w:tcPr>
            <w:tcW w:w="1880" w:type="dxa"/>
            <w:tcBorders>
              <w:top w:val="nil"/>
              <w:left w:val="nil"/>
              <w:bottom w:val="single" w:sz="8" w:space="0" w:color="BFBFBF"/>
              <w:right w:val="single" w:sz="8" w:space="0" w:color="BFBFBF"/>
            </w:tcBorders>
            <w:shd w:val="clear" w:color="auto" w:fill="auto"/>
            <w:noWrap/>
            <w:vAlign w:val="center"/>
            <w:hideMark/>
          </w:tcPr>
          <w:p w14:paraId="371B169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328 </w:t>
            </w:r>
          </w:p>
        </w:tc>
      </w:tr>
      <w:tr w:rsidR="00E66C9A" w:rsidRPr="00426BBC" w14:paraId="0EA1AC1E" w14:textId="77777777" w:rsidTr="001857FB">
        <w:trPr>
          <w:trHeight w:val="313"/>
        </w:trPr>
        <w:tc>
          <w:tcPr>
            <w:tcW w:w="7540" w:type="dxa"/>
            <w:tcBorders>
              <w:top w:val="nil"/>
              <w:left w:val="single" w:sz="8" w:space="0" w:color="BFBFBF"/>
              <w:bottom w:val="nil"/>
              <w:right w:val="single" w:sz="8" w:space="0" w:color="BFBFBF"/>
            </w:tcBorders>
            <w:shd w:val="clear" w:color="auto" w:fill="auto"/>
            <w:vAlign w:val="center"/>
            <w:hideMark/>
          </w:tcPr>
          <w:p w14:paraId="75C95F2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Research and development</w:t>
            </w:r>
          </w:p>
        </w:tc>
        <w:tc>
          <w:tcPr>
            <w:tcW w:w="1880" w:type="dxa"/>
            <w:tcBorders>
              <w:top w:val="nil"/>
              <w:left w:val="nil"/>
              <w:bottom w:val="nil"/>
              <w:right w:val="single" w:sz="8" w:space="0" w:color="BFBFBF"/>
            </w:tcBorders>
            <w:shd w:val="clear" w:color="000000" w:fill="DCE6F1"/>
            <w:noWrap/>
            <w:vAlign w:val="bottom"/>
            <w:hideMark/>
          </w:tcPr>
          <w:p w14:paraId="495444D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(26.842)</w:t>
            </w:r>
          </w:p>
        </w:tc>
        <w:tc>
          <w:tcPr>
            <w:tcW w:w="1880" w:type="dxa"/>
            <w:tcBorders>
              <w:top w:val="nil"/>
              <w:left w:val="nil"/>
              <w:bottom w:val="nil"/>
              <w:right w:val="single" w:sz="8" w:space="0" w:color="BFBFBF"/>
            </w:tcBorders>
            <w:shd w:val="clear" w:color="auto" w:fill="auto"/>
            <w:noWrap/>
            <w:vAlign w:val="bottom"/>
            <w:hideMark/>
          </w:tcPr>
          <w:p w14:paraId="40E0E44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(26.682)</w:t>
            </w:r>
          </w:p>
        </w:tc>
      </w:tr>
      <w:tr w:rsidR="00E66C9A" w:rsidRPr="00426BBC" w14:paraId="650EBBD8" w14:textId="77777777" w:rsidTr="001857FB">
        <w:trPr>
          <w:trHeight w:val="313"/>
        </w:trPr>
        <w:tc>
          <w:tcPr>
            <w:tcW w:w="7540" w:type="dxa"/>
            <w:tcBorders>
              <w:top w:val="nil"/>
              <w:left w:val="single" w:sz="8" w:space="0" w:color="BFBFBF"/>
              <w:bottom w:val="nil"/>
              <w:right w:val="single" w:sz="8" w:space="0" w:color="BFBFBF"/>
            </w:tcBorders>
            <w:shd w:val="clear" w:color="auto" w:fill="auto"/>
            <w:vAlign w:val="center"/>
            <w:hideMark/>
          </w:tcPr>
          <w:p w14:paraId="6B54C33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General and administrative</w:t>
            </w:r>
          </w:p>
        </w:tc>
        <w:tc>
          <w:tcPr>
            <w:tcW w:w="1880" w:type="dxa"/>
            <w:tcBorders>
              <w:top w:val="nil"/>
              <w:left w:val="nil"/>
              <w:bottom w:val="nil"/>
              <w:right w:val="single" w:sz="8" w:space="0" w:color="BFBFBF"/>
            </w:tcBorders>
            <w:shd w:val="clear" w:color="000000" w:fill="DCE6F1"/>
            <w:noWrap/>
            <w:vAlign w:val="bottom"/>
            <w:hideMark/>
          </w:tcPr>
          <w:p w14:paraId="2DD1869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(15.411)</w:t>
            </w:r>
          </w:p>
        </w:tc>
        <w:tc>
          <w:tcPr>
            <w:tcW w:w="1880" w:type="dxa"/>
            <w:tcBorders>
              <w:top w:val="nil"/>
              <w:left w:val="nil"/>
              <w:bottom w:val="nil"/>
              <w:right w:val="single" w:sz="8" w:space="0" w:color="BFBFBF"/>
            </w:tcBorders>
            <w:shd w:val="clear" w:color="auto" w:fill="auto"/>
            <w:noWrap/>
            <w:vAlign w:val="bottom"/>
            <w:hideMark/>
          </w:tcPr>
          <w:p w14:paraId="5A2553D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(12.123)</w:t>
            </w:r>
          </w:p>
        </w:tc>
      </w:tr>
      <w:tr w:rsidR="00E66C9A" w:rsidRPr="00426BBC" w14:paraId="5CB7EF84" w14:textId="77777777" w:rsidTr="001857FB">
        <w:trPr>
          <w:trHeight w:val="313"/>
        </w:trPr>
        <w:tc>
          <w:tcPr>
            <w:tcW w:w="7540" w:type="dxa"/>
            <w:tcBorders>
              <w:top w:val="nil"/>
              <w:left w:val="single" w:sz="8" w:space="0" w:color="BFBFBF"/>
              <w:bottom w:val="single" w:sz="8" w:space="0" w:color="BFBFBF"/>
              <w:right w:val="single" w:sz="8" w:space="0" w:color="BFBFBF"/>
            </w:tcBorders>
            <w:shd w:val="clear" w:color="auto" w:fill="auto"/>
            <w:vAlign w:val="center"/>
            <w:hideMark/>
          </w:tcPr>
          <w:p w14:paraId="01492BA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Marketing and sales</w:t>
            </w:r>
          </w:p>
        </w:tc>
        <w:tc>
          <w:tcPr>
            <w:tcW w:w="1880" w:type="dxa"/>
            <w:tcBorders>
              <w:top w:val="nil"/>
              <w:left w:val="nil"/>
              <w:bottom w:val="single" w:sz="8" w:space="0" w:color="BFBFBF"/>
              <w:right w:val="single" w:sz="8" w:space="0" w:color="BFBFBF"/>
            </w:tcBorders>
            <w:shd w:val="clear" w:color="000000" w:fill="DCE6F1"/>
            <w:noWrap/>
            <w:vAlign w:val="bottom"/>
            <w:hideMark/>
          </w:tcPr>
          <w:p w14:paraId="6F1C8BD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(36.204)</w:t>
            </w:r>
          </w:p>
        </w:tc>
        <w:tc>
          <w:tcPr>
            <w:tcW w:w="1880" w:type="dxa"/>
            <w:tcBorders>
              <w:top w:val="nil"/>
              <w:left w:val="nil"/>
              <w:bottom w:val="single" w:sz="8" w:space="0" w:color="BFBFBF"/>
              <w:right w:val="single" w:sz="8" w:space="0" w:color="BFBFBF"/>
            </w:tcBorders>
            <w:shd w:val="clear" w:color="auto" w:fill="auto"/>
            <w:noWrap/>
            <w:vAlign w:val="bottom"/>
            <w:hideMark/>
          </w:tcPr>
          <w:p w14:paraId="352EBA9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(33.943)</w:t>
            </w:r>
          </w:p>
        </w:tc>
      </w:tr>
      <w:tr w:rsidR="00E66C9A" w:rsidRPr="00426BBC" w14:paraId="5B815B9F"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176C868E"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Costs</w:t>
            </w:r>
          </w:p>
        </w:tc>
        <w:tc>
          <w:tcPr>
            <w:tcW w:w="1880" w:type="dxa"/>
            <w:tcBorders>
              <w:top w:val="nil"/>
              <w:left w:val="nil"/>
              <w:bottom w:val="single" w:sz="8" w:space="0" w:color="BFBFBF"/>
              <w:right w:val="single" w:sz="8" w:space="0" w:color="BFBFBF"/>
            </w:tcBorders>
            <w:shd w:val="clear" w:color="000000" w:fill="DCE6F1"/>
            <w:noWrap/>
            <w:vAlign w:val="center"/>
            <w:hideMark/>
          </w:tcPr>
          <w:p w14:paraId="3972A2C5"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(78.457)</w:t>
            </w:r>
          </w:p>
        </w:tc>
        <w:tc>
          <w:tcPr>
            <w:tcW w:w="1880" w:type="dxa"/>
            <w:tcBorders>
              <w:top w:val="nil"/>
              <w:left w:val="nil"/>
              <w:bottom w:val="single" w:sz="8" w:space="0" w:color="BFBFBF"/>
              <w:right w:val="single" w:sz="8" w:space="0" w:color="BFBFBF"/>
            </w:tcBorders>
            <w:shd w:val="clear" w:color="auto" w:fill="auto"/>
            <w:noWrap/>
            <w:vAlign w:val="center"/>
            <w:hideMark/>
          </w:tcPr>
          <w:p w14:paraId="7DDB2758"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(72.748)</w:t>
            </w:r>
          </w:p>
        </w:tc>
      </w:tr>
      <w:tr w:rsidR="00E66C9A" w:rsidRPr="00426BBC" w14:paraId="272FCE0A"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0CA4B7F5" w14:textId="22F86AFE"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Operating </w:t>
            </w:r>
            <w:r w:rsidR="006A5785" w:rsidRPr="00426BBC">
              <w:rPr>
                <w:rFonts w:asciiTheme="minorHAnsi" w:hAnsiTheme="minorHAnsi" w:cstheme="minorHAnsi"/>
                <w:b/>
                <w:bCs/>
                <w:color w:val="366092"/>
                <w:sz w:val="20"/>
                <w:szCs w:val="20"/>
                <w:lang w:val="en-GB"/>
              </w:rPr>
              <w:t>profit</w:t>
            </w:r>
          </w:p>
        </w:tc>
        <w:tc>
          <w:tcPr>
            <w:tcW w:w="1880" w:type="dxa"/>
            <w:tcBorders>
              <w:top w:val="nil"/>
              <w:left w:val="nil"/>
              <w:bottom w:val="single" w:sz="8" w:space="0" w:color="BFBFBF"/>
              <w:right w:val="single" w:sz="8" w:space="0" w:color="BFBFBF"/>
            </w:tcBorders>
            <w:shd w:val="clear" w:color="000000" w:fill="DCE6F1"/>
            <w:noWrap/>
            <w:vAlign w:val="center"/>
            <w:hideMark/>
          </w:tcPr>
          <w:p w14:paraId="2631F9A3"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57.661 </w:t>
            </w:r>
          </w:p>
        </w:tc>
        <w:tc>
          <w:tcPr>
            <w:tcW w:w="1880" w:type="dxa"/>
            <w:tcBorders>
              <w:top w:val="nil"/>
              <w:left w:val="nil"/>
              <w:bottom w:val="single" w:sz="8" w:space="0" w:color="BFBFBF"/>
              <w:right w:val="single" w:sz="8" w:space="0" w:color="BFBFBF"/>
            </w:tcBorders>
            <w:shd w:val="clear" w:color="auto" w:fill="auto"/>
            <w:noWrap/>
            <w:vAlign w:val="center"/>
            <w:hideMark/>
          </w:tcPr>
          <w:p w14:paraId="6642AE91"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48.002 </w:t>
            </w:r>
          </w:p>
        </w:tc>
      </w:tr>
      <w:tr w:rsidR="00E66C9A" w:rsidRPr="00426BBC" w14:paraId="02DB4ACF" w14:textId="77777777" w:rsidTr="001857FB">
        <w:trPr>
          <w:trHeight w:val="313"/>
        </w:trPr>
        <w:tc>
          <w:tcPr>
            <w:tcW w:w="7540" w:type="dxa"/>
            <w:tcBorders>
              <w:top w:val="nil"/>
              <w:left w:val="single" w:sz="8" w:space="0" w:color="BFBFBF"/>
              <w:bottom w:val="nil"/>
              <w:right w:val="single" w:sz="8" w:space="0" w:color="BFBFBF"/>
            </w:tcBorders>
            <w:shd w:val="clear" w:color="auto" w:fill="auto"/>
            <w:vAlign w:val="center"/>
            <w:hideMark/>
          </w:tcPr>
          <w:p w14:paraId="7000158B" w14:textId="31F9F09A"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Fair value gain (loss) on revaluation derivatives*</w:t>
            </w:r>
          </w:p>
        </w:tc>
        <w:tc>
          <w:tcPr>
            <w:tcW w:w="1880" w:type="dxa"/>
            <w:tcBorders>
              <w:top w:val="nil"/>
              <w:left w:val="nil"/>
              <w:bottom w:val="nil"/>
              <w:right w:val="single" w:sz="8" w:space="0" w:color="BFBFBF"/>
            </w:tcBorders>
            <w:shd w:val="clear" w:color="000000" w:fill="DCE6F1"/>
            <w:noWrap/>
            <w:vAlign w:val="bottom"/>
            <w:hideMark/>
          </w:tcPr>
          <w:p w14:paraId="4E47736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147 </w:t>
            </w:r>
          </w:p>
        </w:tc>
        <w:tc>
          <w:tcPr>
            <w:tcW w:w="1880" w:type="dxa"/>
            <w:tcBorders>
              <w:top w:val="nil"/>
              <w:left w:val="nil"/>
              <w:bottom w:val="nil"/>
              <w:right w:val="single" w:sz="8" w:space="0" w:color="BFBFBF"/>
            </w:tcBorders>
            <w:shd w:val="clear" w:color="auto" w:fill="auto"/>
            <w:noWrap/>
            <w:vAlign w:val="bottom"/>
            <w:hideMark/>
          </w:tcPr>
          <w:p w14:paraId="262209B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(159)</w:t>
            </w:r>
          </w:p>
        </w:tc>
      </w:tr>
      <w:tr w:rsidR="00E66C9A" w:rsidRPr="00426BBC" w14:paraId="465D2A3C" w14:textId="77777777" w:rsidTr="001857FB">
        <w:trPr>
          <w:trHeight w:val="313"/>
        </w:trPr>
        <w:tc>
          <w:tcPr>
            <w:tcW w:w="7540" w:type="dxa"/>
            <w:tcBorders>
              <w:top w:val="nil"/>
              <w:left w:val="single" w:sz="8" w:space="0" w:color="BFBFBF"/>
              <w:bottom w:val="nil"/>
              <w:right w:val="single" w:sz="8" w:space="0" w:color="BFBFBF"/>
            </w:tcBorders>
            <w:shd w:val="clear" w:color="auto" w:fill="auto"/>
            <w:vAlign w:val="center"/>
            <w:hideMark/>
          </w:tcPr>
          <w:p w14:paraId="31D1A9D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income</w:t>
            </w:r>
          </w:p>
        </w:tc>
        <w:tc>
          <w:tcPr>
            <w:tcW w:w="1880" w:type="dxa"/>
            <w:tcBorders>
              <w:top w:val="nil"/>
              <w:left w:val="nil"/>
              <w:bottom w:val="nil"/>
              <w:right w:val="single" w:sz="8" w:space="0" w:color="BFBFBF"/>
            </w:tcBorders>
            <w:shd w:val="clear" w:color="000000" w:fill="DCE6F1"/>
            <w:noWrap/>
            <w:vAlign w:val="bottom"/>
            <w:hideMark/>
          </w:tcPr>
          <w:p w14:paraId="536C566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655 </w:t>
            </w:r>
          </w:p>
        </w:tc>
        <w:tc>
          <w:tcPr>
            <w:tcW w:w="1880" w:type="dxa"/>
            <w:tcBorders>
              <w:top w:val="nil"/>
              <w:left w:val="nil"/>
              <w:bottom w:val="nil"/>
              <w:right w:val="single" w:sz="8" w:space="0" w:color="BFBFBF"/>
            </w:tcBorders>
            <w:shd w:val="clear" w:color="auto" w:fill="auto"/>
            <w:noWrap/>
            <w:vAlign w:val="bottom"/>
            <w:hideMark/>
          </w:tcPr>
          <w:p w14:paraId="7E3B5C9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865 </w:t>
            </w:r>
          </w:p>
        </w:tc>
      </w:tr>
      <w:tr w:rsidR="00E66C9A" w:rsidRPr="00426BBC" w14:paraId="3AAA3F8B" w14:textId="77777777" w:rsidTr="001857FB">
        <w:trPr>
          <w:trHeight w:val="313"/>
        </w:trPr>
        <w:tc>
          <w:tcPr>
            <w:tcW w:w="7540" w:type="dxa"/>
            <w:tcBorders>
              <w:top w:val="nil"/>
              <w:left w:val="single" w:sz="8" w:space="0" w:color="BFBFBF"/>
              <w:bottom w:val="single" w:sz="8" w:space="0" w:color="BFBFBF"/>
              <w:right w:val="single" w:sz="8" w:space="0" w:color="BFBFBF"/>
            </w:tcBorders>
            <w:shd w:val="clear" w:color="auto" w:fill="auto"/>
            <w:vAlign w:val="center"/>
            <w:hideMark/>
          </w:tcPr>
          <w:p w14:paraId="7F2A1DFA" w14:textId="116D87A8"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expenses*</w:t>
            </w:r>
          </w:p>
        </w:tc>
        <w:tc>
          <w:tcPr>
            <w:tcW w:w="1880" w:type="dxa"/>
            <w:tcBorders>
              <w:top w:val="nil"/>
              <w:left w:val="nil"/>
              <w:bottom w:val="single" w:sz="8" w:space="0" w:color="BFBFBF"/>
              <w:right w:val="single" w:sz="8" w:space="0" w:color="BFBFBF"/>
            </w:tcBorders>
            <w:shd w:val="clear" w:color="000000" w:fill="DCE6F1"/>
            <w:noWrap/>
            <w:vAlign w:val="bottom"/>
            <w:hideMark/>
          </w:tcPr>
          <w:p w14:paraId="0DCD0C6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(20.614)</w:t>
            </w:r>
          </w:p>
        </w:tc>
        <w:tc>
          <w:tcPr>
            <w:tcW w:w="1880" w:type="dxa"/>
            <w:tcBorders>
              <w:top w:val="nil"/>
              <w:left w:val="nil"/>
              <w:bottom w:val="single" w:sz="8" w:space="0" w:color="BFBFBF"/>
              <w:right w:val="single" w:sz="8" w:space="0" w:color="BFBFBF"/>
            </w:tcBorders>
            <w:shd w:val="clear" w:color="auto" w:fill="auto"/>
            <w:noWrap/>
            <w:vAlign w:val="bottom"/>
            <w:hideMark/>
          </w:tcPr>
          <w:p w14:paraId="0E61028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(13.659)</w:t>
            </w:r>
          </w:p>
        </w:tc>
      </w:tr>
      <w:tr w:rsidR="00E66C9A" w:rsidRPr="00426BBC" w14:paraId="345AC251"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30549D2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Financial income and expenses</w:t>
            </w:r>
          </w:p>
        </w:tc>
        <w:tc>
          <w:tcPr>
            <w:tcW w:w="1880" w:type="dxa"/>
            <w:tcBorders>
              <w:top w:val="nil"/>
              <w:left w:val="nil"/>
              <w:bottom w:val="single" w:sz="8" w:space="0" w:color="BFBFBF"/>
              <w:right w:val="single" w:sz="8" w:space="0" w:color="BFBFBF"/>
            </w:tcBorders>
            <w:shd w:val="clear" w:color="000000" w:fill="DCE6F1"/>
            <w:noWrap/>
            <w:vAlign w:val="center"/>
            <w:hideMark/>
          </w:tcPr>
          <w:p w14:paraId="391E8D7B"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(19.812)</w:t>
            </w:r>
          </w:p>
        </w:tc>
        <w:tc>
          <w:tcPr>
            <w:tcW w:w="1880" w:type="dxa"/>
            <w:tcBorders>
              <w:top w:val="nil"/>
              <w:left w:val="nil"/>
              <w:bottom w:val="single" w:sz="8" w:space="0" w:color="BFBFBF"/>
              <w:right w:val="single" w:sz="8" w:space="0" w:color="BFBFBF"/>
            </w:tcBorders>
            <w:shd w:val="clear" w:color="auto" w:fill="auto"/>
            <w:noWrap/>
            <w:vAlign w:val="center"/>
            <w:hideMark/>
          </w:tcPr>
          <w:p w14:paraId="6426821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(12.953)</w:t>
            </w:r>
          </w:p>
        </w:tc>
      </w:tr>
      <w:tr w:rsidR="00E66C9A" w:rsidRPr="00426BBC" w14:paraId="2E665D50"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auto" w:fill="auto"/>
            <w:vAlign w:val="center"/>
            <w:hideMark/>
          </w:tcPr>
          <w:p w14:paraId="18DD7C36"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Share of net profits in associates using the equity method</w:t>
            </w:r>
          </w:p>
        </w:tc>
        <w:tc>
          <w:tcPr>
            <w:tcW w:w="1880" w:type="dxa"/>
            <w:tcBorders>
              <w:top w:val="nil"/>
              <w:left w:val="nil"/>
              <w:bottom w:val="single" w:sz="8" w:space="0" w:color="BFBFBF"/>
              <w:right w:val="single" w:sz="8" w:space="0" w:color="BFBFBF"/>
            </w:tcBorders>
            <w:shd w:val="clear" w:color="000000" w:fill="DCE6F1"/>
            <w:noWrap/>
            <w:vAlign w:val="center"/>
            <w:hideMark/>
          </w:tcPr>
          <w:p w14:paraId="03F2F4D8"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219 </w:t>
            </w:r>
          </w:p>
        </w:tc>
        <w:tc>
          <w:tcPr>
            <w:tcW w:w="1880" w:type="dxa"/>
            <w:tcBorders>
              <w:top w:val="nil"/>
              <w:left w:val="nil"/>
              <w:bottom w:val="single" w:sz="8" w:space="0" w:color="D9D9D9"/>
              <w:right w:val="single" w:sz="8" w:space="0" w:color="BFBFBF"/>
            </w:tcBorders>
            <w:shd w:val="clear" w:color="auto" w:fill="auto"/>
            <w:noWrap/>
            <w:vAlign w:val="center"/>
            <w:hideMark/>
          </w:tcPr>
          <w:p w14:paraId="1AA7B20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494 </w:t>
            </w:r>
          </w:p>
        </w:tc>
      </w:tr>
      <w:tr w:rsidR="00E66C9A" w:rsidRPr="00426BBC" w14:paraId="1BF386E9"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28168F9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Result before income tax</w:t>
            </w:r>
          </w:p>
        </w:tc>
        <w:tc>
          <w:tcPr>
            <w:tcW w:w="1880" w:type="dxa"/>
            <w:tcBorders>
              <w:top w:val="nil"/>
              <w:left w:val="nil"/>
              <w:bottom w:val="single" w:sz="8" w:space="0" w:color="BFBFBF"/>
              <w:right w:val="single" w:sz="8" w:space="0" w:color="BFBFBF"/>
            </w:tcBorders>
            <w:shd w:val="clear" w:color="000000" w:fill="DCE6F1"/>
            <w:noWrap/>
            <w:vAlign w:val="center"/>
            <w:hideMark/>
          </w:tcPr>
          <w:p w14:paraId="048E8EC9"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38.068 </w:t>
            </w:r>
          </w:p>
        </w:tc>
        <w:tc>
          <w:tcPr>
            <w:tcW w:w="1880" w:type="dxa"/>
            <w:tcBorders>
              <w:top w:val="nil"/>
              <w:left w:val="nil"/>
              <w:bottom w:val="single" w:sz="8" w:space="0" w:color="D9D9D9"/>
              <w:right w:val="single" w:sz="8" w:space="0" w:color="BFBFBF"/>
            </w:tcBorders>
            <w:shd w:val="clear" w:color="auto" w:fill="auto"/>
            <w:noWrap/>
            <w:vAlign w:val="center"/>
            <w:hideMark/>
          </w:tcPr>
          <w:p w14:paraId="6C087814"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35.543 </w:t>
            </w:r>
          </w:p>
        </w:tc>
      </w:tr>
      <w:tr w:rsidR="00E66C9A" w:rsidRPr="00426BBC" w14:paraId="2CE2F387"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688B64F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Income tax credit (expense)</w:t>
            </w:r>
          </w:p>
        </w:tc>
        <w:tc>
          <w:tcPr>
            <w:tcW w:w="1880" w:type="dxa"/>
            <w:tcBorders>
              <w:top w:val="nil"/>
              <w:left w:val="nil"/>
              <w:bottom w:val="single" w:sz="8" w:space="0" w:color="BFBFBF"/>
              <w:right w:val="single" w:sz="8" w:space="0" w:color="BFBFBF"/>
            </w:tcBorders>
            <w:shd w:val="clear" w:color="000000" w:fill="DCE6F1"/>
            <w:noWrap/>
            <w:vAlign w:val="center"/>
            <w:hideMark/>
          </w:tcPr>
          <w:p w14:paraId="46AE67F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(9.212)</w:t>
            </w:r>
          </w:p>
        </w:tc>
        <w:tc>
          <w:tcPr>
            <w:tcW w:w="1880" w:type="dxa"/>
            <w:tcBorders>
              <w:top w:val="nil"/>
              <w:left w:val="nil"/>
              <w:bottom w:val="single" w:sz="8" w:space="0" w:color="D9D9D9"/>
              <w:right w:val="single" w:sz="8" w:space="0" w:color="BFBFBF"/>
            </w:tcBorders>
            <w:shd w:val="clear" w:color="auto" w:fill="auto"/>
            <w:noWrap/>
            <w:vAlign w:val="center"/>
            <w:hideMark/>
          </w:tcPr>
          <w:p w14:paraId="2BD887E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(8.490)</w:t>
            </w:r>
          </w:p>
        </w:tc>
      </w:tr>
      <w:tr w:rsidR="00E66C9A" w:rsidRPr="00426BBC" w14:paraId="48AF3F7E"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19A53B84" w14:textId="2F2D545D"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Net </w:t>
            </w:r>
            <w:r w:rsidR="006A5785" w:rsidRPr="00426BBC">
              <w:rPr>
                <w:rFonts w:asciiTheme="minorHAnsi" w:hAnsiTheme="minorHAnsi" w:cstheme="minorHAnsi"/>
                <w:b/>
                <w:bCs/>
                <w:color w:val="366092"/>
                <w:sz w:val="20"/>
                <w:szCs w:val="20"/>
                <w:lang w:val="en-GB"/>
              </w:rPr>
              <w:t xml:space="preserve">profit </w:t>
            </w:r>
            <w:r w:rsidRPr="00426BBC">
              <w:rPr>
                <w:rFonts w:asciiTheme="minorHAnsi" w:hAnsiTheme="minorHAnsi" w:cstheme="minorHAnsi"/>
                <w:b/>
                <w:bCs/>
                <w:color w:val="366092"/>
                <w:sz w:val="20"/>
                <w:szCs w:val="20"/>
                <w:lang w:val="en-GB"/>
              </w:rPr>
              <w:t>for the year</w:t>
            </w:r>
          </w:p>
        </w:tc>
        <w:tc>
          <w:tcPr>
            <w:tcW w:w="1880" w:type="dxa"/>
            <w:tcBorders>
              <w:top w:val="nil"/>
              <w:left w:val="nil"/>
              <w:bottom w:val="single" w:sz="8" w:space="0" w:color="BFBFBF"/>
              <w:right w:val="single" w:sz="8" w:space="0" w:color="BFBFBF"/>
            </w:tcBorders>
            <w:shd w:val="clear" w:color="000000" w:fill="DCE6F1"/>
            <w:noWrap/>
            <w:vAlign w:val="center"/>
            <w:hideMark/>
          </w:tcPr>
          <w:p w14:paraId="72E8F6A4"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28.856 </w:t>
            </w:r>
          </w:p>
        </w:tc>
        <w:tc>
          <w:tcPr>
            <w:tcW w:w="1880" w:type="dxa"/>
            <w:tcBorders>
              <w:top w:val="nil"/>
              <w:left w:val="nil"/>
              <w:bottom w:val="single" w:sz="8" w:space="0" w:color="D9D9D9"/>
              <w:right w:val="single" w:sz="8" w:space="0" w:color="BFBFBF"/>
            </w:tcBorders>
            <w:shd w:val="clear" w:color="auto" w:fill="auto"/>
            <w:noWrap/>
            <w:vAlign w:val="center"/>
            <w:hideMark/>
          </w:tcPr>
          <w:p w14:paraId="6E4ADA8D"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27.053 </w:t>
            </w:r>
          </w:p>
        </w:tc>
      </w:tr>
      <w:tr w:rsidR="00E66C9A" w:rsidRPr="00426BBC" w14:paraId="7E54CDBC" w14:textId="77777777" w:rsidTr="001857FB">
        <w:trPr>
          <w:trHeight w:val="390"/>
        </w:trPr>
        <w:tc>
          <w:tcPr>
            <w:tcW w:w="7540" w:type="dxa"/>
            <w:tcBorders>
              <w:top w:val="nil"/>
              <w:left w:val="single" w:sz="8" w:space="0" w:color="BFBFBF"/>
              <w:bottom w:val="nil"/>
              <w:right w:val="single" w:sz="8" w:space="0" w:color="BFBFBF"/>
            </w:tcBorders>
            <w:shd w:val="clear" w:color="000000" w:fill="FFFFFF"/>
            <w:vAlign w:val="center"/>
            <w:hideMark/>
          </w:tcPr>
          <w:p w14:paraId="0623B0C0"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Attributable to:</w:t>
            </w:r>
          </w:p>
        </w:tc>
        <w:tc>
          <w:tcPr>
            <w:tcW w:w="1880" w:type="dxa"/>
            <w:tcBorders>
              <w:top w:val="nil"/>
              <w:left w:val="nil"/>
              <w:bottom w:val="nil"/>
              <w:right w:val="single" w:sz="8" w:space="0" w:color="BFBFBF"/>
            </w:tcBorders>
            <w:shd w:val="clear" w:color="000000" w:fill="DCE6F1"/>
            <w:noWrap/>
            <w:vAlign w:val="bottom"/>
            <w:hideMark/>
          </w:tcPr>
          <w:p w14:paraId="22405F6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1A9918B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2F668491" w14:textId="77777777" w:rsidTr="001857FB">
        <w:trPr>
          <w:trHeight w:val="39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16658F2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Owners of the parent</w:t>
            </w:r>
          </w:p>
        </w:tc>
        <w:tc>
          <w:tcPr>
            <w:tcW w:w="1880" w:type="dxa"/>
            <w:tcBorders>
              <w:top w:val="nil"/>
              <w:left w:val="nil"/>
              <w:bottom w:val="single" w:sz="8" w:space="0" w:color="BFBFBF"/>
              <w:right w:val="single" w:sz="8" w:space="0" w:color="BFBFBF"/>
            </w:tcBorders>
            <w:shd w:val="clear" w:color="000000" w:fill="DCE6F1"/>
            <w:noWrap/>
            <w:vAlign w:val="center"/>
            <w:hideMark/>
          </w:tcPr>
          <w:p w14:paraId="513257C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28.856 </w:t>
            </w:r>
          </w:p>
        </w:tc>
        <w:tc>
          <w:tcPr>
            <w:tcW w:w="1880" w:type="dxa"/>
            <w:tcBorders>
              <w:top w:val="nil"/>
              <w:left w:val="nil"/>
              <w:bottom w:val="single" w:sz="8" w:space="0" w:color="BFBFBF"/>
              <w:right w:val="single" w:sz="8" w:space="0" w:color="BFBFBF"/>
            </w:tcBorders>
            <w:shd w:val="clear" w:color="auto" w:fill="auto"/>
            <w:noWrap/>
            <w:vAlign w:val="center"/>
            <w:hideMark/>
          </w:tcPr>
          <w:p w14:paraId="135E9AD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27.053 </w:t>
            </w:r>
          </w:p>
        </w:tc>
      </w:tr>
      <w:tr w:rsidR="00E66C9A" w:rsidRPr="00426BBC" w14:paraId="692EB5F9" w14:textId="77777777" w:rsidTr="001857FB">
        <w:trPr>
          <w:trHeight w:val="630"/>
        </w:trPr>
        <w:tc>
          <w:tcPr>
            <w:tcW w:w="7540" w:type="dxa"/>
            <w:tcBorders>
              <w:top w:val="nil"/>
              <w:left w:val="single" w:sz="8" w:space="0" w:color="BFBFBF"/>
              <w:bottom w:val="single" w:sz="8" w:space="0" w:color="BFBFBF"/>
              <w:right w:val="single" w:sz="8" w:space="0" w:color="BFBFBF"/>
            </w:tcBorders>
            <w:shd w:val="clear" w:color="000000" w:fill="FFFFFF"/>
            <w:vAlign w:val="center"/>
            <w:hideMark/>
          </w:tcPr>
          <w:p w14:paraId="0AF88872" w14:textId="790A2F33"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Total net </w:t>
            </w:r>
            <w:r w:rsidR="006A5785" w:rsidRPr="00426BBC">
              <w:rPr>
                <w:rFonts w:asciiTheme="minorHAnsi" w:hAnsiTheme="minorHAnsi" w:cstheme="minorHAnsi"/>
                <w:b/>
                <w:bCs/>
                <w:color w:val="366092"/>
                <w:sz w:val="20"/>
                <w:szCs w:val="20"/>
                <w:lang w:val="en-GB"/>
              </w:rPr>
              <w:t>profit</w:t>
            </w:r>
          </w:p>
        </w:tc>
        <w:tc>
          <w:tcPr>
            <w:tcW w:w="1880" w:type="dxa"/>
            <w:tcBorders>
              <w:top w:val="nil"/>
              <w:left w:val="nil"/>
              <w:bottom w:val="single" w:sz="8" w:space="0" w:color="BFBFBF"/>
              <w:right w:val="single" w:sz="8" w:space="0" w:color="BFBFBF"/>
            </w:tcBorders>
            <w:shd w:val="clear" w:color="000000" w:fill="DCE6F1"/>
            <w:noWrap/>
            <w:vAlign w:val="center"/>
            <w:hideMark/>
          </w:tcPr>
          <w:p w14:paraId="7B9721C0" w14:textId="77777777" w:rsidR="00E66C9A" w:rsidRPr="00426BBC" w:rsidRDefault="00E66C9A" w:rsidP="001857FB">
            <w:pPr>
              <w:jc w:val="left"/>
              <w:rPr>
                <w:rFonts w:asciiTheme="minorHAnsi" w:hAnsiTheme="minorHAnsi" w:cstheme="minorHAnsi"/>
                <w:b/>
                <w:bCs/>
                <w:color w:val="00B0F0"/>
                <w:sz w:val="20"/>
                <w:szCs w:val="20"/>
                <w:lang w:val="en-GB"/>
              </w:rPr>
            </w:pPr>
            <w:r w:rsidRPr="00426BBC">
              <w:rPr>
                <w:rFonts w:asciiTheme="minorHAnsi" w:hAnsiTheme="minorHAnsi" w:cstheme="minorHAnsi"/>
                <w:b/>
                <w:bCs/>
                <w:color w:val="366092"/>
                <w:sz w:val="20"/>
                <w:szCs w:val="20"/>
                <w:lang w:val="en-GB"/>
              </w:rPr>
              <w:t xml:space="preserve">                        28.856</w:t>
            </w:r>
            <w:r w:rsidRPr="00426BBC">
              <w:rPr>
                <w:rFonts w:asciiTheme="minorHAnsi" w:hAnsiTheme="minorHAnsi" w:cstheme="minorHAnsi"/>
                <w:b/>
                <w:bCs/>
                <w:color w:val="00B0F0"/>
                <w:sz w:val="20"/>
                <w:szCs w:val="20"/>
                <w:lang w:val="en-GB"/>
              </w:rPr>
              <w:t xml:space="preserve"> </w:t>
            </w:r>
          </w:p>
        </w:tc>
        <w:tc>
          <w:tcPr>
            <w:tcW w:w="1880" w:type="dxa"/>
            <w:tcBorders>
              <w:top w:val="nil"/>
              <w:left w:val="nil"/>
              <w:bottom w:val="single" w:sz="8" w:space="0" w:color="BFBFBF"/>
              <w:right w:val="single" w:sz="8" w:space="0" w:color="BFBFBF"/>
            </w:tcBorders>
            <w:shd w:val="clear" w:color="auto" w:fill="auto"/>
            <w:noWrap/>
            <w:vAlign w:val="center"/>
            <w:hideMark/>
          </w:tcPr>
          <w:p w14:paraId="6FF6C69F"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27.053 </w:t>
            </w:r>
          </w:p>
        </w:tc>
      </w:tr>
      <w:tr w:rsidR="00E66C9A" w:rsidRPr="00426BBC" w14:paraId="10B0BF84" w14:textId="77777777" w:rsidTr="001857FB">
        <w:trPr>
          <w:trHeight w:val="390"/>
        </w:trPr>
        <w:tc>
          <w:tcPr>
            <w:tcW w:w="7540" w:type="dxa"/>
            <w:tcBorders>
              <w:top w:val="nil"/>
              <w:left w:val="single" w:sz="8" w:space="0" w:color="BFBFBF"/>
              <w:bottom w:val="nil"/>
              <w:right w:val="single" w:sz="8" w:space="0" w:color="BFBFBF"/>
            </w:tcBorders>
            <w:shd w:val="clear" w:color="000000" w:fill="FFFFFF"/>
            <w:vAlign w:val="center"/>
            <w:hideMark/>
          </w:tcPr>
          <w:p w14:paraId="4008072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Basic earnings per share ($) </w:t>
            </w:r>
          </w:p>
        </w:tc>
        <w:tc>
          <w:tcPr>
            <w:tcW w:w="1880" w:type="dxa"/>
            <w:tcBorders>
              <w:top w:val="nil"/>
              <w:left w:val="nil"/>
              <w:bottom w:val="single" w:sz="8" w:space="0" w:color="BFBFBF"/>
              <w:right w:val="single" w:sz="8" w:space="0" w:color="BFBFBF"/>
            </w:tcBorders>
            <w:shd w:val="clear" w:color="000000" w:fill="DCE6F1"/>
            <w:noWrap/>
            <w:vAlign w:val="center"/>
            <w:hideMark/>
          </w:tcPr>
          <w:p w14:paraId="0F07E42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0,045 </w:t>
            </w:r>
          </w:p>
        </w:tc>
        <w:tc>
          <w:tcPr>
            <w:tcW w:w="1880" w:type="dxa"/>
            <w:tcBorders>
              <w:top w:val="nil"/>
              <w:left w:val="nil"/>
              <w:bottom w:val="nil"/>
              <w:right w:val="single" w:sz="8" w:space="0" w:color="BFBFBF"/>
            </w:tcBorders>
            <w:shd w:val="clear" w:color="auto" w:fill="auto"/>
            <w:vAlign w:val="center"/>
            <w:hideMark/>
          </w:tcPr>
          <w:p w14:paraId="3CC946DF"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0,043 </w:t>
            </w:r>
          </w:p>
        </w:tc>
      </w:tr>
      <w:tr w:rsidR="00E66C9A" w:rsidRPr="00426BBC" w14:paraId="70FA3608" w14:textId="77777777" w:rsidTr="001857FB">
        <w:trPr>
          <w:trHeight w:val="390"/>
        </w:trPr>
        <w:tc>
          <w:tcPr>
            <w:tcW w:w="754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67AFF102" w14:textId="5A621765" w:rsidR="00E66C9A" w:rsidRPr="00426BBC" w:rsidRDefault="00166768"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Fully diluted</w:t>
            </w:r>
            <w:r w:rsidR="00E66C9A" w:rsidRPr="00426BBC">
              <w:rPr>
                <w:rFonts w:asciiTheme="minorHAnsi" w:hAnsiTheme="minorHAnsi" w:cstheme="minorHAnsi"/>
                <w:color w:val="808080"/>
                <w:sz w:val="20"/>
                <w:szCs w:val="20"/>
                <w:lang w:val="en-GB"/>
              </w:rPr>
              <w:t xml:space="preserve"> earnings per share ($) </w:t>
            </w:r>
          </w:p>
        </w:tc>
        <w:tc>
          <w:tcPr>
            <w:tcW w:w="1880" w:type="dxa"/>
            <w:tcBorders>
              <w:top w:val="nil"/>
              <w:left w:val="nil"/>
              <w:bottom w:val="single" w:sz="8" w:space="0" w:color="BFBFBF"/>
              <w:right w:val="single" w:sz="8" w:space="0" w:color="BFBFBF"/>
            </w:tcBorders>
            <w:shd w:val="clear" w:color="000000" w:fill="DCE6F1"/>
            <w:noWrap/>
            <w:vAlign w:val="center"/>
            <w:hideMark/>
          </w:tcPr>
          <w:p w14:paraId="63BDD38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0,039 </w:t>
            </w:r>
          </w:p>
        </w:tc>
        <w:tc>
          <w:tcPr>
            <w:tcW w:w="1880" w:type="dxa"/>
            <w:tcBorders>
              <w:top w:val="single" w:sz="8" w:space="0" w:color="BFBFBF"/>
              <w:left w:val="nil"/>
              <w:bottom w:val="single" w:sz="8" w:space="0" w:color="BFBFBF"/>
              <w:right w:val="single" w:sz="8" w:space="0" w:color="BFBFBF"/>
            </w:tcBorders>
            <w:shd w:val="clear" w:color="auto" w:fill="auto"/>
            <w:vAlign w:val="center"/>
            <w:hideMark/>
          </w:tcPr>
          <w:p w14:paraId="0469FC21"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0,040 </w:t>
            </w:r>
          </w:p>
        </w:tc>
      </w:tr>
    </w:tbl>
    <w:p w14:paraId="49F7CC03" w14:textId="77777777" w:rsidR="00E66C9A" w:rsidRPr="00426BBC" w:rsidRDefault="00E66C9A" w:rsidP="00E66C9A">
      <w:pPr>
        <w:rPr>
          <w:rFonts w:asciiTheme="minorHAnsi" w:hAnsiTheme="minorHAnsi" w:cstheme="minorHAnsi"/>
          <w:color w:val="59595B"/>
          <w:lang w:val="en-GB"/>
        </w:rPr>
      </w:pPr>
    </w:p>
    <w:p w14:paraId="425A79B7" w14:textId="77777777" w:rsidR="00E66C9A" w:rsidRPr="00426BBC" w:rsidRDefault="00E66C9A" w:rsidP="00E66C9A">
      <w:pPr>
        <w:rPr>
          <w:rFonts w:asciiTheme="minorHAnsi" w:hAnsiTheme="minorHAnsi" w:cstheme="minorHAnsi"/>
          <w:color w:val="59595B"/>
          <w:lang w:val="en-GB"/>
        </w:rPr>
      </w:pPr>
    </w:p>
    <w:p w14:paraId="23FC272A" w14:textId="77777777" w:rsidR="00E66C9A" w:rsidRPr="00426BBC" w:rsidRDefault="00E66C9A" w:rsidP="00E66C9A">
      <w:pPr>
        <w:rPr>
          <w:rFonts w:asciiTheme="minorHAnsi" w:hAnsiTheme="minorHAnsi" w:cstheme="minorHAnsi"/>
          <w:color w:val="59595B"/>
          <w:lang w:val="en-GB"/>
        </w:rPr>
      </w:pPr>
    </w:p>
    <w:p w14:paraId="1B774D41" w14:textId="77777777" w:rsidR="00E66C9A" w:rsidRPr="00426BBC" w:rsidRDefault="00E66C9A" w:rsidP="00E66C9A">
      <w:pPr>
        <w:rPr>
          <w:rFonts w:asciiTheme="minorHAnsi" w:hAnsiTheme="minorHAnsi" w:cstheme="minorHAnsi"/>
          <w:color w:val="59595B"/>
          <w:lang w:val="en-GB"/>
        </w:rPr>
      </w:pPr>
    </w:p>
    <w:p w14:paraId="584D29E8" w14:textId="1C2C40E5" w:rsidR="00E66C9A" w:rsidRPr="00426BBC" w:rsidRDefault="00E66C9A" w:rsidP="00E66C9A">
      <w:pPr>
        <w:rPr>
          <w:rFonts w:asciiTheme="minorHAnsi" w:eastAsiaTheme="majorEastAsia" w:hAnsiTheme="minorHAnsi" w:cstheme="minorHAnsi"/>
          <w:b/>
          <w:color w:val="59595B"/>
          <w:szCs w:val="28"/>
          <w:lang w:val="en-GB" w:eastAsia="zh-CN"/>
        </w:rPr>
      </w:pPr>
    </w:p>
    <w:p w14:paraId="68C25393" w14:textId="020D2C10" w:rsidR="0071574C" w:rsidRPr="00426BBC" w:rsidRDefault="0071574C" w:rsidP="00E66C9A">
      <w:pPr>
        <w:rPr>
          <w:rFonts w:asciiTheme="minorHAnsi" w:eastAsiaTheme="majorEastAsia" w:hAnsiTheme="minorHAnsi" w:cstheme="minorHAnsi"/>
          <w:b/>
          <w:color w:val="59595B"/>
          <w:szCs w:val="28"/>
          <w:lang w:val="en-GB" w:eastAsia="zh-CN"/>
        </w:rPr>
      </w:pPr>
    </w:p>
    <w:p w14:paraId="4E600661" w14:textId="54E1834B" w:rsidR="0071574C" w:rsidRPr="00426BBC" w:rsidRDefault="0071574C" w:rsidP="00E66C9A">
      <w:pPr>
        <w:rPr>
          <w:rFonts w:asciiTheme="minorHAnsi" w:eastAsiaTheme="majorEastAsia" w:hAnsiTheme="minorHAnsi" w:cstheme="minorHAnsi"/>
          <w:b/>
          <w:color w:val="59595B"/>
          <w:szCs w:val="28"/>
          <w:lang w:val="en-GB" w:eastAsia="zh-CN"/>
        </w:rPr>
      </w:pPr>
    </w:p>
    <w:p w14:paraId="6A76ACBC" w14:textId="65CD95FD" w:rsidR="0071574C" w:rsidRPr="00426BBC" w:rsidRDefault="0071574C" w:rsidP="00E66C9A">
      <w:pPr>
        <w:rPr>
          <w:rFonts w:asciiTheme="minorHAnsi" w:eastAsiaTheme="majorEastAsia" w:hAnsiTheme="minorHAnsi" w:cstheme="minorHAnsi"/>
          <w:b/>
          <w:color w:val="59595B"/>
          <w:szCs w:val="28"/>
          <w:lang w:val="en-GB" w:eastAsia="zh-CN"/>
        </w:rPr>
      </w:pPr>
    </w:p>
    <w:p w14:paraId="1B00081E" w14:textId="6B442E61" w:rsidR="0071574C" w:rsidRPr="00426BBC" w:rsidRDefault="0071574C" w:rsidP="00E66C9A">
      <w:pPr>
        <w:rPr>
          <w:rFonts w:asciiTheme="minorHAnsi" w:eastAsiaTheme="majorEastAsia" w:hAnsiTheme="minorHAnsi" w:cstheme="minorHAnsi"/>
          <w:b/>
          <w:color w:val="59595B"/>
          <w:szCs w:val="28"/>
          <w:lang w:val="en-GB" w:eastAsia="zh-CN"/>
        </w:rPr>
      </w:pPr>
    </w:p>
    <w:p w14:paraId="31B42405" w14:textId="66D69321" w:rsidR="0071574C" w:rsidRPr="00426BBC" w:rsidRDefault="0071574C" w:rsidP="00E66C9A">
      <w:pPr>
        <w:rPr>
          <w:rFonts w:asciiTheme="minorHAnsi" w:eastAsiaTheme="majorEastAsia" w:hAnsiTheme="minorHAnsi" w:cstheme="minorHAnsi"/>
          <w:b/>
          <w:color w:val="59595B"/>
          <w:szCs w:val="28"/>
          <w:lang w:val="en-GB" w:eastAsia="zh-CN"/>
        </w:rPr>
      </w:pPr>
    </w:p>
    <w:p w14:paraId="50D7457C" w14:textId="6D91807C" w:rsidR="0071574C" w:rsidRPr="00426BBC" w:rsidRDefault="0071574C" w:rsidP="00E66C9A">
      <w:pPr>
        <w:rPr>
          <w:rFonts w:asciiTheme="minorHAnsi" w:eastAsiaTheme="majorEastAsia" w:hAnsiTheme="minorHAnsi" w:cstheme="minorHAnsi"/>
          <w:b/>
          <w:color w:val="59595B"/>
          <w:szCs w:val="28"/>
          <w:lang w:val="en-GB" w:eastAsia="zh-CN"/>
        </w:rPr>
      </w:pPr>
    </w:p>
    <w:p w14:paraId="01FAF81B" w14:textId="140CDC62" w:rsidR="0071574C" w:rsidRPr="00426BBC" w:rsidRDefault="0071574C" w:rsidP="00E66C9A">
      <w:pPr>
        <w:rPr>
          <w:rFonts w:asciiTheme="minorHAnsi" w:eastAsiaTheme="majorEastAsia" w:hAnsiTheme="minorHAnsi" w:cstheme="minorHAnsi"/>
          <w:b/>
          <w:color w:val="59595B"/>
          <w:szCs w:val="28"/>
          <w:lang w:val="en-GB" w:eastAsia="zh-CN"/>
        </w:rPr>
      </w:pPr>
    </w:p>
    <w:p w14:paraId="7E0E9B6C" w14:textId="77777777" w:rsidR="0071574C" w:rsidRPr="00426BBC" w:rsidRDefault="0071574C" w:rsidP="00E66C9A">
      <w:pPr>
        <w:rPr>
          <w:rFonts w:asciiTheme="minorHAnsi" w:eastAsiaTheme="majorEastAsia" w:hAnsiTheme="minorHAnsi" w:cstheme="minorHAnsi"/>
          <w:b/>
          <w:color w:val="59595B"/>
          <w:szCs w:val="28"/>
          <w:lang w:val="en-GB" w:eastAsia="zh-CN"/>
        </w:rPr>
      </w:pPr>
    </w:p>
    <w:p w14:paraId="2192FFB4" w14:textId="583A86AB" w:rsidR="00E66C9A" w:rsidRPr="00426BBC" w:rsidRDefault="00E66C9A" w:rsidP="00E66C9A">
      <w:pPr>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t>Condensed Consolidated Balance Sheet in</w:t>
      </w:r>
      <w:r w:rsidRPr="00426BBC">
        <w:rPr>
          <w:rFonts w:asciiTheme="minorHAnsi" w:eastAsiaTheme="majorEastAsia" w:hAnsiTheme="minorHAnsi" w:cstheme="minorHAnsi"/>
          <w:b/>
          <w:color w:val="59595B"/>
          <w:szCs w:val="28"/>
          <w:u w:val="single"/>
          <w:lang w:val="en-GB" w:eastAsia="zh-CN"/>
        </w:rPr>
        <w:t xml:space="preserve"> US Dollars</w:t>
      </w:r>
    </w:p>
    <w:p w14:paraId="1F6858B6" w14:textId="77777777" w:rsidR="00E66C9A" w:rsidRPr="00426BBC" w:rsidRDefault="00E66C9A" w:rsidP="00E66C9A">
      <w:pPr>
        <w:rPr>
          <w:rFonts w:asciiTheme="minorHAnsi" w:hAnsiTheme="minorHAnsi" w:cstheme="minorHAnsi"/>
          <w:color w:val="59595B"/>
          <w:lang w:val="en-GB"/>
        </w:rPr>
      </w:pPr>
      <w:r w:rsidRPr="00E9120D">
        <w:rPr>
          <w:rFonts w:asciiTheme="minorHAnsi" w:hAnsiTheme="minorHAnsi" w:cstheme="minorHAnsi"/>
          <w:lang w:val="en-GB"/>
        </w:rPr>
        <w:t xml:space="preserve">As at </w:t>
      </w:r>
      <w:r w:rsidRPr="004F1620">
        <w:rPr>
          <w:rFonts w:asciiTheme="minorHAnsi" w:hAnsiTheme="minorHAnsi" w:cstheme="minorHAnsi"/>
          <w:lang w:val="en-GB"/>
        </w:rPr>
        <w:t>date shown</w:t>
      </w:r>
    </w:p>
    <w:p w14:paraId="011FFA10" w14:textId="77777777" w:rsidR="00E66C9A" w:rsidRPr="00426BBC" w:rsidRDefault="00E66C9A" w:rsidP="00E66C9A">
      <w:pPr>
        <w:rPr>
          <w:rFonts w:asciiTheme="minorHAnsi" w:hAnsiTheme="minorHAnsi" w:cstheme="minorHAnsi"/>
          <w:color w:val="59595B"/>
          <w:lang w:val="en-GB"/>
        </w:rPr>
      </w:pPr>
    </w:p>
    <w:tbl>
      <w:tblPr>
        <w:tblW w:w="9072" w:type="dxa"/>
        <w:tblLook w:val="04A0" w:firstRow="1" w:lastRow="0" w:firstColumn="1" w:lastColumn="0" w:noHBand="0" w:noVBand="1"/>
      </w:tblPr>
      <w:tblGrid>
        <w:gridCol w:w="5312"/>
        <w:gridCol w:w="1880"/>
        <w:gridCol w:w="1880"/>
      </w:tblGrid>
      <w:tr w:rsidR="00E66C9A" w:rsidRPr="00426BBC" w14:paraId="135390B4" w14:textId="77777777" w:rsidTr="001857FB">
        <w:trPr>
          <w:trHeight w:val="510"/>
        </w:trPr>
        <w:tc>
          <w:tcPr>
            <w:tcW w:w="6280" w:type="dxa"/>
            <w:tcBorders>
              <w:top w:val="nil"/>
              <w:left w:val="nil"/>
              <w:bottom w:val="nil"/>
              <w:right w:val="nil"/>
            </w:tcBorders>
            <w:shd w:val="clear" w:color="000000" w:fill="366092"/>
            <w:vAlign w:val="center"/>
            <w:hideMark/>
          </w:tcPr>
          <w:p w14:paraId="42C8F747" w14:textId="77777777" w:rsidR="00E66C9A" w:rsidRPr="00426BBC" w:rsidRDefault="00E66C9A" w:rsidP="001857FB">
            <w:pPr>
              <w:jc w:val="left"/>
              <w:rPr>
                <w:rFonts w:asciiTheme="minorHAnsi" w:hAnsiTheme="minorHAnsi" w:cstheme="minorHAnsi"/>
                <w:color w:val="FFFFFF"/>
                <w:sz w:val="16"/>
                <w:szCs w:val="16"/>
                <w:lang w:val="en-GB"/>
              </w:rPr>
            </w:pPr>
            <w:r w:rsidRPr="00426BBC">
              <w:rPr>
                <w:rFonts w:asciiTheme="minorHAnsi" w:hAnsiTheme="minorHAnsi" w:cstheme="minorHAnsi"/>
                <w:color w:val="FFFFFF"/>
                <w:sz w:val="16"/>
                <w:szCs w:val="16"/>
                <w:lang w:val="en-GB"/>
              </w:rPr>
              <w:t>Amounts in $ ‘000</w:t>
            </w:r>
          </w:p>
        </w:tc>
        <w:tc>
          <w:tcPr>
            <w:tcW w:w="1880" w:type="dxa"/>
            <w:tcBorders>
              <w:top w:val="nil"/>
              <w:left w:val="nil"/>
              <w:bottom w:val="nil"/>
              <w:right w:val="nil"/>
            </w:tcBorders>
            <w:shd w:val="clear" w:color="000000" w:fill="366092"/>
            <w:vAlign w:val="center"/>
            <w:hideMark/>
          </w:tcPr>
          <w:p w14:paraId="32C332DD"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30 September</w:t>
            </w:r>
            <w:r w:rsidRPr="00426BBC">
              <w:rPr>
                <w:rFonts w:asciiTheme="minorHAnsi" w:hAnsiTheme="minorHAnsi" w:cstheme="minorHAnsi"/>
                <w:b/>
                <w:bCs/>
                <w:color w:val="FFFFFF"/>
                <w:sz w:val="20"/>
                <w:szCs w:val="20"/>
                <w:lang w:val="en-GB"/>
              </w:rPr>
              <w:br/>
              <w:t>2020</w:t>
            </w:r>
          </w:p>
        </w:tc>
        <w:tc>
          <w:tcPr>
            <w:tcW w:w="1880" w:type="dxa"/>
            <w:tcBorders>
              <w:top w:val="single" w:sz="8" w:space="0" w:color="BFBFBF"/>
              <w:left w:val="nil"/>
              <w:bottom w:val="single" w:sz="8" w:space="0" w:color="BFBFBF"/>
              <w:right w:val="single" w:sz="8" w:space="0" w:color="BFBFBF"/>
            </w:tcBorders>
            <w:shd w:val="clear" w:color="000000" w:fill="366092"/>
            <w:vAlign w:val="center"/>
            <w:hideMark/>
          </w:tcPr>
          <w:p w14:paraId="058325F3"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31 December</w:t>
            </w:r>
            <w:r w:rsidRPr="00426BBC">
              <w:rPr>
                <w:rFonts w:asciiTheme="minorHAnsi" w:hAnsiTheme="minorHAnsi" w:cstheme="minorHAnsi"/>
                <w:b/>
                <w:bCs/>
                <w:color w:val="FFFFFF"/>
                <w:sz w:val="20"/>
                <w:szCs w:val="20"/>
                <w:lang w:val="en-GB"/>
              </w:rPr>
              <w:br/>
              <w:t>2019</w:t>
            </w:r>
          </w:p>
        </w:tc>
      </w:tr>
      <w:tr w:rsidR="00E66C9A" w:rsidRPr="00426BBC" w14:paraId="02F160DD" w14:textId="77777777" w:rsidTr="001857FB">
        <w:trPr>
          <w:trHeight w:val="240"/>
        </w:trPr>
        <w:tc>
          <w:tcPr>
            <w:tcW w:w="6280" w:type="dxa"/>
            <w:tcBorders>
              <w:top w:val="nil"/>
              <w:left w:val="single" w:sz="8" w:space="0" w:color="D9D9D9"/>
              <w:bottom w:val="nil"/>
              <w:right w:val="single" w:sz="8" w:space="0" w:color="D9D9D9"/>
            </w:tcBorders>
            <w:shd w:val="clear" w:color="000000" w:fill="FFFFFF"/>
            <w:vAlign w:val="center"/>
            <w:hideMark/>
          </w:tcPr>
          <w:p w14:paraId="07E3106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w:t>
            </w:r>
          </w:p>
        </w:tc>
        <w:tc>
          <w:tcPr>
            <w:tcW w:w="1880" w:type="dxa"/>
            <w:tcBorders>
              <w:top w:val="nil"/>
              <w:left w:val="nil"/>
              <w:bottom w:val="nil"/>
              <w:right w:val="single" w:sz="8" w:space="0" w:color="BFBFBF"/>
            </w:tcBorders>
            <w:shd w:val="clear" w:color="000000" w:fill="DCE6F1"/>
            <w:vAlign w:val="center"/>
            <w:hideMark/>
          </w:tcPr>
          <w:p w14:paraId="2CF9E091"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000000" w:fill="FFFFFF"/>
            <w:vAlign w:val="center"/>
            <w:hideMark/>
          </w:tcPr>
          <w:p w14:paraId="0928F2A5"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1304F960"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011DA54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Intangible assets</w:t>
            </w:r>
          </w:p>
        </w:tc>
        <w:tc>
          <w:tcPr>
            <w:tcW w:w="1880" w:type="dxa"/>
            <w:tcBorders>
              <w:top w:val="nil"/>
              <w:left w:val="single" w:sz="8" w:space="0" w:color="BFBFBF"/>
              <w:bottom w:val="nil"/>
              <w:right w:val="single" w:sz="8" w:space="0" w:color="BFBFBF"/>
            </w:tcBorders>
            <w:shd w:val="clear" w:color="000000" w:fill="DCE6F1"/>
            <w:noWrap/>
            <w:vAlign w:val="bottom"/>
            <w:hideMark/>
          </w:tcPr>
          <w:p w14:paraId="69594D1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89.996 </w:t>
            </w:r>
          </w:p>
        </w:tc>
        <w:tc>
          <w:tcPr>
            <w:tcW w:w="1880" w:type="dxa"/>
            <w:tcBorders>
              <w:top w:val="nil"/>
              <w:left w:val="nil"/>
              <w:bottom w:val="nil"/>
              <w:right w:val="single" w:sz="8" w:space="0" w:color="BFBFBF"/>
            </w:tcBorders>
            <w:shd w:val="clear" w:color="auto" w:fill="auto"/>
            <w:noWrap/>
            <w:vAlign w:val="bottom"/>
            <w:hideMark/>
          </w:tcPr>
          <w:p w14:paraId="21F0193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79.405 </w:t>
            </w:r>
          </w:p>
        </w:tc>
      </w:tr>
      <w:tr w:rsidR="00E66C9A" w:rsidRPr="00426BBC" w14:paraId="373E1981"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40DFA4E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Property, plant and equipment</w:t>
            </w:r>
          </w:p>
        </w:tc>
        <w:tc>
          <w:tcPr>
            <w:tcW w:w="1880" w:type="dxa"/>
            <w:tcBorders>
              <w:top w:val="nil"/>
              <w:left w:val="single" w:sz="8" w:space="0" w:color="BFBFBF"/>
              <w:bottom w:val="nil"/>
              <w:right w:val="single" w:sz="8" w:space="0" w:color="BFBFBF"/>
            </w:tcBorders>
            <w:shd w:val="clear" w:color="000000" w:fill="DCE6F1"/>
            <w:noWrap/>
            <w:vAlign w:val="bottom"/>
            <w:hideMark/>
          </w:tcPr>
          <w:p w14:paraId="5EC6014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10.094 </w:t>
            </w:r>
          </w:p>
        </w:tc>
        <w:tc>
          <w:tcPr>
            <w:tcW w:w="1880" w:type="dxa"/>
            <w:tcBorders>
              <w:top w:val="nil"/>
              <w:left w:val="nil"/>
              <w:bottom w:val="nil"/>
              <w:right w:val="single" w:sz="8" w:space="0" w:color="BFBFBF"/>
            </w:tcBorders>
            <w:shd w:val="clear" w:color="auto" w:fill="auto"/>
            <w:noWrap/>
            <w:vAlign w:val="bottom"/>
            <w:hideMark/>
          </w:tcPr>
          <w:p w14:paraId="6D2B754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9.591 </w:t>
            </w:r>
          </w:p>
        </w:tc>
      </w:tr>
      <w:tr w:rsidR="00E66C9A" w:rsidRPr="00426BBC" w14:paraId="3E7508C5"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64652A1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Right-of-use assets</w:t>
            </w:r>
          </w:p>
        </w:tc>
        <w:tc>
          <w:tcPr>
            <w:tcW w:w="1880" w:type="dxa"/>
            <w:tcBorders>
              <w:top w:val="nil"/>
              <w:left w:val="single" w:sz="8" w:space="0" w:color="BFBFBF"/>
              <w:bottom w:val="nil"/>
              <w:right w:val="single" w:sz="8" w:space="0" w:color="BFBFBF"/>
            </w:tcBorders>
            <w:shd w:val="clear" w:color="000000" w:fill="DCE6F1"/>
            <w:noWrap/>
            <w:vAlign w:val="bottom"/>
            <w:hideMark/>
          </w:tcPr>
          <w:p w14:paraId="180C0E4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9.219 </w:t>
            </w:r>
          </w:p>
        </w:tc>
        <w:tc>
          <w:tcPr>
            <w:tcW w:w="1880" w:type="dxa"/>
            <w:tcBorders>
              <w:top w:val="nil"/>
              <w:left w:val="nil"/>
              <w:bottom w:val="nil"/>
              <w:right w:val="single" w:sz="8" w:space="0" w:color="BFBFBF"/>
            </w:tcBorders>
            <w:shd w:val="clear" w:color="auto" w:fill="auto"/>
            <w:noWrap/>
            <w:vAlign w:val="bottom"/>
            <w:hideMark/>
          </w:tcPr>
          <w:p w14:paraId="218D229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6.705 </w:t>
            </w:r>
          </w:p>
        </w:tc>
      </w:tr>
      <w:tr w:rsidR="00E66C9A" w:rsidRPr="00426BBC" w14:paraId="3D324378"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2ADE487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Deferred tax assets</w:t>
            </w:r>
          </w:p>
        </w:tc>
        <w:tc>
          <w:tcPr>
            <w:tcW w:w="1880" w:type="dxa"/>
            <w:tcBorders>
              <w:top w:val="nil"/>
              <w:left w:val="single" w:sz="8" w:space="0" w:color="BFBFBF"/>
              <w:bottom w:val="nil"/>
              <w:right w:val="single" w:sz="8" w:space="0" w:color="BFBFBF"/>
            </w:tcBorders>
            <w:shd w:val="clear" w:color="000000" w:fill="DCE6F1"/>
            <w:noWrap/>
            <w:vAlign w:val="bottom"/>
            <w:hideMark/>
          </w:tcPr>
          <w:p w14:paraId="2C8E70A5" w14:textId="65788D18"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24.</w:t>
            </w:r>
            <w:r w:rsidR="007C186D" w:rsidRPr="00426BBC">
              <w:rPr>
                <w:rFonts w:asciiTheme="minorHAnsi" w:hAnsiTheme="minorHAnsi" w:cstheme="minorHAnsi"/>
                <w:color w:val="808080"/>
                <w:sz w:val="20"/>
                <w:szCs w:val="20"/>
                <w:lang w:val="en-GB"/>
              </w:rPr>
              <w:t>946</w:t>
            </w:r>
            <w:r w:rsidRPr="00426BBC">
              <w:rPr>
                <w:rFonts w:asciiTheme="minorHAnsi" w:hAnsiTheme="minorHAnsi" w:cstheme="minorHAnsi"/>
                <w:color w:val="808080"/>
                <w:sz w:val="20"/>
                <w:szCs w:val="20"/>
                <w:lang w:val="en-GB"/>
              </w:rPr>
              <w:t xml:space="preserve"> </w:t>
            </w:r>
          </w:p>
        </w:tc>
        <w:tc>
          <w:tcPr>
            <w:tcW w:w="1880" w:type="dxa"/>
            <w:tcBorders>
              <w:top w:val="nil"/>
              <w:left w:val="nil"/>
              <w:bottom w:val="nil"/>
              <w:right w:val="single" w:sz="8" w:space="0" w:color="BFBFBF"/>
            </w:tcBorders>
            <w:shd w:val="clear" w:color="auto" w:fill="auto"/>
            <w:noWrap/>
            <w:vAlign w:val="bottom"/>
            <w:hideMark/>
          </w:tcPr>
          <w:p w14:paraId="6F842FF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32.061 </w:t>
            </w:r>
          </w:p>
        </w:tc>
      </w:tr>
      <w:tr w:rsidR="00E66C9A" w:rsidRPr="00426BBC" w14:paraId="73A93643"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4C5339E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Investments accounted for using the equity method</w:t>
            </w:r>
          </w:p>
        </w:tc>
        <w:tc>
          <w:tcPr>
            <w:tcW w:w="1880" w:type="dxa"/>
            <w:tcBorders>
              <w:top w:val="nil"/>
              <w:left w:val="single" w:sz="8" w:space="0" w:color="BFBFBF"/>
              <w:bottom w:val="nil"/>
              <w:right w:val="single" w:sz="8" w:space="0" w:color="BFBFBF"/>
            </w:tcBorders>
            <w:shd w:val="clear" w:color="000000" w:fill="DCE6F1"/>
            <w:noWrap/>
            <w:vAlign w:val="bottom"/>
            <w:hideMark/>
          </w:tcPr>
          <w:p w14:paraId="2FE1D8B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6.646 </w:t>
            </w:r>
          </w:p>
        </w:tc>
        <w:tc>
          <w:tcPr>
            <w:tcW w:w="1880" w:type="dxa"/>
            <w:tcBorders>
              <w:top w:val="nil"/>
              <w:left w:val="nil"/>
              <w:bottom w:val="nil"/>
              <w:right w:val="single" w:sz="8" w:space="0" w:color="BFBFBF"/>
            </w:tcBorders>
            <w:shd w:val="clear" w:color="auto" w:fill="auto"/>
            <w:noWrap/>
            <w:vAlign w:val="bottom"/>
            <w:hideMark/>
          </w:tcPr>
          <w:p w14:paraId="0643D75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6.177 </w:t>
            </w:r>
          </w:p>
        </w:tc>
      </w:tr>
      <w:tr w:rsidR="00E66C9A" w:rsidRPr="00426BBC" w14:paraId="7B45138F"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3D93ACB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Restricted cash</w:t>
            </w:r>
          </w:p>
        </w:tc>
        <w:tc>
          <w:tcPr>
            <w:tcW w:w="1880" w:type="dxa"/>
            <w:tcBorders>
              <w:top w:val="nil"/>
              <w:left w:val="single" w:sz="8" w:space="0" w:color="BFBFBF"/>
              <w:bottom w:val="nil"/>
              <w:right w:val="single" w:sz="8" w:space="0" w:color="BFBFBF"/>
            </w:tcBorders>
            <w:shd w:val="clear" w:color="000000" w:fill="DCE6F1"/>
            <w:noWrap/>
            <w:vAlign w:val="bottom"/>
            <w:hideMark/>
          </w:tcPr>
          <w:p w14:paraId="6556A70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1.469 </w:t>
            </w:r>
          </w:p>
        </w:tc>
        <w:tc>
          <w:tcPr>
            <w:tcW w:w="1880" w:type="dxa"/>
            <w:tcBorders>
              <w:top w:val="nil"/>
              <w:left w:val="nil"/>
              <w:bottom w:val="nil"/>
              <w:right w:val="single" w:sz="8" w:space="0" w:color="BFBFBF"/>
            </w:tcBorders>
            <w:shd w:val="clear" w:color="auto" w:fill="auto"/>
            <w:noWrap/>
            <w:vAlign w:val="bottom"/>
            <w:hideMark/>
          </w:tcPr>
          <w:p w14:paraId="48518AC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2.543 </w:t>
            </w:r>
          </w:p>
        </w:tc>
      </w:tr>
      <w:tr w:rsidR="00E66C9A" w:rsidRPr="00426BBC" w14:paraId="671279A8"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240C420C"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Non-current assets</w:t>
            </w:r>
          </w:p>
        </w:tc>
        <w:tc>
          <w:tcPr>
            <w:tcW w:w="1880" w:type="dxa"/>
            <w:tcBorders>
              <w:top w:val="nil"/>
              <w:left w:val="single" w:sz="8" w:space="0" w:color="BFBFBF"/>
              <w:bottom w:val="nil"/>
              <w:right w:val="single" w:sz="8" w:space="0" w:color="BFBFBF"/>
            </w:tcBorders>
            <w:shd w:val="clear" w:color="000000" w:fill="DCE6F1"/>
            <w:noWrap/>
            <w:vAlign w:val="bottom"/>
            <w:hideMark/>
          </w:tcPr>
          <w:p w14:paraId="054E8BD2" w14:textId="40C1735F"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142.</w:t>
            </w:r>
            <w:r w:rsidR="007C186D" w:rsidRPr="00426BBC">
              <w:rPr>
                <w:rFonts w:asciiTheme="minorHAnsi" w:hAnsiTheme="minorHAnsi" w:cstheme="minorHAnsi"/>
                <w:b/>
                <w:bCs/>
                <w:color w:val="808080"/>
                <w:sz w:val="20"/>
                <w:szCs w:val="20"/>
                <w:lang w:val="en-GB"/>
              </w:rPr>
              <w:t>370</w:t>
            </w:r>
            <w:r w:rsidRPr="00426BBC">
              <w:rPr>
                <w:rFonts w:asciiTheme="minorHAnsi" w:hAnsiTheme="minorHAnsi" w:cstheme="minorHAnsi"/>
                <w:b/>
                <w:bCs/>
                <w:color w:val="808080"/>
                <w:sz w:val="20"/>
                <w:szCs w:val="20"/>
                <w:lang w:val="en-GB"/>
              </w:rPr>
              <w:t xml:space="preserve"> </w:t>
            </w:r>
          </w:p>
        </w:tc>
        <w:tc>
          <w:tcPr>
            <w:tcW w:w="1880" w:type="dxa"/>
            <w:tcBorders>
              <w:top w:val="nil"/>
              <w:left w:val="nil"/>
              <w:bottom w:val="nil"/>
              <w:right w:val="single" w:sz="8" w:space="0" w:color="BFBFBF"/>
            </w:tcBorders>
            <w:shd w:val="clear" w:color="auto" w:fill="auto"/>
            <w:noWrap/>
            <w:vAlign w:val="bottom"/>
            <w:hideMark/>
          </w:tcPr>
          <w:p w14:paraId="3156B961"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136.482 </w:t>
            </w:r>
          </w:p>
        </w:tc>
      </w:tr>
      <w:tr w:rsidR="00E66C9A" w:rsidRPr="00426BBC" w14:paraId="2B1CF35D" w14:textId="77777777" w:rsidTr="001857FB">
        <w:trPr>
          <w:trHeight w:val="240"/>
        </w:trPr>
        <w:tc>
          <w:tcPr>
            <w:tcW w:w="6280" w:type="dxa"/>
            <w:tcBorders>
              <w:top w:val="nil"/>
              <w:left w:val="single" w:sz="8" w:space="0" w:color="D9D9D9"/>
              <w:bottom w:val="nil"/>
              <w:right w:val="single" w:sz="8" w:space="0" w:color="D9D9D9"/>
            </w:tcBorders>
            <w:shd w:val="clear" w:color="auto" w:fill="auto"/>
            <w:vAlign w:val="bottom"/>
            <w:hideMark/>
          </w:tcPr>
          <w:p w14:paraId="4AD1FD7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single" w:sz="8" w:space="0" w:color="BFBFBF"/>
              <w:bottom w:val="nil"/>
              <w:right w:val="single" w:sz="8" w:space="0" w:color="BFBFBF"/>
            </w:tcBorders>
            <w:shd w:val="clear" w:color="000000" w:fill="DCE6F1"/>
            <w:noWrap/>
            <w:vAlign w:val="bottom"/>
            <w:hideMark/>
          </w:tcPr>
          <w:p w14:paraId="74F4C8F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6DCEA1A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293AD61A"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10B1135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Inventories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743F172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19.161 </w:t>
            </w:r>
          </w:p>
        </w:tc>
        <w:tc>
          <w:tcPr>
            <w:tcW w:w="1880" w:type="dxa"/>
            <w:tcBorders>
              <w:top w:val="nil"/>
              <w:left w:val="nil"/>
              <w:bottom w:val="nil"/>
              <w:right w:val="single" w:sz="8" w:space="0" w:color="BFBFBF"/>
            </w:tcBorders>
            <w:shd w:val="clear" w:color="auto" w:fill="auto"/>
            <w:noWrap/>
            <w:vAlign w:val="bottom"/>
            <w:hideMark/>
          </w:tcPr>
          <w:p w14:paraId="33679E9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16.223 </w:t>
            </w:r>
          </w:p>
        </w:tc>
      </w:tr>
      <w:tr w:rsidR="00E66C9A" w:rsidRPr="00426BBC" w14:paraId="616D1321"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51346A7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Trade and other receivables</w:t>
            </w:r>
          </w:p>
        </w:tc>
        <w:tc>
          <w:tcPr>
            <w:tcW w:w="1880" w:type="dxa"/>
            <w:tcBorders>
              <w:top w:val="nil"/>
              <w:left w:val="single" w:sz="8" w:space="0" w:color="BFBFBF"/>
              <w:bottom w:val="nil"/>
              <w:right w:val="single" w:sz="8" w:space="0" w:color="BFBFBF"/>
            </w:tcBorders>
            <w:shd w:val="clear" w:color="000000" w:fill="DCE6F1"/>
            <w:noWrap/>
            <w:vAlign w:val="bottom"/>
            <w:hideMark/>
          </w:tcPr>
          <w:p w14:paraId="62E5ABA6" w14:textId="5873CFA3"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30.</w:t>
            </w:r>
            <w:r w:rsidR="007C186D" w:rsidRPr="00426BBC">
              <w:rPr>
                <w:rFonts w:asciiTheme="minorHAnsi" w:hAnsiTheme="minorHAnsi" w:cstheme="minorHAnsi"/>
                <w:color w:val="808080"/>
                <w:sz w:val="20"/>
                <w:szCs w:val="20"/>
                <w:lang w:val="en-GB"/>
              </w:rPr>
              <w:t>931</w:t>
            </w:r>
            <w:r w:rsidRPr="00426BBC">
              <w:rPr>
                <w:rFonts w:asciiTheme="minorHAnsi" w:hAnsiTheme="minorHAnsi" w:cstheme="minorHAnsi"/>
                <w:color w:val="808080"/>
                <w:sz w:val="20"/>
                <w:szCs w:val="20"/>
                <w:lang w:val="en-GB"/>
              </w:rPr>
              <w:t xml:space="preserve"> </w:t>
            </w:r>
          </w:p>
        </w:tc>
        <w:tc>
          <w:tcPr>
            <w:tcW w:w="1880" w:type="dxa"/>
            <w:tcBorders>
              <w:top w:val="nil"/>
              <w:left w:val="nil"/>
              <w:bottom w:val="nil"/>
              <w:right w:val="single" w:sz="8" w:space="0" w:color="BFBFBF"/>
            </w:tcBorders>
            <w:shd w:val="clear" w:color="auto" w:fill="auto"/>
            <w:noWrap/>
            <w:vAlign w:val="bottom"/>
            <w:hideMark/>
          </w:tcPr>
          <w:p w14:paraId="1FF6FDA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28.862 </w:t>
            </w:r>
          </w:p>
        </w:tc>
      </w:tr>
      <w:tr w:rsidR="00E66C9A" w:rsidRPr="00426BBC" w14:paraId="73096FB1"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3083CCA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Cash and cash equivalents</w:t>
            </w:r>
          </w:p>
        </w:tc>
        <w:tc>
          <w:tcPr>
            <w:tcW w:w="1880" w:type="dxa"/>
            <w:tcBorders>
              <w:top w:val="nil"/>
              <w:left w:val="single" w:sz="8" w:space="0" w:color="BFBFBF"/>
              <w:bottom w:val="nil"/>
              <w:right w:val="single" w:sz="8" w:space="0" w:color="BFBFBF"/>
            </w:tcBorders>
            <w:shd w:val="clear" w:color="000000" w:fill="DCE6F1"/>
            <w:noWrap/>
            <w:vAlign w:val="bottom"/>
            <w:hideMark/>
          </w:tcPr>
          <w:p w14:paraId="4B4FF41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181.048 </w:t>
            </w:r>
          </w:p>
        </w:tc>
        <w:tc>
          <w:tcPr>
            <w:tcW w:w="1880" w:type="dxa"/>
            <w:tcBorders>
              <w:top w:val="nil"/>
              <w:left w:val="nil"/>
              <w:bottom w:val="nil"/>
              <w:right w:val="single" w:sz="8" w:space="0" w:color="BFBFBF"/>
            </w:tcBorders>
            <w:shd w:val="clear" w:color="auto" w:fill="auto"/>
            <w:noWrap/>
            <w:vAlign w:val="bottom"/>
            <w:hideMark/>
          </w:tcPr>
          <w:p w14:paraId="55532D9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74.348 </w:t>
            </w:r>
          </w:p>
        </w:tc>
      </w:tr>
      <w:tr w:rsidR="00E66C9A" w:rsidRPr="00426BBC" w14:paraId="7F0D4F6A"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4C0ED814"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Current assets</w:t>
            </w:r>
          </w:p>
        </w:tc>
        <w:tc>
          <w:tcPr>
            <w:tcW w:w="1880" w:type="dxa"/>
            <w:tcBorders>
              <w:top w:val="nil"/>
              <w:left w:val="single" w:sz="8" w:space="0" w:color="BFBFBF"/>
              <w:bottom w:val="nil"/>
              <w:right w:val="single" w:sz="8" w:space="0" w:color="BFBFBF"/>
            </w:tcBorders>
            <w:shd w:val="clear" w:color="000000" w:fill="DCE6F1"/>
            <w:noWrap/>
            <w:vAlign w:val="bottom"/>
            <w:hideMark/>
          </w:tcPr>
          <w:p w14:paraId="70845DFD" w14:textId="6709188B"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23</w:t>
            </w:r>
            <w:r w:rsidR="007C186D" w:rsidRPr="00426BBC">
              <w:rPr>
                <w:rFonts w:asciiTheme="minorHAnsi" w:hAnsiTheme="minorHAnsi" w:cstheme="minorHAnsi"/>
                <w:b/>
                <w:bCs/>
                <w:color w:val="808080"/>
                <w:sz w:val="20"/>
                <w:szCs w:val="20"/>
                <w:lang w:val="en-GB"/>
              </w:rPr>
              <w:t>1</w:t>
            </w:r>
            <w:r w:rsidRPr="00426BBC">
              <w:rPr>
                <w:rFonts w:asciiTheme="minorHAnsi" w:hAnsiTheme="minorHAnsi" w:cstheme="minorHAnsi"/>
                <w:b/>
                <w:bCs/>
                <w:color w:val="808080"/>
                <w:sz w:val="20"/>
                <w:szCs w:val="20"/>
                <w:lang w:val="en-GB"/>
              </w:rPr>
              <w:t>.</w:t>
            </w:r>
            <w:r w:rsidR="007C186D" w:rsidRPr="00426BBC">
              <w:rPr>
                <w:rFonts w:asciiTheme="minorHAnsi" w:hAnsiTheme="minorHAnsi" w:cstheme="minorHAnsi"/>
                <w:b/>
                <w:bCs/>
                <w:color w:val="808080"/>
                <w:sz w:val="20"/>
                <w:szCs w:val="20"/>
                <w:lang w:val="en-GB"/>
              </w:rPr>
              <w:t>140</w:t>
            </w:r>
          </w:p>
        </w:tc>
        <w:tc>
          <w:tcPr>
            <w:tcW w:w="1880" w:type="dxa"/>
            <w:tcBorders>
              <w:top w:val="nil"/>
              <w:left w:val="nil"/>
              <w:bottom w:val="nil"/>
              <w:right w:val="single" w:sz="8" w:space="0" w:color="BFBFBF"/>
            </w:tcBorders>
            <w:shd w:val="clear" w:color="auto" w:fill="auto"/>
            <w:noWrap/>
            <w:vAlign w:val="bottom"/>
            <w:hideMark/>
          </w:tcPr>
          <w:p w14:paraId="2116B43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119.433 </w:t>
            </w:r>
          </w:p>
        </w:tc>
      </w:tr>
      <w:tr w:rsidR="00E66C9A" w:rsidRPr="00426BBC" w14:paraId="6D6B80F7"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center"/>
            <w:hideMark/>
          </w:tcPr>
          <w:p w14:paraId="3CAC8BB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single" w:sz="8" w:space="0" w:color="BFBFBF"/>
              <w:bottom w:val="nil"/>
              <w:right w:val="single" w:sz="8" w:space="0" w:color="BFBFBF"/>
            </w:tcBorders>
            <w:shd w:val="clear" w:color="000000" w:fill="DCE6F1"/>
            <w:noWrap/>
            <w:vAlign w:val="bottom"/>
            <w:hideMark/>
          </w:tcPr>
          <w:p w14:paraId="4279EA2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5A18330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0E5048E0" w14:textId="77777777" w:rsidTr="001857FB">
        <w:trPr>
          <w:trHeight w:val="313"/>
        </w:trPr>
        <w:tc>
          <w:tcPr>
            <w:tcW w:w="628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503F7E9D"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assets</w:t>
            </w:r>
          </w:p>
        </w:tc>
        <w:tc>
          <w:tcPr>
            <w:tcW w:w="1880" w:type="dxa"/>
            <w:tcBorders>
              <w:top w:val="single" w:sz="8" w:space="0" w:color="BFBFBF"/>
              <w:left w:val="nil"/>
              <w:bottom w:val="single" w:sz="8" w:space="0" w:color="BFBFBF"/>
              <w:right w:val="single" w:sz="8" w:space="0" w:color="BFBFBF"/>
            </w:tcBorders>
            <w:shd w:val="clear" w:color="000000" w:fill="DCE6F1"/>
            <w:noWrap/>
            <w:vAlign w:val="center"/>
            <w:hideMark/>
          </w:tcPr>
          <w:p w14:paraId="2EE922AE" w14:textId="00470665"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37</w:t>
            </w:r>
            <w:r w:rsidR="007C186D" w:rsidRPr="00426BBC">
              <w:rPr>
                <w:rFonts w:asciiTheme="minorHAnsi" w:hAnsiTheme="minorHAnsi" w:cstheme="minorHAnsi"/>
                <w:b/>
                <w:bCs/>
                <w:color w:val="366092"/>
                <w:sz w:val="20"/>
                <w:szCs w:val="20"/>
                <w:lang w:val="en-GB"/>
              </w:rPr>
              <w:t>3</w:t>
            </w:r>
            <w:r w:rsidRPr="00426BBC">
              <w:rPr>
                <w:rFonts w:asciiTheme="minorHAnsi" w:hAnsiTheme="minorHAnsi" w:cstheme="minorHAnsi"/>
                <w:b/>
                <w:bCs/>
                <w:color w:val="366092"/>
                <w:sz w:val="20"/>
                <w:szCs w:val="20"/>
                <w:lang w:val="en-GB"/>
              </w:rPr>
              <w:t>.</w:t>
            </w:r>
            <w:r w:rsidR="007C186D" w:rsidRPr="00426BBC">
              <w:rPr>
                <w:rFonts w:asciiTheme="minorHAnsi" w:hAnsiTheme="minorHAnsi" w:cstheme="minorHAnsi"/>
                <w:b/>
                <w:bCs/>
                <w:color w:val="366092"/>
                <w:sz w:val="20"/>
                <w:szCs w:val="20"/>
                <w:lang w:val="en-GB"/>
              </w:rPr>
              <w:t>510</w:t>
            </w:r>
            <w:r w:rsidRPr="00426BBC">
              <w:rPr>
                <w:rFonts w:asciiTheme="minorHAnsi" w:hAnsiTheme="minorHAnsi" w:cstheme="minorHAnsi"/>
                <w:b/>
                <w:bCs/>
                <w:color w:val="366092"/>
                <w:sz w:val="20"/>
                <w:szCs w:val="20"/>
                <w:lang w:val="en-GB"/>
              </w:rPr>
              <w:t xml:space="preserve"> </w:t>
            </w:r>
          </w:p>
        </w:tc>
        <w:tc>
          <w:tcPr>
            <w:tcW w:w="1880" w:type="dxa"/>
            <w:tcBorders>
              <w:top w:val="single" w:sz="8" w:space="0" w:color="BFBFBF"/>
              <w:left w:val="nil"/>
              <w:bottom w:val="single" w:sz="8" w:space="0" w:color="BFBFBF"/>
              <w:right w:val="single" w:sz="8" w:space="0" w:color="BFBFBF"/>
            </w:tcBorders>
            <w:shd w:val="clear" w:color="auto" w:fill="auto"/>
            <w:noWrap/>
            <w:vAlign w:val="center"/>
            <w:hideMark/>
          </w:tcPr>
          <w:p w14:paraId="40E4384A"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255.915 </w:t>
            </w:r>
          </w:p>
        </w:tc>
      </w:tr>
      <w:tr w:rsidR="00E66C9A" w:rsidRPr="00426BBC" w14:paraId="7603CB78" w14:textId="77777777" w:rsidTr="001857FB">
        <w:trPr>
          <w:trHeight w:val="240"/>
        </w:trPr>
        <w:tc>
          <w:tcPr>
            <w:tcW w:w="6280" w:type="dxa"/>
            <w:tcBorders>
              <w:top w:val="nil"/>
              <w:left w:val="single" w:sz="8" w:space="0" w:color="D9D9D9"/>
              <w:bottom w:val="nil"/>
              <w:right w:val="single" w:sz="8" w:space="0" w:color="D9D9D9"/>
            </w:tcBorders>
            <w:shd w:val="clear" w:color="000000" w:fill="FFFFFF"/>
            <w:vAlign w:val="center"/>
            <w:hideMark/>
          </w:tcPr>
          <w:p w14:paraId="3908729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w:t>
            </w:r>
          </w:p>
        </w:tc>
        <w:tc>
          <w:tcPr>
            <w:tcW w:w="1880" w:type="dxa"/>
            <w:tcBorders>
              <w:top w:val="nil"/>
              <w:left w:val="single" w:sz="8" w:space="0" w:color="BFBFBF"/>
              <w:bottom w:val="nil"/>
              <w:right w:val="single" w:sz="8" w:space="0" w:color="BFBFBF"/>
            </w:tcBorders>
            <w:shd w:val="clear" w:color="000000" w:fill="DCE6F1"/>
            <w:noWrap/>
            <w:vAlign w:val="bottom"/>
            <w:hideMark/>
          </w:tcPr>
          <w:p w14:paraId="14220EE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79A2CF9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D821E75"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0AA1AA2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Share capital</w:t>
            </w:r>
          </w:p>
        </w:tc>
        <w:tc>
          <w:tcPr>
            <w:tcW w:w="1880" w:type="dxa"/>
            <w:tcBorders>
              <w:top w:val="nil"/>
              <w:left w:val="single" w:sz="8" w:space="0" w:color="BFBFBF"/>
              <w:bottom w:val="nil"/>
              <w:right w:val="single" w:sz="8" w:space="0" w:color="BFBFBF"/>
            </w:tcBorders>
            <w:shd w:val="clear" w:color="000000" w:fill="DCE6F1"/>
            <w:noWrap/>
            <w:vAlign w:val="bottom"/>
            <w:hideMark/>
          </w:tcPr>
          <w:p w14:paraId="7709D29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7.463 </w:t>
            </w:r>
          </w:p>
        </w:tc>
        <w:tc>
          <w:tcPr>
            <w:tcW w:w="1880" w:type="dxa"/>
            <w:tcBorders>
              <w:top w:val="nil"/>
              <w:left w:val="nil"/>
              <w:bottom w:val="nil"/>
              <w:right w:val="single" w:sz="8" w:space="0" w:color="BFBFBF"/>
            </w:tcBorders>
            <w:shd w:val="clear" w:color="auto" w:fill="auto"/>
            <w:noWrap/>
            <w:vAlign w:val="bottom"/>
            <w:hideMark/>
          </w:tcPr>
          <w:p w14:paraId="4EDFDF3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7.079 </w:t>
            </w:r>
          </w:p>
        </w:tc>
      </w:tr>
      <w:tr w:rsidR="00E66C9A" w:rsidRPr="00426BBC" w14:paraId="73E3134B"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03D76F8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Share premium</w:t>
            </w:r>
          </w:p>
        </w:tc>
        <w:tc>
          <w:tcPr>
            <w:tcW w:w="1880" w:type="dxa"/>
            <w:tcBorders>
              <w:top w:val="nil"/>
              <w:left w:val="single" w:sz="8" w:space="0" w:color="BFBFBF"/>
              <w:bottom w:val="nil"/>
              <w:right w:val="single" w:sz="8" w:space="0" w:color="BFBFBF"/>
            </w:tcBorders>
            <w:shd w:val="clear" w:color="000000" w:fill="DCE6F1"/>
            <w:noWrap/>
            <w:vAlign w:val="bottom"/>
            <w:hideMark/>
          </w:tcPr>
          <w:p w14:paraId="7ADE862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463.432 </w:t>
            </w:r>
          </w:p>
        </w:tc>
        <w:tc>
          <w:tcPr>
            <w:tcW w:w="1880" w:type="dxa"/>
            <w:tcBorders>
              <w:top w:val="nil"/>
              <w:left w:val="nil"/>
              <w:bottom w:val="nil"/>
              <w:right w:val="single" w:sz="8" w:space="0" w:color="BFBFBF"/>
            </w:tcBorders>
            <w:shd w:val="clear" w:color="auto" w:fill="auto"/>
            <w:noWrap/>
            <w:vAlign w:val="bottom"/>
            <w:hideMark/>
          </w:tcPr>
          <w:p w14:paraId="45CD668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439.887 </w:t>
            </w:r>
          </w:p>
        </w:tc>
      </w:tr>
      <w:tr w:rsidR="00E66C9A" w:rsidRPr="00426BBC" w14:paraId="16EA8E3D"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696824A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Legal reserves</w:t>
            </w:r>
          </w:p>
        </w:tc>
        <w:tc>
          <w:tcPr>
            <w:tcW w:w="1880" w:type="dxa"/>
            <w:tcBorders>
              <w:top w:val="nil"/>
              <w:left w:val="single" w:sz="8" w:space="0" w:color="BFBFBF"/>
              <w:bottom w:val="nil"/>
              <w:right w:val="single" w:sz="8" w:space="0" w:color="BFBFBF"/>
            </w:tcBorders>
            <w:shd w:val="clear" w:color="000000" w:fill="DCE6F1"/>
            <w:noWrap/>
            <w:vAlign w:val="bottom"/>
            <w:hideMark/>
          </w:tcPr>
          <w:p w14:paraId="5B53C13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4.962 </w:t>
            </w:r>
          </w:p>
        </w:tc>
        <w:tc>
          <w:tcPr>
            <w:tcW w:w="1880" w:type="dxa"/>
            <w:tcBorders>
              <w:top w:val="nil"/>
              <w:left w:val="nil"/>
              <w:bottom w:val="nil"/>
              <w:right w:val="single" w:sz="8" w:space="0" w:color="BFBFBF"/>
            </w:tcBorders>
            <w:shd w:val="clear" w:color="auto" w:fill="auto"/>
            <w:noWrap/>
            <w:vAlign w:val="bottom"/>
            <w:hideMark/>
          </w:tcPr>
          <w:p w14:paraId="37280F9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4.169 </w:t>
            </w:r>
          </w:p>
        </w:tc>
      </w:tr>
      <w:tr w:rsidR="00E66C9A" w:rsidRPr="00426BBC" w14:paraId="1E932EEC"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3F5F7C1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Accumulated deficit</w:t>
            </w:r>
          </w:p>
        </w:tc>
        <w:tc>
          <w:tcPr>
            <w:tcW w:w="1880" w:type="dxa"/>
            <w:tcBorders>
              <w:top w:val="nil"/>
              <w:left w:val="single" w:sz="8" w:space="0" w:color="BFBFBF"/>
              <w:bottom w:val="nil"/>
              <w:right w:val="single" w:sz="8" w:space="0" w:color="BFBFBF"/>
            </w:tcBorders>
            <w:shd w:val="clear" w:color="000000" w:fill="DCE6F1"/>
            <w:noWrap/>
            <w:vAlign w:val="bottom"/>
            <w:hideMark/>
          </w:tcPr>
          <w:p w14:paraId="4D289EE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(316.494)</w:t>
            </w:r>
          </w:p>
        </w:tc>
        <w:tc>
          <w:tcPr>
            <w:tcW w:w="1880" w:type="dxa"/>
            <w:tcBorders>
              <w:top w:val="nil"/>
              <w:left w:val="nil"/>
              <w:bottom w:val="nil"/>
              <w:right w:val="single" w:sz="8" w:space="0" w:color="BFBFBF"/>
            </w:tcBorders>
            <w:shd w:val="clear" w:color="auto" w:fill="auto"/>
            <w:noWrap/>
            <w:vAlign w:val="bottom"/>
            <w:hideMark/>
          </w:tcPr>
          <w:p w14:paraId="2A65CDC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(333.749)</w:t>
            </w:r>
          </w:p>
        </w:tc>
      </w:tr>
      <w:tr w:rsidR="00E66C9A" w:rsidRPr="00426BBC" w14:paraId="02EAD6F1"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0F7BC3FE"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Shareholders’ equity</w:t>
            </w:r>
          </w:p>
        </w:tc>
        <w:tc>
          <w:tcPr>
            <w:tcW w:w="1880" w:type="dxa"/>
            <w:tcBorders>
              <w:top w:val="nil"/>
              <w:left w:val="single" w:sz="8" w:space="0" w:color="BFBFBF"/>
              <w:bottom w:val="nil"/>
              <w:right w:val="single" w:sz="8" w:space="0" w:color="BFBFBF"/>
            </w:tcBorders>
            <w:shd w:val="clear" w:color="000000" w:fill="DCE6F1"/>
            <w:noWrap/>
            <w:vAlign w:val="bottom"/>
            <w:hideMark/>
          </w:tcPr>
          <w:p w14:paraId="1A1A99D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159.363 </w:t>
            </w:r>
          </w:p>
        </w:tc>
        <w:tc>
          <w:tcPr>
            <w:tcW w:w="1880" w:type="dxa"/>
            <w:tcBorders>
              <w:top w:val="nil"/>
              <w:left w:val="nil"/>
              <w:bottom w:val="nil"/>
              <w:right w:val="single" w:sz="8" w:space="0" w:color="BFBFBF"/>
            </w:tcBorders>
            <w:shd w:val="clear" w:color="auto" w:fill="auto"/>
            <w:noWrap/>
            <w:vAlign w:val="bottom"/>
            <w:hideMark/>
          </w:tcPr>
          <w:p w14:paraId="098D0AFA"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117.386 </w:t>
            </w:r>
          </w:p>
        </w:tc>
      </w:tr>
      <w:tr w:rsidR="00E66C9A" w:rsidRPr="00426BBC" w14:paraId="7A613F74" w14:textId="77777777" w:rsidTr="001857FB">
        <w:trPr>
          <w:trHeight w:val="253"/>
        </w:trPr>
        <w:tc>
          <w:tcPr>
            <w:tcW w:w="6280" w:type="dxa"/>
            <w:tcBorders>
              <w:top w:val="nil"/>
              <w:left w:val="single" w:sz="8" w:space="0" w:color="D9D9D9"/>
              <w:bottom w:val="nil"/>
              <w:right w:val="single" w:sz="8" w:space="0" w:color="D9D9D9"/>
            </w:tcBorders>
            <w:shd w:val="clear" w:color="000000" w:fill="FFFFFF"/>
            <w:vAlign w:val="bottom"/>
            <w:hideMark/>
          </w:tcPr>
          <w:p w14:paraId="06447EE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single" w:sz="8" w:space="0" w:color="BFBFBF"/>
              <w:bottom w:val="nil"/>
              <w:right w:val="single" w:sz="8" w:space="0" w:color="BFBFBF"/>
            </w:tcBorders>
            <w:shd w:val="clear" w:color="000000" w:fill="DCE6F1"/>
            <w:noWrap/>
            <w:vAlign w:val="bottom"/>
            <w:hideMark/>
          </w:tcPr>
          <w:p w14:paraId="0CC5CD0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1B572CE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497891A"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7FCC334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Convertible bonds</w:t>
            </w:r>
          </w:p>
        </w:tc>
        <w:tc>
          <w:tcPr>
            <w:tcW w:w="1880" w:type="dxa"/>
            <w:tcBorders>
              <w:top w:val="nil"/>
              <w:left w:val="single" w:sz="8" w:space="0" w:color="BFBFBF"/>
              <w:bottom w:val="nil"/>
              <w:right w:val="single" w:sz="8" w:space="0" w:color="BFBFBF"/>
            </w:tcBorders>
            <w:shd w:val="clear" w:color="000000" w:fill="DCE6F1"/>
            <w:noWrap/>
            <w:vAlign w:val="bottom"/>
            <w:hideMark/>
          </w:tcPr>
          <w:p w14:paraId="57D851F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142.391 </w:t>
            </w:r>
          </w:p>
        </w:tc>
        <w:tc>
          <w:tcPr>
            <w:tcW w:w="1880" w:type="dxa"/>
            <w:tcBorders>
              <w:top w:val="nil"/>
              <w:left w:val="nil"/>
              <w:bottom w:val="nil"/>
              <w:right w:val="single" w:sz="8" w:space="0" w:color="BFBFBF"/>
            </w:tcBorders>
            <w:shd w:val="clear" w:color="auto" w:fill="auto"/>
            <w:noWrap/>
            <w:vAlign w:val="bottom"/>
            <w:hideMark/>
          </w:tcPr>
          <w:p w14:paraId="20CD072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r>
      <w:tr w:rsidR="00E66C9A" w:rsidRPr="00426BBC" w14:paraId="262F4823"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74739DE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Lease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127DCA0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7.660 </w:t>
            </w:r>
          </w:p>
        </w:tc>
        <w:tc>
          <w:tcPr>
            <w:tcW w:w="1880" w:type="dxa"/>
            <w:tcBorders>
              <w:top w:val="nil"/>
              <w:left w:val="nil"/>
              <w:bottom w:val="nil"/>
              <w:right w:val="single" w:sz="8" w:space="0" w:color="BFBFBF"/>
            </w:tcBorders>
            <w:shd w:val="clear" w:color="auto" w:fill="auto"/>
            <w:noWrap/>
            <w:vAlign w:val="bottom"/>
            <w:hideMark/>
          </w:tcPr>
          <w:p w14:paraId="7EBCA5B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4.893 </w:t>
            </w:r>
          </w:p>
        </w:tc>
      </w:tr>
      <w:tr w:rsidR="00E66C9A" w:rsidRPr="00426BBC" w14:paraId="6D2E54E5"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7EEF1F9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369B922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21.401 </w:t>
            </w:r>
          </w:p>
        </w:tc>
        <w:tc>
          <w:tcPr>
            <w:tcW w:w="1880" w:type="dxa"/>
            <w:tcBorders>
              <w:top w:val="nil"/>
              <w:left w:val="nil"/>
              <w:bottom w:val="nil"/>
              <w:right w:val="single" w:sz="8" w:space="0" w:color="BFBFBF"/>
            </w:tcBorders>
            <w:shd w:val="clear" w:color="auto" w:fill="auto"/>
            <w:noWrap/>
            <w:vAlign w:val="bottom"/>
            <w:hideMark/>
          </w:tcPr>
          <w:p w14:paraId="094312A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19.380 </w:t>
            </w:r>
          </w:p>
        </w:tc>
      </w:tr>
      <w:tr w:rsidR="00E66C9A" w:rsidRPr="00426BBC" w14:paraId="199E0498"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257BCE0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Non-current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199CA21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171.452 </w:t>
            </w:r>
          </w:p>
        </w:tc>
        <w:tc>
          <w:tcPr>
            <w:tcW w:w="1880" w:type="dxa"/>
            <w:tcBorders>
              <w:top w:val="nil"/>
              <w:left w:val="nil"/>
              <w:bottom w:val="nil"/>
              <w:right w:val="single" w:sz="8" w:space="0" w:color="BFBFBF"/>
            </w:tcBorders>
            <w:shd w:val="clear" w:color="auto" w:fill="auto"/>
            <w:noWrap/>
            <w:vAlign w:val="bottom"/>
            <w:hideMark/>
          </w:tcPr>
          <w:p w14:paraId="290400C3"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24.273 </w:t>
            </w:r>
          </w:p>
        </w:tc>
      </w:tr>
      <w:tr w:rsidR="00E66C9A" w:rsidRPr="00426BBC" w14:paraId="42876762" w14:textId="77777777" w:rsidTr="001857FB">
        <w:trPr>
          <w:trHeight w:val="240"/>
        </w:trPr>
        <w:tc>
          <w:tcPr>
            <w:tcW w:w="6280" w:type="dxa"/>
            <w:tcBorders>
              <w:top w:val="nil"/>
              <w:left w:val="single" w:sz="8" w:space="0" w:color="D9D9D9"/>
              <w:bottom w:val="nil"/>
              <w:right w:val="single" w:sz="8" w:space="0" w:color="D9D9D9"/>
            </w:tcBorders>
            <w:shd w:val="clear" w:color="000000" w:fill="FFFFFF"/>
            <w:vAlign w:val="bottom"/>
            <w:hideMark/>
          </w:tcPr>
          <w:p w14:paraId="5E23073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single" w:sz="8" w:space="0" w:color="BFBFBF"/>
              <w:bottom w:val="nil"/>
              <w:right w:val="single" w:sz="8" w:space="0" w:color="BFBFBF"/>
            </w:tcBorders>
            <w:shd w:val="clear" w:color="000000" w:fill="DCE6F1"/>
            <w:noWrap/>
            <w:vAlign w:val="bottom"/>
            <w:hideMark/>
          </w:tcPr>
          <w:p w14:paraId="00D7EA0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763AA2E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15B1214B"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5F95F14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Loans and borrowings</w:t>
            </w:r>
          </w:p>
        </w:tc>
        <w:tc>
          <w:tcPr>
            <w:tcW w:w="1880" w:type="dxa"/>
            <w:tcBorders>
              <w:top w:val="nil"/>
              <w:left w:val="single" w:sz="8" w:space="0" w:color="BFBFBF"/>
              <w:bottom w:val="nil"/>
              <w:right w:val="single" w:sz="8" w:space="0" w:color="BFBFBF"/>
            </w:tcBorders>
            <w:shd w:val="clear" w:color="000000" w:fill="DCE6F1"/>
            <w:noWrap/>
            <w:vAlign w:val="bottom"/>
            <w:hideMark/>
          </w:tcPr>
          <w:p w14:paraId="1656AA2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c>
          <w:tcPr>
            <w:tcW w:w="1880" w:type="dxa"/>
            <w:tcBorders>
              <w:top w:val="nil"/>
              <w:left w:val="nil"/>
              <w:bottom w:val="nil"/>
              <w:right w:val="single" w:sz="8" w:space="0" w:color="BFBFBF"/>
            </w:tcBorders>
            <w:shd w:val="clear" w:color="auto" w:fill="auto"/>
            <w:noWrap/>
            <w:vAlign w:val="bottom"/>
            <w:hideMark/>
          </w:tcPr>
          <w:p w14:paraId="15CA873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51.125 </w:t>
            </w:r>
          </w:p>
        </w:tc>
      </w:tr>
      <w:tr w:rsidR="00E66C9A" w:rsidRPr="00426BBC" w14:paraId="7899BAFA"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4757007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Derivative financial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6FB9438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161 </w:t>
            </w:r>
          </w:p>
        </w:tc>
        <w:tc>
          <w:tcPr>
            <w:tcW w:w="1880" w:type="dxa"/>
            <w:tcBorders>
              <w:top w:val="nil"/>
              <w:left w:val="nil"/>
              <w:bottom w:val="nil"/>
              <w:right w:val="single" w:sz="8" w:space="0" w:color="BFBFBF"/>
            </w:tcBorders>
            <w:shd w:val="clear" w:color="auto" w:fill="auto"/>
            <w:noWrap/>
            <w:vAlign w:val="bottom"/>
            <w:hideMark/>
          </w:tcPr>
          <w:p w14:paraId="316130C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301 </w:t>
            </w:r>
          </w:p>
        </w:tc>
      </w:tr>
      <w:tr w:rsidR="00E66C9A" w:rsidRPr="00426BBC" w14:paraId="356A4EA9"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3CA703D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Trade and other payables</w:t>
            </w:r>
          </w:p>
        </w:tc>
        <w:tc>
          <w:tcPr>
            <w:tcW w:w="1880" w:type="dxa"/>
            <w:tcBorders>
              <w:top w:val="nil"/>
              <w:left w:val="single" w:sz="8" w:space="0" w:color="BFBFBF"/>
              <w:bottom w:val="nil"/>
              <w:right w:val="single" w:sz="8" w:space="0" w:color="BFBFBF"/>
            </w:tcBorders>
            <w:shd w:val="clear" w:color="000000" w:fill="DCE6F1"/>
            <w:noWrap/>
            <w:vAlign w:val="bottom"/>
            <w:hideMark/>
          </w:tcPr>
          <w:p w14:paraId="6E4BA5EC" w14:textId="58CD3BFC"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w:t>
            </w:r>
            <w:r w:rsidR="007C186D" w:rsidRPr="00426BBC">
              <w:rPr>
                <w:rFonts w:asciiTheme="minorHAnsi" w:hAnsiTheme="minorHAnsi" w:cstheme="minorHAnsi"/>
                <w:color w:val="808080"/>
                <w:sz w:val="20"/>
                <w:szCs w:val="20"/>
                <w:lang w:val="en-GB"/>
              </w:rPr>
              <w:t>40</w:t>
            </w:r>
            <w:r w:rsidRPr="00426BBC">
              <w:rPr>
                <w:rFonts w:asciiTheme="minorHAnsi" w:hAnsiTheme="minorHAnsi" w:cstheme="minorHAnsi"/>
                <w:color w:val="808080"/>
                <w:sz w:val="20"/>
                <w:szCs w:val="20"/>
                <w:lang w:val="en-GB"/>
              </w:rPr>
              <w:t>.</w:t>
            </w:r>
            <w:r w:rsidR="007C186D" w:rsidRPr="00426BBC">
              <w:rPr>
                <w:rFonts w:asciiTheme="minorHAnsi" w:hAnsiTheme="minorHAnsi" w:cstheme="minorHAnsi"/>
                <w:color w:val="808080"/>
                <w:sz w:val="20"/>
                <w:szCs w:val="20"/>
                <w:lang w:val="en-GB"/>
              </w:rPr>
              <w:t>494</w:t>
            </w:r>
            <w:r w:rsidRPr="00426BBC">
              <w:rPr>
                <w:rFonts w:asciiTheme="minorHAnsi" w:hAnsiTheme="minorHAnsi" w:cstheme="minorHAnsi"/>
                <w:color w:val="808080"/>
                <w:sz w:val="20"/>
                <w:szCs w:val="20"/>
                <w:lang w:val="en-GB"/>
              </w:rPr>
              <w:t xml:space="preserve"> </w:t>
            </w:r>
          </w:p>
        </w:tc>
        <w:tc>
          <w:tcPr>
            <w:tcW w:w="1880" w:type="dxa"/>
            <w:tcBorders>
              <w:top w:val="nil"/>
              <w:left w:val="nil"/>
              <w:bottom w:val="nil"/>
              <w:right w:val="single" w:sz="8" w:space="0" w:color="BFBFBF"/>
            </w:tcBorders>
            <w:shd w:val="clear" w:color="auto" w:fill="auto"/>
            <w:noWrap/>
            <w:vAlign w:val="bottom"/>
            <w:hideMark/>
          </w:tcPr>
          <w:p w14:paraId="672945D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40.648 </w:t>
            </w:r>
          </w:p>
        </w:tc>
      </w:tr>
      <w:tr w:rsidR="00E66C9A" w:rsidRPr="00426BBC" w14:paraId="209E5841" w14:textId="77777777" w:rsidTr="001857FB">
        <w:trPr>
          <w:trHeight w:val="315"/>
        </w:trPr>
        <w:tc>
          <w:tcPr>
            <w:tcW w:w="6280" w:type="dxa"/>
            <w:tcBorders>
              <w:top w:val="nil"/>
              <w:left w:val="single" w:sz="8" w:space="0" w:color="D9D9D9"/>
              <w:bottom w:val="nil"/>
              <w:right w:val="single" w:sz="8" w:space="0" w:color="D9D9D9"/>
            </w:tcBorders>
            <w:shd w:val="clear" w:color="auto" w:fill="auto"/>
            <w:vAlign w:val="bottom"/>
            <w:hideMark/>
          </w:tcPr>
          <w:p w14:paraId="4A586A4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Lease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3CF2318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2.040 </w:t>
            </w:r>
          </w:p>
        </w:tc>
        <w:tc>
          <w:tcPr>
            <w:tcW w:w="1880" w:type="dxa"/>
            <w:tcBorders>
              <w:top w:val="nil"/>
              <w:left w:val="nil"/>
              <w:bottom w:val="nil"/>
              <w:right w:val="single" w:sz="8" w:space="0" w:color="BFBFBF"/>
            </w:tcBorders>
            <w:shd w:val="clear" w:color="auto" w:fill="auto"/>
            <w:noWrap/>
            <w:vAlign w:val="bottom"/>
            <w:hideMark/>
          </w:tcPr>
          <w:p w14:paraId="3263256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2.182 </w:t>
            </w:r>
          </w:p>
        </w:tc>
      </w:tr>
      <w:tr w:rsidR="00E66C9A" w:rsidRPr="00426BBC" w14:paraId="5A5165E1"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75AC70C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Other financial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73707BB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3D46A5B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20.000 </w:t>
            </w:r>
          </w:p>
        </w:tc>
      </w:tr>
      <w:tr w:rsidR="00E66C9A" w:rsidRPr="00426BBC" w14:paraId="725B7284" w14:textId="77777777" w:rsidTr="001857FB">
        <w:trPr>
          <w:trHeight w:val="315"/>
        </w:trPr>
        <w:tc>
          <w:tcPr>
            <w:tcW w:w="6280" w:type="dxa"/>
            <w:tcBorders>
              <w:top w:val="nil"/>
              <w:left w:val="single" w:sz="8" w:space="0" w:color="D9D9D9"/>
              <w:bottom w:val="nil"/>
              <w:right w:val="single" w:sz="8" w:space="0" w:color="D9D9D9"/>
            </w:tcBorders>
            <w:shd w:val="clear" w:color="000000" w:fill="FFFFFF"/>
            <w:vAlign w:val="bottom"/>
            <w:hideMark/>
          </w:tcPr>
          <w:p w14:paraId="7FBE4C3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Current liabilities</w:t>
            </w:r>
          </w:p>
        </w:tc>
        <w:tc>
          <w:tcPr>
            <w:tcW w:w="1880" w:type="dxa"/>
            <w:tcBorders>
              <w:top w:val="nil"/>
              <w:left w:val="single" w:sz="8" w:space="0" w:color="BFBFBF"/>
              <w:bottom w:val="nil"/>
              <w:right w:val="single" w:sz="8" w:space="0" w:color="BFBFBF"/>
            </w:tcBorders>
            <w:shd w:val="clear" w:color="000000" w:fill="DCE6F1"/>
            <w:noWrap/>
            <w:vAlign w:val="bottom"/>
            <w:hideMark/>
          </w:tcPr>
          <w:p w14:paraId="427FC8C1" w14:textId="435699F0"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4</w:t>
            </w:r>
            <w:r w:rsidR="007C186D" w:rsidRPr="00426BBC">
              <w:rPr>
                <w:rFonts w:asciiTheme="minorHAnsi" w:hAnsiTheme="minorHAnsi" w:cstheme="minorHAnsi"/>
                <w:b/>
                <w:bCs/>
                <w:color w:val="808080"/>
                <w:sz w:val="20"/>
                <w:szCs w:val="20"/>
                <w:lang w:val="en-GB"/>
              </w:rPr>
              <w:t>2</w:t>
            </w:r>
            <w:r w:rsidRPr="00426BBC">
              <w:rPr>
                <w:rFonts w:asciiTheme="minorHAnsi" w:hAnsiTheme="minorHAnsi" w:cstheme="minorHAnsi"/>
                <w:b/>
                <w:bCs/>
                <w:color w:val="808080"/>
                <w:sz w:val="20"/>
                <w:szCs w:val="20"/>
                <w:lang w:val="en-GB"/>
              </w:rPr>
              <w:t>.</w:t>
            </w:r>
            <w:r w:rsidR="007C186D" w:rsidRPr="00426BBC">
              <w:rPr>
                <w:rFonts w:asciiTheme="minorHAnsi" w:hAnsiTheme="minorHAnsi" w:cstheme="minorHAnsi"/>
                <w:b/>
                <w:bCs/>
                <w:color w:val="808080"/>
                <w:sz w:val="20"/>
                <w:szCs w:val="20"/>
                <w:lang w:val="en-GB"/>
              </w:rPr>
              <w:t>695</w:t>
            </w:r>
            <w:r w:rsidRPr="00426BBC">
              <w:rPr>
                <w:rFonts w:asciiTheme="minorHAnsi" w:hAnsiTheme="minorHAnsi" w:cstheme="minorHAnsi"/>
                <w:b/>
                <w:bCs/>
                <w:color w:val="808080"/>
                <w:sz w:val="20"/>
                <w:szCs w:val="20"/>
                <w:lang w:val="en-GB"/>
              </w:rPr>
              <w:t xml:space="preserve"> </w:t>
            </w:r>
          </w:p>
        </w:tc>
        <w:tc>
          <w:tcPr>
            <w:tcW w:w="1880" w:type="dxa"/>
            <w:tcBorders>
              <w:top w:val="nil"/>
              <w:left w:val="nil"/>
              <w:bottom w:val="nil"/>
              <w:right w:val="single" w:sz="8" w:space="0" w:color="BFBFBF"/>
            </w:tcBorders>
            <w:shd w:val="clear" w:color="auto" w:fill="auto"/>
            <w:noWrap/>
            <w:vAlign w:val="bottom"/>
            <w:hideMark/>
          </w:tcPr>
          <w:p w14:paraId="3B45730C"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114.256 </w:t>
            </w:r>
          </w:p>
        </w:tc>
      </w:tr>
      <w:tr w:rsidR="00E66C9A" w:rsidRPr="00426BBC" w14:paraId="12AA1F6D" w14:textId="77777777" w:rsidTr="001857FB">
        <w:trPr>
          <w:trHeight w:val="315"/>
        </w:trPr>
        <w:tc>
          <w:tcPr>
            <w:tcW w:w="6280" w:type="dxa"/>
            <w:tcBorders>
              <w:top w:val="nil"/>
              <w:left w:val="single" w:sz="8" w:space="0" w:color="D9D9D9"/>
              <w:bottom w:val="single" w:sz="8" w:space="0" w:color="BFBFBF"/>
              <w:right w:val="single" w:sz="8" w:space="0" w:color="D9D9D9"/>
            </w:tcBorders>
            <w:shd w:val="clear" w:color="000000" w:fill="FFFFFF"/>
            <w:vAlign w:val="center"/>
            <w:hideMark/>
          </w:tcPr>
          <w:p w14:paraId="3945260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single" w:sz="8" w:space="0" w:color="BFBFBF"/>
              <w:bottom w:val="nil"/>
              <w:right w:val="single" w:sz="8" w:space="0" w:color="BFBFBF"/>
            </w:tcBorders>
            <w:shd w:val="clear" w:color="000000" w:fill="DCE6F1"/>
            <w:noWrap/>
            <w:vAlign w:val="bottom"/>
            <w:hideMark/>
          </w:tcPr>
          <w:p w14:paraId="2CD04F3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880" w:type="dxa"/>
            <w:tcBorders>
              <w:top w:val="nil"/>
              <w:left w:val="nil"/>
              <w:bottom w:val="nil"/>
              <w:right w:val="single" w:sz="8" w:space="0" w:color="BFBFBF"/>
            </w:tcBorders>
            <w:shd w:val="clear" w:color="auto" w:fill="auto"/>
            <w:noWrap/>
            <w:vAlign w:val="bottom"/>
            <w:hideMark/>
          </w:tcPr>
          <w:p w14:paraId="4E7C53D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5E40F54C" w14:textId="77777777" w:rsidTr="001857FB">
        <w:trPr>
          <w:trHeight w:val="315"/>
        </w:trPr>
        <w:tc>
          <w:tcPr>
            <w:tcW w:w="6280" w:type="dxa"/>
            <w:tcBorders>
              <w:top w:val="nil"/>
              <w:left w:val="single" w:sz="8" w:space="0" w:color="BFBFBF"/>
              <w:bottom w:val="single" w:sz="8" w:space="0" w:color="BFBFBF"/>
              <w:right w:val="single" w:sz="8" w:space="0" w:color="BFBFBF"/>
            </w:tcBorders>
            <w:shd w:val="clear" w:color="000000" w:fill="FFFFFF"/>
            <w:vAlign w:val="center"/>
            <w:hideMark/>
          </w:tcPr>
          <w:p w14:paraId="23845FC8"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equity and liabilities</w:t>
            </w:r>
          </w:p>
        </w:tc>
        <w:tc>
          <w:tcPr>
            <w:tcW w:w="1880" w:type="dxa"/>
            <w:tcBorders>
              <w:top w:val="single" w:sz="8" w:space="0" w:color="BFBFBF"/>
              <w:left w:val="nil"/>
              <w:bottom w:val="single" w:sz="8" w:space="0" w:color="BFBFBF"/>
              <w:right w:val="single" w:sz="8" w:space="0" w:color="BFBFBF"/>
            </w:tcBorders>
            <w:shd w:val="clear" w:color="000000" w:fill="DCE6F1"/>
            <w:noWrap/>
            <w:vAlign w:val="center"/>
            <w:hideMark/>
          </w:tcPr>
          <w:p w14:paraId="285B4490" w14:textId="2F5E50BE"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37</w:t>
            </w:r>
            <w:r w:rsidR="007C186D" w:rsidRPr="00426BBC">
              <w:rPr>
                <w:rFonts w:asciiTheme="minorHAnsi" w:hAnsiTheme="minorHAnsi" w:cstheme="minorHAnsi"/>
                <w:b/>
                <w:bCs/>
                <w:color w:val="366092"/>
                <w:sz w:val="20"/>
                <w:szCs w:val="20"/>
                <w:lang w:val="en-GB"/>
              </w:rPr>
              <w:t>3</w:t>
            </w:r>
            <w:r w:rsidRPr="00426BBC">
              <w:rPr>
                <w:rFonts w:asciiTheme="minorHAnsi" w:hAnsiTheme="minorHAnsi" w:cstheme="minorHAnsi"/>
                <w:b/>
                <w:bCs/>
                <w:color w:val="366092"/>
                <w:sz w:val="20"/>
                <w:szCs w:val="20"/>
                <w:lang w:val="en-GB"/>
              </w:rPr>
              <w:t>.</w:t>
            </w:r>
            <w:r w:rsidR="007C186D" w:rsidRPr="00426BBC">
              <w:rPr>
                <w:rFonts w:asciiTheme="minorHAnsi" w:hAnsiTheme="minorHAnsi" w:cstheme="minorHAnsi"/>
                <w:b/>
                <w:bCs/>
                <w:color w:val="366092"/>
                <w:sz w:val="20"/>
                <w:szCs w:val="20"/>
                <w:lang w:val="en-GB"/>
              </w:rPr>
              <w:t>510</w:t>
            </w:r>
            <w:r w:rsidRPr="00426BBC">
              <w:rPr>
                <w:rFonts w:asciiTheme="minorHAnsi" w:hAnsiTheme="minorHAnsi" w:cstheme="minorHAnsi"/>
                <w:b/>
                <w:bCs/>
                <w:color w:val="366092"/>
                <w:sz w:val="20"/>
                <w:szCs w:val="20"/>
                <w:lang w:val="en-GB"/>
              </w:rPr>
              <w:t xml:space="preserve"> </w:t>
            </w:r>
          </w:p>
        </w:tc>
        <w:tc>
          <w:tcPr>
            <w:tcW w:w="1880" w:type="dxa"/>
            <w:tcBorders>
              <w:top w:val="single" w:sz="8" w:space="0" w:color="BFBFBF"/>
              <w:left w:val="nil"/>
              <w:bottom w:val="single" w:sz="8" w:space="0" w:color="BFBFBF"/>
              <w:right w:val="single" w:sz="8" w:space="0" w:color="BFBFBF"/>
            </w:tcBorders>
            <w:shd w:val="clear" w:color="auto" w:fill="auto"/>
            <w:noWrap/>
            <w:vAlign w:val="center"/>
            <w:hideMark/>
          </w:tcPr>
          <w:p w14:paraId="50621809"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255.915 </w:t>
            </w:r>
          </w:p>
        </w:tc>
      </w:tr>
    </w:tbl>
    <w:p w14:paraId="7D0F5141" w14:textId="77777777" w:rsidR="00E66C9A" w:rsidRPr="00426BBC" w:rsidRDefault="00E66C9A" w:rsidP="00E66C9A">
      <w:pPr>
        <w:rPr>
          <w:rFonts w:asciiTheme="minorHAnsi" w:hAnsiTheme="minorHAnsi" w:cstheme="minorHAnsi"/>
          <w:color w:val="59595B"/>
          <w:lang w:val="en-GB"/>
        </w:rPr>
      </w:pPr>
    </w:p>
    <w:p w14:paraId="4FAD12FD" w14:textId="77777777" w:rsidR="00E66C9A" w:rsidRPr="00426BBC" w:rsidRDefault="00E66C9A" w:rsidP="00E66C9A">
      <w:pPr>
        <w:rPr>
          <w:rFonts w:asciiTheme="minorHAnsi" w:hAnsiTheme="minorHAnsi" w:cstheme="minorHAnsi"/>
          <w:color w:val="59595B"/>
          <w:lang w:val="en-GB"/>
        </w:rPr>
      </w:pPr>
    </w:p>
    <w:p w14:paraId="3DBE4ECC" w14:textId="77777777" w:rsidR="00E66C9A" w:rsidRPr="00426BBC" w:rsidRDefault="00E66C9A" w:rsidP="00E66C9A">
      <w:pPr>
        <w:jc w:val="left"/>
        <w:rPr>
          <w:rFonts w:asciiTheme="minorHAnsi" w:hAnsiTheme="minorHAnsi" w:cstheme="minorHAnsi"/>
          <w:color w:val="59595B"/>
          <w:lang w:val="en-GB"/>
        </w:rPr>
      </w:pPr>
      <w:r w:rsidRPr="00426BBC">
        <w:rPr>
          <w:rFonts w:asciiTheme="minorHAnsi" w:hAnsiTheme="minorHAnsi" w:cstheme="minorHAnsi"/>
          <w:color w:val="59595B"/>
          <w:lang w:val="en-GB"/>
        </w:rPr>
        <w:br w:type="page"/>
      </w:r>
    </w:p>
    <w:p w14:paraId="48E1CE9C" w14:textId="77777777" w:rsidR="00E66C9A" w:rsidRPr="00426BBC" w:rsidRDefault="00E66C9A" w:rsidP="00E66C9A">
      <w:pPr>
        <w:rPr>
          <w:rFonts w:asciiTheme="minorHAnsi" w:hAnsiTheme="minorHAnsi" w:cstheme="minorHAnsi"/>
          <w:color w:val="59595B"/>
          <w:lang w:val="en-GB"/>
        </w:rPr>
      </w:pPr>
    </w:p>
    <w:p w14:paraId="19C02319" w14:textId="77777777" w:rsidR="00E66C9A" w:rsidRPr="00426BBC" w:rsidRDefault="00E66C9A" w:rsidP="00E66C9A">
      <w:pPr>
        <w:jc w:val="left"/>
        <w:rPr>
          <w:rFonts w:asciiTheme="minorHAnsi" w:eastAsiaTheme="majorEastAsia" w:hAnsiTheme="minorHAnsi" w:cstheme="minorHAnsi"/>
          <w:b/>
          <w:color w:val="59595B"/>
          <w:szCs w:val="28"/>
          <w:lang w:val="en-GB" w:eastAsia="zh-CN"/>
        </w:rPr>
      </w:pPr>
      <w:r w:rsidRPr="00426BBC">
        <w:rPr>
          <w:rFonts w:asciiTheme="minorHAnsi" w:eastAsiaTheme="majorEastAsia" w:hAnsiTheme="minorHAnsi" w:cstheme="minorHAnsi"/>
          <w:b/>
          <w:color w:val="59595B"/>
          <w:szCs w:val="28"/>
          <w:lang w:val="en-GB" w:eastAsia="zh-CN"/>
        </w:rPr>
        <w:t xml:space="preserve">Condensed Consolidated Statement of Cash Flows in </w:t>
      </w:r>
      <w:r w:rsidRPr="00426BBC">
        <w:rPr>
          <w:rFonts w:asciiTheme="minorHAnsi" w:eastAsiaTheme="majorEastAsia" w:hAnsiTheme="minorHAnsi" w:cstheme="minorHAnsi"/>
          <w:b/>
          <w:color w:val="59595B"/>
          <w:szCs w:val="28"/>
          <w:u w:val="single"/>
          <w:lang w:val="en-GB" w:eastAsia="zh-CN"/>
        </w:rPr>
        <w:t>US Dollars</w:t>
      </w:r>
    </w:p>
    <w:p w14:paraId="7B0F2330" w14:textId="77777777" w:rsidR="00E66C9A" w:rsidRPr="004F1620" w:rsidRDefault="00E66C9A" w:rsidP="00E66C9A">
      <w:pPr>
        <w:pStyle w:val="NoSpacing"/>
        <w:rPr>
          <w:rFonts w:asciiTheme="minorHAnsi" w:hAnsiTheme="minorHAnsi" w:cstheme="minorHAnsi"/>
          <w:sz w:val="24"/>
          <w:lang w:val="en-GB"/>
        </w:rPr>
      </w:pPr>
      <w:r w:rsidRPr="00E9120D">
        <w:rPr>
          <w:rFonts w:asciiTheme="minorHAnsi" w:hAnsiTheme="minorHAnsi" w:cstheme="minorHAnsi"/>
          <w:sz w:val="24"/>
          <w:lang w:val="en-GB"/>
        </w:rPr>
        <w:t>For the period ended 30 September</w:t>
      </w:r>
    </w:p>
    <w:p w14:paraId="0EC5CF9E" w14:textId="77777777" w:rsidR="00E66C9A" w:rsidRPr="00426BBC" w:rsidRDefault="00E66C9A" w:rsidP="00E66C9A">
      <w:pPr>
        <w:pStyle w:val="NoSpacing"/>
        <w:rPr>
          <w:rFonts w:asciiTheme="minorHAnsi" w:hAnsiTheme="minorHAnsi" w:cstheme="minorHAnsi"/>
          <w:sz w:val="24"/>
          <w:lang w:val="en-GB"/>
        </w:rPr>
      </w:pPr>
    </w:p>
    <w:tbl>
      <w:tblPr>
        <w:tblW w:w="9072" w:type="dxa"/>
        <w:tblLook w:val="04A0" w:firstRow="1" w:lastRow="0" w:firstColumn="1" w:lastColumn="0" w:noHBand="0" w:noVBand="1"/>
      </w:tblPr>
      <w:tblGrid>
        <w:gridCol w:w="6376"/>
        <w:gridCol w:w="1348"/>
        <w:gridCol w:w="1348"/>
      </w:tblGrid>
      <w:tr w:rsidR="00E66C9A" w:rsidRPr="00426BBC" w14:paraId="74748B9E" w14:textId="77777777" w:rsidTr="001857FB">
        <w:trPr>
          <w:trHeight w:val="300"/>
        </w:trPr>
        <w:tc>
          <w:tcPr>
            <w:tcW w:w="6340" w:type="dxa"/>
            <w:vMerge w:val="restart"/>
            <w:tcBorders>
              <w:top w:val="nil"/>
              <w:left w:val="nil"/>
              <w:bottom w:val="nil"/>
              <w:right w:val="nil"/>
            </w:tcBorders>
            <w:shd w:val="clear" w:color="000000" w:fill="366092"/>
            <w:vAlign w:val="center"/>
            <w:hideMark/>
          </w:tcPr>
          <w:p w14:paraId="55BA9885" w14:textId="77777777" w:rsidR="00E66C9A" w:rsidRPr="00426BBC" w:rsidRDefault="00E66C9A" w:rsidP="001857FB">
            <w:pPr>
              <w:jc w:val="left"/>
              <w:rPr>
                <w:rFonts w:asciiTheme="minorHAnsi" w:hAnsiTheme="minorHAnsi" w:cstheme="minorHAnsi"/>
                <w:color w:val="FFFFFF"/>
                <w:sz w:val="16"/>
                <w:szCs w:val="16"/>
                <w:lang w:val="en-GB"/>
              </w:rPr>
            </w:pPr>
            <w:r w:rsidRPr="00426BBC">
              <w:rPr>
                <w:rFonts w:asciiTheme="minorHAnsi" w:hAnsiTheme="minorHAnsi" w:cstheme="minorHAnsi"/>
                <w:color w:val="FFFFFF"/>
                <w:sz w:val="16"/>
                <w:szCs w:val="16"/>
                <w:lang w:val="en-GB"/>
              </w:rPr>
              <w:t>Amounts in $’000</w:t>
            </w:r>
          </w:p>
        </w:tc>
        <w:tc>
          <w:tcPr>
            <w:tcW w:w="1340" w:type="dxa"/>
            <w:vMerge w:val="restart"/>
            <w:tcBorders>
              <w:top w:val="nil"/>
              <w:left w:val="nil"/>
              <w:bottom w:val="nil"/>
              <w:right w:val="nil"/>
            </w:tcBorders>
            <w:shd w:val="clear" w:color="000000" w:fill="366092"/>
            <w:vAlign w:val="center"/>
            <w:hideMark/>
          </w:tcPr>
          <w:p w14:paraId="727A0207"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2020</w:t>
            </w:r>
          </w:p>
        </w:tc>
        <w:tc>
          <w:tcPr>
            <w:tcW w:w="1340" w:type="dxa"/>
            <w:vMerge w:val="restart"/>
            <w:tcBorders>
              <w:top w:val="nil"/>
              <w:left w:val="nil"/>
              <w:bottom w:val="nil"/>
              <w:right w:val="nil"/>
            </w:tcBorders>
            <w:shd w:val="clear" w:color="000000" w:fill="366092"/>
            <w:vAlign w:val="center"/>
            <w:hideMark/>
          </w:tcPr>
          <w:p w14:paraId="4DACACF8" w14:textId="77777777" w:rsidR="00E66C9A" w:rsidRPr="00426BBC" w:rsidRDefault="00E66C9A" w:rsidP="001857FB">
            <w:pPr>
              <w:jc w:val="righ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YTD 2019</w:t>
            </w:r>
          </w:p>
        </w:tc>
      </w:tr>
      <w:tr w:rsidR="00E66C9A" w:rsidRPr="00426BBC" w14:paraId="56D9FB2A" w14:textId="77777777" w:rsidTr="001857FB">
        <w:trPr>
          <w:trHeight w:val="300"/>
        </w:trPr>
        <w:tc>
          <w:tcPr>
            <w:tcW w:w="6340" w:type="dxa"/>
            <w:vMerge/>
            <w:tcBorders>
              <w:top w:val="nil"/>
              <w:left w:val="nil"/>
              <w:bottom w:val="nil"/>
              <w:right w:val="nil"/>
            </w:tcBorders>
            <w:vAlign w:val="center"/>
            <w:hideMark/>
          </w:tcPr>
          <w:p w14:paraId="361D3152" w14:textId="77777777" w:rsidR="00E66C9A" w:rsidRPr="00426BBC" w:rsidRDefault="00E66C9A" w:rsidP="001857FB">
            <w:pPr>
              <w:jc w:val="left"/>
              <w:rPr>
                <w:rFonts w:asciiTheme="minorHAnsi" w:hAnsiTheme="minorHAnsi" w:cstheme="minorHAnsi"/>
                <w:color w:val="FFFFFF"/>
                <w:sz w:val="16"/>
                <w:szCs w:val="16"/>
                <w:lang w:val="en-GB"/>
              </w:rPr>
            </w:pPr>
          </w:p>
        </w:tc>
        <w:tc>
          <w:tcPr>
            <w:tcW w:w="1340" w:type="dxa"/>
            <w:vMerge/>
            <w:tcBorders>
              <w:top w:val="nil"/>
              <w:left w:val="nil"/>
              <w:bottom w:val="nil"/>
              <w:right w:val="nil"/>
            </w:tcBorders>
            <w:vAlign w:val="center"/>
            <w:hideMark/>
          </w:tcPr>
          <w:p w14:paraId="18F9F99F" w14:textId="77777777" w:rsidR="00E66C9A" w:rsidRPr="00426BBC" w:rsidRDefault="00E66C9A" w:rsidP="001857FB">
            <w:pPr>
              <w:jc w:val="left"/>
              <w:rPr>
                <w:rFonts w:asciiTheme="minorHAnsi" w:hAnsiTheme="minorHAnsi" w:cstheme="minorHAnsi"/>
                <w:b/>
                <w:bCs/>
                <w:color w:val="FFFFFF"/>
                <w:sz w:val="20"/>
                <w:szCs w:val="20"/>
                <w:lang w:val="en-GB"/>
              </w:rPr>
            </w:pPr>
          </w:p>
        </w:tc>
        <w:tc>
          <w:tcPr>
            <w:tcW w:w="1340" w:type="dxa"/>
            <w:vMerge/>
            <w:tcBorders>
              <w:top w:val="nil"/>
              <w:left w:val="nil"/>
              <w:bottom w:val="nil"/>
              <w:right w:val="nil"/>
            </w:tcBorders>
            <w:vAlign w:val="center"/>
            <w:hideMark/>
          </w:tcPr>
          <w:p w14:paraId="48EA12A4" w14:textId="77777777" w:rsidR="00E66C9A" w:rsidRPr="00426BBC" w:rsidRDefault="00E66C9A" w:rsidP="001857FB">
            <w:pPr>
              <w:jc w:val="left"/>
              <w:rPr>
                <w:rFonts w:asciiTheme="minorHAnsi" w:hAnsiTheme="minorHAnsi" w:cstheme="minorHAnsi"/>
                <w:b/>
                <w:bCs/>
                <w:color w:val="FFFFFF"/>
                <w:sz w:val="20"/>
                <w:szCs w:val="20"/>
                <w:lang w:val="en-GB"/>
              </w:rPr>
            </w:pPr>
          </w:p>
        </w:tc>
      </w:tr>
      <w:tr w:rsidR="00E66C9A" w:rsidRPr="00426BBC" w14:paraId="311D6A81" w14:textId="77777777" w:rsidTr="001857FB">
        <w:trPr>
          <w:trHeight w:val="238"/>
        </w:trPr>
        <w:tc>
          <w:tcPr>
            <w:tcW w:w="6340" w:type="dxa"/>
            <w:tcBorders>
              <w:top w:val="nil"/>
              <w:left w:val="single" w:sz="8" w:space="0" w:color="BFBFBF"/>
              <w:bottom w:val="single" w:sz="8" w:space="0" w:color="BFBFBF"/>
              <w:right w:val="single" w:sz="8" w:space="0" w:color="BFBFBF"/>
            </w:tcBorders>
            <w:shd w:val="clear" w:color="000000" w:fill="FFFFFF"/>
            <w:vAlign w:val="center"/>
            <w:hideMark/>
          </w:tcPr>
          <w:p w14:paraId="03854F1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Operating result</w:t>
            </w:r>
          </w:p>
        </w:tc>
        <w:tc>
          <w:tcPr>
            <w:tcW w:w="1340" w:type="dxa"/>
            <w:tcBorders>
              <w:top w:val="nil"/>
              <w:left w:val="nil"/>
              <w:bottom w:val="single" w:sz="8" w:space="0" w:color="BFBFBF"/>
              <w:right w:val="single" w:sz="8" w:space="0" w:color="BFBFBF"/>
            </w:tcBorders>
            <w:shd w:val="clear" w:color="000000" w:fill="DCE6F1"/>
            <w:noWrap/>
            <w:vAlign w:val="center"/>
            <w:hideMark/>
          </w:tcPr>
          <w:p w14:paraId="2C377D6C"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57.661 </w:t>
            </w:r>
          </w:p>
        </w:tc>
        <w:tc>
          <w:tcPr>
            <w:tcW w:w="1340" w:type="dxa"/>
            <w:tcBorders>
              <w:top w:val="nil"/>
              <w:left w:val="nil"/>
              <w:bottom w:val="single" w:sz="8" w:space="0" w:color="BFBFBF"/>
              <w:right w:val="single" w:sz="8" w:space="0" w:color="BFBFBF"/>
            </w:tcBorders>
            <w:shd w:val="clear" w:color="auto" w:fill="auto"/>
            <w:noWrap/>
            <w:vAlign w:val="center"/>
            <w:hideMark/>
          </w:tcPr>
          <w:p w14:paraId="67D352D4"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48.002 </w:t>
            </w:r>
          </w:p>
        </w:tc>
      </w:tr>
      <w:tr w:rsidR="00E66C9A" w:rsidRPr="00426BBC" w14:paraId="3139889C"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center"/>
            <w:hideMark/>
          </w:tcPr>
          <w:p w14:paraId="508BA862" w14:textId="77777777" w:rsidR="00E66C9A" w:rsidRPr="00426BBC" w:rsidRDefault="00E66C9A" w:rsidP="001857FB">
            <w:pPr>
              <w:jc w:val="left"/>
              <w:rPr>
                <w:rFonts w:asciiTheme="minorHAnsi" w:hAnsiTheme="minorHAnsi" w:cstheme="minorHAnsi"/>
                <w:b/>
                <w:bCs/>
                <w:color w:val="595959"/>
                <w:sz w:val="20"/>
                <w:szCs w:val="20"/>
                <w:lang w:val="en-GB"/>
              </w:rPr>
            </w:pPr>
            <w:r w:rsidRPr="00426BBC">
              <w:rPr>
                <w:rFonts w:asciiTheme="minorHAnsi" w:hAnsiTheme="minorHAnsi" w:cstheme="minorHAnsi"/>
                <w:b/>
                <w:bCs/>
                <w:color w:val="595959"/>
                <w:sz w:val="20"/>
                <w:szCs w:val="20"/>
                <w:lang w:val="en-GB"/>
              </w:rPr>
              <w:t> </w:t>
            </w:r>
          </w:p>
        </w:tc>
        <w:tc>
          <w:tcPr>
            <w:tcW w:w="1340" w:type="dxa"/>
            <w:tcBorders>
              <w:top w:val="nil"/>
              <w:left w:val="nil"/>
              <w:bottom w:val="nil"/>
              <w:right w:val="single" w:sz="8" w:space="0" w:color="BFBFBF"/>
            </w:tcBorders>
            <w:shd w:val="clear" w:color="000000" w:fill="DCE6F1"/>
            <w:vAlign w:val="center"/>
            <w:hideMark/>
          </w:tcPr>
          <w:p w14:paraId="18C7A96C" w14:textId="77777777" w:rsidR="00E66C9A" w:rsidRPr="00426BBC" w:rsidRDefault="00E66C9A" w:rsidP="001857FB">
            <w:pPr>
              <w:jc w:val="righ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vAlign w:val="center"/>
            <w:hideMark/>
          </w:tcPr>
          <w:p w14:paraId="3EBB4457" w14:textId="77777777" w:rsidR="00E66C9A" w:rsidRPr="00426BBC" w:rsidRDefault="00E66C9A" w:rsidP="001857FB">
            <w:pPr>
              <w:jc w:val="righ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33213DDC"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073A9BB2" w14:textId="77777777" w:rsidR="00E66C9A" w:rsidRPr="00426BBC" w:rsidRDefault="00E66C9A" w:rsidP="001857FB">
            <w:pPr>
              <w:jc w:val="left"/>
              <w:rPr>
                <w:rFonts w:asciiTheme="minorHAnsi" w:hAnsiTheme="minorHAnsi" w:cstheme="minorHAnsi"/>
                <w:b/>
                <w:bCs/>
                <w:i/>
                <w:iCs/>
                <w:color w:val="59595B"/>
                <w:sz w:val="20"/>
                <w:szCs w:val="20"/>
                <w:lang w:val="en-GB"/>
              </w:rPr>
            </w:pPr>
            <w:r w:rsidRPr="00426BBC">
              <w:rPr>
                <w:rFonts w:asciiTheme="minorHAnsi" w:hAnsiTheme="minorHAnsi" w:cstheme="minorHAnsi"/>
                <w:b/>
                <w:bCs/>
                <w:i/>
                <w:iCs/>
                <w:color w:val="59595B"/>
                <w:sz w:val="20"/>
                <w:szCs w:val="20"/>
                <w:lang w:val="en-GB"/>
              </w:rPr>
              <w:t>Non-cash adjustments:</w:t>
            </w:r>
          </w:p>
        </w:tc>
        <w:tc>
          <w:tcPr>
            <w:tcW w:w="1340" w:type="dxa"/>
            <w:tcBorders>
              <w:top w:val="nil"/>
              <w:left w:val="nil"/>
              <w:bottom w:val="nil"/>
              <w:right w:val="single" w:sz="8" w:space="0" w:color="BFBFBF"/>
            </w:tcBorders>
            <w:shd w:val="clear" w:color="000000" w:fill="DCE6F1"/>
            <w:vAlign w:val="bottom"/>
            <w:hideMark/>
          </w:tcPr>
          <w:p w14:paraId="6E73B907"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vAlign w:val="bottom"/>
            <w:hideMark/>
          </w:tcPr>
          <w:p w14:paraId="688E38AD" w14:textId="77777777" w:rsidR="00E66C9A" w:rsidRPr="00426BBC" w:rsidRDefault="00E66C9A" w:rsidP="001857FB">
            <w:pPr>
              <w:jc w:val="righ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251525E4"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D4EE1D0"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Depreciation, amortisation, impairment</w:t>
            </w:r>
          </w:p>
        </w:tc>
        <w:tc>
          <w:tcPr>
            <w:tcW w:w="1340" w:type="dxa"/>
            <w:tcBorders>
              <w:top w:val="nil"/>
              <w:left w:val="nil"/>
              <w:bottom w:val="nil"/>
              <w:right w:val="single" w:sz="8" w:space="0" w:color="BFBFBF"/>
            </w:tcBorders>
            <w:shd w:val="clear" w:color="000000" w:fill="DCE6F1"/>
            <w:noWrap/>
            <w:vAlign w:val="bottom"/>
            <w:hideMark/>
          </w:tcPr>
          <w:p w14:paraId="7639A79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5.741 </w:t>
            </w:r>
          </w:p>
        </w:tc>
        <w:tc>
          <w:tcPr>
            <w:tcW w:w="1340" w:type="dxa"/>
            <w:tcBorders>
              <w:top w:val="nil"/>
              <w:left w:val="nil"/>
              <w:bottom w:val="nil"/>
              <w:right w:val="single" w:sz="8" w:space="0" w:color="BFBFBF"/>
            </w:tcBorders>
            <w:shd w:val="clear" w:color="auto" w:fill="auto"/>
            <w:noWrap/>
            <w:vAlign w:val="bottom"/>
            <w:hideMark/>
          </w:tcPr>
          <w:p w14:paraId="1CDEA96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5.939 </w:t>
            </w:r>
          </w:p>
        </w:tc>
      </w:tr>
      <w:tr w:rsidR="00E66C9A" w:rsidRPr="00426BBC" w14:paraId="19E8FD03"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375B5706"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Accrued employee benefits</w:t>
            </w:r>
          </w:p>
        </w:tc>
        <w:tc>
          <w:tcPr>
            <w:tcW w:w="1340" w:type="dxa"/>
            <w:tcBorders>
              <w:top w:val="nil"/>
              <w:left w:val="nil"/>
              <w:bottom w:val="nil"/>
              <w:right w:val="single" w:sz="8" w:space="0" w:color="BFBFBF"/>
            </w:tcBorders>
            <w:shd w:val="clear" w:color="000000" w:fill="DCE6F1"/>
            <w:noWrap/>
            <w:vAlign w:val="bottom"/>
            <w:hideMark/>
          </w:tcPr>
          <w:p w14:paraId="462647B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2.365 </w:t>
            </w:r>
          </w:p>
        </w:tc>
        <w:tc>
          <w:tcPr>
            <w:tcW w:w="1340" w:type="dxa"/>
            <w:tcBorders>
              <w:top w:val="nil"/>
              <w:left w:val="nil"/>
              <w:bottom w:val="nil"/>
              <w:right w:val="single" w:sz="8" w:space="0" w:color="BFBFBF"/>
            </w:tcBorders>
            <w:shd w:val="clear" w:color="auto" w:fill="auto"/>
            <w:noWrap/>
            <w:vAlign w:val="bottom"/>
            <w:hideMark/>
          </w:tcPr>
          <w:p w14:paraId="459901D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893 </w:t>
            </w:r>
          </w:p>
        </w:tc>
      </w:tr>
      <w:tr w:rsidR="00E66C9A" w:rsidRPr="00426BBC" w14:paraId="6A3553E2"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A3F1663"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Release contract liabilities</w:t>
            </w:r>
          </w:p>
        </w:tc>
        <w:tc>
          <w:tcPr>
            <w:tcW w:w="1340" w:type="dxa"/>
            <w:tcBorders>
              <w:top w:val="nil"/>
              <w:left w:val="nil"/>
              <w:bottom w:val="nil"/>
              <w:right w:val="single" w:sz="8" w:space="0" w:color="BFBFBF"/>
            </w:tcBorders>
            <w:shd w:val="clear" w:color="000000" w:fill="DCE6F1"/>
            <w:noWrap/>
            <w:vAlign w:val="bottom"/>
            <w:hideMark/>
          </w:tcPr>
          <w:p w14:paraId="014A939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c>
          <w:tcPr>
            <w:tcW w:w="1340" w:type="dxa"/>
            <w:tcBorders>
              <w:top w:val="nil"/>
              <w:left w:val="nil"/>
              <w:bottom w:val="nil"/>
              <w:right w:val="single" w:sz="8" w:space="0" w:color="BFBFBF"/>
            </w:tcBorders>
            <w:shd w:val="clear" w:color="auto" w:fill="auto"/>
            <w:noWrap/>
            <w:vAlign w:val="bottom"/>
            <w:hideMark/>
          </w:tcPr>
          <w:p w14:paraId="250C76C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(674)</w:t>
            </w:r>
          </w:p>
        </w:tc>
      </w:tr>
      <w:tr w:rsidR="00E66C9A" w:rsidRPr="00426BBC" w14:paraId="2A1B8D7C"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ADFF529"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Operating cash flows before changes in working capital</w:t>
            </w:r>
          </w:p>
        </w:tc>
        <w:tc>
          <w:tcPr>
            <w:tcW w:w="1340" w:type="dxa"/>
            <w:tcBorders>
              <w:top w:val="nil"/>
              <w:left w:val="nil"/>
              <w:bottom w:val="nil"/>
              <w:right w:val="single" w:sz="8" w:space="0" w:color="BFBFBF"/>
            </w:tcBorders>
            <w:shd w:val="clear" w:color="000000" w:fill="DCE6F1"/>
            <w:noWrap/>
            <w:vAlign w:val="bottom"/>
            <w:hideMark/>
          </w:tcPr>
          <w:p w14:paraId="1CCCDED8"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65.767 </w:t>
            </w:r>
          </w:p>
        </w:tc>
        <w:tc>
          <w:tcPr>
            <w:tcW w:w="1340" w:type="dxa"/>
            <w:tcBorders>
              <w:top w:val="nil"/>
              <w:left w:val="nil"/>
              <w:bottom w:val="nil"/>
              <w:right w:val="single" w:sz="8" w:space="0" w:color="BFBFBF"/>
            </w:tcBorders>
            <w:shd w:val="clear" w:color="auto" w:fill="auto"/>
            <w:noWrap/>
            <w:vAlign w:val="bottom"/>
            <w:hideMark/>
          </w:tcPr>
          <w:p w14:paraId="7A8DB9BD"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54.160 </w:t>
            </w:r>
          </w:p>
        </w:tc>
      </w:tr>
      <w:tr w:rsidR="00E66C9A" w:rsidRPr="00426BBC" w14:paraId="2E559DF2"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7E0F9167"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364A27E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55EADE0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6CF5E0FB"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2599251B" w14:textId="77777777" w:rsidR="00E66C9A" w:rsidRPr="00426BBC" w:rsidRDefault="00E66C9A" w:rsidP="001857FB">
            <w:pPr>
              <w:jc w:val="left"/>
              <w:rPr>
                <w:rFonts w:asciiTheme="minorHAnsi" w:hAnsiTheme="minorHAnsi" w:cstheme="minorHAnsi"/>
                <w:b/>
                <w:bCs/>
                <w:i/>
                <w:iCs/>
                <w:color w:val="59595B"/>
                <w:sz w:val="20"/>
                <w:szCs w:val="20"/>
                <w:lang w:val="en-GB"/>
              </w:rPr>
            </w:pPr>
            <w:r w:rsidRPr="00426BBC">
              <w:rPr>
                <w:rFonts w:asciiTheme="minorHAnsi" w:hAnsiTheme="minorHAnsi" w:cstheme="minorHAnsi"/>
                <w:b/>
                <w:bCs/>
                <w:i/>
                <w:iCs/>
                <w:color w:val="59595B"/>
                <w:sz w:val="20"/>
                <w:szCs w:val="20"/>
                <w:lang w:val="en-GB"/>
              </w:rPr>
              <w:t>Changes in working capital:</w:t>
            </w:r>
          </w:p>
        </w:tc>
        <w:tc>
          <w:tcPr>
            <w:tcW w:w="1340" w:type="dxa"/>
            <w:tcBorders>
              <w:top w:val="nil"/>
              <w:left w:val="nil"/>
              <w:bottom w:val="nil"/>
              <w:right w:val="single" w:sz="8" w:space="0" w:color="BFBFBF"/>
            </w:tcBorders>
            <w:shd w:val="clear" w:color="000000" w:fill="DCE6F1"/>
            <w:noWrap/>
            <w:vAlign w:val="bottom"/>
            <w:hideMark/>
          </w:tcPr>
          <w:p w14:paraId="7F314EA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21A25DD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6BCAB914"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2FC4F705"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Inventories</w:t>
            </w:r>
          </w:p>
        </w:tc>
        <w:tc>
          <w:tcPr>
            <w:tcW w:w="1340" w:type="dxa"/>
            <w:tcBorders>
              <w:top w:val="nil"/>
              <w:left w:val="nil"/>
              <w:bottom w:val="nil"/>
              <w:right w:val="single" w:sz="8" w:space="0" w:color="BFBFBF"/>
            </w:tcBorders>
            <w:shd w:val="clear" w:color="000000" w:fill="DCE6F1"/>
            <w:noWrap/>
            <w:vAlign w:val="bottom"/>
            <w:hideMark/>
          </w:tcPr>
          <w:p w14:paraId="32453BC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(2.159)</w:t>
            </w:r>
          </w:p>
        </w:tc>
        <w:tc>
          <w:tcPr>
            <w:tcW w:w="1340" w:type="dxa"/>
            <w:tcBorders>
              <w:top w:val="nil"/>
              <w:left w:val="nil"/>
              <w:bottom w:val="nil"/>
              <w:right w:val="single" w:sz="8" w:space="0" w:color="BFBFBF"/>
            </w:tcBorders>
            <w:shd w:val="clear" w:color="auto" w:fill="auto"/>
            <w:noWrap/>
            <w:vAlign w:val="bottom"/>
            <w:hideMark/>
          </w:tcPr>
          <w:p w14:paraId="25132DA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6.499 </w:t>
            </w:r>
          </w:p>
        </w:tc>
      </w:tr>
      <w:tr w:rsidR="00E66C9A" w:rsidRPr="00426BBC" w14:paraId="25BF9960"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5B2B1F90"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Trade and other receivables</w:t>
            </w:r>
          </w:p>
        </w:tc>
        <w:tc>
          <w:tcPr>
            <w:tcW w:w="1340" w:type="dxa"/>
            <w:tcBorders>
              <w:top w:val="nil"/>
              <w:left w:val="nil"/>
              <w:bottom w:val="nil"/>
              <w:right w:val="single" w:sz="8" w:space="0" w:color="BFBFBF"/>
            </w:tcBorders>
            <w:shd w:val="clear" w:color="000000" w:fill="DCE6F1"/>
            <w:noWrap/>
            <w:vAlign w:val="bottom"/>
            <w:hideMark/>
          </w:tcPr>
          <w:p w14:paraId="2066B55A" w14:textId="504C5945"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w:t>
            </w:r>
            <w:r w:rsidR="007C186D" w:rsidRPr="00426BBC">
              <w:rPr>
                <w:rFonts w:asciiTheme="minorHAnsi" w:hAnsiTheme="minorHAnsi" w:cstheme="minorHAnsi"/>
                <w:color w:val="808080"/>
                <w:sz w:val="20"/>
                <w:szCs w:val="20"/>
                <w:lang w:val="en-GB"/>
              </w:rPr>
              <w:t>799</w:t>
            </w:r>
            <w:r w:rsidRPr="00426BBC">
              <w:rPr>
                <w:rFonts w:asciiTheme="minorHAnsi" w:hAnsiTheme="minorHAnsi" w:cstheme="minorHAnsi"/>
                <w:color w:val="808080"/>
                <w:sz w:val="20"/>
                <w:szCs w:val="20"/>
                <w:lang w:val="en-GB"/>
              </w:rPr>
              <w:t>)</w:t>
            </w:r>
          </w:p>
        </w:tc>
        <w:tc>
          <w:tcPr>
            <w:tcW w:w="1340" w:type="dxa"/>
            <w:tcBorders>
              <w:top w:val="nil"/>
              <w:left w:val="nil"/>
              <w:bottom w:val="nil"/>
              <w:right w:val="single" w:sz="8" w:space="0" w:color="BFBFBF"/>
            </w:tcBorders>
            <w:shd w:val="clear" w:color="auto" w:fill="auto"/>
            <w:noWrap/>
            <w:vAlign w:val="bottom"/>
            <w:hideMark/>
          </w:tcPr>
          <w:p w14:paraId="1F47EF9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(10.954)</w:t>
            </w:r>
          </w:p>
        </w:tc>
      </w:tr>
      <w:tr w:rsidR="00E66C9A" w:rsidRPr="00426BBC" w14:paraId="4F970DB4"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426BB4B8"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Payables and other current liabilities</w:t>
            </w:r>
          </w:p>
        </w:tc>
        <w:tc>
          <w:tcPr>
            <w:tcW w:w="1340" w:type="dxa"/>
            <w:tcBorders>
              <w:top w:val="nil"/>
              <w:left w:val="nil"/>
              <w:bottom w:val="nil"/>
              <w:right w:val="single" w:sz="8" w:space="0" w:color="BFBFBF"/>
            </w:tcBorders>
            <w:shd w:val="clear" w:color="000000" w:fill="DCE6F1"/>
            <w:noWrap/>
            <w:vAlign w:val="bottom"/>
            <w:hideMark/>
          </w:tcPr>
          <w:p w14:paraId="3900BD34" w14:textId="1C099A83"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w:t>
            </w:r>
            <w:r w:rsidR="007C186D" w:rsidRPr="00426BBC">
              <w:rPr>
                <w:rFonts w:asciiTheme="minorHAnsi" w:hAnsiTheme="minorHAnsi" w:cstheme="minorHAnsi"/>
                <w:color w:val="808080"/>
                <w:sz w:val="20"/>
                <w:szCs w:val="20"/>
                <w:lang w:val="en-GB"/>
              </w:rPr>
              <w:t>1.979</w:t>
            </w:r>
            <w:r w:rsidRPr="00426BBC">
              <w:rPr>
                <w:rFonts w:asciiTheme="minorHAnsi" w:hAnsiTheme="minorHAnsi" w:cstheme="minorHAnsi"/>
                <w:color w:val="808080"/>
                <w:sz w:val="20"/>
                <w:szCs w:val="20"/>
                <w:lang w:val="en-GB"/>
              </w:rPr>
              <w:t>)</w:t>
            </w:r>
          </w:p>
        </w:tc>
        <w:tc>
          <w:tcPr>
            <w:tcW w:w="1340" w:type="dxa"/>
            <w:tcBorders>
              <w:top w:val="nil"/>
              <w:left w:val="nil"/>
              <w:bottom w:val="nil"/>
              <w:right w:val="single" w:sz="8" w:space="0" w:color="BFBFBF"/>
            </w:tcBorders>
            <w:shd w:val="clear" w:color="auto" w:fill="auto"/>
            <w:noWrap/>
            <w:vAlign w:val="bottom"/>
            <w:hideMark/>
          </w:tcPr>
          <w:p w14:paraId="6C673CD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5.490 </w:t>
            </w:r>
          </w:p>
        </w:tc>
      </w:tr>
      <w:tr w:rsidR="00E66C9A" w:rsidRPr="00426BBC" w14:paraId="4799C161" w14:textId="77777777" w:rsidTr="001857FB">
        <w:trPr>
          <w:trHeight w:val="238"/>
        </w:trPr>
        <w:tc>
          <w:tcPr>
            <w:tcW w:w="6340" w:type="dxa"/>
            <w:tcBorders>
              <w:top w:val="nil"/>
              <w:left w:val="single" w:sz="8" w:space="0" w:color="BFBFBF"/>
              <w:bottom w:val="nil"/>
              <w:right w:val="single" w:sz="8" w:space="0" w:color="BFBFBF"/>
            </w:tcBorders>
            <w:shd w:val="clear" w:color="auto" w:fill="auto"/>
            <w:noWrap/>
            <w:vAlign w:val="bottom"/>
            <w:hideMark/>
          </w:tcPr>
          <w:p w14:paraId="70F5925F"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Total changes in working capital</w:t>
            </w:r>
          </w:p>
        </w:tc>
        <w:tc>
          <w:tcPr>
            <w:tcW w:w="1340" w:type="dxa"/>
            <w:tcBorders>
              <w:top w:val="nil"/>
              <w:left w:val="nil"/>
              <w:bottom w:val="nil"/>
              <w:right w:val="single" w:sz="8" w:space="0" w:color="BFBFBF"/>
            </w:tcBorders>
            <w:shd w:val="clear" w:color="000000" w:fill="DCE6F1"/>
            <w:noWrap/>
            <w:vAlign w:val="bottom"/>
            <w:hideMark/>
          </w:tcPr>
          <w:p w14:paraId="17FD3A81" w14:textId="37796364"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w:t>
            </w:r>
            <w:r w:rsidR="007C186D" w:rsidRPr="00426BBC">
              <w:rPr>
                <w:rFonts w:asciiTheme="minorHAnsi" w:hAnsiTheme="minorHAnsi" w:cstheme="minorHAnsi"/>
                <w:b/>
                <w:bCs/>
                <w:color w:val="808080"/>
                <w:sz w:val="20"/>
                <w:szCs w:val="20"/>
                <w:lang w:val="en-GB"/>
              </w:rPr>
              <w:t>4.937</w:t>
            </w:r>
            <w:r w:rsidRPr="00426BBC">
              <w:rPr>
                <w:rFonts w:asciiTheme="minorHAnsi" w:hAnsiTheme="minorHAnsi" w:cstheme="minorHAnsi"/>
                <w:b/>
                <w:bCs/>
                <w:color w:val="808080"/>
                <w:sz w:val="20"/>
                <w:szCs w:val="20"/>
                <w:lang w:val="en-GB"/>
              </w:rPr>
              <w:t>)</w:t>
            </w:r>
          </w:p>
        </w:tc>
        <w:tc>
          <w:tcPr>
            <w:tcW w:w="1340" w:type="dxa"/>
            <w:tcBorders>
              <w:top w:val="nil"/>
              <w:left w:val="nil"/>
              <w:bottom w:val="nil"/>
              <w:right w:val="single" w:sz="8" w:space="0" w:color="BFBFBF"/>
            </w:tcBorders>
            <w:shd w:val="clear" w:color="auto" w:fill="auto"/>
            <w:noWrap/>
            <w:vAlign w:val="bottom"/>
            <w:hideMark/>
          </w:tcPr>
          <w:p w14:paraId="68BA213B"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1.035 </w:t>
            </w:r>
          </w:p>
        </w:tc>
      </w:tr>
      <w:tr w:rsidR="00E66C9A" w:rsidRPr="00426BBC" w14:paraId="7FE046F0" w14:textId="77777777" w:rsidTr="001857FB">
        <w:trPr>
          <w:trHeight w:val="238"/>
        </w:trPr>
        <w:tc>
          <w:tcPr>
            <w:tcW w:w="6340" w:type="dxa"/>
            <w:tcBorders>
              <w:top w:val="nil"/>
              <w:left w:val="single" w:sz="8" w:space="0" w:color="BFBFBF"/>
              <w:bottom w:val="nil"/>
              <w:right w:val="single" w:sz="8" w:space="0" w:color="BFBFBF"/>
            </w:tcBorders>
            <w:shd w:val="clear" w:color="auto" w:fill="auto"/>
            <w:noWrap/>
            <w:vAlign w:val="bottom"/>
            <w:hideMark/>
          </w:tcPr>
          <w:p w14:paraId="709C841F"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3F8589F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010A36A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3A3D7219"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5A0E58F4"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Changes in non-current assets, liabilities and equity</w:t>
            </w:r>
          </w:p>
        </w:tc>
        <w:tc>
          <w:tcPr>
            <w:tcW w:w="1340" w:type="dxa"/>
            <w:tcBorders>
              <w:top w:val="nil"/>
              <w:left w:val="nil"/>
              <w:bottom w:val="nil"/>
              <w:right w:val="single" w:sz="8" w:space="0" w:color="BFBFBF"/>
            </w:tcBorders>
            <w:shd w:val="clear" w:color="000000" w:fill="DCE6F1"/>
            <w:noWrap/>
            <w:vAlign w:val="bottom"/>
            <w:hideMark/>
          </w:tcPr>
          <w:p w14:paraId="73776014" w14:textId="46E6B7F6"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w:t>
            </w:r>
            <w:r w:rsidR="007C186D" w:rsidRPr="00426BBC">
              <w:rPr>
                <w:rFonts w:asciiTheme="minorHAnsi" w:hAnsiTheme="minorHAnsi" w:cstheme="minorHAnsi"/>
                <w:color w:val="808080"/>
                <w:sz w:val="20"/>
                <w:szCs w:val="20"/>
                <w:lang w:val="en-GB"/>
              </w:rPr>
              <w:t>2.489</w:t>
            </w:r>
            <w:r w:rsidRPr="00426BBC">
              <w:rPr>
                <w:rFonts w:asciiTheme="minorHAnsi" w:hAnsiTheme="minorHAnsi" w:cstheme="minorHAnsi"/>
                <w:color w:val="808080"/>
                <w:sz w:val="20"/>
                <w:szCs w:val="20"/>
                <w:lang w:val="en-GB"/>
              </w:rPr>
              <w:t xml:space="preserve"> </w:t>
            </w:r>
          </w:p>
        </w:tc>
        <w:tc>
          <w:tcPr>
            <w:tcW w:w="1340" w:type="dxa"/>
            <w:tcBorders>
              <w:top w:val="nil"/>
              <w:left w:val="nil"/>
              <w:bottom w:val="nil"/>
              <w:right w:val="single" w:sz="8" w:space="0" w:color="BFBFBF"/>
            </w:tcBorders>
            <w:shd w:val="clear" w:color="auto" w:fill="auto"/>
            <w:noWrap/>
            <w:vAlign w:val="bottom"/>
            <w:hideMark/>
          </w:tcPr>
          <w:p w14:paraId="45ADDE7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(1.523)</w:t>
            </w:r>
          </w:p>
        </w:tc>
      </w:tr>
      <w:tr w:rsidR="00E66C9A" w:rsidRPr="00426BBC" w14:paraId="4B10400D"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624EF941"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0ABD1A1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139EB84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3B6C1BAF"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49761EC5"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Cash generated from (used in) operations before interest and taxes</w:t>
            </w:r>
          </w:p>
        </w:tc>
        <w:tc>
          <w:tcPr>
            <w:tcW w:w="1340" w:type="dxa"/>
            <w:tcBorders>
              <w:top w:val="nil"/>
              <w:left w:val="nil"/>
              <w:bottom w:val="nil"/>
              <w:right w:val="single" w:sz="8" w:space="0" w:color="BFBFBF"/>
            </w:tcBorders>
            <w:shd w:val="clear" w:color="000000" w:fill="DCE6F1"/>
            <w:noWrap/>
            <w:vAlign w:val="bottom"/>
            <w:hideMark/>
          </w:tcPr>
          <w:p w14:paraId="5387428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63.319 </w:t>
            </w:r>
          </w:p>
        </w:tc>
        <w:tc>
          <w:tcPr>
            <w:tcW w:w="1340" w:type="dxa"/>
            <w:tcBorders>
              <w:top w:val="nil"/>
              <w:left w:val="nil"/>
              <w:bottom w:val="nil"/>
              <w:right w:val="single" w:sz="8" w:space="0" w:color="BFBFBF"/>
            </w:tcBorders>
            <w:shd w:val="clear" w:color="auto" w:fill="auto"/>
            <w:noWrap/>
            <w:vAlign w:val="bottom"/>
            <w:hideMark/>
          </w:tcPr>
          <w:p w14:paraId="07113D5F"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53.672 </w:t>
            </w:r>
          </w:p>
        </w:tc>
      </w:tr>
      <w:tr w:rsidR="00E66C9A" w:rsidRPr="00426BBC" w14:paraId="6660C988"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3D6EEEED"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63D0D89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5E11A7D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42214442"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2A204BDC"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Interest received</w:t>
            </w:r>
          </w:p>
        </w:tc>
        <w:tc>
          <w:tcPr>
            <w:tcW w:w="1340" w:type="dxa"/>
            <w:tcBorders>
              <w:top w:val="nil"/>
              <w:left w:val="nil"/>
              <w:bottom w:val="nil"/>
              <w:right w:val="single" w:sz="8" w:space="0" w:color="BFBFBF"/>
            </w:tcBorders>
            <w:shd w:val="clear" w:color="000000" w:fill="DCE6F1"/>
            <w:noWrap/>
            <w:vAlign w:val="bottom"/>
            <w:hideMark/>
          </w:tcPr>
          <w:p w14:paraId="340B0E8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655 </w:t>
            </w:r>
          </w:p>
        </w:tc>
        <w:tc>
          <w:tcPr>
            <w:tcW w:w="1340" w:type="dxa"/>
            <w:tcBorders>
              <w:top w:val="nil"/>
              <w:left w:val="nil"/>
              <w:bottom w:val="nil"/>
              <w:right w:val="single" w:sz="8" w:space="0" w:color="BFBFBF"/>
            </w:tcBorders>
            <w:shd w:val="clear" w:color="auto" w:fill="auto"/>
            <w:noWrap/>
            <w:vAlign w:val="bottom"/>
            <w:hideMark/>
          </w:tcPr>
          <w:p w14:paraId="27389E6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901 </w:t>
            </w:r>
          </w:p>
        </w:tc>
      </w:tr>
      <w:tr w:rsidR="00E66C9A" w:rsidRPr="00426BBC" w14:paraId="6B6696A7"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1448154"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Income taxes paid</w:t>
            </w:r>
          </w:p>
        </w:tc>
        <w:tc>
          <w:tcPr>
            <w:tcW w:w="1340" w:type="dxa"/>
            <w:tcBorders>
              <w:top w:val="nil"/>
              <w:left w:val="nil"/>
              <w:bottom w:val="nil"/>
              <w:right w:val="single" w:sz="8" w:space="0" w:color="BFBFBF"/>
            </w:tcBorders>
            <w:shd w:val="clear" w:color="000000" w:fill="DCE6F1"/>
            <w:noWrap/>
            <w:vAlign w:val="bottom"/>
            <w:hideMark/>
          </w:tcPr>
          <w:p w14:paraId="0C2235D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(2.741)</w:t>
            </w:r>
          </w:p>
        </w:tc>
        <w:tc>
          <w:tcPr>
            <w:tcW w:w="1340" w:type="dxa"/>
            <w:tcBorders>
              <w:top w:val="nil"/>
              <w:left w:val="nil"/>
              <w:bottom w:val="nil"/>
              <w:right w:val="single" w:sz="8" w:space="0" w:color="BFBFBF"/>
            </w:tcBorders>
            <w:shd w:val="clear" w:color="auto" w:fill="auto"/>
            <w:noWrap/>
            <w:vAlign w:val="bottom"/>
            <w:hideMark/>
          </w:tcPr>
          <w:p w14:paraId="1777D65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(1.437)</w:t>
            </w:r>
          </w:p>
        </w:tc>
      </w:tr>
      <w:tr w:rsidR="00E66C9A" w:rsidRPr="00426BBC" w14:paraId="5366A96A"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59AE76B5"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single" w:sz="8" w:space="0" w:color="BFBFBF"/>
              <w:right w:val="single" w:sz="8" w:space="0" w:color="BFBFBF"/>
            </w:tcBorders>
            <w:shd w:val="clear" w:color="000000" w:fill="DCE6F1"/>
            <w:noWrap/>
            <w:vAlign w:val="bottom"/>
            <w:hideMark/>
          </w:tcPr>
          <w:p w14:paraId="150CE94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single" w:sz="8" w:space="0" w:color="BFBFBF"/>
              <w:right w:val="single" w:sz="8" w:space="0" w:color="BFBFBF"/>
            </w:tcBorders>
            <w:shd w:val="clear" w:color="auto" w:fill="auto"/>
            <w:noWrap/>
            <w:vAlign w:val="bottom"/>
            <w:hideMark/>
          </w:tcPr>
          <w:p w14:paraId="2B5E155F"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4258BA8B" w14:textId="77777777" w:rsidTr="001857FB">
        <w:trPr>
          <w:trHeight w:val="238"/>
        </w:trPr>
        <w:tc>
          <w:tcPr>
            <w:tcW w:w="634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247E216C"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Net cash flows generated from (used in) operating activities</w:t>
            </w:r>
          </w:p>
        </w:tc>
        <w:tc>
          <w:tcPr>
            <w:tcW w:w="1340" w:type="dxa"/>
            <w:tcBorders>
              <w:top w:val="nil"/>
              <w:left w:val="nil"/>
              <w:bottom w:val="nil"/>
              <w:right w:val="single" w:sz="8" w:space="0" w:color="BFBFBF"/>
            </w:tcBorders>
            <w:shd w:val="clear" w:color="000000" w:fill="DCE6F1"/>
            <w:noWrap/>
            <w:vAlign w:val="center"/>
            <w:hideMark/>
          </w:tcPr>
          <w:p w14:paraId="15D504E1"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61.233 </w:t>
            </w:r>
          </w:p>
        </w:tc>
        <w:tc>
          <w:tcPr>
            <w:tcW w:w="1340" w:type="dxa"/>
            <w:tcBorders>
              <w:top w:val="nil"/>
              <w:left w:val="nil"/>
              <w:bottom w:val="nil"/>
              <w:right w:val="single" w:sz="8" w:space="0" w:color="BFBFBF"/>
            </w:tcBorders>
            <w:shd w:val="clear" w:color="auto" w:fill="auto"/>
            <w:noWrap/>
            <w:vAlign w:val="center"/>
            <w:hideMark/>
          </w:tcPr>
          <w:p w14:paraId="2828DAA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53.136 </w:t>
            </w:r>
          </w:p>
        </w:tc>
      </w:tr>
      <w:tr w:rsidR="00E66C9A" w:rsidRPr="00426BBC" w14:paraId="7D230DA0"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60F92EBA"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c>
          <w:tcPr>
            <w:tcW w:w="1340" w:type="dxa"/>
            <w:tcBorders>
              <w:top w:val="single" w:sz="8" w:space="0" w:color="BFBFBF"/>
              <w:left w:val="single" w:sz="8" w:space="0" w:color="BFBFBF"/>
              <w:bottom w:val="nil"/>
              <w:right w:val="single" w:sz="8" w:space="0" w:color="BFBFBF"/>
            </w:tcBorders>
            <w:shd w:val="clear" w:color="000000" w:fill="DCE6F1"/>
            <w:noWrap/>
            <w:vAlign w:val="bottom"/>
            <w:hideMark/>
          </w:tcPr>
          <w:p w14:paraId="5282734E"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c>
          <w:tcPr>
            <w:tcW w:w="1340" w:type="dxa"/>
            <w:tcBorders>
              <w:top w:val="single" w:sz="8" w:space="0" w:color="BFBFBF"/>
              <w:left w:val="nil"/>
              <w:bottom w:val="nil"/>
              <w:right w:val="single" w:sz="8" w:space="0" w:color="BFBFBF"/>
            </w:tcBorders>
            <w:shd w:val="clear" w:color="auto" w:fill="auto"/>
            <w:noWrap/>
            <w:vAlign w:val="bottom"/>
            <w:hideMark/>
          </w:tcPr>
          <w:p w14:paraId="718E5A17"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r>
      <w:tr w:rsidR="00E66C9A" w:rsidRPr="00426BBC" w14:paraId="346BFBA0"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44CEBB45"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Capital expenditure for property, plant and equipment</w:t>
            </w:r>
          </w:p>
        </w:tc>
        <w:tc>
          <w:tcPr>
            <w:tcW w:w="1340" w:type="dxa"/>
            <w:tcBorders>
              <w:top w:val="nil"/>
              <w:left w:val="single" w:sz="8" w:space="0" w:color="BFBFBF"/>
              <w:bottom w:val="nil"/>
              <w:right w:val="single" w:sz="8" w:space="0" w:color="BFBFBF"/>
            </w:tcBorders>
            <w:shd w:val="clear" w:color="000000" w:fill="DCE6F1"/>
            <w:noWrap/>
            <w:vAlign w:val="bottom"/>
            <w:hideMark/>
          </w:tcPr>
          <w:p w14:paraId="49F3218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(1.551)</w:t>
            </w:r>
          </w:p>
        </w:tc>
        <w:tc>
          <w:tcPr>
            <w:tcW w:w="1340" w:type="dxa"/>
            <w:tcBorders>
              <w:top w:val="nil"/>
              <w:left w:val="nil"/>
              <w:bottom w:val="nil"/>
              <w:right w:val="single" w:sz="8" w:space="0" w:color="BFBFBF"/>
            </w:tcBorders>
            <w:shd w:val="clear" w:color="auto" w:fill="auto"/>
            <w:noWrap/>
            <w:vAlign w:val="bottom"/>
            <w:hideMark/>
          </w:tcPr>
          <w:p w14:paraId="0F5B161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(1.939)</w:t>
            </w:r>
          </w:p>
        </w:tc>
      </w:tr>
      <w:tr w:rsidR="00E66C9A" w:rsidRPr="00426BBC" w14:paraId="75CE294C"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2DA0FF98"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Investment intangible assets</w:t>
            </w:r>
          </w:p>
        </w:tc>
        <w:tc>
          <w:tcPr>
            <w:tcW w:w="1340" w:type="dxa"/>
            <w:tcBorders>
              <w:top w:val="nil"/>
              <w:left w:val="single" w:sz="8" w:space="0" w:color="BFBFBF"/>
              <w:bottom w:val="nil"/>
              <w:right w:val="single" w:sz="8" w:space="0" w:color="BFBFBF"/>
            </w:tcBorders>
            <w:shd w:val="clear" w:color="000000" w:fill="DCE6F1"/>
            <w:noWrap/>
            <w:vAlign w:val="bottom"/>
            <w:hideMark/>
          </w:tcPr>
          <w:p w14:paraId="147A353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(374)</w:t>
            </w:r>
          </w:p>
        </w:tc>
        <w:tc>
          <w:tcPr>
            <w:tcW w:w="1340" w:type="dxa"/>
            <w:tcBorders>
              <w:top w:val="nil"/>
              <w:left w:val="nil"/>
              <w:bottom w:val="nil"/>
              <w:right w:val="single" w:sz="8" w:space="0" w:color="BFBFBF"/>
            </w:tcBorders>
            <w:shd w:val="clear" w:color="auto" w:fill="auto"/>
            <w:noWrap/>
            <w:vAlign w:val="bottom"/>
            <w:hideMark/>
          </w:tcPr>
          <w:p w14:paraId="2F589EB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(701)</w:t>
            </w:r>
          </w:p>
        </w:tc>
      </w:tr>
      <w:tr w:rsidR="00E66C9A" w:rsidRPr="00426BBC" w14:paraId="7D5B1E5F"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01133FC0"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Investment in associates</w:t>
            </w:r>
          </w:p>
        </w:tc>
        <w:tc>
          <w:tcPr>
            <w:tcW w:w="1340" w:type="dxa"/>
            <w:tcBorders>
              <w:top w:val="nil"/>
              <w:left w:val="single" w:sz="8" w:space="0" w:color="BFBFBF"/>
              <w:bottom w:val="nil"/>
              <w:right w:val="single" w:sz="8" w:space="0" w:color="BFBFBF"/>
            </w:tcBorders>
            <w:shd w:val="clear" w:color="000000" w:fill="DCE6F1"/>
            <w:noWrap/>
            <w:vAlign w:val="bottom"/>
            <w:hideMark/>
          </w:tcPr>
          <w:p w14:paraId="5A81550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c>
          <w:tcPr>
            <w:tcW w:w="1340" w:type="dxa"/>
            <w:tcBorders>
              <w:top w:val="nil"/>
              <w:left w:val="nil"/>
              <w:bottom w:val="nil"/>
              <w:right w:val="single" w:sz="8" w:space="0" w:color="BFBFBF"/>
            </w:tcBorders>
            <w:shd w:val="clear" w:color="auto" w:fill="auto"/>
            <w:noWrap/>
            <w:vAlign w:val="bottom"/>
            <w:hideMark/>
          </w:tcPr>
          <w:p w14:paraId="2EA7FB2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(2.815)</w:t>
            </w:r>
          </w:p>
        </w:tc>
      </w:tr>
      <w:tr w:rsidR="00E66C9A" w:rsidRPr="00426BBC" w14:paraId="7C253C6D"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2BA9117B"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Acquisition of license</w:t>
            </w:r>
          </w:p>
        </w:tc>
        <w:tc>
          <w:tcPr>
            <w:tcW w:w="1340" w:type="dxa"/>
            <w:tcBorders>
              <w:top w:val="nil"/>
              <w:left w:val="single" w:sz="8" w:space="0" w:color="BFBFBF"/>
              <w:bottom w:val="nil"/>
              <w:right w:val="single" w:sz="8" w:space="0" w:color="BFBFBF"/>
            </w:tcBorders>
            <w:shd w:val="clear" w:color="000000" w:fill="DCE6F1"/>
            <w:noWrap/>
            <w:vAlign w:val="bottom"/>
            <w:hideMark/>
          </w:tcPr>
          <w:p w14:paraId="101075F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(9.523)</w:t>
            </w:r>
          </w:p>
        </w:tc>
        <w:tc>
          <w:tcPr>
            <w:tcW w:w="1340" w:type="dxa"/>
            <w:tcBorders>
              <w:top w:val="nil"/>
              <w:left w:val="nil"/>
              <w:bottom w:val="nil"/>
              <w:right w:val="single" w:sz="8" w:space="0" w:color="BFBFBF"/>
            </w:tcBorders>
            <w:shd w:val="clear" w:color="auto" w:fill="auto"/>
            <w:noWrap/>
            <w:vAlign w:val="bottom"/>
            <w:hideMark/>
          </w:tcPr>
          <w:p w14:paraId="628AA69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(20.139)</w:t>
            </w:r>
          </w:p>
        </w:tc>
      </w:tr>
      <w:tr w:rsidR="00E66C9A" w:rsidRPr="00426BBC" w14:paraId="3292B70A"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3B8C186F"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single" w:sz="8" w:space="0" w:color="BFBFBF"/>
              <w:bottom w:val="single" w:sz="8" w:space="0" w:color="BFBFBF"/>
              <w:right w:val="single" w:sz="8" w:space="0" w:color="BFBFBF"/>
            </w:tcBorders>
            <w:shd w:val="clear" w:color="000000" w:fill="DCE6F1"/>
            <w:noWrap/>
            <w:vAlign w:val="bottom"/>
            <w:hideMark/>
          </w:tcPr>
          <w:p w14:paraId="08923777"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6C667B3D"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092B975A" w14:textId="77777777" w:rsidTr="001857FB">
        <w:trPr>
          <w:trHeight w:val="238"/>
        </w:trPr>
        <w:tc>
          <w:tcPr>
            <w:tcW w:w="634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4184D96B"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Net cash flows used in investing activities</w:t>
            </w:r>
          </w:p>
        </w:tc>
        <w:tc>
          <w:tcPr>
            <w:tcW w:w="1340" w:type="dxa"/>
            <w:tcBorders>
              <w:top w:val="nil"/>
              <w:left w:val="nil"/>
              <w:bottom w:val="single" w:sz="8" w:space="0" w:color="BFBFBF"/>
              <w:right w:val="single" w:sz="8" w:space="0" w:color="BFBFBF"/>
            </w:tcBorders>
            <w:shd w:val="clear" w:color="000000" w:fill="DCE6F1"/>
            <w:noWrap/>
            <w:vAlign w:val="center"/>
            <w:hideMark/>
          </w:tcPr>
          <w:p w14:paraId="2095AF18"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(11.448)</w:t>
            </w:r>
          </w:p>
        </w:tc>
        <w:tc>
          <w:tcPr>
            <w:tcW w:w="1340" w:type="dxa"/>
            <w:tcBorders>
              <w:top w:val="single" w:sz="8" w:space="0" w:color="BFBFBF"/>
              <w:left w:val="nil"/>
              <w:bottom w:val="single" w:sz="8" w:space="0" w:color="BFBFBF"/>
              <w:right w:val="single" w:sz="8" w:space="0" w:color="BFBFBF"/>
            </w:tcBorders>
            <w:shd w:val="clear" w:color="auto" w:fill="auto"/>
            <w:noWrap/>
            <w:vAlign w:val="center"/>
            <w:hideMark/>
          </w:tcPr>
          <w:p w14:paraId="296B01AA"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(25.594)</w:t>
            </w:r>
          </w:p>
        </w:tc>
      </w:tr>
      <w:tr w:rsidR="00E66C9A" w:rsidRPr="00426BBC" w14:paraId="2EF18742"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6859FAD6" w14:textId="77777777" w:rsidR="00E66C9A" w:rsidRPr="00426BBC" w:rsidRDefault="00E66C9A" w:rsidP="001857FB">
            <w:pPr>
              <w:jc w:val="left"/>
              <w:rPr>
                <w:rFonts w:asciiTheme="minorHAnsi" w:hAnsiTheme="minorHAnsi" w:cstheme="minorHAnsi"/>
                <w:b/>
                <w:bCs/>
                <w:color w:val="FFFFFF"/>
                <w:sz w:val="20"/>
                <w:szCs w:val="20"/>
                <w:lang w:val="en-GB"/>
              </w:rPr>
            </w:pPr>
            <w:r w:rsidRPr="00426BBC">
              <w:rPr>
                <w:rFonts w:asciiTheme="minorHAnsi" w:hAnsiTheme="minorHAnsi" w:cstheme="minorHAnsi"/>
                <w:b/>
                <w:bCs/>
                <w:color w:val="FFFFFF"/>
                <w:sz w:val="20"/>
                <w:szCs w:val="20"/>
                <w:lang w:val="en-GB"/>
              </w:rPr>
              <w:t> </w:t>
            </w:r>
          </w:p>
        </w:tc>
        <w:tc>
          <w:tcPr>
            <w:tcW w:w="1340" w:type="dxa"/>
            <w:tcBorders>
              <w:top w:val="nil"/>
              <w:left w:val="single" w:sz="8" w:space="0" w:color="BFBFBF"/>
              <w:bottom w:val="nil"/>
              <w:right w:val="single" w:sz="8" w:space="0" w:color="BFBFBF"/>
            </w:tcBorders>
            <w:shd w:val="clear" w:color="000000" w:fill="DCE6F1"/>
            <w:noWrap/>
            <w:vAlign w:val="bottom"/>
            <w:hideMark/>
          </w:tcPr>
          <w:p w14:paraId="5EF8C4D9"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08A4A243"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696C81C8"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02DEBB2F"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Repayment on loans and borrowings</w:t>
            </w:r>
          </w:p>
        </w:tc>
        <w:tc>
          <w:tcPr>
            <w:tcW w:w="1340" w:type="dxa"/>
            <w:tcBorders>
              <w:top w:val="nil"/>
              <w:left w:val="nil"/>
              <w:bottom w:val="nil"/>
              <w:right w:val="single" w:sz="8" w:space="0" w:color="BFBFBF"/>
            </w:tcBorders>
            <w:shd w:val="clear" w:color="000000" w:fill="DCE6F1"/>
            <w:noWrap/>
            <w:vAlign w:val="bottom"/>
            <w:hideMark/>
          </w:tcPr>
          <w:p w14:paraId="35BFA323"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(56.273)</w:t>
            </w:r>
          </w:p>
        </w:tc>
        <w:tc>
          <w:tcPr>
            <w:tcW w:w="1340" w:type="dxa"/>
            <w:tcBorders>
              <w:top w:val="nil"/>
              <w:left w:val="nil"/>
              <w:bottom w:val="nil"/>
              <w:right w:val="single" w:sz="8" w:space="0" w:color="BFBFBF"/>
            </w:tcBorders>
            <w:shd w:val="clear" w:color="auto" w:fill="auto"/>
            <w:noWrap/>
            <w:vAlign w:val="bottom"/>
            <w:hideMark/>
          </w:tcPr>
          <w:p w14:paraId="13E23DE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(26.383)</w:t>
            </w:r>
          </w:p>
        </w:tc>
      </w:tr>
      <w:tr w:rsidR="00E66C9A" w:rsidRPr="00426BBC" w14:paraId="4D6C92E8"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02BBB378"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Proceeds of issued convertible bonds</w:t>
            </w:r>
          </w:p>
        </w:tc>
        <w:tc>
          <w:tcPr>
            <w:tcW w:w="1340" w:type="dxa"/>
            <w:tcBorders>
              <w:top w:val="nil"/>
              <w:left w:val="nil"/>
              <w:bottom w:val="nil"/>
              <w:right w:val="single" w:sz="8" w:space="0" w:color="BFBFBF"/>
            </w:tcBorders>
            <w:shd w:val="clear" w:color="000000" w:fill="DCE6F1"/>
            <w:noWrap/>
            <w:vAlign w:val="bottom"/>
            <w:hideMark/>
          </w:tcPr>
          <w:p w14:paraId="75E0C5F4"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138.312 </w:t>
            </w:r>
          </w:p>
        </w:tc>
        <w:tc>
          <w:tcPr>
            <w:tcW w:w="1340" w:type="dxa"/>
            <w:tcBorders>
              <w:top w:val="nil"/>
              <w:left w:val="nil"/>
              <w:bottom w:val="nil"/>
              <w:right w:val="single" w:sz="8" w:space="0" w:color="BFBFBF"/>
            </w:tcBorders>
            <w:shd w:val="clear" w:color="auto" w:fill="auto"/>
            <w:noWrap/>
            <w:vAlign w:val="bottom"/>
            <w:hideMark/>
          </w:tcPr>
          <w:p w14:paraId="4B1706C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   </w:t>
            </w:r>
          </w:p>
        </w:tc>
      </w:tr>
      <w:tr w:rsidR="00E66C9A" w:rsidRPr="00426BBC" w14:paraId="18BFAE8D"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594C9D1B"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Interest on convertible bond</w:t>
            </w:r>
          </w:p>
        </w:tc>
        <w:tc>
          <w:tcPr>
            <w:tcW w:w="1340" w:type="dxa"/>
            <w:tcBorders>
              <w:top w:val="nil"/>
              <w:left w:val="nil"/>
              <w:bottom w:val="nil"/>
              <w:right w:val="single" w:sz="8" w:space="0" w:color="BFBFBF"/>
            </w:tcBorders>
            <w:shd w:val="clear" w:color="000000" w:fill="DCE6F1"/>
            <w:noWrap/>
            <w:vAlign w:val="bottom"/>
            <w:hideMark/>
          </w:tcPr>
          <w:p w14:paraId="6B33F1F1"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(2.114)</w:t>
            </w:r>
          </w:p>
        </w:tc>
        <w:tc>
          <w:tcPr>
            <w:tcW w:w="1340" w:type="dxa"/>
            <w:tcBorders>
              <w:top w:val="nil"/>
              <w:left w:val="nil"/>
              <w:bottom w:val="nil"/>
              <w:right w:val="single" w:sz="8" w:space="0" w:color="BFBFBF"/>
            </w:tcBorders>
            <w:shd w:val="clear" w:color="auto" w:fill="auto"/>
            <w:noWrap/>
            <w:vAlign w:val="bottom"/>
            <w:hideMark/>
          </w:tcPr>
          <w:p w14:paraId="42D5A24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4EDCEBFD"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0C981D82"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Payment on contingent consideration</w:t>
            </w:r>
          </w:p>
        </w:tc>
        <w:tc>
          <w:tcPr>
            <w:tcW w:w="1340" w:type="dxa"/>
            <w:tcBorders>
              <w:top w:val="nil"/>
              <w:left w:val="nil"/>
              <w:bottom w:val="nil"/>
              <w:right w:val="single" w:sz="8" w:space="0" w:color="BFBFBF"/>
            </w:tcBorders>
            <w:shd w:val="clear" w:color="000000" w:fill="DCE6F1"/>
            <w:noWrap/>
            <w:vAlign w:val="bottom"/>
            <w:hideMark/>
          </w:tcPr>
          <w:p w14:paraId="42B0C63D"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(20.445)</w:t>
            </w:r>
          </w:p>
        </w:tc>
        <w:tc>
          <w:tcPr>
            <w:tcW w:w="1340" w:type="dxa"/>
            <w:tcBorders>
              <w:top w:val="nil"/>
              <w:left w:val="nil"/>
              <w:bottom w:val="nil"/>
              <w:right w:val="single" w:sz="8" w:space="0" w:color="BFBFBF"/>
            </w:tcBorders>
            <w:shd w:val="clear" w:color="auto" w:fill="auto"/>
            <w:noWrap/>
            <w:vAlign w:val="bottom"/>
            <w:hideMark/>
          </w:tcPr>
          <w:p w14:paraId="12B1ECFA"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(19.832)</w:t>
            </w:r>
          </w:p>
        </w:tc>
      </w:tr>
      <w:tr w:rsidR="00E66C9A" w:rsidRPr="00426BBC" w14:paraId="6A94D6C9"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0C563975"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Interests on loans and leases</w:t>
            </w:r>
          </w:p>
        </w:tc>
        <w:tc>
          <w:tcPr>
            <w:tcW w:w="1340" w:type="dxa"/>
            <w:tcBorders>
              <w:top w:val="nil"/>
              <w:left w:val="nil"/>
              <w:bottom w:val="nil"/>
              <w:right w:val="single" w:sz="8" w:space="0" w:color="BFBFBF"/>
            </w:tcBorders>
            <w:shd w:val="clear" w:color="000000" w:fill="DCE6F1"/>
            <w:noWrap/>
            <w:vAlign w:val="bottom"/>
            <w:hideMark/>
          </w:tcPr>
          <w:p w14:paraId="62E6EA3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(958)</w:t>
            </w:r>
          </w:p>
        </w:tc>
        <w:tc>
          <w:tcPr>
            <w:tcW w:w="1340" w:type="dxa"/>
            <w:tcBorders>
              <w:top w:val="nil"/>
              <w:left w:val="nil"/>
              <w:bottom w:val="nil"/>
              <w:right w:val="single" w:sz="8" w:space="0" w:color="BFBFBF"/>
            </w:tcBorders>
            <w:shd w:val="clear" w:color="auto" w:fill="auto"/>
            <w:noWrap/>
            <w:vAlign w:val="bottom"/>
            <w:hideMark/>
          </w:tcPr>
          <w:p w14:paraId="4FB4EA7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(7.641)</w:t>
            </w:r>
          </w:p>
        </w:tc>
      </w:tr>
      <w:tr w:rsidR="00E66C9A" w:rsidRPr="00426BBC" w14:paraId="694AD2BA"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6B00D640"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Payment of lease liabilities</w:t>
            </w:r>
          </w:p>
        </w:tc>
        <w:tc>
          <w:tcPr>
            <w:tcW w:w="1340" w:type="dxa"/>
            <w:tcBorders>
              <w:top w:val="nil"/>
              <w:left w:val="nil"/>
              <w:bottom w:val="nil"/>
              <w:right w:val="single" w:sz="8" w:space="0" w:color="BFBFBF"/>
            </w:tcBorders>
            <w:shd w:val="clear" w:color="000000" w:fill="DCE6F1"/>
            <w:noWrap/>
            <w:vAlign w:val="bottom"/>
            <w:hideMark/>
          </w:tcPr>
          <w:p w14:paraId="1A28516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(1.489)</w:t>
            </w:r>
          </w:p>
        </w:tc>
        <w:tc>
          <w:tcPr>
            <w:tcW w:w="1340" w:type="dxa"/>
            <w:tcBorders>
              <w:top w:val="nil"/>
              <w:left w:val="nil"/>
              <w:bottom w:val="nil"/>
              <w:right w:val="single" w:sz="8" w:space="0" w:color="BFBFBF"/>
            </w:tcBorders>
            <w:shd w:val="clear" w:color="auto" w:fill="auto"/>
            <w:noWrap/>
            <w:vAlign w:val="bottom"/>
            <w:hideMark/>
          </w:tcPr>
          <w:p w14:paraId="17C7DBE0"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26811AE2"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768305CE"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Proceeds of equity and warrants</w:t>
            </w:r>
          </w:p>
        </w:tc>
        <w:tc>
          <w:tcPr>
            <w:tcW w:w="1340" w:type="dxa"/>
            <w:tcBorders>
              <w:top w:val="nil"/>
              <w:left w:val="nil"/>
              <w:bottom w:val="nil"/>
              <w:right w:val="single" w:sz="8" w:space="0" w:color="BFBFBF"/>
            </w:tcBorders>
            <w:shd w:val="clear" w:color="000000" w:fill="DCE6F1"/>
            <w:noWrap/>
            <w:vAlign w:val="bottom"/>
            <w:hideMark/>
          </w:tcPr>
          <w:p w14:paraId="1B82A0AE"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2.294 </w:t>
            </w:r>
          </w:p>
        </w:tc>
        <w:tc>
          <w:tcPr>
            <w:tcW w:w="1340" w:type="dxa"/>
            <w:tcBorders>
              <w:top w:val="nil"/>
              <w:left w:val="nil"/>
              <w:bottom w:val="nil"/>
              <w:right w:val="single" w:sz="8" w:space="0" w:color="BFBFBF"/>
            </w:tcBorders>
            <w:shd w:val="clear" w:color="auto" w:fill="auto"/>
            <w:noWrap/>
            <w:vAlign w:val="bottom"/>
            <w:hideMark/>
          </w:tcPr>
          <w:p w14:paraId="7D5AFBF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3.977 </w:t>
            </w:r>
          </w:p>
        </w:tc>
      </w:tr>
      <w:tr w:rsidR="00E66C9A" w:rsidRPr="00426BBC" w14:paraId="7F979FC6" w14:textId="77777777" w:rsidTr="001857FB">
        <w:trPr>
          <w:trHeight w:val="238"/>
        </w:trPr>
        <w:tc>
          <w:tcPr>
            <w:tcW w:w="6340" w:type="dxa"/>
            <w:tcBorders>
              <w:top w:val="nil"/>
              <w:left w:val="single" w:sz="8" w:space="0" w:color="BFBFBF"/>
              <w:bottom w:val="nil"/>
              <w:right w:val="nil"/>
            </w:tcBorders>
            <w:shd w:val="clear" w:color="auto" w:fill="auto"/>
            <w:vAlign w:val="bottom"/>
            <w:hideMark/>
          </w:tcPr>
          <w:p w14:paraId="41F11629"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single" w:sz="8" w:space="0" w:color="BFBFBF"/>
              <w:bottom w:val="nil"/>
              <w:right w:val="single" w:sz="8" w:space="0" w:color="BFBFBF"/>
            </w:tcBorders>
            <w:shd w:val="clear" w:color="000000" w:fill="DCE6F1"/>
            <w:noWrap/>
            <w:vAlign w:val="bottom"/>
            <w:hideMark/>
          </w:tcPr>
          <w:p w14:paraId="58EBF65D"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6F5734F5" w14:textId="77777777" w:rsidR="00E66C9A" w:rsidRPr="00426BBC" w:rsidRDefault="00E66C9A" w:rsidP="001857FB">
            <w:pPr>
              <w:jc w:val="left"/>
              <w:rPr>
                <w:rFonts w:asciiTheme="minorHAnsi" w:hAnsiTheme="minorHAnsi" w:cstheme="minorHAnsi"/>
                <w:color w:val="0070C0"/>
                <w:sz w:val="20"/>
                <w:szCs w:val="20"/>
                <w:lang w:val="en-GB"/>
              </w:rPr>
            </w:pPr>
            <w:r w:rsidRPr="00426BBC">
              <w:rPr>
                <w:rFonts w:asciiTheme="minorHAnsi" w:hAnsiTheme="minorHAnsi" w:cstheme="minorHAnsi"/>
                <w:color w:val="0070C0"/>
                <w:sz w:val="20"/>
                <w:szCs w:val="20"/>
                <w:lang w:val="en-GB"/>
              </w:rPr>
              <w:t> </w:t>
            </w:r>
          </w:p>
        </w:tc>
      </w:tr>
      <w:tr w:rsidR="00E66C9A" w:rsidRPr="00426BBC" w14:paraId="4648F33D" w14:textId="77777777" w:rsidTr="001857FB">
        <w:trPr>
          <w:trHeight w:val="238"/>
        </w:trPr>
        <w:tc>
          <w:tcPr>
            <w:tcW w:w="634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76D96A09"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Net cash flows generated from (used in) financing activities</w:t>
            </w:r>
          </w:p>
        </w:tc>
        <w:tc>
          <w:tcPr>
            <w:tcW w:w="1340" w:type="dxa"/>
            <w:tcBorders>
              <w:top w:val="single" w:sz="8" w:space="0" w:color="BFBFBF"/>
              <w:left w:val="nil"/>
              <w:bottom w:val="single" w:sz="8" w:space="0" w:color="BFBFBF"/>
              <w:right w:val="single" w:sz="8" w:space="0" w:color="BFBFBF"/>
            </w:tcBorders>
            <w:shd w:val="clear" w:color="000000" w:fill="DCE6F1"/>
            <w:noWrap/>
            <w:vAlign w:val="center"/>
            <w:hideMark/>
          </w:tcPr>
          <w:p w14:paraId="0DC5C5E5"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59.327 </w:t>
            </w:r>
          </w:p>
        </w:tc>
        <w:tc>
          <w:tcPr>
            <w:tcW w:w="1340" w:type="dxa"/>
            <w:tcBorders>
              <w:top w:val="single" w:sz="8" w:space="0" w:color="BFBFBF"/>
              <w:left w:val="nil"/>
              <w:bottom w:val="single" w:sz="8" w:space="0" w:color="BFBFBF"/>
              <w:right w:val="single" w:sz="8" w:space="0" w:color="BFBFBF"/>
            </w:tcBorders>
            <w:shd w:val="clear" w:color="auto" w:fill="auto"/>
            <w:noWrap/>
            <w:vAlign w:val="center"/>
            <w:hideMark/>
          </w:tcPr>
          <w:p w14:paraId="7745A7F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(49.879)</w:t>
            </w:r>
          </w:p>
        </w:tc>
      </w:tr>
      <w:tr w:rsidR="00E66C9A" w:rsidRPr="00426BBC" w14:paraId="10013DA3"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77A83C9B"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0C29F129"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40156645"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51F9B4E8"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AA63E27" w14:textId="77777777" w:rsidR="00E66C9A" w:rsidRPr="00426BBC" w:rsidRDefault="00E66C9A" w:rsidP="001857FB">
            <w:pPr>
              <w:jc w:val="left"/>
              <w:rPr>
                <w:rFonts w:asciiTheme="minorHAnsi" w:hAnsiTheme="minorHAnsi" w:cstheme="minorHAnsi"/>
                <w:b/>
                <w:bCs/>
                <w:color w:val="59595B"/>
                <w:sz w:val="20"/>
                <w:szCs w:val="20"/>
                <w:lang w:val="en-GB"/>
              </w:rPr>
            </w:pPr>
            <w:r w:rsidRPr="00426BBC">
              <w:rPr>
                <w:rFonts w:asciiTheme="minorHAnsi" w:hAnsiTheme="minorHAnsi" w:cstheme="minorHAnsi"/>
                <w:b/>
                <w:bCs/>
                <w:color w:val="59595B"/>
                <w:sz w:val="20"/>
                <w:szCs w:val="20"/>
                <w:lang w:val="en-GB"/>
              </w:rPr>
              <w:t>Increase (decrease) of cash</w:t>
            </w:r>
          </w:p>
        </w:tc>
        <w:tc>
          <w:tcPr>
            <w:tcW w:w="1340" w:type="dxa"/>
            <w:tcBorders>
              <w:top w:val="nil"/>
              <w:left w:val="nil"/>
              <w:bottom w:val="nil"/>
              <w:right w:val="single" w:sz="8" w:space="0" w:color="BFBFBF"/>
            </w:tcBorders>
            <w:shd w:val="clear" w:color="000000" w:fill="DCE6F1"/>
            <w:noWrap/>
            <w:vAlign w:val="bottom"/>
            <w:hideMark/>
          </w:tcPr>
          <w:p w14:paraId="76AB30E3"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109.112 </w:t>
            </w:r>
          </w:p>
        </w:tc>
        <w:tc>
          <w:tcPr>
            <w:tcW w:w="1340" w:type="dxa"/>
            <w:tcBorders>
              <w:top w:val="nil"/>
              <w:left w:val="nil"/>
              <w:bottom w:val="nil"/>
              <w:right w:val="single" w:sz="8" w:space="0" w:color="BFBFBF"/>
            </w:tcBorders>
            <w:shd w:val="clear" w:color="auto" w:fill="auto"/>
            <w:noWrap/>
            <w:vAlign w:val="bottom"/>
            <w:hideMark/>
          </w:tcPr>
          <w:p w14:paraId="207F62B0" w14:textId="77777777" w:rsidR="00E66C9A" w:rsidRPr="00426BBC" w:rsidRDefault="00E66C9A" w:rsidP="001857FB">
            <w:pPr>
              <w:jc w:val="left"/>
              <w:rPr>
                <w:rFonts w:asciiTheme="minorHAnsi" w:hAnsiTheme="minorHAnsi" w:cstheme="minorHAnsi"/>
                <w:b/>
                <w:bCs/>
                <w:color w:val="808080"/>
                <w:sz w:val="20"/>
                <w:szCs w:val="20"/>
                <w:lang w:val="en-GB"/>
              </w:rPr>
            </w:pPr>
            <w:r w:rsidRPr="00426BBC">
              <w:rPr>
                <w:rFonts w:asciiTheme="minorHAnsi" w:hAnsiTheme="minorHAnsi" w:cstheme="minorHAnsi"/>
                <w:b/>
                <w:bCs/>
                <w:color w:val="808080"/>
                <w:sz w:val="20"/>
                <w:szCs w:val="20"/>
                <w:lang w:val="en-GB"/>
              </w:rPr>
              <w:t xml:space="preserve">         (22.337)</w:t>
            </w:r>
          </w:p>
        </w:tc>
      </w:tr>
      <w:tr w:rsidR="00E66C9A" w:rsidRPr="00426BBC" w14:paraId="6B078901"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739E003F"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Exchange rate effects</w:t>
            </w:r>
          </w:p>
        </w:tc>
        <w:tc>
          <w:tcPr>
            <w:tcW w:w="1340" w:type="dxa"/>
            <w:tcBorders>
              <w:top w:val="nil"/>
              <w:left w:val="nil"/>
              <w:bottom w:val="nil"/>
              <w:right w:val="single" w:sz="8" w:space="0" w:color="BFBFBF"/>
            </w:tcBorders>
            <w:shd w:val="clear" w:color="000000" w:fill="DCE6F1"/>
            <w:noWrap/>
            <w:vAlign w:val="bottom"/>
            <w:hideMark/>
          </w:tcPr>
          <w:p w14:paraId="0F7C542C"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(3.486)</w:t>
            </w:r>
          </w:p>
        </w:tc>
        <w:tc>
          <w:tcPr>
            <w:tcW w:w="1340" w:type="dxa"/>
            <w:tcBorders>
              <w:top w:val="nil"/>
              <w:left w:val="nil"/>
              <w:bottom w:val="nil"/>
              <w:right w:val="single" w:sz="8" w:space="0" w:color="BFBFBF"/>
            </w:tcBorders>
            <w:shd w:val="clear" w:color="auto" w:fill="auto"/>
            <w:noWrap/>
            <w:vAlign w:val="bottom"/>
            <w:hideMark/>
          </w:tcPr>
          <w:p w14:paraId="2FB5C306"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(563)</w:t>
            </w:r>
          </w:p>
        </w:tc>
      </w:tr>
      <w:tr w:rsidR="00E66C9A" w:rsidRPr="00426BBC" w14:paraId="0132B4AC"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B1FE4AD"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Cash and cash equivalents at 1 January</w:t>
            </w:r>
          </w:p>
        </w:tc>
        <w:tc>
          <w:tcPr>
            <w:tcW w:w="1340" w:type="dxa"/>
            <w:tcBorders>
              <w:top w:val="nil"/>
              <w:left w:val="nil"/>
              <w:bottom w:val="nil"/>
              <w:right w:val="single" w:sz="8" w:space="0" w:color="BFBFBF"/>
            </w:tcBorders>
            <w:shd w:val="clear" w:color="000000" w:fill="DCE6F1"/>
            <w:noWrap/>
            <w:vAlign w:val="bottom"/>
            <w:hideMark/>
          </w:tcPr>
          <w:p w14:paraId="31947752"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76.891 </w:t>
            </w:r>
          </w:p>
        </w:tc>
        <w:tc>
          <w:tcPr>
            <w:tcW w:w="1340" w:type="dxa"/>
            <w:tcBorders>
              <w:top w:val="nil"/>
              <w:left w:val="nil"/>
              <w:bottom w:val="nil"/>
              <w:right w:val="single" w:sz="8" w:space="0" w:color="BFBFBF"/>
            </w:tcBorders>
            <w:shd w:val="clear" w:color="auto" w:fill="auto"/>
            <w:noWrap/>
            <w:vAlign w:val="bottom"/>
            <w:hideMark/>
          </w:tcPr>
          <w:p w14:paraId="27B260A7"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xml:space="preserve">            93.245 </w:t>
            </w:r>
          </w:p>
        </w:tc>
      </w:tr>
      <w:tr w:rsidR="00E66C9A" w:rsidRPr="00426BBC" w14:paraId="71EC16A3" w14:textId="77777777" w:rsidTr="001857FB">
        <w:trPr>
          <w:trHeight w:val="238"/>
        </w:trPr>
        <w:tc>
          <w:tcPr>
            <w:tcW w:w="6340" w:type="dxa"/>
            <w:tcBorders>
              <w:top w:val="nil"/>
              <w:left w:val="single" w:sz="8" w:space="0" w:color="BFBFBF"/>
              <w:bottom w:val="nil"/>
              <w:right w:val="single" w:sz="8" w:space="0" w:color="BFBFBF"/>
            </w:tcBorders>
            <w:shd w:val="clear" w:color="auto" w:fill="auto"/>
            <w:vAlign w:val="bottom"/>
            <w:hideMark/>
          </w:tcPr>
          <w:p w14:paraId="1149E156" w14:textId="77777777" w:rsidR="00E66C9A" w:rsidRPr="00426BBC" w:rsidRDefault="00E66C9A" w:rsidP="001857FB">
            <w:pPr>
              <w:jc w:val="left"/>
              <w:rPr>
                <w:rFonts w:asciiTheme="minorHAnsi" w:hAnsiTheme="minorHAnsi" w:cstheme="minorHAnsi"/>
                <w:color w:val="59595B"/>
                <w:sz w:val="20"/>
                <w:szCs w:val="20"/>
                <w:lang w:val="en-GB"/>
              </w:rPr>
            </w:pPr>
            <w:r w:rsidRPr="00426BBC">
              <w:rPr>
                <w:rFonts w:asciiTheme="minorHAnsi" w:hAnsiTheme="minorHAnsi" w:cstheme="minorHAnsi"/>
                <w:color w:val="59595B"/>
                <w:sz w:val="20"/>
                <w:szCs w:val="20"/>
                <w:lang w:val="en-GB"/>
              </w:rPr>
              <w:t> </w:t>
            </w:r>
          </w:p>
        </w:tc>
        <w:tc>
          <w:tcPr>
            <w:tcW w:w="1340" w:type="dxa"/>
            <w:tcBorders>
              <w:top w:val="nil"/>
              <w:left w:val="nil"/>
              <w:bottom w:val="nil"/>
              <w:right w:val="single" w:sz="8" w:space="0" w:color="BFBFBF"/>
            </w:tcBorders>
            <w:shd w:val="clear" w:color="000000" w:fill="DCE6F1"/>
            <w:noWrap/>
            <w:vAlign w:val="bottom"/>
            <w:hideMark/>
          </w:tcPr>
          <w:p w14:paraId="5A565238"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c>
          <w:tcPr>
            <w:tcW w:w="1340" w:type="dxa"/>
            <w:tcBorders>
              <w:top w:val="nil"/>
              <w:left w:val="nil"/>
              <w:bottom w:val="nil"/>
              <w:right w:val="single" w:sz="8" w:space="0" w:color="BFBFBF"/>
            </w:tcBorders>
            <w:shd w:val="clear" w:color="auto" w:fill="auto"/>
            <w:noWrap/>
            <w:vAlign w:val="bottom"/>
            <w:hideMark/>
          </w:tcPr>
          <w:p w14:paraId="3C9D199B" w14:textId="77777777" w:rsidR="00E66C9A" w:rsidRPr="00426BBC" w:rsidRDefault="00E66C9A" w:rsidP="001857FB">
            <w:pPr>
              <w:jc w:val="left"/>
              <w:rPr>
                <w:rFonts w:asciiTheme="minorHAnsi" w:hAnsiTheme="minorHAnsi" w:cstheme="minorHAnsi"/>
                <w:color w:val="808080"/>
                <w:sz w:val="20"/>
                <w:szCs w:val="20"/>
                <w:lang w:val="en-GB"/>
              </w:rPr>
            </w:pPr>
            <w:r w:rsidRPr="00426BBC">
              <w:rPr>
                <w:rFonts w:asciiTheme="minorHAnsi" w:hAnsiTheme="minorHAnsi" w:cstheme="minorHAnsi"/>
                <w:color w:val="808080"/>
                <w:sz w:val="20"/>
                <w:szCs w:val="20"/>
                <w:lang w:val="en-GB"/>
              </w:rPr>
              <w:t> </w:t>
            </w:r>
          </w:p>
        </w:tc>
      </w:tr>
      <w:tr w:rsidR="00E66C9A" w:rsidRPr="00426BBC" w14:paraId="7786CE78" w14:textId="77777777" w:rsidTr="001857FB">
        <w:trPr>
          <w:trHeight w:val="238"/>
        </w:trPr>
        <w:tc>
          <w:tcPr>
            <w:tcW w:w="6340" w:type="dxa"/>
            <w:tcBorders>
              <w:top w:val="single" w:sz="8" w:space="0" w:color="BFBFBF"/>
              <w:left w:val="single" w:sz="8" w:space="0" w:color="BFBFBF"/>
              <w:bottom w:val="single" w:sz="8" w:space="0" w:color="BFBFBF"/>
              <w:right w:val="single" w:sz="8" w:space="0" w:color="BFBFBF"/>
            </w:tcBorders>
            <w:shd w:val="clear" w:color="000000" w:fill="FFFFFF"/>
            <w:vAlign w:val="center"/>
            <w:hideMark/>
          </w:tcPr>
          <w:p w14:paraId="092D686C"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Total cash and cash equivalents at 30 September</w:t>
            </w:r>
          </w:p>
        </w:tc>
        <w:tc>
          <w:tcPr>
            <w:tcW w:w="1340" w:type="dxa"/>
            <w:tcBorders>
              <w:top w:val="single" w:sz="8" w:space="0" w:color="BFBFBF"/>
              <w:left w:val="nil"/>
              <w:bottom w:val="single" w:sz="8" w:space="0" w:color="BFBFBF"/>
              <w:right w:val="single" w:sz="8" w:space="0" w:color="BFBFBF"/>
            </w:tcBorders>
            <w:shd w:val="clear" w:color="000000" w:fill="DCE6F1"/>
            <w:noWrap/>
            <w:vAlign w:val="center"/>
            <w:hideMark/>
          </w:tcPr>
          <w:p w14:paraId="2E0BBECB"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182.517 </w:t>
            </w:r>
          </w:p>
        </w:tc>
        <w:tc>
          <w:tcPr>
            <w:tcW w:w="1340" w:type="dxa"/>
            <w:tcBorders>
              <w:top w:val="single" w:sz="8" w:space="0" w:color="BFBFBF"/>
              <w:left w:val="nil"/>
              <w:bottom w:val="single" w:sz="8" w:space="0" w:color="BFBFBF"/>
              <w:right w:val="single" w:sz="8" w:space="0" w:color="BFBFBF"/>
            </w:tcBorders>
            <w:shd w:val="clear" w:color="auto" w:fill="auto"/>
            <w:noWrap/>
            <w:vAlign w:val="center"/>
            <w:hideMark/>
          </w:tcPr>
          <w:p w14:paraId="13A33722" w14:textId="77777777" w:rsidR="00E66C9A" w:rsidRPr="00426BBC" w:rsidRDefault="00E66C9A" w:rsidP="001857FB">
            <w:pPr>
              <w:jc w:val="left"/>
              <w:rPr>
                <w:rFonts w:asciiTheme="minorHAnsi" w:hAnsiTheme="minorHAnsi" w:cstheme="minorHAnsi"/>
                <w:b/>
                <w:bCs/>
                <w:color w:val="366092"/>
                <w:sz w:val="20"/>
                <w:szCs w:val="20"/>
                <w:lang w:val="en-GB"/>
              </w:rPr>
            </w:pPr>
            <w:r w:rsidRPr="00426BBC">
              <w:rPr>
                <w:rFonts w:asciiTheme="minorHAnsi" w:hAnsiTheme="minorHAnsi" w:cstheme="minorHAnsi"/>
                <w:b/>
                <w:bCs/>
                <w:color w:val="366092"/>
                <w:sz w:val="20"/>
                <w:szCs w:val="20"/>
                <w:lang w:val="en-GB"/>
              </w:rPr>
              <w:t xml:space="preserve">            70.345 </w:t>
            </w:r>
          </w:p>
        </w:tc>
      </w:tr>
    </w:tbl>
    <w:p w14:paraId="09ABB780" w14:textId="77777777" w:rsidR="00E66C9A" w:rsidRPr="00E9120D" w:rsidRDefault="00E66C9A" w:rsidP="00E66C9A">
      <w:pPr>
        <w:pStyle w:val="NoSpacing"/>
        <w:rPr>
          <w:rFonts w:asciiTheme="minorHAnsi" w:hAnsiTheme="minorHAnsi" w:cstheme="minorHAnsi"/>
          <w:sz w:val="24"/>
          <w:lang w:val="en-GB"/>
        </w:rPr>
      </w:pPr>
    </w:p>
    <w:p w14:paraId="3C2B896C" w14:textId="13BAAEF7" w:rsidR="007F0351" w:rsidRPr="00426BBC" w:rsidRDefault="007F0351" w:rsidP="00EA6368">
      <w:pPr>
        <w:jc w:val="center"/>
        <w:rPr>
          <w:rFonts w:asciiTheme="minorHAnsi" w:eastAsiaTheme="majorEastAsia" w:hAnsiTheme="minorHAnsi" w:cstheme="minorHAnsi"/>
          <w:bCs/>
          <w:color w:val="59595B"/>
          <w:szCs w:val="28"/>
          <w:lang w:val="en-GB" w:eastAsia="zh-CN"/>
        </w:rPr>
      </w:pPr>
      <w:r w:rsidRPr="00426BBC">
        <w:rPr>
          <w:rFonts w:asciiTheme="minorHAnsi" w:eastAsiaTheme="majorEastAsia" w:hAnsiTheme="minorHAnsi" w:cstheme="minorHAnsi"/>
          <w:bCs/>
          <w:color w:val="59595B"/>
          <w:szCs w:val="28"/>
          <w:lang w:val="en-GB" w:eastAsia="zh-CN"/>
        </w:rPr>
        <w:t>----ENDS----</w:t>
      </w:r>
    </w:p>
    <w:sectPr w:rsidR="007F0351" w:rsidRPr="00426BBC" w:rsidSect="001B1CF3">
      <w:headerReference w:type="default" r:id="rId15"/>
      <w:footerReference w:type="default" r:id="rId16"/>
      <w:pgSz w:w="11907" w:h="16840" w:code="9"/>
      <w:pgMar w:top="1276"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66F72" w14:textId="77777777" w:rsidR="00466E1C" w:rsidRDefault="00466E1C">
      <w:r>
        <w:separator/>
      </w:r>
    </w:p>
  </w:endnote>
  <w:endnote w:type="continuationSeparator" w:id="0">
    <w:p w14:paraId="2B2907F1" w14:textId="77777777" w:rsidR="00466E1C" w:rsidRDefault="00466E1C">
      <w:r>
        <w:continuationSeparator/>
      </w:r>
    </w:p>
  </w:endnote>
  <w:endnote w:type="continuationNotice" w:id="1">
    <w:p w14:paraId="243C472B" w14:textId="77777777" w:rsidR="00466E1C" w:rsidRDefault="00466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B471A" w14:textId="3C2AAA06" w:rsidR="00335864" w:rsidRPr="008C2FCA" w:rsidRDefault="00335864">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14</w:t>
    </w:r>
    <w:r w:rsidRPr="008C2FCA">
      <w:rPr>
        <w:rFonts w:asciiTheme="minorHAnsi" w:hAnsiTheme="minorHAnsi"/>
        <w:noProof/>
        <w:color w:val="59595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90F00" w14:textId="77777777" w:rsidR="00466E1C" w:rsidRDefault="00466E1C">
      <w:r>
        <w:separator/>
      </w:r>
    </w:p>
  </w:footnote>
  <w:footnote w:type="continuationSeparator" w:id="0">
    <w:p w14:paraId="43F47315" w14:textId="77777777" w:rsidR="00466E1C" w:rsidRDefault="00466E1C">
      <w:r>
        <w:continuationSeparator/>
      </w:r>
    </w:p>
  </w:footnote>
  <w:footnote w:type="continuationNotice" w:id="1">
    <w:p w14:paraId="6FEB8348" w14:textId="77777777" w:rsidR="00466E1C" w:rsidRDefault="00466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50496" w14:textId="3061DA83" w:rsidR="00335864" w:rsidRPr="00022C90" w:rsidRDefault="00335864"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en-US"/>
      </w:rPr>
      <w:drawing>
        <wp:anchor distT="0" distB="0" distL="114300" distR="114300" simplePos="0" relativeHeight="251657216" behindDoc="1" locked="0" layoutInCell="1" allowOverlap="1" wp14:anchorId="02B994C8" wp14:editId="17082087">
          <wp:simplePos x="0" y="0"/>
          <wp:positionH relativeFrom="margin">
            <wp:align>right</wp:align>
          </wp:positionH>
          <wp:positionV relativeFrom="paragraph">
            <wp:posOffset>-19685</wp:posOffset>
          </wp:positionV>
          <wp:extent cx="1477645" cy="371475"/>
          <wp:effectExtent l="0" t="0" r="8255" b="9525"/>
          <wp:wrapTight wrapText="bothSides">
            <wp:wrapPolygon edited="0">
              <wp:start x="0" y="0"/>
              <wp:lineTo x="0" y="21046"/>
              <wp:lineTo x="21442" y="21046"/>
              <wp:lineTo x="2144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6313"/>
    <w:multiLevelType w:val="hybridMultilevel"/>
    <w:tmpl w:val="CAE8E008"/>
    <w:lvl w:ilvl="0" w:tplc="0B6A4EAE">
      <w:start w:val="31"/>
      <w:numFmt w:val="bullet"/>
      <w:lvlText w:val="-"/>
      <w:lvlJc w:val="left"/>
      <w:pPr>
        <w:ind w:left="720" w:hanging="360"/>
      </w:pPr>
      <w:rPr>
        <w:rFonts w:ascii="Calibri Light" w:eastAsia="SimSun" w:hAnsi="Calibri Light" w:cs="Calibri Light" w:hint="default"/>
        <w:b w:val="0"/>
        <w:color w:val="59595B"/>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C164C9"/>
    <w:multiLevelType w:val="hybridMultilevel"/>
    <w:tmpl w:val="83F854CA"/>
    <w:lvl w:ilvl="0" w:tplc="317259DE">
      <w:start w:val="1"/>
      <w:numFmt w:val="bullet"/>
      <w:lvlText w:val="·"/>
      <w:lvlJc w:val="left"/>
      <w:pPr>
        <w:ind w:left="720" w:hanging="360"/>
      </w:pPr>
      <w:rPr>
        <w:rFonts w:ascii="Symbol" w:hAnsi="Symbol" w:hint="default"/>
        <w:color w:val="00679B"/>
        <w:sz w:val="24"/>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D3B75FD"/>
    <w:multiLevelType w:val="hybridMultilevel"/>
    <w:tmpl w:val="93E653BA"/>
    <w:lvl w:ilvl="0" w:tplc="317259DE">
      <w:start w:val="1"/>
      <w:numFmt w:val="bullet"/>
      <w:lvlText w:val="·"/>
      <w:lvlJc w:val="left"/>
      <w:pPr>
        <w:ind w:left="1440" w:hanging="360"/>
      </w:pPr>
      <w:rPr>
        <w:rFonts w:ascii="Symbol" w:hAnsi="Symbol" w:hint="default"/>
        <w:color w:val="00679B"/>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C0D484B"/>
    <w:multiLevelType w:val="hybridMultilevel"/>
    <w:tmpl w:val="4B766AF6"/>
    <w:lvl w:ilvl="0" w:tplc="317259DE">
      <w:start w:val="1"/>
      <w:numFmt w:val="bullet"/>
      <w:lvlText w:val="·"/>
      <w:lvlJc w:val="left"/>
      <w:pPr>
        <w:ind w:left="1260" w:hanging="360"/>
      </w:pPr>
      <w:rPr>
        <w:rFonts w:ascii="Symbol" w:hAnsi="Symbol" w:hint="default"/>
        <w:color w:val="00679B"/>
        <w:sz w:val="24"/>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6"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4E3"/>
    <w:rsid w:val="000116C3"/>
    <w:rsid w:val="00011B5D"/>
    <w:rsid w:val="00014197"/>
    <w:rsid w:val="00014D70"/>
    <w:rsid w:val="000151BE"/>
    <w:rsid w:val="000157FD"/>
    <w:rsid w:val="000159F1"/>
    <w:rsid w:val="00016250"/>
    <w:rsid w:val="000164FE"/>
    <w:rsid w:val="00016506"/>
    <w:rsid w:val="00016E20"/>
    <w:rsid w:val="00017243"/>
    <w:rsid w:val="00017E0A"/>
    <w:rsid w:val="00020666"/>
    <w:rsid w:val="00020BA3"/>
    <w:rsid w:val="00020C90"/>
    <w:rsid w:val="00021299"/>
    <w:rsid w:val="00022C90"/>
    <w:rsid w:val="00022CAE"/>
    <w:rsid w:val="00022E64"/>
    <w:rsid w:val="00022F63"/>
    <w:rsid w:val="000231AC"/>
    <w:rsid w:val="00023636"/>
    <w:rsid w:val="00023657"/>
    <w:rsid w:val="0002369E"/>
    <w:rsid w:val="00023D00"/>
    <w:rsid w:val="00023EF2"/>
    <w:rsid w:val="00024B7A"/>
    <w:rsid w:val="00027B5D"/>
    <w:rsid w:val="00027DD2"/>
    <w:rsid w:val="0003055D"/>
    <w:rsid w:val="0003084C"/>
    <w:rsid w:val="00030DD1"/>
    <w:rsid w:val="0003120C"/>
    <w:rsid w:val="000312DE"/>
    <w:rsid w:val="000313D6"/>
    <w:rsid w:val="00031A45"/>
    <w:rsid w:val="00031BA0"/>
    <w:rsid w:val="00031ED9"/>
    <w:rsid w:val="000339EC"/>
    <w:rsid w:val="00033A93"/>
    <w:rsid w:val="00033B6F"/>
    <w:rsid w:val="000347CF"/>
    <w:rsid w:val="00034A24"/>
    <w:rsid w:val="00034A76"/>
    <w:rsid w:val="00034C5D"/>
    <w:rsid w:val="00034F8C"/>
    <w:rsid w:val="00035153"/>
    <w:rsid w:val="0003584C"/>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AD8"/>
    <w:rsid w:val="00046F4A"/>
    <w:rsid w:val="00047513"/>
    <w:rsid w:val="000475B2"/>
    <w:rsid w:val="00047F33"/>
    <w:rsid w:val="0005010B"/>
    <w:rsid w:val="00050A73"/>
    <w:rsid w:val="00050F47"/>
    <w:rsid w:val="0005115D"/>
    <w:rsid w:val="000513BE"/>
    <w:rsid w:val="000515E9"/>
    <w:rsid w:val="00051A48"/>
    <w:rsid w:val="00051BCB"/>
    <w:rsid w:val="00051E47"/>
    <w:rsid w:val="00052672"/>
    <w:rsid w:val="000526E7"/>
    <w:rsid w:val="00053A56"/>
    <w:rsid w:val="00053B25"/>
    <w:rsid w:val="00053B5B"/>
    <w:rsid w:val="00054C86"/>
    <w:rsid w:val="00054D5B"/>
    <w:rsid w:val="000554E7"/>
    <w:rsid w:val="00055598"/>
    <w:rsid w:val="00056155"/>
    <w:rsid w:val="000567FC"/>
    <w:rsid w:val="00056EB0"/>
    <w:rsid w:val="00057ED8"/>
    <w:rsid w:val="00057F18"/>
    <w:rsid w:val="000613EA"/>
    <w:rsid w:val="00061864"/>
    <w:rsid w:val="00062E3A"/>
    <w:rsid w:val="0006349D"/>
    <w:rsid w:val="00063697"/>
    <w:rsid w:val="000637BC"/>
    <w:rsid w:val="0006386F"/>
    <w:rsid w:val="00063A83"/>
    <w:rsid w:val="00064603"/>
    <w:rsid w:val="00064D2B"/>
    <w:rsid w:val="00065334"/>
    <w:rsid w:val="000660F4"/>
    <w:rsid w:val="00066382"/>
    <w:rsid w:val="000666B5"/>
    <w:rsid w:val="00066948"/>
    <w:rsid w:val="00066EF5"/>
    <w:rsid w:val="00067A1D"/>
    <w:rsid w:val="000700EB"/>
    <w:rsid w:val="00070217"/>
    <w:rsid w:val="000704F3"/>
    <w:rsid w:val="00070720"/>
    <w:rsid w:val="00070CF6"/>
    <w:rsid w:val="00070FFD"/>
    <w:rsid w:val="00071435"/>
    <w:rsid w:val="00071449"/>
    <w:rsid w:val="00071FE2"/>
    <w:rsid w:val="0007289A"/>
    <w:rsid w:val="00073502"/>
    <w:rsid w:val="0007363B"/>
    <w:rsid w:val="000742FD"/>
    <w:rsid w:val="00074335"/>
    <w:rsid w:val="00075251"/>
    <w:rsid w:val="0007530B"/>
    <w:rsid w:val="00075943"/>
    <w:rsid w:val="00075E86"/>
    <w:rsid w:val="00076884"/>
    <w:rsid w:val="00076F36"/>
    <w:rsid w:val="000772D1"/>
    <w:rsid w:val="000779B1"/>
    <w:rsid w:val="0008040F"/>
    <w:rsid w:val="00080580"/>
    <w:rsid w:val="00080EE1"/>
    <w:rsid w:val="000813CC"/>
    <w:rsid w:val="00081AA2"/>
    <w:rsid w:val="00081D0A"/>
    <w:rsid w:val="00081F53"/>
    <w:rsid w:val="00083B40"/>
    <w:rsid w:val="00083C90"/>
    <w:rsid w:val="00083F25"/>
    <w:rsid w:val="00084091"/>
    <w:rsid w:val="0008426D"/>
    <w:rsid w:val="000843A4"/>
    <w:rsid w:val="0008471C"/>
    <w:rsid w:val="000848C7"/>
    <w:rsid w:val="000849F5"/>
    <w:rsid w:val="00084C87"/>
    <w:rsid w:val="00084FF0"/>
    <w:rsid w:val="000854EE"/>
    <w:rsid w:val="00085775"/>
    <w:rsid w:val="00085A4A"/>
    <w:rsid w:val="0008625C"/>
    <w:rsid w:val="000863B0"/>
    <w:rsid w:val="000864AD"/>
    <w:rsid w:val="000866DA"/>
    <w:rsid w:val="00087073"/>
    <w:rsid w:val="00087140"/>
    <w:rsid w:val="000872E0"/>
    <w:rsid w:val="00087A55"/>
    <w:rsid w:val="00090843"/>
    <w:rsid w:val="00091231"/>
    <w:rsid w:val="0009249E"/>
    <w:rsid w:val="00092901"/>
    <w:rsid w:val="00092A24"/>
    <w:rsid w:val="00094386"/>
    <w:rsid w:val="00094AB6"/>
    <w:rsid w:val="00094C60"/>
    <w:rsid w:val="00094D3D"/>
    <w:rsid w:val="000950BA"/>
    <w:rsid w:val="00095311"/>
    <w:rsid w:val="00095E2D"/>
    <w:rsid w:val="0009668B"/>
    <w:rsid w:val="00096831"/>
    <w:rsid w:val="00096C6C"/>
    <w:rsid w:val="000970EF"/>
    <w:rsid w:val="00097BA9"/>
    <w:rsid w:val="00097DFF"/>
    <w:rsid w:val="00097FDE"/>
    <w:rsid w:val="000A0338"/>
    <w:rsid w:val="000A15DC"/>
    <w:rsid w:val="000A1A52"/>
    <w:rsid w:val="000A1BD4"/>
    <w:rsid w:val="000A1C77"/>
    <w:rsid w:val="000A1D96"/>
    <w:rsid w:val="000A1EB4"/>
    <w:rsid w:val="000A3217"/>
    <w:rsid w:val="000A347E"/>
    <w:rsid w:val="000A39F7"/>
    <w:rsid w:val="000A3C24"/>
    <w:rsid w:val="000A400A"/>
    <w:rsid w:val="000A4D1B"/>
    <w:rsid w:val="000A509D"/>
    <w:rsid w:val="000A573C"/>
    <w:rsid w:val="000A5AA1"/>
    <w:rsid w:val="000A6365"/>
    <w:rsid w:val="000A6745"/>
    <w:rsid w:val="000A7142"/>
    <w:rsid w:val="000A7E76"/>
    <w:rsid w:val="000B0501"/>
    <w:rsid w:val="000B0516"/>
    <w:rsid w:val="000B07F8"/>
    <w:rsid w:val="000B0AA7"/>
    <w:rsid w:val="000B0E40"/>
    <w:rsid w:val="000B0F87"/>
    <w:rsid w:val="000B10A0"/>
    <w:rsid w:val="000B1107"/>
    <w:rsid w:val="000B16B6"/>
    <w:rsid w:val="000B16BF"/>
    <w:rsid w:val="000B22F3"/>
    <w:rsid w:val="000B2A13"/>
    <w:rsid w:val="000B2EC4"/>
    <w:rsid w:val="000B304F"/>
    <w:rsid w:val="000B361E"/>
    <w:rsid w:val="000B4087"/>
    <w:rsid w:val="000B421B"/>
    <w:rsid w:val="000B42A9"/>
    <w:rsid w:val="000B4342"/>
    <w:rsid w:val="000B43EB"/>
    <w:rsid w:val="000B556C"/>
    <w:rsid w:val="000B58FD"/>
    <w:rsid w:val="000B5B66"/>
    <w:rsid w:val="000B5C9F"/>
    <w:rsid w:val="000B5E31"/>
    <w:rsid w:val="000B614C"/>
    <w:rsid w:val="000B6892"/>
    <w:rsid w:val="000B689B"/>
    <w:rsid w:val="000B6C1A"/>
    <w:rsid w:val="000B6DD1"/>
    <w:rsid w:val="000B7146"/>
    <w:rsid w:val="000B7341"/>
    <w:rsid w:val="000B7CE6"/>
    <w:rsid w:val="000B7F4C"/>
    <w:rsid w:val="000C034F"/>
    <w:rsid w:val="000C05D4"/>
    <w:rsid w:val="000C0628"/>
    <w:rsid w:val="000C080C"/>
    <w:rsid w:val="000C1CCA"/>
    <w:rsid w:val="000C2CA8"/>
    <w:rsid w:val="000C2F12"/>
    <w:rsid w:val="000C33F2"/>
    <w:rsid w:val="000C34CD"/>
    <w:rsid w:val="000C403F"/>
    <w:rsid w:val="000C4694"/>
    <w:rsid w:val="000C5111"/>
    <w:rsid w:val="000C5326"/>
    <w:rsid w:val="000C6594"/>
    <w:rsid w:val="000C65CA"/>
    <w:rsid w:val="000C79FD"/>
    <w:rsid w:val="000C7B73"/>
    <w:rsid w:val="000D0314"/>
    <w:rsid w:val="000D0A13"/>
    <w:rsid w:val="000D1A6E"/>
    <w:rsid w:val="000D1B1B"/>
    <w:rsid w:val="000D1BE1"/>
    <w:rsid w:val="000D2D49"/>
    <w:rsid w:val="000D3131"/>
    <w:rsid w:val="000D3265"/>
    <w:rsid w:val="000D409F"/>
    <w:rsid w:val="000D40D3"/>
    <w:rsid w:val="000D4243"/>
    <w:rsid w:val="000D4651"/>
    <w:rsid w:val="000D4828"/>
    <w:rsid w:val="000D53B2"/>
    <w:rsid w:val="000D5917"/>
    <w:rsid w:val="000D623E"/>
    <w:rsid w:val="000D6436"/>
    <w:rsid w:val="000D66A0"/>
    <w:rsid w:val="000D776B"/>
    <w:rsid w:val="000D7980"/>
    <w:rsid w:val="000D7B20"/>
    <w:rsid w:val="000E0548"/>
    <w:rsid w:val="000E1A1C"/>
    <w:rsid w:val="000E1C16"/>
    <w:rsid w:val="000E21D2"/>
    <w:rsid w:val="000E29F0"/>
    <w:rsid w:val="000E2E61"/>
    <w:rsid w:val="000E363E"/>
    <w:rsid w:val="000E3872"/>
    <w:rsid w:val="000E38A4"/>
    <w:rsid w:val="000E4012"/>
    <w:rsid w:val="000E4900"/>
    <w:rsid w:val="000E4B21"/>
    <w:rsid w:val="000E4C0D"/>
    <w:rsid w:val="000E5411"/>
    <w:rsid w:val="000E599B"/>
    <w:rsid w:val="000E6098"/>
    <w:rsid w:val="000E736D"/>
    <w:rsid w:val="000F0582"/>
    <w:rsid w:val="000F0C52"/>
    <w:rsid w:val="000F0C79"/>
    <w:rsid w:val="000F1E34"/>
    <w:rsid w:val="000F1F2A"/>
    <w:rsid w:val="000F1F6B"/>
    <w:rsid w:val="000F3279"/>
    <w:rsid w:val="000F3B8E"/>
    <w:rsid w:val="000F4379"/>
    <w:rsid w:val="000F46E7"/>
    <w:rsid w:val="000F47BD"/>
    <w:rsid w:val="000F4995"/>
    <w:rsid w:val="000F576B"/>
    <w:rsid w:val="000F5D37"/>
    <w:rsid w:val="000F7664"/>
    <w:rsid w:val="000F78D1"/>
    <w:rsid w:val="00100C46"/>
    <w:rsid w:val="00101A76"/>
    <w:rsid w:val="00101CA6"/>
    <w:rsid w:val="00101CA8"/>
    <w:rsid w:val="00101D47"/>
    <w:rsid w:val="00102779"/>
    <w:rsid w:val="00103250"/>
    <w:rsid w:val="00103478"/>
    <w:rsid w:val="00103A16"/>
    <w:rsid w:val="00103C03"/>
    <w:rsid w:val="00104241"/>
    <w:rsid w:val="00104F59"/>
    <w:rsid w:val="0010506D"/>
    <w:rsid w:val="00105467"/>
    <w:rsid w:val="00105B6A"/>
    <w:rsid w:val="00106751"/>
    <w:rsid w:val="00106776"/>
    <w:rsid w:val="00106A8D"/>
    <w:rsid w:val="00106B89"/>
    <w:rsid w:val="00106BC5"/>
    <w:rsid w:val="00106D57"/>
    <w:rsid w:val="00107367"/>
    <w:rsid w:val="00107940"/>
    <w:rsid w:val="00110A88"/>
    <w:rsid w:val="00111043"/>
    <w:rsid w:val="001110C3"/>
    <w:rsid w:val="0011178B"/>
    <w:rsid w:val="00111CC6"/>
    <w:rsid w:val="0011236D"/>
    <w:rsid w:val="00112A31"/>
    <w:rsid w:val="0011370E"/>
    <w:rsid w:val="001137DA"/>
    <w:rsid w:val="00114417"/>
    <w:rsid w:val="001155FB"/>
    <w:rsid w:val="00115B5F"/>
    <w:rsid w:val="001163CC"/>
    <w:rsid w:val="001163F5"/>
    <w:rsid w:val="00116C59"/>
    <w:rsid w:val="00116D29"/>
    <w:rsid w:val="00116E9A"/>
    <w:rsid w:val="00116FB2"/>
    <w:rsid w:val="001176DA"/>
    <w:rsid w:val="00117C10"/>
    <w:rsid w:val="00117DFA"/>
    <w:rsid w:val="00117E4A"/>
    <w:rsid w:val="001200D6"/>
    <w:rsid w:val="00120958"/>
    <w:rsid w:val="0012141C"/>
    <w:rsid w:val="001216AD"/>
    <w:rsid w:val="0012181F"/>
    <w:rsid w:val="00121A5B"/>
    <w:rsid w:val="00121C92"/>
    <w:rsid w:val="00121F19"/>
    <w:rsid w:val="00122366"/>
    <w:rsid w:val="00122380"/>
    <w:rsid w:val="0012298E"/>
    <w:rsid w:val="00123354"/>
    <w:rsid w:val="001235ED"/>
    <w:rsid w:val="00123F15"/>
    <w:rsid w:val="00124103"/>
    <w:rsid w:val="001247F4"/>
    <w:rsid w:val="00124F9B"/>
    <w:rsid w:val="0012517B"/>
    <w:rsid w:val="00126621"/>
    <w:rsid w:val="00126D5A"/>
    <w:rsid w:val="0012719D"/>
    <w:rsid w:val="0013005C"/>
    <w:rsid w:val="00130358"/>
    <w:rsid w:val="00130626"/>
    <w:rsid w:val="00130751"/>
    <w:rsid w:val="00130F06"/>
    <w:rsid w:val="00130F25"/>
    <w:rsid w:val="00131106"/>
    <w:rsid w:val="00131A7B"/>
    <w:rsid w:val="00131BD7"/>
    <w:rsid w:val="001322F2"/>
    <w:rsid w:val="00132F80"/>
    <w:rsid w:val="001332F9"/>
    <w:rsid w:val="00133749"/>
    <w:rsid w:val="00133900"/>
    <w:rsid w:val="00133C95"/>
    <w:rsid w:val="001344AC"/>
    <w:rsid w:val="001344B1"/>
    <w:rsid w:val="001345C2"/>
    <w:rsid w:val="00135B0C"/>
    <w:rsid w:val="00135D2D"/>
    <w:rsid w:val="00135F4D"/>
    <w:rsid w:val="00135FB9"/>
    <w:rsid w:val="00136601"/>
    <w:rsid w:val="001366A9"/>
    <w:rsid w:val="00136A61"/>
    <w:rsid w:val="00136F4D"/>
    <w:rsid w:val="00137B21"/>
    <w:rsid w:val="00140194"/>
    <w:rsid w:val="001405ED"/>
    <w:rsid w:val="001411F2"/>
    <w:rsid w:val="00141834"/>
    <w:rsid w:val="00141F3F"/>
    <w:rsid w:val="0014244F"/>
    <w:rsid w:val="00142B2A"/>
    <w:rsid w:val="00142FD1"/>
    <w:rsid w:val="001434DF"/>
    <w:rsid w:val="0014395C"/>
    <w:rsid w:val="00144021"/>
    <w:rsid w:val="001445EE"/>
    <w:rsid w:val="001461AA"/>
    <w:rsid w:val="001466B6"/>
    <w:rsid w:val="00146937"/>
    <w:rsid w:val="00147884"/>
    <w:rsid w:val="00147925"/>
    <w:rsid w:val="001479E7"/>
    <w:rsid w:val="00147A1A"/>
    <w:rsid w:val="00150010"/>
    <w:rsid w:val="0015042C"/>
    <w:rsid w:val="00151355"/>
    <w:rsid w:val="00151F2D"/>
    <w:rsid w:val="001520CE"/>
    <w:rsid w:val="00152840"/>
    <w:rsid w:val="00152978"/>
    <w:rsid w:val="00152DA6"/>
    <w:rsid w:val="001535C2"/>
    <w:rsid w:val="00153EBE"/>
    <w:rsid w:val="00154D68"/>
    <w:rsid w:val="0015505C"/>
    <w:rsid w:val="00155189"/>
    <w:rsid w:val="001553DF"/>
    <w:rsid w:val="00155886"/>
    <w:rsid w:val="00155924"/>
    <w:rsid w:val="00155BB2"/>
    <w:rsid w:val="00156B94"/>
    <w:rsid w:val="00160317"/>
    <w:rsid w:val="00160523"/>
    <w:rsid w:val="00160CC3"/>
    <w:rsid w:val="00160E88"/>
    <w:rsid w:val="00161016"/>
    <w:rsid w:val="00161537"/>
    <w:rsid w:val="00161735"/>
    <w:rsid w:val="00161790"/>
    <w:rsid w:val="001617AF"/>
    <w:rsid w:val="00161DF3"/>
    <w:rsid w:val="00162678"/>
    <w:rsid w:val="00162799"/>
    <w:rsid w:val="00164F12"/>
    <w:rsid w:val="00164FB2"/>
    <w:rsid w:val="00165069"/>
    <w:rsid w:val="001651AA"/>
    <w:rsid w:val="001659B4"/>
    <w:rsid w:val="00165CCF"/>
    <w:rsid w:val="00166768"/>
    <w:rsid w:val="00166BC6"/>
    <w:rsid w:val="00166BE6"/>
    <w:rsid w:val="00166BE7"/>
    <w:rsid w:val="001678EB"/>
    <w:rsid w:val="0016790A"/>
    <w:rsid w:val="00170128"/>
    <w:rsid w:val="00170220"/>
    <w:rsid w:val="0017065E"/>
    <w:rsid w:val="00170D02"/>
    <w:rsid w:val="0017101E"/>
    <w:rsid w:val="00171652"/>
    <w:rsid w:val="00171A48"/>
    <w:rsid w:val="00172374"/>
    <w:rsid w:val="00172597"/>
    <w:rsid w:val="0017277B"/>
    <w:rsid w:val="00172AFF"/>
    <w:rsid w:val="00172BAC"/>
    <w:rsid w:val="00173597"/>
    <w:rsid w:val="0017362E"/>
    <w:rsid w:val="00174B0D"/>
    <w:rsid w:val="00175FFD"/>
    <w:rsid w:val="001760BF"/>
    <w:rsid w:val="00176152"/>
    <w:rsid w:val="00176179"/>
    <w:rsid w:val="00176180"/>
    <w:rsid w:val="0017650C"/>
    <w:rsid w:val="0017658B"/>
    <w:rsid w:val="0017667B"/>
    <w:rsid w:val="00176911"/>
    <w:rsid w:val="00176AFE"/>
    <w:rsid w:val="00176E2E"/>
    <w:rsid w:val="00176F84"/>
    <w:rsid w:val="00177CAC"/>
    <w:rsid w:val="00177D64"/>
    <w:rsid w:val="00180016"/>
    <w:rsid w:val="001802D0"/>
    <w:rsid w:val="001806FB"/>
    <w:rsid w:val="00180CE2"/>
    <w:rsid w:val="001816FA"/>
    <w:rsid w:val="001818C1"/>
    <w:rsid w:val="00181F68"/>
    <w:rsid w:val="001824A8"/>
    <w:rsid w:val="0018264B"/>
    <w:rsid w:val="00182E53"/>
    <w:rsid w:val="00182E55"/>
    <w:rsid w:val="00183454"/>
    <w:rsid w:val="0018360B"/>
    <w:rsid w:val="00183694"/>
    <w:rsid w:val="001837C8"/>
    <w:rsid w:val="00184018"/>
    <w:rsid w:val="00184336"/>
    <w:rsid w:val="00184B19"/>
    <w:rsid w:val="0018502A"/>
    <w:rsid w:val="00185678"/>
    <w:rsid w:val="001857FB"/>
    <w:rsid w:val="00185D27"/>
    <w:rsid w:val="00186503"/>
    <w:rsid w:val="00186B18"/>
    <w:rsid w:val="001874D3"/>
    <w:rsid w:val="001878B1"/>
    <w:rsid w:val="00187D7F"/>
    <w:rsid w:val="00190349"/>
    <w:rsid w:val="00191276"/>
    <w:rsid w:val="001913E3"/>
    <w:rsid w:val="0019184F"/>
    <w:rsid w:val="001923BA"/>
    <w:rsid w:val="00192470"/>
    <w:rsid w:val="00192753"/>
    <w:rsid w:val="00192DAB"/>
    <w:rsid w:val="001931C6"/>
    <w:rsid w:val="00193510"/>
    <w:rsid w:val="001941F0"/>
    <w:rsid w:val="001953E2"/>
    <w:rsid w:val="00195FF7"/>
    <w:rsid w:val="001965C7"/>
    <w:rsid w:val="00196879"/>
    <w:rsid w:val="001969A3"/>
    <w:rsid w:val="00197212"/>
    <w:rsid w:val="001975CE"/>
    <w:rsid w:val="001A0169"/>
    <w:rsid w:val="001A09F3"/>
    <w:rsid w:val="001A165C"/>
    <w:rsid w:val="001A167F"/>
    <w:rsid w:val="001A1B45"/>
    <w:rsid w:val="001A1D1D"/>
    <w:rsid w:val="001A1DC4"/>
    <w:rsid w:val="001A22ED"/>
    <w:rsid w:val="001A2588"/>
    <w:rsid w:val="001A31DA"/>
    <w:rsid w:val="001A3209"/>
    <w:rsid w:val="001A364C"/>
    <w:rsid w:val="001A38D5"/>
    <w:rsid w:val="001A3C84"/>
    <w:rsid w:val="001A3E9A"/>
    <w:rsid w:val="001A3EB4"/>
    <w:rsid w:val="001A5802"/>
    <w:rsid w:val="001A5BB8"/>
    <w:rsid w:val="001A602F"/>
    <w:rsid w:val="001A6968"/>
    <w:rsid w:val="001A7205"/>
    <w:rsid w:val="001A7457"/>
    <w:rsid w:val="001A7677"/>
    <w:rsid w:val="001A7BA1"/>
    <w:rsid w:val="001A7BD9"/>
    <w:rsid w:val="001A7BEA"/>
    <w:rsid w:val="001B04B4"/>
    <w:rsid w:val="001B0532"/>
    <w:rsid w:val="001B070E"/>
    <w:rsid w:val="001B09E0"/>
    <w:rsid w:val="001B1697"/>
    <w:rsid w:val="001B1BD5"/>
    <w:rsid w:val="001B1CF3"/>
    <w:rsid w:val="001B20C7"/>
    <w:rsid w:val="001B22D4"/>
    <w:rsid w:val="001B24D7"/>
    <w:rsid w:val="001B2842"/>
    <w:rsid w:val="001B288F"/>
    <w:rsid w:val="001B2AF2"/>
    <w:rsid w:val="001B3223"/>
    <w:rsid w:val="001B32EE"/>
    <w:rsid w:val="001B37D3"/>
    <w:rsid w:val="001B41EA"/>
    <w:rsid w:val="001B5BC5"/>
    <w:rsid w:val="001B5D4D"/>
    <w:rsid w:val="001B5D56"/>
    <w:rsid w:val="001B66ED"/>
    <w:rsid w:val="001B6C7E"/>
    <w:rsid w:val="001B7949"/>
    <w:rsid w:val="001B7FC1"/>
    <w:rsid w:val="001C15AE"/>
    <w:rsid w:val="001C166E"/>
    <w:rsid w:val="001C1B21"/>
    <w:rsid w:val="001C1E5F"/>
    <w:rsid w:val="001C2627"/>
    <w:rsid w:val="001C27D3"/>
    <w:rsid w:val="001C2ACC"/>
    <w:rsid w:val="001C2E31"/>
    <w:rsid w:val="001C38A9"/>
    <w:rsid w:val="001C38DB"/>
    <w:rsid w:val="001C473E"/>
    <w:rsid w:val="001C4B43"/>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0FE2"/>
    <w:rsid w:val="001D1A37"/>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294"/>
    <w:rsid w:val="001E0B8C"/>
    <w:rsid w:val="001E0F12"/>
    <w:rsid w:val="001E152B"/>
    <w:rsid w:val="001E161F"/>
    <w:rsid w:val="001E179D"/>
    <w:rsid w:val="001E1CBD"/>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6E4"/>
    <w:rsid w:val="001E6C27"/>
    <w:rsid w:val="001E7712"/>
    <w:rsid w:val="001E772F"/>
    <w:rsid w:val="001E7BF4"/>
    <w:rsid w:val="001E7E14"/>
    <w:rsid w:val="001F0411"/>
    <w:rsid w:val="001F0670"/>
    <w:rsid w:val="001F12E7"/>
    <w:rsid w:val="001F154C"/>
    <w:rsid w:val="001F18E5"/>
    <w:rsid w:val="001F1AF0"/>
    <w:rsid w:val="001F1B78"/>
    <w:rsid w:val="001F1E19"/>
    <w:rsid w:val="001F31B2"/>
    <w:rsid w:val="001F3816"/>
    <w:rsid w:val="001F3BED"/>
    <w:rsid w:val="001F3F3F"/>
    <w:rsid w:val="001F410F"/>
    <w:rsid w:val="001F4494"/>
    <w:rsid w:val="001F49FC"/>
    <w:rsid w:val="001F4A8A"/>
    <w:rsid w:val="001F4DB5"/>
    <w:rsid w:val="001F55DA"/>
    <w:rsid w:val="001F5AFB"/>
    <w:rsid w:val="001F5EA1"/>
    <w:rsid w:val="001F75CF"/>
    <w:rsid w:val="001F7F2C"/>
    <w:rsid w:val="002005C0"/>
    <w:rsid w:val="00200C28"/>
    <w:rsid w:val="00201A32"/>
    <w:rsid w:val="00202298"/>
    <w:rsid w:val="00202925"/>
    <w:rsid w:val="00202BC5"/>
    <w:rsid w:val="00202E24"/>
    <w:rsid w:val="002031B3"/>
    <w:rsid w:val="002034CC"/>
    <w:rsid w:val="00203CEE"/>
    <w:rsid w:val="00204160"/>
    <w:rsid w:val="0020463C"/>
    <w:rsid w:val="0020470F"/>
    <w:rsid w:val="0020472F"/>
    <w:rsid w:val="002053FC"/>
    <w:rsid w:val="00205FFC"/>
    <w:rsid w:val="00206083"/>
    <w:rsid w:val="00206138"/>
    <w:rsid w:val="00206302"/>
    <w:rsid w:val="002064E1"/>
    <w:rsid w:val="00206F48"/>
    <w:rsid w:val="00206FDA"/>
    <w:rsid w:val="002075BE"/>
    <w:rsid w:val="00207C89"/>
    <w:rsid w:val="00207D1B"/>
    <w:rsid w:val="0021084E"/>
    <w:rsid w:val="00210993"/>
    <w:rsid w:val="00210E33"/>
    <w:rsid w:val="002112F1"/>
    <w:rsid w:val="002114AC"/>
    <w:rsid w:val="00212097"/>
    <w:rsid w:val="00212529"/>
    <w:rsid w:val="00212B23"/>
    <w:rsid w:val="00213379"/>
    <w:rsid w:val="0021440D"/>
    <w:rsid w:val="00214D70"/>
    <w:rsid w:val="00214FEC"/>
    <w:rsid w:val="00215057"/>
    <w:rsid w:val="002158F9"/>
    <w:rsid w:val="00215B13"/>
    <w:rsid w:val="00215B2D"/>
    <w:rsid w:val="0021648D"/>
    <w:rsid w:val="002166DF"/>
    <w:rsid w:val="00216A53"/>
    <w:rsid w:val="002205B8"/>
    <w:rsid w:val="0022134F"/>
    <w:rsid w:val="0022152D"/>
    <w:rsid w:val="00221AE4"/>
    <w:rsid w:val="00221D9A"/>
    <w:rsid w:val="00221DF4"/>
    <w:rsid w:val="0022218D"/>
    <w:rsid w:val="0022292A"/>
    <w:rsid w:val="00222956"/>
    <w:rsid w:val="00222997"/>
    <w:rsid w:val="00222AAE"/>
    <w:rsid w:val="00222AC7"/>
    <w:rsid w:val="0022360E"/>
    <w:rsid w:val="00223C89"/>
    <w:rsid w:val="00223D2C"/>
    <w:rsid w:val="0022407B"/>
    <w:rsid w:val="002244B7"/>
    <w:rsid w:val="002246E6"/>
    <w:rsid w:val="00224986"/>
    <w:rsid w:val="00224B96"/>
    <w:rsid w:val="0022542F"/>
    <w:rsid w:val="002259F8"/>
    <w:rsid w:val="00225B8C"/>
    <w:rsid w:val="002261A4"/>
    <w:rsid w:val="00226207"/>
    <w:rsid w:val="002262C0"/>
    <w:rsid w:val="002264EB"/>
    <w:rsid w:val="002266AE"/>
    <w:rsid w:val="002267CF"/>
    <w:rsid w:val="00227E53"/>
    <w:rsid w:val="0023045A"/>
    <w:rsid w:val="0023071F"/>
    <w:rsid w:val="0023093A"/>
    <w:rsid w:val="00230946"/>
    <w:rsid w:val="00230E17"/>
    <w:rsid w:val="00230F40"/>
    <w:rsid w:val="00230F64"/>
    <w:rsid w:val="002310EE"/>
    <w:rsid w:val="0023116B"/>
    <w:rsid w:val="0023147F"/>
    <w:rsid w:val="00231A16"/>
    <w:rsid w:val="00232C22"/>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37FD9"/>
    <w:rsid w:val="002407F7"/>
    <w:rsid w:val="00240FFB"/>
    <w:rsid w:val="002421C8"/>
    <w:rsid w:val="002427B5"/>
    <w:rsid w:val="00242DA0"/>
    <w:rsid w:val="00242E1E"/>
    <w:rsid w:val="00243283"/>
    <w:rsid w:val="002434B4"/>
    <w:rsid w:val="00243706"/>
    <w:rsid w:val="00243859"/>
    <w:rsid w:val="002439EE"/>
    <w:rsid w:val="00244422"/>
    <w:rsid w:val="00244C4C"/>
    <w:rsid w:val="00245062"/>
    <w:rsid w:val="0024553D"/>
    <w:rsid w:val="002458D0"/>
    <w:rsid w:val="00245B80"/>
    <w:rsid w:val="00245E56"/>
    <w:rsid w:val="0024620D"/>
    <w:rsid w:val="0024642B"/>
    <w:rsid w:val="00246581"/>
    <w:rsid w:val="00246B84"/>
    <w:rsid w:val="00246C74"/>
    <w:rsid w:val="002471F6"/>
    <w:rsid w:val="002478F8"/>
    <w:rsid w:val="00247DF6"/>
    <w:rsid w:val="00250509"/>
    <w:rsid w:val="002505C2"/>
    <w:rsid w:val="00250E2C"/>
    <w:rsid w:val="0025114F"/>
    <w:rsid w:val="00251766"/>
    <w:rsid w:val="00251D49"/>
    <w:rsid w:val="002523AF"/>
    <w:rsid w:val="002528FD"/>
    <w:rsid w:val="00252B6E"/>
    <w:rsid w:val="0025324D"/>
    <w:rsid w:val="00253518"/>
    <w:rsid w:val="00253E5D"/>
    <w:rsid w:val="002544D5"/>
    <w:rsid w:val="002551E1"/>
    <w:rsid w:val="0025524C"/>
    <w:rsid w:val="0025527D"/>
    <w:rsid w:val="00256BDC"/>
    <w:rsid w:val="00256EB9"/>
    <w:rsid w:val="0025798F"/>
    <w:rsid w:val="00257CDA"/>
    <w:rsid w:val="0026030D"/>
    <w:rsid w:val="00260603"/>
    <w:rsid w:val="00260955"/>
    <w:rsid w:val="00260DBE"/>
    <w:rsid w:val="00260FBD"/>
    <w:rsid w:val="0026105A"/>
    <w:rsid w:val="002610DB"/>
    <w:rsid w:val="00262A0C"/>
    <w:rsid w:val="00262ACF"/>
    <w:rsid w:val="00262FB2"/>
    <w:rsid w:val="0026484A"/>
    <w:rsid w:val="00264E38"/>
    <w:rsid w:val="00264E55"/>
    <w:rsid w:val="0026510A"/>
    <w:rsid w:val="00265302"/>
    <w:rsid w:val="00265CA8"/>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14C"/>
    <w:rsid w:val="002722F7"/>
    <w:rsid w:val="00272BD6"/>
    <w:rsid w:val="00273111"/>
    <w:rsid w:val="00273D88"/>
    <w:rsid w:val="00273DAD"/>
    <w:rsid w:val="002743B1"/>
    <w:rsid w:val="002745D6"/>
    <w:rsid w:val="00274640"/>
    <w:rsid w:val="00274B09"/>
    <w:rsid w:val="00274CA8"/>
    <w:rsid w:val="00274F7C"/>
    <w:rsid w:val="002751D8"/>
    <w:rsid w:val="00275BAE"/>
    <w:rsid w:val="0027611F"/>
    <w:rsid w:val="002761D9"/>
    <w:rsid w:val="002761F7"/>
    <w:rsid w:val="00276DE2"/>
    <w:rsid w:val="00277337"/>
    <w:rsid w:val="0027773A"/>
    <w:rsid w:val="00277815"/>
    <w:rsid w:val="002779D9"/>
    <w:rsid w:val="00280231"/>
    <w:rsid w:val="00280420"/>
    <w:rsid w:val="00280A87"/>
    <w:rsid w:val="00280CDA"/>
    <w:rsid w:val="00281308"/>
    <w:rsid w:val="002814DB"/>
    <w:rsid w:val="00282250"/>
    <w:rsid w:val="00282564"/>
    <w:rsid w:val="002825EC"/>
    <w:rsid w:val="00282AAE"/>
    <w:rsid w:val="00282DB8"/>
    <w:rsid w:val="00283D35"/>
    <w:rsid w:val="002848F4"/>
    <w:rsid w:val="00284901"/>
    <w:rsid w:val="00284CC3"/>
    <w:rsid w:val="00285230"/>
    <w:rsid w:val="00286312"/>
    <w:rsid w:val="00286387"/>
    <w:rsid w:val="002865AA"/>
    <w:rsid w:val="002865F9"/>
    <w:rsid w:val="00287011"/>
    <w:rsid w:val="002877B8"/>
    <w:rsid w:val="00287A9E"/>
    <w:rsid w:val="002900BE"/>
    <w:rsid w:val="002907F6"/>
    <w:rsid w:val="0029090B"/>
    <w:rsid w:val="00290AD6"/>
    <w:rsid w:val="00291416"/>
    <w:rsid w:val="00291B6A"/>
    <w:rsid w:val="00293128"/>
    <w:rsid w:val="002938F5"/>
    <w:rsid w:val="002939FA"/>
    <w:rsid w:val="00293D22"/>
    <w:rsid w:val="002941B8"/>
    <w:rsid w:val="0029428D"/>
    <w:rsid w:val="002944C3"/>
    <w:rsid w:val="00294562"/>
    <w:rsid w:val="002945E9"/>
    <w:rsid w:val="00294618"/>
    <w:rsid w:val="00294A3F"/>
    <w:rsid w:val="002952D4"/>
    <w:rsid w:val="0029557F"/>
    <w:rsid w:val="00295B86"/>
    <w:rsid w:val="00295C14"/>
    <w:rsid w:val="002963B8"/>
    <w:rsid w:val="002965C5"/>
    <w:rsid w:val="002965C7"/>
    <w:rsid w:val="00296C98"/>
    <w:rsid w:val="00296CC9"/>
    <w:rsid w:val="0029726A"/>
    <w:rsid w:val="002978AA"/>
    <w:rsid w:val="002978C9"/>
    <w:rsid w:val="00297C4C"/>
    <w:rsid w:val="002A04B0"/>
    <w:rsid w:val="002A06DD"/>
    <w:rsid w:val="002A07EC"/>
    <w:rsid w:val="002A0874"/>
    <w:rsid w:val="002A1D7A"/>
    <w:rsid w:val="002A28EE"/>
    <w:rsid w:val="002A2C0E"/>
    <w:rsid w:val="002A307C"/>
    <w:rsid w:val="002A30F2"/>
    <w:rsid w:val="002A3A1C"/>
    <w:rsid w:val="002A42C7"/>
    <w:rsid w:val="002A4512"/>
    <w:rsid w:val="002A50D8"/>
    <w:rsid w:val="002A51CA"/>
    <w:rsid w:val="002A5606"/>
    <w:rsid w:val="002A5645"/>
    <w:rsid w:val="002A5950"/>
    <w:rsid w:val="002A5DA3"/>
    <w:rsid w:val="002A6D33"/>
    <w:rsid w:val="002A6FC5"/>
    <w:rsid w:val="002A707A"/>
    <w:rsid w:val="002A75D4"/>
    <w:rsid w:val="002A77B5"/>
    <w:rsid w:val="002A78ED"/>
    <w:rsid w:val="002B06ED"/>
    <w:rsid w:val="002B087D"/>
    <w:rsid w:val="002B0C39"/>
    <w:rsid w:val="002B0F3F"/>
    <w:rsid w:val="002B11D4"/>
    <w:rsid w:val="002B1530"/>
    <w:rsid w:val="002B1770"/>
    <w:rsid w:val="002B187A"/>
    <w:rsid w:val="002B1E73"/>
    <w:rsid w:val="002B1E80"/>
    <w:rsid w:val="002B25D2"/>
    <w:rsid w:val="002B2DBE"/>
    <w:rsid w:val="002B3D43"/>
    <w:rsid w:val="002B4F0D"/>
    <w:rsid w:val="002B6809"/>
    <w:rsid w:val="002B7448"/>
    <w:rsid w:val="002B7B03"/>
    <w:rsid w:val="002B7B53"/>
    <w:rsid w:val="002B7C98"/>
    <w:rsid w:val="002C0A61"/>
    <w:rsid w:val="002C0FC0"/>
    <w:rsid w:val="002C1788"/>
    <w:rsid w:val="002C17DB"/>
    <w:rsid w:val="002C1D70"/>
    <w:rsid w:val="002C1DDA"/>
    <w:rsid w:val="002C23BA"/>
    <w:rsid w:val="002C3BB1"/>
    <w:rsid w:val="002C3BCE"/>
    <w:rsid w:val="002C3D70"/>
    <w:rsid w:val="002C4180"/>
    <w:rsid w:val="002C44A1"/>
    <w:rsid w:val="002C4695"/>
    <w:rsid w:val="002C48B9"/>
    <w:rsid w:val="002C5BC6"/>
    <w:rsid w:val="002C5DAB"/>
    <w:rsid w:val="002C68B4"/>
    <w:rsid w:val="002C7464"/>
    <w:rsid w:val="002C7E1C"/>
    <w:rsid w:val="002D0322"/>
    <w:rsid w:val="002D0496"/>
    <w:rsid w:val="002D0EE8"/>
    <w:rsid w:val="002D11F0"/>
    <w:rsid w:val="002D1FF6"/>
    <w:rsid w:val="002D20E4"/>
    <w:rsid w:val="002D24C8"/>
    <w:rsid w:val="002D24F6"/>
    <w:rsid w:val="002D2779"/>
    <w:rsid w:val="002D2994"/>
    <w:rsid w:val="002D2A58"/>
    <w:rsid w:val="002D32DE"/>
    <w:rsid w:val="002D398E"/>
    <w:rsid w:val="002D3A0A"/>
    <w:rsid w:val="002D3A4E"/>
    <w:rsid w:val="002D3B32"/>
    <w:rsid w:val="002D3CA5"/>
    <w:rsid w:val="002D4224"/>
    <w:rsid w:val="002D4750"/>
    <w:rsid w:val="002D47C7"/>
    <w:rsid w:val="002D4CBF"/>
    <w:rsid w:val="002D532E"/>
    <w:rsid w:val="002D5779"/>
    <w:rsid w:val="002D5831"/>
    <w:rsid w:val="002D6138"/>
    <w:rsid w:val="002D6652"/>
    <w:rsid w:val="002D67FF"/>
    <w:rsid w:val="002D6844"/>
    <w:rsid w:val="002D6FD3"/>
    <w:rsid w:val="002D706F"/>
    <w:rsid w:val="002D7CC0"/>
    <w:rsid w:val="002D7FAF"/>
    <w:rsid w:val="002E021F"/>
    <w:rsid w:val="002E110D"/>
    <w:rsid w:val="002E1566"/>
    <w:rsid w:val="002E1A4F"/>
    <w:rsid w:val="002E1AB4"/>
    <w:rsid w:val="002E1E29"/>
    <w:rsid w:val="002E2300"/>
    <w:rsid w:val="002E2A75"/>
    <w:rsid w:val="002E2E3F"/>
    <w:rsid w:val="002E388D"/>
    <w:rsid w:val="002E3BE7"/>
    <w:rsid w:val="002E3F2C"/>
    <w:rsid w:val="002E4239"/>
    <w:rsid w:val="002E428A"/>
    <w:rsid w:val="002E44AA"/>
    <w:rsid w:val="002E465A"/>
    <w:rsid w:val="002E55C7"/>
    <w:rsid w:val="002E55F3"/>
    <w:rsid w:val="002E5A3B"/>
    <w:rsid w:val="002E5CDE"/>
    <w:rsid w:val="002E5CE0"/>
    <w:rsid w:val="002E6368"/>
    <w:rsid w:val="002E6A3E"/>
    <w:rsid w:val="002F099F"/>
    <w:rsid w:val="002F112E"/>
    <w:rsid w:val="002F136E"/>
    <w:rsid w:val="002F16B7"/>
    <w:rsid w:val="002F1D0A"/>
    <w:rsid w:val="002F1EB4"/>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07A0"/>
    <w:rsid w:val="0030106D"/>
    <w:rsid w:val="00301169"/>
    <w:rsid w:val="003013B8"/>
    <w:rsid w:val="003015A5"/>
    <w:rsid w:val="003015A6"/>
    <w:rsid w:val="00301D2E"/>
    <w:rsid w:val="0030229C"/>
    <w:rsid w:val="00302D26"/>
    <w:rsid w:val="003032B9"/>
    <w:rsid w:val="00303F22"/>
    <w:rsid w:val="00304954"/>
    <w:rsid w:val="00305F4D"/>
    <w:rsid w:val="00306B60"/>
    <w:rsid w:val="00306F02"/>
    <w:rsid w:val="00307B90"/>
    <w:rsid w:val="00310789"/>
    <w:rsid w:val="00310B31"/>
    <w:rsid w:val="00310BED"/>
    <w:rsid w:val="00310E00"/>
    <w:rsid w:val="00311024"/>
    <w:rsid w:val="0031171D"/>
    <w:rsid w:val="003124B4"/>
    <w:rsid w:val="003124CE"/>
    <w:rsid w:val="003129AE"/>
    <w:rsid w:val="0031399D"/>
    <w:rsid w:val="00313A52"/>
    <w:rsid w:val="00313FED"/>
    <w:rsid w:val="003141C4"/>
    <w:rsid w:val="0031466B"/>
    <w:rsid w:val="00314BDB"/>
    <w:rsid w:val="003150B5"/>
    <w:rsid w:val="003155E6"/>
    <w:rsid w:val="00315F15"/>
    <w:rsid w:val="003171DD"/>
    <w:rsid w:val="00317522"/>
    <w:rsid w:val="00317BC4"/>
    <w:rsid w:val="00320026"/>
    <w:rsid w:val="0032008B"/>
    <w:rsid w:val="0032051E"/>
    <w:rsid w:val="0032063A"/>
    <w:rsid w:val="00321274"/>
    <w:rsid w:val="00321289"/>
    <w:rsid w:val="003214BB"/>
    <w:rsid w:val="00321776"/>
    <w:rsid w:val="00321B9B"/>
    <w:rsid w:val="00321BAE"/>
    <w:rsid w:val="00321D35"/>
    <w:rsid w:val="00322801"/>
    <w:rsid w:val="003229AD"/>
    <w:rsid w:val="00322CB3"/>
    <w:rsid w:val="00322DF3"/>
    <w:rsid w:val="00323108"/>
    <w:rsid w:val="00323E03"/>
    <w:rsid w:val="00324ABE"/>
    <w:rsid w:val="00324E9B"/>
    <w:rsid w:val="003262C7"/>
    <w:rsid w:val="0032693A"/>
    <w:rsid w:val="00326BED"/>
    <w:rsid w:val="00326E9F"/>
    <w:rsid w:val="00327787"/>
    <w:rsid w:val="00327991"/>
    <w:rsid w:val="00327BCB"/>
    <w:rsid w:val="00330484"/>
    <w:rsid w:val="00330898"/>
    <w:rsid w:val="00330F97"/>
    <w:rsid w:val="003312B8"/>
    <w:rsid w:val="003314D9"/>
    <w:rsid w:val="00331C01"/>
    <w:rsid w:val="00331C4B"/>
    <w:rsid w:val="00331CC5"/>
    <w:rsid w:val="003324BE"/>
    <w:rsid w:val="00332AF4"/>
    <w:rsid w:val="00332D4D"/>
    <w:rsid w:val="00333287"/>
    <w:rsid w:val="0033353F"/>
    <w:rsid w:val="003339BF"/>
    <w:rsid w:val="003340B0"/>
    <w:rsid w:val="003342CB"/>
    <w:rsid w:val="00334384"/>
    <w:rsid w:val="003344F6"/>
    <w:rsid w:val="0033493D"/>
    <w:rsid w:val="0033544A"/>
    <w:rsid w:val="00335864"/>
    <w:rsid w:val="003359E0"/>
    <w:rsid w:val="00335DE4"/>
    <w:rsid w:val="003364B0"/>
    <w:rsid w:val="00336DD6"/>
    <w:rsid w:val="003401DD"/>
    <w:rsid w:val="003403AE"/>
    <w:rsid w:val="00340700"/>
    <w:rsid w:val="00340820"/>
    <w:rsid w:val="0034085A"/>
    <w:rsid w:val="00340B0D"/>
    <w:rsid w:val="0034135C"/>
    <w:rsid w:val="00341B03"/>
    <w:rsid w:val="00341B1A"/>
    <w:rsid w:val="003421AE"/>
    <w:rsid w:val="003426AC"/>
    <w:rsid w:val="00342EAE"/>
    <w:rsid w:val="0034388D"/>
    <w:rsid w:val="00343BB6"/>
    <w:rsid w:val="00344596"/>
    <w:rsid w:val="00344898"/>
    <w:rsid w:val="00344AC3"/>
    <w:rsid w:val="00344ED8"/>
    <w:rsid w:val="003451F3"/>
    <w:rsid w:val="00345583"/>
    <w:rsid w:val="003455DF"/>
    <w:rsid w:val="003459EF"/>
    <w:rsid w:val="00345D9D"/>
    <w:rsid w:val="003461D6"/>
    <w:rsid w:val="00346729"/>
    <w:rsid w:val="00346AD4"/>
    <w:rsid w:val="00346EE7"/>
    <w:rsid w:val="00347989"/>
    <w:rsid w:val="003509A2"/>
    <w:rsid w:val="00350FAA"/>
    <w:rsid w:val="00351A13"/>
    <w:rsid w:val="00351E6F"/>
    <w:rsid w:val="00351EC3"/>
    <w:rsid w:val="00351F6E"/>
    <w:rsid w:val="003521CC"/>
    <w:rsid w:val="00352437"/>
    <w:rsid w:val="00352664"/>
    <w:rsid w:val="0035319F"/>
    <w:rsid w:val="003531EE"/>
    <w:rsid w:val="00353E86"/>
    <w:rsid w:val="0035448F"/>
    <w:rsid w:val="00355695"/>
    <w:rsid w:val="0035645A"/>
    <w:rsid w:val="00356C62"/>
    <w:rsid w:val="00356E6E"/>
    <w:rsid w:val="00356E8D"/>
    <w:rsid w:val="00357F5F"/>
    <w:rsid w:val="00360485"/>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936"/>
    <w:rsid w:val="00370E49"/>
    <w:rsid w:val="00371311"/>
    <w:rsid w:val="003719EC"/>
    <w:rsid w:val="00371B26"/>
    <w:rsid w:val="00372333"/>
    <w:rsid w:val="00372450"/>
    <w:rsid w:val="0037264D"/>
    <w:rsid w:val="00372657"/>
    <w:rsid w:val="00372788"/>
    <w:rsid w:val="00372A78"/>
    <w:rsid w:val="00372AAC"/>
    <w:rsid w:val="00372AB0"/>
    <w:rsid w:val="00372E89"/>
    <w:rsid w:val="003735E2"/>
    <w:rsid w:val="003736AC"/>
    <w:rsid w:val="0037395F"/>
    <w:rsid w:val="00373C08"/>
    <w:rsid w:val="00373F5E"/>
    <w:rsid w:val="00373FDC"/>
    <w:rsid w:val="0037455C"/>
    <w:rsid w:val="00374996"/>
    <w:rsid w:val="00375903"/>
    <w:rsid w:val="00376101"/>
    <w:rsid w:val="0037665F"/>
    <w:rsid w:val="00376AAB"/>
    <w:rsid w:val="00377228"/>
    <w:rsid w:val="00377690"/>
    <w:rsid w:val="003818DD"/>
    <w:rsid w:val="0038236C"/>
    <w:rsid w:val="0038263E"/>
    <w:rsid w:val="003826A5"/>
    <w:rsid w:val="00382BA2"/>
    <w:rsid w:val="003830F1"/>
    <w:rsid w:val="0038376C"/>
    <w:rsid w:val="003839EF"/>
    <w:rsid w:val="00383EAA"/>
    <w:rsid w:val="0038407A"/>
    <w:rsid w:val="0038465B"/>
    <w:rsid w:val="0038479B"/>
    <w:rsid w:val="003847B6"/>
    <w:rsid w:val="00384BB9"/>
    <w:rsid w:val="0038607B"/>
    <w:rsid w:val="0038796E"/>
    <w:rsid w:val="003908AA"/>
    <w:rsid w:val="0039094D"/>
    <w:rsid w:val="0039172F"/>
    <w:rsid w:val="00391E5C"/>
    <w:rsid w:val="00391E73"/>
    <w:rsid w:val="00392317"/>
    <w:rsid w:val="00392574"/>
    <w:rsid w:val="00392E9C"/>
    <w:rsid w:val="0039416E"/>
    <w:rsid w:val="0039436A"/>
    <w:rsid w:val="00394499"/>
    <w:rsid w:val="003944E4"/>
    <w:rsid w:val="00395A6C"/>
    <w:rsid w:val="00395D30"/>
    <w:rsid w:val="0039633B"/>
    <w:rsid w:val="00396AE3"/>
    <w:rsid w:val="00396B67"/>
    <w:rsid w:val="00397620"/>
    <w:rsid w:val="003976C9"/>
    <w:rsid w:val="00397857"/>
    <w:rsid w:val="003A00A7"/>
    <w:rsid w:val="003A00CF"/>
    <w:rsid w:val="003A0260"/>
    <w:rsid w:val="003A02A6"/>
    <w:rsid w:val="003A0616"/>
    <w:rsid w:val="003A197B"/>
    <w:rsid w:val="003A1B35"/>
    <w:rsid w:val="003A1E67"/>
    <w:rsid w:val="003A2970"/>
    <w:rsid w:val="003A2A86"/>
    <w:rsid w:val="003A2C6E"/>
    <w:rsid w:val="003A2E97"/>
    <w:rsid w:val="003A3540"/>
    <w:rsid w:val="003A3638"/>
    <w:rsid w:val="003A3C83"/>
    <w:rsid w:val="003A547B"/>
    <w:rsid w:val="003A59D5"/>
    <w:rsid w:val="003A6986"/>
    <w:rsid w:val="003A760F"/>
    <w:rsid w:val="003A798F"/>
    <w:rsid w:val="003A7B93"/>
    <w:rsid w:val="003A7F31"/>
    <w:rsid w:val="003A7F41"/>
    <w:rsid w:val="003B0C4F"/>
    <w:rsid w:val="003B0D5A"/>
    <w:rsid w:val="003B0D81"/>
    <w:rsid w:val="003B21FE"/>
    <w:rsid w:val="003B2215"/>
    <w:rsid w:val="003B2574"/>
    <w:rsid w:val="003B2710"/>
    <w:rsid w:val="003B278E"/>
    <w:rsid w:val="003B2F5E"/>
    <w:rsid w:val="003B3065"/>
    <w:rsid w:val="003B38B5"/>
    <w:rsid w:val="003B55F7"/>
    <w:rsid w:val="003B58B6"/>
    <w:rsid w:val="003B5E80"/>
    <w:rsid w:val="003B666C"/>
    <w:rsid w:val="003B7060"/>
    <w:rsid w:val="003B7418"/>
    <w:rsid w:val="003B7619"/>
    <w:rsid w:val="003C0290"/>
    <w:rsid w:val="003C0532"/>
    <w:rsid w:val="003C0A12"/>
    <w:rsid w:val="003C1C7E"/>
    <w:rsid w:val="003C24B3"/>
    <w:rsid w:val="003C2596"/>
    <w:rsid w:val="003C28B2"/>
    <w:rsid w:val="003C29F7"/>
    <w:rsid w:val="003C2EC1"/>
    <w:rsid w:val="003C315A"/>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1956"/>
    <w:rsid w:val="003D1E04"/>
    <w:rsid w:val="003D267A"/>
    <w:rsid w:val="003D33AE"/>
    <w:rsid w:val="003D3B96"/>
    <w:rsid w:val="003D4182"/>
    <w:rsid w:val="003D457A"/>
    <w:rsid w:val="003D4BB7"/>
    <w:rsid w:val="003D4C88"/>
    <w:rsid w:val="003D5FF8"/>
    <w:rsid w:val="003D6588"/>
    <w:rsid w:val="003D6B8A"/>
    <w:rsid w:val="003D6D2A"/>
    <w:rsid w:val="003D6D2D"/>
    <w:rsid w:val="003D7C20"/>
    <w:rsid w:val="003D7CF5"/>
    <w:rsid w:val="003D7D14"/>
    <w:rsid w:val="003E0431"/>
    <w:rsid w:val="003E1C00"/>
    <w:rsid w:val="003E2040"/>
    <w:rsid w:val="003E21A7"/>
    <w:rsid w:val="003E2583"/>
    <w:rsid w:val="003E25FE"/>
    <w:rsid w:val="003E280F"/>
    <w:rsid w:val="003E2F63"/>
    <w:rsid w:val="003E3075"/>
    <w:rsid w:val="003E3152"/>
    <w:rsid w:val="003E3235"/>
    <w:rsid w:val="003E3342"/>
    <w:rsid w:val="003E4729"/>
    <w:rsid w:val="003E4F5C"/>
    <w:rsid w:val="003E5534"/>
    <w:rsid w:val="003E5D92"/>
    <w:rsid w:val="003E636F"/>
    <w:rsid w:val="003E66BC"/>
    <w:rsid w:val="003E6E9E"/>
    <w:rsid w:val="003E7279"/>
    <w:rsid w:val="003E7A79"/>
    <w:rsid w:val="003E7D5D"/>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1F8"/>
    <w:rsid w:val="003F6774"/>
    <w:rsid w:val="003F6A15"/>
    <w:rsid w:val="003F6DD3"/>
    <w:rsid w:val="003F7046"/>
    <w:rsid w:val="003F77F4"/>
    <w:rsid w:val="003F78DA"/>
    <w:rsid w:val="0040025A"/>
    <w:rsid w:val="00400E34"/>
    <w:rsid w:val="00400E94"/>
    <w:rsid w:val="0040276D"/>
    <w:rsid w:val="0040314C"/>
    <w:rsid w:val="004037B9"/>
    <w:rsid w:val="004038DD"/>
    <w:rsid w:val="00403D57"/>
    <w:rsid w:val="00404EED"/>
    <w:rsid w:val="00405110"/>
    <w:rsid w:val="0040736B"/>
    <w:rsid w:val="0040764F"/>
    <w:rsid w:val="00407B64"/>
    <w:rsid w:val="00410799"/>
    <w:rsid w:val="00410ACC"/>
    <w:rsid w:val="00410C00"/>
    <w:rsid w:val="00410C2B"/>
    <w:rsid w:val="00411919"/>
    <w:rsid w:val="004119A4"/>
    <w:rsid w:val="00411DFA"/>
    <w:rsid w:val="00412651"/>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C1E"/>
    <w:rsid w:val="00420F05"/>
    <w:rsid w:val="00421722"/>
    <w:rsid w:val="004223B7"/>
    <w:rsid w:val="00422953"/>
    <w:rsid w:val="0042297E"/>
    <w:rsid w:val="004230A0"/>
    <w:rsid w:val="0042318E"/>
    <w:rsid w:val="0042394F"/>
    <w:rsid w:val="004239E9"/>
    <w:rsid w:val="00424060"/>
    <w:rsid w:val="00424BDE"/>
    <w:rsid w:val="00424CDC"/>
    <w:rsid w:val="004252AA"/>
    <w:rsid w:val="00425BF1"/>
    <w:rsid w:val="00425F20"/>
    <w:rsid w:val="004261BF"/>
    <w:rsid w:val="00426BBC"/>
    <w:rsid w:val="00430133"/>
    <w:rsid w:val="004301DB"/>
    <w:rsid w:val="0043051C"/>
    <w:rsid w:val="00430E46"/>
    <w:rsid w:val="00432242"/>
    <w:rsid w:val="00432897"/>
    <w:rsid w:val="00432ED3"/>
    <w:rsid w:val="00433C93"/>
    <w:rsid w:val="00434319"/>
    <w:rsid w:val="00434FB7"/>
    <w:rsid w:val="0043516A"/>
    <w:rsid w:val="0043533F"/>
    <w:rsid w:val="004358A2"/>
    <w:rsid w:val="00435A49"/>
    <w:rsid w:val="00435B2B"/>
    <w:rsid w:val="004369E9"/>
    <w:rsid w:val="0044017F"/>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E3"/>
    <w:rsid w:val="00443FF5"/>
    <w:rsid w:val="0044444E"/>
    <w:rsid w:val="004451E3"/>
    <w:rsid w:val="00445345"/>
    <w:rsid w:val="0044553A"/>
    <w:rsid w:val="00446718"/>
    <w:rsid w:val="00446E89"/>
    <w:rsid w:val="00447989"/>
    <w:rsid w:val="00447D07"/>
    <w:rsid w:val="004501C3"/>
    <w:rsid w:val="004506EF"/>
    <w:rsid w:val="00450FBF"/>
    <w:rsid w:val="00451A72"/>
    <w:rsid w:val="004527E3"/>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6C8B"/>
    <w:rsid w:val="00457B06"/>
    <w:rsid w:val="00457D03"/>
    <w:rsid w:val="004601FA"/>
    <w:rsid w:val="00460618"/>
    <w:rsid w:val="004611F9"/>
    <w:rsid w:val="0046140B"/>
    <w:rsid w:val="00461697"/>
    <w:rsid w:val="004619D8"/>
    <w:rsid w:val="004622A3"/>
    <w:rsid w:val="00462FE1"/>
    <w:rsid w:val="004634DB"/>
    <w:rsid w:val="00463668"/>
    <w:rsid w:val="00463AE1"/>
    <w:rsid w:val="00463C1C"/>
    <w:rsid w:val="0046462C"/>
    <w:rsid w:val="0046464F"/>
    <w:rsid w:val="00464E41"/>
    <w:rsid w:val="0046535A"/>
    <w:rsid w:val="00465698"/>
    <w:rsid w:val="00465765"/>
    <w:rsid w:val="004662B8"/>
    <w:rsid w:val="00466E1C"/>
    <w:rsid w:val="0046712A"/>
    <w:rsid w:val="0046748A"/>
    <w:rsid w:val="004678E6"/>
    <w:rsid w:val="004678F2"/>
    <w:rsid w:val="00467C2F"/>
    <w:rsid w:val="00470528"/>
    <w:rsid w:val="00470893"/>
    <w:rsid w:val="00470BAF"/>
    <w:rsid w:val="00470E58"/>
    <w:rsid w:val="0047123E"/>
    <w:rsid w:val="00471418"/>
    <w:rsid w:val="004714F3"/>
    <w:rsid w:val="00471A0E"/>
    <w:rsid w:val="00471DBF"/>
    <w:rsid w:val="00472493"/>
    <w:rsid w:val="00472ACA"/>
    <w:rsid w:val="004734CB"/>
    <w:rsid w:val="00473E0B"/>
    <w:rsid w:val="004740AE"/>
    <w:rsid w:val="00474AB0"/>
    <w:rsid w:val="00474F12"/>
    <w:rsid w:val="00475A71"/>
    <w:rsid w:val="00476085"/>
    <w:rsid w:val="004764F9"/>
    <w:rsid w:val="004766AE"/>
    <w:rsid w:val="004769BD"/>
    <w:rsid w:val="00476A11"/>
    <w:rsid w:val="00476C15"/>
    <w:rsid w:val="00476C3B"/>
    <w:rsid w:val="00476F6E"/>
    <w:rsid w:val="0047711D"/>
    <w:rsid w:val="00477C4C"/>
    <w:rsid w:val="00480048"/>
    <w:rsid w:val="004806FE"/>
    <w:rsid w:val="00480FC2"/>
    <w:rsid w:val="00481D37"/>
    <w:rsid w:val="00482157"/>
    <w:rsid w:val="004821CA"/>
    <w:rsid w:val="004826FD"/>
    <w:rsid w:val="004828FD"/>
    <w:rsid w:val="00482BA6"/>
    <w:rsid w:val="00482D24"/>
    <w:rsid w:val="00482EC7"/>
    <w:rsid w:val="00482F47"/>
    <w:rsid w:val="00483437"/>
    <w:rsid w:val="00483521"/>
    <w:rsid w:val="00483AFC"/>
    <w:rsid w:val="00483F7C"/>
    <w:rsid w:val="00483FC3"/>
    <w:rsid w:val="00484074"/>
    <w:rsid w:val="00485421"/>
    <w:rsid w:val="004856AE"/>
    <w:rsid w:val="004858CD"/>
    <w:rsid w:val="0048596C"/>
    <w:rsid w:val="004861DB"/>
    <w:rsid w:val="004864C1"/>
    <w:rsid w:val="00486544"/>
    <w:rsid w:val="00487382"/>
    <w:rsid w:val="00487BE8"/>
    <w:rsid w:val="004902E4"/>
    <w:rsid w:val="00490568"/>
    <w:rsid w:val="0049081B"/>
    <w:rsid w:val="00490A15"/>
    <w:rsid w:val="004914D1"/>
    <w:rsid w:val="00491A32"/>
    <w:rsid w:val="00491AFB"/>
    <w:rsid w:val="00491F32"/>
    <w:rsid w:val="00491F75"/>
    <w:rsid w:val="00492605"/>
    <w:rsid w:val="00492AE5"/>
    <w:rsid w:val="00492F6B"/>
    <w:rsid w:val="004934C7"/>
    <w:rsid w:val="00493933"/>
    <w:rsid w:val="00493CDC"/>
    <w:rsid w:val="00493D09"/>
    <w:rsid w:val="004955D7"/>
    <w:rsid w:val="004957AF"/>
    <w:rsid w:val="004961C0"/>
    <w:rsid w:val="00496796"/>
    <w:rsid w:val="0049736C"/>
    <w:rsid w:val="0049736D"/>
    <w:rsid w:val="00497712"/>
    <w:rsid w:val="004A12C0"/>
    <w:rsid w:val="004A1AF2"/>
    <w:rsid w:val="004A1F14"/>
    <w:rsid w:val="004A20BE"/>
    <w:rsid w:val="004A248E"/>
    <w:rsid w:val="004A26CD"/>
    <w:rsid w:val="004A2AD8"/>
    <w:rsid w:val="004A31C0"/>
    <w:rsid w:val="004A3552"/>
    <w:rsid w:val="004A3843"/>
    <w:rsid w:val="004A3D26"/>
    <w:rsid w:val="004A5064"/>
    <w:rsid w:val="004A55F9"/>
    <w:rsid w:val="004A5883"/>
    <w:rsid w:val="004A5A48"/>
    <w:rsid w:val="004A5F7E"/>
    <w:rsid w:val="004A7273"/>
    <w:rsid w:val="004A7543"/>
    <w:rsid w:val="004A78F7"/>
    <w:rsid w:val="004A7C07"/>
    <w:rsid w:val="004A7F0C"/>
    <w:rsid w:val="004A7F74"/>
    <w:rsid w:val="004B0AB8"/>
    <w:rsid w:val="004B0DB5"/>
    <w:rsid w:val="004B0F04"/>
    <w:rsid w:val="004B1074"/>
    <w:rsid w:val="004B13F0"/>
    <w:rsid w:val="004B1675"/>
    <w:rsid w:val="004B178C"/>
    <w:rsid w:val="004B252A"/>
    <w:rsid w:val="004B26DC"/>
    <w:rsid w:val="004B2AD2"/>
    <w:rsid w:val="004B31D3"/>
    <w:rsid w:val="004B33F6"/>
    <w:rsid w:val="004B3E22"/>
    <w:rsid w:val="004B40BE"/>
    <w:rsid w:val="004B44E0"/>
    <w:rsid w:val="004B459B"/>
    <w:rsid w:val="004B4C86"/>
    <w:rsid w:val="004B546B"/>
    <w:rsid w:val="004B5526"/>
    <w:rsid w:val="004B6090"/>
    <w:rsid w:val="004B65CF"/>
    <w:rsid w:val="004B67F4"/>
    <w:rsid w:val="004B69EF"/>
    <w:rsid w:val="004B6B1C"/>
    <w:rsid w:val="004B702C"/>
    <w:rsid w:val="004B70B4"/>
    <w:rsid w:val="004B77FB"/>
    <w:rsid w:val="004B7EE1"/>
    <w:rsid w:val="004C060B"/>
    <w:rsid w:val="004C081C"/>
    <w:rsid w:val="004C0C26"/>
    <w:rsid w:val="004C138D"/>
    <w:rsid w:val="004C20C8"/>
    <w:rsid w:val="004C221B"/>
    <w:rsid w:val="004C27BC"/>
    <w:rsid w:val="004C2815"/>
    <w:rsid w:val="004C2ADF"/>
    <w:rsid w:val="004C376A"/>
    <w:rsid w:val="004C3AA3"/>
    <w:rsid w:val="004C3FA5"/>
    <w:rsid w:val="004C442C"/>
    <w:rsid w:val="004C4468"/>
    <w:rsid w:val="004C4DC8"/>
    <w:rsid w:val="004C4EF9"/>
    <w:rsid w:val="004C56D2"/>
    <w:rsid w:val="004C5FA9"/>
    <w:rsid w:val="004C6321"/>
    <w:rsid w:val="004C66C6"/>
    <w:rsid w:val="004C66F9"/>
    <w:rsid w:val="004C7080"/>
    <w:rsid w:val="004C78F3"/>
    <w:rsid w:val="004D0A36"/>
    <w:rsid w:val="004D0BA6"/>
    <w:rsid w:val="004D128A"/>
    <w:rsid w:val="004D14B3"/>
    <w:rsid w:val="004D18C0"/>
    <w:rsid w:val="004D1E44"/>
    <w:rsid w:val="004D26BD"/>
    <w:rsid w:val="004D2CE4"/>
    <w:rsid w:val="004D2DA8"/>
    <w:rsid w:val="004D3200"/>
    <w:rsid w:val="004D3940"/>
    <w:rsid w:val="004D3CBE"/>
    <w:rsid w:val="004D448B"/>
    <w:rsid w:val="004D4940"/>
    <w:rsid w:val="004D4986"/>
    <w:rsid w:val="004D4DD5"/>
    <w:rsid w:val="004D5408"/>
    <w:rsid w:val="004D54AD"/>
    <w:rsid w:val="004D59D2"/>
    <w:rsid w:val="004D5ECE"/>
    <w:rsid w:val="004D61BF"/>
    <w:rsid w:val="004D6370"/>
    <w:rsid w:val="004D66C5"/>
    <w:rsid w:val="004D6861"/>
    <w:rsid w:val="004D6D13"/>
    <w:rsid w:val="004D6D26"/>
    <w:rsid w:val="004E023E"/>
    <w:rsid w:val="004E0AF4"/>
    <w:rsid w:val="004E181E"/>
    <w:rsid w:val="004E28E7"/>
    <w:rsid w:val="004E2F5B"/>
    <w:rsid w:val="004E3066"/>
    <w:rsid w:val="004E4473"/>
    <w:rsid w:val="004E51A2"/>
    <w:rsid w:val="004E52BB"/>
    <w:rsid w:val="004E58E9"/>
    <w:rsid w:val="004E58F7"/>
    <w:rsid w:val="004E5937"/>
    <w:rsid w:val="004E5BF4"/>
    <w:rsid w:val="004E6090"/>
    <w:rsid w:val="004E6A16"/>
    <w:rsid w:val="004E7A16"/>
    <w:rsid w:val="004F0006"/>
    <w:rsid w:val="004F056B"/>
    <w:rsid w:val="004F0DE2"/>
    <w:rsid w:val="004F0E6E"/>
    <w:rsid w:val="004F1098"/>
    <w:rsid w:val="004F1620"/>
    <w:rsid w:val="004F1BCE"/>
    <w:rsid w:val="004F1DDD"/>
    <w:rsid w:val="004F2534"/>
    <w:rsid w:val="004F3D65"/>
    <w:rsid w:val="004F4273"/>
    <w:rsid w:val="004F4483"/>
    <w:rsid w:val="004F4F2B"/>
    <w:rsid w:val="004F50DD"/>
    <w:rsid w:val="004F6238"/>
    <w:rsid w:val="004F6385"/>
    <w:rsid w:val="004F6858"/>
    <w:rsid w:val="004F7992"/>
    <w:rsid w:val="004F7BE1"/>
    <w:rsid w:val="004F7C93"/>
    <w:rsid w:val="00500442"/>
    <w:rsid w:val="00500825"/>
    <w:rsid w:val="00500E64"/>
    <w:rsid w:val="00501257"/>
    <w:rsid w:val="00501443"/>
    <w:rsid w:val="00501543"/>
    <w:rsid w:val="0050160B"/>
    <w:rsid w:val="00501AFB"/>
    <w:rsid w:val="005020DF"/>
    <w:rsid w:val="0050283F"/>
    <w:rsid w:val="00503DBC"/>
    <w:rsid w:val="00503E19"/>
    <w:rsid w:val="00503F5A"/>
    <w:rsid w:val="00504247"/>
    <w:rsid w:val="0050487F"/>
    <w:rsid w:val="00504EFB"/>
    <w:rsid w:val="00504F0B"/>
    <w:rsid w:val="00505FC0"/>
    <w:rsid w:val="00505FF4"/>
    <w:rsid w:val="005060DE"/>
    <w:rsid w:val="0050624D"/>
    <w:rsid w:val="0050729B"/>
    <w:rsid w:val="0050732D"/>
    <w:rsid w:val="00507581"/>
    <w:rsid w:val="005106D5"/>
    <w:rsid w:val="0051164F"/>
    <w:rsid w:val="0051186C"/>
    <w:rsid w:val="0051195C"/>
    <w:rsid w:val="005128A0"/>
    <w:rsid w:val="00512A1C"/>
    <w:rsid w:val="00512F45"/>
    <w:rsid w:val="00513216"/>
    <w:rsid w:val="005132A9"/>
    <w:rsid w:val="00513A74"/>
    <w:rsid w:val="00513F4D"/>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DCA"/>
    <w:rsid w:val="005246CA"/>
    <w:rsid w:val="00524B9A"/>
    <w:rsid w:val="00524E0B"/>
    <w:rsid w:val="00525E7C"/>
    <w:rsid w:val="005263F5"/>
    <w:rsid w:val="00526BD5"/>
    <w:rsid w:val="00526D32"/>
    <w:rsid w:val="0052705E"/>
    <w:rsid w:val="00527A75"/>
    <w:rsid w:val="00527C3A"/>
    <w:rsid w:val="00527DD6"/>
    <w:rsid w:val="00530041"/>
    <w:rsid w:val="005303AD"/>
    <w:rsid w:val="00530D3A"/>
    <w:rsid w:val="00530F6B"/>
    <w:rsid w:val="005312C3"/>
    <w:rsid w:val="00531D5D"/>
    <w:rsid w:val="005320A6"/>
    <w:rsid w:val="0053274B"/>
    <w:rsid w:val="00532957"/>
    <w:rsid w:val="005333D0"/>
    <w:rsid w:val="0053373E"/>
    <w:rsid w:val="00533A90"/>
    <w:rsid w:val="00533BDF"/>
    <w:rsid w:val="00534166"/>
    <w:rsid w:val="005346E8"/>
    <w:rsid w:val="00535408"/>
    <w:rsid w:val="00535890"/>
    <w:rsid w:val="005363A1"/>
    <w:rsid w:val="005363C3"/>
    <w:rsid w:val="00536873"/>
    <w:rsid w:val="00536AF3"/>
    <w:rsid w:val="00536EA5"/>
    <w:rsid w:val="005370A3"/>
    <w:rsid w:val="00537F58"/>
    <w:rsid w:val="00540888"/>
    <w:rsid w:val="005408F8"/>
    <w:rsid w:val="00540ABD"/>
    <w:rsid w:val="00540B7B"/>
    <w:rsid w:val="00540C98"/>
    <w:rsid w:val="00540EB9"/>
    <w:rsid w:val="00541079"/>
    <w:rsid w:val="005412B3"/>
    <w:rsid w:val="005415D6"/>
    <w:rsid w:val="005420E7"/>
    <w:rsid w:val="005422D4"/>
    <w:rsid w:val="00542374"/>
    <w:rsid w:val="0054286D"/>
    <w:rsid w:val="00542F3F"/>
    <w:rsid w:val="0054361B"/>
    <w:rsid w:val="0054382D"/>
    <w:rsid w:val="005439F3"/>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54"/>
    <w:rsid w:val="00550F62"/>
    <w:rsid w:val="005511F2"/>
    <w:rsid w:val="0055180C"/>
    <w:rsid w:val="00552361"/>
    <w:rsid w:val="00552509"/>
    <w:rsid w:val="0055285C"/>
    <w:rsid w:val="00552FAC"/>
    <w:rsid w:val="00553AB6"/>
    <w:rsid w:val="00553F2F"/>
    <w:rsid w:val="005540C9"/>
    <w:rsid w:val="00554B21"/>
    <w:rsid w:val="00555079"/>
    <w:rsid w:val="00555902"/>
    <w:rsid w:val="00555B26"/>
    <w:rsid w:val="00555B97"/>
    <w:rsid w:val="0055612C"/>
    <w:rsid w:val="00557191"/>
    <w:rsid w:val="00557829"/>
    <w:rsid w:val="00557C4C"/>
    <w:rsid w:val="0056026E"/>
    <w:rsid w:val="00560919"/>
    <w:rsid w:val="005620FC"/>
    <w:rsid w:val="0056423C"/>
    <w:rsid w:val="00564B49"/>
    <w:rsid w:val="00564D09"/>
    <w:rsid w:val="005652A3"/>
    <w:rsid w:val="00565420"/>
    <w:rsid w:val="0056563E"/>
    <w:rsid w:val="00565BAD"/>
    <w:rsid w:val="00566134"/>
    <w:rsid w:val="005663CC"/>
    <w:rsid w:val="00567E9E"/>
    <w:rsid w:val="0057029C"/>
    <w:rsid w:val="00570A5F"/>
    <w:rsid w:val="005712C1"/>
    <w:rsid w:val="0057159E"/>
    <w:rsid w:val="0057186C"/>
    <w:rsid w:val="00571BC5"/>
    <w:rsid w:val="00571CC6"/>
    <w:rsid w:val="00571D66"/>
    <w:rsid w:val="005722F4"/>
    <w:rsid w:val="00572401"/>
    <w:rsid w:val="0057365E"/>
    <w:rsid w:val="005739C8"/>
    <w:rsid w:val="005743B5"/>
    <w:rsid w:val="00574A11"/>
    <w:rsid w:val="0057512F"/>
    <w:rsid w:val="0057552B"/>
    <w:rsid w:val="00575569"/>
    <w:rsid w:val="005759E5"/>
    <w:rsid w:val="005763D4"/>
    <w:rsid w:val="0057686C"/>
    <w:rsid w:val="00577E30"/>
    <w:rsid w:val="00580A85"/>
    <w:rsid w:val="00580DCB"/>
    <w:rsid w:val="00581036"/>
    <w:rsid w:val="0058112C"/>
    <w:rsid w:val="005816BC"/>
    <w:rsid w:val="005818FA"/>
    <w:rsid w:val="00581E78"/>
    <w:rsid w:val="00581EF7"/>
    <w:rsid w:val="0058209F"/>
    <w:rsid w:val="005827EE"/>
    <w:rsid w:val="00582A96"/>
    <w:rsid w:val="005836DB"/>
    <w:rsid w:val="00583726"/>
    <w:rsid w:val="00584888"/>
    <w:rsid w:val="00584A54"/>
    <w:rsid w:val="00584DA9"/>
    <w:rsid w:val="0058582F"/>
    <w:rsid w:val="00585CF9"/>
    <w:rsid w:val="00586573"/>
    <w:rsid w:val="005865C0"/>
    <w:rsid w:val="00586777"/>
    <w:rsid w:val="00587103"/>
    <w:rsid w:val="005874B5"/>
    <w:rsid w:val="0058761B"/>
    <w:rsid w:val="00590979"/>
    <w:rsid w:val="00590986"/>
    <w:rsid w:val="00591352"/>
    <w:rsid w:val="00591F41"/>
    <w:rsid w:val="00592213"/>
    <w:rsid w:val="00592AFE"/>
    <w:rsid w:val="005931E9"/>
    <w:rsid w:val="00593CC5"/>
    <w:rsid w:val="00593DDD"/>
    <w:rsid w:val="005943F8"/>
    <w:rsid w:val="0059460A"/>
    <w:rsid w:val="005946EF"/>
    <w:rsid w:val="00594B66"/>
    <w:rsid w:val="00594BEF"/>
    <w:rsid w:val="0059549F"/>
    <w:rsid w:val="00595D63"/>
    <w:rsid w:val="005965F3"/>
    <w:rsid w:val="00596819"/>
    <w:rsid w:val="00596B80"/>
    <w:rsid w:val="00596BBC"/>
    <w:rsid w:val="005974EB"/>
    <w:rsid w:val="0059771C"/>
    <w:rsid w:val="005A0243"/>
    <w:rsid w:val="005A1980"/>
    <w:rsid w:val="005A1ECB"/>
    <w:rsid w:val="005A269E"/>
    <w:rsid w:val="005A46B2"/>
    <w:rsid w:val="005A4791"/>
    <w:rsid w:val="005A4900"/>
    <w:rsid w:val="005A4B4C"/>
    <w:rsid w:val="005A4FB9"/>
    <w:rsid w:val="005A54DB"/>
    <w:rsid w:val="005A593B"/>
    <w:rsid w:val="005A61D8"/>
    <w:rsid w:val="005A6444"/>
    <w:rsid w:val="005A646E"/>
    <w:rsid w:val="005A6954"/>
    <w:rsid w:val="005A6CA6"/>
    <w:rsid w:val="005A7055"/>
    <w:rsid w:val="005A72B1"/>
    <w:rsid w:val="005A7795"/>
    <w:rsid w:val="005B020F"/>
    <w:rsid w:val="005B0C03"/>
    <w:rsid w:val="005B1124"/>
    <w:rsid w:val="005B15D2"/>
    <w:rsid w:val="005B177D"/>
    <w:rsid w:val="005B228E"/>
    <w:rsid w:val="005B25EF"/>
    <w:rsid w:val="005B2E0C"/>
    <w:rsid w:val="005B2E6D"/>
    <w:rsid w:val="005B3227"/>
    <w:rsid w:val="005B342D"/>
    <w:rsid w:val="005B4D36"/>
    <w:rsid w:val="005B5928"/>
    <w:rsid w:val="005B62CD"/>
    <w:rsid w:val="005B6975"/>
    <w:rsid w:val="005B7730"/>
    <w:rsid w:val="005B77BE"/>
    <w:rsid w:val="005B7C7F"/>
    <w:rsid w:val="005B7DC1"/>
    <w:rsid w:val="005C04B7"/>
    <w:rsid w:val="005C0796"/>
    <w:rsid w:val="005C0AFF"/>
    <w:rsid w:val="005C1C93"/>
    <w:rsid w:val="005C2504"/>
    <w:rsid w:val="005C25B9"/>
    <w:rsid w:val="005C37F8"/>
    <w:rsid w:val="005C3AE7"/>
    <w:rsid w:val="005C3DC7"/>
    <w:rsid w:val="005C489D"/>
    <w:rsid w:val="005C494C"/>
    <w:rsid w:val="005C54ED"/>
    <w:rsid w:val="005C58D8"/>
    <w:rsid w:val="005C5D57"/>
    <w:rsid w:val="005C6A3C"/>
    <w:rsid w:val="005D0F57"/>
    <w:rsid w:val="005D0FE6"/>
    <w:rsid w:val="005D1377"/>
    <w:rsid w:val="005D1757"/>
    <w:rsid w:val="005D3089"/>
    <w:rsid w:val="005D3804"/>
    <w:rsid w:val="005D3877"/>
    <w:rsid w:val="005D3C54"/>
    <w:rsid w:val="005D4124"/>
    <w:rsid w:val="005D4FBC"/>
    <w:rsid w:val="005D5125"/>
    <w:rsid w:val="005D5554"/>
    <w:rsid w:val="005D5B44"/>
    <w:rsid w:val="005D5C54"/>
    <w:rsid w:val="005D654D"/>
    <w:rsid w:val="005D686E"/>
    <w:rsid w:val="005D7635"/>
    <w:rsid w:val="005D76FF"/>
    <w:rsid w:val="005D78AE"/>
    <w:rsid w:val="005D7EDD"/>
    <w:rsid w:val="005E0187"/>
    <w:rsid w:val="005E01E3"/>
    <w:rsid w:val="005E02B7"/>
    <w:rsid w:val="005E056E"/>
    <w:rsid w:val="005E0930"/>
    <w:rsid w:val="005E0C0F"/>
    <w:rsid w:val="005E1056"/>
    <w:rsid w:val="005E10B3"/>
    <w:rsid w:val="005E11C1"/>
    <w:rsid w:val="005E1EC7"/>
    <w:rsid w:val="005E2394"/>
    <w:rsid w:val="005E270E"/>
    <w:rsid w:val="005E2953"/>
    <w:rsid w:val="005E358F"/>
    <w:rsid w:val="005E3FC7"/>
    <w:rsid w:val="005E40BF"/>
    <w:rsid w:val="005E4786"/>
    <w:rsid w:val="005E5645"/>
    <w:rsid w:val="005E5FED"/>
    <w:rsid w:val="005E7559"/>
    <w:rsid w:val="005F0323"/>
    <w:rsid w:val="005F0B79"/>
    <w:rsid w:val="005F0D51"/>
    <w:rsid w:val="005F1023"/>
    <w:rsid w:val="005F1520"/>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3F7"/>
    <w:rsid w:val="005F7472"/>
    <w:rsid w:val="005F7507"/>
    <w:rsid w:val="005F774F"/>
    <w:rsid w:val="006006B6"/>
    <w:rsid w:val="00600EC4"/>
    <w:rsid w:val="0060131B"/>
    <w:rsid w:val="0060185E"/>
    <w:rsid w:val="00602917"/>
    <w:rsid w:val="00602BBA"/>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156"/>
    <w:rsid w:val="00611215"/>
    <w:rsid w:val="006112F6"/>
    <w:rsid w:val="006114AC"/>
    <w:rsid w:val="00611923"/>
    <w:rsid w:val="00611A0D"/>
    <w:rsid w:val="0061219D"/>
    <w:rsid w:val="006125BB"/>
    <w:rsid w:val="00612818"/>
    <w:rsid w:val="00612A06"/>
    <w:rsid w:val="006131DC"/>
    <w:rsid w:val="00613209"/>
    <w:rsid w:val="00613356"/>
    <w:rsid w:val="0061351B"/>
    <w:rsid w:val="00613D5D"/>
    <w:rsid w:val="00613F55"/>
    <w:rsid w:val="00614136"/>
    <w:rsid w:val="0061426E"/>
    <w:rsid w:val="0061642B"/>
    <w:rsid w:val="0061646E"/>
    <w:rsid w:val="006166DB"/>
    <w:rsid w:val="006174B3"/>
    <w:rsid w:val="006178DF"/>
    <w:rsid w:val="00617977"/>
    <w:rsid w:val="006203B4"/>
    <w:rsid w:val="006203EB"/>
    <w:rsid w:val="006206ED"/>
    <w:rsid w:val="006209F3"/>
    <w:rsid w:val="00620BEB"/>
    <w:rsid w:val="006214CE"/>
    <w:rsid w:val="00621B1A"/>
    <w:rsid w:val="006228FF"/>
    <w:rsid w:val="00622A8B"/>
    <w:rsid w:val="0062375C"/>
    <w:rsid w:val="006239DB"/>
    <w:rsid w:val="00623AEA"/>
    <w:rsid w:val="006243B7"/>
    <w:rsid w:val="00624CE7"/>
    <w:rsid w:val="00624E3F"/>
    <w:rsid w:val="00624EF5"/>
    <w:rsid w:val="00625775"/>
    <w:rsid w:val="0062645C"/>
    <w:rsid w:val="0062666B"/>
    <w:rsid w:val="00627557"/>
    <w:rsid w:val="0062761A"/>
    <w:rsid w:val="006277B2"/>
    <w:rsid w:val="006279D2"/>
    <w:rsid w:val="00630470"/>
    <w:rsid w:val="006306DE"/>
    <w:rsid w:val="006309B9"/>
    <w:rsid w:val="00630A82"/>
    <w:rsid w:val="00630C01"/>
    <w:rsid w:val="0063164D"/>
    <w:rsid w:val="00631743"/>
    <w:rsid w:val="006322AE"/>
    <w:rsid w:val="00632347"/>
    <w:rsid w:val="00632A16"/>
    <w:rsid w:val="00633317"/>
    <w:rsid w:val="0063375C"/>
    <w:rsid w:val="00634F25"/>
    <w:rsid w:val="00635362"/>
    <w:rsid w:val="00635CD8"/>
    <w:rsid w:val="0063632D"/>
    <w:rsid w:val="00636509"/>
    <w:rsid w:val="00636D7D"/>
    <w:rsid w:val="00636EEB"/>
    <w:rsid w:val="006375C5"/>
    <w:rsid w:val="006400CF"/>
    <w:rsid w:val="006402D4"/>
    <w:rsid w:val="00640FC5"/>
    <w:rsid w:val="00641D76"/>
    <w:rsid w:val="006427CA"/>
    <w:rsid w:val="00642BF0"/>
    <w:rsid w:val="006432F3"/>
    <w:rsid w:val="006435E0"/>
    <w:rsid w:val="0064419D"/>
    <w:rsid w:val="006446EE"/>
    <w:rsid w:val="00644845"/>
    <w:rsid w:val="00644B0A"/>
    <w:rsid w:val="00645949"/>
    <w:rsid w:val="0064595C"/>
    <w:rsid w:val="00645C5A"/>
    <w:rsid w:val="00645E83"/>
    <w:rsid w:val="006464A3"/>
    <w:rsid w:val="006465B1"/>
    <w:rsid w:val="006477DF"/>
    <w:rsid w:val="00647936"/>
    <w:rsid w:val="006500C2"/>
    <w:rsid w:val="0065019C"/>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52BE"/>
    <w:rsid w:val="00655469"/>
    <w:rsid w:val="00656102"/>
    <w:rsid w:val="00656516"/>
    <w:rsid w:val="006565EC"/>
    <w:rsid w:val="006566CF"/>
    <w:rsid w:val="006568BF"/>
    <w:rsid w:val="00656D04"/>
    <w:rsid w:val="00656D0D"/>
    <w:rsid w:val="0065736A"/>
    <w:rsid w:val="0065799E"/>
    <w:rsid w:val="00657C6E"/>
    <w:rsid w:val="00660034"/>
    <w:rsid w:val="00660562"/>
    <w:rsid w:val="00660A47"/>
    <w:rsid w:val="00660C7A"/>
    <w:rsid w:val="00660D2E"/>
    <w:rsid w:val="00661A1B"/>
    <w:rsid w:val="00662745"/>
    <w:rsid w:val="00662838"/>
    <w:rsid w:val="00662FEF"/>
    <w:rsid w:val="00663635"/>
    <w:rsid w:val="0066379E"/>
    <w:rsid w:val="00663A1A"/>
    <w:rsid w:val="00664247"/>
    <w:rsid w:val="0066448F"/>
    <w:rsid w:val="00664DAE"/>
    <w:rsid w:val="0066524B"/>
    <w:rsid w:val="006658F2"/>
    <w:rsid w:val="00665DFF"/>
    <w:rsid w:val="0066614D"/>
    <w:rsid w:val="0066621B"/>
    <w:rsid w:val="0066628A"/>
    <w:rsid w:val="00666E5C"/>
    <w:rsid w:val="00666F5C"/>
    <w:rsid w:val="0066702C"/>
    <w:rsid w:val="00667175"/>
    <w:rsid w:val="006674CD"/>
    <w:rsid w:val="00667B2C"/>
    <w:rsid w:val="00667BBB"/>
    <w:rsid w:val="00667EDE"/>
    <w:rsid w:val="00667F9F"/>
    <w:rsid w:val="00670B9E"/>
    <w:rsid w:val="00670C70"/>
    <w:rsid w:val="00670FA6"/>
    <w:rsid w:val="00671BAC"/>
    <w:rsid w:val="006720B5"/>
    <w:rsid w:val="006723A8"/>
    <w:rsid w:val="006727F8"/>
    <w:rsid w:val="00672ED6"/>
    <w:rsid w:val="00673274"/>
    <w:rsid w:val="00673516"/>
    <w:rsid w:val="00673614"/>
    <w:rsid w:val="00673C3F"/>
    <w:rsid w:val="006743E4"/>
    <w:rsid w:val="0067441E"/>
    <w:rsid w:val="006747E9"/>
    <w:rsid w:val="00674A73"/>
    <w:rsid w:val="00674CC4"/>
    <w:rsid w:val="00674EB2"/>
    <w:rsid w:val="00674F6C"/>
    <w:rsid w:val="006759D7"/>
    <w:rsid w:val="006760C8"/>
    <w:rsid w:val="00676169"/>
    <w:rsid w:val="0067644C"/>
    <w:rsid w:val="006764C9"/>
    <w:rsid w:val="00680116"/>
    <w:rsid w:val="006801C3"/>
    <w:rsid w:val="00680E90"/>
    <w:rsid w:val="00681F46"/>
    <w:rsid w:val="00682B10"/>
    <w:rsid w:val="00682B96"/>
    <w:rsid w:val="0068303B"/>
    <w:rsid w:val="006841D2"/>
    <w:rsid w:val="00684C8E"/>
    <w:rsid w:val="00684DA3"/>
    <w:rsid w:val="006856E4"/>
    <w:rsid w:val="00685952"/>
    <w:rsid w:val="006859CA"/>
    <w:rsid w:val="00685C5D"/>
    <w:rsid w:val="006864B0"/>
    <w:rsid w:val="006871A3"/>
    <w:rsid w:val="00687D49"/>
    <w:rsid w:val="00687DEE"/>
    <w:rsid w:val="00687F9D"/>
    <w:rsid w:val="00687FFB"/>
    <w:rsid w:val="00692034"/>
    <w:rsid w:val="0069205A"/>
    <w:rsid w:val="006922D4"/>
    <w:rsid w:val="006932E3"/>
    <w:rsid w:val="00694634"/>
    <w:rsid w:val="00694A79"/>
    <w:rsid w:val="00694D8E"/>
    <w:rsid w:val="00695300"/>
    <w:rsid w:val="00695BB4"/>
    <w:rsid w:val="00695C46"/>
    <w:rsid w:val="00695DEC"/>
    <w:rsid w:val="00695FAD"/>
    <w:rsid w:val="006963A9"/>
    <w:rsid w:val="0069691E"/>
    <w:rsid w:val="00696A11"/>
    <w:rsid w:val="00697051"/>
    <w:rsid w:val="0069751E"/>
    <w:rsid w:val="006977C4"/>
    <w:rsid w:val="0069787A"/>
    <w:rsid w:val="006978B4"/>
    <w:rsid w:val="00697B66"/>
    <w:rsid w:val="00697D02"/>
    <w:rsid w:val="006A0148"/>
    <w:rsid w:val="006A0486"/>
    <w:rsid w:val="006A089A"/>
    <w:rsid w:val="006A0C1D"/>
    <w:rsid w:val="006A0DD4"/>
    <w:rsid w:val="006A18AC"/>
    <w:rsid w:val="006A1A89"/>
    <w:rsid w:val="006A2722"/>
    <w:rsid w:val="006A289B"/>
    <w:rsid w:val="006A2B60"/>
    <w:rsid w:val="006A310C"/>
    <w:rsid w:val="006A3268"/>
    <w:rsid w:val="006A3556"/>
    <w:rsid w:val="006A3AD8"/>
    <w:rsid w:val="006A4793"/>
    <w:rsid w:val="006A5433"/>
    <w:rsid w:val="006A5785"/>
    <w:rsid w:val="006A5AD1"/>
    <w:rsid w:val="006A5DB7"/>
    <w:rsid w:val="006A7560"/>
    <w:rsid w:val="006A790B"/>
    <w:rsid w:val="006A7EEB"/>
    <w:rsid w:val="006B05FB"/>
    <w:rsid w:val="006B0B35"/>
    <w:rsid w:val="006B0EBD"/>
    <w:rsid w:val="006B13EA"/>
    <w:rsid w:val="006B1794"/>
    <w:rsid w:val="006B3056"/>
    <w:rsid w:val="006B3321"/>
    <w:rsid w:val="006B3866"/>
    <w:rsid w:val="006B3E3B"/>
    <w:rsid w:val="006B4753"/>
    <w:rsid w:val="006B5025"/>
    <w:rsid w:val="006B538F"/>
    <w:rsid w:val="006B5614"/>
    <w:rsid w:val="006B59AC"/>
    <w:rsid w:val="006B5F09"/>
    <w:rsid w:val="006B6DB5"/>
    <w:rsid w:val="006B6E5D"/>
    <w:rsid w:val="006B6EEF"/>
    <w:rsid w:val="006B7ABE"/>
    <w:rsid w:val="006C0047"/>
    <w:rsid w:val="006C0C35"/>
    <w:rsid w:val="006C10FD"/>
    <w:rsid w:val="006C11F1"/>
    <w:rsid w:val="006C26E2"/>
    <w:rsid w:val="006C2A85"/>
    <w:rsid w:val="006C2B63"/>
    <w:rsid w:val="006C3185"/>
    <w:rsid w:val="006C3F0E"/>
    <w:rsid w:val="006C4045"/>
    <w:rsid w:val="006C416F"/>
    <w:rsid w:val="006C4FED"/>
    <w:rsid w:val="006C5315"/>
    <w:rsid w:val="006C5828"/>
    <w:rsid w:val="006C583C"/>
    <w:rsid w:val="006C5875"/>
    <w:rsid w:val="006C636D"/>
    <w:rsid w:val="006C67AC"/>
    <w:rsid w:val="006C7333"/>
    <w:rsid w:val="006C7AA3"/>
    <w:rsid w:val="006C7BF6"/>
    <w:rsid w:val="006D029C"/>
    <w:rsid w:val="006D04A8"/>
    <w:rsid w:val="006D0520"/>
    <w:rsid w:val="006D08D6"/>
    <w:rsid w:val="006D0E50"/>
    <w:rsid w:val="006D1288"/>
    <w:rsid w:val="006D2119"/>
    <w:rsid w:val="006D2356"/>
    <w:rsid w:val="006D28A5"/>
    <w:rsid w:val="006D3425"/>
    <w:rsid w:val="006D34D5"/>
    <w:rsid w:val="006D4343"/>
    <w:rsid w:val="006D531A"/>
    <w:rsid w:val="006D58AE"/>
    <w:rsid w:val="006D6B64"/>
    <w:rsid w:val="006D7197"/>
    <w:rsid w:val="006D75EC"/>
    <w:rsid w:val="006D7B6B"/>
    <w:rsid w:val="006D7BCA"/>
    <w:rsid w:val="006D7E35"/>
    <w:rsid w:val="006E0511"/>
    <w:rsid w:val="006E198B"/>
    <w:rsid w:val="006E1FF8"/>
    <w:rsid w:val="006E2010"/>
    <w:rsid w:val="006E2B72"/>
    <w:rsid w:val="006E2FA8"/>
    <w:rsid w:val="006E2FE4"/>
    <w:rsid w:val="006E4B5D"/>
    <w:rsid w:val="006E4EE3"/>
    <w:rsid w:val="006E4F55"/>
    <w:rsid w:val="006E5CFD"/>
    <w:rsid w:val="006E67DE"/>
    <w:rsid w:val="006E6D60"/>
    <w:rsid w:val="006E6DC9"/>
    <w:rsid w:val="006E6E03"/>
    <w:rsid w:val="006E7B39"/>
    <w:rsid w:val="006E7CBD"/>
    <w:rsid w:val="006F0390"/>
    <w:rsid w:val="006F0C1E"/>
    <w:rsid w:val="006F0EFA"/>
    <w:rsid w:val="006F116D"/>
    <w:rsid w:val="006F11E8"/>
    <w:rsid w:val="006F166D"/>
    <w:rsid w:val="006F188C"/>
    <w:rsid w:val="006F1A4A"/>
    <w:rsid w:val="006F1C5F"/>
    <w:rsid w:val="006F2B7E"/>
    <w:rsid w:val="006F2E1A"/>
    <w:rsid w:val="006F2E3B"/>
    <w:rsid w:val="006F3AAE"/>
    <w:rsid w:val="006F3DB6"/>
    <w:rsid w:val="006F3FD5"/>
    <w:rsid w:val="006F443A"/>
    <w:rsid w:val="006F4535"/>
    <w:rsid w:val="006F48A6"/>
    <w:rsid w:val="006F563B"/>
    <w:rsid w:val="006F5938"/>
    <w:rsid w:val="006F5C94"/>
    <w:rsid w:val="006F608A"/>
    <w:rsid w:val="006F622D"/>
    <w:rsid w:val="006F6362"/>
    <w:rsid w:val="006F64D1"/>
    <w:rsid w:val="006F664E"/>
    <w:rsid w:val="006F6B3A"/>
    <w:rsid w:val="006F6D2C"/>
    <w:rsid w:val="006F70BE"/>
    <w:rsid w:val="006F720A"/>
    <w:rsid w:val="006F74C1"/>
    <w:rsid w:val="006F74C7"/>
    <w:rsid w:val="006F7574"/>
    <w:rsid w:val="006F7CA1"/>
    <w:rsid w:val="006F7D84"/>
    <w:rsid w:val="007003BD"/>
    <w:rsid w:val="007003D9"/>
    <w:rsid w:val="007007F6"/>
    <w:rsid w:val="00700FA0"/>
    <w:rsid w:val="00700FBE"/>
    <w:rsid w:val="0070128F"/>
    <w:rsid w:val="007014AC"/>
    <w:rsid w:val="00701787"/>
    <w:rsid w:val="00701CD4"/>
    <w:rsid w:val="00701D60"/>
    <w:rsid w:val="00701E1F"/>
    <w:rsid w:val="007025BE"/>
    <w:rsid w:val="00702A0C"/>
    <w:rsid w:val="00703416"/>
    <w:rsid w:val="0070357C"/>
    <w:rsid w:val="00703B6D"/>
    <w:rsid w:val="00704CF7"/>
    <w:rsid w:val="00704D48"/>
    <w:rsid w:val="0070511F"/>
    <w:rsid w:val="0070544B"/>
    <w:rsid w:val="00705858"/>
    <w:rsid w:val="00706CCB"/>
    <w:rsid w:val="00707557"/>
    <w:rsid w:val="00707578"/>
    <w:rsid w:val="0070758E"/>
    <w:rsid w:val="00707651"/>
    <w:rsid w:val="00707BAB"/>
    <w:rsid w:val="00710177"/>
    <w:rsid w:val="00710292"/>
    <w:rsid w:val="00710422"/>
    <w:rsid w:val="00710559"/>
    <w:rsid w:val="00710A2C"/>
    <w:rsid w:val="00710D27"/>
    <w:rsid w:val="007116C6"/>
    <w:rsid w:val="0071173C"/>
    <w:rsid w:val="00711817"/>
    <w:rsid w:val="00711B0E"/>
    <w:rsid w:val="00712EA1"/>
    <w:rsid w:val="00712F43"/>
    <w:rsid w:val="00713E8A"/>
    <w:rsid w:val="00713F5C"/>
    <w:rsid w:val="00714608"/>
    <w:rsid w:val="00714BB4"/>
    <w:rsid w:val="00714C10"/>
    <w:rsid w:val="00714DED"/>
    <w:rsid w:val="00714DF9"/>
    <w:rsid w:val="00715073"/>
    <w:rsid w:val="0071574C"/>
    <w:rsid w:val="007157F6"/>
    <w:rsid w:val="00715B1E"/>
    <w:rsid w:val="00715B7F"/>
    <w:rsid w:val="00715D23"/>
    <w:rsid w:val="00715EBE"/>
    <w:rsid w:val="00715EDF"/>
    <w:rsid w:val="00716C15"/>
    <w:rsid w:val="00720BDC"/>
    <w:rsid w:val="00721619"/>
    <w:rsid w:val="00721AB1"/>
    <w:rsid w:val="00721EE1"/>
    <w:rsid w:val="00722D04"/>
    <w:rsid w:val="00723568"/>
    <w:rsid w:val="007237D0"/>
    <w:rsid w:val="0072395E"/>
    <w:rsid w:val="00723AB7"/>
    <w:rsid w:val="00723E7D"/>
    <w:rsid w:val="00723F18"/>
    <w:rsid w:val="0072482D"/>
    <w:rsid w:val="00724E63"/>
    <w:rsid w:val="00725E15"/>
    <w:rsid w:val="00726372"/>
    <w:rsid w:val="0072686C"/>
    <w:rsid w:val="00727638"/>
    <w:rsid w:val="007304A3"/>
    <w:rsid w:val="007313A1"/>
    <w:rsid w:val="00731807"/>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663"/>
    <w:rsid w:val="007357A9"/>
    <w:rsid w:val="00737049"/>
    <w:rsid w:val="007371B4"/>
    <w:rsid w:val="007375E1"/>
    <w:rsid w:val="00737720"/>
    <w:rsid w:val="0073796D"/>
    <w:rsid w:val="00741452"/>
    <w:rsid w:val="0074213C"/>
    <w:rsid w:val="00742714"/>
    <w:rsid w:val="00742B61"/>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48B"/>
    <w:rsid w:val="0074670A"/>
    <w:rsid w:val="00746AD9"/>
    <w:rsid w:val="00746CD7"/>
    <w:rsid w:val="00746F6F"/>
    <w:rsid w:val="007474BD"/>
    <w:rsid w:val="00747615"/>
    <w:rsid w:val="00747765"/>
    <w:rsid w:val="00750DB7"/>
    <w:rsid w:val="00750F25"/>
    <w:rsid w:val="007510AE"/>
    <w:rsid w:val="00751643"/>
    <w:rsid w:val="007526C8"/>
    <w:rsid w:val="00754069"/>
    <w:rsid w:val="007549BE"/>
    <w:rsid w:val="00754BFC"/>
    <w:rsid w:val="00754CFB"/>
    <w:rsid w:val="00754F50"/>
    <w:rsid w:val="007551E4"/>
    <w:rsid w:val="00755825"/>
    <w:rsid w:val="007558AB"/>
    <w:rsid w:val="007570D8"/>
    <w:rsid w:val="00757A79"/>
    <w:rsid w:val="00760741"/>
    <w:rsid w:val="007607C1"/>
    <w:rsid w:val="00760A70"/>
    <w:rsid w:val="007613EC"/>
    <w:rsid w:val="00762007"/>
    <w:rsid w:val="00762B72"/>
    <w:rsid w:val="007634AA"/>
    <w:rsid w:val="00764AD8"/>
    <w:rsid w:val="00764B04"/>
    <w:rsid w:val="00764CB5"/>
    <w:rsid w:val="00765D7A"/>
    <w:rsid w:val="00766086"/>
    <w:rsid w:val="0076649A"/>
    <w:rsid w:val="007667AB"/>
    <w:rsid w:val="00766BD4"/>
    <w:rsid w:val="00766D26"/>
    <w:rsid w:val="00766D9A"/>
    <w:rsid w:val="00767342"/>
    <w:rsid w:val="00767362"/>
    <w:rsid w:val="00767CBB"/>
    <w:rsid w:val="00767D7E"/>
    <w:rsid w:val="00767FC2"/>
    <w:rsid w:val="00770374"/>
    <w:rsid w:val="0077050D"/>
    <w:rsid w:val="00770782"/>
    <w:rsid w:val="00770CBD"/>
    <w:rsid w:val="00770FE2"/>
    <w:rsid w:val="007723A2"/>
    <w:rsid w:val="007728E0"/>
    <w:rsid w:val="00772E8D"/>
    <w:rsid w:val="007737F8"/>
    <w:rsid w:val="00773CFE"/>
    <w:rsid w:val="00774BC1"/>
    <w:rsid w:val="00774E72"/>
    <w:rsid w:val="00775BE1"/>
    <w:rsid w:val="007761C8"/>
    <w:rsid w:val="0077688A"/>
    <w:rsid w:val="007768FF"/>
    <w:rsid w:val="00776C18"/>
    <w:rsid w:val="00776E7D"/>
    <w:rsid w:val="00776F10"/>
    <w:rsid w:val="00777543"/>
    <w:rsid w:val="0078001E"/>
    <w:rsid w:val="00780077"/>
    <w:rsid w:val="00780FB7"/>
    <w:rsid w:val="00781C5B"/>
    <w:rsid w:val="00781E54"/>
    <w:rsid w:val="00782188"/>
    <w:rsid w:val="00783078"/>
    <w:rsid w:val="0078388F"/>
    <w:rsid w:val="00783A03"/>
    <w:rsid w:val="00783F16"/>
    <w:rsid w:val="007845FD"/>
    <w:rsid w:val="0078519A"/>
    <w:rsid w:val="00786A67"/>
    <w:rsid w:val="00786ADC"/>
    <w:rsid w:val="007878A0"/>
    <w:rsid w:val="007878EB"/>
    <w:rsid w:val="00787B18"/>
    <w:rsid w:val="00787C66"/>
    <w:rsid w:val="00787EF5"/>
    <w:rsid w:val="007909B9"/>
    <w:rsid w:val="00790D00"/>
    <w:rsid w:val="00790FD8"/>
    <w:rsid w:val="007923DE"/>
    <w:rsid w:val="00792D83"/>
    <w:rsid w:val="007937CB"/>
    <w:rsid w:val="007938DF"/>
    <w:rsid w:val="00793B02"/>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942"/>
    <w:rsid w:val="007A4627"/>
    <w:rsid w:val="007A4B97"/>
    <w:rsid w:val="007A55B0"/>
    <w:rsid w:val="007A5A78"/>
    <w:rsid w:val="007A6435"/>
    <w:rsid w:val="007A661F"/>
    <w:rsid w:val="007A700F"/>
    <w:rsid w:val="007A7A7D"/>
    <w:rsid w:val="007B16C2"/>
    <w:rsid w:val="007B1D1C"/>
    <w:rsid w:val="007B22EE"/>
    <w:rsid w:val="007B26E6"/>
    <w:rsid w:val="007B2CF0"/>
    <w:rsid w:val="007B376C"/>
    <w:rsid w:val="007B429C"/>
    <w:rsid w:val="007B42B5"/>
    <w:rsid w:val="007B50B6"/>
    <w:rsid w:val="007B5C28"/>
    <w:rsid w:val="007B60DD"/>
    <w:rsid w:val="007B66D2"/>
    <w:rsid w:val="007B7042"/>
    <w:rsid w:val="007B74FE"/>
    <w:rsid w:val="007B761E"/>
    <w:rsid w:val="007B7CF9"/>
    <w:rsid w:val="007B7E0B"/>
    <w:rsid w:val="007C00E3"/>
    <w:rsid w:val="007C03F5"/>
    <w:rsid w:val="007C186D"/>
    <w:rsid w:val="007C1A47"/>
    <w:rsid w:val="007C1CE9"/>
    <w:rsid w:val="007C2106"/>
    <w:rsid w:val="007C3361"/>
    <w:rsid w:val="007C34F7"/>
    <w:rsid w:val="007C3AAE"/>
    <w:rsid w:val="007C4509"/>
    <w:rsid w:val="007C52E3"/>
    <w:rsid w:val="007C5A12"/>
    <w:rsid w:val="007C5D86"/>
    <w:rsid w:val="007C661D"/>
    <w:rsid w:val="007C6D2A"/>
    <w:rsid w:val="007C7D90"/>
    <w:rsid w:val="007D08A7"/>
    <w:rsid w:val="007D0A83"/>
    <w:rsid w:val="007D10CF"/>
    <w:rsid w:val="007D173D"/>
    <w:rsid w:val="007D190F"/>
    <w:rsid w:val="007D1935"/>
    <w:rsid w:val="007D1CC7"/>
    <w:rsid w:val="007D359C"/>
    <w:rsid w:val="007D391A"/>
    <w:rsid w:val="007D3A74"/>
    <w:rsid w:val="007D3CB8"/>
    <w:rsid w:val="007D3CE6"/>
    <w:rsid w:val="007D4A5A"/>
    <w:rsid w:val="007D4AD0"/>
    <w:rsid w:val="007D4C56"/>
    <w:rsid w:val="007D4FA3"/>
    <w:rsid w:val="007D5025"/>
    <w:rsid w:val="007D52F2"/>
    <w:rsid w:val="007D5A41"/>
    <w:rsid w:val="007D6553"/>
    <w:rsid w:val="007D7839"/>
    <w:rsid w:val="007D796F"/>
    <w:rsid w:val="007D7B97"/>
    <w:rsid w:val="007E0EE9"/>
    <w:rsid w:val="007E19B3"/>
    <w:rsid w:val="007E1BF7"/>
    <w:rsid w:val="007E1CDD"/>
    <w:rsid w:val="007E221C"/>
    <w:rsid w:val="007E2813"/>
    <w:rsid w:val="007E2D68"/>
    <w:rsid w:val="007E2EAA"/>
    <w:rsid w:val="007E5780"/>
    <w:rsid w:val="007E61DD"/>
    <w:rsid w:val="007E69DC"/>
    <w:rsid w:val="007E75F8"/>
    <w:rsid w:val="007F0229"/>
    <w:rsid w:val="007F0351"/>
    <w:rsid w:val="007F0688"/>
    <w:rsid w:val="007F0FB2"/>
    <w:rsid w:val="007F1939"/>
    <w:rsid w:val="007F19E7"/>
    <w:rsid w:val="007F2037"/>
    <w:rsid w:val="007F2092"/>
    <w:rsid w:val="007F4415"/>
    <w:rsid w:val="007F5364"/>
    <w:rsid w:val="007F5ACA"/>
    <w:rsid w:val="007F5BD6"/>
    <w:rsid w:val="007F5BE8"/>
    <w:rsid w:val="007F5FBA"/>
    <w:rsid w:val="007F6AEA"/>
    <w:rsid w:val="007F6BEE"/>
    <w:rsid w:val="007F72A7"/>
    <w:rsid w:val="007F78BF"/>
    <w:rsid w:val="007F7DDB"/>
    <w:rsid w:val="0080092B"/>
    <w:rsid w:val="00800A7A"/>
    <w:rsid w:val="00800BDB"/>
    <w:rsid w:val="00801784"/>
    <w:rsid w:val="00801897"/>
    <w:rsid w:val="008018AA"/>
    <w:rsid w:val="00801A84"/>
    <w:rsid w:val="00801EF5"/>
    <w:rsid w:val="00801FFF"/>
    <w:rsid w:val="0080287F"/>
    <w:rsid w:val="00802CCB"/>
    <w:rsid w:val="00802ED9"/>
    <w:rsid w:val="008031AF"/>
    <w:rsid w:val="0080502A"/>
    <w:rsid w:val="00805482"/>
    <w:rsid w:val="00806094"/>
    <w:rsid w:val="00806B7A"/>
    <w:rsid w:val="00806F8E"/>
    <w:rsid w:val="00807708"/>
    <w:rsid w:val="00807DE8"/>
    <w:rsid w:val="00810C6D"/>
    <w:rsid w:val="0081149C"/>
    <w:rsid w:val="00811AC4"/>
    <w:rsid w:val="00811C9F"/>
    <w:rsid w:val="00811CEC"/>
    <w:rsid w:val="00811E6E"/>
    <w:rsid w:val="00812013"/>
    <w:rsid w:val="008128A7"/>
    <w:rsid w:val="008128BD"/>
    <w:rsid w:val="00812ED7"/>
    <w:rsid w:val="008142C9"/>
    <w:rsid w:val="00814326"/>
    <w:rsid w:val="008159F9"/>
    <w:rsid w:val="00815A3F"/>
    <w:rsid w:val="00815EB0"/>
    <w:rsid w:val="00815FA7"/>
    <w:rsid w:val="008162EA"/>
    <w:rsid w:val="0081677A"/>
    <w:rsid w:val="00816888"/>
    <w:rsid w:val="008169BA"/>
    <w:rsid w:val="00816C59"/>
    <w:rsid w:val="00816D12"/>
    <w:rsid w:val="00816EB2"/>
    <w:rsid w:val="00817360"/>
    <w:rsid w:val="0081776E"/>
    <w:rsid w:val="008179A6"/>
    <w:rsid w:val="00817BC8"/>
    <w:rsid w:val="00820152"/>
    <w:rsid w:val="008215DE"/>
    <w:rsid w:val="00821689"/>
    <w:rsid w:val="008216A7"/>
    <w:rsid w:val="008219CC"/>
    <w:rsid w:val="00821C69"/>
    <w:rsid w:val="00823035"/>
    <w:rsid w:val="00823C51"/>
    <w:rsid w:val="00823D28"/>
    <w:rsid w:val="00824342"/>
    <w:rsid w:val="008248D5"/>
    <w:rsid w:val="00824962"/>
    <w:rsid w:val="008249F6"/>
    <w:rsid w:val="00825E9C"/>
    <w:rsid w:val="0082659C"/>
    <w:rsid w:val="00827A9B"/>
    <w:rsid w:val="008307CE"/>
    <w:rsid w:val="00830C05"/>
    <w:rsid w:val="00830EB5"/>
    <w:rsid w:val="008313C4"/>
    <w:rsid w:val="008313E1"/>
    <w:rsid w:val="00831E8E"/>
    <w:rsid w:val="0083296E"/>
    <w:rsid w:val="008339A4"/>
    <w:rsid w:val="00833B6E"/>
    <w:rsid w:val="00834191"/>
    <w:rsid w:val="008342F6"/>
    <w:rsid w:val="008355A7"/>
    <w:rsid w:val="008358D1"/>
    <w:rsid w:val="00835B7A"/>
    <w:rsid w:val="00835BC6"/>
    <w:rsid w:val="00835D84"/>
    <w:rsid w:val="00835F40"/>
    <w:rsid w:val="00836C94"/>
    <w:rsid w:val="00836F14"/>
    <w:rsid w:val="00837AF6"/>
    <w:rsid w:val="00837B62"/>
    <w:rsid w:val="00840E30"/>
    <w:rsid w:val="00840EC5"/>
    <w:rsid w:val="008426A4"/>
    <w:rsid w:val="00842795"/>
    <w:rsid w:val="00842C72"/>
    <w:rsid w:val="00843379"/>
    <w:rsid w:val="00843EDD"/>
    <w:rsid w:val="008440E0"/>
    <w:rsid w:val="00844C83"/>
    <w:rsid w:val="00844E98"/>
    <w:rsid w:val="00845041"/>
    <w:rsid w:val="00845255"/>
    <w:rsid w:val="00845E11"/>
    <w:rsid w:val="00846193"/>
    <w:rsid w:val="008466DB"/>
    <w:rsid w:val="00846870"/>
    <w:rsid w:val="00846C13"/>
    <w:rsid w:val="00846CD3"/>
    <w:rsid w:val="00847963"/>
    <w:rsid w:val="00847BFD"/>
    <w:rsid w:val="00847D63"/>
    <w:rsid w:val="0085053D"/>
    <w:rsid w:val="008516BF"/>
    <w:rsid w:val="0085173F"/>
    <w:rsid w:val="00851BAC"/>
    <w:rsid w:val="0085234D"/>
    <w:rsid w:val="0085261F"/>
    <w:rsid w:val="00852B20"/>
    <w:rsid w:val="00852C44"/>
    <w:rsid w:val="00852D1D"/>
    <w:rsid w:val="00853E94"/>
    <w:rsid w:val="00854D9D"/>
    <w:rsid w:val="00855327"/>
    <w:rsid w:val="0085553B"/>
    <w:rsid w:val="00855613"/>
    <w:rsid w:val="00855E6E"/>
    <w:rsid w:val="0085619F"/>
    <w:rsid w:val="0085628F"/>
    <w:rsid w:val="008566BC"/>
    <w:rsid w:val="008569B2"/>
    <w:rsid w:val="00856C2D"/>
    <w:rsid w:val="00856FFF"/>
    <w:rsid w:val="008573CC"/>
    <w:rsid w:val="008611B8"/>
    <w:rsid w:val="008611DC"/>
    <w:rsid w:val="00861CA5"/>
    <w:rsid w:val="0086294C"/>
    <w:rsid w:val="00863A17"/>
    <w:rsid w:val="00864B3C"/>
    <w:rsid w:val="00865683"/>
    <w:rsid w:val="008673DC"/>
    <w:rsid w:val="00867590"/>
    <w:rsid w:val="00867641"/>
    <w:rsid w:val="00870627"/>
    <w:rsid w:val="00871733"/>
    <w:rsid w:val="008718C0"/>
    <w:rsid w:val="00871BF6"/>
    <w:rsid w:val="00871DF5"/>
    <w:rsid w:val="00872158"/>
    <w:rsid w:val="0087321A"/>
    <w:rsid w:val="008736E3"/>
    <w:rsid w:val="00873A3D"/>
    <w:rsid w:val="008749B8"/>
    <w:rsid w:val="00874CE4"/>
    <w:rsid w:val="00875300"/>
    <w:rsid w:val="00875724"/>
    <w:rsid w:val="008763F6"/>
    <w:rsid w:val="00876A83"/>
    <w:rsid w:val="00876E46"/>
    <w:rsid w:val="008776FD"/>
    <w:rsid w:val="00877D8D"/>
    <w:rsid w:val="00880DCF"/>
    <w:rsid w:val="00880EB5"/>
    <w:rsid w:val="00881A49"/>
    <w:rsid w:val="00882D7E"/>
    <w:rsid w:val="008832C4"/>
    <w:rsid w:val="008837E9"/>
    <w:rsid w:val="00883DFD"/>
    <w:rsid w:val="008844D8"/>
    <w:rsid w:val="00884648"/>
    <w:rsid w:val="0088489C"/>
    <w:rsid w:val="00884C51"/>
    <w:rsid w:val="00884DB1"/>
    <w:rsid w:val="00884F80"/>
    <w:rsid w:val="00885723"/>
    <w:rsid w:val="00885909"/>
    <w:rsid w:val="00885A3C"/>
    <w:rsid w:val="00885A77"/>
    <w:rsid w:val="00886BD2"/>
    <w:rsid w:val="00886F26"/>
    <w:rsid w:val="008870A2"/>
    <w:rsid w:val="00887491"/>
    <w:rsid w:val="0088762D"/>
    <w:rsid w:val="00891E08"/>
    <w:rsid w:val="00891E41"/>
    <w:rsid w:val="00891FDF"/>
    <w:rsid w:val="0089245D"/>
    <w:rsid w:val="00893783"/>
    <w:rsid w:val="00893FB8"/>
    <w:rsid w:val="008942B6"/>
    <w:rsid w:val="00894429"/>
    <w:rsid w:val="008945E7"/>
    <w:rsid w:val="008947B9"/>
    <w:rsid w:val="00894DCD"/>
    <w:rsid w:val="0089532B"/>
    <w:rsid w:val="008954EA"/>
    <w:rsid w:val="008957F1"/>
    <w:rsid w:val="008959F7"/>
    <w:rsid w:val="00895A95"/>
    <w:rsid w:val="00896675"/>
    <w:rsid w:val="008968E3"/>
    <w:rsid w:val="00896A5C"/>
    <w:rsid w:val="00896CE9"/>
    <w:rsid w:val="00897735"/>
    <w:rsid w:val="00897898"/>
    <w:rsid w:val="00897951"/>
    <w:rsid w:val="00897E4E"/>
    <w:rsid w:val="008A0A7A"/>
    <w:rsid w:val="008A141A"/>
    <w:rsid w:val="008A144D"/>
    <w:rsid w:val="008A1457"/>
    <w:rsid w:val="008A18D5"/>
    <w:rsid w:val="008A2339"/>
    <w:rsid w:val="008A240D"/>
    <w:rsid w:val="008A27FC"/>
    <w:rsid w:val="008A2B05"/>
    <w:rsid w:val="008A3516"/>
    <w:rsid w:val="008A3BA3"/>
    <w:rsid w:val="008A3D61"/>
    <w:rsid w:val="008A45A4"/>
    <w:rsid w:val="008A49C2"/>
    <w:rsid w:val="008A4B36"/>
    <w:rsid w:val="008A4F2D"/>
    <w:rsid w:val="008A501A"/>
    <w:rsid w:val="008A5074"/>
    <w:rsid w:val="008A5AE0"/>
    <w:rsid w:val="008A5BAF"/>
    <w:rsid w:val="008A691E"/>
    <w:rsid w:val="008A695E"/>
    <w:rsid w:val="008A6AF9"/>
    <w:rsid w:val="008A715B"/>
    <w:rsid w:val="008A75AF"/>
    <w:rsid w:val="008A76FA"/>
    <w:rsid w:val="008A7736"/>
    <w:rsid w:val="008A7F20"/>
    <w:rsid w:val="008B0355"/>
    <w:rsid w:val="008B0B11"/>
    <w:rsid w:val="008B0EBE"/>
    <w:rsid w:val="008B15B0"/>
    <w:rsid w:val="008B15B4"/>
    <w:rsid w:val="008B1C95"/>
    <w:rsid w:val="008B20F7"/>
    <w:rsid w:val="008B2336"/>
    <w:rsid w:val="008B244C"/>
    <w:rsid w:val="008B31C6"/>
    <w:rsid w:val="008B45FA"/>
    <w:rsid w:val="008B4711"/>
    <w:rsid w:val="008B4F2E"/>
    <w:rsid w:val="008B5146"/>
    <w:rsid w:val="008B514C"/>
    <w:rsid w:val="008B5163"/>
    <w:rsid w:val="008B522C"/>
    <w:rsid w:val="008B5883"/>
    <w:rsid w:val="008B5CD2"/>
    <w:rsid w:val="008B609D"/>
    <w:rsid w:val="008B74F8"/>
    <w:rsid w:val="008B778A"/>
    <w:rsid w:val="008B7E83"/>
    <w:rsid w:val="008C0123"/>
    <w:rsid w:val="008C0343"/>
    <w:rsid w:val="008C065C"/>
    <w:rsid w:val="008C067C"/>
    <w:rsid w:val="008C13ED"/>
    <w:rsid w:val="008C164C"/>
    <w:rsid w:val="008C19AE"/>
    <w:rsid w:val="008C1C61"/>
    <w:rsid w:val="008C22D7"/>
    <w:rsid w:val="008C2FCA"/>
    <w:rsid w:val="008C3280"/>
    <w:rsid w:val="008C3527"/>
    <w:rsid w:val="008C3A76"/>
    <w:rsid w:val="008C3A97"/>
    <w:rsid w:val="008C4DFA"/>
    <w:rsid w:val="008C4F1E"/>
    <w:rsid w:val="008C4F4B"/>
    <w:rsid w:val="008C594F"/>
    <w:rsid w:val="008C5A1C"/>
    <w:rsid w:val="008C5B94"/>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92C"/>
    <w:rsid w:val="008D2D82"/>
    <w:rsid w:val="008D37D1"/>
    <w:rsid w:val="008D4AE4"/>
    <w:rsid w:val="008D4F9F"/>
    <w:rsid w:val="008D55C0"/>
    <w:rsid w:val="008D58C7"/>
    <w:rsid w:val="008D6B89"/>
    <w:rsid w:val="008D719F"/>
    <w:rsid w:val="008D73DE"/>
    <w:rsid w:val="008D75C5"/>
    <w:rsid w:val="008D76EF"/>
    <w:rsid w:val="008D78E8"/>
    <w:rsid w:val="008D7B86"/>
    <w:rsid w:val="008D7B8A"/>
    <w:rsid w:val="008D7C8F"/>
    <w:rsid w:val="008E03E1"/>
    <w:rsid w:val="008E083D"/>
    <w:rsid w:val="008E0E8F"/>
    <w:rsid w:val="008E15F6"/>
    <w:rsid w:val="008E16F0"/>
    <w:rsid w:val="008E1ACE"/>
    <w:rsid w:val="008E202E"/>
    <w:rsid w:val="008E3100"/>
    <w:rsid w:val="008E40D4"/>
    <w:rsid w:val="008E42D9"/>
    <w:rsid w:val="008E481E"/>
    <w:rsid w:val="008E4845"/>
    <w:rsid w:val="008E48D7"/>
    <w:rsid w:val="008E563A"/>
    <w:rsid w:val="008E59C1"/>
    <w:rsid w:val="008E61D7"/>
    <w:rsid w:val="008E6250"/>
    <w:rsid w:val="008E697C"/>
    <w:rsid w:val="008E69CF"/>
    <w:rsid w:val="008E718F"/>
    <w:rsid w:val="008E7F2B"/>
    <w:rsid w:val="008F029D"/>
    <w:rsid w:val="008F0475"/>
    <w:rsid w:val="008F0EC0"/>
    <w:rsid w:val="008F1B75"/>
    <w:rsid w:val="008F1F4A"/>
    <w:rsid w:val="008F29FA"/>
    <w:rsid w:val="008F2B65"/>
    <w:rsid w:val="008F2C11"/>
    <w:rsid w:val="008F2FDE"/>
    <w:rsid w:val="008F3034"/>
    <w:rsid w:val="008F3CCB"/>
    <w:rsid w:val="008F40C1"/>
    <w:rsid w:val="008F4736"/>
    <w:rsid w:val="008F49BC"/>
    <w:rsid w:val="008F4A44"/>
    <w:rsid w:val="008F5164"/>
    <w:rsid w:val="008F5702"/>
    <w:rsid w:val="008F5785"/>
    <w:rsid w:val="008F57BA"/>
    <w:rsid w:val="008F59C8"/>
    <w:rsid w:val="008F6117"/>
    <w:rsid w:val="008F63E5"/>
    <w:rsid w:val="008F6491"/>
    <w:rsid w:val="008F6895"/>
    <w:rsid w:val="008F6B3A"/>
    <w:rsid w:val="008F6F43"/>
    <w:rsid w:val="008F711A"/>
    <w:rsid w:val="008F7640"/>
    <w:rsid w:val="00900068"/>
    <w:rsid w:val="00900764"/>
    <w:rsid w:val="009007C9"/>
    <w:rsid w:val="00900BCA"/>
    <w:rsid w:val="009018C3"/>
    <w:rsid w:val="00901AC6"/>
    <w:rsid w:val="00901D53"/>
    <w:rsid w:val="00901EBD"/>
    <w:rsid w:val="00901EFF"/>
    <w:rsid w:val="00902085"/>
    <w:rsid w:val="0090220F"/>
    <w:rsid w:val="00902602"/>
    <w:rsid w:val="00902654"/>
    <w:rsid w:val="00902C05"/>
    <w:rsid w:val="00902CB2"/>
    <w:rsid w:val="00903157"/>
    <w:rsid w:val="00903E3D"/>
    <w:rsid w:val="00903F1A"/>
    <w:rsid w:val="009055BB"/>
    <w:rsid w:val="009060E4"/>
    <w:rsid w:val="00907211"/>
    <w:rsid w:val="0090743C"/>
    <w:rsid w:val="00907B8B"/>
    <w:rsid w:val="00910271"/>
    <w:rsid w:val="0091039D"/>
    <w:rsid w:val="00911139"/>
    <w:rsid w:val="00911457"/>
    <w:rsid w:val="00911C67"/>
    <w:rsid w:val="009124CB"/>
    <w:rsid w:val="0091292D"/>
    <w:rsid w:val="00912C3E"/>
    <w:rsid w:val="00912C43"/>
    <w:rsid w:val="009136FF"/>
    <w:rsid w:val="009138D1"/>
    <w:rsid w:val="00913D46"/>
    <w:rsid w:val="009144E4"/>
    <w:rsid w:val="00914571"/>
    <w:rsid w:val="00914C54"/>
    <w:rsid w:val="00914D5F"/>
    <w:rsid w:val="00914D66"/>
    <w:rsid w:val="0091576B"/>
    <w:rsid w:val="00915EFC"/>
    <w:rsid w:val="009160D1"/>
    <w:rsid w:val="009162EC"/>
    <w:rsid w:val="0091664E"/>
    <w:rsid w:val="00916B2F"/>
    <w:rsid w:val="009171F1"/>
    <w:rsid w:val="009172A5"/>
    <w:rsid w:val="00917B2E"/>
    <w:rsid w:val="009200D8"/>
    <w:rsid w:val="009201C8"/>
    <w:rsid w:val="009208F6"/>
    <w:rsid w:val="00921A19"/>
    <w:rsid w:val="00921A8B"/>
    <w:rsid w:val="00921AF6"/>
    <w:rsid w:val="00921EBA"/>
    <w:rsid w:val="00921EFF"/>
    <w:rsid w:val="009224E6"/>
    <w:rsid w:val="00922677"/>
    <w:rsid w:val="009227EE"/>
    <w:rsid w:val="009228B6"/>
    <w:rsid w:val="00923EFB"/>
    <w:rsid w:val="009245CA"/>
    <w:rsid w:val="00924B14"/>
    <w:rsid w:val="00924D8A"/>
    <w:rsid w:val="00925405"/>
    <w:rsid w:val="009261B0"/>
    <w:rsid w:val="0092621C"/>
    <w:rsid w:val="009266B7"/>
    <w:rsid w:val="00926769"/>
    <w:rsid w:val="00926E54"/>
    <w:rsid w:val="00927210"/>
    <w:rsid w:val="00927CB0"/>
    <w:rsid w:val="00927D5A"/>
    <w:rsid w:val="00930021"/>
    <w:rsid w:val="00930373"/>
    <w:rsid w:val="009305F2"/>
    <w:rsid w:val="00931367"/>
    <w:rsid w:val="009315C5"/>
    <w:rsid w:val="009317EA"/>
    <w:rsid w:val="009319C7"/>
    <w:rsid w:val="009319E5"/>
    <w:rsid w:val="00931AB9"/>
    <w:rsid w:val="00931B64"/>
    <w:rsid w:val="00931D6C"/>
    <w:rsid w:val="00932598"/>
    <w:rsid w:val="009327CF"/>
    <w:rsid w:val="00932BEA"/>
    <w:rsid w:val="00932DF2"/>
    <w:rsid w:val="0093384B"/>
    <w:rsid w:val="00933950"/>
    <w:rsid w:val="00933EDA"/>
    <w:rsid w:val="009342EF"/>
    <w:rsid w:val="0093457C"/>
    <w:rsid w:val="00934D1F"/>
    <w:rsid w:val="00934F7B"/>
    <w:rsid w:val="009357DA"/>
    <w:rsid w:val="00935909"/>
    <w:rsid w:val="00935E5C"/>
    <w:rsid w:val="009360CE"/>
    <w:rsid w:val="00936746"/>
    <w:rsid w:val="0093692A"/>
    <w:rsid w:val="00936AEE"/>
    <w:rsid w:val="0093720B"/>
    <w:rsid w:val="00937396"/>
    <w:rsid w:val="0093743D"/>
    <w:rsid w:val="0093788D"/>
    <w:rsid w:val="00937B7C"/>
    <w:rsid w:val="0094049E"/>
    <w:rsid w:val="00940776"/>
    <w:rsid w:val="00940E72"/>
    <w:rsid w:val="0094191A"/>
    <w:rsid w:val="00941E1D"/>
    <w:rsid w:val="009428C5"/>
    <w:rsid w:val="009428D4"/>
    <w:rsid w:val="00942A96"/>
    <w:rsid w:val="00942AD9"/>
    <w:rsid w:val="00942D52"/>
    <w:rsid w:val="00942F76"/>
    <w:rsid w:val="00943460"/>
    <w:rsid w:val="00943535"/>
    <w:rsid w:val="00943F19"/>
    <w:rsid w:val="009441D3"/>
    <w:rsid w:val="0094445A"/>
    <w:rsid w:val="009445EB"/>
    <w:rsid w:val="00944909"/>
    <w:rsid w:val="00945A9D"/>
    <w:rsid w:val="0094649B"/>
    <w:rsid w:val="0094685D"/>
    <w:rsid w:val="00946BD1"/>
    <w:rsid w:val="00947251"/>
    <w:rsid w:val="00947A6D"/>
    <w:rsid w:val="00947F99"/>
    <w:rsid w:val="0095019D"/>
    <w:rsid w:val="009502F9"/>
    <w:rsid w:val="00950C1E"/>
    <w:rsid w:val="009513F2"/>
    <w:rsid w:val="009526D2"/>
    <w:rsid w:val="00953493"/>
    <w:rsid w:val="00953A91"/>
    <w:rsid w:val="00953C95"/>
    <w:rsid w:val="00953E45"/>
    <w:rsid w:val="00954253"/>
    <w:rsid w:val="009555D0"/>
    <w:rsid w:val="009572C4"/>
    <w:rsid w:val="009573D1"/>
    <w:rsid w:val="00957717"/>
    <w:rsid w:val="009577B9"/>
    <w:rsid w:val="009577DB"/>
    <w:rsid w:val="009606C5"/>
    <w:rsid w:val="0096083E"/>
    <w:rsid w:val="00960A4C"/>
    <w:rsid w:val="00960BC7"/>
    <w:rsid w:val="00961442"/>
    <w:rsid w:val="00961D38"/>
    <w:rsid w:val="00962E4C"/>
    <w:rsid w:val="00962E69"/>
    <w:rsid w:val="00963154"/>
    <w:rsid w:val="00963206"/>
    <w:rsid w:val="0096327E"/>
    <w:rsid w:val="009647E8"/>
    <w:rsid w:val="00965214"/>
    <w:rsid w:val="00965515"/>
    <w:rsid w:val="009657BD"/>
    <w:rsid w:val="00965AA9"/>
    <w:rsid w:val="0096651A"/>
    <w:rsid w:val="009666E7"/>
    <w:rsid w:val="00966B95"/>
    <w:rsid w:val="00966F3D"/>
    <w:rsid w:val="009677A2"/>
    <w:rsid w:val="0096784E"/>
    <w:rsid w:val="00967D94"/>
    <w:rsid w:val="00967F74"/>
    <w:rsid w:val="00971711"/>
    <w:rsid w:val="0097181A"/>
    <w:rsid w:val="00971CB7"/>
    <w:rsid w:val="00971DFD"/>
    <w:rsid w:val="00971E84"/>
    <w:rsid w:val="009724D6"/>
    <w:rsid w:val="009730A0"/>
    <w:rsid w:val="009737E9"/>
    <w:rsid w:val="0097395E"/>
    <w:rsid w:val="009741E3"/>
    <w:rsid w:val="0097421C"/>
    <w:rsid w:val="00974727"/>
    <w:rsid w:val="00974736"/>
    <w:rsid w:val="009751D5"/>
    <w:rsid w:val="00975796"/>
    <w:rsid w:val="00975B31"/>
    <w:rsid w:val="00975FFD"/>
    <w:rsid w:val="00976E9D"/>
    <w:rsid w:val="009804B6"/>
    <w:rsid w:val="009804C4"/>
    <w:rsid w:val="00980F5B"/>
    <w:rsid w:val="00980FB0"/>
    <w:rsid w:val="00981570"/>
    <w:rsid w:val="00981A8B"/>
    <w:rsid w:val="00981B9A"/>
    <w:rsid w:val="00982222"/>
    <w:rsid w:val="00982D38"/>
    <w:rsid w:val="0098332A"/>
    <w:rsid w:val="00983C30"/>
    <w:rsid w:val="00984013"/>
    <w:rsid w:val="009846A4"/>
    <w:rsid w:val="00984A49"/>
    <w:rsid w:val="00984ABF"/>
    <w:rsid w:val="00984D9C"/>
    <w:rsid w:val="0098544F"/>
    <w:rsid w:val="009857CC"/>
    <w:rsid w:val="00986126"/>
    <w:rsid w:val="009871DB"/>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3C77"/>
    <w:rsid w:val="009940D1"/>
    <w:rsid w:val="009944EA"/>
    <w:rsid w:val="00994AC4"/>
    <w:rsid w:val="00994E18"/>
    <w:rsid w:val="00995660"/>
    <w:rsid w:val="00995EA3"/>
    <w:rsid w:val="00996685"/>
    <w:rsid w:val="0099691F"/>
    <w:rsid w:val="0099707C"/>
    <w:rsid w:val="00997312"/>
    <w:rsid w:val="0099786F"/>
    <w:rsid w:val="009A0304"/>
    <w:rsid w:val="009A0423"/>
    <w:rsid w:val="009A06B3"/>
    <w:rsid w:val="009A06B5"/>
    <w:rsid w:val="009A0786"/>
    <w:rsid w:val="009A0801"/>
    <w:rsid w:val="009A0929"/>
    <w:rsid w:val="009A0CC5"/>
    <w:rsid w:val="009A1405"/>
    <w:rsid w:val="009A1D1B"/>
    <w:rsid w:val="009A202E"/>
    <w:rsid w:val="009A22A9"/>
    <w:rsid w:val="009A383F"/>
    <w:rsid w:val="009A42AA"/>
    <w:rsid w:val="009A47B3"/>
    <w:rsid w:val="009A485F"/>
    <w:rsid w:val="009A4952"/>
    <w:rsid w:val="009A5595"/>
    <w:rsid w:val="009A58C0"/>
    <w:rsid w:val="009A58DF"/>
    <w:rsid w:val="009A5A6D"/>
    <w:rsid w:val="009A5CED"/>
    <w:rsid w:val="009A5ED2"/>
    <w:rsid w:val="009A6B3E"/>
    <w:rsid w:val="009A6C52"/>
    <w:rsid w:val="009A6E71"/>
    <w:rsid w:val="009B0948"/>
    <w:rsid w:val="009B1C9A"/>
    <w:rsid w:val="009B1D34"/>
    <w:rsid w:val="009B28D9"/>
    <w:rsid w:val="009B2BB1"/>
    <w:rsid w:val="009B2E22"/>
    <w:rsid w:val="009B2F49"/>
    <w:rsid w:val="009B347F"/>
    <w:rsid w:val="009B3648"/>
    <w:rsid w:val="009B39DD"/>
    <w:rsid w:val="009B3A81"/>
    <w:rsid w:val="009B40DA"/>
    <w:rsid w:val="009B4C75"/>
    <w:rsid w:val="009B4E58"/>
    <w:rsid w:val="009B5BFD"/>
    <w:rsid w:val="009B5F4C"/>
    <w:rsid w:val="009B77F0"/>
    <w:rsid w:val="009B7853"/>
    <w:rsid w:val="009C0100"/>
    <w:rsid w:val="009C08CB"/>
    <w:rsid w:val="009C0951"/>
    <w:rsid w:val="009C0BE2"/>
    <w:rsid w:val="009C1131"/>
    <w:rsid w:val="009C1C62"/>
    <w:rsid w:val="009C202E"/>
    <w:rsid w:val="009C2FFF"/>
    <w:rsid w:val="009C3186"/>
    <w:rsid w:val="009C3C76"/>
    <w:rsid w:val="009C40F3"/>
    <w:rsid w:val="009C46A3"/>
    <w:rsid w:val="009C4E44"/>
    <w:rsid w:val="009C4F05"/>
    <w:rsid w:val="009C4F23"/>
    <w:rsid w:val="009C537D"/>
    <w:rsid w:val="009C54B2"/>
    <w:rsid w:val="009C5AC3"/>
    <w:rsid w:val="009C5F26"/>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3FCA"/>
    <w:rsid w:val="009D4425"/>
    <w:rsid w:val="009D4824"/>
    <w:rsid w:val="009D4892"/>
    <w:rsid w:val="009D4B61"/>
    <w:rsid w:val="009D4BE7"/>
    <w:rsid w:val="009D5D0F"/>
    <w:rsid w:val="009D64EC"/>
    <w:rsid w:val="009D64F6"/>
    <w:rsid w:val="009D6C3B"/>
    <w:rsid w:val="009D73EE"/>
    <w:rsid w:val="009E02C0"/>
    <w:rsid w:val="009E0604"/>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B7B"/>
    <w:rsid w:val="009E6D23"/>
    <w:rsid w:val="009F026C"/>
    <w:rsid w:val="009F0396"/>
    <w:rsid w:val="009F0868"/>
    <w:rsid w:val="009F1817"/>
    <w:rsid w:val="009F1C92"/>
    <w:rsid w:val="009F1CAA"/>
    <w:rsid w:val="009F1CD7"/>
    <w:rsid w:val="009F2D77"/>
    <w:rsid w:val="009F40A3"/>
    <w:rsid w:val="009F4AFF"/>
    <w:rsid w:val="009F4B53"/>
    <w:rsid w:val="009F4F2D"/>
    <w:rsid w:val="009F4FEB"/>
    <w:rsid w:val="009F5AFD"/>
    <w:rsid w:val="009F5FAE"/>
    <w:rsid w:val="009F6886"/>
    <w:rsid w:val="009F6FD1"/>
    <w:rsid w:val="009F79B3"/>
    <w:rsid w:val="009F7E80"/>
    <w:rsid w:val="00A0014C"/>
    <w:rsid w:val="00A00731"/>
    <w:rsid w:val="00A00739"/>
    <w:rsid w:val="00A00F79"/>
    <w:rsid w:val="00A0107E"/>
    <w:rsid w:val="00A015D6"/>
    <w:rsid w:val="00A017DE"/>
    <w:rsid w:val="00A01BDC"/>
    <w:rsid w:val="00A01CED"/>
    <w:rsid w:val="00A0304F"/>
    <w:rsid w:val="00A03125"/>
    <w:rsid w:val="00A0352D"/>
    <w:rsid w:val="00A03A39"/>
    <w:rsid w:val="00A03CB2"/>
    <w:rsid w:val="00A051A0"/>
    <w:rsid w:val="00A05223"/>
    <w:rsid w:val="00A0572C"/>
    <w:rsid w:val="00A06587"/>
    <w:rsid w:val="00A066B6"/>
    <w:rsid w:val="00A06C67"/>
    <w:rsid w:val="00A072A0"/>
    <w:rsid w:val="00A0756B"/>
    <w:rsid w:val="00A10A8E"/>
    <w:rsid w:val="00A10B02"/>
    <w:rsid w:val="00A10E27"/>
    <w:rsid w:val="00A11497"/>
    <w:rsid w:val="00A11D15"/>
    <w:rsid w:val="00A121BB"/>
    <w:rsid w:val="00A125C6"/>
    <w:rsid w:val="00A12A72"/>
    <w:rsid w:val="00A12A98"/>
    <w:rsid w:val="00A12C0D"/>
    <w:rsid w:val="00A12D9A"/>
    <w:rsid w:val="00A13534"/>
    <w:rsid w:val="00A13E9D"/>
    <w:rsid w:val="00A13F18"/>
    <w:rsid w:val="00A14398"/>
    <w:rsid w:val="00A1443C"/>
    <w:rsid w:val="00A148BF"/>
    <w:rsid w:val="00A14978"/>
    <w:rsid w:val="00A14DDA"/>
    <w:rsid w:val="00A15105"/>
    <w:rsid w:val="00A15175"/>
    <w:rsid w:val="00A154ED"/>
    <w:rsid w:val="00A1563D"/>
    <w:rsid w:val="00A15A5B"/>
    <w:rsid w:val="00A1675D"/>
    <w:rsid w:val="00A16CD6"/>
    <w:rsid w:val="00A16D61"/>
    <w:rsid w:val="00A171BB"/>
    <w:rsid w:val="00A17813"/>
    <w:rsid w:val="00A1786A"/>
    <w:rsid w:val="00A17913"/>
    <w:rsid w:val="00A17E14"/>
    <w:rsid w:val="00A17F2D"/>
    <w:rsid w:val="00A203B4"/>
    <w:rsid w:val="00A207D5"/>
    <w:rsid w:val="00A20824"/>
    <w:rsid w:val="00A20E09"/>
    <w:rsid w:val="00A21132"/>
    <w:rsid w:val="00A214C8"/>
    <w:rsid w:val="00A21A29"/>
    <w:rsid w:val="00A21ACB"/>
    <w:rsid w:val="00A221FF"/>
    <w:rsid w:val="00A22542"/>
    <w:rsid w:val="00A228B4"/>
    <w:rsid w:val="00A22BE8"/>
    <w:rsid w:val="00A234CB"/>
    <w:rsid w:val="00A2398F"/>
    <w:rsid w:val="00A2457E"/>
    <w:rsid w:val="00A24D70"/>
    <w:rsid w:val="00A25A52"/>
    <w:rsid w:val="00A265A1"/>
    <w:rsid w:val="00A26B6E"/>
    <w:rsid w:val="00A26DD4"/>
    <w:rsid w:val="00A2704C"/>
    <w:rsid w:val="00A27087"/>
    <w:rsid w:val="00A27C22"/>
    <w:rsid w:val="00A27C96"/>
    <w:rsid w:val="00A308A8"/>
    <w:rsid w:val="00A30DCC"/>
    <w:rsid w:val="00A31503"/>
    <w:rsid w:val="00A320C5"/>
    <w:rsid w:val="00A32317"/>
    <w:rsid w:val="00A32563"/>
    <w:rsid w:val="00A32905"/>
    <w:rsid w:val="00A329C1"/>
    <w:rsid w:val="00A32EA2"/>
    <w:rsid w:val="00A32EEF"/>
    <w:rsid w:val="00A33729"/>
    <w:rsid w:val="00A34041"/>
    <w:rsid w:val="00A341D0"/>
    <w:rsid w:val="00A346D3"/>
    <w:rsid w:val="00A3481E"/>
    <w:rsid w:val="00A34888"/>
    <w:rsid w:val="00A34F0B"/>
    <w:rsid w:val="00A36A73"/>
    <w:rsid w:val="00A36ECA"/>
    <w:rsid w:val="00A37C2E"/>
    <w:rsid w:val="00A40329"/>
    <w:rsid w:val="00A414A0"/>
    <w:rsid w:val="00A41C18"/>
    <w:rsid w:val="00A41D73"/>
    <w:rsid w:val="00A4237A"/>
    <w:rsid w:val="00A4270F"/>
    <w:rsid w:val="00A429BB"/>
    <w:rsid w:val="00A42BFB"/>
    <w:rsid w:val="00A42DB8"/>
    <w:rsid w:val="00A42E9C"/>
    <w:rsid w:val="00A4322D"/>
    <w:rsid w:val="00A435AC"/>
    <w:rsid w:val="00A43B40"/>
    <w:rsid w:val="00A44CFF"/>
    <w:rsid w:val="00A45444"/>
    <w:rsid w:val="00A45657"/>
    <w:rsid w:val="00A456B0"/>
    <w:rsid w:val="00A45DA6"/>
    <w:rsid w:val="00A46168"/>
    <w:rsid w:val="00A4648B"/>
    <w:rsid w:val="00A46628"/>
    <w:rsid w:val="00A47077"/>
    <w:rsid w:val="00A475E7"/>
    <w:rsid w:val="00A47E58"/>
    <w:rsid w:val="00A50074"/>
    <w:rsid w:val="00A5089C"/>
    <w:rsid w:val="00A51B2E"/>
    <w:rsid w:val="00A520C9"/>
    <w:rsid w:val="00A520DB"/>
    <w:rsid w:val="00A531D0"/>
    <w:rsid w:val="00A5368F"/>
    <w:rsid w:val="00A5372E"/>
    <w:rsid w:val="00A53E82"/>
    <w:rsid w:val="00A54531"/>
    <w:rsid w:val="00A545E9"/>
    <w:rsid w:val="00A54755"/>
    <w:rsid w:val="00A54C04"/>
    <w:rsid w:val="00A54C82"/>
    <w:rsid w:val="00A54D3A"/>
    <w:rsid w:val="00A5597F"/>
    <w:rsid w:val="00A55F88"/>
    <w:rsid w:val="00A5654F"/>
    <w:rsid w:val="00A56EB4"/>
    <w:rsid w:val="00A572BA"/>
    <w:rsid w:val="00A57308"/>
    <w:rsid w:val="00A573D3"/>
    <w:rsid w:val="00A57523"/>
    <w:rsid w:val="00A577C0"/>
    <w:rsid w:val="00A5796B"/>
    <w:rsid w:val="00A57A11"/>
    <w:rsid w:val="00A57EE2"/>
    <w:rsid w:val="00A60C1C"/>
    <w:rsid w:val="00A6145D"/>
    <w:rsid w:val="00A614E1"/>
    <w:rsid w:val="00A61FCF"/>
    <w:rsid w:val="00A6212A"/>
    <w:rsid w:val="00A62376"/>
    <w:rsid w:val="00A62561"/>
    <w:rsid w:val="00A62907"/>
    <w:rsid w:val="00A62F0D"/>
    <w:rsid w:val="00A62FAB"/>
    <w:rsid w:val="00A633B9"/>
    <w:rsid w:val="00A6352E"/>
    <w:rsid w:val="00A6364E"/>
    <w:rsid w:val="00A6372B"/>
    <w:rsid w:val="00A63DF1"/>
    <w:rsid w:val="00A649A5"/>
    <w:rsid w:val="00A64B1F"/>
    <w:rsid w:val="00A64B3F"/>
    <w:rsid w:val="00A64EA8"/>
    <w:rsid w:val="00A655A1"/>
    <w:rsid w:val="00A66072"/>
    <w:rsid w:val="00A667FD"/>
    <w:rsid w:val="00A67679"/>
    <w:rsid w:val="00A67CED"/>
    <w:rsid w:val="00A70214"/>
    <w:rsid w:val="00A70830"/>
    <w:rsid w:val="00A70C45"/>
    <w:rsid w:val="00A70E89"/>
    <w:rsid w:val="00A713CE"/>
    <w:rsid w:val="00A71489"/>
    <w:rsid w:val="00A71640"/>
    <w:rsid w:val="00A71A1C"/>
    <w:rsid w:val="00A721FA"/>
    <w:rsid w:val="00A72AC6"/>
    <w:rsid w:val="00A72CE8"/>
    <w:rsid w:val="00A72F90"/>
    <w:rsid w:val="00A7304C"/>
    <w:rsid w:val="00A7369A"/>
    <w:rsid w:val="00A737CB"/>
    <w:rsid w:val="00A73B01"/>
    <w:rsid w:val="00A73F78"/>
    <w:rsid w:val="00A74198"/>
    <w:rsid w:val="00A74BC8"/>
    <w:rsid w:val="00A74D3B"/>
    <w:rsid w:val="00A74ED1"/>
    <w:rsid w:val="00A75A3F"/>
    <w:rsid w:val="00A75C8C"/>
    <w:rsid w:val="00A76729"/>
    <w:rsid w:val="00A76B54"/>
    <w:rsid w:val="00A76EA1"/>
    <w:rsid w:val="00A7725F"/>
    <w:rsid w:val="00A77615"/>
    <w:rsid w:val="00A77E2D"/>
    <w:rsid w:val="00A80250"/>
    <w:rsid w:val="00A81608"/>
    <w:rsid w:val="00A81842"/>
    <w:rsid w:val="00A81DA2"/>
    <w:rsid w:val="00A82FEF"/>
    <w:rsid w:val="00A831BF"/>
    <w:rsid w:val="00A8324F"/>
    <w:rsid w:val="00A83739"/>
    <w:rsid w:val="00A83EB8"/>
    <w:rsid w:val="00A842D5"/>
    <w:rsid w:val="00A845B2"/>
    <w:rsid w:val="00A84934"/>
    <w:rsid w:val="00A84AF7"/>
    <w:rsid w:val="00A84BE4"/>
    <w:rsid w:val="00A85376"/>
    <w:rsid w:val="00A85A46"/>
    <w:rsid w:val="00A86001"/>
    <w:rsid w:val="00A86476"/>
    <w:rsid w:val="00A86557"/>
    <w:rsid w:val="00A865D2"/>
    <w:rsid w:val="00A8677F"/>
    <w:rsid w:val="00A867D1"/>
    <w:rsid w:val="00A87681"/>
    <w:rsid w:val="00A8770C"/>
    <w:rsid w:val="00A878CE"/>
    <w:rsid w:val="00A87C86"/>
    <w:rsid w:val="00A87F01"/>
    <w:rsid w:val="00A90617"/>
    <w:rsid w:val="00A90D45"/>
    <w:rsid w:val="00A90FB3"/>
    <w:rsid w:val="00A90FC6"/>
    <w:rsid w:val="00A91FA5"/>
    <w:rsid w:val="00A922D9"/>
    <w:rsid w:val="00A92555"/>
    <w:rsid w:val="00A925CA"/>
    <w:rsid w:val="00A9287A"/>
    <w:rsid w:val="00A932F8"/>
    <w:rsid w:val="00A94058"/>
    <w:rsid w:val="00A946DF"/>
    <w:rsid w:val="00A94BFB"/>
    <w:rsid w:val="00A954D1"/>
    <w:rsid w:val="00A959DE"/>
    <w:rsid w:val="00A95B8F"/>
    <w:rsid w:val="00A95CAD"/>
    <w:rsid w:val="00A96199"/>
    <w:rsid w:val="00A9653B"/>
    <w:rsid w:val="00A96ADC"/>
    <w:rsid w:val="00A970EF"/>
    <w:rsid w:val="00A97D4D"/>
    <w:rsid w:val="00AA0201"/>
    <w:rsid w:val="00AA0BF5"/>
    <w:rsid w:val="00AA10A7"/>
    <w:rsid w:val="00AA1508"/>
    <w:rsid w:val="00AA1DE9"/>
    <w:rsid w:val="00AA2D1B"/>
    <w:rsid w:val="00AA2D6D"/>
    <w:rsid w:val="00AA3318"/>
    <w:rsid w:val="00AA3327"/>
    <w:rsid w:val="00AA34F5"/>
    <w:rsid w:val="00AA3505"/>
    <w:rsid w:val="00AA4AB5"/>
    <w:rsid w:val="00AA57F1"/>
    <w:rsid w:val="00AA5ADB"/>
    <w:rsid w:val="00AA5DED"/>
    <w:rsid w:val="00AA63D9"/>
    <w:rsid w:val="00AA650D"/>
    <w:rsid w:val="00AA6E98"/>
    <w:rsid w:val="00AA6F51"/>
    <w:rsid w:val="00AA759D"/>
    <w:rsid w:val="00AA77B9"/>
    <w:rsid w:val="00AA7856"/>
    <w:rsid w:val="00AA7857"/>
    <w:rsid w:val="00AA7BB9"/>
    <w:rsid w:val="00AB0E98"/>
    <w:rsid w:val="00AB16D1"/>
    <w:rsid w:val="00AB2A08"/>
    <w:rsid w:val="00AB2CE2"/>
    <w:rsid w:val="00AB3840"/>
    <w:rsid w:val="00AB4271"/>
    <w:rsid w:val="00AB42AA"/>
    <w:rsid w:val="00AB42F2"/>
    <w:rsid w:val="00AB42F4"/>
    <w:rsid w:val="00AB4784"/>
    <w:rsid w:val="00AB4C76"/>
    <w:rsid w:val="00AB4EFC"/>
    <w:rsid w:val="00AB505F"/>
    <w:rsid w:val="00AB5164"/>
    <w:rsid w:val="00AB5387"/>
    <w:rsid w:val="00AB5DEB"/>
    <w:rsid w:val="00AB624A"/>
    <w:rsid w:val="00AB6B1E"/>
    <w:rsid w:val="00AB6D1E"/>
    <w:rsid w:val="00AB6E93"/>
    <w:rsid w:val="00AB70C8"/>
    <w:rsid w:val="00AB72F6"/>
    <w:rsid w:val="00AB73D8"/>
    <w:rsid w:val="00AC020B"/>
    <w:rsid w:val="00AC0390"/>
    <w:rsid w:val="00AC0605"/>
    <w:rsid w:val="00AC06C1"/>
    <w:rsid w:val="00AC0AE0"/>
    <w:rsid w:val="00AC0F35"/>
    <w:rsid w:val="00AC1603"/>
    <w:rsid w:val="00AC18EA"/>
    <w:rsid w:val="00AC2375"/>
    <w:rsid w:val="00AC26F4"/>
    <w:rsid w:val="00AC2C06"/>
    <w:rsid w:val="00AC2F80"/>
    <w:rsid w:val="00AC3AAD"/>
    <w:rsid w:val="00AC3EE9"/>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27B"/>
    <w:rsid w:val="00AD05B9"/>
    <w:rsid w:val="00AD0623"/>
    <w:rsid w:val="00AD07D2"/>
    <w:rsid w:val="00AD0884"/>
    <w:rsid w:val="00AD1381"/>
    <w:rsid w:val="00AD1560"/>
    <w:rsid w:val="00AD174A"/>
    <w:rsid w:val="00AD1D17"/>
    <w:rsid w:val="00AD2691"/>
    <w:rsid w:val="00AD3036"/>
    <w:rsid w:val="00AD310C"/>
    <w:rsid w:val="00AD362E"/>
    <w:rsid w:val="00AD438D"/>
    <w:rsid w:val="00AD4A4C"/>
    <w:rsid w:val="00AD4F33"/>
    <w:rsid w:val="00AD503E"/>
    <w:rsid w:val="00AD5D99"/>
    <w:rsid w:val="00AD6129"/>
    <w:rsid w:val="00AD65AB"/>
    <w:rsid w:val="00AD6790"/>
    <w:rsid w:val="00AD68A7"/>
    <w:rsid w:val="00AD6E22"/>
    <w:rsid w:val="00AD6FD2"/>
    <w:rsid w:val="00AD794C"/>
    <w:rsid w:val="00AD7F5C"/>
    <w:rsid w:val="00AE02AA"/>
    <w:rsid w:val="00AE0E9D"/>
    <w:rsid w:val="00AE0EDA"/>
    <w:rsid w:val="00AE1161"/>
    <w:rsid w:val="00AE1411"/>
    <w:rsid w:val="00AE1CE5"/>
    <w:rsid w:val="00AE2093"/>
    <w:rsid w:val="00AE2227"/>
    <w:rsid w:val="00AE38D4"/>
    <w:rsid w:val="00AE3F92"/>
    <w:rsid w:val="00AE4065"/>
    <w:rsid w:val="00AE43B1"/>
    <w:rsid w:val="00AE494A"/>
    <w:rsid w:val="00AE4DA8"/>
    <w:rsid w:val="00AE50B0"/>
    <w:rsid w:val="00AE5CB5"/>
    <w:rsid w:val="00AE5E04"/>
    <w:rsid w:val="00AE5E0D"/>
    <w:rsid w:val="00AE693C"/>
    <w:rsid w:val="00AE7E35"/>
    <w:rsid w:val="00AE7F28"/>
    <w:rsid w:val="00AF0159"/>
    <w:rsid w:val="00AF12FD"/>
    <w:rsid w:val="00AF14D6"/>
    <w:rsid w:val="00AF1FCF"/>
    <w:rsid w:val="00AF2479"/>
    <w:rsid w:val="00AF270A"/>
    <w:rsid w:val="00AF3F01"/>
    <w:rsid w:val="00AF4AB3"/>
    <w:rsid w:val="00AF4EDC"/>
    <w:rsid w:val="00AF50D6"/>
    <w:rsid w:val="00AF51FC"/>
    <w:rsid w:val="00AF5B4C"/>
    <w:rsid w:val="00AF5E25"/>
    <w:rsid w:val="00AF6AAC"/>
    <w:rsid w:val="00AF6BA9"/>
    <w:rsid w:val="00AF6E5D"/>
    <w:rsid w:val="00AF70F6"/>
    <w:rsid w:val="00AF711C"/>
    <w:rsid w:val="00AF783C"/>
    <w:rsid w:val="00AF7F9D"/>
    <w:rsid w:val="00B000B8"/>
    <w:rsid w:val="00B002E4"/>
    <w:rsid w:val="00B024B6"/>
    <w:rsid w:val="00B028B6"/>
    <w:rsid w:val="00B03110"/>
    <w:rsid w:val="00B03707"/>
    <w:rsid w:val="00B03968"/>
    <w:rsid w:val="00B03BEC"/>
    <w:rsid w:val="00B04B5A"/>
    <w:rsid w:val="00B0544B"/>
    <w:rsid w:val="00B05527"/>
    <w:rsid w:val="00B0591D"/>
    <w:rsid w:val="00B05B13"/>
    <w:rsid w:val="00B0618D"/>
    <w:rsid w:val="00B0637E"/>
    <w:rsid w:val="00B06893"/>
    <w:rsid w:val="00B06AC3"/>
    <w:rsid w:val="00B07332"/>
    <w:rsid w:val="00B0776E"/>
    <w:rsid w:val="00B078BB"/>
    <w:rsid w:val="00B07DEC"/>
    <w:rsid w:val="00B07FA5"/>
    <w:rsid w:val="00B10072"/>
    <w:rsid w:val="00B11581"/>
    <w:rsid w:val="00B115A8"/>
    <w:rsid w:val="00B116FA"/>
    <w:rsid w:val="00B118E6"/>
    <w:rsid w:val="00B13758"/>
    <w:rsid w:val="00B13E34"/>
    <w:rsid w:val="00B1435B"/>
    <w:rsid w:val="00B14C72"/>
    <w:rsid w:val="00B14E83"/>
    <w:rsid w:val="00B14EED"/>
    <w:rsid w:val="00B15018"/>
    <w:rsid w:val="00B15517"/>
    <w:rsid w:val="00B15936"/>
    <w:rsid w:val="00B159AE"/>
    <w:rsid w:val="00B15D4C"/>
    <w:rsid w:val="00B15DE1"/>
    <w:rsid w:val="00B16EFB"/>
    <w:rsid w:val="00B17570"/>
    <w:rsid w:val="00B20CE7"/>
    <w:rsid w:val="00B20DE8"/>
    <w:rsid w:val="00B20F62"/>
    <w:rsid w:val="00B22094"/>
    <w:rsid w:val="00B22DE2"/>
    <w:rsid w:val="00B22E81"/>
    <w:rsid w:val="00B2356C"/>
    <w:rsid w:val="00B2382A"/>
    <w:rsid w:val="00B23A6F"/>
    <w:rsid w:val="00B23A89"/>
    <w:rsid w:val="00B23C83"/>
    <w:rsid w:val="00B23F60"/>
    <w:rsid w:val="00B23F66"/>
    <w:rsid w:val="00B24642"/>
    <w:rsid w:val="00B24B9C"/>
    <w:rsid w:val="00B24C14"/>
    <w:rsid w:val="00B24CF3"/>
    <w:rsid w:val="00B254A2"/>
    <w:rsid w:val="00B25C96"/>
    <w:rsid w:val="00B25F61"/>
    <w:rsid w:val="00B26323"/>
    <w:rsid w:val="00B268FA"/>
    <w:rsid w:val="00B26EE6"/>
    <w:rsid w:val="00B26F9D"/>
    <w:rsid w:val="00B2725D"/>
    <w:rsid w:val="00B276C5"/>
    <w:rsid w:val="00B27A34"/>
    <w:rsid w:val="00B307CC"/>
    <w:rsid w:val="00B3232C"/>
    <w:rsid w:val="00B324E8"/>
    <w:rsid w:val="00B32736"/>
    <w:rsid w:val="00B327E0"/>
    <w:rsid w:val="00B327FD"/>
    <w:rsid w:val="00B32B17"/>
    <w:rsid w:val="00B32B95"/>
    <w:rsid w:val="00B32BDA"/>
    <w:rsid w:val="00B32C95"/>
    <w:rsid w:val="00B32F1B"/>
    <w:rsid w:val="00B33DD4"/>
    <w:rsid w:val="00B33E45"/>
    <w:rsid w:val="00B3431F"/>
    <w:rsid w:val="00B345BE"/>
    <w:rsid w:val="00B34A00"/>
    <w:rsid w:val="00B34F52"/>
    <w:rsid w:val="00B359BC"/>
    <w:rsid w:val="00B35CAB"/>
    <w:rsid w:val="00B361F5"/>
    <w:rsid w:val="00B36632"/>
    <w:rsid w:val="00B37363"/>
    <w:rsid w:val="00B37828"/>
    <w:rsid w:val="00B378A5"/>
    <w:rsid w:val="00B41635"/>
    <w:rsid w:val="00B41C16"/>
    <w:rsid w:val="00B41F02"/>
    <w:rsid w:val="00B4205B"/>
    <w:rsid w:val="00B42115"/>
    <w:rsid w:val="00B42C35"/>
    <w:rsid w:val="00B431EC"/>
    <w:rsid w:val="00B438E7"/>
    <w:rsid w:val="00B43D2A"/>
    <w:rsid w:val="00B43F83"/>
    <w:rsid w:val="00B4403E"/>
    <w:rsid w:val="00B4441A"/>
    <w:rsid w:val="00B446AF"/>
    <w:rsid w:val="00B448DF"/>
    <w:rsid w:val="00B4505D"/>
    <w:rsid w:val="00B453A2"/>
    <w:rsid w:val="00B45B33"/>
    <w:rsid w:val="00B45F98"/>
    <w:rsid w:val="00B46D98"/>
    <w:rsid w:val="00B47097"/>
    <w:rsid w:val="00B47BAC"/>
    <w:rsid w:val="00B50095"/>
    <w:rsid w:val="00B5015F"/>
    <w:rsid w:val="00B502F9"/>
    <w:rsid w:val="00B50C35"/>
    <w:rsid w:val="00B50CF1"/>
    <w:rsid w:val="00B50D2D"/>
    <w:rsid w:val="00B50D85"/>
    <w:rsid w:val="00B51619"/>
    <w:rsid w:val="00B51868"/>
    <w:rsid w:val="00B525AC"/>
    <w:rsid w:val="00B52D37"/>
    <w:rsid w:val="00B53836"/>
    <w:rsid w:val="00B5394F"/>
    <w:rsid w:val="00B53A10"/>
    <w:rsid w:val="00B53E73"/>
    <w:rsid w:val="00B5425F"/>
    <w:rsid w:val="00B544F1"/>
    <w:rsid w:val="00B54C52"/>
    <w:rsid w:val="00B55075"/>
    <w:rsid w:val="00B55478"/>
    <w:rsid w:val="00B5570E"/>
    <w:rsid w:val="00B55A4C"/>
    <w:rsid w:val="00B5637B"/>
    <w:rsid w:val="00B56AD1"/>
    <w:rsid w:val="00B56E21"/>
    <w:rsid w:val="00B575E5"/>
    <w:rsid w:val="00B606C7"/>
    <w:rsid w:val="00B61091"/>
    <w:rsid w:val="00B62E83"/>
    <w:rsid w:val="00B6342C"/>
    <w:rsid w:val="00B6398A"/>
    <w:rsid w:val="00B63B62"/>
    <w:rsid w:val="00B63EDF"/>
    <w:rsid w:val="00B63F98"/>
    <w:rsid w:val="00B64BCF"/>
    <w:rsid w:val="00B6533B"/>
    <w:rsid w:val="00B65CEE"/>
    <w:rsid w:val="00B66D49"/>
    <w:rsid w:val="00B66EF2"/>
    <w:rsid w:val="00B67826"/>
    <w:rsid w:val="00B67890"/>
    <w:rsid w:val="00B7047D"/>
    <w:rsid w:val="00B70C04"/>
    <w:rsid w:val="00B7124B"/>
    <w:rsid w:val="00B71808"/>
    <w:rsid w:val="00B71E7E"/>
    <w:rsid w:val="00B71F06"/>
    <w:rsid w:val="00B72CF1"/>
    <w:rsid w:val="00B7361C"/>
    <w:rsid w:val="00B74115"/>
    <w:rsid w:val="00B74CD6"/>
    <w:rsid w:val="00B75032"/>
    <w:rsid w:val="00B757FB"/>
    <w:rsid w:val="00B75B52"/>
    <w:rsid w:val="00B75C3E"/>
    <w:rsid w:val="00B75DA7"/>
    <w:rsid w:val="00B75DF9"/>
    <w:rsid w:val="00B760A9"/>
    <w:rsid w:val="00B7672F"/>
    <w:rsid w:val="00B767C5"/>
    <w:rsid w:val="00B76B95"/>
    <w:rsid w:val="00B772E6"/>
    <w:rsid w:val="00B77926"/>
    <w:rsid w:val="00B77C2D"/>
    <w:rsid w:val="00B80150"/>
    <w:rsid w:val="00B8100B"/>
    <w:rsid w:val="00B81030"/>
    <w:rsid w:val="00B813ED"/>
    <w:rsid w:val="00B81D69"/>
    <w:rsid w:val="00B8217A"/>
    <w:rsid w:val="00B82CC6"/>
    <w:rsid w:val="00B835AB"/>
    <w:rsid w:val="00B83A99"/>
    <w:rsid w:val="00B83B42"/>
    <w:rsid w:val="00B83C92"/>
    <w:rsid w:val="00B84152"/>
    <w:rsid w:val="00B84372"/>
    <w:rsid w:val="00B84717"/>
    <w:rsid w:val="00B84E8A"/>
    <w:rsid w:val="00B859DF"/>
    <w:rsid w:val="00B85D52"/>
    <w:rsid w:val="00B85D76"/>
    <w:rsid w:val="00B86252"/>
    <w:rsid w:val="00B86426"/>
    <w:rsid w:val="00B8654C"/>
    <w:rsid w:val="00B86805"/>
    <w:rsid w:val="00B8682C"/>
    <w:rsid w:val="00B869A3"/>
    <w:rsid w:val="00B86E35"/>
    <w:rsid w:val="00B8700C"/>
    <w:rsid w:val="00B87394"/>
    <w:rsid w:val="00B8763A"/>
    <w:rsid w:val="00B87AA1"/>
    <w:rsid w:val="00B87AD3"/>
    <w:rsid w:val="00B87DA8"/>
    <w:rsid w:val="00B9037B"/>
    <w:rsid w:val="00B90EFE"/>
    <w:rsid w:val="00B91D8C"/>
    <w:rsid w:val="00B9216E"/>
    <w:rsid w:val="00B921CA"/>
    <w:rsid w:val="00B923BE"/>
    <w:rsid w:val="00B92405"/>
    <w:rsid w:val="00B92941"/>
    <w:rsid w:val="00B92BF8"/>
    <w:rsid w:val="00B93597"/>
    <w:rsid w:val="00B945B8"/>
    <w:rsid w:val="00B95444"/>
    <w:rsid w:val="00B95C17"/>
    <w:rsid w:val="00B95C3B"/>
    <w:rsid w:val="00B96945"/>
    <w:rsid w:val="00B9697C"/>
    <w:rsid w:val="00B97A3B"/>
    <w:rsid w:val="00B97AA1"/>
    <w:rsid w:val="00BA037E"/>
    <w:rsid w:val="00BA1CEE"/>
    <w:rsid w:val="00BA2089"/>
    <w:rsid w:val="00BA2CE2"/>
    <w:rsid w:val="00BA307F"/>
    <w:rsid w:val="00BA36E7"/>
    <w:rsid w:val="00BA4123"/>
    <w:rsid w:val="00BA512D"/>
    <w:rsid w:val="00BA5331"/>
    <w:rsid w:val="00BA5C3F"/>
    <w:rsid w:val="00BA5FB5"/>
    <w:rsid w:val="00BA62D2"/>
    <w:rsid w:val="00BA6B24"/>
    <w:rsid w:val="00BA71B9"/>
    <w:rsid w:val="00BA7CC7"/>
    <w:rsid w:val="00BB016D"/>
    <w:rsid w:val="00BB0818"/>
    <w:rsid w:val="00BB18FC"/>
    <w:rsid w:val="00BB2157"/>
    <w:rsid w:val="00BB22D2"/>
    <w:rsid w:val="00BB27E8"/>
    <w:rsid w:val="00BB2B9B"/>
    <w:rsid w:val="00BB2ED2"/>
    <w:rsid w:val="00BB313F"/>
    <w:rsid w:val="00BB37B4"/>
    <w:rsid w:val="00BB3ACD"/>
    <w:rsid w:val="00BB3EA6"/>
    <w:rsid w:val="00BB49AB"/>
    <w:rsid w:val="00BB51C2"/>
    <w:rsid w:val="00BB5727"/>
    <w:rsid w:val="00BB60A4"/>
    <w:rsid w:val="00BB6946"/>
    <w:rsid w:val="00BB6D68"/>
    <w:rsid w:val="00BB7BA8"/>
    <w:rsid w:val="00BC0498"/>
    <w:rsid w:val="00BC094F"/>
    <w:rsid w:val="00BC21C7"/>
    <w:rsid w:val="00BC2D90"/>
    <w:rsid w:val="00BC3B00"/>
    <w:rsid w:val="00BC3B09"/>
    <w:rsid w:val="00BC3E1B"/>
    <w:rsid w:val="00BC489A"/>
    <w:rsid w:val="00BC4957"/>
    <w:rsid w:val="00BC495D"/>
    <w:rsid w:val="00BC5536"/>
    <w:rsid w:val="00BC78DF"/>
    <w:rsid w:val="00BD017C"/>
    <w:rsid w:val="00BD073A"/>
    <w:rsid w:val="00BD0895"/>
    <w:rsid w:val="00BD1149"/>
    <w:rsid w:val="00BD1A86"/>
    <w:rsid w:val="00BD1F20"/>
    <w:rsid w:val="00BD248A"/>
    <w:rsid w:val="00BD27FB"/>
    <w:rsid w:val="00BD3598"/>
    <w:rsid w:val="00BD3D9D"/>
    <w:rsid w:val="00BD3EE6"/>
    <w:rsid w:val="00BD425C"/>
    <w:rsid w:val="00BD43D5"/>
    <w:rsid w:val="00BD5581"/>
    <w:rsid w:val="00BD58AA"/>
    <w:rsid w:val="00BD5D72"/>
    <w:rsid w:val="00BD5D83"/>
    <w:rsid w:val="00BD5D98"/>
    <w:rsid w:val="00BD6234"/>
    <w:rsid w:val="00BD6BD2"/>
    <w:rsid w:val="00BD6D8F"/>
    <w:rsid w:val="00BD6F09"/>
    <w:rsid w:val="00BD78BF"/>
    <w:rsid w:val="00BD7FA6"/>
    <w:rsid w:val="00BE015F"/>
    <w:rsid w:val="00BE08A8"/>
    <w:rsid w:val="00BE0985"/>
    <w:rsid w:val="00BE098C"/>
    <w:rsid w:val="00BE0A87"/>
    <w:rsid w:val="00BE0CA7"/>
    <w:rsid w:val="00BE0DEC"/>
    <w:rsid w:val="00BE1435"/>
    <w:rsid w:val="00BE1B98"/>
    <w:rsid w:val="00BE2790"/>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DD6"/>
    <w:rsid w:val="00BE7EA4"/>
    <w:rsid w:val="00BF0402"/>
    <w:rsid w:val="00BF0EBD"/>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744"/>
    <w:rsid w:val="00BF67DC"/>
    <w:rsid w:val="00BF680F"/>
    <w:rsid w:val="00BF79B2"/>
    <w:rsid w:val="00BF7AB7"/>
    <w:rsid w:val="00C00423"/>
    <w:rsid w:val="00C00C35"/>
    <w:rsid w:val="00C0112A"/>
    <w:rsid w:val="00C012D0"/>
    <w:rsid w:val="00C015DD"/>
    <w:rsid w:val="00C0171B"/>
    <w:rsid w:val="00C01F17"/>
    <w:rsid w:val="00C02186"/>
    <w:rsid w:val="00C025A9"/>
    <w:rsid w:val="00C02692"/>
    <w:rsid w:val="00C02E33"/>
    <w:rsid w:val="00C03345"/>
    <w:rsid w:val="00C03A5D"/>
    <w:rsid w:val="00C04496"/>
    <w:rsid w:val="00C044E7"/>
    <w:rsid w:val="00C04514"/>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2725"/>
    <w:rsid w:val="00C139FB"/>
    <w:rsid w:val="00C13B7B"/>
    <w:rsid w:val="00C14198"/>
    <w:rsid w:val="00C1470F"/>
    <w:rsid w:val="00C14971"/>
    <w:rsid w:val="00C14A25"/>
    <w:rsid w:val="00C14D62"/>
    <w:rsid w:val="00C14F61"/>
    <w:rsid w:val="00C15121"/>
    <w:rsid w:val="00C1550C"/>
    <w:rsid w:val="00C15BFF"/>
    <w:rsid w:val="00C15CBC"/>
    <w:rsid w:val="00C15E0C"/>
    <w:rsid w:val="00C15E3A"/>
    <w:rsid w:val="00C16363"/>
    <w:rsid w:val="00C16638"/>
    <w:rsid w:val="00C1666E"/>
    <w:rsid w:val="00C17550"/>
    <w:rsid w:val="00C17657"/>
    <w:rsid w:val="00C207D3"/>
    <w:rsid w:val="00C20F38"/>
    <w:rsid w:val="00C214A9"/>
    <w:rsid w:val="00C2152B"/>
    <w:rsid w:val="00C2178C"/>
    <w:rsid w:val="00C21818"/>
    <w:rsid w:val="00C223DA"/>
    <w:rsid w:val="00C227E5"/>
    <w:rsid w:val="00C22E12"/>
    <w:rsid w:val="00C22E73"/>
    <w:rsid w:val="00C2323F"/>
    <w:rsid w:val="00C2336D"/>
    <w:rsid w:val="00C2394B"/>
    <w:rsid w:val="00C23F0C"/>
    <w:rsid w:val="00C240E7"/>
    <w:rsid w:val="00C24DE9"/>
    <w:rsid w:val="00C24F57"/>
    <w:rsid w:val="00C25035"/>
    <w:rsid w:val="00C253CB"/>
    <w:rsid w:val="00C25409"/>
    <w:rsid w:val="00C25751"/>
    <w:rsid w:val="00C25D0E"/>
    <w:rsid w:val="00C26996"/>
    <w:rsid w:val="00C3059A"/>
    <w:rsid w:val="00C30D66"/>
    <w:rsid w:val="00C30DFD"/>
    <w:rsid w:val="00C31368"/>
    <w:rsid w:val="00C3140D"/>
    <w:rsid w:val="00C3152E"/>
    <w:rsid w:val="00C31589"/>
    <w:rsid w:val="00C31D34"/>
    <w:rsid w:val="00C32C3B"/>
    <w:rsid w:val="00C33902"/>
    <w:rsid w:val="00C33C71"/>
    <w:rsid w:val="00C33FF8"/>
    <w:rsid w:val="00C340A7"/>
    <w:rsid w:val="00C342D9"/>
    <w:rsid w:val="00C34567"/>
    <w:rsid w:val="00C34A11"/>
    <w:rsid w:val="00C35817"/>
    <w:rsid w:val="00C37C38"/>
    <w:rsid w:val="00C407EB"/>
    <w:rsid w:val="00C41612"/>
    <w:rsid w:val="00C41720"/>
    <w:rsid w:val="00C41DCD"/>
    <w:rsid w:val="00C41F35"/>
    <w:rsid w:val="00C4333A"/>
    <w:rsid w:val="00C43DBF"/>
    <w:rsid w:val="00C44257"/>
    <w:rsid w:val="00C442E5"/>
    <w:rsid w:val="00C4439A"/>
    <w:rsid w:val="00C44495"/>
    <w:rsid w:val="00C44549"/>
    <w:rsid w:val="00C447F3"/>
    <w:rsid w:val="00C44E1A"/>
    <w:rsid w:val="00C45321"/>
    <w:rsid w:val="00C45939"/>
    <w:rsid w:val="00C45A43"/>
    <w:rsid w:val="00C46D05"/>
    <w:rsid w:val="00C4700D"/>
    <w:rsid w:val="00C47032"/>
    <w:rsid w:val="00C47EB6"/>
    <w:rsid w:val="00C50857"/>
    <w:rsid w:val="00C50912"/>
    <w:rsid w:val="00C512BA"/>
    <w:rsid w:val="00C51C7D"/>
    <w:rsid w:val="00C52124"/>
    <w:rsid w:val="00C52148"/>
    <w:rsid w:val="00C52651"/>
    <w:rsid w:val="00C52A9B"/>
    <w:rsid w:val="00C54D25"/>
    <w:rsid w:val="00C54DC7"/>
    <w:rsid w:val="00C555AC"/>
    <w:rsid w:val="00C55879"/>
    <w:rsid w:val="00C55B12"/>
    <w:rsid w:val="00C55DC7"/>
    <w:rsid w:val="00C56F11"/>
    <w:rsid w:val="00C572CA"/>
    <w:rsid w:val="00C57433"/>
    <w:rsid w:val="00C5758B"/>
    <w:rsid w:val="00C575DA"/>
    <w:rsid w:val="00C57B9E"/>
    <w:rsid w:val="00C600A9"/>
    <w:rsid w:val="00C6019A"/>
    <w:rsid w:val="00C603EE"/>
    <w:rsid w:val="00C6044B"/>
    <w:rsid w:val="00C6213F"/>
    <w:rsid w:val="00C621F6"/>
    <w:rsid w:val="00C62606"/>
    <w:rsid w:val="00C627BA"/>
    <w:rsid w:val="00C62DC7"/>
    <w:rsid w:val="00C63052"/>
    <w:rsid w:val="00C63709"/>
    <w:rsid w:val="00C6491F"/>
    <w:rsid w:val="00C652A7"/>
    <w:rsid w:val="00C65925"/>
    <w:rsid w:val="00C65BC0"/>
    <w:rsid w:val="00C66977"/>
    <w:rsid w:val="00C67C9A"/>
    <w:rsid w:val="00C67E0E"/>
    <w:rsid w:val="00C7005C"/>
    <w:rsid w:val="00C700E6"/>
    <w:rsid w:val="00C703EA"/>
    <w:rsid w:val="00C7054A"/>
    <w:rsid w:val="00C70854"/>
    <w:rsid w:val="00C70863"/>
    <w:rsid w:val="00C708CE"/>
    <w:rsid w:val="00C70C02"/>
    <w:rsid w:val="00C70CAD"/>
    <w:rsid w:val="00C7116A"/>
    <w:rsid w:val="00C711E6"/>
    <w:rsid w:val="00C724FC"/>
    <w:rsid w:val="00C725BB"/>
    <w:rsid w:val="00C728D2"/>
    <w:rsid w:val="00C72BE7"/>
    <w:rsid w:val="00C73900"/>
    <w:rsid w:val="00C73965"/>
    <w:rsid w:val="00C739AA"/>
    <w:rsid w:val="00C73CC5"/>
    <w:rsid w:val="00C749EE"/>
    <w:rsid w:val="00C74A3B"/>
    <w:rsid w:val="00C74CBA"/>
    <w:rsid w:val="00C75386"/>
    <w:rsid w:val="00C75CFE"/>
    <w:rsid w:val="00C75E42"/>
    <w:rsid w:val="00C76773"/>
    <w:rsid w:val="00C76B88"/>
    <w:rsid w:val="00C76BCA"/>
    <w:rsid w:val="00C76C5B"/>
    <w:rsid w:val="00C76DE8"/>
    <w:rsid w:val="00C770C9"/>
    <w:rsid w:val="00C77153"/>
    <w:rsid w:val="00C77293"/>
    <w:rsid w:val="00C77A59"/>
    <w:rsid w:val="00C80E2C"/>
    <w:rsid w:val="00C81350"/>
    <w:rsid w:val="00C81767"/>
    <w:rsid w:val="00C826E2"/>
    <w:rsid w:val="00C82C8D"/>
    <w:rsid w:val="00C82E5F"/>
    <w:rsid w:val="00C8339F"/>
    <w:rsid w:val="00C83445"/>
    <w:rsid w:val="00C85D14"/>
    <w:rsid w:val="00C85D9F"/>
    <w:rsid w:val="00C86201"/>
    <w:rsid w:val="00C86F31"/>
    <w:rsid w:val="00C875A9"/>
    <w:rsid w:val="00C87E0E"/>
    <w:rsid w:val="00C90299"/>
    <w:rsid w:val="00C90378"/>
    <w:rsid w:val="00C9061E"/>
    <w:rsid w:val="00C918DF"/>
    <w:rsid w:val="00C91C80"/>
    <w:rsid w:val="00C920DB"/>
    <w:rsid w:val="00C923C6"/>
    <w:rsid w:val="00C92525"/>
    <w:rsid w:val="00C92746"/>
    <w:rsid w:val="00C9317D"/>
    <w:rsid w:val="00C9329C"/>
    <w:rsid w:val="00C93411"/>
    <w:rsid w:val="00C93A4A"/>
    <w:rsid w:val="00C940CD"/>
    <w:rsid w:val="00C9614C"/>
    <w:rsid w:val="00C96331"/>
    <w:rsid w:val="00C970DC"/>
    <w:rsid w:val="00C97B58"/>
    <w:rsid w:val="00CA00EE"/>
    <w:rsid w:val="00CA1D81"/>
    <w:rsid w:val="00CA2663"/>
    <w:rsid w:val="00CA2942"/>
    <w:rsid w:val="00CA309D"/>
    <w:rsid w:val="00CA3340"/>
    <w:rsid w:val="00CA3F64"/>
    <w:rsid w:val="00CA4F13"/>
    <w:rsid w:val="00CA4F24"/>
    <w:rsid w:val="00CA54D4"/>
    <w:rsid w:val="00CA55CD"/>
    <w:rsid w:val="00CA57A7"/>
    <w:rsid w:val="00CA5D66"/>
    <w:rsid w:val="00CA6329"/>
    <w:rsid w:val="00CA634C"/>
    <w:rsid w:val="00CA654E"/>
    <w:rsid w:val="00CA70D1"/>
    <w:rsid w:val="00CB02DD"/>
    <w:rsid w:val="00CB11EA"/>
    <w:rsid w:val="00CB1931"/>
    <w:rsid w:val="00CB193F"/>
    <w:rsid w:val="00CB1D9E"/>
    <w:rsid w:val="00CB26FD"/>
    <w:rsid w:val="00CB2B4A"/>
    <w:rsid w:val="00CB2C16"/>
    <w:rsid w:val="00CB336D"/>
    <w:rsid w:val="00CB355F"/>
    <w:rsid w:val="00CB3AE5"/>
    <w:rsid w:val="00CB3C6C"/>
    <w:rsid w:val="00CB3CFB"/>
    <w:rsid w:val="00CB560A"/>
    <w:rsid w:val="00CB5ADD"/>
    <w:rsid w:val="00CB6815"/>
    <w:rsid w:val="00CB6F0A"/>
    <w:rsid w:val="00CB7E44"/>
    <w:rsid w:val="00CC032B"/>
    <w:rsid w:val="00CC0372"/>
    <w:rsid w:val="00CC03A1"/>
    <w:rsid w:val="00CC06C3"/>
    <w:rsid w:val="00CC0AB2"/>
    <w:rsid w:val="00CC0BFF"/>
    <w:rsid w:val="00CC0CDE"/>
    <w:rsid w:val="00CC167F"/>
    <w:rsid w:val="00CC16C1"/>
    <w:rsid w:val="00CC1F22"/>
    <w:rsid w:val="00CC1F8B"/>
    <w:rsid w:val="00CC23A4"/>
    <w:rsid w:val="00CC23FC"/>
    <w:rsid w:val="00CC2691"/>
    <w:rsid w:val="00CC3E13"/>
    <w:rsid w:val="00CC3EAC"/>
    <w:rsid w:val="00CC411F"/>
    <w:rsid w:val="00CC4187"/>
    <w:rsid w:val="00CC41E4"/>
    <w:rsid w:val="00CC4244"/>
    <w:rsid w:val="00CC429D"/>
    <w:rsid w:val="00CC4A50"/>
    <w:rsid w:val="00CC4F38"/>
    <w:rsid w:val="00CC566B"/>
    <w:rsid w:val="00CC58D7"/>
    <w:rsid w:val="00CC5C32"/>
    <w:rsid w:val="00CC5FEB"/>
    <w:rsid w:val="00CC67D2"/>
    <w:rsid w:val="00CC7477"/>
    <w:rsid w:val="00CC7A79"/>
    <w:rsid w:val="00CD0A47"/>
    <w:rsid w:val="00CD11DB"/>
    <w:rsid w:val="00CD167D"/>
    <w:rsid w:val="00CD1999"/>
    <w:rsid w:val="00CD1DC8"/>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71D"/>
    <w:rsid w:val="00CD7818"/>
    <w:rsid w:val="00CE020D"/>
    <w:rsid w:val="00CE0BE7"/>
    <w:rsid w:val="00CE27A1"/>
    <w:rsid w:val="00CE2E6C"/>
    <w:rsid w:val="00CE33B5"/>
    <w:rsid w:val="00CE3882"/>
    <w:rsid w:val="00CE43A6"/>
    <w:rsid w:val="00CE43D6"/>
    <w:rsid w:val="00CE47D1"/>
    <w:rsid w:val="00CE5276"/>
    <w:rsid w:val="00CE543E"/>
    <w:rsid w:val="00CE5615"/>
    <w:rsid w:val="00CE5B15"/>
    <w:rsid w:val="00CE5B45"/>
    <w:rsid w:val="00CE5F2D"/>
    <w:rsid w:val="00CE6022"/>
    <w:rsid w:val="00CE613B"/>
    <w:rsid w:val="00CE6153"/>
    <w:rsid w:val="00CE6520"/>
    <w:rsid w:val="00CE65F9"/>
    <w:rsid w:val="00CE6E68"/>
    <w:rsid w:val="00CE70A4"/>
    <w:rsid w:val="00CE76C6"/>
    <w:rsid w:val="00CF077C"/>
    <w:rsid w:val="00CF1066"/>
    <w:rsid w:val="00CF1887"/>
    <w:rsid w:val="00CF2324"/>
    <w:rsid w:val="00CF24A5"/>
    <w:rsid w:val="00CF2506"/>
    <w:rsid w:val="00CF2951"/>
    <w:rsid w:val="00CF2D83"/>
    <w:rsid w:val="00CF2E90"/>
    <w:rsid w:val="00CF342B"/>
    <w:rsid w:val="00CF3B93"/>
    <w:rsid w:val="00CF4665"/>
    <w:rsid w:val="00CF5ACB"/>
    <w:rsid w:val="00CF6111"/>
    <w:rsid w:val="00CF670D"/>
    <w:rsid w:val="00CF6A46"/>
    <w:rsid w:val="00CF6E11"/>
    <w:rsid w:val="00CF6F87"/>
    <w:rsid w:val="00CF7016"/>
    <w:rsid w:val="00CF74CB"/>
    <w:rsid w:val="00CF7C58"/>
    <w:rsid w:val="00CF7E8C"/>
    <w:rsid w:val="00D015A1"/>
    <w:rsid w:val="00D01AA2"/>
    <w:rsid w:val="00D01BF1"/>
    <w:rsid w:val="00D01CE3"/>
    <w:rsid w:val="00D0266B"/>
    <w:rsid w:val="00D02923"/>
    <w:rsid w:val="00D031F6"/>
    <w:rsid w:val="00D03600"/>
    <w:rsid w:val="00D0383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8D6"/>
    <w:rsid w:val="00D07A40"/>
    <w:rsid w:val="00D07DA8"/>
    <w:rsid w:val="00D07E5F"/>
    <w:rsid w:val="00D10B14"/>
    <w:rsid w:val="00D10CD4"/>
    <w:rsid w:val="00D12435"/>
    <w:rsid w:val="00D140DB"/>
    <w:rsid w:val="00D1585D"/>
    <w:rsid w:val="00D1648D"/>
    <w:rsid w:val="00D174C8"/>
    <w:rsid w:val="00D17816"/>
    <w:rsid w:val="00D17985"/>
    <w:rsid w:val="00D17C7A"/>
    <w:rsid w:val="00D20486"/>
    <w:rsid w:val="00D20879"/>
    <w:rsid w:val="00D20BD0"/>
    <w:rsid w:val="00D211FB"/>
    <w:rsid w:val="00D21580"/>
    <w:rsid w:val="00D225D0"/>
    <w:rsid w:val="00D24B57"/>
    <w:rsid w:val="00D24BDD"/>
    <w:rsid w:val="00D24E4F"/>
    <w:rsid w:val="00D2531F"/>
    <w:rsid w:val="00D26B5C"/>
    <w:rsid w:val="00D26BD8"/>
    <w:rsid w:val="00D2718C"/>
    <w:rsid w:val="00D27792"/>
    <w:rsid w:val="00D278F2"/>
    <w:rsid w:val="00D27AB3"/>
    <w:rsid w:val="00D27CC8"/>
    <w:rsid w:val="00D27E4A"/>
    <w:rsid w:val="00D30997"/>
    <w:rsid w:val="00D3171A"/>
    <w:rsid w:val="00D32298"/>
    <w:rsid w:val="00D322E3"/>
    <w:rsid w:val="00D32610"/>
    <w:rsid w:val="00D329C7"/>
    <w:rsid w:val="00D32AB9"/>
    <w:rsid w:val="00D32BE0"/>
    <w:rsid w:val="00D34121"/>
    <w:rsid w:val="00D34217"/>
    <w:rsid w:val="00D34686"/>
    <w:rsid w:val="00D34746"/>
    <w:rsid w:val="00D3477A"/>
    <w:rsid w:val="00D356C0"/>
    <w:rsid w:val="00D35A2D"/>
    <w:rsid w:val="00D35A9C"/>
    <w:rsid w:val="00D369E3"/>
    <w:rsid w:val="00D36B12"/>
    <w:rsid w:val="00D3700B"/>
    <w:rsid w:val="00D37399"/>
    <w:rsid w:val="00D3765C"/>
    <w:rsid w:val="00D37B9B"/>
    <w:rsid w:val="00D40646"/>
    <w:rsid w:val="00D40753"/>
    <w:rsid w:val="00D4079C"/>
    <w:rsid w:val="00D41053"/>
    <w:rsid w:val="00D41160"/>
    <w:rsid w:val="00D41210"/>
    <w:rsid w:val="00D4202C"/>
    <w:rsid w:val="00D420B0"/>
    <w:rsid w:val="00D4231D"/>
    <w:rsid w:val="00D429BC"/>
    <w:rsid w:val="00D42C21"/>
    <w:rsid w:val="00D43CC2"/>
    <w:rsid w:val="00D4459E"/>
    <w:rsid w:val="00D44745"/>
    <w:rsid w:val="00D44766"/>
    <w:rsid w:val="00D44F97"/>
    <w:rsid w:val="00D455A1"/>
    <w:rsid w:val="00D45756"/>
    <w:rsid w:val="00D45CEA"/>
    <w:rsid w:val="00D46A5D"/>
    <w:rsid w:val="00D47243"/>
    <w:rsid w:val="00D50089"/>
    <w:rsid w:val="00D5013A"/>
    <w:rsid w:val="00D50ED4"/>
    <w:rsid w:val="00D50ED5"/>
    <w:rsid w:val="00D51195"/>
    <w:rsid w:val="00D514E5"/>
    <w:rsid w:val="00D5182F"/>
    <w:rsid w:val="00D519E7"/>
    <w:rsid w:val="00D5394B"/>
    <w:rsid w:val="00D53B88"/>
    <w:rsid w:val="00D53CE4"/>
    <w:rsid w:val="00D55054"/>
    <w:rsid w:val="00D5565F"/>
    <w:rsid w:val="00D55EC3"/>
    <w:rsid w:val="00D560FA"/>
    <w:rsid w:val="00D56330"/>
    <w:rsid w:val="00D56CE8"/>
    <w:rsid w:val="00D5738F"/>
    <w:rsid w:val="00D574C6"/>
    <w:rsid w:val="00D601A6"/>
    <w:rsid w:val="00D601AD"/>
    <w:rsid w:val="00D6022E"/>
    <w:rsid w:val="00D614E0"/>
    <w:rsid w:val="00D61B6E"/>
    <w:rsid w:val="00D623D5"/>
    <w:rsid w:val="00D6328E"/>
    <w:rsid w:val="00D634BA"/>
    <w:rsid w:val="00D63907"/>
    <w:rsid w:val="00D639D5"/>
    <w:rsid w:val="00D654C9"/>
    <w:rsid w:val="00D65535"/>
    <w:rsid w:val="00D6590D"/>
    <w:rsid w:val="00D65DB7"/>
    <w:rsid w:val="00D65E98"/>
    <w:rsid w:val="00D65EF4"/>
    <w:rsid w:val="00D6666C"/>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28F"/>
    <w:rsid w:val="00D733C7"/>
    <w:rsid w:val="00D73491"/>
    <w:rsid w:val="00D73C75"/>
    <w:rsid w:val="00D73D6E"/>
    <w:rsid w:val="00D740B9"/>
    <w:rsid w:val="00D747A6"/>
    <w:rsid w:val="00D7494B"/>
    <w:rsid w:val="00D74B24"/>
    <w:rsid w:val="00D756F6"/>
    <w:rsid w:val="00D7594C"/>
    <w:rsid w:val="00D766EA"/>
    <w:rsid w:val="00D769F5"/>
    <w:rsid w:val="00D76B25"/>
    <w:rsid w:val="00D76FFD"/>
    <w:rsid w:val="00D775B8"/>
    <w:rsid w:val="00D77AE1"/>
    <w:rsid w:val="00D8025F"/>
    <w:rsid w:val="00D80729"/>
    <w:rsid w:val="00D80A3B"/>
    <w:rsid w:val="00D80CB2"/>
    <w:rsid w:val="00D80D8F"/>
    <w:rsid w:val="00D80F76"/>
    <w:rsid w:val="00D8184E"/>
    <w:rsid w:val="00D82060"/>
    <w:rsid w:val="00D82081"/>
    <w:rsid w:val="00D822C7"/>
    <w:rsid w:val="00D826A7"/>
    <w:rsid w:val="00D82B31"/>
    <w:rsid w:val="00D82F10"/>
    <w:rsid w:val="00D831F2"/>
    <w:rsid w:val="00D83387"/>
    <w:rsid w:val="00D83E2C"/>
    <w:rsid w:val="00D84743"/>
    <w:rsid w:val="00D84ACB"/>
    <w:rsid w:val="00D84CEE"/>
    <w:rsid w:val="00D85196"/>
    <w:rsid w:val="00D85B60"/>
    <w:rsid w:val="00D86E7D"/>
    <w:rsid w:val="00D8751D"/>
    <w:rsid w:val="00D90C5A"/>
    <w:rsid w:val="00D90C72"/>
    <w:rsid w:val="00D91DE3"/>
    <w:rsid w:val="00D92270"/>
    <w:rsid w:val="00D925C2"/>
    <w:rsid w:val="00D927A0"/>
    <w:rsid w:val="00D93276"/>
    <w:rsid w:val="00D93B24"/>
    <w:rsid w:val="00D93B7C"/>
    <w:rsid w:val="00D946E2"/>
    <w:rsid w:val="00D959D1"/>
    <w:rsid w:val="00D95DD0"/>
    <w:rsid w:val="00D965A0"/>
    <w:rsid w:val="00D965C3"/>
    <w:rsid w:val="00D96D5A"/>
    <w:rsid w:val="00D975BD"/>
    <w:rsid w:val="00D977BB"/>
    <w:rsid w:val="00D97DB1"/>
    <w:rsid w:val="00DA03CE"/>
    <w:rsid w:val="00DA0C36"/>
    <w:rsid w:val="00DA12E2"/>
    <w:rsid w:val="00DA16C1"/>
    <w:rsid w:val="00DA185A"/>
    <w:rsid w:val="00DA1E8E"/>
    <w:rsid w:val="00DA1FE9"/>
    <w:rsid w:val="00DA32F2"/>
    <w:rsid w:val="00DA458D"/>
    <w:rsid w:val="00DA4B28"/>
    <w:rsid w:val="00DA51F0"/>
    <w:rsid w:val="00DA592B"/>
    <w:rsid w:val="00DA6277"/>
    <w:rsid w:val="00DA689A"/>
    <w:rsid w:val="00DA68B0"/>
    <w:rsid w:val="00DA7391"/>
    <w:rsid w:val="00DA79DD"/>
    <w:rsid w:val="00DB0147"/>
    <w:rsid w:val="00DB0FDF"/>
    <w:rsid w:val="00DB0FEC"/>
    <w:rsid w:val="00DB1138"/>
    <w:rsid w:val="00DB11F3"/>
    <w:rsid w:val="00DB13D7"/>
    <w:rsid w:val="00DB1FA2"/>
    <w:rsid w:val="00DB236E"/>
    <w:rsid w:val="00DB29CA"/>
    <w:rsid w:val="00DB2C8F"/>
    <w:rsid w:val="00DB3479"/>
    <w:rsid w:val="00DB3D5C"/>
    <w:rsid w:val="00DB3EBA"/>
    <w:rsid w:val="00DB3F3C"/>
    <w:rsid w:val="00DB4127"/>
    <w:rsid w:val="00DB4442"/>
    <w:rsid w:val="00DB4A3B"/>
    <w:rsid w:val="00DB4BCA"/>
    <w:rsid w:val="00DB5AAA"/>
    <w:rsid w:val="00DB5B28"/>
    <w:rsid w:val="00DB6C05"/>
    <w:rsid w:val="00DB7579"/>
    <w:rsid w:val="00DB7843"/>
    <w:rsid w:val="00DB7D21"/>
    <w:rsid w:val="00DB7DE0"/>
    <w:rsid w:val="00DC016F"/>
    <w:rsid w:val="00DC02C2"/>
    <w:rsid w:val="00DC07AE"/>
    <w:rsid w:val="00DC0B4B"/>
    <w:rsid w:val="00DC12F1"/>
    <w:rsid w:val="00DC1C9B"/>
    <w:rsid w:val="00DC1F7F"/>
    <w:rsid w:val="00DC280D"/>
    <w:rsid w:val="00DC2D9B"/>
    <w:rsid w:val="00DC31AA"/>
    <w:rsid w:val="00DC34BF"/>
    <w:rsid w:val="00DC3886"/>
    <w:rsid w:val="00DC40BE"/>
    <w:rsid w:val="00DC5501"/>
    <w:rsid w:val="00DC5BC0"/>
    <w:rsid w:val="00DC5E33"/>
    <w:rsid w:val="00DC648D"/>
    <w:rsid w:val="00DC6AE0"/>
    <w:rsid w:val="00DC6AF7"/>
    <w:rsid w:val="00DC731C"/>
    <w:rsid w:val="00DD0128"/>
    <w:rsid w:val="00DD140F"/>
    <w:rsid w:val="00DD157B"/>
    <w:rsid w:val="00DD1CBF"/>
    <w:rsid w:val="00DD2426"/>
    <w:rsid w:val="00DD37FA"/>
    <w:rsid w:val="00DD3FE0"/>
    <w:rsid w:val="00DD4643"/>
    <w:rsid w:val="00DD4801"/>
    <w:rsid w:val="00DD4CC8"/>
    <w:rsid w:val="00DD5186"/>
    <w:rsid w:val="00DD524F"/>
    <w:rsid w:val="00DD53AF"/>
    <w:rsid w:val="00DD5A96"/>
    <w:rsid w:val="00DD5B68"/>
    <w:rsid w:val="00DD6B76"/>
    <w:rsid w:val="00DD7226"/>
    <w:rsid w:val="00DD7FC7"/>
    <w:rsid w:val="00DE0380"/>
    <w:rsid w:val="00DE0675"/>
    <w:rsid w:val="00DE098D"/>
    <w:rsid w:val="00DE1DC8"/>
    <w:rsid w:val="00DE249D"/>
    <w:rsid w:val="00DE395F"/>
    <w:rsid w:val="00DE4EC9"/>
    <w:rsid w:val="00DE5323"/>
    <w:rsid w:val="00DE5E1B"/>
    <w:rsid w:val="00DE647E"/>
    <w:rsid w:val="00DE64C0"/>
    <w:rsid w:val="00DE68D1"/>
    <w:rsid w:val="00DE6953"/>
    <w:rsid w:val="00DE7FE8"/>
    <w:rsid w:val="00DF0A8D"/>
    <w:rsid w:val="00DF1505"/>
    <w:rsid w:val="00DF1612"/>
    <w:rsid w:val="00DF2297"/>
    <w:rsid w:val="00DF2580"/>
    <w:rsid w:val="00DF2BBB"/>
    <w:rsid w:val="00DF39D8"/>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80C"/>
    <w:rsid w:val="00DF6D4F"/>
    <w:rsid w:val="00DF7499"/>
    <w:rsid w:val="00DF7951"/>
    <w:rsid w:val="00DF7FAA"/>
    <w:rsid w:val="00E0021A"/>
    <w:rsid w:val="00E00696"/>
    <w:rsid w:val="00E006A8"/>
    <w:rsid w:val="00E00849"/>
    <w:rsid w:val="00E008A5"/>
    <w:rsid w:val="00E00D1E"/>
    <w:rsid w:val="00E012C7"/>
    <w:rsid w:val="00E01454"/>
    <w:rsid w:val="00E018B7"/>
    <w:rsid w:val="00E01CBE"/>
    <w:rsid w:val="00E029C7"/>
    <w:rsid w:val="00E02EAB"/>
    <w:rsid w:val="00E036AE"/>
    <w:rsid w:val="00E04646"/>
    <w:rsid w:val="00E04BD1"/>
    <w:rsid w:val="00E04BE6"/>
    <w:rsid w:val="00E04CCA"/>
    <w:rsid w:val="00E05421"/>
    <w:rsid w:val="00E05D64"/>
    <w:rsid w:val="00E06717"/>
    <w:rsid w:val="00E06894"/>
    <w:rsid w:val="00E06E05"/>
    <w:rsid w:val="00E07419"/>
    <w:rsid w:val="00E07E44"/>
    <w:rsid w:val="00E101E5"/>
    <w:rsid w:val="00E10FD9"/>
    <w:rsid w:val="00E11643"/>
    <w:rsid w:val="00E118AF"/>
    <w:rsid w:val="00E12AAB"/>
    <w:rsid w:val="00E132D0"/>
    <w:rsid w:val="00E13433"/>
    <w:rsid w:val="00E13E01"/>
    <w:rsid w:val="00E14316"/>
    <w:rsid w:val="00E15740"/>
    <w:rsid w:val="00E157A0"/>
    <w:rsid w:val="00E16133"/>
    <w:rsid w:val="00E167A8"/>
    <w:rsid w:val="00E16B83"/>
    <w:rsid w:val="00E203CF"/>
    <w:rsid w:val="00E20B45"/>
    <w:rsid w:val="00E21498"/>
    <w:rsid w:val="00E217A7"/>
    <w:rsid w:val="00E22BF6"/>
    <w:rsid w:val="00E22D1A"/>
    <w:rsid w:val="00E2304D"/>
    <w:rsid w:val="00E232CE"/>
    <w:rsid w:val="00E237D2"/>
    <w:rsid w:val="00E238E1"/>
    <w:rsid w:val="00E24063"/>
    <w:rsid w:val="00E24994"/>
    <w:rsid w:val="00E25653"/>
    <w:rsid w:val="00E25BBF"/>
    <w:rsid w:val="00E26D6A"/>
    <w:rsid w:val="00E26EE5"/>
    <w:rsid w:val="00E27AD1"/>
    <w:rsid w:val="00E30BB9"/>
    <w:rsid w:val="00E30BC0"/>
    <w:rsid w:val="00E30CB2"/>
    <w:rsid w:val="00E30DCB"/>
    <w:rsid w:val="00E30E69"/>
    <w:rsid w:val="00E32974"/>
    <w:rsid w:val="00E32AF9"/>
    <w:rsid w:val="00E331EB"/>
    <w:rsid w:val="00E33668"/>
    <w:rsid w:val="00E34212"/>
    <w:rsid w:val="00E34ECB"/>
    <w:rsid w:val="00E34F7F"/>
    <w:rsid w:val="00E35046"/>
    <w:rsid w:val="00E351F2"/>
    <w:rsid w:val="00E35708"/>
    <w:rsid w:val="00E35BC6"/>
    <w:rsid w:val="00E362E6"/>
    <w:rsid w:val="00E36771"/>
    <w:rsid w:val="00E36F12"/>
    <w:rsid w:val="00E37410"/>
    <w:rsid w:val="00E37D60"/>
    <w:rsid w:val="00E40300"/>
    <w:rsid w:val="00E40D50"/>
    <w:rsid w:val="00E41A4B"/>
    <w:rsid w:val="00E42374"/>
    <w:rsid w:val="00E43201"/>
    <w:rsid w:val="00E435CC"/>
    <w:rsid w:val="00E438F3"/>
    <w:rsid w:val="00E439BD"/>
    <w:rsid w:val="00E43A3F"/>
    <w:rsid w:val="00E43EA5"/>
    <w:rsid w:val="00E43FDA"/>
    <w:rsid w:val="00E44387"/>
    <w:rsid w:val="00E45AFF"/>
    <w:rsid w:val="00E46284"/>
    <w:rsid w:val="00E46A9E"/>
    <w:rsid w:val="00E46F3E"/>
    <w:rsid w:val="00E477A8"/>
    <w:rsid w:val="00E47B32"/>
    <w:rsid w:val="00E47BBB"/>
    <w:rsid w:val="00E500F7"/>
    <w:rsid w:val="00E5039A"/>
    <w:rsid w:val="00E504C2"/>
    <w:rsid w:val="00E505CE"/>
    <w:rsid w:val="00E50BFD"/>
    <w:rsid w:val="00E50D70"/>
    <w:rsid w:val="00E51AB8"/>
    <w:rsid w:val="00E52000"/>
    <w:rsid w:val="00E527DC"/>
    <w:rsid w:val="00E52BE5"/>
    <w:rsid w:val="00E53360"/>
    <w:rsid w:val="00E5382D"/>
    <w:rsid w:val="00E543D8"/>
    <w:rsid w:val="00E549BF"/>
    <w:rsid w:val="00E54CE0"/>
    <w:rsid w:val="00E550E3"/>
    <w:rsid w:val="00E55246"/>
    <w:rsid w:val="00E5549E"/>
    <w:rsid w:val="00E55966"/>
    <w:rsid w:val="00E56882"/>
    <w:rsid w:val="00E56C45"/>
    <w:rsid w:val="00E56D16"/>
    <w:rsid w:val="00E5709D"/>
    <w:rsid w:val="00E573B2"/>
    <w:rsid w:val="00E5750F"/>
    <w:rsid w:val="00E57828"/>
    <w:rsid w:val="00E57CB4"/>
    <w:rsid w:val="00E57CED"/>
    <w:rsid w:val="00E60091"/>
    <w:rsid w:val="00E6045A"/>
    <w:rsid w:val="00E604F1"/>
    <w:rsid w:val="00E6056B"/>
    <w:rsid w:val="00E61120"/>
    <w:rsid w:val="00E61946"/>
    <w:rsid w:val="00E619DB"/>
    <w:rsid w:val="00E625F8"/>
    <w:rsid w:val="00E627A2"/>
    <w:rsid w:val="00E62B48"/>
    <w:rsid w:val="00E62BAE"/>
    <w:rsid w:val="00E6377C"/>
    <w:rsid w:val="00E64084"/>
    <w:rsid w:val="00E640CB"/>
    <w:rsid w:val="00E64385"/>
    <w:rsid w:val="00E64C65"/>
    <w:rsid w:val="00E64F9D"/>
    <w:rsid w:val="00E65721"/>
    <w:rsid w:val="00E663FA"/>
    <w:rsid w:val="00E66C9A"/>
    <w:rsid w:val="00E66E4C"/>
    <w:rsid w:val="00E66EA0"/>
    <w:rsid w:val="00E67221"/>
    <w:rsid w:val="00E679D1"/>
    <w:rsid w:val="00E700B1"/>
    <w:rsid w:val="00E7018D"/>
    <w:rsid w:val="00E701A3"/>
    <w:rsid w:val="00E7048F"/>
    <w:rsid w:val="00E70823"/>
    <w:rsid w:val="00E7180F"/>
    <w:rsid w:val="00E71DD9"/>
    <w:rsid w:val="00E72090"/>
    <w:rsid w:val="00E721FF"/>
    <w:rsid w:val="00E72983"/>
    <w:rsid w:val="00E73EE7"/>
    <w:rsid w:val="00E74268"/>
    <w:rsid w:val="00E747AC"/>
    <w:rsid w:val="00E74B40"/>
    <w:rsid w:val="00E763F8"/>
    <w:rsid w:val="00E768CA"/>
    <w:rsid w:val="00E770F8"/>
    <w:rsid w:val="00E77111"/>
    <w:rsid w:val="00E771C7"/>
    <w:rsid w:val="00E775DC"/>
    <w:rsid w:val="00E80442"/>
    <w:rsid w:val="00E809D3"/>
    <w:rsid w:val="00E80BAC"/>
    <w:rsid w:val="00E81B45"/>
    <w:rsid w:val="00E821C4"/>
    <w:rsid w:val="00E82BAD"/>
    <w:rsid w:val="00E8300E"/>
    <w:rsid w:val="00E83142"/>
    <w:rsid w:val="00E83203"/>
    <w:rsid w:val="00E83A3D"/>
    <w:rsid w:val="00E84848"/>
    <w:rsid w:val="00E85044"/>
    <w:rsid w:val="00E85536"/>
    <w:rsid w:val="00E85BBE"/>
    <w:rsid w:val="00E85C8C"/>
    <w:rsid w:val="00E86F56"/>
    <w:rsid w:val="00E87990"/>
    <w:rsid w:val="00E87C47"/>
    <w:rsid w:val="00E9120D"/>
    <w:rsid w:val="00E91609"/>
    <w:rsid w:val="00E91968"/>
    <w:rsid w:val="00E91BE0"/>
    <w:rsid w:val="00E91F44"/>
    <w:rsid w:val="00E926DD"/>
    <w:rsid w:val="00E92716"/>
    <w:rsid w:val="00E92B20"/>
    <w:rsid w:val="00E9360B"/>
    <w:rsid w:val="00E945AF"/>
    <w:rsid w:val="00E94733"/>
    <w:rsid w:val="00E94C09"/>
    <w:rsid w:val="00E94E78"/>
    <w:rsid w:val="00E951C4"/>
    <w:rsid w:val="00E95329"/>
    <w:rsid w:val="00E9598B"/>
    <w:rsid w:val="00E95E5F"/>
    <w:rsid w:val="00E95F6C"/>
    <w:rsid w:val="00E96091"/>
    <w:rsid w:val="00E9646D"/>
    <w:rsid w:val="00E96B3B"/>
    <w:rsid w:val="00E97533"/>
    <w:rsid w:val="00EA0946"/>
    <w:rsid w:val="00EA0C69"/>
    <w:rsid w:val="00EA158B"/>
    <w:rsid w:val="00EA1872"/>
    <w:rsid w:val="00EA1D2D"/>
    <w:rsid w:val="00EA1FE3"/>
    <w:rsid w:val="00EA2252"/>
    <w:rsid w:val="00EA32BF"/>
    <w:rsid w:val="00EA3669"/>
    <w:rsid w:val="00EA3D03"/>
    <w:rsid w:val="00EA3DCB"/>
    <w:rsid w:val="00EA3E4F"/>
    <w:rsid w:val="00EA5803"/>
    <w:rsid w:val="00EA60BD"/>
    <w:rsid w:val="00EA6368"/>
    <w:rsid w:val="00EA6AC7"/>
    <w:rsid w:val="00EA6BFB"/>
    <w:rsid w:val="00EA6E2D"/>
    <w:rsid w:val="00EA711D"/>
    <w:rsid w:val="00EA78D6"/>
    <w:rsid w:val="00EA7EC5"/>
    <w:rsid w:val="00EB00CE"/>
    <w:rsid w:val="00EB03C6"/>
    <w:rsid w:val="00EB0700"/>
    <w:rsid w:val="00EB0D6B"/>
    <w:rsid w:val="00EB1038"/>
    <w:rsid w:val="00EB1173"/>
    <w:rsid w:val="00EB1413"/>
    <w:rsid w:val="00EB1946"/>
    <w:rsid w:val="00EB1BA8"/>
    <w:rsid w:val="00EB1BE2"/>
    <w:rsid w:val="00EB1E47"/>
    <w:rsid w:val="00EB2A63"/>
    <w:rsid w:val="00EB3146"/>
    <w:rsid w:val="00EB3389"/>
    <w:rsid w:val="00EB3A08"/>
    <w:rsid w:val="00EB3BD6"/>
    <w:rsid w:val="00EB3E87"/>
    <w:rsid w:val="00EB3F80"/>
    <w:rsid w:val="00EB40F9"/>
    <w:rsid w:val="00EB4A63"/>
    <w:rsid w:val="00EB4B76"/>
    <w:rsid w:val="00EB4C61"/>
    <w:rsid w:val="00EB55D4"/>
    <w:rsid w:val="00EB5DC2"/>
    <w:rsid w:val="00EB5EBC"/>
    <w:rsid w:val="00EB5FA9"/>
    <w:rsid w:val="00EB6B4A"/>
    <w:rsid w:val="00EB74C8"/>
    <w:rsid w:val="00EC0736"/>
    <w:rsid w:val="00EC0BB9"/>
    <w:rsid w:val="00EC0C6F"/>
    <w:rsid w:val="00EC0E99"/>
    <w:rsid w:val="00EC0FC2"/>
    <w:rsid w:val="00EC1234"/>
    <w:rsid w:val="00EC1DA8"/>
    <w:rsid w:val="00EC2537"/>
    <w:rsid w:val="00EC265D"/>
    <w:rsid w:val="00EC273E"/>
    <w:rsid w:val="00EC28B0"/>
    <w:rsid w:val="00EC2BF2"/>
    <w:rsid w:val="00EC2D32"/>
    <w:rsid w:val="00EC2F51"/>
    <w:rsid w:val="00EC30B1"/>
    <w:rsid w:val="00EC31F1"/>
    <w:rsid w:val="00EC33CA"/>
    <w:rsid w:val="00EC35AF"/>
    <w:rsid w:val="00EC3D1E"/>
    <w:rsid w:val="00EC4257"/>
    <w:rsid w:val="00EC51E2"/>
    <w:rsid w:val="00EC54C3"/>
    <w:rsid w:val="00EC5521"/>
    <w:rsid w:val="00EC5A84"/>
    <w:rsid w:val="00EC6049"/>
    <w:rsid w:val="00EC6467"/>
    <w:rsid w:val="00EC7687"/>
    <w:rsid w:val="00EC7F6F"/>
    <w:rsid w:val="00ED07E6"/>
    <w:rsid w:val="00ED0BB0"/>
    <w:rsid w:val="00ED19CC"/>
    <w:rsid w:val="00ED2394"/>
    <w:rsid w:val="00ED2727"/>
    <w:rsid w:val="00ED3731"/>
    <w:rsid w:val="00ED449C"/>
    <w:rsid w:val="00ED4770"/>
    <w:rsid w:val="00ED4F71"/>
    <w:rsid w:val="00ED50E7"/>
    <w:rsid w:val="00ED5367"/>
    <w:rsid w:val="00ED53D1"/>
    <w:rsid w:val="00ED7193"/>
    <w:rsid w:val="00ED768E"/>
    <w:rsid w:val="00EE0021"/>
    <w:rsid w:val="00EE0B77"/>
    <w:rsid w:val="00EE0E72"/>
    <w:rsid w:val="00EE1947"/>
    <w:rsid w:val="00EE232C"/>
    <w:rsid w:val="00EE2609"/>
    <w:rsid w:val="00EE26E7"/>
    <w:rsid w:val="00EE2C28"/>
    <w:rsid w:val="00EE30FF"/>
    <w:rsid w:val="00EE3517"/>
    <w:rsid w:val="00EE38E2"/>
    <w:rsid w:val="00EE413C"/>
    <w:rsid w:val="00EE486E"/>
    <w:rsid w:val="00EE49FE"/>
    <w:rsid w:val="00EE5497"/>
    <w:rsid w:val="00EE587C"/>
    <w:rsid w:val="00EE5917"/>
    <w:rsid w:val="00EE5C4E"/>
    <w:rsid w:val="00EE6A76"/>
    <w:rsid w:val="00EE6E0E"/>
    <w:rsid w:val="00EE78D2"/>
    <w:rsid w:val="00EE7E99"/>
    <w:rsid w:val="00EF0649"/>
    <w:rsid w:val="00EF3BD6"/>
    <w:rsid w:val="00EF3EDE"/>
    <w:rsid w:val="00EF4BD4"/>
    <w:rsid w:val="00EF50DE"/>
    <w:rsid w:val="00EF525D"/>
    <w:rsid w:val="00EF52D7"/>
    <w:rsid w:val="00EF558E"/>
    <w:rsid w:val="00EF6221"/>
    <w:rsid w:val="00EF6EA6"/>
    <w:rsid w:val="00EF711A"/>
    <w:rsid w:val="00EF784E"/>
    <w:rsid w:val="00EF7F3D"/>
    <w:rsid w:val="00F00B6B"/>
    <w:rsid w:val="00F01178"/>
    <w:rsid w:val="00F014EE"/>
    <w:rsid w:val="00F02A31"/>
    <w:rsid w:val="00F02FB5"/>
    <w:rsid w:val="00F04C2E"/>
    <w:rsid w:val="00F04D14"/>
    <w:rsid w:val="00F04FF0"/>
    <w:rsid w:val="00F055F2"/>
    <w:rsid w:val="00F0615E"/>
    <w:rsid w:val="00F0635E"/>
    <w:rsid w:val="00F066D1"/>
    <w:rsid w:val="00F06D29"/>
    <w:rsid w:val="00F06E47"/>
    <w:rsid w:val="00F06EA4"/>
    <w:rsid w:val="00F07960"/>
    <w:rsid w:val="00F079A5"/>
    <w:rsid w:val="00F07CB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B20"/>
    <w:rsid w:val="00F16F7A"/>
    <w:rsid w:val="00F171A3"/>
    <w:rsid w:val="00F17403"/>
    <w:rsid w:val="00F17952"/>
    <w:rsid w:val="00F17ECE"/>
    <w:rsid w:val="00F2072E"/>
    <w:rsid w:val="00F2127F"/>
    <w:rsid w:val="00F213C4"/>
    <w:rsid w:val="00F22234"/>
    <w:rsid w:val="00F22368"/>
    <w:rsid w:val="00F2267F"/>
    <w:rsid w:val="00F22DF6"/>
    <w:rsid w:val="00F22F11"/>
    <w:rsid w:val="00F23691"/>
    <w:rsid w:val="00F240A7"/>
    <w:rsid w:val="00F24110"/>
    <w:rsid w:val="00F2483A"/>
    <w:rsid w:val="00F24BE7"/>
    <w:rsid w:val="00F24C44"/>
    <w:rsid w:val="00F24FFA"/>
    <w:rsid w:val="00F2581E"/>
    <w:rsid w:val="00F25E6D"/>
    <w:rsid w:val="00F265D6"/>
    <w:rsid w:val="00F2678A"/>
    <w:rsid w:val="00F26866"/>
    <w:rsid w:val="00F26C74"/>
    <w:rsid w:val="00F270CF"/>
    <w:rsid w:val="00F2712B"/>
    <w:rsid w:val="00F275D8"/>
    <w:rsid w:val="00F279EB"/>
    <w:rsid w:val="00F30184"/>
    <w:rsid w:val="00F305DF"/>
    <w:rsid w:val="00F31144"/>
    <w:rsid w:val="00F31287"/>
    <w:rsid w:val="00F320A9"/>
    <w:rsid w:val="00F32661"/>
    <w:rsid w:val="00F32795"/>
    <w:rsid w:val="00F327EF"/>
    <w:rsid w:val="00F32A80"/>
    <w:rsid w:val="00F334F3"/>
    <w:rsid w:val="00F33672"/>
    <w:rsid w:val="00F340AC"/>
    <w:rsid w:val="00F34804"/>
    <w:rsid w:val="00F34B29"/>
    <w:rsid w:val="00F34B4A"/>
    <w:rsid w:val="00F351F8"/>
    <w:rsid w:val="00F35F11"/>
    <w:rsid w:val="00F37238"/>
    <w:rsid w:val="00F377FE"/>
    <w:rsid w:val="00F37C61"/>
    <w:rsid w:val="00F37CEC"/>
    <w:rsid w:val="00F4043A"/>
    <w:rsid w:val="00F40546"/>
    <w:rsid w:val="00F40696"/>
    <w:rsid w:val="00F40C78"/>
    <w:rsid w:val="00F40D94"/>
    <w:rsid w:val="00F40DC5"/>
    <w:rsid w:val="00F41586"/>
    <w:rsid w:val="00F41BD7"/>
    <w:rsid w:val="00F427BB"/>
    <w:rsid w:val="00F43D1E"/>
    <w:rsid w:val="00F44200"/>
    <w:rsid w:val="00F44883"/>
    <w:rsid w:val="00F44901"/>
    <w:rsid w:val="00F44CCF"/>
    <w:rsid w:val="00F4515E"/>
    <w:rsid w:val="00F46105"/>
    <w:rsid w:val="00F46270"/>
    <w:rsid w:val="00F47157"/>
    <w:rsid w:val="00F47738"/>
    <w:rsid w:val="00F47825"/>
    <w:rsid w:val="00F478E3"/>
    <w:rsid w:val="00F4792D"/>
    <w:rsid w:val="00F47EE2"/>
    <w:rsid w:val="00F500ED"/>
    <w:rsid w:val="00F502B7"/>
    <w:rsid w:val="00F5061C"/>
    <w:rsid w:val="00F50D09"/>
    <w:rsid w:val="00F50DB6"/>
    <w:rsid w:val="00F517C1"/>
    <w:rsid w:val="00F51C86"/>
    <w:rsid w:val="00F529DD"/>
    <w:rsid w:val="00F52BFD"/>
    <w:rsid w:val="00F52D28"/>
    <w:rsid w:val="00F52FEB"/>
    <w:rsid w:val="00F532A0"/>
    <w:rsid w:val="00F53789"/>
    <w:rsid w:val="00F53F6C"/>
    <w:rsid w:val="00F5594D"/>
    <w:rsid w:val="00F55B47"/>
    <w:rsid w:val="00F566A1"/>
    <w:rsid w:val="00F56A26"/>
    <w:rsid w:val="00F56AA4"/>
    <w:rsid w:val="00F56B1C"/>
    <w:rsid w:val="00F56D5B"/>
    <w:rsid w:val="00F57696"/>
    <w:rsid w:val="00F57870"/>
    <w:rsid w:val="00F57B43"/>
    <w:rsid w:val="00F57D0F"/>
    <w:rsid w:val="00F57E92"/>
    <w:rsid w:val="00F601FA"/>
    <w:rsid w:val="00F602BD"/>
    <w:rsid w:val="00F606C6"/>
    <w:rsid w:val="00F60CE2"/>
    <w:rsid w:val="00F6145B"/>
    <w:rsid w:val="00F61DA7"/>
    <w:rsid w:val="00F61E3A"/>
    <w:rsid w:val="00F622A1"/>
    <w:rsid w:val="00F6283D"/>
    <w:rsid w:val="00F62926"/>
    <w:rsid w:val="00F63207"/>
    <w:rsid w:val="00F638DA"/>
    <w:rsid w:val="00F63CA8"/>
    <w:rsid w:val="00F63F1C"/>
    <w:rsid w:val="00F64D21"/>
    <w:rsid w:val="00F64ED4"/>
    <w:rsid w:val="00F64FB0"/>
    <w:rsid w:val="00F6510A"/>
    <w:rsid w:val="00F655A2"/>
    <w:rsid w:val="00F657BD"/>
    <w:rsid w:val="00F666F8"/>
    <w:rsid w:val="00F672B7"/>
    <w:rsid w:val="00F678F0"/>
    <w:rsid w:val="00F67D86"/>
    <w:rsid w:val="00F67DC5"/>
    <w:rsid w:val="00F7044E"/>
    <w:rsid w:val="00F708CD"/>
    <w:rsid w:val="00F70DFA"/>
    <w:rsid w:val="00F718BA"/>
    <w:rsid w:val="00F719AB"/>
    <w:rsid w:val="00F71D8D"/>
    <w:rsid w:val="00F71F32"/>
    <w:rsid w:val="00F722F5"/>
    <w:rsid w:val="00F72720"/>
    <w:rsid w:val="00F728C1"/>
    <w:rsid w:val="00F72C6E"/>
    <w:rsid w:val="00F72F3C"/>
    <w:rsid w:val="00F7328D"/>
    <w:rsid w:val="00F73320"/>
    <w:rsid w:val="00F73AB3"/>
    <w:rsid w:val="00F74557"/>
    <w:rsid w:val="00F74948"/>
    <w:rsid w:val="00F74C6E"/>
    <w:rsid w:val="00F75790"/>
    <w:rsid w:val="00F77234"/>
    <w:rsid w:val="00F775DA"/>
    <w:rsid w:val="00F77A3B"/>
    <w:rsid w:val="00F80038"/>
    <w:rsid w:val="00F8043B"/>
    <w:rsid w:val="00F80B44"/>
    <w:rsid w:val="00F80CDD"/>
    <w:rsid w:val="00F80D6E"/>
    <w:rsid w:val="00F8139F"/>
    <w:rsid w:val="00F81943"/>
    <w:rsid w:val="00F82167"/>
    <w:rsid w:val="00F827B3"/>
    <w:rsid w:val="00F82BC5"/>
    <w:rsid w:val="00F833F8"/>
    <w:rsid w:val="00F8367B"/>
    <w:rsid w:val="00F84100"/>
    <w:rsid w:val="00F842AE"/>
    <w:rsid w:val="00F846B0"/>
    <w:rsid w:val="00F8493A"/>
    <w:rsid w:val="00F84F74"/>
    <w:rsid w:val="00F856CC"/>
    <w:rsid w:val="00F86135"/>
    <w:rsid w:val="00F86B9F"/>
    <w:rsid w:val="00F87618"/>
    <w:rsid w:val="00F87B25"/>
    <w:rsid w:val="00F90F06"/>
    <w:rsid w:val="00F91286"/>
    <w:rsid w:val="00F9178A"/>
    <w:rsid w:val="00F918DB"/>
    <w:rsid w:val="00F91D73"/>
    <w:rsid w:val="00F921CE"/>
    <w:rsid w:val="00F928BA"/>
    <w:rsid w:val="00F928BF"/>
    <w:rsid w:val="00F92B14"/>
    <w:rsid w:val="00F937AE"/>
    <w:rsid w:val="00F93BDC"/>
    <w:rsid w:val="00F93DD5"/>
    <w:rsid w:val="00F93E1A"/>
    <w:rsid w:val="00F93F6E"/>
    <w:rsid w:val="00F93FF2"/>
    <w:rsid w:val="00F94475"/>
    <w:rsid w:val="00F94EF6"/>
    <w:rsid w:val="00F9573F"/>
    <w:rsid w:val="00F95C83"/>
    <w:rsid w:val="00F95C8E"/>
    <w:rsid w:val="00F96A33"/>
    <w:rsid w:val="00F96AF0"/>
    <w:rsid w:val="00F96F79"/>
    <w:rsid w:val="00F96FE2"/>
    <w:rsid w:val="00F972E4"/>
    <w:rsid w:val="00F97474"/>
    <w:rsid w:val="00FA07B5"/>
    <w:rsid w:val="00FA0D8F"/>
    <w:rsid w:val="00FA0ED8"/>
    <w:rsid w:val="00FA18BD"/>
    <w:rsid w:val="00FA1D74"/>
    <w:rsid w:val="00FA205C"/>
    <w:rsid w:val="00FA272A"/>
    <w:rsid w:val="00FA2C26"/>
    <w:rsid w:val="00FA2FD7"/>
    <w:rsid w:val="00FA369B"/>
    <w:rsid w:val="00FA3A7E"/>
    <w:rsid w:val="00FA3E6E"/>
    <w:rsid w:val="00FA41D3"/>
    <w:rsid w:val="00FA4A37"/>
    <w:rsid w:val="00FA4BB7"/>
    <w:rsid w:val="00FA4CD0"/>
    <w:rsid w:val="00FA511F"/>
    <w:rsid w:val="00FA6439"/>
    <w:rsid w:val="00FA76C8"/>
    <w:rsid w:val="00FA7F1D"/>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69AC"/>
    <w:rsid w:val="00FB75E7"/>
    <w:rsid w:val="00FB7880"/>
    <w:rsid w:val="00FB7CBE"/>
    <w:rsid w:val="00FB7F2E"/>
    <w:rsid w:val="00FC0544"/>
    <w:rsid w:val="00FC0BAD"/>
    <w:rsid w:val="00FC1977"/>
    <w:rsid w:val="00FC1ADD"/>
    <w:rsid w:val="00FC288B"/>
    <w:rsid w:val="00FC29FE"/>
    <w:rsid w:val="00FC378A"/>
    <w:rsid w:val="00FC3848"/>
    <w:rsid w:val="00FC3FED"/>
    <w:rsid w:val="00FC4D5B"/>
    <w:rsid w:val="00FC5A51"/>
    <w:rsid w:val="00FC5FDF"/>
    <w:rsid w:val="00FC634F"/>
    <w:rsid w:val="00FC6585"/>
    <w:rsid w:val="00FC67B6"/>
    <w:rsid w:val="00FC6C55"/>
    <w:rsid w:val="00FC6ED6"/>
    <w:rsid w:val="00FC7A48"/>
    <w:rsid w:val="00FC7CC8"/>
    <w:rsid w:val="00FD0C71"/>
    <w:rsid w:val="00FD124C"/>
    <w:rsid w:val="00FD126E"/>
    <w:rsid w:val="00FD1B83"/>
    <w:rsid w:val="00FD1C88"/>
    <w:rsid w:val="00FD1E57"/>
    <w:rsid w:val="00FD2274"/>
    <w:rsid w:val="00FD2285"/>
    <w:rsid w:val="00FD22DA"/>
    <w:rsid w:val="00FD2618"/>
    <w:rsid w:val="00FD2BAB"/>
    <w:rsid w:val="00FD2EE8"/>
    <w:rsid w:val="00FD2EEB"/>
    <w:rsid w:val="00FD3140"/>
    <w:rsid w:val="00FD31E5"/>
    <w:rsid w:val="00FD352D"/>
    <w:rsid w:val="00FD3719"/>
    <w:rsid w:val="00FD385D"/>
    <w:rsid w:val="00FD3962"/>
    <w:rsid w:val="00FD42F4"/>
    <w:rsid w:val="00FD44F6"/>
    <w:rsid w:val="00FD45A3"/>
    <w:rsid w:val="00FD4832"/>
    <w:rsid w:val="00FD4880"/>
    <w:rsid w:val="00FD4F6C"/>
    <w:rsid w:val="00FD55D6"/>
    <w:rsid w:val="00FD6D37"/>
    <w:rsid w:val="00FD6DF9"/>
    <w:rsid w:val="00FD7149"/>
    <w:rsid w:val="00FD71BF"/>
    <w:rsid w:val="00FD7461"/>
    <w:rsid w:val="00FD7B75"/>
    <w:rsid w:val="00FD7EB2"/>
    <w:rsid w:val="00FE0246"/>
    <w:rsid w:val="00FE0248"/>
    <w:rsid w:val="00FE027B"/>
    <w:rsid w:val="00FE028D"/>
    <w:rsid w:val="00FE02DD"/>
    <w:rsid w:val="00FE0776"/>
    <w:rsid w:val="00FE0D23"/>
    <w:rsid w:val="00FE19C7"/>
    <w:rsid w:val="00FE21A5"/>
    <w:rsid w:val="00FE21AC"/>
    <w:rsid w:val="00FE24E2"/>
    <w:rsid w:val="00FE2D62"/>
    <w:rsid w:val="00FE3137"/>
    <w:rsid w:val="00FE33F7"/>
    <w:rsid w:val="00FE3BEC"/>
    <w:rsid w:val="00FE3E2E"/>
    <w:rsid w:val="00FE3E48"/>
    <w:rsid w:val="00FE3F34"/>
    <w:rsid w:val="00FE40D8"/>
    <w:rsid w:val="00FE4271"/>
    <w:rsid w:val="00FE4D16"/>
    <w:rsid w:val="00FE5967"/>
    <w:rsid w:val="00FE5BCA"/>
    <w:rsid w:val="00FE5C76"/>
    <w:rsid w:val="00FE5CE3"/>
    <w:rsid w:val="00FE60B1"/>
    <w:rsid w:val="00FE6AB4"/>
    <w:rsid w:val="00FE6B0B"/>
    <w:rsid w:val="00FE6BD6"/>
    <w:rsid w:val="00FE742E"/>
    <w:rsid w:val="00FE7947"/>
    <w:rsid w:val="00FE7FC8"/>
    <w:rsid w:val="00FF123B"/>
    <w:rsid w:val="00FF126F"/>
    <w:rsid w:val="00FF27BF"/>
    <w:rsid w:val="00FF2AAA"/>
    <w:rsid w:val="00FF33BF"/>
    <w:rsid w:val="00FF3C9B"/>
    <w:rsid w:val="00FF3DE0"/>
    <w:rsid w:val="00FF3FB9"/>
    <w:rsid w:val="00FF477D"/>
    <w:rsid w:val="00FF4DE7"/>
    <w:rsid w:val="00FF5445"/>
    <w:rsid w:val="00FF561A"/>
    <w:rsid w:val="00FF66CD"/>
    <w:rsid w:val="00FF6DDF"/>
    <w:rsid w:val="00FF70D4"/>
    <w:rsid w:val="00FF71BE"/>
    <w:rsid w:val="00FF720E"/>
    <w:rsid w:val="00FF7956"/>
    <w:rsid w:val="00FF7A03"/>
    <w:rsid w:val="00FF7D26"/>
    <w:rsid w:val="00FF7D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1C97D"/>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Times New Roman" w:hAnsi="Symbol" w:cs="Calibri Light"/>
        <w:color w:val="00679B"/>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25"/>
    <w:pPr>
      <w:jc w:val="both"/>
    </w:p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1"/>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6F5C94"/>
    <w:rPr>
      <w:color w:val="605E5C"/>
      <w:shd w:val="clear" w:color="auto" w:fill="E1DFDD"/>
    </w:rPr>
  </w:style>
  <w:style w:type="character" w:customStyle="1" w:styleId="zzmpTrailerItem">
    <w:name w:val="zzmpTrailerItem"/>
    <w:basedOn w:val="DefaultParagraphFont"/>
    <w:rsid w:val="00FD45A3"/>
    <w:rPr>
      <w:rFonts w:ascii="Symbol" w:hAnsi="Symbol" w:cs="Times New Roman"/>
      <w:dstrike w:val="0"/>
      <w:noProof/>
      <w:color w:val="008080"/>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B85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7807">
      <w:bodyDiv w:val="1"/>
      <w:marLeft w:val="0"/>
      <w:marRight w:val="0"/>
      <w:marTop w:val="0"/>
      <w:marBottom w:val="0"/>
      <w:divBdr>
        <w:top w:val="none" w:sz="0" w:space="0" w:color="auto"/>
        <w:left w:val="none" w:sz="0" w:space="0" w:color="auto"/>
        <w:bottom w:val="none" w:sz="0" w:space="0" w:color="auto"/>
        <w:right w:val="none" w:sz="0" w:space="0" w:color="auto"/>
      </w:divBdr>
    </w:div>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987591820">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81032">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1635">
      <w:bodyDiv w:val="1"/>
      <w:marLeft w:val="0"/>
      <w:marRight w:val="0"/>
      <w:marTop w:val="0"/>
      <w:marBottom w:val="0"/>
      <w:divBdr>
        <w:top w:val="none" w:sz="0" w:space="0" w:color="auto"/>
        <w:left w:val="none" w:sz="0" w:space="0" w:color="auto"/>
        <w:bottom w:val="none" w:sz="0" w:space="0" w:color="auto"/>
        <w:right w:val="none" w:sz="0" w:space="0" w:color="auto"/>
      </w:divBdr>
      <w:divsChild>
        <w:div w:id="2126340728">
          <w:marLeft w:val="0"/>
          <w:marRight w:val="0"/>
          <w:marTop w:val="0"/>
          <w:marBottom w:val="0"/>
          <w:divBdr>
            <w:top w:val="none" w:sz="0" w:space="0" w:color="auto"/>
            <w:left w:val="none" w:sz="0" w:space="0" w:color="auto"/>
            <w:bottom w:val="none" w:sz="0" w:space="0" w:color="auto"/>
            <w:right w:val="none" w:sz="0" w:space="0" w:color="auto"/>
          </w:divBdr>
          <w:divsChild>
            <w:div w:id="8434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2934093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pharming.com/news/pharming-announces-publication-data-compassionate-use-programme-ruconestr-covid-19-pati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4335FE48F0DD949BE173508E0A3197E" ma:contentTypeVersion="12" ma:contentTypeDescription="Create a new document." ma:contentTypeScope="" ma:versionID="613bd559a4c4cc0d27d8c20d316ff801">
  <xsd:schema xmlns:xsd="http://www.w3.org/2001/XMLSchema" xmlns:xs="http://www.w3.org/2001/XMLSchema" xmlns:p="http://schemas.microsoft.com/office/2006/metadata/properties" xmlns:ns3="73975eaa-86eb-440d-820d-eb0d85d7edaa" xmlns:ns4="e197efee-bb66-4cfb-a248-f8fad698c9ed" targetNamespace="http://schemas.microsoft.com/office/2006/metadata/properties" ma:root="true" ma:fieldsID="e1f4a8d4831bc9ff95238bb246a11257" ns3:_="" ns4:_="">
    <xsd:import namespace="73975eaa-86eb-440d-820d-eb0d85d7edaa"/>
    <xsd:import namespace="e197efee-bb66-4cfb-a248-f8fad698c9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75eaa-86eb-440d-820d-eb0d85d7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7efee-bb66-4cfb-a248-f8fad698c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77BC8-A0AC-4FB9-9FA7-5D4F306006DA}">
  <ds:schemaRefs>
    <ds:schemaRef ds:uri="http://schemas.microsoft.com/sharepoint/v3/contenttype/forms"/>
  </ds:schemaRefs>
</ds:datastoreItem>
</file>

<file path=customXml/itemProps2.xml><?xml version="1.0" encoding="utf-8"?>
<ds:datastoreItem xmlns:ds="http://schemas.openxmlformats.org/officeDocument/2006/customXml" ds:itemID="{DF80A4F2-A103-4996-8F66-81310EF7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C8916-CD98-445A-9AB4-7D8E357F400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FCB890-1D86-44CF-A197-4DCCD15391B1}">
  <ds:schemaRefs>
    <ds:schemaRef ds:uri="http://schemas.openxmlformats.org/officeDocument/2006/bibliography"/>
  </ds:schemaRefs>
</ds:datastoreItem>
</file>

<file path=customXml/itemProps6.xml><?xml version="1.0" encoding="utf-8"?>
<ds:datastoreItem xmlns:ds="http://schemas.openxmlformats.org/officeDocument/2006/customXml" ds:itemID="{F8711FB2-E65E-4A72-9793-A68713C8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75eaa-86eb-440d-820d-eb0d85d7edaa"/>
    <ds:schemaRef ds:uri="e197efee-bb66-4cfb-a248-f8fad698c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77216A-63E2-42F3-8DFD-5AC163E81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Embleton</dc:creator>
  <cp:lastModifiedBy>James Miller</cp:lastModifiedBy>
  <cp:revision>2</cp:revision>
  <cp:lastPrinted>2020-10-28T15:55:00Z</cp:lastPrinted>
  <dcterms:created xsi:type="dcterms:W3CDTF">2020-10-28T21:58:00Z</dcterms:created>
  <dcterms:modified xsi:type="dcterms:W3CDTF">2020-10-28T21:58:00Z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0x010100A4335FE48F0DD949BE173508E0A3197E</vt:lpwstr>
  </property>
</Properties>
</file>