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6469" w14:textId="77777777" w:rsidR="001B0F60" w:rsidRPr="00DE0914" w:rsidRDefault="002F101E" w:rsidP="009105C5">
      <w:pPr>
        <w:pageBreakBefore/>
        <w:spacing w:before="120" w:after="120" w:line="276" w:lineRule="auto"/>
        <w:jc w:val="center"/>
        <w:outlineLvl w:val="0"/>
        <w:rPr>
          <w:rFonts w:ascii="Arial" w:eastAsia="Arial" w:hAnsi="Arial" w:cs="Arial"/>
        </w:rPr>
      </w:pPr>
      <w:bookmarkStart w:id="0" w:name="Section2"/>
      <w:bookmarkEnd w:id="0"/>
      <w:r w:rsidRPr="00DE0914">
        <w:rPr>
          <w:rFonts w:ascii="Calibri" w:eastAsia="Calibri" w:hAnsi="Calibri" w:cs="Calibri"/>
          <w:b/>
          <w:color w:val="00679B"/>
          <w:sz w:val="32"/>
        </w:rPr>
        <w:t>Pharming Group reports financial results for the first quarter of 2021</w:t>
      </w:r>
    </w:p>
    <w:p w14:paraId="571C5C3B" w14:textId="513A9E01" w:rsidR="008D11A9" w:rsidRPr="00DE0914" w:rsidRDefault="008D11A9" w:rsidP="009105C5">
      <w:pPr>
        <w:spacing w:before="120" w:after="120" w:line="276" w:lineRule="auto"/>
        <w:jc w:val="center"/>
        <w:rPr>
          <w:rFonts w:ascii="Calibri" w:eastAsia="Calibri" w:hAnsi="Calibri" w:cs="Calibri"/>
          <w:b/>
          <w:i/>
          <w:iCs/>
          <w:color w:val="00679B"/>
        </w:rPr>
      </w:pPr>
      <w:r w:rsidRPr="00DE0914">
        <w:rPr>
          <w:rFonts w:ascii="Calibri" w:eastAsia="Calibri" w:hAnsi="Calibri" w:cs="Calibri"/>
          <w:b/>
          <w:i/>
          <w:iCs/>
          <w:color w:val="00679B"/>
        </w:rPr>
        <w:t>Re</w:t>
      </w:r>
      <w:r w:rsidR="00CE1C31">
        <w:rPr>
          <w:rFonts w:ascii="Calibri" w:eastAsia="Calibri" w:hAnsi="Calibri" w:cs="Calibri"/>
          <w:b/>
          <w:i/>
          <w:iCs/>
          <w:color w:val="00679B"/>
        </w:rPr>
        <w:t>sults</w:t>
      </w:r>
      <w:r w:rsidRPr="00DE0914">
        <w:rPr>
          <w:rFonts w:ascii="Calibri" w:eastAsia="Calibri" w:hAnsi="Calibri" w:cs="Calibri"/>
          <w:b/>
          <w:i/>
          <w:iCs/>
          <w:color w:val="00679B"/>
        </w:rPr>
        <w:t xml:space="preserve"> impacted by effects of COVID-19 in the US</w:t>
      </w:r>
      <w:r w:rsidR="007D5A70">
        <w:rPr>
          <w:rFonts w:ascii="Calibri" w:eastAsia="Calibri" w:hAnsi="Calibri" w:cs="Calibri"/>
          <w:b/>
          <w:i/>
          <w:iCs/>
          <w:color w:val="00679B"/>
        </w:rPr>
        <w:t>; r</w:t>
      </w:r>
      <w:r w:rsidRPr="00DE0914">
        <w:rPr>
          <w:rFonts w:ascii="Calibri" w:eastAsia="Calibri" w:hAnsi="Calibri" w:cs="Calibri"/>
          <w:b/>
          <w:i/>
          <w:iCs/>
          <w:color w:val="00679B"/>
        </w:rPr>
        <w:t xml:space="preserve">ecovery towards the end of Q1 2021 </w:t>
      </w:r>
      <w:r w:rsidR="007F77A6">
        <w:rPr>
          <w:rFonts w:ascii="Calibri" w:eastAsia="Calibri" w:hAnsi="Calibri" w:cs="Calibri"/>
          <w:b/>
          <w:i/>
          <w:iCs/>
          <w:color w:val="00679B"/>
        </w:rPr>
        <w:t xml:space="preserve">with </w:t>
      </w:r>
      <w:r w:rsidRPr="00DE0914">
        <w:rPr>
          <w:rFonts w:ascii="Calibri" w:eastAsia="Calibri" w:hAnsi="Calibri" w:cs="Calibri"/>
          <w:b/>
          <w:i/>
          <w:iCs/>
          <w:color w:val="00679B"/>
        </w:rPr>
        <w:t xml:space="preserve">expected </w:t>
      </w:r>
      <w:r w:rsidR="00186C9B" w:rsidRPr="00DE0914">
        <w:rPr>
          <w:rFonts w:ascii="Calibri" w:eastAsia="Calibri" w:hAnsi="Calibri" w:cs="Calibri"/>
          <w:b/>
          <w:i/>
          <w:iCs/>
          <w:color w:val="00679B"/>
        </w:rPr>
        <w:t>re</w:t>
      </w:r>
      <w:r w:rsidR="00C118A9" w:rsidRPr="00DE0914">
        <w:rPr>
          <w:rFonts w:ascii="Calibri" w:eastAsia="Calibri" w:hAnsi="Calibri" w:cs="Calibri"/>
          <w:b/>
          <w:i/>
          <w:iCs/>
          <w:color w:val="00679B"/>
        </w:rPr>
        <w:t>turn to growth</w:t>
      </w:r>
      <w:r w:rsidR="00C36A18" w:rsidRPr="00DE0914">
        <w:rPr>
          <w:rFonts w:ascii="Calibri" w:eastAsia="Calibri" w:hAnsi="Calibri" w:cs="Calibri"/>
          <w:b/>
          <w:i/>
          <w:iCs/>
          <w:color w:val="00679B"/>
        </w:rPr>
        <w:t xml:space="preserve"> in Q2</w:t>
      </w:r>
      <w:r w:rsidR="003E5249">
        <w:rPr>
          <w:rFonts w:ascii="Calibri" w:eastAsia="Calibri" w:hAnsi="Calibri" w:cs="Calibri"/>
          <w:b/>
          <w:i/>
          <w:iCs/>
          <w:color w:val="00679B"/>
        </w:rPr>
        <w:t xml:space="preserve"> 202</w:t>
      </w:r>
      <w:r w:rsidR="007F77A6">
        <w:rPr>
          <w:rFonts w:ascii="Calibri" w:eastAsia="Calibri" w:hAnsi="Calibri" w:cs="Calibri"/>
          <w:b/>
          <w:i/>
          <w:iCs/>
          <w:color w:val="00679B"/>
        </w:rPr>
        <w:t>1</w:t>
      </w:r>
    </w:p>
    <w:p w14:paraId="521D1620" w14:textId="790B32C1" w:rsidR="003F5E8C" w:rsidRDefault="008D11A9" w:rsidP="009105C5">
      <w:pPr>
        <w:spacing w:before="120" w:after="120" w:line="276" w:lineRule="auto"/>
        <w:rPr>
          <w:rFonts w:ascii="Calibri" w:eastAsia="Calibri" w:hAnsi="Calibri" w:cs="Calibri"/>
          <w:color w:val="59595B"/>
        </w:rPr>
      </w:pPr>
      <w:r w:rsidRPr="00DE0914">
        <w:rPr>
          <w:rFonts w:ascii="Calibri" w:eastAsia="Calibri" w:hAnsi="Calibri" w:cs="Calibri"/>
          <w:b/>
          <w:i/>
          <w:iCs/>
          <w:color w:val="00679B"/>
        </w:rPr>
        <w:t xml:space="preserve"> </w:t>
      </w:r>
      <w:r w:rsidR="002F101E" w:rsidRPr="00DE0914">
        <w:rPr>
          <w:rFonts w:ascii="Calibri" w:eastAsia="Calibri" w:hAnsi="Calibri" w:cs="Calibri"/>
          <w:b/>
          <w:color w:val="00679B"/>
        </w:rPr>
        <w:t xml:space="preserve">Leiden, The Netherlands, 13 </w:t>
      </w:r>
      <w:r w:rsidR="007B0838" w:rsidRPr="00DE0914">
        <w:rPr>
          <w:rFonts w:ascii="Calibri" w:eastAsia="Calibri" w:hAnsi="Calibri" w:cs="Calibri"/>
          <w:b/>
          <w:color w:val="00679B"/>
        </w:rPr>
        <w:t>May</w:t>
      </w:r>
      <w:r w:rsidR="002F101E" w:rsidRPr="00DE0914">
        <w:rPr>
          <w:rFonts w:ascii="Calibri" w:eastAsia="Calibri" w:hAnsi="Calibri" w:cs="Calibri"/>
          <w:b/>
          <w:color w:val="00679B"/>
        </w:rPr>
        <w:t xml:space="preserve"> 2021: </w:t>
      </w:r>
      <w:r w:rsidR="002F101E" w:rsidRPr="00DE0914">
        <w:rPr>
          <w:rFonts w:ascii="Calibri" w:eastAsia="Calibri" w:hAnsi="Calibri" w:cs="Calibri"/>
          <w:color w:val="59595B"/>
        </w:rPr>
        <w:t xml:space="preserve">Pharming Group N.V. (“Pharming” or “the Company”) (Euronext Amsterdam: PHARM/Nasdaq: PHAR) presents its (unaudited) financial report for </w:t>
      </w:r>
      <w:r w:rsidR="00AD0602" w:rsidRPr="00DE0914">
        <w:rPr>
          <w:rFonts w:ascii="Calibri" w:eastAsia="Calibri" w:hAnsi="Calibri" w:cs="Calibri"/>
          <w:color w:val="59595B"/>
        </w:rPr>
        <w:t xml:space="preserve">the </w:t>
      </w:r>
      <w:r w:rsidR="002F101E" w:rsidRPr="00DE0914">
        <w:rPr>
          <w:rFonts w:ascii="Calibri" w:eastAsia="Calibri" w:hAnsi="Calibri" w:cs="Calibri"/>
          <w:color w:val="59595B"/>
        </w:rPr>
        <w:t xml:space="preserve">first quarter </w:t>
      </w:r>
      <w:r w:rsidR="00AD0602" w:rsidRPr="00DE0914">
        <w:rPr>
          <w:rFonts w:ascii="Calibri" w:eastAsia="Calibri" w:hAnsi="Calibri" w:cs="Calibri"/>
          <w:color w:val="59595B"/>
        </w:rPr>
        <w:t xml:space="preserve">of the year </w:t>
      </w:r>
      <w:r w:rsidR="002F101E" w:rsidRPr="00DE0914">
        <w:rPr>
          <w:rFonts w:ascii="Calibri" w:eastAsia="Calibri" w:hAnsi="Calibri" w:cs="Calibri"/>
          <w:color w:val="59595B"/>
        </w:rPr>
        <w:t>ended 31 March 2021.</w:t>
      </w:r>
      <w:r w:rsidR="003F5E8C" w:rsidRPr="00DE0914">
        <w:rPr>
          <w:rFonts w:ascii="Calibri" w:eastAsia="Calibri" w:hAnsi="Calibri" w:cs="Calibri"/>
          <w:color w:val="59595B"/>
        </w:rPr>
        <w:t xml:space="preserve"> As previously announced, as of 1 January 2021, Pharming changed its </w:t>
      </w:r>
      <w:r w:rsidR="00A41E1E" w:rsidRPr="00DE0914">
        <w:rPr>
          <w:rFonts w:ascii="Calibri" w:eastAsia="Calibri" w:hAnsi="Calibri" w:cs="Calibri"/>
          <w:color w:val="59595B"/>
        </w:rPr>
        <w:t>present</w:t>
      </w:r>
      <w:r w:rsidR="002C1B04">
        <w:rPr>
          <w:rFonts w:ascii="Calibri" w:eastAsia="Calibri" w:hAnsi="Calibri" w:cs="Calibri"/>
          <w:color w:val="59595B"/>
        </w:rPr>
        <w:t>ation</w:t>
      </w:r>
      <w:r w:rsidR="003F5E8C" w:rsidRPr="00DE0914">
        <w:rPr>
          <w:rFonts w:ascii="Calibri" w:eastAsia="Calibri" w:hAnsi="Calibri" w:cs="Calibri"/>
          <w:color w:val="59595B"/>
        </w:rPr>
        <w:t xml:space="preserve"> currency from Euro to US </w:t>
      </w:r>
      <w:r w:rsidR="00985C58">
        <w:rPr>
          <w:rFonts w:ascii="Calibri" w:eastAsia="Calibri" w:hAnsi="Calibri" w:cs="Calibri"/>
          <w:color w:val="59595B"/>
        </w:rPr>
        <w:t>D</w:t>
      </w:r>
      <w:r w:rsidR="003F5E8C" w:rsidRPr="00DE0914">
        <w:rPr>
          <w:rFonts w:ascii="Calibri" w:eastAsia="Calibri" w:hAnsi="Calibri" w:cs="Calibri"/>
          <w:color w:val="59595B"/>
        </w:rPr>
        <w:t>ollar</w:t>
      </w:r>
      <w:r w:rsidR="00CC2101" w:rsidRPr="00DE0914">
        <w:rPr>
          <w:rFonts w:ascii="Calibri" w:eastAsia="Calibri" w:hAnsi="Calibri" w:cs="Calibri"/>
          <w:color w:val="59595B"/>
        </w:rPr>
        <w:t>s</w:t>
      </w:r>
      <w:r w:rsidR="003F5E8C" w:rsidRPr="00DE0914">
        <w:rPr>
          <w:rFonts w:ascii="Calibri" w:eastAsia="Calibri" w:hAnsi="Calibri" w:cs="Calibri"/>
          <w:color w:val="59595B"/>
        </w:rPr>
        <w:t>.</w:t>
      </w:r>
    </w:p>
    <w:p w14:paraId="384AA83A" w14:textId="0A17298A" w:rsidR="001B0F60" w:rsidRPr="00DE0914" w:rsidRDefault="002F101E" w:rsidP="009105C5">
      <w:pPr>
        <w:numPr>
          <w:ilvl w:val="0"/>
          <w:numId w:val="2"/>
        </w:numPr>
        <w:spacing w:before="120" w:after="120" w:line="276" w:lineRule="auto"/>
        <w:ind w:left="714" w:hanging="357"/>
        <w:jc w:val="both"/>
        <w:rPr>
          <w:rFonts w:ascii="Calibri" w:eastAsia="Calibri" w:hAnsi="Calibri" w:cs="Calibri"/>
          <w:b/>
          <w:color w:val="00679B"/>
        </w:rPr>
      </w:pPr>
      <w:r w:rsidRPr="00DE0914">
        <w:rPr>
          <w:rFonts w:ascii="Calibri" w:eastAsia="Calibri" w:hAnsi="Calibri" w:cs="Calibri"/>
          <w:b/>
          <w:color w:val="00679B"/>
        </w:rPr>
        <w:t xml:space="preserve">The Company will hold an analyst conference call at 13.30 CET/07.30 EST today. Dial in details can be found on </w:t>
      </w:r>
      <w:r w:rsidR="00F43229" w:rsidRPr="00DE0914">
        <w:rPr>
          <w:rFonts w:ascii="Calibri" w:eastAsia="Calibri" w:hAnsi="Calibri" w:cs="Calibri"/>
          <w:b/>
          <w:color w:val="00679B"/>
        </w:rPr>
        <w:t xml:space="preserve">page </w:t>
      </w:r>
      <w:r w:rsidR="00496A74">
        <w:rPr>
          <w:rFonts w:ascii="Calibri" w:eastAsia="Calibri" w:hAnsi="Calibri" w:cs="Calibri"/>
          <w:b/>
          <w:color w:val="00679B"/>
        </w:rPr>
        <w:t>6</w:t>
      </w:r>
      <w:r w:rsidR="00F43229" w:rsidRPr="00DE0914">
        <w:rPr>
          <w:rFonts w:ascii="Calibri" w:eastAsia="Calibri" w:hAnsi="Calibri" w:cs="Calibri"/>
          <w:b/>
          <w:color w:val="00679B"/>
        </w:rPr>
        <w:t xml:space="preserve"> </w:t>
      </w:r>
      <w:r w:rsidRPr="00DE0914">
        <w:rPr>
          <w:rFonts w:ascii="Calibri" w:eastAsia="Calibri" w:hAnsi="Calibri" w:cs="Calibri"/>
          <w:b/>
          <w:color w:val="00679B"/>
        </w:rPr>
        <w:t xml:space="preserve">of this report </w:t>
      </w:r>
    </w:p>
    <w:p w14:paraId="48CDFC4D" w14:textId="783C0353" w:rsidR="00300B4F" w:rsidRPr="000B2AAB" w:rsidRDefault="002F101E" w:rsidP="009105C5">
      <w:pPr>
        <w:spacing w:before="120" w:after="120" w:line="276" w:lineRule="auto"/>
        <w:jc w:val="both"/>
        <w:rPr>
          <w:rFonts w:ascii="Calibri" w:eastAsia="Calibri" w:hAnsi="Calibri" w:cs="Calibri"/>
          <w:b/>
          <w:color w:val="00679B"/>
          <w:shd w:val="clear" w:color="auto" w:fill="FFFFFF"/>
        </w:rPr>
      </w:pPr>
      <w:r w:rsidRPr="000B2AAB">
        <w:rPr>
          <w:rFonts w:ascii="Calibri" w:eastAsia="Calibri" w:hAnsi="Calibri" w:cs="Calibri"/>
          <w:b/>
          <w:color w:val="00679B"/>
          <w:shd w:val="clear" w:color="auto" w:fill="FFFFFF"/>
        </w:rPr>
        <w:t xml:space="preserve">Financial Summary </w:t>
      </w:r>
    </w:p>
    <w:tbl>
      <w:tblPr>
        <w:tblW w:w="7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843"/>
        <w:gridCol w:w="1544"/>
        <w:gridCol w:w="1729"/>
      </w:tblGrid>
      <w:tr w:rsidR="00364B4C" w:rsidRPr="00DE0914" w14:paraId="3710E961" w14:textId="77777777" w:rsidTr="00CB6E95">
        <w:trPr>
          <w:cantSplit/>
          <w:jc w:val="center"/>
        </w:trPr>
        <w:tc>
          <w:tcPr>
            <w:tcW w:w="2825"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37CBDE17" w14:textId="77777777" w:rsidR="00364B4C" w:rsidRPr="00CB6E95" w:rsidRDefault="00364B4C" w:rsidP="00B07AD0">
            <w:pPr>
              <w:keepNext/>
              <w:rPr>
                <w:b/>
                <w:bCs/>
              </w:rPr>
            </w:pPr>
            <w:r w:rsidRPr="00CB6E95">
              <w:rPr>
                <w:rFonts w:ascii="Calibri" w:eastAsia="Calibri" w:hAnsi="Calibri" w:cs="Calibri"/>
                <w:b/>
                <w:bCs/>
                <w:i/>
                <w:color w:val="59595B"/>
                <w:sz w:val="16"/>
              </w:rPr>
              <w:t>Amounts in US $m except per share data</w:t>
            </w:r>
          </w:p>
        </w:tc>
        <w:tc>
          <w:tcPr>
            <w:tcW w:w="1843"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2313E768" w14:textId="1D60C97B" w:rsidR="00364B4C" w:rsidRPr="00DE0914" w:rsidRDefault="00985C58" w:rsidP="00B07AD0">
            <w:pPr>
              <w:keepNext/>
              <w:jc w:val="center"/>
            </w:pPr>
            <w:r>
              <w:rPr>
                <w:rFonts w:ascii="Calibri" w:eastAsia="Calibri" w:hAnsi="Calibri" w:cs="Calibri"/>
                <w:b/>
                <w:i/>
                <w:color w:val="00679B"/>
                <w:sz w:val="22"/>
              </w:rPr>
              <w:t xml:space="preserve">Q1 </w:t>
            </w:r>
            <w:r w:rsidR="00364B4C" w:rsidRPr="00DE0914">
              <w:rPr>
                <w:rFonts w:ascii="Calibri" w:eastAsia="Calibri" w:hAnsi="Calibri" w:cs="Calibri"/>
                <w:b/>
                <w:i/>
                <w:color w:val="00679B"/>
                <w:sz w:val="22"/>
              </w:rPr>
              <w:t>2021</w:t>
            </w:r>
          </w:p>
        </w:tc>
        <w:tc>
          <w:tcPr>
            <w:tcW w:w="1544"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4DA14C75" w14:textId="4F1B2703" w:rsidR="00364B4C" w:rsidRPr="00DE0914" w:rsidRDefault="00985C58" w:rsidP="00B07AD0">
            <w:pPr>
              <w:keepNext/>
              <w:jc w:val="center"/>
            </w:pPr>
            <w:r>
              <w:rPr>
                <w:rFonts w:ascii="Calibri" w:eastAsia="Calibri" w:hAnsi="Calibri" w:cs="Calibri"/>
                <w:b/>
                <w:i/>
                <w:color w:val="00679B"/>
                <w:sz w:val="22"/>
              </w:rPr>
              <w:t xml:space="preserve">Q1 </w:t>
            </w:r>
            <w:r w:rsidR="00364B4C" w:rsidRPr="00DE0914">
              <w:rPr>
                <w:rFonts w:ascii="Calibri" w:eastAsia="Calibri" w:hAnsi="Calibri" w:cs="Calibri"/>
                <w:b/>
                <w:i/>
                <w:color w:val="00679B"/>
                <w:sz w:val="22"/>
              </w:rPr>
              <w:t>2020</w:t>
            </w:r>
          </w:p>
        </w:tc>
        <w:tc>
          <w:tcPr>
            <w:tcW w:w="1729" w:type="dxa"/>
            <w:tcBorders>
              <w:top w:val="single" w:sz="8" w:space="0" w:color="D9D9D9"/>
              <w:left w:val="single" w:sz="8" w:space="0" w:color="D9D9D9"/>
              <w:bottom w:val="nil"/>
              <w:right w:val="single" w:sz="8" w:space="0" w:color="D9D9D9"/>
            </w:tcBorders>
            <w:shd w:val="clear" w:color="auto" w:fill="FFFFFF"/>
            <w:tcMar>
              <w:top w:w="0" w:type="dxa"/>
              <w:left w:w="53" w:type="dxa"/>
              <w:bottom w:w="0" w:type="dxa"/>
              <w:right w:w="53" w:type="dxa"/>
            </w:tcMar>
            <w:vAlign w:val="center"/>
          </w:tcPr>
          <w:p w14:paraId="3FFF0FE0" w14:textId="056D937F" w:rsidR="00364B4C" w:rsidRPr="00DE0914" w:rsidRDefault="00364B4C" w:rsidP="00B07AD0">
            <w:pPr>
              <w:keepNext/>
              <w:jc w:val="center"/>
            </w:pPr>
            <w:r w:rsidRPr="00DE0914">
              <w:rPr>
                <w:rFonts w:ascii="Calibri" w:eastAsia="Calibri" w:hAnsi="Calibri" w:cs="Calibri"/>
                <w:b/>
                <w:i/>
                <w:color w:val="00679B"/>
                <w:sz w:val="20"/>
              </w:rPr>
              <w:t>%</w:t>
            </w:r>
            <w:r w:rsidR="00985C58">
              <w:rPr>
                <w:rFonts w:ascii="Calibri" w:eastAsia="Calibri" w:hAnsi="Calibri" w:cs="Calibri"/>
                <w:b/>
                <w:i/>
                <w:color w:val="00679B"/>
                <w:sz w:val="20"/>
              </w:rPr>
              <w:t xml:space="preserve"> change</w:t>
            </w:r>
          </w:p>
        </w:tc>
      </w:tr>
      <w:tr w:rsidR="00364B4C" w:rsidRPr="00DE0914" w14:paraId="5F1102FB" w14:textId="77777777" w:rsidTr="00CB6E95">
        <w:trPr>
          <w:cantSplit/>
          <w:trHeight w:hRule="exact" w:val="285"/>
          <w:jc w:val="center"/>
        </w:trPr>
        <w:tc>
          <w:tcPr>
            <w:tcW w:w="2825"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1ED60263" w14:textId="77777777" w:rsidR="00364B4C" w:rsidRPr="00DE0914" w:rsidRDefault="00364B4C" w:rsidP="00B07AD0">
            <w:pPr>
              <w:keepNext/>
            </w:pPr>
          </w:p>
        </w:tc>
        <w:tc>
          <w:tcPr>
            <w:tcW w:w="1843"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132642C5" w14:textId="11781F9C" w:rsidR="00364B4C" w:rsidRPr="00DE0914" w:rsidRDefault="00364B4C" w:rsidP="00B07AD0">
            <w:pPr>
              <w:keepNext/>
              <w:jc w:val="center"/>
            </w:pPr>
          </w:p>
        </w:tc>
        <w:tc>
          <w:tcPr>
            <w:tcW w:w="1544"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3DDC38E3" w14:textId="48614D2F" w:rsidR="00364B4C" w:rsidRPr="00DE0914" w:rsidRDefault="00364B4C" w:rsidP="00B07AD0">
            <w:pPr>
              <w:keepNext/>
              <w:jc w:val="center"/>
            </w:pPr>
          </w:p>
        </w:tc>
        <w:tc>
          <w:tcPr>
            <w:tcW w:w="1729" w:type="dxa"/>
            <w:tcBorders>
              <w:top w:val="nil"/>
              <w:left w:val="single" w:sz="8" w:space="0" w:color="D9D9D9"/>
              <w:bottom w:val="single" w:sz="8" w:space="0" w:color="D9D9D9"/>
              <w:right w:val="single" w:sz="8" w:space="0" w:color="D9D9D9"/>
            </w:tcBorders>
            <w:shd w:val="clear" w:color="auto" w:fill="FFFFFF"/>
            <w:tcMar>
              <w:top w:w="0" w:type="dxa"/>
              <w:left w:w="53" w:type="dxa"/>
              <w:bottom w:w="0" w:type="dxa"/>
              <w:right w:w="53" w:type="dxa"/>
            </w:tcMar>
            <w:vAlign w:val="center"/>
          </w:tcPr>
          <w:p w14:paraId="447F3495" w14:textId="02174071" w:rsidR="00364B4C" w:rsidRPr="00DE0914" w:rsidRDefault="00364B4C" w:rsidP="00B07AD0">
            <w:pPr>
              <w:keepNext/>
              <w:jc w:val="center"/>
            </w:pPr>
          </w:p>
        </w:tc>
      </w:tr>
      <w:tr w:rsidR="00364B4C" w:rsidRPr="00DE0914" w14:paraId="08077250" w14:textId="77777777" w:rsidTr="00CB6E95">
        <w:trPr>
          <w:cantSplit/>
          <w:jc w:val="center"/>
        </w:trPr>
        <w:tc>
          <w:tcPr>
            <w:tcW w:w="2825"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2AAC42A2" w14:textId="77777777" w:rsidR="00364B4C" w:rsidRPr="00DE0914" w:rsidRDefault="00364B4C" w:rsidP="00B07AD0">
            <w:pPr>
              <w:keepNext/>
            </w:pPr>
            <w:r w:rsidRPr="00DE0914">
              <w:rPr>
                <w:rFonts w:ascii="Calibri" w:eastAsia="Calibri" w:hAnsi="Calibri" w:cs="Calibri"/>
                <w:i/>
                <w:color w:val="00679B"/>
                <w:sz w:val="20"/>
              </w:rPr>
              <w:t>Consolidated Income Statement</w:t>
            </w:r>
          </w:p>
        </w:tc>
        <w:tc>
          <w:tcPr>
            <w:tcW w:w="1843"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2D850676" w14:textId="77777777" w:rsidR="00364B4C" w:rsidRPr="00DE0914" w:rsidRDefault="00364B4C" w:rsidP="00B07AD0">
            <w:pPr>
              <w:keepNext/>
              <w:jc w:val="center"/>
            </w:pPr>
          </w:p>
        </w:tc>
        <w:tc>
          <w:tcPr>
            <w:tcW w:w="1544"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6355ACE4" w14:textId="77777777" w:rsidR="00364B4C" w:rsidRPr="00DE0914" w:rsidRDefault="00364B4C" w:rsidP="00B07AD0">
            <w:pPr>
              <w:keepNext/>
              <w:jc w:val="center"/>
            </w:pPr>
          </w:p>
        </w:tc>
        <w:tc>
          <w:tcPr>
            <w:tcW w:w="1729" w:type="dxa"/>
            <w:tcBorders>
              <w:top w:val="single" w:sz="8" w:space="0" w:color="D9D9D9"/>
              <w:left w:val="single" w:sz="8" w:space="0" w:color="D9D9D9"/>
              <w:bottom w:val="nil"/>
              <w:right w:val="single" w:sz="8" w:space="0" w:color="D9D9D9"/>
            </w:tcBorders>
            <w:shd w:val="clear" w:color="auto" w:fill="FFFFFF"/>
            <w:tcMar>
              <w:top w:w="0" w:type="dxa"/>
              <w:left w:w="53" w:type="dxa"/>
              <w:bottom w:w="0" w:type="dxa"/>
              <w:right w:w="53" w:type="dxa"/>
            </w:tcMar>
            <w:vAlign w:val="center"/>
          </w:tcPr>
          <w:p w14:paraId="68D6805E" w14:textId="77777777" w:rsidR="00364B4C" w:rsidRPr="00DE0914" w:rsidRDefault="00364B4C" w:rsidP="00B07AD0">
            <w:pPr>
              <w:keepNext/>
              <w:jc w:val="center"/>
            </w:pPr>
          </w:p>
        </w:tc>
      </w:tr>
      <w:tr w:rsidR="00364B4C" w:rsidRPr="00DE0914" w14:paraId="61D76832" w14:textId="77777777" w:rsidTr="00CB6E95">
        <w:trPr>
          <w:cantSplit/>
          <w:jc w:val="center"/>
        </w:trPr>
        <w:tc>
          <w:tcPr>
            <w:tcW w:w="2825"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20B92A93" w14:textId="77777777" w:rsidR="00364B4C" w:rsidRPr="00DE0914" w:rsidRDefault="00364B4C" w:rsidP="00B07AD0">
            <w:pPr>
              <w:keepNext/>
            </w:pPr>
            <w:r w:rsidRPr="00DE0914">
              <w:rPr>
                <w:rFonts w:ascii="Calibri" w:eastAsia="Calibri" w:hAnsi="Calibri" w:cs="Calibri"/>
                <w:color w:val="59595B"/>
                <w:sz w:val="20"/>
              </w:rPr>
              <w:t>Revenues</w:t>
            </w:r>
          </w:p>
        </w:tc>
        <w:tc>
          <w:tcPr>
            <w:tcW w:w="1843"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7AA31620" w14:textId="77777777" w:rsidR="00364B4C" w:rsidRPr="00DE0914" w:rsidRDefault="00364B4C" w:rsidP="00B07AD0">
            <w:pPr>
              <w:keepNext/>
              <w:jc w:val="center"/>
            </w:pPr>
            <w:r w:rsidRPr="00DE0914">
              <w:rPr>
                <w:rFonts w:ascii="Calibri" w:eastAsia="Calibri" w:hAnsi="Calibri" w:cs="Calibri"/>
                <w:b/>
                <w:color w:val="00679B"/>
                <w:sz w:val="20"/>
              </w:rPr>
              <w:t>43.6</w:t>
            </w:r>
          </w:p>
        </w:tc>
        <w:tc>
          <w:tcPr>
            <w:tcW w:w="1544"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5D94C9D3" w14:textId="77777777" w:rsidR="00364B4C" w:rsidRPr="00DE0914" w:rsidRDefault="00364B4C" w:rsidP="00B07AD0">
            <w:pPr>
              <w:keepNext/>
              <w:jc w:val="center"/>
            </w:pPr>
            <w:r w:rsidRPr="00DE0914">
              <w:rPr>
                <w:rFonts w:ascii="Calibri" w:eastAsia="Calibri" w:hAnsi="Calibri" w:cs="Calibri"/>
                <w:b/>
                <w:color w:val="00679B"/>
                <w:sz w:val="20"/>
              </w:rPr>
              <w:t>54.5</w:t>
            </w:r>
          </w:p>
        </w:tc>
        <w:tc>
          <w:tcPr>
            <w:tcW w:w="1729" w:type="dxa"/>
            <w:tcBorders>
              <w:top w:val="nil"/>
              <w:left w:val="single" w:sz="8" w:space="0" w:color="D9D9D9"/>
              <w:bottom w:val="nil"/>
              <w:right w:val="single" w:sz="8" w:space="0" w:color="D9D9D9"/>
            </w:tcBorders>
            <w:shd w:val="clear" w:color="auto" w:fill="FFFFFF"/>
            <w:tcMar>
              <w:top w:w="0" w:type="dxa"/>
              <w:left w:w="53" w:type="dxa"/>
              <w:bottom w:w="0" w:type="dxa"/>
              <w:right w:w="15" w:type="dxa"/>
            </w:tcMar>
            <w:vAlign w:val="center"/>
          </w:tcPr>
          <w:p w14:paraId="300F9BC4" w14:textId="77777777" w:rsidR="00364B4C" w:rsidRPr="00DE0914" w:rsidRDefault="00364B4C" w:rsidP="00B07AD0">
            <w:pPr>
              <w:keepNext/>
              <w:jc w:val="center"/>
            </w:pPr>
            <w:r w:rsidRPr="00DE0914">
              <w:rPr>
                <w:rFonts w:ascii="Calibri" w:eastAsia="Calibri" w:hAnsi="Calibri" w:cs="Calibri"/>
                <w:b/>
                <w:color w:val="00679B"/>
                <w:sz w:val="20"/>
              </w:rPr>
              <w:t>-20%</w:t>
            </w:r>
          </w:p>
        </w:tc>
      </w:tr>
      <w:tr w:rsidR="00364B4C" w:rsidRPr="00DE0914" w14:paraId="4A84C7D2" w14:textId="77777777" w:rsidTr="00CB6E95">
        <w:trPr>
          <w:cantSplit/>
          <w:jc w:val="center"/>
        </w:trPr>
        <w:tc>
          <w:tcPr>
            <w:tcW w:w="2825"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1FC536A2" w14:textId="77777777" w:rsidR="00364B4C" w:rsidRPr="00DE0914" w:rsidRDefault="00364B4C" w:rsidP="00B07AD0">
            <w:pPr>
              <w:keepNext/>
            </w:pPr>
            <w:r w:rsidRPr="00DE0914">
              <w:rPr>
                <w:rFonts w:ascii="Calibri" w:eastAsia="Calibri" w:hAnsi="Calibri" w:cs="Calibri"/>
                <w:color w:val="59595B"/>
                <w:sz w:val="20"/>
              </w:rPr>
              <w:t>Gross profit</w:t>
            </w:r>
          </w:p>
        </w:tc>
        <w:tc>
          <w:tcPr>
            <w:tcW w:w="1843"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6BCDB0FA" w14:textId="77777777" w:rsidR="00364B4C" w:rsidRPr="00DE0914" w:rsidRDefault="00364B4C" w:rsidP="00B07AD0">
            <w:pPr>
              <w:keepNext/>
              <w:jc w:val="center"/>
            </w:pPr>
            <w:r w:rsidRPr="00DE0914">
              <w:rPr>
                <w:rFonts w:ascii="Calibri" w:eastAsia="Calibri" w:hAnsi="Calibri" w:cs="Calibri"/>
                <w:b/>
                <w:color w:val="00679B"/>
                <w:sz w:val="20"/>
              </w:rPr>
              <w:t>38.7</w:t>
            </w:r>
          </w:p>
        </w:tc>
        <w:tc>
          <w:tcPr>
            <w:tcW w:w="1544"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4D0B55A4" w14:textId="77777777" w:rsidR="00364B4C" w:rsidRPr="00DE0914" w:rsidRDefault="00364B4C" w:rsidP="00B07AD0">
            <w:pPr>
              <w:keepNext/>
              <w:jc w:val="center"/>
            </w:pPr>
            <w:r w:rsidRPr="00DE0914">
              <w:rPr>
                <w:rFonts w:ascii="Calibri" w:eastAsia="Calibri" w:hAnsi="Calibri" w:cs="Calibri"/>
                <w:b/>
                <w:color w:val="00679B"/>
                <w:sz w:val="20"/>
              </w:rPr>
              <w:t>48.5</w:t>
            </w:r>
          </w:p>
        </w:tc>
        <w:tc>
          <w:tcPr>
            <w:tcW w:w="1729" w:type="dxa"/>
            <w:tcBorders>
              <w:top w:val="nil"/>
              <w:left w:val="single" w:sz="8" w:space="0" w:color="D9D9D9"/>
              <w:bottom w:val="nil"/>
              <w:right w:val="single" w:sz="8" w:space="0" w:color="D9D9D9"/>
            </w:tcBorders>
            <w:shd w:val="clear" w:color="auto" w:fill="FFFFFF"/>
            <w:tcMar>
              <w:top w:w="0" w:type="dxa"/>
              <w:left w:w="53" w:type="dxa"/>
              <w:bottom w:w="0" w:type="dxa"/>
              <w:right w:w="15" w:type="dxa"/>
            </w:tcMar>
            <w:vAlign w:val="center"/>
          </w:tcPr>
          <w:p w14:paraId="46E140EE" w14:textId="77777777" w:rsidR="00364B4C" w:rsidRPr="00DE0914" w:rsidRDefault="00364B4C" w:rsidP="00B07AD0">
            <w:pPr>
              <w:keepNext/>
              <w:jc w:val="center"/>
            </w:pPr>
            <w:r w:rsidRPr="00DE0914">
              <w:rPr>
                <w:rFonts w:ascii="Calibri" w:eastAsia="Calibri" w:hAnsi="Calibri" w:cs="Calibri"/>
                <w:b/>
                <w:color w:val="00679B"/>
                <w:sz w:val="20"/>
              </w:rPr>
              <w:t>-20%</w:t>
            </w:r>
          </w:p>
        </w:tc>
      </w:tr>
      <w:tr w:rsidR="00364B4C" w:rsidRPr="00DE0914" w14:paraId="1E8A84E5" w14:textId="77777777" w:rsidTr="00CB6E95">
        <w:trPr>
          <w:cantSplit/>
          <w:jc w:val="center"/>
        </w:trPr>
        <w:tc>
          <w:tcPr>
            <w:tcW w:w="2825"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62F2A990" w14:textId="77777777" w:rsidR="00364B4C" w:rsidRPr="00DE0914" w:rsidRDefault="00364B4C" w:rsidP="00B07AD0">
            <w:pPr>
              <w:keepNext/>
            </w:pPr>
            <w:r w:rsidRPr="00DE0914">
              <w:rPr>
                <w:rFonts w:ascii="Calibri" w:eastAsia="Calibri" w:hAnsi="Calibri" w:cs="Calibri"/>
                <w:color w:val="59595B"/>
                <w:sz w:val="20"/>
              </w:rPr>
              <w:t>Operating result</w:t>
            </w:r>
          </w:p>
        </w:tc>
        <w:tc>
          <w:tcPr>
            <w:tcW w:w="1843"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125FF732" w14:textId="102F7F68" w:rsidR="00364B4C" w:rsidRPr="00DE0914" w:rsidRDefault="00606BB7" w:rsidP="00B07AD0">
            <w:pPr>
              <w:keepNext/>
              <w:jc w:val="center"/>
            </w:pPr>
            <w:r w:rsidRPr="00DE0914">
              <w:rPr>
                <w:rFonts w:ascii="Calibri" w:eastAsia="Calibri" w:hAnsi="Calibri" w:cs="Calibri"/>
                <w:b/>
                <w:color w:val="00679B"/>
                <w:sz w:val="20"/>
              </w:rPr>
              <w:t>6.3</w:t>
            </w:r>
          </w:p>
        </w:tc>
        <w:tc>
          <w:tcPr>
            <w:tcW w:w="1544"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069AF2A3" w14:textId="77777777" w:rsidR="00364B4C" w:rsidRPr="00DE0914" w:rsidRDefault="00364B4C" w:rsidP="00B07AD0">
            <w:pPr>
              <w:keepNext/>
              <w:jc w:val="center"/>
            </w:pPr>
            <w:r w:rsidRPr="00DE0914">
              <w:rPr>
                <w:rFonts w:ascii="Calibri" w:eastAsia="Calibri" w:hAnsi="Calibri" w:cs="Calibri"/>
                <w:b/>
                <w:color w:val="00679B"/>
                <w:sz w:val="20"/>
              </w:rPr>
              <w:t>21.5</w:t>
            </w:r>
          </w:p>
        </w:tc>
        <w:tc>
          <w:tcPr>
            <w:tcW w:w="1729" w:type="dxa"/>
            <w:tcBorders>
              <w:top w:val="nil"/>
              <w:left w:val="single" w:sz="8" w:space="0" w:color="D9D9D9"/>
              <w:bottom w:val="nil"/>
              <w:right w:val="single" w:sz="8" w:space="0" w:color="D9D9D9"/>
            </w:tcBorders>
            <w:shd w:val="clear" w:color="auto" w:fill="FFFFFF"/>
            <w:tcMar>
              <w:top w:w="0" w:type="dxa"/>
              <w:left w:w="53" w:type="dxa"/>
              <w:bottom w:w="0" w:type="dxa"/>
              <w:right w:w="15" w:type="dxa"/>
            </w:tcMar>
            <w:vAlign w:val="center"/>
          </w:tcPr>
          <w:p w14:paraId="015B16E8" w14:textId="77777777" w:rsidR="00364B4C" w:rsidRPr="00DE0914" w:rsidRDefault="00364B4C" w:rsidP="00B07AD0">
            <w:pPr>
              <w:keepNext/>
              <w:jc w:val="center"/>
            </w:pPr>
            <w:r w:rsidRPr="00DE0914">
              <w:rPr>
                <w:rFonts w:ascii="Calibri" w:eastAsia="Calibri" w:hAnsi="Calibri" w:cs="Calibri"/>
                <w:b/>
                <w:color w:val="00679B"/>
                <w:sz w:val="20"/>
              </w:rPr>
              <w:t>-71%</w:t>
            </w:r>
          </w:p>
        </w:tc>
      </w:tr>
      <w:tr w:rsidR="00364B4C" w:rsidRPr="00DE0914" w14:paraId="2FF788C7" w14:textId="77777777" w:rsidTr="00CB6E95">
        <w:trPr>
          <w:cantSplit/>
          <w:jc w:val="center"/>
        </w:trPr>
        <w:tc>
          <w:tcPr>
            <w:tcW w:w="2825"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43190B07" w14:textId="77777777" w:rsidR="00364B4C" w:rsidRPr="00DE0914" w:rsidRDefault="00364B4C" w:rsidP="00B07AD0">
            <w:pPr>
              <w:keepNext/>
            </w:pPr>
            <w:r w:rsidRPr="00DE0914">
              <w:rPr>
                <w:rFonts w:ascii="Calibri" w:eastAsia="Calibri" w:hAnsi="Calibri" w:cs="Calibri"/>
                <w:color w:val="59595B"/>
                <w:sz w:val="20"/>
              </w:rPr>
              <w:t>Finance cost, net</w:t>
            </w:r>
          </w:p>
        </w:tc>
        <w:tc>
          <w:tcPr>
            <w:tcW w:w="1843"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32C8D59C" w14:textId="77777777" w:rsidR="00364B4C" w:rsidRPr="00DE0914" w:rsidRDefault="00364B4C" w:rsidP="00B07AD0">
            <w:pPr>
              <w:keepNext/>
              <w:jc w:val="center"/>
            </w:pPr>
            <w:r w:rsidRPr="00DE0914">
              <w:rPr>
                <w:rFonts w:ascii="Calibri" w:eastAsia="Calibri" w:hAnsi="Calibri" w:cs="Calibri"/>
                <w:b/>
                <w:color w:val="00679B"/>
                <w:sz w:val="20"/>
              </w:rPr>
              <w:t>6.6</w:t>
            </w:r>
          </w:p>
        </w:tc>
        <w:tc>
          <w:tcPr>
            <w:tcW w:w="1544"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5DB79D88" w14:textId="77777777" w:rsidR="00364B4C" w:rsidRPr="00DE0914" w:rsidRDefault="00364B4C" w:rsidP="00B07AD0">
            <w:pPr>
              <w:keepNext/>
              <w:jc w:val="center"/>
            </w:pPr>
            <w:r w:rsidRPr="00DE0914">
              <w:rPr>
                <w:rFonts w:ascii="Calibri" w:eastAsia="Calibri" w:hAnsi="Calibri" w:cs="Calibri"/>
                <w:b/>
                <w:color w:val="00679B"/>
                <w:sz w:val="20"/>
              </w:rPr>
              <w:t>-7.8</w:t>
            </w:r>
          </w:p>
        </w:tc>
        <w:tc>
          <w:tcPr>
            <w:tcW w:w="1729" w:type="dxa"/>
            <w:tcBorders>
              <w:top w:val="nil"/>
              <w:left w:val="single" w:sz="8" w:space="0" w:color="D9D9D9"/>
              <w:bottom w:val="nil"/>
              <w:right w:val="single" w:sz="8" w:space="0" w:color="D9D9D9"/>
            </w:tcBorders>
            <w:shd w:val="clear" w:color="auto" w:fill="FFFFFF"/>
            <w:tcMar>
              <w:top w:w="0" w:type="dxa"/>
              <w:left w:w="53" w:type="dxa"/>
              <w:bottom w:w="0" w:type="dxa"/>
              <w:right w:w="15" w:type="dxa"/>
            </w:tcMar>
            <w:vAlign w:val="center"/>
          </w:tcPr>
          <w:p w14:paraId="68235EC5" w14:textId="77777777" w:rsidR="00364B4C" w:rsidRPr="00DE0914" w:rsidRDefault="00364B4C" w:rsidP="00B07AD0">
            <w:pPr>
              <w:keepNext/>
              <w:jc w:val="center"/>
            </w:pPr>
            <w:r w:rsidRPr="00D8079E">
              <w:rPr>
                <w:rFonts w:ascii="Calibri" w:eastAsia="Calibri" w:hAnsi="Calibri" w:cs="Calibri"/>
                <w:b/>
                <w:color w:val="00679B"/>
                <w:sz w:val="20"/>
              </w:rPr>
              <w:t>-184%</w:t>
            </w:r>
          </w:p>
        </w:tc>
      </w:tr>
      <w:tr w:rsidR="00364B4C" w:rsidRPr="00DE0914" w14:paraId="5A249913" w14:textId="77777777" w:rsidTr="00CB6E95">
        <w:trPr>
          <w:cantSplit/>
          <w:jc w:val="center"/>
        </w:trPr>
        <w:tc>
          <w:tcPr>
            <w:tcW w:w="2825"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464712A2" w14:textId="77777777" w:rsidR="00364B4C" w:rsidRPr="00DE0914" w:rsidRDefault="00364B4C" w:rsidP="00B07AD0">
            <w:pPr>
              <w:keepNext/>
            </w:pPr>
            <w:r w:rsidRPr="00DE0914">
              <w:rPr>
                <w:rFonts w:ascii="Calibri" w:eastAsia="Calibri" w:hAnsi="Calibri" w:cs="Calibri"/>
                <w:color w:val="59595B"/>
                <w:sz w:val="20"/>
              </w:rPr>
              <w:t>Income tax expense</w:t>
            </w:r>
          </w:p>
        </w:tc>
        <w:tc>
          <w:tcPr>
            <w:tcW w:w="1843"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2FA2B09C" w14:textId="77777777" w:rsidR="00364B4C" w:rsidRPr="00DE0914" w:rsidRDefault="00364B4C" w:rsidP="00B07AD0">
            <w:pPr>
              <w:keepNext/>
              <w:jc w:val="center"/>
            </w:pPr>
            <w:r w:rsidRPr="00DE0914">
              <w:rPr>
                <w:rFonts w:ascii="Calibri" w:eastAsia="Calibri" w:hAnsi="Calibri" w:cs="Calibri"/>
                <w:b/>
                <w:color w:val="00679B"/>
                <w:sz w:val="20"/>
              </w:rPr>
              <w:t>-4.3</w:t>
            </w:r>
          </w:p>
        </w:tc>
        <w:tc>
          <w:tcPr>
            <w:tcW w:w="1544"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0F5E2FC2" w14:textId="77777777" w:rsidR="00364B4C" w:rsidRPr="00DE0914" w:rsidRDefault="00364B4C" w:rsidP="00B07AD0">
            <w:pPr>
              <w:keepNext/>
              <w:jc w:val="center"/>
            </w:pPr>
            <w:r w:rsidRPr="00DE0914">
              <w:rPr>
                <w:rFonts w:ascii="Calibri" w:eastAsia="Calibri" w:hAnsi="Calibri" w:cs="Calibri"/>
                <w:b/>
                <w:color w:val="00679B"/>
                <w:sz w:val="20"/>
              </w:rPr>
              <w:t>-4.4</w:t>
            </w:r>
          </w:p>
        </w:tc>
        <w:tc>
          <w:tcPr>
            <w:tcW w:w="1729" w:type="dxa"/>
            <w:tcBorders>
              <w:top w:val="nil"/>
              <w:left w:val="single" w:sz="8" w:space="0" w:color="D9D9D9"/>
              <w:bottom w:val="nil"/>
              <w:right w:val="single" w:sz="8" w:space="0" w:color="D9D9D9"/>
            </w:tcBorders>
            <w:shd w:val="clear" w:color="auto" w:fill="FFFFFF"/>
            <w:tcMar>
              <w:top w:w="0" w:type="dxa"/>
              <w:left w:w="53" w:type="dxa"/>
              <w:bottom w:w="0" w:type="dxa"/>
              <w:right w:w="15" w:type="dxa"/>
            </w:tcMar>
            <w:vAlign w:val="center"/>
          </w:tcPr>
          <w:p w14:paraId="2B5AEC36" w14:textId="77777777" w:rsidR="00364B4C" w:rsidRPr="00DE0914" w:rsidRDefault="00364B4C" w:rsidP="00B07AD0">
            <w:pPr>
              <w:keepNext/>
              <w:jc w:val="center"/>
            </w:pPr>
            <w:r w:rsidRPr="00DE0914">
              <w:rPr>
                <w:rFonts w:ascii="Calibri" w:eastAsia="Calibri" w:hAnsi="Calibri" w:cs="Calibri"/>
                <w:b/>
                <w:color w:val="00679B"/>
                <w:sz w:val="20"/>
              </w:rPr>
              <w:t>-3%</w:t>
            </w:r>
          </w:p>
        </w:tc>
      </w:tr>
      <w:tr w:rsidR="00364B4C" w:rsidRPr="00DE0914" w14:paraId="6E915FC4" w14:textId="77777777" w:rsidTr="00CB6E95">
        <w:trPr>
          <w:cantSplit/>
          <w:jc w:val="center"/>
        </w:trPr>
        <w:tc>
          <w:tcPr>
            <w:tcW w:w="2825"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4911565A" w14:textId="77777777" w:rsidR="00364B4C" w:rsidRPr="00DE0914" w:rsidRDefault="00364B4C" w:rsidP="00B07AD0">
            <w:pPr>
              <w:keepNext/>
            </w:pPr>
            <w:r w:rsidRPr="00DE0914">
              <w:rPr>
                <w:rFonts w:ascii="Calibri" w:eastAsia="Calibri" w:hAnsi="Calibri" w:cs="Calibri"/>
                <w:color w:val="59595B"/>
                <w:sz w:val="20"/>
              </w:rPr>
              <w:t>Net result</w:t>
            </w:r>
          </w:p>
        </w:tc>
        <w:tc>
          <w:tcPr>
            <w:tcW w:w="1843"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392A9C7A" w14:textId="77777777" w:rsidR="00364B4C" w:rsidRPr="00DE0914" w:rsidRDefault="00364B4C" w:rsidP="00B07AD0">
            <w:pPr>
              <w:keepNext/>
              <w:jc w:val="center"/>
            </w:pPr>
            <w:r w:rsidRPr="00DE0914">
              <w:rPr>
                <w:rFonts w:ascii="Calibri" w:eastAsia="Calibri" w:hAnsi="Calibri" w:cs="Calibri"/>
                <w:b/>
                <w:color w:val="00679B"/>
                <w:sz w:val="20"/>
              </w:rPr>
              <w:t>8.5</w:t>
            </w:r>
          </w:p>
        </w:tc>
        <w:tc>
          <w:tcPr>
            <w:tcW w:w="1544"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32C1CFBC" w14:textId="77777777" w:rsidR="00364B4C" w:rsidRPr="00DE0914" w:rsidRDefault="00364B4C" w:rsidP="00B07AD0">
            <w:pPr>
              <w:keepNext/>
              <w:jc w:val="center"/>
            </w:pPr>
            <w:r w:rsidRPr="00DE0914">
              <w:rPr>
                <w:rFonts w:ascii="Calibri" w:eastAsia="Calibri" w:hAnsi="Calibri" w:cs="Calibri"/>
                <w:b/>
                <w:color w:val="00679B"/>
                <w:sz w:val="20"/>
              </w:rPr>
              <w:t>9.3</w:t>
            </w:r>
          </w:p>
        </w:tc>
        <w:tc>
          <w:tcPr>
            <w:tcW w:w="1729" w:type="dxa"/>
            <w:tcBorders>
              <w:top w:val="nil"/>
              <w:left w:val="single" w:sz="8" w:space="0" w:color="D9D9D9"/>
              <w:bottom w:val="single" w:sz="8" w:space="0" w:color="D9D9D9"/>
              <w:right w:val="single" w:sz="8" w:space="0" w:color="D9D9D9"/>
            </w:tcBorders>
            <w:shd w:val="clear" w:color="auto" w:fill="FFFFFF"/>
            <w:tcMar>
              <w:top w:w="0" w:type="dxa"/>
              <w:left w:w="53" w:type="dxa"/>
              <w:bottom w:w="0" w:type="dxa"/>
              <w:right w:w="15" w:type="dxa"/>
            </w:tcMar>
            <w:vAlign w:val="center"/>
          </w:tcPr>
          <w:p w14:paraId="504B29DA" w14:textId="77777777" w:rsidR="00364B4C" w:rsidRPr="00DE0914" w:rsidRDefault="00364B4C" w:rsidP="00B07AD0">
            <w:pPr>
              <w:keepNext/>
              <w:jc w:val="center"/>
            </w:pPr>
            <w:r w:rsidRPr="00DE0914">
              <w:rPr>
                <w:rFonts w:ascii="Calibri" w:eastAsia="Calibri" w:hAnsi="Calibri" w:cs="Calibri"/>
                <w:b/>
                <w:color w:val="00679B"/>
                <w:sz w:val="20"/>
              </w:rPr>
              <w:t>-9%</w:t>
            </w:r>
          </w:p>
        </w:tc>
      </w:tr>
      <w:tr w:rsidR="00364B4C" w:rsidRPr="00DE0914" w14:paraId="238A3D5C" w14:textId="77777777" w:rsidTr="00CB6E95">
        <w:trPr>
          <w:cantSplit/>
          <w:jc w:val="center"/>
        </w:trPr>
        <w:tc>
          <w:tcPr>
            <w:tcW w:w="2825"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5A13DEA8" w14:textId="77777777" w:rsidR="00364B4C" w:rsidRPr="00DE0914" w:rsidRDefault="00364B4C" w:rsidP="00B07AD0">
            <w:pPr>
              <w:keepNext/>
            </w:pPr>
            <w:r w:rsidRPr="00DE0914">
              <w:rPr>
                <w:rFonts w:ascii="Calibri" w:eastAsia="Calibri" w:hAnsi="Calibri" w:cs="Calibri"/>
                <w:i/>
                <w:color w:val="00679B"/>
                <w:sz w:val="20"/>
              </w:rPr>
              <w:t>Consolidated Balance Sheet</w:t>
            </w:r>
          </w:p>
        </w:tc>
        <w:tc>
          <w:tcPr>
            <w:tcW w:w="1843"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4751C7FF" w14:textId="77777777" w:rsidR="00364B4C" w:rsidRPr="00DE0914" w:rsidRDefault="00364B4C" w:rsidP="00B07AD0">
            <w:pPr>
              <w:keepNext/>
              <w:jc w:val="center"/>
            </w:pPr>
          </w:p>
        </w:tc>
        <w:tc>
          <w:tcPr>
            <w:tcW w:w="1544"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277249DF" w14:textId="77777777" w:rsidR="00364B4C" w:rsidRPr="00DE0914" w:rsidRDefault="00364B4C" w:rsidP="00B07AD0">
            <w:pPr>
              <w:keepNext/>
              <w:jc w:val="center"/>
            </w:pPr>
          </w:p>
        </w:tc>
        <w:tc>
          <w:tcPr>
            <w:tcW w:w="1729" w:type="dxa"/>
            <w:tcBorders>
              <w:top w:val="single" w:sz="8" w:space="0" w:color="D9D9D9"/>
              <w:left w:val="single" w:sz="8" w:space="0" w:color="D9D9D9"/>
              <w:bottom w:val="nil"/>
              <w:right w:val="single" w:sz="8" w:space="0" w:color="D9D9D9"/>
            </w:tcBorders>
            <w:shd w:val="clear" w:color="auto" w:fill="FFFFFF"/>
            <w:tcMar>
              <w:top w:w="0" w:type="dxa"/>
              <w:left w:w="53" w:type="dxa"/>
              <w:bottom w:w="0" w:type="dxa"/>
              <w:right w:w="53" w:type="dxa"/>
            </w:tcMar>
            <w:vAlign w:val="center"/>
          </w:tcPr>
          <w:p w14:paraId="6688A762" w14:textId="77777777" w:rsidR="00364B4C" w:rsidRPr="00DE0914" w:rsidRDefault="00364B4C" w:rsidP="00B07AD0">
            <w:pPr>
              <w:keepNext/>
              <w:jc w:val="center"/>
            </w:pPr>
          </w:p>
        </w:tc>
      </w:tr>
      <w:tr w:rsidR="00364B4C" w:rsidRPr="00DE0914" w14:paraId="4028977C" w14:textId="77777777" w:rsidTr="00CB6E95">
        <w:trPr>
          <w:cantSplit/>
          <w:jc w:val="center"/>
        </w:trPr>
        <w:tc>
          <w:tcPr>
            <w:tcW w:w="2825"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0960B556" w14:textId="77777777" w:rsidR="00364B4C" w:rsidRPr="00DE0914" w:rsidRDefault="00364B4C" w:rsidP="00B07AD0">
            <w:pPr>
              <w:keepNext/>
            </w:pPr>
            <w:r w:rsidRPr="00DE0914">
              <w:rPr>
                <w:rFonts w:ascii="Calibri" w:eastAsia="Calibri" w:hAnsi="Calibri" w:cs="Calibri"/>
                <w:color w:val="59595B"/>
                <w:sz w:val="20"/>
              </w:rPr>
              <w:t>Cash &amp; marketable securities (Including restricted cash)</w:t>
            </w:r>
          </w:p>
        </w:tc>
        <w:tc>
          <w:tcPr>
            <w:tcW w:w="1843"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5E195F95" w14:textId="77777777" w:rsidR="00364B4C" w:rsidRPr="00DE0914" w:rsidRDefault="00364B4C" w:rsidP="00B07AD0">
            <w:pPr>
              <w:keepNext/>
              <w:jc w:val="center"/>
            </w:pPr>
            <w:r w:rsidRPr="00DE0914">
              <w:rPr>
                <w:rFonts w:ascii="Calibri" w:eastAsia="Calibri" w:hAnsi="Calibri" w:cs="Calibri"/>
                <w:b/>
                <w:color w:val="00679B"/>
                <w:sz w:val="20"/>
              </w:rPr>
              <w:t>208.5</w:t>
            </w:r>
          </w:p>
        </w:tc>
        <w:tc>
          <w:tcPr>
            <w:tcW w:w="1544"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0E74D1F1" w14:textId="77777777" w:rsidR="00364B4C" w:rsidRPr="00DE0914" w:rsidRDefault="00364B4C" w:rsidP="00B07AD0">
            <w:pPr>
              <w:keepNext/>
              <w:jc w:val="center"/>
              <w:rPr>
                <w:rFonts w:ascii="Calibri" w:eastAsia="Calibri" w:hAnsi="Calibri" w:cs="Calibri"/>
                <w:b/>
                <w:color w:val="00679B"/>
                <w:sz w:val="20"/>
              </w:rPr>
            </w:pPr>
            <w:r w:rsidRPr="00DE0914">
              <w:rPr>
                <w:rFonts w:ascii="Calibri" w:eastAsia="Calibri" w:hAnsi="Calibri" w:cs="Calibri"/>
                <w:b/>
                <w:color w:val="00679B"/>
                <w:sz w:val="20"/>
              </w:rPr>
              <w:t>149.4</w:t>
            </w:r>
          </w:p>
        </w:tc>
        <w:tc>
          <w:tcPr>
            <w:tcW w:w="1729" w:type="dxa"/>
            <w:tcBorders>
              <w:top w:val="nil"/>
              <w:left w:val="single" w:sz="8" w:space="0" w:color="D9D9D9"/>
              <w:bottom w:val="single" w:sz="8" w:space="0" w:color="D9D9D9"/>
              <w:right w:val="single" w:sz="8" w:space="0" w:color="D9D9D9"/>
            </w:tcBorders>
            <w:shd w:val="clear" w:color="auto" w:fill="FFFFFF"/>
            <w:tcMar>
              <w:top w:w="0" w:type="dxa"/>
              <w:left w:w="53" w:type="dxa"/>
              <w:bottom w:w="0" w:type="dxa"/>
              <w:right w:w="15" w:type="dxa"/>
            </w:tcMar>
            <w:vAlign w:val="center"/>
          </w:tcPr>
          <w:p w14:paraId="32A6B2DD" w14:textId="77777777" w:rsidR="00364B4C" w:rsidRPr="00DE0914" w:rsidRDefault="00364B4C" w:rsidP="00B07AD0">
            <w:pPr>
              <w:keepNext/>
              <w:jc w:val="center"/>
              <w:rPr>
                <w:rFonts w:ascii="Calibri" w:eastAsia="Calibri" w:hAnsi="Calibri" w:cs="Calibri"/>
                <w:b/>
                <w:color w:val="00679B"/>
                <w:sz w:val="20"/>
              </w:rPr>
            </w:pPr>
            <w:r w:rsidRPr="00DE0914">
              <w:rPr>
                <w:rFonts w:ascii="Calibri" w:eastAsia="Calibri" w:hAnsi="Calibri" w:cs="Calibri"/>
                <w:b/>
                <w:color w:val="00679B"/>
                <w:sz w:val="20"/>
              </w:rPr>
              <w:t>40%</w:t>
            </w:r>
          </w:p>
        </w:tc>
      </w:tr>
      <w:tr w:rsidR="00364B4C" w:rsidRPr="00DE0914" w14:paraId="3156D9CF" w14:textId="77777777" w:rsidTr="00CB6E95">
        <w:trPr>
          <w:cantSplit/>
          <w:jc w:val="center"/>
        </w:trPr>
        <w:tc>
          <w:tcPr>
            <w:tcW w:w="2825"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704849A9" w14:textId="77777777" w:rsidR="00364B4C" w:rsidRPr="00DE0914" w:rsidRDefault="00364B4C" w:rsidP="00B07AD0">
            <w:pPr>
              <w:keepNext/>
            </w:pPr>
            <w:r w:rsidRPr="00DE0914">
              <w:rPr>
                <w:rFonts w:ascii="Calibri" w:eastAsia="Calibri" w:hAnsi="Calibri" w:cs="Calibri"/>
                <w:i/>
                <w:color w:val="00679B"/>
                <w:sz w:val="20"/>
              </w:rPr>
              <w:t>Share Information</w:t>
            </w:r>
          </w:p>
        </w:tc>
        <w:tc>
          <w:tcPr>
            <w:tcW w:w="1843"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203EBB87" w14:textId="77777777" w:rsidR="00364B4C" w:rsidRPr="00DE0914" w:rsidRDefault="00364B4C" w:rsidP="00B07AD0">
            <w:pPr>
              <w:keepNext/>
              <w:jc w:val="center"/>
            </w:pPr>
          </w:p>
        </w:tc>
        <w:tc>
          <w:tcPr>
            <w:tcW w:w="1544" w:type="dxa"/>
            <w:tcBorders>
              <w:top w:val="single" w:sz="8" w:space="0" w:color="D9D9D9"/>
              <w:left w:val="single" w:sz="8" w:space="0" w:color="D9D9D9"/>
              <w:bottom w:val="nil"/>
              <w:right w:val="nil"/>
            </w:tcBorders>
            <w:shd w:val="clear" w:color="auto" w:fill="FFFFFF"/>
            <w:tcMar>
              <w:top w:w="0" w:type="dxa"/>
              <w:left w:w="53" w:type="dxa"/>
              <w:bottom w:w="0" w:type="dxa"/>
              <w:right w:w="53" w:type="dxa"/>
            </w:tcMar>
            <w:vAlign w:val="center"/>
          </w:tcPr>
          <w:p w14:paraId="21ACE982" w14:textId="77777777" w:rsidR="00364B4C" w:rsidRPr="00DE0914" w:rsidRDefault="00364B4C" w:rsidP="00B07AD0">
            <w:pPr>
              <w:keepNext/>
              <w:jc w:val="center"/>
              <w:rPr>
                <w:rFonts w:ascii="Calibri" w:eastAsia="Calibri" w:hAnsi="Calibri" w:cs="Calibri"/>
                <w:b/>
                <w:color w:val="00679B"/>
                <w:sz w:val="20"/>
              </w:rPr>
            </w:pPr>
          </w:p>
        </w:tc>
        <w:tc>
          <w:tcPr>
            <w:tcW w:w="1729" w:type="dxa"/>
            <w:tcBorders>
              <w:top w:val="single" w:sz="8" w:space="0" w:color="D9D9D9"/>
              <w:left w:val="single" w:sz="8" w:space="0" w:color="D9D9D9"/>
              <w:bottom w:val="nil"/>
              <w:right w:val="single" w:sz="8" w:space="0" w:color="D9D9D9"/>
            </w:tcBorders>
            <w:shd w:val="clear" w:color="auto" w:fill="FFFFFF"/>
            <w:tcMar>
              <w:top w:w="0" w:type="dxa"/>
              <w:left w:w="53" w:type="dxa"/>
              <w:bottom w:w="0" w:type="dxa"/>
              <w:right w:w="53" w:type="dxa"/>
            </w:tcMar>
            <w:vAlign w:val="center"/>
          </w:tcPr>
          <w:p w14:paraId="0186F44D" w14:textId="77777777" w:rsidR="00364B4C" w:rsidRPr="00DE0914" w:rsidRDefault="00364B4C" w:rsidP="00B07AD0">
            <w:pPr>
              <w:keepNext/>
              <w:jc w:val="center"/>
              <w:rPr>
                <w:rFonts w:ascii="Calibri" w:eastAsia="Calibri" w:hAnsi="Calibri" w:cs="Calibri"/>
                <w:b/>
                <w:color w:val="00679B"/>
                <w:sz w:val="20"/>
              </w:rPr>
            </w:pPr>
          </w:p>
        </w:tc>
      </w:tr>
      <w:tr w:rsidR="00364B4C" w:rsidRPr="00DE0914" w14:paraId="4E722DF9" w14:textId="77777777" w:rsidTr="00CB6E95">
        <w:trPr>
          <w:cantSplit/>
          <w:jc w:val="center"/>
        </w:trPr>
        <w:tc>
          <w:tcPr>
            <w:tcW w:w="2825"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6BEE97A4" w14:textId="77777777" w:rsidR="00364B4C" w:rsidRPr="00DE0914" w:rsidRDefault="00364B4C" w:rsidP="00B07AD0">
            <w:pPr>
              <w:keepNext/>
            </w:pPr>
            <w:r w:rsidRPr="00DE0914">
              <w:rPr>
                <w:rFonts w:ascii="Calibri" w:eastAsia="Calibri" w:hAnsi="Calibri" w:cs="Calibri"/>
                <w:color w:val="59595B"/>
                <w:sz w:val="20"/>
              </w:rPr>
              <w:t>Basic earnings per share (€)</w:t>
            </w:r>
          </w:p>
        </w:tc>
        <w:tc>
          <w:tcPr>
            <w:tcW w:w="1843"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3B3C51D2" w14:textId="77777777" w:rsidR="00364B4C" w:rsidRPr="00DE0914" w:rsidRDefault="00364B4C" w:rsidP="00B07AD0">
            <w:pPr>
              <w:keepNext/>
              <w:jc w:val="center"/>
            </w:pPr>
            <w:r w:rsidRPr="00DE0914">
              <w:rPr>
                <w:rFonts w:ascii="Calibri" w:eastAsia="Calibri" w:hAnsi="Calibri" w:cs="Calibri"/>
                <w:b/>
                <w:color w:val="00679B"/>
                <w:sz w:val="20"/>
              </w:rPr>
              <w:t>0.013</w:t>
            </w:r>
          </w:p>
        </w:tc>
        <w:tc>
          <w:tcPr>
            <w:tcW w:w="1544" w:type="dxa"/>
            <w:tcBorders>
              <w:top w:val="nil"/>
              <w:left w:val="single" w:sz="8" w:space="0" w:color="D9D9D9"/>
              <w:bottom w:val="nil"/>
              <w:right w:val="nil"/>
            </w:tcBorders>
            <w:shd w:val="clear" w:color="auto" w:fill="FFFFFF"/>
            <w:tcMar>
              <w:top w:w="0" w:type="dxa"/>
              <w:left w:w="53" w:type="dxa"/>
              <w:bottom w:w="0" w:type="dxa"/>
              <w:right w:w="53" w:type="dxa"/>
            </w:tcMar>
            <w:vAlign w:val="center"/>
          </w:tcPr>
          <w:p w14:paraId="141BC26E" w14:textId="77777777" w:rsidR="00364B4C" w:rsidRPr="00DE0914" w:rsidRDefault="00364B4C" w:rsidP="00B07AD0">
            <w:pPr>
              <w:keepNext/>
              <w:jc w:val="center"/>
              <w:rPr>
                <w:rFonts w:ascii="Calibri" w:eastAsia="Calibri" w:hAnsi="Calibri" w:cs="Calibri"/>
                <w:b/>
                <w:color w:val="00679B"/>
                <w:sz w:val="20"/>
              </w:rPr>
            </w:pPr>
            <w:r w:rsidRPr="00DE0914">
              <w:rPr>
                <w:rFonts w:ascii="Calibri" w:eastAsia="Calibri" w:hAnsi="Calibri" w:cs="Calibri"/>
                <w:b/>
                <w:color w:val="00679B"/>
                <w:sz w:val="20"/>
              </w:rPr>
              <w:t>0.015</w:t>
            </w:r>
          </w:p>
        </w:tc>
        <w:tc>
          <w:tcPr>
            <w:tcW w:w="1729" w:type="dxa"/>
            <w:tcBorders>
              <w:top w:val="nil"/>
              <w:left w:val="single" w:sz="8" w:space="0" w:color="D9D9D9"/>
              <w:bottom w:val="nil"/>
              <w:right w:val="single" w:sz="8" w:space="0" w:color="D9D9D9"/>
            </w:tcBorders>
            <w:shd w:val="clear" w:color="auto" w:fill="auto"/>
            <w:tcMar>
              <w:top w:w="0" w:type="dxa"/>
              <w:left w:w="53" w:type="dxa"/>
              <w:bottom w:w="0" w:type="dxa"/>
              <w:right w:w="15" w:type="dxa"/>
            </w:tcMar>
            <w:vAlign w:val="center"/>
          </w:tcPr>
          <w:p w14:paraId="07FEA0F9" w14:textId="77777777" w:rsidR="00364B4C" w:rsidRPr="00DE0914" w:rsidRDefault="00364B4C" w:rsidP="00B07AD0">
            <w:pPr>
              <w:keepNext/>
              <w:jc w:val="center"/>
              <w:rPr>
                <w:rFonts w:ascii="Calibri" w:eastAsia="Calibri" w:hAnsi="Calibri" w:cs="Calibri"/>
                <w:b/>
                <w:color w:val="00679B"/>
                <w:sz w:val="20"/>
              </w:rPr>
            </w:pPr>
            <w:r w:rsidRPr="00DE0914">
              <w:rPr>
                <w:rFonts w:ascii="Calibri" w:eastAsia="Calibri" w:hAnsi="Calibri" w:cs="Calibri"/>
                <w:b/>
                <w:color w:val="00679B"/>
                <w:sz w:val="20"/>
              </w:rPr>
              <w:t>-12,6%</w:t>
            </w:r>
          </w:p>
        </w:tc>
      </w:tr>
      <w:tr w:rsidR="00364B4C" w:rsidRPr="00DE0914" w14:paraId="5063C2BB" w14:textId="77777777" w:rsidTr="00CB6E95">
        <w:trPr>
          <w:cantSplit/>
          <w:jc w:val="center"/>
        </w:trPr>
        <w:tc>
          <w:tcPr>
            <w:tcW w:w="2825"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0D5A882B" w14:textId="77777777" w:rsidR="00364B4C" w:rsidRPr="00DE0914" w:rsidRDefault="00364B4C" w:rsidP="00B07AD0">
            <w:r w:rsidRPr="00DE0914">
              <w:rPr>
                <w:rFonts w:ascii="Calibri" w:eastAsia="Calibri" w:hAnsi="Calibri" w:cs="Calibri"/>
                <w:color w:val="59595B"/>
                <w:sz w:val="20"/>
              </w:rPr>
              <w:t>Diluted earnings per share (€)</w:t>
            </w:r>
          </w:p>
        </w:tc>
        <w:tc>
          <w:tcPr>
            <w:tcW w:w="1843"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6526A3E0" w14:textId="77777777" w:rsidR="00364B4C" w:rsidRPr="00DE0914" w:rsidRDefault="00364B4C" w:rsidP="00B07AD0">
            <w:pPr>
              <w:jc w:val="center"/>
            </w:pPr>
            <w:r w:rsidRPr="00DE0914">
              <w:rPr>
                <w:rFonts w:ascii="Calibri" w:eastAsia="Calibri" w:hAnsi="Calibri" w:cs="Calibri"/>
                <w:b/>
                <w:color w:val="00679B"/>
                <w:sz w:val="20"/>
              </w:rPr>
              <w:t>0.013</w:t>
            </w:r>
          </w:p>
        </w:tc>
        <w:tc>
          <w:tcPr>
            <w:tcW w:w="1544" w:type="dxa"/>
            <w:tcBorders>
              <w:top w:val="nil"/>
              <w:left w:val="single" w:sz="8" w:space="0" w:color="D9D9D9"/>
              <w:bottom w:val="single" w:sz="8" w:space="0" w:color="D9D9D9"/>
              <w:right w:val="nil"/>
            </w:tcBorders>
            <w:shd w:val="clear" w:color="auto" w:fill="FFFFFF"/>
            <w:tcMar>
              <w:top w:w="0" w:type="dxa"/>
              <w:left w:w="53" w:type="dxa"/>
              <w:bottom w:w="0" w:type="dxa"/>
              <w:right w:w="53" w:type="dxa"/>
            </w:tcMar>
            <w:vAlign w:val="center"/>
          </w:tcPr>
          <w:p w14:paraId="1669A271" w14:textId="77777777" w:rsidR="00364B4C" w:rsidRPr="00DE0914" w:rsidRDefault="00364B4C" w:rsidP="00364B4C">
            <w:pPr>
              <w:keepNext/>
              <w:jc w:val="center"/>
              <w:rPr>
                <w:rFonts w:ascii="Calibri" w:eastAsia="Calibri" w:hAnsi="Calibri" w:cs="Calibri"/>
                <w:b/>
                <w:color w:val="00679B"/>
                <w:sz w:val="20"/>
              </w:rPr>
            </w:pPr>
            <w:r w:rsidRPr="00DE0914">
              <w:rPr>
                <w:rFonts w:ascii="Calibri" w:eastAsia="Calibri" w:hAnsi="Calibri" w:cs="Calibri"/>
                <w:b/>
                <w:color w:val="00679B"/>
                <w:sz w:val="20"/>
              </w:rPr>
              <w:t>0.013</w:t>
            </w:r>
          </w:p>
        </w:tc>
        <w:tc>
          <w:tcPr>
            <w:tcW w:w="1729" w:type="dxa"/>
            <w:tcBorders>
              <w:top w:val="nil"/>
              <w:left w:val="single" w:sz="8" w:space="0" w:color="D9D9D9"/>
              <w:bottom w:val="single" w:sz="8" w:space="0" w:color="D9D9D9"/>
              <w:right w:val="single" w:sz="8" w:space="0" w:color="D9D9D9"/>
            </w:tcBorders>
            <w:shd w:val="clear" w:color="auto" w:fill="auto"/>
            <w:tcMar>
              <w:top w:w="0" w:type="dxa"/>
              <w:left w:w="53" w:type="dxa"/>
              <w:bottom w:w="0" w:type="dxa"/>
              <w:right w:w="15" w:type="dxa"/>
            </w:tcMar>
            <w:vAlign w:val="center"/>
          </w:tcPr>
          <w:p w14:paraId="6D898943" w14:textId="77777777" w:rsidR="00364B4C" w:rsidRPr="00DE0914" w:rsidRDefault="00364B4C" w:rsidP="00364B4C">
            <w:pPr>
              <w:keepNext/>
              <w:jc w:val="center"/>
              <w:rPr>
                <w:rFonts w:ascii="Calibri" w:eastAsia="Calibri" w:hAnsi="Calibri" w:cs="Calibri"/>
                <w:b/>
                <w:color w:val="00679B"/>
                <w:sz w:val="20"/>
              </w:rPr>
            </w:pPr>
            <w:r w:rsidRPr="00DE0914">
              <w:rPr>
                <w:rFonts w:ascii="Calibri" w:eastAsia="Calibri" w:hAnsi="Calibri" w:cs="Calibri"/>
                <w:b/>
                <w:color w:val="00679B"/>
                <w:sz w:val="20"/>
              </w:rPr>
              <w:t>-0,8%</w:t>
            </w:r>
          </w:p>
        </w:tc>
      </w:tr>
    </w:tbl>
    <w:p w14:paraId="6A944F98" w14:textId="255E70A7" w:rsidR="001B0F60" w:rsidRPr="000B2AAB" w:rsidRDefault="002F101E" w:rsidP="009105C5">
      <w:pPr>
        <w:spacing w:before="120" w:after="120" w:line="276" w:lineRule="auto"/>
        <w:jc w:val="both"/>
        <w:rPr>
          <w:rFonts w:ascii="Calibri" w:eastAsia="Calibri" w:hAnsi="Calibri" w:cs="Calibri"/>
          <w:b/>
          <w:color w:val="00679B"/>
          <w:shd w:val="clear" w:color="auto" w:fill="FFFFFF"/>
        </w:rPr>
      </w:pPr>
      <w:r w:rsidRPr="000B2AAB">
        <w:rPr>
          <w:rFonts w:ascii="Calibri" w:eastAsia="Calibri" w:hAnsi="Calibri" w:cs="Calibri"/>
          <w:b/>
          <w:color w:val="00679B"/>
          <w:shd w:val="clear" w:color="auto" w:fill="FFFFFF"/>
        </w:rPr>
        <w:t xml:space="preserve">Financial highlights </w:t>
      </w:r>
    </w:p>
    <w:p w14:paraId="2375EB02" w14:textId="138FE075" w:rsidR="004D2BD4" w:rsidRPr="00DE0914" w:rsidRDefault="004D2BD4" w:rsidP="009105C5">
      <w:pPr>
        <w:numPr>
          <w:ilvl w:val="0"/>
          <w:numId w:val="3"/>
        </w:numPr>
        <w:spacing w:before="120" w:after="120" w:line="276" w:lineRule="auto"/>
        <w:jc w:val="both"/>
        <w:rPr>
          <w:rFonts w:ascii="Calibri" w:eastAsia="Calibri" w:hAnsi="Calibri" w:cs="Calibri"/>
          <w:b/>
          <w:i/>
          <w:color w:val="59595B"/>
        </w:rPr>
      </w:pPr>
      <w:r w:rsidRPr="00DE0914">
        <w:rPr>
          <w:rFonts w:ascii="Calibri" w:eastAsia="Calibri" w:hAnsi="Calibri" w:cs="Calibri"/>
          <w:color w:val="59595B"/>
        </w:rPr>
        <w:t xml:space="preserve">Revenues for the first quarter of 2021 decreased by 20% to $43.6 million compared to $54.5 million in Q1 2020. </w:t>
      </w:r>
      <w:r w:rsidR="003D5529" w:rsidRPr="00DE0914">
        <w:rPr>
          <w:rFonts w:ascii="Calibri" w:eastAsia="Calibri" w:hAnsi="Calibri" w:cs="Calibri"/>
          <w:color w:val="59595B"/>
        </w:rPr>
        <w:t xml:space="preserve">As previously announced, the progression of the COVID-19 pandemic has resulted in quarterly fluctuations in revenue due to ongoing effects on access to customers and phasing of ordering patterns. </w:t>
      </w:r>
      <w:r w:rsidR="00B32758">
        <w:rPr>
          <w:rFonts w:ascii="Calibri" w:eastAsia="Calibri" w:hAnsi="Calibri" w:cs="Calibri"/>
          <w:color w:val="59595B"/>
        </w:rPr>
        <w:t>In the US</w:t>
      </w:r>
      <w:r w:rsidR="003D5529" w:rsidRPr="00DE0914">
        <w:rPr>
          <w:rFonts w:ascii="Calibri" w:eastAsia="Calibri" w:hAnsi="Calibri" w:cs="Calibri"/>
          <w:color w:val="59595B"/>
        </w:rPr>
        <w:t>, there was a</w:t>
      </w:r>
      <w:r w:rsidR="00961FE2" w:rsidRPr="00DE0914">
        <w:rPr>
          <w:rFonts w:ascii="Calibri" w:eastAsia="Calibri" w:hAnsi="Calibri" w:cs="Calibri"/>
          <w:color w:val="59595B"/>
        </w:rPr>
        <w:t xml:space="preserve"> surge</w:t>
      </w:r>
      <w:r w:rsidR="003D5529" w:rsidRPr="00DE0914">
        <w:rPr>
          <w:rFonts w:ascii="Calibri" w:eastAsia="Calibri" w:hAnsi="Calibri" w:cs="Calibri"/>
          <w:color w:val="59595B"/>
        </w:rPr>
        <w:t xml:space="preserve"> in COVID-19 cases</w:t>
      </w:r>
      <w:r w:rsidR="00B32758">
        <w:rPr>
          <w:rFonts w:ascii="Calibri" w:eastAsia="Calibri" w:hAnsi="Calibri" w:cs="Calibri"/>
          <w:color w:val="59595B"/>
        </w:rPr>
        <w:t xml:space="preserve"> at the end of 2020 and into 2021</w:t>
      </w:r>
      <w:r w:rsidR="003D5529" w:rsidRPr="00DE0914">
        <w:rPr>
          <w:rFonts w:ascii="Calibri" w:eastAsia="Calibri" w:hAnsi="Calibri" w:cs="Calibri"/>
          <w:color w:val="59595B"/>
        </w:rPr>
        <w:t xml:space="preserve">, which </w:t>
      </w:r>
      <w:r w:rsidRPr="00DE0914">
        <w:rPr>
          <w:rFonts w:ascii="Calibri" w:eastAsia="Calibri" w:hAnsi="Calibri" w:cs="Calibri"/>
          <w:color w:val="59595B"/>
        </w:rPr>
        <w:t xml:space="preserve">led to some patients pre-filling of </w:t>
      </w:r>
      <w:r w:rsidR="00041C9A" w:rsidRPr="00DE0914">
        <w:rPr>
          <w:rFonts w:ascii="Calibri" w:eastAsia="Calibri" w:hAnsi="Calibri" w:cs="Calibri"/>
          <w:color w:val="59595B"/>
        </w:rPr>
        <w:t xml:space="preserve">RUCONEST® </w:t>
      </w:r>
      <w:r w:rsidRPr="00DE0914">
        <w:rPr>
          <w:rFonts w:ascii="Calibri" w:eastAsia="Calibri" w:hAnsi="Calibri" w:cs="Calibri"/>
          <w:color w:val="59595B"/>
        </w:rPr>
        <w:t>prescriptions</w:t>
      </w:r>
      <w:r w:rsidR="00B32758">
        <w:rPr>
          <w:rFonts w:ascii="Calibri" w:eastAsia="Calibri" w:hAnsi="Calibri" w:cs="Calibri"/>
          <w:color w:val="59595B"/>
        </w:rPr>
        <w:t xml:space="preserve"> in Q4 2020</w:t>
      </w:r>
      <w:r w:rsidR="00321CB4" w:rsidRPr="00DE0914">
        <w:rPr>
          <w:rFonts w:ascii="Calibri" w:eastAsia="Calibri" w:hAnsi="Calibri" w:cs="Calibri"/>
          <w:color w:val="59595B"/>
        </w:rPr>
        <w:t>. I</w:t>
      </w:r>
      <w:r w:rsidRPr="00DE0914">
        <w:rPr>
          <w:rFonts w:ascii="Calibri" w:eastAsia="Calibri" w:hAnsi="Calibri" w:cs="Calibri"/>
          <w:color w:val="59595B"/>
        </w:rPr>
        <w:t xml:space="preserve">t also resulted in the temporary closure of </w:t>
      </w:r>
      <w:r w:rsidR="00463BD3" w:rsidRPr="00DE0914">
        <w:rPr>
          <w:rFonts w:ascii="Calibri" w:eastAsia="Calibri" w:hAnsi="Calibri" w:cs="Calibri"/>
          <w:color w:val="59595B"/>
        </w:rPr>
        <w:t>the majority of</w:t>
      </w:r>
      <w:r w:rsidRPr="00DE0914">
        <w:rPr>
          <w:rFonts w:ascii="Calibri" w:eastAsia="Calibri" w:hAnsi="Calibri" w:cs="Calibri"/>
          <w:color w:val="59595B"/>
        </w:rPr>
        <w:t xml:space="preserve"> </w:t>
      </w:r>
      <w:r w:rsidR="00961FE2" w:rsidRPr="00DE0914">
        <w:rPr>
          <w:rFonts w:ascii="Calibri" w:eastAsia="Calibri" w:hAnsi="Calibri" w:cs="Calibri"/>
          <w:color w:val="59595B"/>
        </w:rPr>
        <w:t xml:space="preserve">physician </w:t>
      </w:r>
      <w:r w:rsidRPr="00DE0914">
        <w:rPr>
          <w:rFonts w:ascii="Calibri" w:eastAsia="Calibri" w:hAnsi="Calibri" w:cs="Calibri"/>
          <w:color w:val="59595B"/>
        </w:rPr>
        <w:t xml:space="preserve">offices </w:t>
      </w:r>
      <w:r w:rsidR="00041C9A" w:rsidRPr="00DE0914">
        <w:rPr>
          <w:rFonts w:ascii="Calibri" w:eastAsia="Calibri" w:hAnsi="Calibri" w:cs="Calibri"/>
          <w:color w:val="59595B"/>
        </w:rPr>
        <w:t>causing a</w:t>
      </w:r>
      <w:r w:rsidRPr="00DE0914">
        <w:rPr>
          <w:rFonts w:ascii="Calibri" w:eastAsia="Calibri" w:hAnsi="Calibri" w:cs="Calibri"/>
          <w:color w:val="59595B"/>
        </w:rPr>
        <w:t xml:space="preserve"> reduction in routine and diagnostic patient visits</w:t>
      </w:r>
      <w:r w:rsidR="009A53E5" w:rsidRPr="00DE0914">
        <w:rPr>
          <w:rFonts w:ascii="Calibri" w:eastAsia="Calibri" w:hAnsi="Calibri" w:cs="Calibri"/>
          <w:color w:val="59595B"/>
        </w:rPr>
        <w:t xml:space="preserve"> and</w:t>
      </w:r>
      <w:r w:rsidR="002C0614" w:rsidRPr="00DE0914">
        <w:rPr>
          <w:rFonts w:ascii="Calibri" w:eastAsia="Calibri" w:hAnsi="Calibri" w:cs="Calibri"/>
          <w:color w:val="59595B"/>
        </w:rPr>
        <w:t xml:space="preserve"> a slow-down of</w:t>
      </w:r>
      <w:r w:rsidR="00AB671C" w:rsidRPr="00DE0914">
        <w:rPr>
          <w:rFonts w:ascii="Calibri" w:eastAsia="Calibri" w:hAnsi="Calibri" w:cs="Calibri"/>
          <w:color w:val="59595B"/>
        </w:rPr>
        <w:t xml:space="preserve"> </w:t>
      </w:r>
      <w:r w:rsidRPr="00DE0914">
        <w:rPr>
          <w:rFonts w:ascii="Calibri" w:eastAsia="Calibri" w:hAnsi="Calibri" w:cs="Calibri"/>
          <w:color w:val="59595B"/>
        </w:rPr>
        <w:t xml:space="preserve">annual </w:t>
      </w:r>
      <w:r w:rsidR="00163440" w:rsidRPr="00DE0914">
        <w:rPr>
          <w:rFonts w:ascii="Calibri" w:eastAsia="Calibri" w:hAnsi="Calibri" w:cs="Calibri"/>
          <w:color w:val="59595B"/>
        </w:rPr>
        <w:t>renewals</w:t>
      </w:r>
      <w:r w:rsidR="00CC2101" w:rsidRPr="00DE0914">
        <w:rPr>
          <w:rFonts w:ascii="Calibri" w:eastAsia="Calibri" w:hAnsi="Calibri" w:cs="Calibri"/>
          <w:color w:val="59595B"/>
        </w:rPr>
        <w:t xml:space="preserve"> of prescriptions</w:t>
      </w:r>
      <w:r w:rsidR="002C0614" w:rsidRPr="00DE0914">
        <w:rPr>
          <w:rFonts w:ascii="Calibri" w:eastAsia="Calibri" w:hAnsi="Calibri" w:cs="Calibri"/>
          <w:color w:val="59595B"/>
        </w:rPr>
        <w:t>.</w:t>
      </w:r>
      <w:r w:rsidRPr="00DE0914">
        <w:rPr>
          <w:rFonts w:ascii="Calibri" w:eastAsia="Calibri" w:hAnsi="Calibri" w:cs="Calibri"/>
          <w:color w:val="59595B"/>
        </w:rPr>
        <w:t xml:space="preserve"> The combination of these factors led to lower </w:t>
      </w:r>
      <w:r w:rsidR="00041C9A" w:rsidRPr="00DE0914">
        <w:rPr>
          <w:rFonts w:ascii="Calibri" w:eastAsia="Calibri" w:hAnsi="Calibri" w:cs="Calibri"/>
          <w:color w:val="59595B"/>
        </w:rPr>
        <w:t xml:space="preserve">prescription </w:t>
      </w:r>
      <w:r w:rsidRPr="00DE0914">
        <w:rPr>
          <w:rFonts w:ascii="Calibri" w:eastAsia="Calibri" w:hAnsi="Calibri" w:cs="Calibri"/>
          <w:color w:val="59595B"/>
        </w:rPr>
        <w:t xml:space="preserve">refill rates by patients still </w:t>
      </w:r>
      <w:r w:rsidR="00321CB4" w:rsidRPr="00DE0914">
        <w:rPr>
          <w:rFonts w:ascii="Calibri" w:eastAsia="Calibri" w:hAnsi="Calibri" w:cs="Calibri"/>
          <w:color w:val="59595B"/>
        </w:rPr>
        <w:t>using</w:t>
      </w:r>
      <w:r w:rsidR="00810258" w:rsidRPr="00DE0914">
        <w:rPr>
          <w:rFonts w:ascii="Calibri" w:eastAsia="Calibri" w:hAnsi="Calibri" w:cs="Calibri"/>
          <w:color w:val="59595B"/>
        </w:rPr>
        <w:t xml:space="preserve"> their</w:t>
      </w:r>
      <w:r w:rsidR="00321CB4" w:rsidRPr="00DE0914">
        <w:rPr>
          <w:rFonts w:ascii="Calibri" w:eastAsia="Calibri" w:hAnsi="Calibri" w:cs="Calibri"/>
          <w:color w:val="59595B"/>
        </w:rPr>
        <w:t xml:space="preserve"> </w:t>
      </w:r>
      <w:r w:rsidR="00B32758">
        <w:rPr>
          <w:rFonts w:ascii="Calibri" w:eastAsia="Calibri" w:hAnsi="Calibri" w:cs="Calibri"/>
          <w:color w:val="59595B"/>
        </w:rPr>
        <w:t xml:space="preserve">additional </w:t>
      </w:r>
      <w:r w:rsidR="003716FC" w:rsidRPr="00DE0914">
        <w:rPr>
          <w:rFonts w:ascii="Calibri" w:eastAsia="Calibri" w:hAnsi="Calibri" w:cs="Calibri"/>
          <w:color w:val="59595B"/>
        </w:rPr>
        <w:t xml:space="preserve">RUCONEST® </w:t>
      </w:r>
      <w:r w:rsidRPr="00DE0914">
        <w:rPr>
          <w:rFonts w:ascii="Calibri" w:eastAsia="Calibri" w:hAnsi="Calibri" w:cs="Calibri"/>
          <w:color w:val="59595B"/>
        </w:rPr>
        <w:t>stock</w:t>
      </w:r>
      <w:r w:rsidR="00041C9A" w:rsidRPr="00DE0914">
        <w:rPr>
          <w:rFonts w:ascii="Calibri" w:eastAsia="Calibri" w:hAnsi="Calibri" w:cs="Calibri"/>
          <w:color w:val="59595B"/>
        </w:rPr>
        <w:t xml:space="preserve"> from Q4 2020</w:t>
      </w:r>
      <w:r w:rsidRPr="00DE0914">
        <w:rPr>
          <w:rFonts w:ascii="Calibri" w:eastAsia="Calibri" w:hAnsi="Calibri" w:cs="Calibri"/>
          <w:color w:val="59595B"/>
        </w:rPr>
        <w:t xml:space="preserve"> and a reduction in new patient enrollments in the first part of Q1</w:t>
      </w:r>
      <w:r w:rsidR="00041C9A" w:rsidRPr="00DE0914">
        <w:rPr>
          <w:rFonts w:ascii="Calibri" w:eastAsia="Calibri" w:hAnsi="Calibri" w:cs="Calibri"/>
          <w:color w:val="59595B"/>
        </w:rPr>
        <w:t xml:space="preserve"> 2021</w:t>
      </w:r>
      <w:r w:rsidRPr="00DE0914">
        <w:rPr>
          <w:rFonts w:ascii="Calibri" w:eastAsia="Calibri" w:hAnsi="Calibri" w:cs="Calibri"/>
          <w:color w:val="59595B"/>
        </w:rPr>
        <w:t xml:space="preserve">. </w:t>
      </w:r>
      <w:r w:rsidR="003037C4" w:rsidRPr="00DE0914">
        <w:rPr>
          <w:rFonts w:ascii="Calibri" w:eastAsia="Calibri" w:hAnsi="Calibri" w:cs="Calibri"/>
          <w:color w:val="59595B"/>
        </w:rPr>
        <w:t>T</w:t>
      </w:r>
      <w:r w:rsidRPr="00DE0914">
        <w:rPr>
          <w:rFonts w:ascii="Calibri" w:eastAsia="Calibri" w:hAnsi="Calibri" w:cs="Calibri"/>
          <w:color w:val="59595B"/>
        </w:rPr>
        <w:t xml:space="preserve">owards the end of </w:t>
      </w:r>
      <w:r w:rsidR="00041C9A" w:rsidRPr="00DE0914">
        <w:rPr>
          <w:rFonts w:ascii="Calibri" w:eastAsia="Calibri" w:hAnsi="Calibri" w:cs="Calibri"/>
          <w:color w:val="59595B"/>
        </w:rPr>
        <w:t>Q1 2021</w:t>
      </w:r>
      <w:r w:rsidR="00D550B3" w:rsidRPr="00DE0914">
        <w:rPr>
          <w:rFonts w:ascii="Calibri" w:eastAsia="Calibri" w:hAnsi="Calibri" w:cs="Calibri"/>
          <w:color w:val="59595B"/>
        </w:rPr>
        <w:t xml:space="preserve">, </w:t>
      </w:r>
      <w:r w:rsidRPr="00DE0914">
        <w:rPr>
          <w:rFonts w:ascii="Calibri" w:eastAsia="Calibri" w:hAnsi="Calibri" w:cs="Calibri"/>
          <w:color w:val="59595B"/>
        </w:rPr>
        <w:t>these trends started to reverse</w:t>
      </w:r>
      <w:r w:rsidR="00D550B3" w:rsidRPr="00DE0914">
        <w:rPr>
          <w:rFonts w:ascii="Calibri" w:eastAsia="Calibri" w:hAnsi="Calibri" w:cs="Calibri"/>
          <w:color w:val="59595B"/>
        </w:rPr>
        <w:t>,</w:t>
      </w:r>
      <w:r w:rsidRPr="00DE0914">
        <w:rPr>
          <w:rFonts w:ascii="Calibri" w:eastAsia="Calibri" w:hAnsi="Calibri" w:cs="Calibri"/>
          <w:color w:val="59595B"/>
        </w:rPr>
        <w:t xml:space="preserve"> </w:t>
      </w:r>
      <w:r w:rsidR="00B32758">
        <w:rPr>
          <w:rFonts w:ascii="Calibri" w:eastAsia="Calibri" w:hAnsi="Calibri" w:cs="Calibri"/>
          <w:color w:val="59595B"/>
        </w:rPr>
        <w:t>with</w:t>
      </w:r>
      <w:r w:rsidRPr="00DE0914">
        <w:rPr>
          <w:rFonts w:ascii="Calibri" w:eastAsia="Calibri" w:hAnsi="Calibri" w:cs="Calibri"/>
          <w:color w:val="59595B"/>
        </w:rPr>
        <w:t xml:space="preserve"> a significant increase in new </w:t>
      </w:r>
      <w:r w:rsidR="003716FC" w:rsidRPr="00DE0914">
        <w:rPr>
          <w:rFonts w:ascii="Calibri" w:eastAsia="Calibri" w:hAnsi="Calibri" w:cs="Calibri"/>
          <w:color w:val="59595B"/>
        </w:rPr>
        <w:t>patient</w:t>
      </w:r>
      <w:r w:rsidRPr="00DE0914">
        <w:rPr>
          <w:rFonts w:ascii="Calibri" w:eastAsia="Calibri" w:hAnsi="Calibri" w:cs="Calibri"/>
          <w:color w:val="59595B"/>
        </w:rPr>
        <w:t xml:space="preserve"> enrollment</w:t>
      </w:r>
      <w:r w:rsidR="003037C4" w:rsidRPr="00DE0914">
        <w:rPr>
          <w:rFonts w:ascii="Calibri" w:eastAsia="Calibri" w:hAnsi="Calibri" w:cs="Calibri"/>
          <w:color w:val="59595B"/>
        </w:rPr>
        <w:t xml:space="preserve">. </w:t>
      </w:r>
      <w:r w:rsidR="001149E6" w:rsidRPr="00DE0914">
        <w:rPr>
          <w:rFonts w:ascii="Calibri" w:eastAsia="Calibri" w:hAnsi="Calibri" w:cs="Calibri"/>
          <w:color w:val="59595B"/>
        </w:rPr>
        <w:t>In Europe</w:t>
      </w:r>
      <w:r w:rsidR="00635E26">
        <w:rPr>
          <w:rFonts w:ascii="Calibri" w:eastAsia="Calibri" w:hAnsi="Calibri" w:cs="Calibri"/>
          <w:color w:val="59595B"/>
        </w:rPr>
        <w:t>,</w:t>
      </w:r>
      <w:r w:rsidR="001149E6" w:rsidRPr="00DE0914">
        <w:rPr>
          <w:rFonts w:ascii="Calibri" w:eastAsia="Calibri" w:hAnsi="Calibri" w:cs="Calibri"/>
          <w:color w:val="59595B"/>
        </w:rPr>
        <w:t xml:space="preserve"> demand </w:t>
      </w:r>
      <w:r w:rsidR="00CD2728">
        <w:rPr>
          <w:rFonts w:ascii="Calibri" w:eastAsia="Calibri" w:hAnsi="Calibri" w:cs="Calibri"/>
          <w:color w:val="59595B"/>
        </w:rPr>
        <w:lastRenderedPageBreak/>
        <w:t>remained</w:t>
      </w:r>
      <w:r w:rsidR="001149E6" w:rsidRPr="00DE0914">
        <w:rPr>
          <w:rFonts w:ascii="Calibri" w:eastAsia="Calibri" w:hAnsi="Calibri" w:cs="Calibri"/>
          <w:color w:val="59595B"/>
        </w:rPr>
        <w:t xml:space="preserve"> stable</w:t>
      </w:r>
      <w:r w:rsidR="00EA2FE9" w:rsidRPr="00DE0914">
        <w:rPr>
          <w:rFonts w:ascii="Calibri" w:eastAsia="Calibri" w:hAnsi="Calibri" w:cs="Calibri"/>
          <w:color w:val="59595B"/>
        </w:rPr>
        <w:t>, but growth</w:t>
      </w:r>
      <w:r w:rsidR="00497157" w:rsidRPr="00DE0914">
        <w:rPr>
          <w:rFonts w:ascii="Calibri" w:eastAsia="Calibri" w:hAnsi="Calibri" w:cs="Calibri"/>
          <w:color w:val="59595B"/>
        </w:rPr>
        <w:t xml:space="preserve"> was</w:t>
      </w:r>
      <w:r w:rsidR="00635E26">
        <w:rPr>
          <w:rFonts w:ascii="Calibri" w:eastAsia="Calibri" w:hAnsi="Calibri" w:cs="Calibri"/>
          <w:color w:val="59595B"/>
        </w:rPr>
        <w:t xml:space="preserve"> also</w:t>
      </w:r>
      <w:r w:rsidR="00497157" w:rsidRPr="00DE0914">
        <w:rPr>
          <w:rFonts w:ascii="Calibri" w:eastAsia="Calibri" w:hAnsi="Calibri" w:cs="Calibri"/>
          <w:color w:val="59595B"/>
        </w:rPr>
        <w:t xml:space="preserve"> impacted </w:t>
      </w:r>
      <w:r w:rsidR="00635E26">
        <w:rPr>
          <w:rFonts w:ascii="Calibri" w:eastAsia="Calibri" w:hAnsi="Calibri" w:cs="Calibri"/>
          <w:color w:val="59595B"/>
        </w:rPr>
        <w:t>by a</w:t>
      </w:r>
      <w:r w:rsidR="00EA2FE9" w:rsidRPr="00DE0914">
        <w:rPr>
          <w:rFonts w:ascii="Calibri" w:eastAsia="Calibri" w:hAnsi="Calibri" w:cs="Calibri"/>
          <w:color w:val="59595B"/>
        </w:rPr>
        <w:t xml:space="preserve"> </w:t>
      </w:r>
      <w:r w:rsidR="00C112ED" w:rsidRPr="00DE0914">
        <w:rPr>
          <w:rFonts w:ascii="Calibri" w:eastAsia="Calibri" w:hAnsi="Calibri" w:cs="Calibri"/>
          <w:color w:val="59595B"/>
        </w:rPr>
        <w:t xml:space="preserve">similar chain of events </w:t>
      </w:r>
      <w:r w:rsidR="00635E26">
        <w:rPr>
          <w:rFonts w:ascii="Calibri" w:eastAsia="Calibri" w:hAnsi="Calibri" w:cs="Calibri"/>
          <w:color w:val="59595B"/>
        </w:rPr>
        <w:t xml:space="preserve">seen in the US </w:t>
      </w:r>
      <w:r w:rsidR="00C112ED" w:rsidRPr="00DE0914">
        <w:rPr>
          <w:rFonts w:ascii="Calibri" w:eastAsia="Calibri" w:hAnsi="Calibri" w:cs="Calibri"/>
          <w:color w:val="59595B"/>
        </w:rPr>
        <w:t>caused by COVID-19.</w:t>
      </w:r>
      <w:r w:rsidR="00EA2FE9" w:rsidRPr="00DE0914">
        <w:rPr>
          <w:rFonts w:ascii="Calibri" w:eastAsia="Calibri" w:hAnsi="Calibri" w:cs="Calibri"/>
          <w:color w:val="59595B"/>
        </w:rPr>
        <w:t xml:space="preserve"> </w:t>
      </w:r>
    </w:p>
    <w:p w14:paraId="2AE6C563" w14:textId="2CEE6535" w:rsidR="001B0F60" w:rsidRPr="00DE0914" w:rsidRDefault="002F101E" w:rsidP="009105C5">
      <w:pPr>
        <w:numPr>
          <w:ilvl w:val="0"/>
          <w:numId w:val="3"/>
        </w:numPr>
        <w:spacing w:before="120" w:after="120" w:line="276" w:lineRule="auto"/>
        <w:jc w:val="both"/>
        <w:rPr>
          <w:rFonts w:ascii="Calibri" w:eastAsia="Calibri" w:hAnsi="Calibri" w:cs="Calibri"/>
          <w:b/>
          <w:color w:val="59595B"/>
          <w:sz w:val="22"/>
        </w:rPr>
      </w:pPr>
      <w:r w:rsidRPr="00DE0914">
        <w:rPr>
          <w:rFonts w:ascii="Calibri" w:eastAsia="Calibri" w:hAnsi="Calibri" w:cs="Calibri"/>
          <w:color w:val="59595B"/>
        </w:rPr>
        <w:t xml:space="preserve">Gross profit decreased 20% to $38.7 million (Q1 2020: $48.5 million), </w:t>
      </w:r>
      <w:r w:rsidR="00812A8B" w:rsidRPr="00DE0914">
        <w:rPr>
          <w:rFonts w:ascii="Calibri" w:eastAsia="Calibri" w:hAnsi="Calibri" w:cs="Calibri"/>
          <w:color w:val="59595B"/>
        </w:rPr>
        <w:t xml:space="preserve">mainly </w:t>
      </w:r>
      <w:r w:rsidRPr="00DE0914">
        <w:rPr>
          <w:rFonts w:ascii="Calibri" w:eastAsia="Calibri" w:hAnsi="Calibri" w:cs="Calibri"/>
          <w:color w:val="59595B"/>
        </w:rPr>
        <w:t xml:space="preserve">due to </w:t>
      </w:r>
      <w:r w:rsidR="00812A8B" w:rsidRPr="00DE0914">
        <w:rPr>
          <w:rFonts w:ascii="Calibri" w:eastAsia="Calibri" w:hAnsi="Calibri" w:cs="Calibri"/>
          <w:color w:val="59595B"/>
        </w:rPr>
        <w:t>the</w:t>
      </w:r>
      <w:r w:rsidRPr="00DE0914">
        <w:rPr>
          <w:rFonts w:ascii="Calibri" w:eastAsia="Calibri" w:hAnsi="Calibri" w:cs="Calibri"/>
          <w:color w:val="59595B"/>
        </w:rPr>
        <w:t xml:space="preserve"> decrease in sales in the US.  </w:t>
      </w:r>
    </w:p>
    <w:p w14:paraId="722F4333" w14:textId="0634971B" w:rsidR="001B0F60" w:rsidRPr="00DE0914" w:rsidRDefault="002F101E" w:rsidP="009105C5">
      <w:pPr>
        <w:numPr>
          <w:ilvl w:val="0"/>
          <w:numId w:val="3"/>
        </w:numPr>
        <w:spacing w:before="120" w:after="120" w:line="276" w:lineRule="auto"/>
        <w:jc w:val="both"/>
        <w:rPr>
          <w:rFonts w:ascii="Calibri" w:eastAsia="Calibri" w:hAnsi="Calibri" w:cs="Calibri"/>
          <w:b/>
          <w:color w:val="59595B"/>
        </w:rPr>
      </w:pPr>
      <w:r w:rsidRPr="00DE0914">
        <w:rPr>
          <w:rFonts w:ascii="Calibri" w:eastAsia="Calibri" w:hAnsi="Calibri" w:cs="Calibri"/>
          <w:color w:val="59595B"/>
        </w:rPr>
        <w:t xml:space="preserve">Operating profit decreased </w:t>
      </w:r>
      <w:r w:rsidR="003F23B5" w:rsidRPr="00DE0914">
        <w:rPr>
          <w:rFonts w:ascii="Calibri" w:eastAsia="Calibri" w:hAnsi="Calibri" w:cs="Calibri"/>
          <w:color w:val="59595B"/>
        </w:rPr>
        <w:t xml:space="preserve">to $6.3 million (Q1 2020: $21.5 million), </w:t>
      </w:r>
      <w:r w:rsidR="008D0A08" w:rsidRPr="00DE0914">
        <w:rPr>
          <w:rFonts w:ascii="Calibri" w:eastAsia="Calibri" w:hAnsi="Calibri" w:cs="Calibri"/>
          <w:color w:val="59595B"/>
        </w:rPr>
        <w:t xml:space="preserve">mainly </w:t>
      </w:r>
      <w:r w:rsidR="00812A8B" w:rsidRPr="00DE0914">
        <w:rPr>
          <w:rFonts w:ascii="Calibri" w:eastAsia="Calibri" w:hAnsi="Calibri" w:cs="Calibri"/>
          <w:color w:val="59595B"/>
        </w:rPr>
        <w:t xml:space="preserve">as </w:t>
      </w:r>
      <w:r w:rsidR="00635E26">
        <w:rPr>
          <w:rFonts w:ascii="Calibri" w:eastAsia="Calibri" w:hAnsi="Calibri" w:cs="Calibri"/>
          <w:color w:val="59595B"/>
        </w:rPr>
        <w:t xml:space="preserve">a </w:t>
      </w:r>
      <w:r w:rsidR="00812A8B" w:rsidRPr="00DE0914">
        <w:rPr>
          <w:rFonts w:ascii="Calibri" w:eastAsia="Calibri" w:hAnsi="Calibri" w:cs="Calibri"/>
          <w:color w:val="59595B"/>
        </w:rPr>
        <w:t>result of</w:t>
      </w:r>
      <w:r w:rsidR="00006110" w:rsidRPr="00DE0914">
        <w:rPr>
          <w:rFonts w:ascii="Calibri" w:eastAsia="Calibri" w:hAnsi="Calibri" w:cs="Calibri"/>
          <w:color w:val="59595B"/>
        </w:rPr>
        <w:t xml:space="preserve"> the decreas</w:t>
      </w:r>
      <w:r w:rsidR="0090238B" w:rsidRPr="00DE0914">
        <w:rPr>
          <w:rFonts w:ascii="Calibri" w:eastAsia="Calibri" w:hAnsi="Calibri" w:cs="Calibri"/>
          <w:color w:val="59595B"/>
        </w:rPr>
        <w:t>e</w:t>
      </w:r>
      <w:r w:rsidR="003F23B5" w:rsidRPr="00DE0914">
        <w:rPr>
          <w:rFonts w:ascii="Calibri" w:eastAsia="Calibri" w:hAnsi="Calibri" w:cs="Calibri"/>
          <w:color w:val="59595B"/>
        </w:rPr>
        <w:t xml:space="preserve"> in</w:t>
      </w:r>
      <w:r w:rsidR="00006110" w:rsidRPr="00DE0914">
        <w:rPr>
          <w:rFonts w:ascii="Calibri" w:eastAsia="Calibri" w:hAnsi="Calibri" w:cs="Calibri"/>
          <w:color w:val="59595B"/>
        </w:rPr>
        <w:t xml:space="preserve"> </w:t>
      </w:r>
      <w:r w:rsidR="003F23B5" w:rsidRPr="00DE0914">
        <w:rPr>
          <w:rFonts w:ascii="Calibri" w:eastAsia="Calibri" w:hAnsi="Calibri" w:cs="Calibri"/>
          <w:color w:val="59595B"/>
        </w:rPr>
        <w:t>revenues</w:t>
      </w:r>
      <w:r w:rsidR="00006110" w:rsidRPr="00DE0914">
        <w:rPr>
          <w:rFonts w:ascii="Calibri" w:eastAsia="Calibri" w:hAnsi="Calibri" w:cs="Calibri"/>
          <w:color w:val="59595B"/>
        </w:rPr>
        <w:t xml:space="preserve"> and </w:t>
      </w:r>
      <w:r w:rsidR="00FC1C7C" w:rsidRPr="00DE0914">
        <w:rPr>
          <w:rFonts w:ascii="Calibri" w:eastAsia="Calibri" w:hAnsi="Calibri" w:cs="Calibri"/>
          <w:color w:val="59595B"/>
        </w:rPr>
        <w:t>an increase in operating expenses from $27</w:t>
      </w:r>
      <w:r w:rsidR="00F47D50" w:rsidRPr="00DE0914">
        <w:rPr>
          <w:rFonts w:ascii="Calibri" w:eastAsia="Calibri" w:hAnsi="Calibri" w:cs="Calibri"/>
          <w:color w:val="59595B"/>
        </w:rPr>
        <w:t>.3</w:t>
      </w:r>
      <w:r w:rsidR="00FC1C7C" w:rsidRPr="00DE0914">
        <w:rPr>
          <w:rFonts w:ascii="Calibri" w:eastAsia="Calibri" w:hAnsi="Calibri" w:cs="Calibri"/>
          <w:color w:val="59595B"/>
        </w:rPr>
        <w:t xml:space="preserve"> million in Q1 2020 to $</w:t>
      </w:r>
      <w:r w:rsidR="008E38B0" w:rsidRPr="00DE0914">
        <w:rPr>
          <w:rFonts w:ascii="Calibri" w:eastAsia="Calibri" w:hAnsi="Calibri" w:cs="Calibri"/>
          <w:color w:val="59595B"/>
        </w:rPr>
        <w:t>3</w:t>
      </w:r>
      <w:r w:rsidR="00647DFE" w:rsidRPr="00DE0914">
        <w:rPr>
          <w:rFonts w:ascii="Calibri" w:eastAsia="Calibri" w:hAnsi="Calibri" w:cs="Calibri"/>
          <w:color w:val="59595B"/>
        </w:rPr>
        <w:t>2.7</w:t>
      </w:r>
      <w:r w:rsidR="008E38B0" w:rsidRPr="00DE0914">
        <w:rPr>
          <w:rFonts w:ascii="Calibri" w:eastAsia="Calibri" w:hAnsi="Calibri" w:cs="Calibri"/>
          <w:color w:val="59595B"/>
        </w:rPr>
        <w:t xml:space="preserve"> million in Q1 2021</w:t>
      </w:r>
      <w:r w:rsidR="00681913" w:rsidRPr="00DE0914">
        <w:rPr>
          <w:rFonts w:ascii="Calibri" w:eastAsia="Calibri" w:hAnsi="Calibri" w:cs="Calibri"/>
          <w:color w:val="59595B"/>
        </w:rPr>
        <w:t xml:space="preserve">. </w:t>
      </w:r>
      <w:r w:rsidR="009312D1" w:rsidRPr="00DE0914">
        <w:rPr>
          <w:rFonts w:ascii="Calibri" w:eastAsia="Calibri" w:hAnsi="Calibri" w:cs="Calibri"/>
          <w:color w:val="59595B"/>
        </w:rPr>
        <w:t>This increase was a combination of launch preparation and manufacturing cost for leniolisib ($2.7 million), a significant increase in cost of insurances ($1.0 million), an increase in share-based compensation of $1.1 million and increased compliance and control costs.</w:t>
      </w:r>
      <w:r w:rsidR="000439C5" w:rsidRPr="00DE0914">
        <w:rPr>
          <w:rFonts w:ascii="Calibri" w:eastAsia="Calibri" w:hAnsi="Calibri" w:cs="Calibri"/>
          <w:color w:val="59595B"/>
        </w:rPr>
        <w:t xml:space="preserve"> </w:t>
      </w:r>
      <w:r w:rsidR="00006110" w:rsidRPr="00DE0914">
        <w:rPr>
          <w:rFonts w:ascii="Calibri" w:eastAsia="Calibri" w:hAnsi="Calibri" w:cs="Calibri"/>
          <w:color w:val="59595B"/>
        </w:rPr>
        <w:t xml:space="preserve"> </w:t>
      </w:r>
    </w:p>
    <w:p w14:paraId="1A31EC5F" w14:textId="6C22167C" w:rsidR="001B0F60" w:rsidRPr="00DE0914" w:rsidRDefault="002F101E" w:rsidP="009105C5">
      <w:pPr>
        <w:numPr>
          <w:ilvl w:val="0"/>
          <w:numId w:val="4"/>
        </w:numPr>
        <w:spacing w:before="120" w:after="120" w:line="276" w:lineRule="auto"/>
        <w:jc w:val="both"/>
        <w:rPr>
          <w:rFonts w:ascii="Calibri" w:eastAsia="Calibri" w:hAnsi="Calibri" w:cs="Calibri"/>
          <w:b/>
          <w:color w:val="59595B"/>
          <w:sz w:val="22"/>
        </w:rPr>
      </w:pPr>
      <w:r w:rsidRPr="00DE0914">
        <w:rPr>
          <w:rFonts w:ascii="Calibri" w:eastAsia="Calibri" w:hAnsi="Calibri" w:cs="Calibri"/>
          <w:color w:val="59595B"/>
        </w:rPr>
        <w:t xml:space="preserve">Net profit of $8.5 million decreased </w:t>
      </w:r>
      <w:r w:rsidR="007757A5" w:rsidRPr="00DE0914">
        <w:rPr>
          <w:rFonts w:ascii="Calibri" w:eastAsia="Calibri" w:hAnsi="Calibri" w:cs="Calibri"/>
          <w:color w:val="59595B"/>
        </w:rPr>
        <w:t>9</w:t>
      </w:r>
      <w:r w:rsidRPr="00DE0914">
        <w:rPr>
          <w:rFonts w:ascii="Calibri" w:eastAsia="Calibri" w:hAnsi="Calibri" w:cs="Calibri"/>
          <w:color w:val="59595B"/>
        </w:rPr>
        <w:t>% (Q1 2020: $9.</w:t>
      </w:r>
      <w:r w:rsidR="007757A5" w:rsidRPr="00DE0914">
        <w:rPr>
          <w:rFonts w:ascii="Calibri" w:eastAsia="Calibri" w:hAnsi="Calibri" w:cs="Calibri"/>
          <w:color w:val="59595B"/>
        </w:rPr>
        <w:t>3</w:t>
      </w:r>
      <w:r w:rsidRPr="00DE0914">
        <w:rPr>
          <w:rFonts w:ascii="Calibri" w:eastAsia="Calibri" w:hAnsi="Calibri" w:cs="Calibri"/>
          <w:color w:val="59595B"/>
        </w:rPr>
        <w:t xml:space="preserve"> million)</w:t>
      </w:r>
      <w:r w:rsidR="0090238B" w:rsidRPr="00DE0914">
        <w:rPr>
          <w:rFonts w:ascii="Calibri" w:eastAsia="Calibri" w:hAnsi="Calibri" w:cs="Calibri"/>
          <w:color w:val="59595B"/>
        </w:rPr>
        <w:t xml:space="preserve">. The decrease </w:t>
      </w:r>
      <w:r w:rsidR="00FB47AD" w:rsidRPr="00DE0914">
        <w:rPr>
          <w:rFonts w:ascii="Calibri" w:eastAsia="Calibri" w:hAnsi="Calibri" w:cs="Calibri"/>
          <w:color w:val="59595B"/>
        </w:rPr>
        <w:t xml:space="preserve">was limited </w:t>
      </w:r>
      <w:r w:rsidRPr="00DE0914">
        <w:rPr>
          <w:rFonts w:ascii="Calibri" w:eastAsia="Calibri" w:hAnsi="Calibri" w:cs="Calibri"/>
          <w:color w:val="59595B"/>
        </w:rPr>
        <w:t xml:space="preserve">as a result of a </w:t>
      </w:r>
      <w:r w:rsidR="00FB47AD" w:rsidRPr="00DE0914">
        <w:rPr>
          <w:rFonts w:ascii="Calibri" w:eastAsia="Calibri" w:hAnsi="Calibri" w:cs="Calibri"/>
          <w:color w:val="59595B"/>
        </w:rPr>
        <w:t xml:space="preserve">significant </w:t>
      </w:r>
      <w:r w:rsidRPr="00DE0914">
        <w:rPr>
          <w:rFonts w:ascii="Calibri" w:eastAsia="Calibri" w:hAnsi="Calibri" w:cs="Calibri"/>
          <w:color w:val="59595B"/>
        </w:rPr>
        <w:t>decrease in finance costs from $7.8 milli</w:t>
      </w:r>
      <w:r w:rsidR="00F0650E" w:rsidRPr="00DE0914">
        <w:rPr>
          <w:rFonts w:ascii="Calibri" w:eastAsia="Calibri" w:hAnsi="Calibri" w:cs="Calibri"/>
          <w:color w:val="59595B"/>
        </w:rPr>
        <w:t xml:space="preserve">on in Q1 </w:t>
      </w:r>
      <w:r w:rsidRPr="00DE0914">
        <w:rPr>
          <w:rFonts w:ascii="Calibri" w:eastAsia="Calibri" w:hAnsi="Calibri" w:cs="Calibri"/>
          <w:color w:val="59595B"/>
        </w:rPr>
        <w:t xml:space="preserve">2020 to </w:t>
      </w:r>
      <w:r w:rsidR="00FB47AD" w:rsidRPr="00DE0914">
        <w:rPr>
          <w:rFonts w:ascii="Calibri" w:eastAsia="Calibri" w:hAnsi="Calibri" w:cs="Calibri"/>
          <w:color w:val="59595B"/>
        </w:rPr>
        <w:t xml:space="preserve">a </w:t>
      </w:r>
      <w:r w:rsidRPr="00DE0914">
        <w:rPr>
          <w:rFonts w:ascii="Calibri" w:eastAsia="Calibri" w:hAnsi="Calibri" w:cs="Calibri"/>
          <w:color w:val="59595B"/>
        </w:rPr>
        <w:t>$6.6 million</w:t>
      </w:r>
      <w:r w:rsidR="00FB47AD" w:rsidRPr="00DE0914">
        <w:rPr>
          <w:rFonts w:ascii="Calibri" w:eastAsia="Calibri" w:hAnsi="Calibri" w:cs="Calibri"/>
          <w:color w:val="59595B"/>
        </w:rPr>
        <w:t xml:space="preserve"> </w:t>
      </w:r>
      <w:r w:rsidRPr="00DE0914">
        <w:rPr>
          <w:rFonts w:ascii="Calibri" w:eastAsia="Calibri" w:hAnsi="Calibri" w:cs="Calibri"/>
          <w:color w:val="59595B"/>
        </w:rPr>
        <w:t xml:space="preserve">gain in </w:t>
      </w:r>
      <w:r w:rsidR="00FB47AD" w:rsidRPr="00DE0914">
        <w:rPr>
          <w:rFonts w:ascii="Calibri" w:eastAsia="Calibri" w:hAnsi="Calibri" w:cs="Calibri"/>
          <w:color w:val="59595B"/>
        </w:rPr>
        <w:t xml:space="preserve">Q1 </w:t>
      </w:r>
      <w:r w:rsidRPr="00DE0914">
        <w:rPr>
          <w:rFonts w:ascii="Calibri" w:eastAsia="Calibri" w:hAnsi="Calibri" w:cs="Calibri"/>
          <w:color w:val="59595B"/>
        </w:rPr>
        <w:t>2021</w:t>
      </w:r>
      <w:r w:rsidR="00093970" w:rsidRPr="00DE0914">
        <w:rPr>
          <w:rFonts w:ascii="Calibri" w:eastAsia="Calibri" w:hAnsi="Calibri" w:cs="Calibri"/>
          <w:color w:val="59595B"/>
        </w:rPr>
        <w:t xml:space="preserve">, </w:t>
      </w:r>
      <w:r w:rsidR="00FD489A" w:rsidRPr="00DE0914">
        <w:rPr>
          <w:rFonts w:ascii="Calibri" w:eastAsia="Calibri" w:hAnsi="Calibri" w:cs="Calibri"/>
          <w:color w:val="59595B"/>
        </w:rPr>
        <w:t xml:space="preserve">mainly </w:t>
      </w:r>
      <w:r w:rsidR="00F3246A" w:rsidRPr="00DE0914">
        <w:rPr>
          <w:rFonts w:ascii="Calibri" w:eastAsia="Calibri" w:hAnsi="Calibri" w:cs="Calibri"/>
          <w:color w:val="59595B"/>
        </w:rPr>
        <w:t>due to</w:t>
      </w:r>
      <w:r w:rsidR="00093970" w:rsidRPr="00DE0914">
        <w:rPr>
          <w:rFonts w:ascii="Calibri" w:eastAsia="Calibri" w:hAnsi="Calibri" w:cs="Calibri"/>
          <w:color w:val="59595B"/>
        </w:rPr>
        <w:t xml:space="preserve"> </w:t>
      </w:r>
      <w:r w:rsidR="00C616C7">
        <w:rPr>
          <w:rFonts w:ascii="Calibri" w:eastAsia="Calibri" w:hAnsi="Calibri" w:cs="Calibri"/>
          <w:color w:val="59595B"/>
        </w:rPr>
        <w:t>the successful refinancing in 2020</w:t>
      </w:r>
      <w:r w:rsidR="009F33E6" w:rsidRPr="00DE0914">
        <w:rPr>
          <w:rFonts w:ascii="Calibri" w:eastAsia="Calibri" w:hAnsi="Calibri" w:cs="Calibri"/>
          <w:color w:val="59595B"/>
        </w:rPr>
        <w:t xml:space="preserve"> and </w:t>
      </w:r>
      <w:r w:rsidR="00093970" w:rsidRPr="00DE0914">
        <w:rPr>
          <w:rFonts w:ascii="Calibri" w:eastAsia="Calibri" w:hAnsi="Calibri" w:cs="Calibri"/>
          <w:color w:val="59595B"/>
        </w:rPr>
        <w:t xml:space="preserve">the gains in the </w:t>
      </w:r>
      <w:r w:rsidR="00C616C7">
        <w:rPr>
          <w:rFonts w:ascii="Calibri" w:eastAsia="Calibri" w:hAnsi="Calibri" w:cs="Calibri"/>
          <w:color w:val="59595B"/>
        </w:rPr>
        <w:t xml:space="preserve">US </w:t>
      </w:r>
      <w:r w:rsidR="00063D45">
        <w:rPr>
          <w:rFonts w:ascii="Calibri" w:eastAsia="Calibri" w:hAnsi="Calibri" w:cs="Calibri"/>
          <w:color w:val="59595B"/>
        </w:rPr>
        <w:t>D</w:t>
      </w:r>
      <w:r w:rsidR="00C616C7">
        <w:rPr>
          <w:rFonts w:ascii="Calibri" w:eastAsia="Calibri" w:hAnsi="Calibri" w:cs="Calibri"/>
          <w:color w:val="59595B"/>
        </w:rPr>
        <w:t>ollar/Euro</w:t>
      </w:r>
      <w:r w:rsidR="00772BD1" w:rsidRPr="00DE0914">
        <w:rPr>
          <w:rFonts w:ascii="Calibri" w:eastAsia="Calibri" w:hAnsi="Calibri" w:cs="Calibri"/>
          <w:color w:val="59595B"/>
        </w:rPr>
        <w:t xml:space="preserve"> exchange rate on the US</w:t>
      </w:r>
      <w:r w:rsidR="00C616C7">
        <w:rPr>
          <w:rFonts w:ascii="Calibri" w:eastAsia="Calibri" w:hAnsi="Calibri" w:cs="Calibri"/>
          <w:color w:val="59595B"/>
        </w:rPr>
        <w:t xml:space="preserve"> </w:t>
      </w:r>
      <w:r w:rsidR="00063D45">
        <w:rPr>
          <w:rFonts w:ascii="Calibri" w:eastAsia="Calibri" w:hAnsi="Calibri" w:cs="Calibri"/>
          <w:color w:val="59595B"/>
        </w:rPr>
        <w:t>D</w:t>
      </w:r>
      <w:r w:rsidR="00C616C7">
        <w:rPr>
          <w:rFonts w:ascii="Calibri" w:eastAsia="Calibri" w:hAnsi="Calibri" w:cs="Calibri"/>
          <w:color w:val="59595B"/>
        </w:rPr>
        <w:t>ollar</w:t>
      </w:r>
      <w:r w:rsidR="00772BD1" w:rsidRPr="00DE0914">
        <w:rPr>
          <w:rFonts w:ascii="Calibri" w:eastAsia="Calibri" w:hAnsi="Calibri" w:cs="Calibri"/>
          <w:color w:val="59595B"/>
        </w:rPr>
        <w:t xml:space="preserve"> denominated </w:t>
      </w:r>
      <w:r w:rsidR="00311F5A" w:rsidRPr="00DE0914">
        <w:rPr>
          <w:rFonts w:ascii="Calibri" w:eastAsia="Calibri" w:hAnsi="Calibri" w:cs="Calibri"/>
          <w:color w:val="59595B"/>
        </w:rPr>
        <w:t>flexible deposits</w:t>
      </w:r>
      <w:r w:rsidR="00AA6F29">
        <w:rPr>
          <w:rFonts w:ascii="Calibri" w:eastAsia="Calibri" w:hAnsi="Calibri" w:cs="Calibri"/>
          <w:color w:val="59595B"/>
        </w:rPr>
        <w:t>,</w:t>
      </w:r>
      <w:r w:rsidR="00311F5A" w:rsidRPr="00DE0914">
        <w:rPr>
          <w:rFonts w:ascii="Calibri" w:eastAsia="Calibri" w:hAnsi="Calibri" w:cs="Calibri"/>
          <w:color w:val="59595B"/>
        </w:rPr>
        <w:t xml:space="preserve"> including short-maturing US</w:t>
      </w:r>
      <w:r w:rsidR="00601A3F" w:rsidRPr="00DE0914">
        <w:rPr>
          <w:rFonts w:ascii="Calibri" w:eastAsia="Calibri" w:hAnsi="Calibri" w:cs="Calibri"/>
          <w:color w:val="59595B"/>
        </w:rPr>
        <w:t xml:space="preserve"> </w:t>
      </w:r>
      <w:r w:rsidR="00311F5A" w:rsidRPr="00DE0914">
        <w:rPr>
          <w:rFonts w:ascii="Calibri" w:eastAsia="Calibri" w:hAnsi="Calibri" w:cs="Calibri"/>
          <w:color w:val="59595B"/>
        </w:rPr>
        <w:t>Treasury stocks.</w:t>
      </w:r>
    </w:p>
    <w:p w14:paraId="5169D1CD" w14:textId="41E7AC15" w:rsidR="00B26C36" w:rsidRPr="00DE0914" w:rsidRDefault="00D37505" w:rsidP="009105C5">
      <w:pPr>
        <w:keepNext/>
        <w:numPr>
          <w:ilvl w:val="0"/>
          <w:numId w:val="4"/>
        </w:numPr>
        <w:spacing w:before="120" w:after="120" w:line="276" w:lineRule="auto"/>
        <w:rPr>
          <w:rFonts w:ascii="Calibri" w:eastAsia="Calibri" w:hAnsi="Calibri" w:cs="Calibri"/>
          <w:b/>
          <w:color w:val="59595B"/>
          <w:sz w:val="22"/>
        </w:rPr>
      </w:pPr>
      <w:r w:rsidRPr="00DE0914">
        <w:rPr>
          <w:rFonts w:ascii="Calibri" w:eastAsia="Calibri" w:hAnsi="Calibri" w:cs="Calibri"/>
          <w:color w:val="59595B"/>
        </w:rPr>
        <w:t xml:space="preserve">Positive cashflows from operations </w:t>
      </w:r>
      <w:r w:rsidR="00DD6E54" w:rsidRPr="00DE0914">
        <w:rPr>
          <w:rFonts w:ascii="Calibri" w:eastAsia="Calibri" w:hAnsi="Calibri" w:cs="Calibri"/>
          <w:color w:val="59595B"/>
        </w:rPr>
        <w:t>amounted to</w:t>
      </w:r>
      <w:r w:rsidRPr="00DE0914">
        <w:rPr>
          <w:rFonts w:ascii="Calibri" w:eastAsia="Calibri" w:hAnsi="Calibri" w:cs="Calibri"/>
          <w:color w:val="59595B"/>
        </w:rPr>
        <w:t xml:space="preserve"> </w:t>
      </w:r>
      <w:r w:rsidR="003A263D" w:rsidRPr="00DE0914">
        <w:rPr>
          <w:rFonts w:ascii="Calibri" w:eastAsia="Calibri" w:hAnsi="Calibri" w:cs="Calibri"/>
          <w:color w:val="59595B"/>
        </w:rPr>
        <w:t>$</w:t>
      </w:r>
      <w:r w:rsidR="00606BB7" w:rsidRPr="00DE0914">
        <w:rPr>
          <w:rFonts w:ascii="Calibri" w:eastAsia="Calibri" w:hAnsi="Calibri" w:cs="Calibri"/>
          <w:color w:val="59595B"/>
        </w:rPr>
        <w:t>7.1</w:t>
      </w:r>
      <w:r w:rsidR="00D36FD8" w:rsidRPr="00DE0914">
        <w:rPr>
          <w:rFonts w:ascii="Calibri" w:eastAsia="Calibri" w:hAnsi="Calibri" w:cs="Calibri"/>
          <w:color w:val="59595B"/>
        </w:rPr>
        <w:t xml:space="preserve"> million</w:t>
      </w:r>
      <w:r w:rsidR="00DD6E54" w:rsidRPr="00DE0914">
        <w:rPr>
          <w:rFonts w:ascii="Calibri" w:eastAsia="Calibri" w:hAnsi="Calibri" w:cs="Calibri"/>
          <w:color w:val="59595B"/>
        </w:rPr>
        <w:t xml:space="preserve"> </w:t>
      </w:r>
      <w:r w:rsidR="00A23579" w:rsidRPr="00DE0914">
        <w:rPr>
          <w:rFonts w:ascii="Calibri" w:eastAsia="Calibri" w:hAnsi="Calibri" w:cs="Calibri"/>
          <w:color w:val="59595B"/>
        </w:rPr>
        <w:t>in Q1 2021</w:t>
      </w:r>
      <w:r w:rsidR="00F3246A" w:rsidRPr="00DE0914">
        <w:rPr>
          <w:rFonts w:ascii="Calibri" w:eastAsia="Calibri" w:hAnsi="Calibri" w:cs="Calibri"/>
          <w:color w:val="59595B"/>
        </w:rPr>
        <w:t>. C</w:t>
      </w:r>
      <w:r w:rsidR="006F36BA" w:rsidRPr="00DE0914">
        <w:rPr>
          <w:rFonts w:ascii="Calibri" w:eastAsia="Calibri" w:hAnsi="Calibri" w:cs="Calibri"/>
          <w:color w:val="59595B"/>
        </w:rPr>
        <w:t>ash</w:t>
      </w:r>
      <w:r w:rsidR="00A23579" w:rsidRPr="00DE0914">
        <w:rPr>
          <w:rFonts w:ascii="Calibri" w:eastAsia="Calibri" w:hAnsi="Calibri" w:cs="Calibri"/>
          <w:color w:val="59595B"/>
        </w:rPr>
        <w:t xml:space="preserve"> </w:t>
      </w:r>
      <w:r w:rsidR="002F101E" w:rsidRPr="00DE0914">
        <w:rPr>
          <w:rFonts w:ascii="Calibri" w:eastAsia="Calibri" w:hAnsi="Calibri" w:cs="Calibri"/>
          <w:color w:val="59595B"/>
        </w:rPr>
        <w:t xml:space="preserve">and cash equivalents </w:t>
      </w:r>
      <w:r w:rsidR="00243628" w:rsidRPr="00DE0914">
        <w:rPr>
          <w:rFonts w:ascii="Calibri" w:eastAsia="Calibri" w:hAnsi="Calibri" w:cs="Calibri"/>
          <w:color w:val="59595B"/>
        </w:rPr>
        <w:t>increased by $</w:t>
      </w:r>
      <w:r w:rsidR="00295654" w:rsidRPr="00DE0914">
        <w:rPr>
          <w:rFonts w:ascii="Calibri" w:eastAsia="Calibri" w:hAnsi="Calibri" w:cs="Calibri"/>
          <w:color w:val="59595B"/>
        </w:rPr>
        <w:t xml:space="preserve">1.5 million </w:t>
      </w:r>
      <w:r w:rsidR="00795250" w:rsidRPr="00DE0914">
        <w:rPr>
          <w:rFonts w:ascii="Calibri" w:eastAsia="Calibri" w:hAnsi="Calibri" w:cs="Calibri"/>
          <w:color w:val="59595B"/>
        </w:rPr>
        <w:t>to $206.</w:t>
      </w:r>
      <w:r w:rsidR="00F83D1A" w:rsidRPr="00DE0914">
        <w:rPr>
          <w:rFonts w:ascii="Calibri" w:eastAsia="Calibri" w:hAnsi="Calibri" w:cs="Calibri"/>
          <w:color w:val="59595B"/>
        </w:rPr>
        <w:t>6</w:t>
      </w:r>
      <w:r w:rsidR="00795250" w:rsidRPr="00DE0914">
        <w:rPr>
          <w:rFonts w:ascii="Calibri" w:eastAsia="Calibri" w:hAnsi="Calibri" w:cs="Calibri"/>
          <w:color w:val="59595B"/>
        </w:rPr>
        <w:t xml:space="preserve"> million</w:t>
      </w:r>
      <w:r w:rsidR="00961FE2" w:rsidRPr="00DE0914">
        <w:rPr>
          <w:rFonts w:ascii="Calibri" w:eastAsia="Calibri" w:hAnsi="Calibri" w:cs="Calibri"/>
          <w:color w:val="59595B"/>
        </w:rPr>
        <w:t xml:space="preserve"> </w:t>
      </w:r>
      <w:r w:rsidR="005C0A9F" w:rsidRPr="00DE0914">
        <w:rPr>
          <w:rFonts w:ascii="Calibri" w:eastAsia="Calibri" w:hAnsi="Calibri" w:cs="Calibri"/>
          <w:color w:val="59595B"/>
        </w:rPr>
        <w:t>from $205.2 million</w:t>
      </w:r>
      <w:r w:rsidR="00961FE2" w:rsidRPr="00DE0914">
        <w:rPr>
          <w:rFonts w:ascii="Calibri" w:eastAsia="Calibri" w:hAnsi="Calibri" w:cs="Calibri"/>
          <w:color w:val="59595B"/>
        </w:rPr>
        <w:t xml:space="preserve"> at the end of Q4 2020</w:t>
      </w:r>
      <w:r w:rsidR="00717E7E" w:rsidRPr="00DE0914">
        <w:rPr>
          <w:rFonts w:ascii="Calibri" w:eastAsia="Calibri" w:hAnsi="Calibri" w:cs="Calibri"/>
          <w:color w:val="59595B"/>
        </w:rPr>
        <w:t xml:space="preserve">. </w:t>
      </w:r>
      <w:r w:rsidR="003045BD" w:rsidRPr="00DE0914">
        <w:rPr>
          <w:rFonts w:ascii="Calibri" w:eastAsia="Calibri" w:hAnsi="Calibri" w:cs="Calibri"/>
          <w:color w:val="59595B"/>
        </w:rPr>
        <w:t>Cash and cash equivalent</w:t>
      </w:r>
      <w:r w:rsidR="00AA6F29">
        <w:rPr>
          <w:rFonts w:ascii="Calibri" w:eastAsia="Calibri" w:hAnsi="Calibri" w:cs="Calibri"/>
          <w:color w:val="59595B"/>
        </w:rPr>
        <w:t>s</w:t>
      </w:r>
      <w:r w:rsidR="003045BD" w:rsidRPr="00DE0914">
        <w:rPr>
          <w:rFonts w:ascii="Calibri" w:eastAsia="Calibri" w:hAnsi="Calibri" w:cs="Calibri"/>
          <w:color w:val="59595B"/>
        </w:rPr>
        <w:t xml:space="preserve"> at</w:t>
      </w:r>
      <w:r w:rsidR="00D71803" w:rsidRPr="00DE0914">
        <w:rPr>
          <w:rFonts w:ascii="Calibri" w:eastAsia="Calibri" w:hAnsi="Calibri" w:cs="Calibri"/>
          <w:color w:val="59595B"/>
        </w:rPr>
        <w:t xml:space="preserve"> the end of Q</w:t>
      </w:r>
      <w:r w:rsidR="003045BD" w:rsidRPr="00DE0914">
        <w:rPr>
          <w:rFonts w:ascii="Calibri" w:eastAsia="Calibri" w:hAnsi="Calibri" w:cs="Calibri"/>
          <w:color w:val="59595B"/>
        </w:rPr>
        <w:t>1</w:t>
      </w:r>
      <w:r w:rsidR="00D71803" w:rsidRPr="00DE0914">
        <w:rPr>
          <w:rFonts w:ascii="Calibri" w:eastAsia="Calibri" w:hAnsi="Calibri" w:cs="Calibri"/>
          <w:color w:val="59595B"/>
        </w:rPr>
        <w:t xml:space="preserve"> 2020 </w:t>
      </w:r>
      <w:r w:rsidR="003045BD" w:rsidRPr="00DE0914">
        <w:rPr>
          <w:rFonts w:ascii="Calibri" w:eastAsia="Calibri" w:hAnsi="Calibri" w:cs="Calibri"/>
          <w:color w:val="59595B"/>
        </w:rPr>
        <w:t>w</w:t>
      </w:r>
      <w:r w:rsidR="00C26518" w:rsidRPr="00DE0914">
        <w:rPr>
          <w:rFonts w:ascii="Calibri" w:eastAsia="Calibri" w:hAnsi="Calibri" w:cs="Calibri"/>
          <w:color w:val="59595B"/>
        </w:rPr>
        <w:t>ere</w:t>
      </w:r>
      <w:r w:rsidR="002F101E" w:rsidRPr="00DE0914">
        <w:rPr>
          <w:rFonts w:ascii="Calibri" w:eastAsia="Calibri" w:hAnsi="Calibri" w:cs="Calibri"/>
          <w:color w:val="59595B"/>
        </w:rPr>
        <w:t xml:space="preserve"> $</w:t>
      </w:r>
      <w:r w:rsidR="00EF1C6D" w:rsidRPr="00DE0914">
        <w:rPr>
          <w:rFonts w:ascii="Calibri" w:eastAsia="Calibri" w:hAnsi="Calibri" w:cs="Calibri"/>
          <w:color w:val="59595B"/>
        </w:rPr>
        <w:t>149</w:t>
      </w:r>
      <w:r w:rsidR="002C5856" w:rsidRPr="00DE0914">
        <w:rPr>
          <w:rFonts w:ascii="Calibri" w:eastAsia="Calibri" w:hAnsi="Calibri" w:cs="Calibri"/>
          <w:color w:val="59595B"/>
        </w:rPr>
        <w:t>.4</w:t>
      </w:r>
      <w:r w:rsidR="002F101E" w:rsidRPr="00DE0914">
        <w:rPr>
          <w:rFonts w:ascii="Calibri" w:eastAsia="Calibri" w:hAnsi="Calibri" w:cs="Calibri"/>
          <w:color w:val="59595B"/>
        </w:rPr>
        <w:t xml:space="preserve"> million. </w:t>
      </w:r>
    </w:p>
    <w:p w14:paraId="25DDBC7E" w14:textId="3C1741F4" w:rsidR="006F077A" w:rsidRPr="00DE0914" w:rsidRDefault="006F077A" w:rsidP="009105C5">
      <w:pPr>
        <w:pStyle w:val="ListParagraph"/>
        <w:numPr>
          <w:ilvl w:val="0"/>
          <w:numId w:val="4"/>
        </w:numPr>
        <w:spacing w:before="120" w:after="120"/>
        <w:contextualSpacing w:val="0"/>
        <w:rPr>
          <w:rFonts w:asciiTheme="minorHAnsi" w:eastAsia="Calibri" w:hAnsiTheme="minorHAnsi" w:cstheme="minorHAnsi"/>
          <w:color w:val="59595B"/>
          <w:sz w:val="24"/>
          <w:lang w:val="en-GB"/>
        </w:rPr>
      </w:pPr>
      <w:r w:rsidRPr="00DE0914">
        <w:rPr>
          <w:rFonts w:asciiTheme="minorHAnsi" w:eastAsia="Calibri" w:hAnsiTheme="minorHAnsi" w:cstheme="minorHAnsi"/>
          <w:color w:val="59595B"/>
          <w:sz w:val="24"/>
          <w:lang w:val="en-GB"/>
        </w:rPr>
        <w:t xml:space="preserve">The equity position improved from </w:t>
      </w:r>
      <w:r w:rsidR="005C3108" w:rsidRPr="00DE0914">
        <w:rPr>
          <w:rFonts w:asciiTheme="minorHAnsi" w:eastAsia="Calibri" w:hAnsiTheme="minorHAnsi" w:cstheme="minorHAnsi"/>
          <w:color w:val="59595B"/>
          <w:sz w:val="24"/>
          <w:lang w:val="en-GB"/>
        </w:rPr>
        <w:t>$</w:t>
      </w:r>
      <w:r w:rsidRPr="00DE0914">
        <w:rPr>
          <w:rFonts w:asciiTheme="minorHAnsi" w:eastAsia="Calibri" w:hAnsiTheme="minorHAnsi" w:cstheme="minorHAnsi"/>
          <w:color w:val="59595B"/>
          <w:sz w:val="24"/>
          <w:lang w:val="en-GB"/>
        </w:rPr>
        <w:t>1</w:t>
      </w:r>
      <w:r w:rsidR="005C3108" w:rsidRPr="00DE0914">
        <w:rPr>
          <w:rFonts w:asciiTheme="minorHAnsi" w:eastAsia="Calibri" w:hAnsiTheme="minorHAnsi" w:cstheme="minorHAnsi"/>
          <w:color w:val="59595B"/>
          <w:sz w:val="24"/>
          <w:lang w:val="en-GB"/>
        </w:rPr>
        <w:t>83</w:t>
      </w:r>
      <w:r w:rsidRPr="00DE0914">
        <w:rPr>
          <w:rFonts w:asciiTheme="minorHAnsi" w:eastAsia="Calibri" w:hAnsiTheme="minorHAnsi" w:cstheme="minorHAnsi"/>
          <w:color w:val="59595B"/>
          <w:sz w:val="24"/>
          <w:lang w:val="en-GB"/>
        </w:rPr>
        <w:t>.</w:t>
      </w:r>
      <w:r w:rsidR="005C3108" w:rsidRPr="00DE0914">
        <w:rPr>
          <w:rFonts w:asciiTheme="minorHAnsi" w:eastAsia="Calibri" w:hAnsiTheme="minorHAnsi" w:cstheme="minorHAnsi"/>
          <w:color w:val="59595B"/>
          <w:sz w:val="24"/>
          <w:lang w:val="en-GB"/>
        </w:rPr>
        <w:t>4</w:t>
      </w:r>
      <w:r w:rsidRPr="00DE0914">
        <w:rPr>
          <w:rFonts w:asciiTheme="minorHAnsi" w:eastAsia="Calibri" w:hAnsiTheme="minorHAnsi" w:cstheme="minorHAnsi"/>
          <w:color w:val="59595B"/>
          <w:sz w:val="24"/>
          <w:lang w:val="en-GB"/>
        </w:rPr>
        <w:t xml:space="preserve"> million at the end of </w:t>
      </w:r>
      <w:r w:rsidR="00961FE2" w:rsidRPr="00DE0914">
        <w:rPr>
          <w:rFonts w:asciiTheme="minorHAnsi" w:eastAsia="Calibri" w:hAnsiTheme="minorHAnsi" w:cstheme="minorHAnsi"/>
          <w:color w:val="59595B"/>
          <w:sz w:val="24"/>
          <w:lang w:val="en-GB"/>
        </w:rPr>
        <w:t>Q4</w:t>
      </w:r>
      <w:r w:rsidRPr="00DE0914">
        <w:rPr>
          <w:rFonts w:asciiTheme="minorHAnsi" w:eastAsia="Calibri" w:hAnsiTheme="minorHAnsi" w:cstheme="minorHAnsi"/>
          <w:color w:val="59595B"/>
          <w:sz w:val="24"/>
          <w:lang w:val="en-GB"/>
        </w:rPr>
        <w:t xml:space="preserve"> 20</w:t>
      </w:r>
      <w:r w:rsidR="007F74E9" w:rsidRPr="00DE0914">
        <w:rPr>
          <w:rFonts w:asciiTheme="minorHAnsi" w:eastAsia="Calibri" w:hAnsiTheme="minorHAnsi" w:cstheme="minorHAnsi"/>
          <w:color w:val="59595B"/>
          <w:sz w:val="24"/>
          <w:lang w:val="en-GB"/>
        </w:rPr>
        <w:t>20</w:t>
      </w:r>
      <w:r w:rsidRPr="00DE0914">
        <w:rPr>
          <w:rFonts w:asciiTheme="minorHAnsi" w:eastAsia="Calibri" w:hAnsiTheme="minorHAnsi" w:cstheme="minorHAnsi"/>
          <w:color w:val="59595B"/>
          <w:sz w:val="24"/>
          <w:lang w:val="en-GB"/>
        </w:rPr>
        <w:t xml:space="preserve"> to </w:t>
      </w:r>
      <w:r w:rsidR="005C3108" w:rsidRPr="00DE0914">
        <w:rPr>
          <w:rFonts w:asciiTheme="minorHAnsi" w:eastAsia="Calibri" w:hAnsiTheme="minorHAnsi" w:cstheme="minorHAnsi"/>
          <w:color w:val="59595B"/>
          <w:sz w:val="24"/>
          <w:lang w:val="en-GB"/>
        </w:rPr>
        <w:t>$</w:t>
      </w:r>
      <w:r w:rsidRPr="00DE0914">
        <w:rPr>
          <w:rFonts w:asciiTheme="minorHAnsi" w:eastAsia="Calibri" w:hAnsiTheme="minorHAnsi" w:cstheme="minorHAnsi"/>
          <w:color w:val="59595B"/>
          <w:sz w:val="24"/>
          <w:lang w:val="en-GB"/>
        </w:rPr>
        <w:t>1</w:t>
      </w:r>
      <w:r w:rsidR="005C3108" w:rsidRPr="00DE0914">
        <w:rPr>
          <w:rFonts w:asciiTheme="minorHAnsi" w:eastAsia="Calibri" w:hAnsiTheme="minorHAnsi" w:cstheme="minorHAnsi"/>
          <w:color w:val="59595B"/>
          <w:sz w:val="24"/>
          <w:lang w:val="en-GB"/>
        </w:rPr>
        <w:t>86</w:t>
      </w:r>
      <w:r w:rsidRPr="00DE0914">
        <w:rPr>
          <w:rFonts w:asciiTheme="minorHAnsi" w:eastAsia="Calibri" w:hAnsiTheme="minorHAnsi" w:cstheme="minorHAnsi"/>
          <w:color w:val="59595B"/>
          <w:sz w:val="24"/>
          <w:lang w:val="en-GB"/>
        </w:rPr>
        <w:t>.</w:t>
      </w:r>
      <w:r w:rsidR="005C3108" w:rsidRPr="00DE0914">
        <w:rPr>
          <w:rFonts w:asciiTheme="minorHAnsi" w:eastAsia="Calibri" w:hAnsiTheme="minorHAnsi" w:cstheme="minorHAnsi"/>
          <w:color w:val="59595B"/>
          <w:sz w:val="24"/>
          <w:lang w:val="en-GB"/>
        </w:rPr>
        <w:t>4</w:t>
      </w:r>
      <w:r w:rsidRPr="00DE0914">
        <w:rPr>
          <w:rFonts w:asciiTheme="minorHAnsi" w:eastAsia="Calibri" w:hAnsiTheme="minorHAnsi" w:cstheme="minorHAnsi"/>
          <w:color w:val="59595B"/>
          <w:sz w:val="24"/>
          <w:lang w:val="en-GB"/>
        </w:rPr>
        <w:t xml:space="preserve"> million at the end of </w:t>
      </w:r>
      <w:r w:rsidR="00961FE2" w:rsidRPr="00DE0914">
        <w:rPr>
          <w:rFonts w:asciiTheme="minorHAnsi" w:eastAsia="Calibri" w:hAnsiTheme="minorHAnsi" w:cstheme="minorHAnsi"/>
          <w:color w:val="59595B"/>
          <w:sz w:val="24"/>
          <w:lang w:val="en-GB"/>
        </w:rPr>
        <w:t>Q1</w:t>
      </w:r>
      <w:r w:rsidRPr="00DE0914">
        <w:rPr>
          <w:rFonts w:asciiTheme="minorHAnsi" w:eastAsia="Calibri" w:hAnsiTheme="minorHAnsi" w:cstheme="minorHAnsi"/>
          <w:color w:val="59595B"/>
          <w:sz w:val="24"/>
          <w:lang w:val="en-GB"/>
        </w:rPr>
        <w:t xml:space="preserve"> 202</w:t>
      </w:r>
      <w:r w:rsidR="00D00479" w:rsidRPr="00DE0914">
        <w:rPr>
          <w:rFonts w:asciiTheme="minorHAnsi" w:eastAsia="Calibri" w:hAnsiTheme="minorHAnsi" w:cstheme="minorHAnsi"/>
          <w:color w:val="59595B"/>
          <w:sz w:val="24"/>
          <w:lang w:val="en-GB"/>
        </w:rPr>
        <w:t>1</w:t>
      </w:r>
      <w:r w:rsidRPr="00DE0914">
        <w:rPr>
          <w:rFonts w:asciiTheme="minorHAnsi" w:eastAsia="Calibri" w:hAnsiTheme="minorHAnsi" w:cstheme="minorHAnsi"/>
          <w:color w:val="59595B"/>
          <w:sz w:val="24"/>
          <w:lang w:val="en-GB"/>
        </w:rPr>
        <w:t xml:space="preserve"> (Q1 20</w:t>
      </w:r>
      <w:r w:rsidR="00D00479" w:rsidRPr="00DE0914">
        <w:rPr>
          <w:rFonts w:asciiTheme="minorHAnsi" w:eastAsia="Calibri" w:hAnsiTheme="minorHAnsi" w:cstheme="minorHAnsi"/>
          <w:color w:val="59595B"/>
          <w:sz w:val="24"/>
          <w:lang w:val="en-GB"/>
        </w:rPr>
        <w:t>20</w:t>
      </w:r>
      <w:r w:rsidRPr="00DE0914">
        <w:rPr>
          <w:rFonts w:asciiTheme="minorHAnsi" w:eastAsia="Calibri" w:hAnsiTheme="minorHAnsi" w:cstheme="minorHAnsi"/>
          <w:color w:val="59595B"/>
          <w:sz w:val="24"/>
          <w:lang w:val="en-GB"/>
        </w:rPr>
        <w:t xml:space="preserve">: </w:t>
      </w:r>
      <w:r w:rsidR="00D121D0" w:rsidRPr="00DE0914">
        <w:rPr>
          <w:rFonts w:asciiTheme="minorHAnsi" w:eastAsia="Calibri" w:hAnsiTheme="minorHAnsi" w:cstheme="minorHAnsi"/>
          <w:color w:val="59595B"/>
          <w:sz w:val="24"/>
          <w:lang w:val="en-GB"/>
        </w:rPr>
        <w:t>$126.9</w:t>
      </w:r>
      <w:r w:rsidRPr="00DE0914">
        <w:rPr>
          <w:rFonts w:asciiTheme="minorHAnsi" w:eastAsia="Calibri" w:hAnsiTheme="minorHAnsi" w:cstheme="minorHAnsi"/>
          <w:color w:val="59595B"/>
          <w:sz w:val="24"/>
          <w:lang w:val="en-GB"/>
        </w:rPr>
        <w:t xml:space="preserve"> million). The majority of the increase in equity is related to the net result for </w:t>
      </w:r>
      <w:r w:rsidR="00961FE2" w:rsidRPr="00DE0914">
        <w:rPr>
          <w:rFonts w:asciiTheme="minorHAnsi" w:eastAsia="Calibri" w:hAnsiTheme="minorHAnsi" w:cstheme="minorHAnsi"/>
          <w:color w:val="59595B"/>
          <w:sz w:val="24"/>
          <w:lang w:val="en-GB"/>
        </w:rPr>
        <w:t>Q1 2021</w:t>
      </w:r>
      <w:r w:rsidRPr="00DE0914">
        <w:rPr>
          <w:rFonts w:asciiTheme="minorHAnsi" w:eastAsia="Calibri" w:hAnsiTheme="minorHAnsi" w:cstheme="minorHAnsi"/>
          <w:color w:val="59595B"/>
          <w:sz w:val="24"/>
          <w:lang w:val="en-GB"/>
        </w:rPr>
        <w:t>.</w:t>
      </w:r>
    </w:p>
    <w:p w14:paraId="7CBC91DB" w14:textId="530AEA0C" w:rsidR="00F610F6" w:rsidRPr="00DE0914" w:rsidRDefault="002B65D4" w:rsidP="009105C5">
      <w:pPr>
        <w:pStyle w:val="ListParagraph"/>
        <w:numPr>
          <w:ilvl w:val="0"/>
          <w:numId w:val="4"/>
        </w:numPr>
        <w:spacing w:before="120" w:after="120"/>
        <w:contextualSpacing w:val="0"/>
        <w:rPr>
          <w:rFonts w:asciiTheme="minorHAnsi" w:eastAsia="Calibri" w:hAnsiTheme="minorHAnsi" w:cstheme="minorHAnsi"/>
          <w:color w:val="59595B"/>
          <w:sz w:val="24"/>
          <w:lang w:val="en-GB"/>
        </w:rPr>
      </w:pPr>
      <w:r w:rsidRPr="00DE0914">
        <w:rPr>
          <w:rFonts w:asciiTheme="minorHAnsi" w:eastAsia="Calibri" w:hAnsiTheme="minorHAnsi" w:cstheme="minorHAnsi"/>
          <w:color w:val="59595B"/>
          <w:sz w:val="24"/>
          <w:lang w:val="en-GB"/>
        </w:rPr>
        <w:t>Inventories</w:t>
      </w:r>
      <w:r w:rsidR="00F07931" w:rsidRPr="00DE0914">
        <w:rPr>
          <w:rFonts w:asciiTheme="minorHAnsi" w:eastAsia="Calibri" w:hAnsiTheme="minorHAnsi" w:cstheme="minorHAnsi"/>
          <w:color w:val="59595B"/>
          <w:sz w:val="24"/>
          <w:lang w:val="en-GB"/>
        </w:rPr>
        <w:t xml:space="preserve"> increased </w:t>
      </w:r>
      <w:r w:rsidR="006425E1" w:rsidRPr="00DE0914">
        <w:rPr>
          <w:rFonts w:asciiTheme="minorHAnsi" w:eastAsia="Calibri" w:hAnsiTheme="minorHAnsi" w:cstheme="minorHAnsi"/>
          <w:color w:val="59595B"/>
          <w:sz w:val="24"/>
          <w:lang w:val="en-GB"/>
        </w:rPr>
        <w:t xml:space="preserve">slightly from $21.2 </w:t>
      </w:r>
      <w:r w:rsidR="00AA6F29">
        <w:rPr>
          <w:rFonts w:asciiTheme="minorHAnsi" w:eastAsia="Calibri" w:hAnsiTheme="minorHAnsi" w:cstheme="minorHAnsi"/>
          <w:color w:val="59595B"/>
          <w:sz w:val="24"/>
          <w:lang w:val="en-GB"/>
        </w:rPr>
        <w:t xml:space="preserve">million </w:t>
      </w:r>
      <w:r w:rsidR="00961FE2" w:rsidRPr="00DE0914">
        <w:rPr>
          <w:rFonts w:asciiTheme="minorHAnsi" w:eastAsia="Calibri" w:hAnsiTheme="minorHAnsi" w:cstheme="minorHAnsi"/>
          <w:color w:val="59595B"/>
          <w:sz w:val="24"/>
          <w:lang w:val="en-GB"/>
        </w:rPr>
        <w:t xml:space="preserve">at the end of Q4 2020 </w:t>
      </w:r>
      <w:r w:rsidR="006425E1" w:rsidRPr="00DE0914">
        <w:rPr>
          <w:rFonts w:asciiTheme="minorHAnsi" w:eastAsia="Calibri" w:hAnsiTheme="minorHAnsi" w:cstheme="minorHAnsi"/>
          <w:color w:val="59595B"/>
          <w:sz w:val="24"/>
          <w:lang w:val="en-GB"/>
        </w:rPr>
        <w:t>to</w:t>
      </w:r>
      <w:r w:rsidRPr="00DE0914">
        <w:rPr>
          <w:rFonts w:asciiTheme="minorHAnsi" w:eastAsia="Calibri" w:hAnsiTheme="minorHAnsi" w:cstheme="minorHAnsi"/>
          <w:color w:val="59595B"/>
          <w:sz w:val="24"/>
          <w:lang w:val="en-GB"/>
        </w:rPr>
        <w:t xml:space="preserve"> </w:t>
      </w:r>
      <w:r w:rsidR="00F07931" w:rsidRPr="00DE0914">
        <w:rPr>
          <w:rFonts w:asciiTheme="minorHAnsi" w:eastAsia="Calibri" w:hAnsiTheme="minorHAnsi" w:cstheme="minorHAnsi"/>
          <w:color w:val="59595B"/>
          <w:sz w:val="24"/>
          <w:lang w:val="en-GB"/>
        </w:rPr>
        <w:t>$21.8</w:t>
      </w:r>
      <w:r w:rsidRPr="00DE0914">
        <w:rPr>
          <w:rFonts w:asciiTheme="minorHAnsi" w:eastAsia="Calibri" w:hAnsiTheme="minorHAnsi" w:cstheme="minorHAnsi"/>
          <w:color w:val="59595B"/>
          <w:sz w:val="24"/>
          <w:lang w:val="en-GB"/>
        </w:rPr>
        <w:t xml:space="preserve"> million at the end of </w:t>
      </w:r>
      <w:r w:rsidR="00961FE2" w:rsidRPr="00DE0914">
        <w:rPr>
          <w:rFonts w:asciiTheme="minorHAnsi" w:eastAsia="Calibri" w:hAnsiTheme="minorHAnsi" w:cstheme="minorHAnsi"/>
          <w:color w:val="59595B"/>
          <w:sz w:val="24"/>
          <w:lang w:val="en-GB"/>
        </w:rPr>
        <w:t>Q1</w:t>
      </w:r>
      <w:r w:rsidRPr="00DE0914">
        <w:rPr>
          <w:rFonts w:asciiTheme="minorHAnsi" w:eastAsia="Calibri" w:hAnsiTheme="minorHAnsi" w:cstheme="minorHAnsi"/>
          <w:color w:val="59595B"/>
          <w:sz w:val="24"/>
          <w:lang w:val="en-GB"/>
        </w:rPr>
        <w:t xml:space="preserve"> 2021. </w:t>
      </w:r>
    </w:p>
    <w:p w14:paraId="25B3A1AE" w14:textId="1D936E89" w:rsidR="00CC67AC" w:rsidRPr="00DE0914" w:rsidRDefault="00F610F6" w:rsidP="009105C5">
      <w:pPr>
        <w:pStyle w:val="ListParagraph"/>
        <w:numPr>
          <w:ilvl w:val="0"/>
          <w:numId w:val="4"/>
        </w:numPr>
        <w:spacing w:before="120" w:after="120"/>
        <w:contextualSpacing w:val="0"/>
        <w:rPr>
          <w:rFonts w:asciiTheme="minorHAnsi" w:eastAsia="Calibri" w:hAnsiTheme="minorHAnsi" w:cstheme="minorHAnsi"/>
          <w:color w:val="59595B"/>
          <w:sz w:val="24"/>
          <w:lang w:val="en-GB"/>
        </w:rPr>
      </w:pPr>
      <w:r w:rsidRPr="00DE0914">
        <w:rPr>
          <w:rFonts w:asciiTheme="minorHAnsi" w:eastAsia="Calibri" w:hAnsiTheme="minorHAnsi" w:cstheme="minorHAnsi"/>
          <w:color w:val="59595B"/>
          <w:sz w:val="24"/>
          <w:lang w:val="en-GB"/>
        </w:rPr>
        <w:t xml:space="preserve">Since the last reporting date of 6 April 2021, the Company has issued 3,406,250 shares in connection with exercises of options and long-term incentive plans under the current </w:t>
      </w:r>
      <w:r w:rsidR="0048753D">
        <w:rPr>
          <w:rFonts w:asciiTheme="minorHAnsi" w:eastAsia="Calibri" w:hAnsiTheme="minorHAnsi" w:cstheme="minorHAnsi"/>
          <w:color w:val="59595B"/>
          <w:sz w:val="24"/>
          <w:lang w:val="en-GB"/>
        </w:rPr>
        <w:t>share</w:t>
      </w:r>
      <w:r w:rsidR="00D8079E">
        <w:rPr>
          <w:rFonts w:asciiTheme="minorHAnsi" w:eastAsia="Calibri" w:hAnsiTheme="minorHAnsi" w:cstheme="minorHAnsi"/>
          <w:color w:val="59595B"/>
          <w:sz w:val="24"/>
          <w:lang w:val="en-GB"/>
        </w:rPr>
        <w:t>-</w:t>
      </w:r>
      <w:r w:rsidR="0048753D">
        <w:rPr>
          <w:rFonts w:asciiTheme="minorHAnsi" w:eastAsia="Calibri" w:hAnsiTheme="minorHAnsi" w:cstheme="minorHAnsi"/>
          <w:color w:val="59595B"/>
          <w:sz w:val="24"/>
          <w:lang w:val="en-GB"/>
        </w:rPr>
        <w:t>based compensation plan</w:t>
      </w:r>
      <w:r w:rsidRPr="00DE0914">
        <w:rPr>
          <w:rFonts w:asciiTheme="minorHAnsi" w:eastAsia="Calibri" w:hAnsiTheme="minorHAnsi" w:cstheme="minorHAnsi"/>
          <w:color w:val="59595B"/>
          <w:sz w:val="24"/>
          <w:lang w:val="en-GB"/>
        </w:rPr>
        <w:t>. The number of issued shares as at 13 May 2021 is 644,696,264. The fully diluted number of shares as at 13 May 2021 is 763,632,543.</w:t>
      </w:r>
    </w:p>
    <w:p w14:paraId="5D62D877" w14:textId="3457FB29" w:rsidR="001B0F60" w:rsidRPr="000B2AAB" w:rsidRDefault="002F101E" w:rsidP="009105C5">
      <w:pPr>
        <w:spacing w:before="120" w:after="120" w:line="276" w:lineRule="auto"/>
        <w:jc w:val="both"/>
        <w:rPr>
          <w:rFonts w:ascii="Calibri" w:eastAsia="Calibri" w:hAnsi="Calibri" w:cs="Calibri"/>
          <w:b/>
          <w:color w:val="00679B"/>
          <w:shd w:val="clear" w:color="auto" w:fill="FFFFFF"/>
        </w:rPr>
      </w:pPr>
      <w:r w:rsidRPr="000B2AAB">
        <w:rPr>
          <w:rFonts w:ascii="Calibri" w:eastAsia="Calibri" w:hAnsi="Calibri" w:cs="Calibri"/>
          <w:b/>
          <w:color w:val="00679B"/>
          <w:shd w:val="clear" w:color="auto" w:fill="FFFFFF"/>
        </w:rPr>
        <w:t>Operational highlights</w:t>
      </w:r>
    </w:p>
    <w:p w14:paraId="34173934" w14:textId="77777777" w:rsidR="001B0F60" w:rsidRPr="00ED73D8" w:rsidRDefault="002F101E" w:rsidP="00ED73D8">
      <w:pPr>
        <w:pStyle w:val="ListParagraph"/>
        <w:numPr>
          <w:ilvl w:val="0"/>
          <w:numId w:val="4"/>
        </w:numPr>
        <w:spacing w:before="120" w:after="120"/>
        <w:contextualSpacing w:val="0"/>
        <w:rPr>
          <w:rFonts w:asciiTheme="minorHAnsi" w:eastAsia="Calibri" w:hAnsiTheme="minorHAnsi" w:cstheme="minorHAnsi"/>
          <w:color w:val="59595B"/>
          <w:sz w:val="24"/>
          <w:lang w:val="en-GB"/>
        </w:rPr>
      </w:pPr>
      <w:r w:rsidRPr="00ED73D8">
        <w:rPr>
          <w:rFonts w:asciiTheme="minorHAnsi" w:eastAsia="Calibri" w:hAnsiTheme="minorHAnsi" w:cstheme="minorHAnsi"/>
          <w:color w:val="59595B"/>
          <w:sz w:val="24"/>
          <w:lang w:val="en-GB"/>
        </w:rPr>
        <w:t>Launched genetic testing program ‘navigateAPDS’ in collaboration with Invitae Corporation in the US and Canada to improve genetic testing for activated PI3K delta syndrome (APDS).</w:t>
      </w:r>
    </w:p>
    <w:p w14:paraId="79FA4FE9" w14:textId="441DC42E" w:rsidR="001B0F60" w:rsidRPr="00ED73D8" w:rsidRDefault="002F101E" w:rsidP="00ED73D8">
      <w:pPr>
        <w:pStyle w:val="ListParagraph"/>
        <w:numPr>
          <w:ilvl w:val="0"/>
          <w:numId w:val="4"/>
        </w:numPr>
        <w:spacing w:before="120" w:after="120"/>
        <w:contextualSpacing w:val="0"/>
        <w:rPr>
          <w:rFonts w:asciiTheme="minorHAnsi" w:eastAsia="Calibri" w:hAnsiTheme="minorHAnsi" w:cstheme="minorHAnsi"/>
          <w:color w:val="59595B"/>
          <w:sz w:val="24"/>
          <w:lang w:val="en-GB"/>
        </w:rPr>
      </w:pPr>
      <w:r w:rsidRPr="00ED73D8">
        <w:rPr>
          <w:rFonts w:asciiTheme="minorHAnsi" w:eastAsia="Calibri" w:hAnsiTheme="minorHAnsi" w:cstheme="minorHAnsi"/>
          <w:color w:val="59595B"/>
          <w:sz w:val="24"/>
          <w:lang w:val="en-GB"/>
        </w:rPr>
        <w:t>Announced the intention to nominate three Non-Executive Directors</w:t>
      </w:r>
      <w:r w:rsidR="00961FE2" w:rsidRPr="00ED73D8">
        <w:rPr>
          <w:rFonts w:asciiTheme="minorHAnsi" w:eastAsia="Calibri" w:hAnsiTheme="minorHAnsi" w:cstheme="minorHAnsi"/>
          <w:color w:val="59595B"/>
          <w:sz w:val="24"/>
          <w:lang w:val="en-GB"/>
        </w:rPr>
        <w:t>,</w:t>
      </w:r>
      <w:r w:rsidRPr="00ED73D8">
        <w:rPr>
          <w:rFonts w:asciiTheme="minorHAnsi" w:eastAsia="Calibri" w:hAnsiTheme="minorHAnsi" w:cstheme="minorHAnsi"/>
          <w:color w:val="59595B"/>
          <w:sz w:val="24"/>
          <w:lang w:val="en-GB"/>
        </w:rPr>
        <w:t xml:space="preserve"> Steven Baert, Leon Kruimer and Jabine van der Meijs</w:t>
      </w:r>
      <w:r w:rsidR="00961FE2" w:rsidRPr="00ED73D8">
        <w:rPr>
          <w:rFonts w:asciiTheme="minorHAnsi" w:eastAsia="Calibri" w:hAnsiTheme="minorHAnsi" w:cstheme="minorHAnsi"/>
          <w:color w:val="59595B"/>
          <w:sz w:val="24"/>
          <w:lang w:val="en-GB"/>
        </w:rPr>
        <w:t>,</w:t>
      </w:r>
      <w:r w:rsidRPr="00ED73D8">
        <w:rPr>
          <w:rFonts w:asciiTheme="minorHAnsi" w:eastAsia="Calibri" w:hAnsiTheme="minorHAnsi" w:cstheme="minorHAnsi"/>
          <w:color w:val="59595B"/>
          <w:sz w:val="24"/>
          <w:lang w:val="en-GB"/>
        </w:rPr>
        <w:t xml:space="preserve"> </w:t>
      </w:r>
      <w:r w:rsidR="00650D30" w:rsidRPr="00ED73D8">
        <w:rPr>
          <w:rFonts w:asciiTheme="minorHAnsi" w:eastAsia="Calibri" w:hAnsiTheme="minorHAnsi" w:cstheme="minorHAnsi"/>
          <w:color w:val="59595B"/>
          <w:sz w:val="24"/>
          <w:lang w:val="en-GB"/>
        </w:rPr>
        <w:t>which completes the required transition in the board after the maximum term of office for certain Non-Executive Directors was reached according to the Dutch Corporate Governance Code.</w:t>
      </w:r>
      <w:r w:rsidRPr="00ED73D8">
        <w:rPr>
          <w:rFonts w:asciiTheme="minorHAnsi" w:eastAsia="Calibri" w:hAnsiTheme="minorHAnsi" w:cstheme="minorHAnsi"/>
          <w:color w:val="59595B"/>
          <w:sz w:val="24"/>
          <w:lang w:val="en-GB"/>
        </w:rPr>
        <w:t xml:space="preserve"> </w:t>
      </w:r>
    </w:p>
    <w:p w14:paraId="1B20E019" w14:textId="732DA594" w:rsidR="001B0F60" w:rsidRPr="000B2AAB" w:rsidRDefault="002F101E" w:rsidP="009105C5">
      <w:pPr>
        <w:spacing w:before="120" w:after="120" w:line="276" w:lineRule="auto"/>
        <w:jc w:val="both"/>
        <w:rPr>
          <w:rFonts w:ascii="Calibri" w:eastAsia="Calibri" w:hAnsi="Calibri" w:cs="Calibri"/>
          <w:b/>
          <w:color w:val="00679B"/>
          <w:shd w:val="clear" w:color="auto" w:fill="FFFFFF"/>
        </w:rPr>
      </w:pPr>
      <w:r w:rsidRPr="000B2AAB">
        <w:rPr>
          <w:rFonts w:ascii="Calibri" w:eastAsia="Calibri" w:hAnsi="Calibri" w:cs="Calibri"/>
          <w:b/>
          <w:color w:val="00679B"/>
          <w:shd w:val="clear" w:color="auto" w:fill="FFFFFF"/>
        </w:rPr>
        <w:t>Post-period operational highlights</w:t>
      </w:r>
    </w:p>
    <w:p w14:paraId="5741E98F" w14:textId="15D25670" w:rsidR="001B0F60" w:rsidRPr="00DE0914" w:rsidRDefault="002F101E" w:rsidP="009105C5">
      <w:pPr>
        <w:numPr>
          <w:ilvl w:val="0"/>
          <w:numId w:val="6"/>
        </w:numPr>
        <w:spacing w:before="120" w:after="120" w:line="276" w:lineRule="auto"/>
        <w:jc w:val="both"/>
        <w:rPr>
          <w:rFonts w:ascii="Calibri" w:eastAsia="Calibri" w:hAnsi="Calibri" w:cs="Calibri"/>
          <w:b/>
          <w:color w:val="59595B"/>
        </w:rPr>
      </w:pPr>
      <w:r w:rsidRPr="00DE0914">
        <w:rPr>
          <w:rFonts w:ascii="Calibri" w:eastAsia="Calibri" w:hAnsi="Calibri" w:cs="Calibri"/>
          <w:color w:val="59595B"/>
        </w:rPr>
        <w:lastRenderedPageBreak/>
        <w:t>Initiated enrollment of first patient in multi</w:t>
      </w:r>
      <w:r w:rsidR="00A2386C" w:rsidRPr="00DE0914">
        <w:rPr>
          <w:rFonts w:ascii="Calibri" w:eastAsia="Calibri" w:hAnsi="Calibri" w:cs="Calibri"/>
          <w:color w:val="59595B"/>
        </w:rPr>
        <w:t>-</w:t>
      </w:r>
      <w:r w:rsidRPr="00DE0914">
        <w:rPr>
          <w:rFonts w:ascii="Calibri" w:eastAsia="Calibri" w:hAnsi="Calibri" w:cs="Calibri"/>
          <w:color w:val="59595B"/>
        </w:rPr>
        <w:t xml:space="preserve">center Phase IIb clinical trial of RUCONEST® for the prevention of acute kidney injury after myocardial infarction. </w:t>
      </w:r>
    </w:p>
    <w:p w14:paraId="13186E96" w14:textId="4E680D40" w:rsidR="001B0F60" w:rsidRPr="00DE0914" w:rsidRDefault="002F101E" w:rsidP="009105C5">
      <w:pPr>
        <w:spacing w:before="120" w:after="120" w:line="276" w:lineRule="auto"/>
        <w:jc w:val="both"/>
        <w:rPr>
          <w:rFonts w:ascii="Calibri" w:eastAsia="Calibri" w:hAnsi="Calibri" w:cs="Calibri"/>
          <w:b/>
          <w:i/>
          <w:color w:val="59595B"/>
          <w:sz w:val="28"/>
          <w:shd w:val="clear" w:color="auto" w:fill="FFFFFF"/>
        </w:rPr>
      </w:pPr>
      <w:r w:rsidRPr="00DE0914">
        <w:rPr>
          <w:rFonts w:ascii="Calibri" w:eastAsia="Calibri" w:hAnsi="Calibri" w:cs="Calibri"/>
          <w:b/>
          <w:i/>
          <w:color w:val="59595B"/>
          <w:shd w:val="clear" w:color="auto" w:fill="FFFFFF"/>
        </w:rPr>
        <w:t xml:space="preserve">Chief Executive Officer, Sijmen de Vries, commented: </w:t>
      </w:r>
    </w:p>
    <w:p w14:paraId="1736DF99" w14:textId="77777777" w:rsidR="00B03822" w:rsidRDefault="002F101E" w:rsidP="009105C5">
      <w:pPr>
        <w:spacing w:before="120" w:after="120" w:line="288" w:lineRule="auto"/>
        <w:jc w:val="both"/>
        <w:rPr>
          <w:rFonts w:ascii="Calibri" w:eastAsia="Calibri" w:hAnsi="Calibri" w:cs="Calibri"/>
          <w:i/>
          <w:color w:val="59595B"/>
          <w:shd w:val="clear" w:color="auto" w:fill="FFFFFF"/>
        </w:rPr>
      </w:pPr>
      <w:r w:rsidRPr="00DE0914">
        <w:rPr>
          <w:rFonts w:ascii="Calibri" w:eastAsia="Calibri" w:hAnsi="Calibri" w:cs="Calibri"/>
          <w:i/>
          <w:color w:val="59595B"/>
          <w:shd w:val="clear" w:color="auto" w:fill="FFFFFF"/>
        </w:rPr>
        <w:t>“</w:t>
      </w:r>
      <w:r w:rsidR="00984682" w:rsidRPr="00DE0914">
        <w:rPr>
          <w:rFonts w:ascii="Calibri" w:eastAsia="Calibri" w:hAnsi="Calibri" w:cs="Calibri"/>
          <w:i/>
          <w:iCs/>
          <w:color w:val="59595B"/>
        </w:rPr>
        <w:t xml:space="preserve">As previously experienced, the progression of the COVID-19 pandemic has resulted in quarterly fluctuations in revenue. </w:t>
      </w:r>
      <w:r w:rsidRPr="00DE0914">
        <w:rPr>
          <w:rFonts w:ascii="Calibri" w:eastAsia="Calibri" w:hAnsi="Calibri" w:cs="Calibri"/>
          <w:i/>
          <w:color w:val="59595B"/>
          <w:shd w:val="clear" w:color="auto" w:fill="FFFFFF"/>
        </w:rPr>
        <w:t xml:space="preserve">Results in </w:t>
      </w:r>
      <w:r w:rsidR="00474751" w:rsidRPr="00DE0914">
        <w:rPr>
          <w:rFonts w:ascii="Calibri" w:eastAsia="Calibri" w:hAnsi="Calibri" w:cs="Calibri"/>
          <w:i/>
          <w:color w:val="59595B"/>
          <w:shd w:val="clear" w:color="auto" w:fill="FFFFFF"/>
        </w:rPr>
        <w:t>Q1</w:t>
      </w:r>
      <w:r w:rsidRPr="00DE0914">
        <w:rPr>
          <w:rFonts w:ascii="Calibri" w:eastAsia="Calibri" w:hAnsi="Calibri" w:cs="Calibri"/>
          <w:i/>
          <w:color w:val="59595B"/>
          <w:shd w:val="clear" w:color="auto" w:fill="FFFFFF"/>
        </w:rPr>
        <w:t xml:space="preserve"> 2021 were negatively affected </w:t>
      </w:r>
      <w:r w:rsidR="00984682" w:rsidRPr="00DE0914">
        <w:rPr>
          <w:rFonts w:ascii="Calibri" w:eastAsia="Calibri" w:hAnsi="Calibri" w:cs="Calibri"/>
          <w:i/>
          <w:color w:val="59595B"/>
          <w:shd w:val="clear" w:color="auto" w:fill="FFFFFF"/>
        </w:rPr>
        <w:t xml:space="preserve">in the US </w:t>
      </w:r>
      <w:r w:rsidRPr="00DE0914">
        <w:rPr>
          <w:rFonts w:ascii="Calibri" w:eastAsia="Calibri" w:hAnsi="Calibri" w:cs="Calibri"/>
          <w:i/>
          <w:color w:val="59595B"/>
          <w:shd w:val="clear" w:color="auto" w:fill="FFFFFF"/>
        </w:rPr>
        <w:t xml:space="preserve">by </w:t>
      </w:r>
      <w:r w:rsidR="00961FE2" w:rsidRPr="00DE0914">
        <w:rPr>
          <w:rFonts w:ascii="Calibri" w:eastAsia="Calibri" w:hAnsi="Calibri" w:cs="Calibri"/>
          <w:i/>
          <w:color w:val="59595B"/>
          <w:shd w:val="clear" w:color="auto" w:fill="FFFFFF"/>
        </w:rPr>
        <w:t xml:space="preserve">a </w:t>
      </w:r>
      <w:r w:rsidRPr="00DE0914">
        <w:rPr>
          <w:rFonts w:ascii="Calibri" w:eastAsia="Calibri" w:hAnsi="Calibri" w:cs="Calibri"/>
          <w:i/>
          <w:color w:val="59595B"/>
          <w:shd w:val="clear" w:color="auto" w:fill="FFFFFF"/>
        </w:rPr>
        <w:t xml:space="preserve">severe COVID-19 </w:t>
      </w:r>
      <w:r w:rsidR="00066E64" w:rsidRPr="00DE0914">
        <w:rPr>
          <w:rFonts w:ascii="Calibri" w:eastAsia="Calibri" w:hAnsi="Calibri" w:cs="Calibri"/>
          <w:i/>
          <w:color w:val="59595B"/>
          <w:shd w:val="clear" w:color="auto" w:fill="FFFFFF"/>
        </w:rPr>
        <w:t>surge</w:t>
      </w:r>
      <w:r w:rsidRPr="00DE0914">
        <w:rPr>
          <w:rFonts w:ascii="Calibri" w:eastAsia="Calibri" w:hAnsi="Calibri" w:cs="Calibri"/>
          <w:i/>
          <w:color w:val="59595B"/>
          <w:shd w:val="clear" w:color="auto" w:fill="FFFFFF"/>
        </w:rPr>
        <w:t xml:space="preserve"> </w:t>
      </w:r>
      <w:r w:rsidR="00B32758">
        <w:rPr>
          <w:rFonts w:ascii="Calibri" w:eastAsia="Calibri" w:hAnsi="Calibri" w:cs="Calibri"/>
          <w:i/>
          <w:color w:val="59595B"/>
          <w:shd w:val="clear" w:color="auto" w:fill="FFFFFF"/>
        </w:rPr>
        <w:t>at the end of</w:t>
      </w:r>
      <w:r w:rsidR="00474751" w:rsidRPr="00DE0914">
        <w:rPr>
          <w:rFonts w:ascii="Calibri" w:eastAsia="Calibri" w:hAnsi="Calibri" w:cs="Calibri"/>
          <w:i/>
          <w:color w:val="59595B"/>
          <w:shd w:val="clear" w:color="auto" w:fill="FFFFFF"/>
        </w:rPr>
        <w:t xml:space="preserve"> 2020</w:t>
      </w:r>
      <w:r w:rsidR="000462A9" w:rsidRPr="00DE0914">
        <w:rPr>
          <w:rFonts w:ascii="Calibri" w:eastAsia="Calibri" w:hAnsi="Calibri" w:cs="Calibri"/>
          <w:i/>
          <w:color w:val="59595B"/>
          <w:shd w:val="clear" w:color="auto" w:fill="FFFFFF"/>
        </w:rPr>
        <w:t xml:space="preserve"> and into </w:t>
      </w:r>
      <w:r w:rsidR="00B32758">
        <w:rPr>
          <w:rFonts w:ascii="Calibri" w:eastAsia="Calibri" w:hAnsi="Calibri" w:cs="Calibri"/>
          <w:i/>
          <w:color w:val="59595B"/>
          <w:shd w:val="clear" w:color="auto" w:fill="FFFFFF"/>
        </w:rPr>
        <w:t>2021</w:t>
      </w:r>
      <w:r w:rsidR="00474751" w:rsidRPr="00DE0914">
        <w:rPr>
          <w:rFonts w:ascii="Calibri" w:eastAsia="Calibri" w:hAnsi="Calibri" w:cs="Calibri"/>
          <w:i/>
          <w:color w:val="59595B"/>
          <w:shd w:val="clear" w:color="auto" w:fill="FFFFFF"/>
        </w:rPr>
        <w:t xml:space="preserve">. </w:t>
      </w:r>
    </w:p>
    <w:p w14:paraId="02DFACA1" w14:textId="3C04416E" w:rsidR="00CC3D88" w:rsidRPr="00DE0914" w:rsidRDefault="00474751" w:rsidP="009105C5">
      <w:pPr>
        <w:spacing w:before="120" w:after="120" w:line="288" w:lineRule="auto"/>
        <w:jc w:val="both"/>
        <w:rPr>
          <w:rFonts w:ascii="Calibri" w:eastAsia="Calibri" w:hAnsi="Calibri" w:cs="Calibri"/>
          <w:b/>
          <w:i/>
          <w:color w:val="59595B"/>
          <w:shd w:val="clear" w:color="auto" w:fill="FFFFFF"/>
        </w:rPr>
      </w:pPr>
      <w:r w:rsidRPr="00DE0914">
        <w:rPr>
          <w:rFonts w:ascii="Calibri" w:eastAsia="Calibri" w:hAnsi="Calibri" w:cs="Calibri"/>
          <w:i/>
          <w:color w:val="59595B"/>
          <w:shd w:val="clear" w:color="auto" w:fill="FFFFFF"/>
        </w:rPr>
        <w:t>This</w:t>
      </w:r>
      <w:r w:rsidR="00961FE2" w:rsidRPr="00DE0914">
        <w:rPr>
          <w:rFonts w:ascii="Calibri" w:eastAsia="Calibri" w:hAnsi="Calibri" w:cs="Calibri"/>
          <w:i/>
          <w:color w:val="59595B"/>
          <w:shd w:val="clear" w:color="auto" w:fill="FFFFFF"/>
        </w:rPr>
        <w:t xml:space="preserve"> caus</w:t>
      </w:r>
      <w:r w:rsidRPr="00DE0914">
        <w:rPr>
          <w:rFonts w:ascii="Calibri" w:eastAsia="Calibri" w:hAnsi="Calibri" w:cs="Calibri"/>
          <w:i/>
          <w:color w:val="59595B"/>
          <w:shd w:val="clear" w:color="auto" w:fill="FFFFFF"/>
        </w:rPr>
        <w:t xml:space="preserve">ed </w:t>
      </w:r>
      <w:r w:rsidR="00D81A5B" w:rsidRPr="00DE0914">
        <w:rPr>
          <w:rFonts w:ascii="Calibri" w:eastAsia="Calibri" w:hAnsi="Calibri" w:cs="Calibri"/>
          <w:i/>
          <w:color w:val="59595B"/>
          <w:shd w:val="clear" w:color="auto" w:fill="FFFFFF"/>
        </w:rPr>
        <w:t xml:space="preserve">overstocking </w:t>
      </w:r>
      <w:r w:rsidR="00961FE2" w:rsidRPr="00DE0914">
        <w:rPr>
          <w:rFonts w:ascii="Calibri" w:eastAsia="Calibri" w:hAnsi="Calibri" w:cs="Calibri"/>
          <w:i/>
          <w:color w:val="59595B"/>
          <w:shd w:val="clear" w:color="auto" w:fill="FFFFFF"/>
        </w:rPr>
        <w:t>of RUCONEST</w:t>
      </w:r>
      <w:r w:rsidRPr="00DE0914">
        <w:rPr>
          <w:rFonts w:ascii="Calibri" w:eastAsia="Calibri" w:hAnsi="Calibri" w:cs="Calibri"/>
          <w:color w:val="59595B"/>
        </w:rPr>
        <w:t>®</w:t>
      </w:r>
      <w:r w:rsidR="00961FE2" w:rsidRPr="00DE0914">
        <w:rPr>
          <w:rFonts w:ascii="Calibri" w:eastAsia="Calibri" w:hAnsi="Calibri" w:cs="Calibri"/>
          <w:i/>
          <w:color w:val="59595B"/>
          <w:shd w:val="clear" w:color="auto" w:fill="FFFFFF"/>
        </w:rPr>
        <w:t xml:space="preserve"> </w:t>
      </w:r>
      <w:r w:rsidR="007D5A70">
        <w:rPr>
          <w:rFonts w:ascii="Calibri" w:eastAsia="Calibri" w:hAnsi="Calibri" w:cs="Calibri"/>
          <w:i/>
          <w:color w:val="59595B"/>
          <w:shd w:val="clear" w:color="auto" w:fill="FFFFFF"/>
        </w:rPr>
        <w:t xml:space="preserve">in Q4 2020 </w:t>
      </w:r>
      <w:r w:rsidRPr="00DE0914">
        <w:rPr>
          <w:rFonts w:ascii="Calibri" w:eastAsia="Calibri" w:hAnsi="Calibri" w:cs="Calibri"/>
          <w:i/>
          <w:color w:val="59595B"/>
          <w:shd w:val="clear" w:color="auto" w:fill="FFFFFF"/>
        </w:rPr>
        <w:t xml:space="preserve">and </w:t>
      </w:r>
      <w:r w:rsidR="00745E49" w:rsidRPr="00DE0914">
        <w:rPr>
          <w:rFonts w:ascii="Calibri" w:eastAsia="Calibri" w:hAnsi="Calibri" w:cs="Calibri"/>
          <w:i/>
          <w:color w:val="59595B"/>
          <w:shd w:val="clear" w:color="auto" w:fill="FFFFFF"/>
        </w:rPr>
        <w:t>physician office closures</w:t>
      </w:r>
      <w:r w:rsidR="000462A9" w:rsidRPr="00DE0914">
        <w:rPr>
          <w:rFonts w:ascii="Calibri" w:eastAsia="Calibri" w:hAnsi="Calibri" w:cs="Calibri"/>
          <w:i/>
          <w:color w:val="59595B"/>
          <w:shd w:val="clear" w:color="auto" w:fill="FFFFFF"/>
        </w:rPr>
        <w:t xml:space="preserve"> well into Q1</w:t>
      </w:r>
      <w:r w:rsidR="007D5A70">
        <w:rPr>
          <w:rFonts w:ascii="Calibri" w:eastAsia="Calibri" w:hAnsi="Calibri" w:cs="Calibri"/>
          <w:i/>
          <w:color w:val="59595B"/>
          <w:shd w:val="clear" w:color="auto" w:fill="FFFFFF"/>
        </w:rPr>
        <w:t xml:space="preserve"> 202</w:t>
      </w:r>
      <w:r w:rsidR="00D8079E">
        <w:rPr>
          <w:rFonts w:ascii="Calibri" w:eastAsia="Calibri" w:hAnsi="Calibri" w:cs="Calibri"/>
          <w:i/>
          <w:color w:val="59595B"/>
          <w:shd w:val="clear" w:color="auto" w:fill="FFFFFF"/>
        </w:rPr>
        <w:t>1</w:t>
      </w:r>
      <w:r w:rsidRPr="00DE0914">
        <w:rPr>
          <w:rFonts w:ascii="Calibri" w:eastAsia="Calibri" w:hAnsi="Calibri" w:cs="Calibri"/>
          <w:i/>
          <w:color w:val="59595B"/>
          <w:shd w:val="clear" w:color="auto" w:fill="FFFFFF"/>
        </w:rPr>
        <w:t>, which</w:t>
      </w:r>
      <w:r w:rsidR="00066E64" w:rsidRPr="00DE0914">
        <w:rPr>
          <w:rFonts w:ascii="Calibri" w:eastAsia="Calibri" w:hAnsi="Calibri" w:cs="Calibri"/>
          <w:i/>
          <w:color w:val="59595B"/>
          <w:shd w:val="clear" w:color="auto" w:fill="FFFFFF"/>
        </w:rPr>
        <w:t xml:space="preserve"> result</w:t>
      </w:r>
      <w:r w:rsidRPr="00DE0914">
        <w:rPr>
          <w:rFonts w:ascii="Calibri" w:eastAsia="Calibri" w:hAnsi="Calibri" w:cs="Calibri"/>
          <w:i/>
          <w:color w:val="59595B"/>
          <w:shd w:val="clear" w:color="auto" w:fill="FFFFFF"/>
        </w:rPr>
        <w:t>ed</w:t>
      </w:r>
      <w:r w:rsidR="00066E64" w:rsidRPr="00DE0914">
        <w:rPr>
          <w:rFonts w:ascii="Calibri" w:eastAsia="Calibri" w:hAnsi="Calibri" w:cs="Calibri"/>
          <w:i/>
          <w:color w:val="59595B"/>
          <w:shd w:val="clear" w:color="auto" w:fill="FFFFFF"/>
        </w:rPr>
        <w:t xml:space="preserve"> in reduced </w:t>
      </w:r>
      <w:r w:rsidR="00D81A5B" w:rsidRPr="00DE0914">
        <w:rPr>
          <w:rFonts w:ascii="Calibri" w:eastAsia="Calibri" w:hAnsi="Calibri" w:cs="Calibri"/>
          <w:i/>
          <w:color w:val="59595B"/>
          <w:shd w:val="clear" w:color="auto" w:fill="FFFFFF"/>
        </w:rPr>
        <w:t>patient visits</w:t>
      </w:r>
      <w:r w:rsidR="00745E49" w:rsidRPr="00DE0914">
        <w:rPr>
          <w:rFonts w:ascii="Calibri" w:eastAsia="Calibri" w:hAnsi="Calibri" w:cs="Calibri"/>
          <w:i/>
          <w:color w:val="59595B"/>
          <w:shd w:val="clear" w:color="auto" w:fill="FFFFFF"/>
        </w:rPr>
        <w:t xml:space="preserve"> </w:t>
      </w:r>
      <w:r w:rsidR="00B9724D" w:rsidRPr="00DE0914">
        <w:rPr>
          <w:rFonts w:ascii="Calibri" w:eastAsia="Calibri" w:hAnsi="Calibri" w:cs="Calibri"/>
          <w:i/>
          <w:color w:val="59595B"/>
          <w:shd w:val="clear" w:color="auto" w:fill="FFFFFF"/>
        </w:rPr>
        <w:t xml:space="preserve">and slower annual </w:t>
      </w:r>
      <w:r w:rsidR="00984682" w:rsidRPr="00DE0914">
        <w:rPr>
          <w:rFonts w:ascii="Calibri" w:eastAsia="Calibri" w:hAnsi="Calibri" w:cs="Calibri"/>
          <w:i/>
          <w:color w:val="59595B"/>
          <w:shd w:val="clear" w:color="auto" w:fill="FFFFFF"/>
        </w:rPr>
        <w:t xml:space="preserve">prescription </w:t>
      </w:r>
      <w:r w:rsidR="002F101E" w:rsidRPr="00DE0914">
        <w:rPr>
          <w:rFonts w:ascii="Calibri" w:eastAsia="Calibri" w:hAnsi="Calibri" w:cs="Calibri"/>
          <w:i/>
          <w:color w:val="59595B"/>
          <w:shd w:val="clear" w:color="auto" w:fill="FFFFFF"/>
        </w:rPr>
        <w:t>renewal</w:t>
      </w:r>
      <w:r w:rsidRPr="00DE0914">
        <w:rPr>
          <w:rFonts w:ascii="Calibri" w:eastAsia="Calibri" w:hAnsi="Calibri" w:cs="Calibri"/>
          <w:i/>
          <w:color w:val="59595B"/>
          <w:shd w:val="clear" w:color="auto" w:fill="FFFFFF"/>
        </w:rPr>
        <w:t>s</w:t>
      </w:r>
      <w:r w:rsidR="002F101E" w:rsidRPr="00DE0914">
        <w:rPr>
          <w:rFonts w:ascii="Calibri" w:eastAsia="Calibri" w:hAnsi="Calibri" w:cs="Calibri"/>
          <w:i/>
          <w:color w:val="59595B"/>
          <w:shd w:val="clear" w:color="auto" w:fill="FFFFFF"/>
        </w:rPr>
        <w:t xml:space="preserve">. </w:t>
      </w:r>
      <w:r w:rsidR="003037C4" w:rsidRPr="00DE0914">
        <w:rPr>
          <w:rFonts w:ascii="Calibri" w:eastAsia="Calibri" w:hAnsi="Calibri" w:cs="Calibri"/>
          <w:i/>
          <w:color w:val="59595B"/>
          <w:shd w:val="clear" w:color="auto" w:fill="FFFFFF"/>
        </w:rPr>
        <w:t>T</w:t>
      </w:r>
      <w:r w:rsidR="00CC3D88" w:rsidRPr="00DE0914">
        <w:rPr>
          <w:rFonts w:ascii="Calibri" w:eastAsia="Calibri" w:hAnsi="Calibri" w:cs="Calibri"/>
          <w:i/>
          <w:color w:val="59595B"/>
          <w:shd w:val="clear" w:color="auto" w:fill="FFFFFF"/>
        </w:rPr>
        <w:t>he combination of these factors</w:t>
      </w:r>
      <w:r w:rsidR="003037C4" w:rsidRPr="00DE0914">
        <w:rPr>
          <w:rFonts w:ascii="Calibri" w:eastAsia="Calibri" w:hAnsi="Calibri" w:cs="Calibri"/>
          <w:i/>
          <w:color w:val="59595B"/>
          <w:shd w:val="clear" w:color="auto" w:fill="FFFFFF"/>
        </w:rPr>
        <w:t xml:space="preserve"> in Q1 2021</w:t>
      </w:r>
      <w:r w:rsidR="00CC3D88" w:rsidRPr="00DE0914">
        <w:rPr>
          <w:rFonts w:ascii="Calibri" w:eastAsia="Calibri" w:hAnsi="Calibri" w:cs="Calibri"/>
          <w:i/>
          <w:color w:val="59595B"/>
          <w:shd w:val="clear" w:color="auto" w:fill="FFFFFF"/>
        </w:rPr>
        <w:t xml:space="preserve"> </w:t>
      </w:r>
      <w:r w:rsidR="002B2664" w:rsidRPr="00DE0914">
        <w:rPr>
          <w:rFonts w:ascii="Calibri" w:eastAsia="Calibri" w:hAnsi="Calibri" w:cs="Calibri"/>
          <w:i/>
          <w:color w:val="59595B"/>
        </w:rPr>
        <w:t>led to lower</w:t>
      </w:r>
      <w:r w:rsidRPr="00DE0914">
        <w:rPr>
          <w:rFonts w:ascii="Calibri" w:eastAsia="Calibri" w:hAnsi="Calibri" w:cs="Calibri"/>
          <w:i/>
          <w:color w:val="59595B"/>
        </w:rPr>
        <w:t xml:space="preserve"> prescription</w:t>
      </w:r>
      <w:r w:rsidR="002B2664" w:rsidRPr="00DE0914">
        <w:rPr>
          <w:rFonts w:ascii="Calibri" w:eastAsia="Calibri" w:hAnsi="Calibri" w:cs="Calibri"/>
          <w:i/>
          <w:color w:val="59595B"/>
        </w:rPr>
        <w:t xml:space="preserve"> refill rates by patients still</w:t>
      </w:r>
      <w:r w:rsidRPr="00DE0914">
        <w:rPr>
          <w:rFonts w:ascii="Calibri" w:eastAsia="Calibri" w:hAnsi="Calibri" w:cs="Calibri"/>
          <w:i/>
          <w:color w:val="59595B"/>
        </w:rPr>
        <w:t xml:space="preserve"> using </w:t>
      </w:r>
      <w:r w:rsidR="004E6D3A">
        <w:rPr>
          <w:rFonts w:ascii="Calibri" w:eastAsia="Calibri" w:hAnsi="Calibri" w:cs="Calibri"/>
          <w:i/>
          <w:color w:val="59595B"/>
        </w:rPr>
        <w:t xml:space="preserve">additional </w:t>
      </w:r>
      <w:r w:rsidRPr="00DE0914">
        <w:rPr>
          <w:rFonts w:ascii="Calibri" w:eastAsia="Calibri" w:hAnsi="Calibri" w:cs="Calibri"/>
          <w:i/>
          <w:color w:val="59595B"/>
        </w:rPr>
        <w:t>RUCONEST</w:t>
      </w:r>
      <w:r w:rsidRPr="00DE0914">
        <w:rPr>
          <w:rFonts w:ascii="Calibri" w:eastAsia="Calibri" w:hAnsi="Calibri" w:cs="Calibri"/>
          <w:color w:val="59595B"/>
        </w:rPr>
        <w:t>®</w:t>
      </w:r>
      <w:r w:rsidRPr="00DE0914">
        <w:rPr>
          <w:rFonts w:ascii="Calibri" w:eastAsia="Calibri" w:hAnsi="Calibri" w:cs="Calibri"/>
          <w:i/>
          <w:color w:val="59595B"/>
        </w:rPr>
        <w:t xml:space="preserve"> stock </w:t>
      </w:r>
      <w:r w:rsidR="002B2664" w:rsidRPr="00DE0914">
        <w:rPr>
          <w:rFonts w:ascii="Calibri" w:eastAsia="Calibri" w:hAnsi="Calibri" w:cs="Calibri"/>
          <w:i/>
          <w:color w:val="59595B"/>
        </w:rPr>
        <w:t>and a reduction in new patient enrollment.</w:t>
      </w:r>
    </w:p>
    <w:p w14:paraId="1BAEDCA8" w14:textId="13DB54EF" w:rsidR="00650D30" w:rsidRDefault="003037C4" w:rsidP="009105C5">
      <w:pPr>
        <w:spacing w:before="120" w:after="120" w:line="288" w:lineRule="auto"/>
        <w:jc w:val="both"/>
        <w:rPr>
          <w:rFonts w:ascii="Calibri" w:eastAsia="Calibri" w:hAnsi="Calibri" w:cs="Calibri"/>
          <w:i/>
          <w:color w:val="59595B"/>
          <w:shd w:val="clear" w:color="auto" w:fill="FFFFFF"/>
        </w:rPr>
      </w:pPr>
      <w:r w:rsidRPr="00DE0914">
        <w:rPr>
          <w:rFonts w:ascii="Calibri" w:eastAsia="Calibri" w:hAnsi="Calibri" w:cs="Calibri"/>
          <w:i/>
          <w:color w:val="59595B"/>
          <w:shd w:val="clear" w:color="auto" w:fill="FFFFFF"/>
        </w:rPr>
        <w:t xml:space="preserve">Positively, towards the end of Q1 2021, these trends started to reverse. We were also able to resume some face-to-face sales and marketing activities due to the </w:t>
      </w:r>
      <w:r w:rsidR="002F101E" w:rsidRPr="00DE0914">
        <w:rPr>
          <w:rFonts w:ascii="Calibri" w:eastAsia="Calibri" w:hAnsi="Calibri" w:cs="Calibri"/>
          <w:i/>
          <w:color w:val="59595B"/>
          <w:shd w:val="clear" w:color="auto" w:fill="FFFFFF"/>
        </w:rPr>
        <w:t>rapid roll-out of</w:t>
      </w:r>
      <w:r w:rsidRPr="00DE0914">
        <w:rPr>
          <w:rFonts w:ascii="Calibri" w:eastAsia="Calibri" w:hAnsi="Calibri" w:cs="Calibri"/>
          <w:i/>
          <w:color w:val="59595B"/>
          <w:shd w:val="clear" w:color="auto" w:fill="FFFFFF"/>
        </w:rPr>
        <w:t xml:space="preserve"> COVID-19</w:t>
      </w:r>
      <w:r w:rsidR="002F101E" w:rsidRPr="00DE0914">
        <w:rPr>
          <w:rFonts w:ascii="Calibri" w:eastAsia="Calibri" w:hAnsi="Calibri" w:cs="Calibri"/>
          <w:i/>
          <w:color w:val="59595B"/>
          <w:shd w:val="clear" w:color="auto" w:fill="FFFFFF"/>
        </w:rPr>
        <w:t xml:space="preserve"> vaccinations in the US</w:t>
      </w:r>
      <w:r w:rsidRPr="00DE0914">
        <w:rPr>
          <w:rFonts w:ascii="Calibri" w:eastAsia="Calibri" w:hAnsi="Calibri" w:cs="Calibri"/>
          <w:i/>
          <w:color w:val="59595B"/>
          <w:shd w:val="clear" w:color="auto" w:fill="FFFFFF"/>
        </w:rPr>
        <w:t xml:space="preserve">. </w:t>
      </w:r>
    </w:p>
    <w:p w14:paraId="13CA5B82" w14:textId="77777777" w:rsidR="00650D30" w:rsidRDefault="003037C4" w:rsidP="009105C5">
      <w:pPr>
        <w:spacing w:before="120" w:after="120" w:line="288" w:lineRule="auto"/>
        <w:jc w:val="both"/>
        <w:rPr>
          <w:rFonts w:ascii="Calibri" w:eastAsia="Calibri" w:hAnsi="Calibri" w:cs="Calibri"/>
          <w:i/>
          <w:color w:val="59595B"/>
          <w:shd w:val="clear" w:color="auto" w:fill="FFFFFF"/>
        </w:rPr>
      </w:pPr>
      <w:r w:rsidRPr="00DE0914">
        <w:rPr>
          <w:rFonts w:ascii="Calibri" w:eastAsia="Calibri" w:hAnsi="Calibri" w:cs="Calibri"/>
          <w:i/>
          <w:color w:val="59595B"/>
          <w:shd w:val="clear" w:color="auto" w:fill="FFFFFF"/>
        </w:rPr>
        <w:t xml:space="preserve">As a result, we </w:t>
      </w:r>
      <w:r w:rsidR="002F101E" w:rsidRPr="00DE0914">
        <w:rPr>
          <w:rFonts w:ascii="Calibri" w:eastAsia="Calibri" w:hAnsi="Calibri" w:cs="Calibri"/>
          <w:i/>
          <w:color w:val="59595B"/>
          <w:shd w:val="clear" w:color="auto" w:fill="FFFFFF"/>
        </w:rPr>
        <w:t>reali</w:t>
      </w:r>
      <w:r w:rsidRPr="00DE0914">
        <w:rPr>
          <w:rFonts w:ascii="Calibri" w:eastAsia="Calibri" w:hAnsi="Calibri" w:cs="Calibri"/>
          <w:i/>
          <w:color w:val="59595B"/>
          <w:shd w:val="clear" w:color="auto" w:fill="FFFFFF"/>
        </w:rPr>
        <w:t>zed</w:t>
      </w:r>
      <w:r w:rsidR="002F101E" w:rsidRPr="00DE0914">
        <w:rPr>
          <w:rFonts w:ascii="Calibri" w:eastAsia="Calibri" w:hAnsi="Calibri" w:cs="Calibri"/>
          <w:i/>
          <w:color w:val="59595B"/>
          <w:shd w:val="clear" w:color="auto" w:fill="FFFFFF"/>
        </w:rPr>
        <w:t xml:space="preserve"> </w:t>
      </w:r>
      <w:r w:rsidR="00470697" w:rsidRPr="00DE0914">
        <w:rPr>
          <w:rFonts w:ascii="Calibri" w:eastAsia="Calibri" w:hAnsi="Calibri" w:cs="Calibri"/>
          <w:i/>
          <w:color w:val="59595B"/>
          <w:shd w:val="clear" w:color="auto" w:fill="FFFFFF"/>
        </w:rPr>
        <w:t xml:space="preserve">a </w:t>
      </w:r>
      <w:r w:rsidR="002F101E" w:rsidRPr="00DE0914">
        <w:rPr>
          <w:rFonts w:ascii="Calibri" w:eastAsia="Calibri" w:hAnsi="Calibri" w:cs="Calibri"/>
          <w:i/>
          <w:color w:val="59595B"/>
          <w:shd w:val="clear" w:color="auto" w:fill="FFFFFF"/>
        </w:rPr>
        <w:t xml:space="preserve">significant </w:t>
      </w:r>
      <w:r w:rsidR="00470697" w:rsidRPr="00DE0914">
        <w:rPr>
          <w:rFonts w:ascii="Calibri" w:eastAsia="Calibri" w:hAnsi="Calibri" w:cs="Calibri"/>
          <w:i/>
          <w:color w:val="59595B"/>
          <w:shd w:val="clear" w:color="auto" w:fill="FFFFFF"/>
        </w:rPr>
        <w:t xml:space="preserve">increase in </w:t>
      </w:r>
      <w:r w:rsidR="002F101E" w:rsidRPr="00DE0914">
        <w:rPr>
          <w:rFonts w:ascii="Calibri" w:eastAsia="Calibri" w:hAnsi="Calibri" w:cs="Calibri"/>
          <w:i/>
          <w:color w:val="59595B"/>
          <w:shd w:val="clear" w:color="auto" w:fill="FFFFFF"/>
        </w:rPr>
        <w:t>new patient</w:t>
      </w:r>
      <w:r w:rsidR="00470697" w:rsidRPr="00DE0914">
        <w:rPr>
          <w:rFonts w:ascii="Calibri" w:eastAsia="Calibri" w:hAnsi="Calibri" w:cs="Calibri"/>
          <w:i/>
          <w:color w:val="59595B"/>
          <w:shd w:val="clear" w:color="auto" w:fill="FFFFFF"/>
        </w:rPr>
        <w:t xml:space="preserve"> enrollment</w:t>
      </w:r>
      <w:r w:rsidRPr="00DE0914">
        <w:rPr>
          <w:rFonts w:ascii="Calibri" w:eastAsia="Calibri" w:hAnsi="Calibri" w:cs="Calibri"/>
          <w:i/>
          <w:color w:val="59595B"/>
          <w:shd w:val="clear" w:color="auto" w:fill="FFFFFF"/>
        </w:rPr>
        <w:t xml:space="preserve"> at the end of Q1 2021. </w:t>
      </w:r>
      <w:r w:rsidR="004E6D3A">
        <w:rPr>
          <w:rFonts w:ascii="Calibri" w:eastAsia="Calibri" w:hAnsi="Calibri" w:cs="Calibri"/>
          <w:i/>
          <w:color w:val="59595B"/>
          <w:shd w:val="clear" w:color="auto" w:fill="FFFFFF"/>
        </w:rPr>
        <w:t xml:space="preserve">This </w:t>
      </w:r>
      <w:r w:rsidR="00985C58">
        <w:rPr>
          <w:rFonts w:ascii="Calibri" w:eastAsia="Calibri" w:hAnsi="Calibri" w:cs="Calibri"/>
          <w:i/>
          <w:color w:val="59595B"/>
          <w:shd w:val="clear" w:color="auto" w:fill="FFFFFF"/>
        </w:rPr>
        <w:t xml:space="preserve">increase </w:t>
      </w:r>
      <w:r w:rsidR="004E6D3A">
        <w:rPr>
          <w:rFonts w:ascii="Calibri" w:eastAsia="Calibri" w:hAnsi="Calibri" w:cs="Calibri"/>
          <w:i/>
          <w:color w:val="59595B"/>
          <w:shd w:val="clear" w:color="auto" w:fill="FFFFFF"/>
        </w:rPr>
        <w:t>has continued into Q2 2021 and w</w:t>
      </w:r>
      <w:r w:rsidR="002F101E" w:rsidRPr="00DE0914">
        <w:rPr>
          <w:rFonts w:ascii="Calibri" w:eastAsia="Calibri" w:hAnsi="Calibri" w:cs="Calibri"/>
          <w:i/>
          <w:color w:val="59595B"/>
          <w:shd w:val="clear" w:color="auto" w:fill="FFFFFF"/>
        </w:rPr>
        <w:t xml:space="preserve">e expect sales to </w:t>
      </w:r>
      <w:r w:rsidRPr="00DE0914">
        <w:rPr>
          <w:rFonts w:ascii="Calibri" w:eastAsia="Calibri" w:hAnsi="Calibri" w:cs="Calibri"/>
          <w:i/>
          <w:color w:val="59595B"/>
          <w:shd w:val="clear" w:color="auto" w:fill="FFFFFF"/>
        </w:rPr>
        <w:t xml:space="preserve">continue to </w:t>
      </w:r>
      <w:r w:rsidR="00243560" w:rsidRPr="00DE0914">
        <w:rPr>
          <w:rFonts w:ascii="Calibri" w:eastAsia="Calibri" w:hAnsi="Calibri" w:cs="Calibri"/>
          <w:i/>
          <w:color w:val="59595B"/>
          <w:shd w:val="clear" w:color="auto" w:fill="FFFFFF"/>
        </w:rPr>
        <w:t>recover over the quarter</w:t>
      </w:r>
      <w:r w:rsidR="002F101E" w:rsidRPr="00DE0914">
        <w:rPr>
          <w:rFonts w:ascii="Calibri" w:eastAsia="Calibri" w:hAnsi="Calibri" w:cs="Calibri"/>
          <w:i/>
          <w:color w:val="59595B"/>
          <w:shd w:val="clear" w:color="auto" w:fill="FFFFFF"/>
        </w:rPr>
        <w:t xml:space="preserve">, </w:t>
      </w:r>
      <w:r w:rsidRPr="00DE0914">
        <w:rPr>
          <w:rFonts w:ascii="Calibri" w:eastAsia="Calibri" w:hAnsi="Calibri" w:cs="Calibri"/>
          <w:i/>
          <w:color w:val="59595B"/>
          <w:shd w:val="clear" w:color="auto" w:fill="FFFFFF"/>
        </w:rPr>
        <w:t xml:space="preserve">subject to </w:t>
      </w:r>
      <w:r w:rsidR="002F101E" w:rsidRPr="00DE0914">
        <w:rPr>
          <w:rFonts w:ascii="Calibri" w:eastAsia="Calibri" w:hAnsi="Calibri" w:cs="Calibri"/>
          <w:i/>
          <w:color w:val="59595B"/>
          <w:shd w:val="clear" w:color="auto" w:fill="FFFFFF"/>
        </w:rPr>
        <w:t xml:space="preserve">any </w:t>
      </w:r>
      <w:r w:rsidRPr="00DE0914">
        <w:rPr>
          <w:rFonts w:ascii="Calibri" w:eastAsia="Calibri" w:hAnsi="Calibri" w:cs="Calibri"/>
          <w:i/>
          <w:color w:val="59595B"/>
          <w:shd w:val="clear" w:color="auto" w:fill="FFFFFF"/>
        </w:rPr>
        <w:t xml:space="preserve">further surges in </w:t>
      </w:r>
      <w:r w:rsidR="002F101E" w:rsidRPr="00DE0914">
        <w:rPr>
          <w:rFonts w:ascii="Calibri" w:eastAsia="Calibri" w:hAnsi="Calibri" w:cs="Calibri"/>
          <w:i/>
          <w:color w:val="59595B"/>
          <w:shd w:val="clear" w:color="auto" w:fill="FFFFFF"/>
        </w:rPr>
        <w:t xml:space="preserve">COVID-19 </w:t>
      </w:r>
      <w:r w:rsidRPr="00DE0914">
        <w:rPr>
          <w:rFonts w:ascii="Calibri" w:eastAsia="Calibri" w:hAnsi="Calibri" w:cs="Calibri"/>
          <w:i/>
          <w:color w:val="59595B"/>
          <w:shd w:val="clear" w:color="auto" w:fill="FFFFFF"/>
        </w:rPr>
        <w:t>cases</w:t>
      </w:r>
      <w:r w:rsidR="002F101E" w:rsidRPr="00DE0914">
        <w:rPr>
          <w:rFonts w:ascii="Calibri" w:eastAsia="Calibri" w:hAnsi="Calibri" w:cs="Calibri"/>
          <w:i/>
          <w:color w:val="59595B"/>
          <w:shd w:val="clear" w:color="auto" w:fill="FFFFFF"/>
        </w:rPr>
        <w:t xml:space="preserve">. </w:t>
      </w:r>
    </w:p>
    <w:p w14:paraId="3AC123AB" w14:textId="1E53E6CF" w:rsidR="001B0F60" w:rsidRPr="00DE0914" w:rsidRDefault="002F101E" w:rsidP="009105C5">
      <w:pPr>
        <w:spacing w:before="120" w:after="120" w:line="288" w:lineRule="auto"/>
        <w:jc w:val="both"/>
        <w:rPr>
          <w:rFonts w:ascii="Calibri" w:eastAsia="Calibri" w:hAnsi="Calibri" w:cs="Calibri"/>
          <w:b/>
          <w:i/>
          <w:color w:val="59595B"/>
          <w:shd w:val="clear" w:color="auto" w:fill="FFFFFF"/>
        </w:rPr>
      </w:pPr>
      <w:r w:rsidRPr="00DE0914">
        <w:rPr>
          <w:rFonts w:ascii="Calibri" w:eastAsia="Calibri" w:hAnsi="Calibri" w:cs="Calibri"/>
          <w:i/>
          <w:color w:val="59595B"/>
          <w:shd w:val="clear" w:color="auto" w:fill="FFFFFF"/>
        </w:rPr>
        <w:t xml:space="preserve">Outside of the US, demand remained stable, but growth was affected by </w:t>
      </w:r>
      <w:r w:rsidR="007777B0" w:rsidRPr="00DE0914">
        <w:rPr>
          <w:rFonts w:ascii="Calibri" w:eastAsia="Calibri" w:hAnsi="Calibri" w:cs="Calibri"/>
          <w:i/>
          <w:color w:val="59595B"/>
          <w:shd w:val="clear" w:color="auto" w:fill="FFFFFF"/>
        </w:rPr>
        <w:t xml:space="preserve">travel restrictions and </w:t>
      </w:r>
      <w:r w:rsidR="00374A73" w:rsidRPr="00DE0914">
        <w:rPr>
          <w:rFonts w:ascii="Calibri" w:eastAsia="Calibri" w:hAnsi="Calibri" w:cs="Calibri"/>
          <w:i/>
          <w:color w:val="59595B"/>
          <w:shd w:val="clear" w:color="auto" w:fill="FFFFFF"/>
        </w:rPr>
        <w:t>lockdowns</w:t>
      </w:r>
      <w:r w:rsidRPr="00DE0914">
        <w:rPr>
          <w:rFonts w:ascii="Calibri" w:eastAsia="Calibri" w:hAnsi="Calibri" w:cs="Calibri"/>
          <w:i/>
          <w:color w:val="59595B"/>
          <w:shd w:val="clear" w:color="auto" w:fill="FFFFFF"/>
        </w:rPr>
        <w:t xml:space="preserve"> still in place in most EU markets. </w:t>
      </w:r>
    </w:p>
    <w:p w14:paraId="6FD32FBD" w14:textId="1FF1E28F" w:rsidR="009A606E" w:rsidRDefault="006014F9" w:rsidP="009105C5">
      <w:pPr>
        <w:spacing w:before="120" w:after="120" w:line="288" w:lineRule="auto"/>
        <w:jc w:val="both"/>
        <w:rPr>
          <w:rFonts w:ascii="Calibri" w:eastAsia="Calibri" w:hAnsi="Calibri" w:cs="Calibri"/>
          <w:i/>
          <w:color w:val="59595B"/>
          <w:shd w:val="clear" w:color="auto" w:fill="FFFFFF"/>
        </w:rPr>
      </w:pPr>
      <w:r>
        <w:rPr>
          <w:rFonts w:ascii="Calibri" w:eastAsia="Calibri" w:hAnsi="Calibri" w:cs="Calibri"/>
          <w:i/>
          <w:color w:val="59595B"/>
          <w:shd w:val="clear" w:color="auto" w:fill="FFFFFF"/>
        </w:rPr>
        <w:t xml:space="preserve">In </w:t>
      </w:r>
      <w:r w:rsidR="009231E7" w:rsidRPr="00DE0914">
        <w:rPr>
          <w:rFonts w:ascii="Calibri" w:eastAsia="Calibri" w:hAnsi="Calibri" w:cs="Calibri"/>
          <w:i/>
          <w:color w:val="59595B"/>
          <w:shd w:val="clear" w:color="auto" w:fill="FFFFFF"/>
        </w:rPr>
        <w:t>our pipeline, we continued to progress activities for the anticipated launch of l</w:t>
      </w:r>
      <w:r w:rsidR="002F101E" w:rsidRPr="00DE0914">
        <w:rPr>
          <w:rFonts w:ascii="Calibri" w:eastAsia="Calibri" w:hAnsi="Calibri" w:cs="Calibri"/>
          <w:i/>
          <w:color w:val="59595B"/>
          <w:shd w:val="clear" w:color="auto" w:fill="FFFFFF"/>
        </w:rPr>
        <w:t>eniolisib</w:t>
      </w:r>
      <w:r w:rsidR="009231E7" w:rsidRPr="00DE0914">
        <w:rPr>
          <w:rFonts w:ascii="Calibri" w:eastAsia="Calibri" w:hAnsi="Calibri" w:cs="Calibri"/>
          <w:i/>
          <w:color w:val="59595B"/>
          <w:shd w:val="clear" w:color="auto" w:fill="FFFFFF"/>
        </w:rPr>
        <w:t xml:space="preserve"> in </w:t>
      </w:r>
      <w:r w:rsidR="003B4CC2">
        <w:rPr>
          <w:rFonts w:ascii="Calibri" w:eastAsia="Calibri" w:hAnsi="Calibri" w:cs="Calibri"/>
          <w:i/>
          <w:color w:val="59595B"/>
          <w:shd w:val="clear" w:color="auto" w:fill="FFFFFF"/>
        </w:rPr>
        <w:t>Q4</w:t>
      </w:r>
      <w:r w:rsidR="009231E7" w:rsidRPr="00DE0914">
        <w:rPr>
          <w:rFonts w:ascii="Calibri" w:eastAsia="Calibri" w:hAnsi="Calibri" w:cs="Calibri"/>
          <w:i/>
          <w:color w:val="59595B"/>
          <w:shd w:val="clear" w:color="auto" w:fill="FFFFFF"/>
        </w:rPr>
        <w:t xml:space="preserve"> 2022, including </w:t>
      </w:r>
      <w:r w:rsidR="002F101E" w:rsidRPr="00DE0914">
        <w:rPr>
          <w:rFonts w:ascii="Calibri" w:eastAsia="Calibri" w:hAnsi="Calibri" w:cs="Calibri"/>
          <w:i/>
          <w:color w:val="59595B"/>
          <w:shd w:val="clear" w:color="auto" w:fill="FFFFFF"/>
        </w:rPr>
        <w:t xml:space="preserve">an important collaboration </w:t>
      </w:r>
      <w:r w:rsidR="009231E7" w:rsidRPr="00DE0914">
        <w:rPr>
          <w:rFonts w:ascii="Calibri" w:eastAsia="Calibri" w:hAnsi="Calibri" w:cs="Calibri"/>
          <w:i/>
          <w:color w:val="59595B"/>
          <w:shd w:val="clear" w:color="auto" w:fill="FFFFFF"/>
        </w:rPr>
        <w:t xml:space="preserve">to </w:t>
      </w:r>
      <w:r w:rsidR="002F101E" w:rsidRPr="00DE0914">
        <w:rPr>
          <w:rFonts w:ascii="Calibri" w:eastAsia="Calibri" w:hAnsi="Calibri" w:cs="Calibri"/>
          <w:i/>
          <w:color w:val="59595B"/>
          <w:shd w:val="clear" w:color="auto" w:fill="FFFFFF"/>
        </w:rPr>
        <w:t xml:space="preserve">offer US </w:t>
      </w:r>
      <w:r w:rsidR="009231E7" w:rsidRPr="00DE0914">
        <w:rPr>
          <w:rFonts w:ascii="Calibri" w:eastAsia="Calibri" w:hAnsi="Calibri" w:cs="Calibri"/>
          <w:i/>
          <w:color w:val="59595B"/>
          <w:shd w:val="clear" w:color="auto" w:fill="FFFFFF"/>
        </w:rPr>
        <w:t>i</w:t>
      </w:r>
      <w:r w:rsidR="002F101E" w:rsidRPr="00DE0914">
        <w:rPr>
          <w:rFonts w:ascii="Calibri" w:eastAsia="Calibri" w:hAnsi="Calibri" w:cs="Calibri"/>
          <w:i/>
          <w:color w:val="59595B"/>
          <w:shd w:val="clear" w:color="auto" w:fill="FFFFFF"/>
        </w:rPr>
        <w:t>mmunologist</w:t>
      </w:r>
      <w:r w:rsidR="00304478" w:rsidRPr="00DE0914">
        <w:rPr>
          <w:rFonts w:ascii="Calibri" w:eastAsia="Calibri" w:hAnsi="Calibri" w:cs="Calibri"/>
          <w:i/>
          <w:color w:val="59595B"/>
          <w:shd w:val="clear" w:color="auto" w:fill="FFFFFF"/>
        </w:rPr>
        <w:t xml:space="preserve">s access to free genetic </w:t>
      </w:r>
      <w:r w:rsidR="00243560" w:rsidRPr="00DE0914">
        <w:rPr>
          <w:rFonts w:ascii="Calibri" w:eastAsia="Calibri" w:hAnsi="Calibri" w:cs="Calibri"/>
          <w:i/>
          <w:color w:val="59595B"/>
          <w:shd w:val="clear" w:color="auto" w:fill="FFFFFF"/>
        </w:rPr>
        <w:t>testing for</w:t>
      </w:r>
      <w:r w:rsidR="002F101E" w:rsidRPr="00DE0914">
        <w:rPr>
          <w:rFonts w:ascii="Calibri" w:eastAsia="Calibri" w:hAnsi="Calibri" w:cs="Calibri"/>
          <w:i/>
          <w:color w:val="59595B"/>
          <w:shd w:val="clear" w:color="auto" w:fill="FFFFFF"/>
        </w:rPr>
        <w:t xml:space="preserve"> </w:t>
      </w:r>
      <w:r w:rsidR="009231E7" w:rsidRPr="00DE0914">
        <w:rPr>
          <w:rFonts w:ascii="Calibri" w:eastAsia="Calibri" w:hAnsi="Calibri" w:cs="Calibri"/>
          <w:i/>
          <w:color w:val="59595B"/>
          <w:shd w:val="clear" w:color="auto" w:fill="FFFFFF"/>
        </w:rPr>
        <w:t>p</w:t>
      </w:r>
      <w:r w:rsidR="002F101E" w:rsidRPr="00DE0914">
        <w:rPr>
          <w:rFonts w:ascii="Calibri" w:eastAsia="Calibri" w:hAnsi="Calibri" w:cs="Calibri"/>
          <w:i/>
          <w:color w:val="59595B"/>
          <w:shd w:val="clear" w:color="auto" w:fill="FFFFFF"/>
        </w:rPr>
        <w:t xml:space="preserve">rimary </w:t>
      </w:r>
      <w:r w:rsidR="009231E7" w:rsidRPr="00DE0914">
        <w:rPr>
          <w:rFonts w:ascii="Calibri" w:eastAsia="Calibri" w:hAnsi="Calibri" w:cs="Calibri"/>
          <w:i/>
          <w:color w:val="59595B"/>
          <w:shd w:val="clear" w:color="auto" w:fill="FFFFFF"/>
        </w:rPr>
        <w:t>i</w:t>
      </w:r>
      <w:r w:rsidR="002F101E" w:rsidRPr="00DE0914">
        <w:rPr>
          <w:rFonts w:ascii="Calibri" w:eastAsia="Calibri" w:hAnsi="Calibri" w:cs="Calibri"/>
          <w:i/>
          <w:color w:val="59595B"/>
          <w:shd w:val="clear" w:color="auto" w:fill="FFFFFF"/>
        </w:rPr>
        <w:t xml:space="preserve">mmune </w:t>
      </w:r>
      <w:r w:rsidR="009231E7" w:rsidRPr="00DE0914">
        <w:rPr>
          <w:rFonts w:ascii="Calibri" w:eastAsia="Calibri" w:hAnsi="Calibri" w:cs="Calibri"/>
          <w:i/>
          <w:color w:val="59595B"/>
          <w:shd w:val="clear" w:color="auto" w:fill="FFFFFF"/>
        </w:rPr>
        <w:t>d</w:t>
      </w:r>
      <w:r w:rsidR="002F101E" w:rsidRPr="00DE0914">
        <w:rPr>
          <w:rFonts w:ascii="Calibri" w:eastAsia="Calibri" w:hAnsi="Calibri" w:cs="Calibri"/>
          <w:i/>
          <w:color w:val="59595B"/>
          <w:shd w:val="clear" w:color="auto" w:fill="FFFFFF"/>
        </w:rPr>
        <w:t xml:space="preserve">eficiency patients </w:t>
      </w:r>
      <w:r w:rsidR="00304DE7" w:rsidRPr="00DE0914">
        <w:rPr>
          <w:rFonts w:ascii="Calibri" w:eastAsia="Calibri" w:hAnsi="Calibri" w:cs="Calibri"/>
          <w:i/>
          <w:color w:val="59595B"/>
          <w:shd w:val="clear" w:color="auto" w:fill="FFFFFF"/>
        </w:rPr>
        <w:t xml:space="preserve">exhibiting APDS </w:t>
      </w:r>
      <w:r w:rsidR="002F101E" w:rsidRPr="00DE0914">
        <w:rPr>
          <w:rFonts w:ascii="Calibri" w:eastAsia="Calibri" w:hAnsi="Calibri" w:cs="Calibri"/>
          <w:i/>
          <w:color w:val="59595B"/>
          <w:shd w:val="clear" w:color="auto" w:fill="FFFFFF"/>
        </w:rPr>
        <w:t>symptoms.</w:t>
      </w:r>
      <w:r w:rsidR="009231E7" w:rsidRPr="00DE0914">
        <w:rPr>
          <w:rFonts w:ascii="Calibri" w:eastAsia="Calibri" w:hAnsi="Calibri" w:cs="Calibri"/>
          <w:i/>
          <w:color w:val="59595B"/>
          <w:shd w:val="clear" w:color="auto" w:fill="FFFFFF"/>
        </w:rPr>
        <w:t xml:space="preserve"> </w:t>
      </w:r>
    </w:p>
    <w:p w14:paraId="2D424274" w14:textId="2CD483DB" w:rsidR="001B0F60" w:rsidRPr="00DE0914" w:rsidRDefault="006014F9" w:rsidP="009105C5">
      <w:pPr>
        <w:spacing w:before="120" w:after="120" w:line="288" w:lineRule="auto"/>
        <w:jc w:val="both"/>
        <w:rPr>
          <w:rFonts w:ascii="Calibri" w:eastAsia="Calibri" w:hAnsi="Calibri" w:cs="Calibri"/>
          <w:b/>
          <w:i/>
          <w:color w:val="59595B"/>
          <w:shd w:val="clear" w:color="auto" w:fill="FFFFFF"/>
        </w:rPr>
      </w:pPr>
      <w:r>
        <w:rPr>
          <w:rFonts w:ascii="Calibri" w:eastAsia="Calibri" w:hAnsi="Calibri" w:cs="Calibri"/>
          <w:i/>
          <w:color w:val="59595B"/>
          <w:shd w:val="clear" w:color="auto" w:fill="FFFFFF"/>
        </w:rPr>
        <w:t>In addition</w:t>
      </w:r>
      <w:r w:rsidR="002F4623" w:rsidRPr="00DE0914">
        <w:rPr>
          <w:rFonts w:ascii="Calibri" w:eastAsia="Calibri" w:hAnsi="Calibri" w:cs="Calibri"/>
          <w:i/>
          <w:color w:val="59595B"/>
          <w:shd w:val="clear" w:color="auto" w:fill="FFFFFF"/>
        </w:rPr>
        <w:t>, p</w:t>
      </w:r>
      <w:r w:rsidR="009231E7" w:rsidRPr="00DE0914">
        <w:rPr>
          <w:rFonts w:ascii="Calibri" w:eastAsia="Calibri" w:hAnsi="Calibri" w:cs="Calibri"/>
          <w:i/>
          <w:color w:val="59595B"/>
          <w:shd w:val="clear" w:color="auto" w:fill="FFFFFF"/>
        </w:rPr>
        <w:t>ost period</w:t>
      </w:r>
      <w:r w:rsidR="002F4623" w:rsidRPr="00DE0914">
        <w:rPr>
          <w:rFonts w:ascii="Calibri" w:eastAsia="Calibri" w:hAnsi="Calibri" w:cs="Calibri"/>
          <w:i/>
          <w:color w:val="59595B"/>
          <w:shd w:val="clear" w:color="auto" w:fill="FFFFFF"/>
        </w:rPr>
        <w:t xml:space="preserve"> end</w:t>
      </w:r>
      <w:r w:rsidR="009231E7" w:rsidRPr="00DE0914">
        <w:rPr>
          <w:rFonts w:ascii="Calibri" w:eastAsia="Calibri" w:hAnsi="Calibri" w:cs="Calibri"/>
          <w:i/>
          <w:color w:val="59595B"/>
          <w:shd w:val="clear" w:color="auto" w:fill="FFFFFF"/>
        </w:rPr>
        <w:t xml:space="preserve">, </w:t>
      </w:r>
      <w:r w:rsidR="002F101E" w:rsidRPr="00DE0914">
        <w:rPr>
          <w:rFonts w:ascii="Calibri" w:eastAsia="Calibri" w:hAnsi="Calibri" w:cs="Calibri"/>
          <w:i/>
          <w:color w:val="59595B"/>
          <w:shd w:val="clear" w:color="auto" w:fill="FFFFFF"/>
        </w:rPr>
        <w:t>we announce</w:t>
      </w:r>
      <w:r w:rsidR="009231E7" w:rsidRPr="00DE0914">
        <w:rPr>
          <w:rFonts w:ascii="Calibri" w:eastAsia="Calibri" w:hAnsi="Calibri" w:cs="Calibri"/>
          <w:i/>
          <w:color w:val="59595B"/>
          <w:shd w:val="clear" w:color="auto" w:fill="FFFFFF"/>
        </w:rPr>
        <w:t>d</w:t>
      </w:r>
      <w:r w:rsidR="002F101E" w:rsidRPr="00DE0914">
        <w:rPr>
          <w:rFonts w:ascii="Calibri" w:eastAsia="Calibri" w:hAnsi="Calibri" w:cs="Calibri"/>
          <w:i/>
          <w:color w:val="59595B"/>
          <w:shd w:val="clear" w:color="auto" w:fill="FFFFFF"/>
        </w:rPr>
        <w:t xml:space="preserve"> the start of our Phase IIb study in acute kidney injury</w:t>
      </w:r>
      <w:r w:rsidR="002F4623" w:rsidRPr="00DE0914">
        <w:rPr>
          <w:rFonts w:ascii="Calibri" w:eastAsia="Calibri" w:hAnsi="Calibri" w:cs="Calibri"/>
          <w:i/>
          <w:color w:val="59595B"/>
          <w:shd w:val="clear" w:color="auto" w:fill="FFFFFF"/>
        </w:rPr>
        <w:t xml:space="preserve"> as we continue to </w:t>
      </w:r>
      <w:r w:rsidR="002F101E" w:rsidRPr="00DE0914">
        <w:rPr>
          <w:rFonts w:ascii="Calibri" w:eastAsia="Calibri" w:hAnsi="Calibri" w:cs="Calibri"/>
          <w:i/>
          <w:color w:val="59595B"/>
          <w:shd w:val="clear" w:color="auto" w:fill="FFFFFF"/>
        </w:rPr>
        <w:t>investigat</w:t>
      </w:r>
      <w:r w:rsidR="002F4623" w:rsidRPr="00DE0914">
        <w:rPr>
          <w:rFonts w:ascii="Calibri" w:eastAsia="Calibri" w:hAnsi="Calibri" w:cs="Calibri"/>
          <w:i/>
          <w:color w:val="59595B"/>
          <w:shd w:val="clear" w:color="auto" w:fill="FFFFFF"/>
        </w:rPr>
        <w:t>e</w:t>
      </w:r>
      <w:r w:rsidR="002F101E" w:rsidRPr="00DE0914">
        <w:rPr>
          <w:rFonts w:ascii="Calibri" w:eastAsia="Calibri" w:hAnsi="Calibri" w:cs="Calibri"/>
          <w:i/>
          <w:color w:val="59595B"/>
          <w:shd w:val="clear" w:color="auto" w:fill="FFFFFF"/>
        </w:rPr>
        <w:t xml:space="preserve"> the </w:t>
      </w:r>
      <w:r w:rsidR="002F4623" w:rsidRPr="00DE0914">
        <w:rPr>
          <w:rFonts w:ascii="Calibri" w:eastAsia="Calibri" w:hAnsi="Calibri" w:cs="Calibri"/>
          <w:i/>
          <w:color w:val="59595B"/>
          <w:shd w:val="clear" w:color="auto" w:fill="FFFFFF"/>
        </w:rPr>
        <w:t xml:space="preserve">treatment </w:t>
      </w:r>
      <w:r w:rsidR="002F101E" w:rsidRPr="00DE0914">
        <w:rPr>
          <w:rFonts w:ascii="Calibri" w:eastAsia="Calibri" w:hAnsi="Calibri" w:cs="Calibri"/>
          <w:i/>
          <w:color w:val="59595B"/>
          <w:shd w:val="clear" w:color="auto" w:fill="FFFFFF"/>
        </w:rPr>
        <w:t xml:space="preserve">potential </w:t>
      </w:r>
      <w:r w:rsidR="002F4623" w:rsidRPr="00DE0914">
        <w:rPr>
          <w:rFonts w:ascii="Calibri" w:eastAsia="Calibri" w:hAnsi="Calibri" w:cs="Calibri"/>
          <w:i/>
          <w:color w:val="59595B"/>
          <w:shd w:val="clear" w:color="auto" w:fill="FFFFFF"/>
        </w:rPr>
        <w:t xml:space="preserve">of RUCONEST® </w:t>
      </w:r>
      <w:r w:rsidR="002F101E" w:rsidRPr="00DE0914">
        <w:rPr>
          <w:rFonts w:ascii="Calibri" w:eastAsia="Calibri" w:hAnsi="Calibri" w:cs="Calibri"/>
          <w:i/>
          <w:color w:val="59595B"/>
          <w:shd w:val="clear" w:color="auto" w:fill="FFFFFF"/>
        </w:rPr>
        <w:t>in further indications.”</w:t>
      </w:r>
    </w:p>
    <w:p w14:paraId="4D56E6F8" w14:textId="41684287" w:rsidR="001B0F60" w:rsidRPr="000B2AAB" w:rsidRDefault="002F101E" w:rsidP="009105C5">
      <w:pPr>
        <w:spacing w:before="120" w:after="120" w:line="276" w:lineRule="auto"/>
        <w:jc w:val="both"/>
        <w:rPr>
          <w:rFonts w:ascii="Calibri" w:eastAsia="Calibri" w:hAnsi="Calibri" w:cs="Calibri"/>
          <w:b/>
          <w:color w:val="00679B"/>
          <w:shd w:val="clear" w:color="auto" w:fill="FFFFFF"/>
        </w:rPr>
      </w:pPr>
      <w:r w:rsidRPr="000B2AAB">
        <w:rPr>
          <w:rFonts w:ascii="Calibri" w:eastAsia="Calibri" w:hAnsi="Calibri" w:cs="Calibri"/>
          <w:b/>
          <w:color w:val="00679B"/>
          <w:shd w:val="clear" w:color="auto" w:fill="FFFFFF"/>
        </w:rPr>
        <w:t>Outlook</w:t>
      </w:r>
    </w:p>
    <w:p w14:paraId="19E794B5" w14:textId="77777777" w:rsidR="001B0F60" w:rsidRPr="00DE0914" w:rsidRDefault="002F101E" w:rsidP="009105C5">
      <w:pPr>
        <w:spacing w:before="120" w:after="120" w:line="276" w:lineRule="auto"/>
        <w:rPr>
          <w:rFonts w:ascii="Calibri" w:eastAsia="Calibri" w:hAnsi="Calibri" w:cs="Calibri"/>
          <w:b/>
          <w:color w:val="59595B"/>
        </w:rPr>
      </w:pPr>
      <w:r w:rsidRPr="00DE0914">
        <w:rPr>
          <w:rFonts w:ascii="Calibri" w:eastAsia="Calibri" w:hAnsi="Calibri" w:cs="Calibri"/>
          <w:color w:val="59595B"/>
        </w:rPr>
        <w:t xml:space="preserve">For the remainder of 2021, the Company expects: </w:t>
      </w:r>
    </w:p>
    <w:p w14:paraId="3A551745" w14:textId="69CB7B4B" w:rsidR="00E54AC1" w:rsidRPr="00DE0914" w:rsidRDefault="007875A5" w:rsidP="008737A5">
      <w:pPr>
        <w:numPr>
          <w:ilvl w:val="0"/>
          <w:numId w:val="8"/>
        </w:numPr>
        <w:tabs>
          <w:tab w:val="clear" w:pos="720"/>
          <w:tab w:val="num" w:pos="360"/>
        </w:tabs>
        <w:spacing w:before="120" w:after="120" w:line="276" w:lineRule="auto"/>
        <w:ind w:left="360"/>
        <w:rPr>
          <w:rFonts w:ascii="Calibri" w:eastAsia="Calibri" w:hAnsi="Calibri" w:cs="Calibri"/>
          <w:b/>
          <w:color w:val="59595B"/>
        </w:rPr>
      </w:pPr>
      <w:r w:rsidRPr="00DE0914">
        <w:rPr>
          <w:rFonts w:ascii="Calibri" w:eastAsia="Calibri" w:hAnsi="Calibri" w:cs="Calibri"/>
          <w:color w:val="59595B"/>
        </w:rPr>
        <w:t>R</w:t>
      </w:r>
      <w:r w:rsidR="002F101E" w:rsidRPr="00DE0914">
        <w:rPr>
          <w:rFonts w:ascii="Calibri" w:eastAsia="Calibri" w:hAnsi="Calibri" w:cs="Calibri"/>
          <w:color w:val="59595B"/>
        </w:rPr>
        <w:t>e</w:t>
      </w:r>
      <w:r w:rsidRPr="00DE0914">
        <w:rPr>
          <w:rFonts w:ascii="Calibri" w:eastAsia="Calibri" w:hAnsi="Calibri" w:cs="Calibri"/>
          <w:color w:val="59595B"/>
        </w:rPr>
        <w:t>turning to growth of re</w:t>
      </w:r>
      <w:r w:rsidR="002F101E" w:rsidRPr="00DE0914">
        <w:rPr>
          <w:rFonts w:ascii="Calibri" w:eastAsia="Calibri" w:hAnsi="Calibri" w:cs="Calibri"/>
          <w:color w:val="59595B"/>
        </w:rPr>
        <w:t>venues from sales of RUCONEST®, mainly driven by the US and expanded EU operations, subject to the progression of the COVID-19 pandemic</w:t>
      </w:r>
      <w:r w:rsidR="00AE6F75">
        <w:rPr>
          <w:rFonts w:ascii="Calibri" w:eastAsia="Calibri" w:hAnsi="Calibri" w:cs="Calibri"/>
          <w:color w:val="59595B"/>
        </w:rPr>
        <w:t xml:space="preserve"> and </w:t>
      </w:r>
      <w:r w:rsidR="002F101E" w:rsidRPr="00DE0914">
        <w:rPr>
          <w:rFonts w:ascii="Calibri" w:eastAsia="Calibri" w:hAnsi="Calibri" w:cs="Calibri"/>
          <w:color w:val="59595B"/>
        </w:rPr>
        <w:t>quarterly fluctuations in revenues as a result of the ongoing effects of the pandemic on access to customers</w:t>
      </w:r>
      <w:r w:rsidR="008148B4" w:rsidRPr="00DE0914">
        <w:rPr>
          <w:rFonts w:ascii="Calibri" w:eastAsia="Calibri" w:hAnsi="Calibri" w:cs="Calibri"/>
          <w:color w:val="59595B"/>
        </w:rPr>
        <w:t xml:space="preserve"> </w:t>
      </w:r>
      <w:r w:rsidR="002F101E" w:rsidRPr="00DE0914">
        <w:rPr>
          <w:rFonts w:ascii="Calibri" w:eastAsia="Calibri" w:hAnsi="Calibri" w:cs="Calibri"/>
          <w:color w:val="59595B"/>
        </w:rPr>
        <w:t>and phasing of ordering patterns.</w:t>
      </w:r>
    </w:p>
    <w:p w14:paraId="1FE1E27C" w14:textId="1BFC54FC" w:rsidR="001B0F60" w:rsidRPr="00DE0914" w:rsidRDefault="002F101E" w:rsidP="008737A5">
      <w:pPr>
        <w:numPr>
          <w:ilvl w:val="0"/>
          <w:numId w:val="8"/>
        </w:numPr>
        <w:tabs>
          <w:tab w:val="clear" w:pos="720"/>
          <w:tab w:val="num" w:pos="360"/>
        </w:tabs>
        <w:spacing w:before="120" w:after="120" w:line="276" w:lineRule="auto"/>
        <w:ind w:left="360"/>
        <w:rPr>
          <w:rFonts w:ascii="Calibri" w:eastAsia="Calibri" w:hAnsi="Calibri" w:cs="Calibri"/>
          <w:b/>
          <w:color w:val="59595B"/>
        </w:rPr>
      </w:pPr>
      <w:r w:rsidRPr="00DE0914">
        <w:rPr>
          <w:rFonts w:ascii="Calibri" w:eastAsia="Calibri" w:hAnsi="Calibri" w:cs="Calibri"/>
          <w:color w:val="59595B"/>
        </w:rPr>
        <w:t>Maintenance of positive net earnings during the year, we therefore do not expect to require additional financing to maintain the current business.</w:t>
      </w:r>
    </w:p>
    <w:p w14:paraId="37BA64C5" w14:textId="77777777" w:rsidR="001B0F60" w:rsidRPr="00DE0914" w:rsidRDefault="002F101E" w:rsidP="008737A5">
      <w:pPr>
        <w:numPr>
          <w:ilvl w:val="0"/>
          <w:numId w:val="8"/>
        </w:numPr>
        <w:tabs>
          <w:tab w:val="clear" w:pos="720"/>
          <w:tab w:val="num" w:pos="360"/>
        </w:tabs>
        <w:spacing w:before="120" w:after="120" w:line="276" w:lineRule="auto"/>
        <w:ind w:left="360"/>
        <w:rPr>
          <w:rFonts w:ascii="Calibri" w:eastAsia="Calibri" w:hAnsi="Calibri" w:cs="Calibri"/>
          <w:b/>
          <w:color w:val="59595B"/>
        </w:rPr>
      </w:pPr>
      <w:r w:rsidRPr="00DE0914">
        <w:rPr>
          <w:rFonts w:ascii="Calibri" w:eastAsia="Calibri" w:hAnsi="Calibri" w:cs="Calibri"/>
          <w:color w:val="59595B"/>
        </w:rPr>
        <w:t xml:space="preserve">Investments in acquisitions and in-licensing of new development opportunities and assets, as these occur. </w:t>
      </w:r>
    </w:p>
    <w:p w14:paraId="04B8BC7A" w14:textId="321798AD" w:rsidR="001B0F60" w:rsidRPr="00DE0914" w:rsidRDefault="002F101E" w:rsidP="008737A5">
      <w:pPr>
        <w:numPr>
          <w:ilvl w:val="0"/>
          <w:numId w:val="8"/>
        </w:numPr>
        <w:tabs>
          <w:tab w:val="clear" w:pos="720"/>
          <w:tab w:val="num" w:pos="360"/>
        </w:tabs>
        <w:spacing w:before="120" w:after="120" w:line="276" w:lineRule="auto"/>
        <w:ind w:left="360"/>
        <w:rPr>
          <w:rFonts w:ascii="Calibri" w:eastAsia="Calibri" w:hAnsi="Calibri" w:cs="Calibri"/>
          <w:b/>
          <w:color w:val="59595B"/>
        </w:rPr>
      </w:pPr>
      <w:r w:rsidRPr="00DE0914">
        <w:rPr>
          <w:rFonts w:ascii="Calibri" w:eastAsia="Calibri" w:hAnsi="Calibri" w:cs="Calibri"/>
          <w:color w:val="59595B"/>
        </w:rPr>
        <w:lastRenderedPageBreak/>
        <w:t>Continued investment in the expansion of production of RUCONEST® and production of leniolisib</w:t>
      </w:r>
      <w:r w:rsidR="00374A73" w:rsidRPr="00DE0914">
        <w:rPr>
          <w:rFonts w:ascii="Calibri" w:eastAsia="Calibri" w:hAnsi="Calibri" w:cs="Calibri"/>
          <w:color w:val="59595B"/>
        </w:rPr>
        <w:t>.</w:t>
      </w:r>
    </w:p>
    <w:p w14:paraId="3E233ECE" w14:textId="77777777" w:rsidR="001B0F60" w:rsidRPr="00DE0914" w:rsidRDefault="002F101E" w:rsidP="008737A5">
      <w:pPr>
        <w:numPr>
          <w:ilvl w:val="0"/>
          <w:numId w:val="8"/>
        </w:numPr>
        <w:tabs>
          <w:tab w:val="clear" w:pos="720"/>
          <w:tab w:val="num" w:pos="360"/>
        </w:tabs>
        <w:spacing w:before="120" w:after="120" w:line="276" w:lineRule="auto"/>
        <w:ind w:left="360"/>
        <w:rPr>
          <w:rFonts w:ascii="Calibri" w:eastAsia="Calibri" w:hAnsi="Calibri" w:cs="Calibri"/>
          <w:b/>
          <w:color w:val="59595B"/>
        </w:rPr>
      </w:pPr>
      <w:r w:rsidRPr="00DE0914">
        <w:rPr>
          <w:rFonts w:ascii="Calibri" w:eastAsia="Calibri" w:hAnsi="Calibri" w:cs="Calibri"/>
          <w:color w:val="59595B"/>
        </w:rPr>
        <w:t xml:space="preserve">Investment in pre-marketing activities for leniolisib and the continuing registration-enabling study for leniolisib for APDS, as well as our ongoing clinical trials for rhC1INH and other development activities. </w:t>
      </w:r>
    </w:p>
    <w:p w14:paraId="19937CFC" w14:textId="5761D725" w:rsidR="00F2749A" w:rsidRPr="00DE0914" w:rsidRDefault="002F101E" w:rsidP="008737A5">
      <w:pPr>
        <w:numPr>
          <w:ilvl w:val="0"/>
          <w:numId w:val="7"/>
        </w:numPr>
        <w:tabs>
          <w:tab w:val="clear" w:pos="720"/>
          <w:tab w:val="num" w:pos="360"/>
        </w:tabs>
        <w:spacing w:before="120" w:after="120" w:line="276" w:lineRule="auto"/>
        <w:ind w:left="360"/>
        <w:rPr>
          <w:rFonts w:ascii="Calibri" w:eastAsia="Calibri" w:hAnsi="Calibri" w:cs="Calibri"/>
          <w:b/>
          <w:color w:val="59595B"/>
        </w:rPr>
      </w:pPr>
      <w:r w:rsidRPr="00DE0914">
        <w:rPr>
          <w:rFonts w:ascii="Calibri" w:eastAsia="Calibri" w:hAnsi="Calibri" w:cs="Calibri"/>
          <w:color w:val="59595B"/>
        </w:rPr>
        <w:t>Continued close monitoring of the ongoing COVID-19 pandemic and the potential impact on the business.</w:t>
      </w:r>
      <w:r w:rsidR="00F2749A">
        <w:rPr>
          <w:rFonts w:ascii="Calibri" w:eastAsia="Calibri" w:hAnsi="Calibri" w:cs="Calibri"/>
          <w:color w:val="59595B"/>
        </w:rPr>
        <w:t xml:space="preserve"> </w:t>
      </w:r>
      <w:r w:rsidR="008C6A86">
        <w:rPr>
          <w:rFonts w:ascii="Calibri" w:eastAsia="Calibri" w:hAnsi="Calibri" w:cs="Calibri"/>
          <w:color w:val="59595B"/>
        </w:rPr>
        <w:t>Currently, a</w:t>
      </w:r>
      <w:r w:rsidR="00F2749A" w:rsidRPr="00DE0914">
        <w:rPr>
          <w:rFonts w:ascii="Calibri" w:eastAsia="Calibri" w:hAnsi="Calibri" w:cs="Calibri"/>
          <w:color w:val="59595B"/>
        </w:rPr>
        <w:t>s a result of halted or slowed recruitment and issues related to dis</w:t>
      </w:r>
      <w:r w:rsidR="00BB5A6C">
        <w:rPr>
          <w:rFonts w:ascii="Calibri" w:eastAsia="Calibri" w:hAnsi="Calibri" w:cs="Calibri"/>
          <w:color w:val="59595B"/>
        </w:rPr>
        <w:t>rupted</w:t>
      </w:r>
      <w:r w:rsidR="00F2749A" w:rsidRPr="00DE0914">
        <w:rPr>
          <w:rFonts w:ascii="Calibri" w:eastAsia="Calibri" w:hAnsi="Calibri" w:cs="Calibri"/>
          <w:color w:val="59595B"/>
        </w:rPr>
        <w:t xml:space="preserve"> supply chains for </w:t>
      </w:r>
      <w:r w:rsidR="00BB6D3E">
        <w:rPr>
          <w:rFonts w:ascii="Calibri" w:eastAsia="Calibri" w:hAnsi="Calibri" w:cs="Calibri"/>
          <w:color w:val="59595B"/>
        </w:rPr>
        <w:t xml:space="preserve">patient </w:t>
      </w:r>
      <w:r w:rsidR="00F2749A" w:rsidRPr="00DE0914">
        <w:rPr>
          <w:rFonts w:ascii="Calibri" w:eastAsia="Calibri" w:hAnsi="Calibri" w:cs="Calibri"/>
          <w:color w:val="59595B"/>
        </w:rPr>
        <w:t>testing materials</w:t>
      </w:r>
      <w:r w:rsidR="006A703E">
        <w:rPr>
          <w:rFonts w:ascii="Calibri" w:eastAsia="Calibri" w:hAnsi="Calibri" w:cs="Calibri"/>
          <w:color w:val="59595B"/>
        </w:rPr>
        <w:t xml:space="preserve"> and consumables used in manufacturing</w:t>
      </w:r>
      <w:r w:rsidR="00F2749A" w:rsidRPr="00DE0914">
        <w:rPr>
          <w:rFonts w:ascii="Calibri" w:eastAsia="Calibri" w:hAnsi="Calibri" w:cs="Calibri"/>
          <w:color w:val="59595B"/>
        </w:rPr>
        <w:t>,</w:t>
      </w:r>
      <w:r w:rsidR="00CB6E95">
        <w:rPr>
          <w:rFonts w:ascii="Calibri" w:eastAsia="Calibri" w:hAnsi="Calibri" w:cs="Calibri"/>
          <w:color w:val="59595B"/>
        </w:rPr>
        <w:t xml:space="preserve"> </w:t>
      </w:r>
      <w:r w:rsidR="00F2749A" w:rsidRPr="00DE0914">
        <w:rPr>
          <w:rFonts w:ascii="Calibri" w:eastAsia="Calibri" w:hAnsi="Calibri" w:cs="Calibri"/>
          <w:color w:val="59595B"/>
        </w:rPr>
        <w:t>timelines for the clinical trials could incur further delays</w:t>
      </w:r>
      <w:r w:rsidR="006A703E">
        <w:rPr>
          <w:rFonts w:ascii="Calibri" w:eastAsia="Calibri" w:hAnsi="Calibri" w:cs="Calibri"/>
          <w:color w:val="59595B"/>
        </w:rPr>
        <w:t xml:space="preserve"> and</w:t>
      </w:r>
      <w:r w:rsidR="00CB6E95">
        <w:rPr>
          <w:rFonts w:ascii="Calibri" w:eastAsia="Calibri" w:hAnsi="Calibri" w:cs="Calibri"/>
          <w:color w:val="59595B"/>
        </w:rPr>
        <w:t xml:space="preserve"> manufacturing could incur temporary disruptions/ delays</w:t>
      </w:r>
      <w:r w:rsidR="00F2749A" w:rsidRPr="00DE0914">
        <w:rPr>
          <w:rFonts w:ascii="Calibri" w:eastAsia="Calibri" w:hAnsi="Calibri" w:cs="Calibri"/>
          <w:color w:val="59595B"/>
        </w:rPr>
        <w:t>.</w:t>
      </w:r>
    </w:p>
    <w:p w14:paraId="07BBE52B" w14:textId="0F824420" w:rsidR="001B0F60" w:rsidRPr="00DE0914" w:rsidRDefault="002F101E" w:rsidP="009105C5">
      <w:pPr>
        <w:spacing w:before="120" w:after="120" w:line="276" w:lineRule="auto"/>
        <w:rPr>
          <w:rFonts w:ascii="Calibri" w:eastAsia="Calibri" w:hAnsi="Calibri" w:cs="Calibri"/>
          <w:b/>
          <w:color w:val="59595B"/>
        </w:rPr>
      </w:pPr>
      <w:r w:rsidRPr="00DE0914">
        <w:rPr>
          <w:rFonts w:ascii="Calibri" w:eastAsia="Calibri" w:hAnsi="Calibri" w:cs="Calibri"/>
          <w:color w:val="59595B"/>
        </w:rPr>
        <w:t>No further specific financial guidance for 2021 is provided.</w:t>
      </w:r>
    </w:p>
    <w:p w14:paraId="4E536A41" w14:textId="06D3E905" w:rsidR="001B0F60" w:rsidRPr="00DE0914" w:rsidRDefault="002F101E" w:rsidP="009105C5">
      <w:pPr>
        <w:spacing w:before="120" w:after="120" w:line="276" w:lineRule="auto"/>
        <w:rPr>
          <w:rFonts w:ascii="Calibri" w:eastAsia="Calibri" w:hAnsi="Calibri" w:cs="Calibri"/>
          <w:b/>
          <w:color w:val="59595B"/>
          <w:sz w:val="22"/>
        </w:rPr>
      </w:pPr>
      <w:r w:rsidRPr="00DE0914">
        <w:rPr>
          <w:rFonts w:ascii="Calibri" w:eastAsia="Calibri" w:hAnsi="Calibri" w:cs="Calibri"/>
          <w:color w:val="59595B"/>
        </w:rPr>
        <w:t xml:space="preserve">As previously announced, as of 1 January 2021, the Company changed its </w:t>
      </w:r>
      <w:r w:rsidR="00A41E1E" w:rsidRPr="00DE0914">
        <w:rPr>
          <w:rFonts w:ascii="Calibri" w:eastAsia="Calibri" w:hAnsi="Calibri" w:cs="Calibri"/>
          <w:color w:val="59595B"/>
        </w:rPr>
        <w:t>present</w:t>
      </w:r>
      <w:r w:rsidR="002C1B04">
        <w:rPr>
          <w:rFonts w:ascii="Calibri" w:eastAsia="Calibri" w:hAnsi="Calibri" w:cs="Calibri"/>
          <w:color w:val="59595B"/>
        </w:rPr>
        <w:t>ation</w:t>
      </w:r>
      <w:r w:rsidRPr="00DE0914">
        <w:rPr>
          <w:rFonts w:ascii="Calibri" w:eastAsia="Calibri" w:hAnsi="Calibri" w:cs="Calibri"/>
          <w:color w:val="59595B"/>
        </w:rPr>
        <w:t xml:space="preserve"> currency from Euro to US </w:t>
      </w:r>
      <w:r w:rsidR="00B0243A">
        <w:rPr>
          <w:rFonts w:ascii="Calibri" w:eastAsia="Calibri" w:hAnsi="Calibri" w:cs="Calibri"/>
          <w:color w:val="59595B"/>
        </w:rPr>
        <w:t>D</w:t>
      </w:r>
      <w:r w:rsidRPr="00DE0914">
        <w:rPr>
          <w:rFonts w:ascii="Calibri" w:eastAsia="Calibri" w:hAnsi="Calibri" w:cs="Calibri"/>
          <w:color w:val="59595B"/>
        </w:rPr>
        <w:t>ollar.</w:t>
      </w:r>
      <w:r w:rsidRPr="00DE0914">
        <w:rPr>
          <w:rFonts w:ascii="Calibri" w:eastAsia="Calibri" w:hAnsi="Calibri" w:cs="Calibri"/>
          <w:sz w:val="22"/>
        </w:rPr>
        <w:t xml:space="preserve"> </w:t>
      </w:r>
    </w:p>
    <w:p w14:paraId="7577E017" w14:textId="228945FA" w:rsidR="001B0F60" w:rsidRPr="00DE0914" w:rsidRDefault="002F101E" w:rsidP="009105C5">
      <w:pPr>
        <w:spacing w:before="120" w:after="120" w:line="276" w:lineRule="auto"/>
        <w:jc w:val="both"/>
        <w:rPr>
          <w:rFonts w:ascii="Calibri" w:eastAsia="Calibri" w:hAnsi="Calibri" w:cs="Calibri"/>
          <w:b/>
          <w:color w:val="00679B"/>
          <w:shd w:val="clear" w:color="auto" w:fill="FFFFFF"/>
        </w:rPr>
      </w:pPr>
      <w:r w:rsidRPr="00DE0914">
        <w:rPr>
          <w:rFonts w:ascii="Calibri" w:eastAsia="Calibri" w:hAnsi="Calibri" w:cs="Calibri"/>
          <w:b/>
          <w:color w:val="00679B"/>
          <w:shd w:val="clear" w:color="auto" w:fill="FFFFFF"/>
        </w:rPr>
        <w:t xml:space="preserve">About Pharming Group N.V. </w:t>
      </w:r>
    </w:p>
    <w:p w14:paraId="12DCB8C9" w14:textId="77777777" w:rsidR="001B0F60" w:rsidRPr="00DE0914" w:rsidRDefault="002F101E" w:rsidP="009105C5">
      <w:pPr>
        <w:spacing w:before="120" w:after="120" w:line="276" w:lineRule="auto"/>
        <w:jc w:val="both"/>
        <w:rPr>
          <w:b/>
          <w:color w:val="59595B"/>
        </w:rPr>
      </w:pPr>
      <w:r w:rsidRPr="00DE0914">
        <w:rPr>
          <w:rFonts w:ascii="Calibri" w:eastAsia="Calibri" w:hAnsi="Calibri" w:cs="Calibri"/>
          <w:color w:val="59595B"/>
        </w:rPr>
        <w:t xml:space="preserve">Pharming Group N.V. is a global, commercial stage biopharmaceutical company developing innovative protein replacement therapies and precision medicines for the treatment of rare diseases and unmet medical needs. </w:t>
      </w:r>
    </w:p>
    <w:p w14:paraId="38A9B62F" w14:textId="77777777" w:rsidR="001B0F60" w:rsidRPr="00DE0914" w:rsidRDefault="002F101E" w:rsidP="009105C5">
      <w:pPr>
        <w:spacing w:before="120" w:after="120" w:line="288" w:lineRule="auto"/>
        <w:rPr>
          <w:rFonts w:ascii="Calibri" w:eastAsia="Calibri" w:hAnsi="Calibri" w:cs="Calibri"/>
          <w:b/>
          <w:color w:val="59595B"/>
        </w:rPr>
      </w:pPr>
      <w:r w:rsidRPr="00DE0914">
        <w:rPr>
          <w:rFonts w:ascii="Calibri" w:eastAsia="Calibri" w:hAnsi="Calibri" w:cs="Calibri"/>
          <w:color w:val="59595B"/>
        </w:rPr>
        <w:t xml:space="preserve">The flagship of our portfolio is our recombinant human C1 esterase inhibitor (rhC1INH) franchise. C1INH is a naturally occurring protein that down regulates the complement and contact cascades in order to control inflammation in affected tissues. </w:t>
      </w:r>
    </w:p>
    <w:p w14:paraId="61BF07A2" w14:textId="77777777" w:rsidR="001B0F60" w:rsidRPr="00DE0914" w:rsidRDefault="002F101E" w:rsidP="009105C5">
      <w:pPr>
        <w:spacing w:before="120" w:after="120" w:line="288" w:lineRule="auto"/>
        <w:rPr>
          <w:rFonts w:ascii="Calibri" w:eastAsia="Calibri" w:hAnsi="Calibri" w:cs="Calibri"/>
          <w:b/>
          <w:color w:val="59595B"/>
        </w:rPr>
      </w:pPr>
      <w:r w:rsidRPr="00DE0914">
        <w:rPr>
          <w:rFonts w:ascii="Calibri" w:eastAsia="Calibri" w:hAnsi="Calibri" w:cs="Calibri"/>
          <w:color w:val="59595B"/>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7894B487" w14:textId="77777777" w:rsidR="001B0F60" w:rsidRPr="00DE0914" w:rsidRDefault="002F101E" w:rsidP="009105C5">
      <w:pPr>
        <w:spacing w:before="120" w:after="120" w:line="288" w:lineRule="auto"/>
        <w:rPr>
          <w:rFonts w:ascii="Calibri" w:eastAsia="Calibri" w:hAnsi="Calibri" w:cs="Calibri"/>
          <w:b/>
          <w:color w:val="59595B"/>
        </w:rPr>
      </w:pPr>
      <w:r w:rsidRPr="00DE0914">
        <w:rPr>
          <w:rFonts w:ascii="Calibri" w:eastAsia="Calibri" w:hAnsi="Calibri" w:cs="Calibri"/>
          <w:color w:val="59595B"/>
        </w:rPr>
        <w:t xml:space="preserve">In addition, we are investigating the clinical efficacy of rhC1INH in the treatment of further indications, including pre-eclampsia, acute kidney injury and severe pneumonia as a result of COVID-19 infections. </w:t>
      </w:r>
    </w:p>
    <w:p w14:paraId="7BDEA7B5" w14:textId="77777777" w:rsidR="001B0F60" w:rsidRPr="00DE0914" w:rsidRDefault="002F101E" w:rsidP="009105C5">
      <w:pPr>
        <w:spacing w:before="120" w:after="120" w:line="288" w:lineRule="auto"/>
        <w:rPr>
          <w:rFonts w:ascii="Calibri" w:eastAsia="Calibri" w:hAnsi="Calibri" w:cs="Calibri"/>
          <w:b/>
          <w:color w:val="59595B"/>
        </w:rPr>
      </w:pPr>
      <w:r w:rsidRPr="00DE0914">
        <w:rPr>
          <w:rFonts w:ascii="Calibri" w:eastAsia="Calibri" w:hAnsi="Calibri" w:cs="Calibri"/>
          <w:color w:val="59595B"/>
        </w:rPr>
        <w:t xml:space="preserve">We are also studying our oral precision medicine, leniolisib (a phosphoinositide 3-kinase delta, or PI3K delta, inhibitor), for the treatment of activated PI3K delta syndrome, or APDS, in a registration enabling Phase 2/3 study in the United States and Europe. </w:t>
      </w:r>
    </w:p>
    <w:p w14:paraId="27D4D6F2" w14:textId="77777777" w:rsidR="001B0F60" w:rsidRPr="00DE0914" w:rsidRDefault="002F101E" w:rsidP="009105C5">
      <w:pPr>
        <w:spacing w:before="120" w:after="120" w:line="288" w:lineRule="auto"/>
        <w:rPr>
          <w:rFonts w:ascii="Calibri" w:eastAsia="Calibri" w:hAnsi="Calibri" w:cs="Calibri"/>
          <w:b/>
          <w:color w:val="59595B"/>
        </w:rPr>
      </w:pPr>
      <w:r w:rsidRPr="00DE0914">
        <w:rPr>
          <w:rFonts w:ascii="Calibri" w:eastAsia="Calibri" w:hAnsi="Calibri" w:cs="Calibri"/>
          <w:color w:val="59595B"/>
        </w:rPr>
        <w:lastRenderedPageBreak/>
        <w:t>Furthermore, we are leveraging our transgenic manufacturing technology to develop next-generation protein replacement therapies, most notably for Pompe disease, which is currently in preclinical development.</w:t>
      </w:r>
    </w:p>
    <w:p w14:paraId="2B46D60F" w14:textId="77777777" w:rsidR="001B0F60" w:rsidRPr="00DE0914" w:rsidRDefault="002F101E" w:rsidP="009105C5">
      <w:pPr>
        <w:spacing w:before="120" w:after="120" w:line="288" w:lineRule="auto"/>
        <w:rPr>
          <w:rFonts w:ascii="Calibri" w:eastAsia="Calibri" w:hAnsi="Calibri" w:cs="Calibri"/>
          <w:b/>
          <w:color w:val="59595B"/>
        </w:rPr>
      </w:pPr>
      <w:r w:rsidRPr="00DE0914">
        <w:rPr>
          <w:rFonts w:ascii="Calibri" w:eastAsia="Calibri" w:hAnsi="Calibri" w:cs="Calibri"/>
          <w:color w:val="59595B"/>
        </w:rPr>
        <w:t xml:space="preserve">For further information please visit: www.pharming.com </w:t>
      </w:r>
    </w:p>
    <w:p w14:paraId="1DCC24B9" w14:textId="0FCC4E64" w:rsidR="001B0F60" w:rsidRPr="00DE0914" w:rsidRDefault="002F101E" w:rsidP="009105C5">
      <w:pPr>
        <w:spacing w:before="120" w:after="120" w:line="288" w:lineRule="auto"/>
        <w:rPr>
          <w:rFonts w:ascii="Calibri" w:eastAsia="Calibri" w:hAnsi="Calibri" w:cs="Calibri"/>
          <w:b/>
          <w:color w:val="00679B"/>
          <w:shd w:val="clear" w:color="auto" w:fill="FFFFFF"/>
        </w:rPr>
      </w:pPr>
      <w:r w:rsidRPr="00DE0914">
        <w:rPr>
          <w:rFonts w:ascii="Calibri" w:eastAsia="Calibri" w:hAnsi="Calibri" w:cs="Calibri"/>
          <w:b/>
          <w:color w:val="00679B"/>
          <w:shd w:val="clear" w:color="auto" w:fill="FFFFFF"/>
        </w:rPr>
        <w:t xml:space="preserve">Forward-looking Statements </w:t>
      </w:r>
    </w:p>
    <w:p w14:paraId="3BA97EF6" w14:textId="77777777" w:rsidR="001B0F60" w:rsidRPr="00DE0914" w:rsidRDefault="002F101E" w:rsidP="008737A5">
      <w:pPr>
        <w:spacing w:before="60" w:after="60" w:line="276" w:lineRule="auto"/>
        <w:jc w:val="both"/>
        <w:rPr>
          <w:rFonts w:ascii="Calibri" w:eastAsia="Calibri" w:hAnsi="Calibri" w:cs="Calibri"/>
          <w:b/>
          <w:i/>
          <w:color w:val="59595B"/>
          <w:sz w:val="22"/>
        </w:rPr>
      </w:pPr>
      <w:r w:rsidRPr="00DE0914">
        <w:rPr>
          <w:rFonts w:ascii="Calibri" w:eastAsia="Calibri" w:hAnsi="Calibri" w:cs="Calibri"/>
          <w:i/>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572945CA" w14:textId="7E47CC1C" w:rsidR="001B0F60" w:rsidRPr="00DE0914" w:rsidRDefault="002F101E" w:rsidP="009105C5">
      <w:pPr>
        <w:spacing w:before="120" w:after="120" w:line="276" w:lineRule="auto"/>
        <w:jc w:val="both"/>
        <w:rPr>
          <w:rFonts w:ascii="Calibri" w:eastAsia="Calibri" w:hAnsi="Calibri" w:cs="Calibri"/>
          <w:b/>
          <w:color w:val="00679B"/>
          <w:shd w:val="clear" w:color="auto" w:fill="FFFFFF"/>
        </w:rPr>
      </w:pPr>
      <w:r w:rsidRPr="00DE0914">
        <w:rPr>
          <w:rFonts w:ascii="Calibri" w:eastAsia="Calibri" w:hAnsi="Calibri" w:cs="Calibri"/>
          <w:b/>
          <w:color w:val="00679B"/>
          <w:shd w:val="clear" w:color="auto" w:fill="FFFFFF"/>
        </w:rPr>
        <w:t>Inside Information</w:t>
      </w:r>
    </w:p>
    <w:p w14:paraId="65674281" w14:textId="77777777" w:rsidR="001B0F60" w:rsidRPr="00DE0914" w:rsidRDefault="002F101E" w:rsidP="009105C5">
      <w:pPr>
        <w:spacing w:before="120" w:after="120" w:line="276" w:lineRule="auto"/>
        <w:rPr>
          <w:rFonts w:ascii="Calibri" w:eastAsia="Calibri" w:hAnsi="Calibri" w:cs="Calibri"/>
          <w:b/>
          <w:color w:val="FF0000"/>
          <w:sz w:val="22"/>
        </w:rPr>
      </w:pPr>
      <w:r w:rsidRPr="00DE0914">
        <w:rPr>
          <w:rFonts w:ascii="Calibri" w:eastAsia="Calibri" w:hAnsi="Calibri" w:cs="Calibri"/>
          <w:i/>
          <w:color w:val="59595B"/>
        </w:rPr>
        <w:t>This press release relates to the disclosure of information that qualifies, or may have qualified, as inside information within the meaning of Article 7(1) of the EU Market Abuse Regulation.</w:t>
      </w:r>
    </w:p>
    <w:p w14:paraId="55176BF3" w14:textId="7063CAE8" w:rsidR="001B0F60" w:rsidRPr="00DE0914" w:rsidRDefault="002F101E" w:rsidP="008737A5">
      <w:pPr>
        <w:spacing w:before="60" w:after="60" w:line="276" w:lineRule="auto"/>
        <w:rPr>
          <w:rFonts w:ascii="Calibri" w:eastAsia="Calibri" w:hAnsi="Calibri" w:cs="Calibri"/>
          <w:b/>
          <w:color w:val="59595B"/>
          <w:shd w:val="clear" w:color="auto" w:fill="FFFFFF"/>
        </w:rPr>
      </w:pPr>
      <w:r w:rsidRPr="00DE0914">
        <w:rPr>
          <w:rFonts w:ascii="Calibri" w:eastAsia="Calibri" w:hAnsi="Calibri" w:cs="Calibri"/>
          <w:b/>
          <w:color w:val="59595B"/>
          <w:shd w:val="clear" w:color="auto" w:fill="FFFFFF"/>
        </w:rPr>
        <w:t>For further public information, contact:</w:t>
      </w:r>
    </w:p>
    <w:p w14:paraId="3AE6E245" w14:textId="77777777" w:rsidR="001B0F60" w:rsidRPr="00DE0914" w:rsidRDefault="002F101E" w:rsidP="008737A5">
      <w:pPr>
        <w:spacing w:before="60" w:after="60" w:line="276" w:lineRule="auto"/>
        <w:rPr>
          <w:rFonts w:ascii="Calibri" w:eastAsia="Calibri" w:hAnsi="Calibri" w:cs="Calibri"/>
          <w:b/>
          <w:i/>
          <w:color w:val="59595B"/>
        </w:rPr>
      </w:pPr>
      <w:r w:rsidRPr="00DE0914">
        <w:rPr>
          <w:rFonts w:ascii="Calibri" w:eastAsia="Calibri" w:hAnsi="Calibri" w:cs="Calibri"/>
          <w:i/>
          <w:color w:val="59595B"/>
        </w:rPr>
        <w:t>Pharming Group, Leiden, The Netherlands</w:t>
      </w:r>
    </w:p>
    <w:p w14:paraId="46833B05" w14:textId="77777777" w:rsidR="001B0F60" w:rsidRPr="00DE0914" w:rsidRDefault="002F101E" w:rsidP="008737A5">
      <w:pPr>
        <w:spacing w:before="60" w:after="60" w:line="276" w:lineRule="auto"/>
        <w:rPr>
          <w:rFonts w:ascii="Calibri" w:eastAsia="Calibri" w:hAnsi="Calibri" w:cs="Calibri"/>
          <w:b/>
          <w:color w:val="59595B"/>
        </w:rPr>
      </w:pPr>
      <w:r w:rsidRPr="00DE0914">
        <w:rPr>
          <w:rFonts w:ascii="Calibri" w:eastAsia="Calibri" w:hAnsi="Calibri" w:cs="Calibri"/>
          <w:color w:val="59595B"/>
        </w:rPr>
        <w:t>Sijmen de Vries, CEO: T: +31 71 524 7400</w:t>
      </w:r>
    </w:p>
    <w:p w14:paraId="337C135F" w14:textId="77777777" w:rsidR="001B0F60" w:rsidRPr="00DE0914" w:rsidRDefault="002F101E" w:rsidP="008737A5">
      <w:pPr>
        <w:spacing w:before="60" w:after="60" w:line="276" w:lineRule="auto"/>
        <w:rPr>
          <w:rFonts w:ascii="Calibri" w:eastAsia="Calibri" w:hAnsi="Calibri" w:cs="Calibri"/>
          <w:b/>
          <w:color w:val="59595B"/>
        </w:rPr>
      </w:pPr>
      <w:r w:rsidRPr="00DE0914">
        <w:rPr>
          <w:rFonts w:ascii="Calibri" w:eastAsia="Calibri" w:hAnsi="Calibri" w:cs="Calibri"/>
          <w:color w:val="59595B"/>
        </w:rPr>
        <w:t>Susanne Embleton, Investor Relations Manager: T: +31 71 524 7400 E: investor@pharming.com</w:t>
      </w:r>
    </w:p>
    <w:p w14:paraId="2B488726" w14:textId="77777777" w:rsidR="001B0F60" w:rsidRPr="00DE0914" w:rsidRDefault="002F101E" w:rsidP="008737A5">
      <w:pPr>
        <w:spacing w:before="60" w:after="60" w:line="276" w:lineRule="auto"/>
        <w:rPr>
          <w:rFonts w:ascii="Calibri" w:eastAsia="Calibri" w:hAnsi="Calibri" w:cs="Calibri"/>
          <w:b/>
          <w:i/>
          <w:color w:val="59595B"/>
        </w:rPr>
      </w:pPr>
      <w:r w:rsidRPr="00DE0914">
        <w:rPr>
          <w:rFonts w:ascii="Calibri" w:eastAsia="Calibri" w:hAnsi="Calibri" w:cs="Calibri"/>
          <w:i/>
          <w:color w:val="59595B"/>
        </w:rPr>
        <w:t>FTI Consulting, London, UK</w:t>
      </w:r>
    </w:p>
    <w:p w14:paraId="187573E1" w14:textId="77777777" w:rsidR="001B0F60" w:rsidRPr="00DE0914" w:rsidRDefault="002F101E" w:rsidP="008737A5">
      <w:pPr>
        <w:spacing w:before="60" w:after="60" w:line="276" w:lineRule="auto"/>
        <w:rPr>
          <w:rFonts w:ascii="Calibri" w:eastAsia="Calibri" w:hAnsi="Calibri" w:cs="Calibri"/>
          <w:b/>
          <w:color w:val="59595B"/>
        </w:rPr>
      </w:pPr>
      <w:r w:rsidRPr="00DE0914">
        <w:rPr>
          <w:rFonts w:ascii="Calibri" w:eastAsia="Calibri" w:hAnsi="Calibri" w:cs="Calibri"/>
          <w:color w:val="59595B"/>
        </w:rPr>
        <w:t>Victoria Foster Mitchell/Alex Shaw/Amy Byrne</w:t>
      </w:r>
    </w:p>
    <w:p w14:paraId="6CEB459E" w14:textId="77777777" w:rsidR="001B0F60" w:rsidRPr="00DE0914" w:rsidRDefault="002F101E" w:rsidP="008737A5">
      <w:pPr>
        <w:spacing w:before="60" w:after="60" w:line="276" w:lineRule="auto"/>
        <w:rPr>
          <w:rFonts w:ascii="Calibri" w:eastAsia="Calibri" w:hAnsi="Calibri" w:cs="Calibri"/>
          <w:b/>
          <w:color w:val="59595B"/>
        </w:rPr>
      </w:pPr>
      <w:r w:rsidRPr="00DE0914">
        <w:rPr>
          <w:rFonts w:ascii="Calibri" w:eastAsia="Calibri" w:hAnsi="Calibri" w:cs="Calibri"/>
          <w:color w:val="59595B"/>
        </w:rPr>
        <w:t>T: +44 203 727 1000</w:t>
      </w:r>
    </w:p>
    <w:p w14:paraId="19D7B6D1" w14:textId="77777777" w:rsidR="001B0F60" w:rsidRPr="00DE0914" w:rsidRDefault="002F101E" w:rsidP="008737A5">
      <w:pPr>
        <w:spacing w:before="60" w:after="60" w:line="276" w:lineRule="auto"/>
        <w:rPr>
          <w:rFonts w:ascii="Calibri" w:eastAsia="Calibri" w:hAnsi="Calibri" w:cs="Calibri"/>
          <w:b/>
          <w:i/>
          <w:color w:val="59595B"/>
        </w:rPr>
      </w:pPr>
      <w:r w:rsidRPr="00DE0914">
        <w:rPr>
          <w:rFonts w:ascii="Calibri" w:eastAsia="Calibri" w:hAnsi="Calibri" w:cs="Calibri"/>
          <w:i/>
          <w:color w:val="59595B"/>
        </w:rPr>
        <w:t>LifeSpring Life Sciences Communication, Amsterdam, The Netherlands</w:t>
      </w:r>
    </w:p>
    <w:p w14:paraId="038D3311" w14:textId="77777777" w:rsidR="001B0F60" w:rsidRPr="00DE0914" w:rsidRDefault="002F101E" w:rsidP="008737A5">
      <w:pPr>
        <w:spacing w:before="60" w:after="60" w:line="276" w:lineRule="auto"/>
        <w:rPr>
          <w:rFonts w:ascii="Calibri" w:eastAsia="Calibri" w:hAnsi="Calibri" w:cs="Calibri"/>
          <w:b/>
          <w:color w:val="59595B"/>
          <w:lang w:val="de-DE"/>
        </w:rPr>
      </w:pPr>
      <w:r w:rsidRPr="00DE0914">
        <w:rPr>
          <w:rFonts w:ascii="Calibri" w:eastAsia="Calibri" w:hAnsi="Calibri" w:cs="Calibri"/>
          <w:color w:val="59595B"/>
          <w:lang w:val="de-DE"/>
        </w:rPr>
        <w:t>Leon Melens</w:t>
      </w:r>
    </w:p>
    <w:p w14:paraId="5AECBD0F" w14:textId="77777777" w:rsidR="001B0F60" w:rsidRPr="00DE0914" w:rsidRDefault="002F101E" w:rsidP="008737A5">
      <w:pPr>
        <w:spacing w:before="60" w:after="60" w:line="276" w:lineRule="auto"/>
        <w:rPr>
          <w:rFonts w:ascii="Calibri" w:eastAsia="Calibri" w:hAnsi="Calibri" w:cs="Calibri"/>
          <w:b/>
          <w:color w:val="59595B"/>
          <w:lang w:val="de-DE"/>
        </w:rPr>
      </w:pPr>
      <w:r w:rsidRPr="00DE0914">
        <w:rPr>
          <w:rFonts w:ascii="Calibri" w:eastAsia="Calibri" w:hAnsi="Calibri" w:cs="Calibri"/>
          <w:color w:val="59595B"/>
          <w:lang w:val="de-DE"/>
        </w:rPr>
        <w:t>T: +31 6 53 81 64 27</w:t>
      </w:r>
    </w:p>
    <w:p w14:paraId="5EC9DEFD" w14:textId="74A13F94" w:rsidR="001B0F60" w:rsidRPr="008737A5" w:rsidRDefault="002F101E" w:rsidP="008737A5">
      <w:pPr>
        <w:spacing w:before="60" w:after="60" w:line="276" w:lineRule="auto"/>
        <w:rPr>
          <w:rFonts w:ascii="Calibri" w:eastAsia="Calibri" w:hAnsi="Calibri" w:cs="Calibri"/>
          <w:b/>
          <w:color w:val="59595B"/>
          <w:lang w:val="de-DE"/>
        </w:rPr>
      </w:pPr>
      <w:r w:rsidRPr="00DE0914">
        <w:rPr>
          <w:rFonts w:ascii="Calibri" w:eastAsia="Calibri" w:hAnsi="Calibri" w:cs="Calibri"/>
          <w:color w:val="59595B"/>
          <w:lang w:val="de-DE"/>
        </w:rPr>
        <w:t>E: pharming@lifespring.nl</w:t>
      </w:r>
    </w:p>
    <w:p w14:paraId="017C7AE9" w14:textId="77777777" w:rsidR="001B0F60" w:rsidRPr="00DE0914" w:rsidRDefault="002F101E">
      <w:pPr>
        <w:pageBreakBefore/>
        <w:spacing w:after="120" w:line="276" w:lineRule="auto"/>
        <w:jc w:val="both"/>
        <w:rPr>
          <w:rFonts w:ascii="Calibri" w:eastAsia="Calibri" w:hAnsi="Calibri" w:cs="Calibri"/>
          <w:b/>
          <w:color w:val="00679B"/>
          <w:shd w:val="clear" w:color="auto" w:fill="FFFFFF"/>
        </w:rPr>
      </w:pPr>
      <w:r w:rsidRPr="00DE0914">
        <w:rPr>
          <w:rFonts w:ascii="Calibri" w:eastAsia="Calibri" w:hAnsi="Calibri" w:cs="Calibri"/>
          <w:b/>
          <w:color w:val="00679B"/>
          <w:shd w:val="clear" w:color="auto" w:fill="FFFFFF"/>
        </w:rPr>
        <w:lastRenderedPageBreak/>
        <w:t>Conference call dial-in information</w:t>
      </w:r>
    </w:p>
    <w:p w14:paraId="1F83FECF" w14:textId="77777777" w:rsidR="001B0F60" w:rsidRPr="00DE0914" w:rsidRDefault="002F101E">
      <w:pPr>
        <w:spacing w:before="60" w:after="120" w:line="276" w:lineRule="auto"/>
        <w:jc w:val="both"/>
        <w:rPr>
          <w:rFonts w:ascii="Calibri" w:eastAsia="Calibri" w:hAnsi="Calibri" w:cs="Calibri"/>
          <w:b/>
          <w:i/>
          <w:color w:val="59595B"/>
          <w:shd w:val="clear" w:color="auto" w:fill="FFFFFF"/>
        </w:rPr>
      </w:pPr>
      <w:r w:rsidRPr="00DE0914">
        <w:rPr>
          <w:rFonts w:ascii="Calibri" w:eastAsia="Calibri" w:hAnsi="Calibri" w:cs="Calibri"/>
          <w:i/>
          <w:color w:val="59595B"/>
          <w:shd w:val="clear" w:color="auto" w:fill="FFFFFF"/>
        </w:rPr>
        <w:t>Please note, the Company will only take questions from dial-in attendees.</w:t>
      </w:r>
    </w:p>
    <w:p w14:paraId="25D30D97" w14:textId="2C15B0B9" w:rsidR="001B0F60" w:rsidRPr="00DE0914" w:rsidRDefault="002F101E">
      <w:pPr>
        <w:spacing w:line="276" w:lineRule="auto"/>
        <w:rPr>
          <w:rFonts w:ascii="Calibri" w:eastAsia="Calibri" w:hAnsi="Calibri" w:cs="Calibri"/>
          <w:b/>
          <w:color w:val="59595B"/>
          <w:sz w:val="22"/>
        </w:rPr>
      </w:pPr>
      <w:r w:rsidRPr="00DE0914">
        <w:rPr>
          <w:rFonts w:ascii="Calibri" w:eastAsia="Calibri" w:hAnsi="Calibri" w:cs="Calibri"/>
          <w:color w:val="59595B"/>
          <w:sz w:val="22"/>
        </w:rPr>
        <w:t>Netherlands (Local)</w:t>
      </w:r>
      <w:r w:rsidR="00383F34" w:rsidRPr="00DE0914">
        <w:rPr>
          <w:rFonts w:ascii="Calibri" w:eastAsia="Calibri" w:hAnsi="Calibri" w:cs="Calibri"/>
          <w:color w:val="59595B"/>
          <w:sz w:val="22"/>
        </w:rPr>
        <w:tab/>
      </w:r>
      <w:r w:rsidRPr="00DE0914">
        <w:rPr>
          <w:rFonts w:ascii="Calibri" w:eastAsia="Calibri" w:hAnsi="Calibri" w:cs="Calibri"/>
          <w:color w:val="59595B"/>
          <w:sz w:val="22"/>
        </w:rPr>
        <w:t>085 888 7233</w:t>
      </w:r>
    </w:p>
    <w:p w14:paraId="2CBD1649" w14:textId="77777777" w:rsidR="001B0F60" w:rsidRPr="00DE0914" w:rsidRDefault="001B0F60">
      <w:pPr>
        <w:spacing w:line="276" w:lineRule="auto"/>
        <w:rPr>
          <w:rFonts w:ascii="Calibri" w:eastAsia="Calibri" w:hAnsi="Calibri" w:cs="Calibri"/>
          <w:b/>
          <w:color w:val="59595B"/>
          <w:sz w:val="22"/>
        </w:rPr>
      </w:pPr>
    </w:p>
    <w:p w14:paraId="6D0CC818" w14:textId="77777777" w:rsidR="001B0F60" w:rsidRPr="00DE0914" w:rsidRDefault="002F101E">
      <w:pPr>
        <w:spacing w:line="288" w:lineRule="auto"/>
        <w:rPr>
          <w:rFonts w:ascii="Calibri" w:eastAsia="Calibri" w:hAnsi="Calibri" w:cs="Calibri"/>
          <w:b/>
          <w:color w:val="59595B"/>
          <w:sz w:val="22"/>
        </w:rPr>
      </w:pPr>
      <w:r w:rsidRPr="00DE0914">
        <w:rPr>
          <w:rFonts w:ascii="Calibri" w:eastAsia="Calibri" w:hAnsi="Calibri" w:cs="Calibri"/>
          <w:color w:val="59595B"/>
          <w:sz w:val="22"/>
        </w:rPr>
        <w:t>United Kingdom              0800 640 6441</w:t>
      </w:r>
    </w:p>
    <w:p w14:paraId="1E65338C" w14:textId="77777777" w:rsidR="001B0F60" w:rsidRPr="00DE0914" w:rsidRDefault="001B0F60">
      <w:pPr>
        <w:spacing w:line="288" w:lineRule="auto"/>
        <w:rPr>
          <w:rFonts w:ascii="Calibri" w:eastAsia="Calibri" w:hAnsi="Calibri" w:cs="Calibri"/>
          <w:b/>
          <w:color w:val="59595B"/>
          <w:sz w:val="22"/>
        </w:rPr>
      </w:pPr>
    </w:p>
    <w:p w14:paraId="2B77569B" w14:textId="77777777" w:rsidR="001B0F60" w:rsidRPr="00DE0914" w:rsidRDefault="002F101E">
      <w:pPr>
        <w:spacing w:line="288" w:lineRule="auto"/>
        <w:rPr>
          <w:rFonts w:ascii="Calibri" w:eastAsia="Calibri" w:hAnsi="Calibri" w:cs="Calibri"/>
          <w:b/>
          <w:color w:val="59595B"/>
          <w:sz w:val="22"/>
        </w:rPr>
      </w:pPr>
      <w:r w:rsidRPr="00DE0914">
        <w:rPr>
          <w:rFonts w:ascii="Calibri" w:eastAsia="Calibri" w:hAnsi="Calibri" w:cs="Calibri"/>
          <w:color w:val="59595B"/>
          <w:sz w:val="22"/>
        </w:rPr>
        <w:t>United Kingdom (Local) 020 3936 2999</w:t>
      </w:r>
    </w:p>
    <w:p w14:paraId="1C423C7F" w14:textId="77777777" w:rsidR="001B0F60" w:rsidRPr="00DE0914" w:rsidRDefault="001B0F60">
      <w:pPr>
        <w:spacing w:line="288" w:lineRule="auto"/>
        <w:rPr>
          <w:rFonts w:ascii="Calibri" w:eastAsia="Calibri" w:hAnsi="Calibri" w:cs="Calibri"/>
          <w:b/>
          <w:color w:val="59595B"/>
          <w:sz w:val="22"/>
        </w:rPr>
      </w:pPr>
    </w:p>
    <w:p w14:paraId="341792DA" w14:textId="0627ED9C" w:rsidR="001B0F60" w:rsidRPr="00DE0914" w:rsidRDefault="002F101E">
      <w:pPr>
        <w:spacing w:line="288" w:lineRule="auto"/>
        <w:rPr>
          <w:rFonts w:ascii="Calibri" w:eastAsia="Calibri" w:hAnsi="Calibri" w:cs="Calibri"/>
          <w:color w:val="59595B"/>
          <w:sz w:val="22"/>
        </w:rPr>
      </w:pPr>
      <w:r w:rsidRPr="00DE0914">
        <w:rPr>
          <w:rFonts w:ascii="Calibri" w:eastAsia="Calibri" w:hAnsi="Calibri" w:cs="Calibri"/>
          <w:color w:val="59595B"/>
          <w:sz w:val="22"/>
        </w:rPr>
        <w:t xml:space="preserve">United States </w:t>
      </w:r>
      <w:r w:rsidRPr="00DE0914">
        <w:rPr>
          <w:rFonts w:ascii="Calibri" w:eastAsia="Calibri" w:hAnsi="Calibri" w:cs="Calibri"/>
          <w:color w:val="59595B"/>
          <w:sz w:val="22"/>
        </w:rPr>
        <w:tab/>
      </w:r>
      <w:r w:rsidRPr="00DE0914">
        <w:rPr>
          <w:rFonts w:ascii="Calibri" w:eastAsia="Calibri" w:hAnsi="Calibri" w:cs="Calibri"/>
          <w:color w:val="59595B"/>
          <w:sz w:val="22"/>
        </w:rPr>
        <w:tab/>
      </w:r>
      <w:r w:rsidR="000068D6" w:rsidRPr="00DE0914">
        <w:rPr>
          <w:rFonts w:ascii="Calibri" w:eastAsia="Calibri" w:hAnsi="Calibri" w:cs="Calibri"/>
          <w:color w:val="59595B"/>
          <w:sz w:val="22"/>
        </w:rPr>
        <w:t>1 855 9796 654</w:t>
      </w:r>
    </w:p>
    <w:p w14:paraId="44D31F70" w14:textId="7269D424" w:rsidR="000068D6" w:rsidRPr="00DE0914" w:rsidRDefault="000068D6">
      <w:pPr>
        <w:spacing w:line="288" w:lineRule="auto"/>
        <w:rPr>
          <w:rFonts w:ascii="Calibri" w:eastAsia="Calibri" w:hAnsi="Calibri" w:cs="Calibri"/>
          <w:color w:val="59595B"/>
          <w:sz w:val="22"/>
        </w:rPr>
      </w:pPr>
    </w:p>
    <w:p w14:paraId="1B4BA917" w14:textId="571E7295" w:rsidR="000068D6" w:rsidRPr="00DE0914" w:rsidRDefault="000068D6" w:rsidP="000068D6">
      <w:pPr>
        <w:spacing w:line="288" w:lineRule="auto"/>
        <w:rPr>
          <w:rFonts w:ascii="Calibri" w:eastAsia="Calibri" w:hAnsi="Calibri" w:cs="Calibri"/>
          <w:color w:val="59595B"/>
          <w:sz w:val="22"/>
        </w:rPr>
      </w:pPr>
      <w:r w:rsidRPr="00DE0914">
        <w:rPr>
          <w:rFonts w:ascii="Calibri" w:eastAsia="Calibri" w:hAnsi="Calibri" w:cs="Calibri"/>
          <w:color w:val="59595B"/>
          <w:sz w:val="22"/>
        </w:rPr>
        <w:t>United States (Local)</w:t>
      </w:r>
      <w:r w:rsidRPr="00DE0914">
        <w:rPr>
          <w:rFonts w:ascii="Calibri" w:eastAsia="Calibri" w:hAnsi="Calibri" w:cs="Calibri"/>
          <w:color w:val="59595B"/>
          <w:sz w:val="22"/>
        </w:rPr>
        <w:tab/>
        <w:t>1 646 664 1960</w:t>
      </w:r>
    </w:p>
    <w:p w14:paraId="60FC5BB7" w14:textId="77777777" w:rsidR="000068D6" w:rsidRPr="00DE0914" w:rsidRDefault="000068D6">
      <w:pPr>
        <w:spacing w:line="288" w:lineRule="auto"/>
        <w:rPr>
          <w:rFonts w:ascii="Calibri" w:eastAsia="Calibri" w:hAnsi="Calibri" w:cs="Calibri"/>
          <w:b/>
          <w:color w:val="59595B"/>
          <w:sz w:val="22"/>
          <w:shd w:val="clear" w:color="auto" w:fill="FFDE0F"/>
        </w:rPr>
      </w:pPr>
    </w:p>
    <w:p w14:paraId="77D1FBBD" w14:textId="77777777" w:rsidR="001B0F60" w:rsidRPr="00DE0914" w:rsidRDefault="002F101E">
      <w:pPr>
        <w:spacing w:line="288" w:lineRule="auto"/>
        <w:rPr>
          <w:rFonts w:ascii="Calibri" w:eastAsia="Calibri" w:hAnsi="Calibri" w:cs="Calibri"/>
          <w:b/>
          <w:color w:val="59595B"/>
          <w:sz w:val="22"/>
        </w:rPr>
      </w:pPr>
      <w:r w:rsidRPr="00DE0914">
        <w:rPr>
          <w:rFonts w:ascii="Calibri" w:eastAsia="Calibri" w:hAnsi="Calibri" w:cs="Calibri"/>
          <w:color w:val="59595B"/>
          <w:sz w:val="22"/>
        </w:rPr>
        <w:t>All other locations          +44 20 3936 2999</w:t>
      </w:r>
    </w:p>
    <w:p w14:paraId="4DB38815" w14:textId="77777777" w:rsidR="001B0F60" w:rsidRPr="00DE0914" w:rsidRDefault="001B0F60">
      <w:pPr>
        <w:spacing w:line="288" w:lineRule="auto"/>
        <w:rPr>
          <w:rFonts w:ascii="Calibri" w:eastAsia="Calibri" w:hAnsi="Calibri" w:cs="Calibri"/>
          <w:b/>
          <w:color w:val="59595B"/>
          <w:sz w:val="22"/>
        </w:rPr>
      </w:pPr>
    </w:p>
    <w:p w14:paraId="7B78625F" w14:textId="77777777" w:rsidR="001B0F60" w:rsidRPr="00DE0914" w:rsidRDefault="002F101E">
      <w:pPr>
        <w:spacing w:line="288" w:lineRule="auto"/>
        <w:rPr>
          <w:rFonts w:ascii="Calibri" w:eastAsia="Calibri" w:hAnsi="Calibri" w:cs="Calibri"/>
          <w:b/>
          <w:color w:val="59595B"/>
          <w:sz w:val="22"/>
        </w:rPr>
      </w:pPr>
      <w:r w:rsidRPr="00DE0914">
        <w:rPr>
          <w:rFonts w:ascii="Calibri" w:eastAsia="Calibri" w:hAnsi="Calibri" w:cs="Calibri"/>
          <w:b/>
          <w:color w:val="59595B"/>
          <w:sz w:val="22"/>
        </w:rPr>
        <w:t>Access code: 692461</w:t>
      </w:r>
    </w:p>
    <w:p w14:paraId="5462C10F" w14:textId="77777777" w:rsidR="001B0F60" w:rsidRPr="00DE0914" w:rsidRDefault="001B0F60">
      <w:pPr>
        <w:spacing w:line="288" w:lineRule="auto"/>
        <w:rPr>
          <w:rFonts w:ascii="Arial Narrow" w:eastAsia="Arial Narrow" w:hAnsi="Arial Narrow" w:cs="Arial Narrow"/>
          <w:b/>
          <w:color w:val="59595B"/>
          <w:sz w:val="22"/>
          <w:shd w:val="clear" w:color="auto" w:fill="FFDE0F"/>
        </w:rPr>
      </w:pPr>
    </w:p>
    <w:p w14:paraId="6B9541AD" w14:textId="77777777" w:rsidR="001B0F60" w:rsidRPr="00DE0914" w:rsidRDefault="001B0F60">
      <w:pPr>
        <w:spacing w:line="276" w:lineRule="auto"/>
        <w:rPr>
          <w:rFonts w:ascii="Arial" w:eastAsia="Arial" w:hAnsi="Arial" w:cs="Arial"/>
          <w:b/>
          <w:color w:val="FF0000"/>
          <w:shd w:val="clear" w:color="auto" w:fill="FFDE0F"/>
        </w:rPr>
      </w:pPr>
    </w:p>
    <w:p w14:paraId="580572E5" w14:textId="77777777" w:rsidR="001B0F60" w:rsidRPr="00DE0914" w:rsidRDefault="002F101E">
      <w:pPr>
        <w:spacing w:before="60" w:after="120" w:line="276" w:lineRule="auto"/>
        <w:jc w:val="both"/>
        <w:rPr>
          <w:rFonts w:ascii="Calibri" w:eastAsia="Calibri" w:hAnsi="Calibri" w:cs="Calibri"/>
          <w:b/>
          <w:color w:val="59595B"/>
          <w:sz w:val="22"/>
        </w:rPr>
      </w:pPr>
      <w:r w:rsidRPr="00DE0914">
        <w:rPr>
          <w:rFonts w:ascii="Calibri" w:eastAsia="Calibri" w:hAnsi="Calibri" w:cs="Calibri"/>
          <w:b/>
          <w:color w:val="59595B"/>
          <w:sz w:val="22"/>
        </w:rPr>
        <w:t>Webcast Link:</w:t>
      </w:r>
    </w:p>
    <w:p w14:paraId="6415AE81" w14:textId="56715499" w:rsidR="001B0F60" w:rsidRPr="00DE0914" w:rsidRDefault="003D5C3C">
      <w:pPr>
        <w:spacing w:line="288" w:lineRule="auto"/>
        <w:rPr>
          <w:rFonts w:ascii="Calibri" w:eastAsia="Calibri" w:hAnsi="Calibri" w:cs="Calibri"/>
          <w:b/>
          <w:color w:val="59595B"/>
          <w:sz w:val="22"/>
        </w:rPr>
      </w:pPr>
      <w:hyperlink r:id="rId10" w:history="1">
        <w:r w:rsidR="007C0C3D" w:rsidRPr="006264A6">
          <w:rPr>
            <w:rStyle w:val="Hyperlink"/>
            <w:rFonts w:ascii="Calibri" w:eastAsia="Calibri" w:hAnsi="Calibri" w:cs="Calibri"/>
            <w:sz w:val="22"/>
          </w:rPr>
          <w:t>https://webcast.openbriefing.com/pharming-q1/</w:t>
        </w:r>
      </w:hyperlink>
      <w:r w:rsidR="007C0C3D">
        <w:rPr>
          <w:rFonts w:ascii="Calibri" w:eastAsia="Calibri" w:hAnsi="Calibri" w:cs="Calibri"/>
          <w:color w:val="59595B"/>
          <w:sz w:val="22"/>
        </w:rPr>
        <w:t xml:space="preserve"> </w:t>
      </w:r>
    </w:p>
    <w:p w14:paraId="2ED4799C" w14:textId="77777777" w:rsidR="001B0F60" w:rsidRPr="00DE0914" w:rsidRDefault="001B0F60">
      <w:pPr>
        <w:spacing w:line="288" w:lineRule="auto"/>
        <w:rPr>
          <w:rFonts w:ascii="Calibri" w:eastAsia="Calibri" w:hAnsi="Calibri" w:cs="Calibri"/>
          <w:b/>
          <w:color w:val="59595B"/>
          <w:sz w:val="22"/>
        </w:rPr>
      </w:pPr>
    </w:p>
    <w:p w14:paraId="284A1AFB" w14:textId="77777777" w:rsidR="001B0F60" w:rsidRPr="00DE0914" w:rsidRDefault="001B0F60">
      <w:pPr>
        <w:spacing w:line="288" w:lineRule="auto"/>
        <w:rPr>
          <w:rFonts w:ascii="Calibri" w:eastAsia="Calibri" w:hAnsi="Calibri" w:cs="Calibri"/>
          <w:b/>
          <w:color w:val="59595B"/>
          <w:sz w:val="22"/>
        </w:rPr>
      </w:pPr>
    </w:p>
    <w:p w14:paraId="45118900" w14:textId="032BC7E1" w:rsidR="003B26BF" w:rsidRPr="00DE0914" w:rsidRDefault="003B26BF" w:rsidP="003B26BF">
      <w:pPr>
        <w:rPr>
          <w:rFonts w:asciiTheme="minorHAnsi" w:eastAsiaTheme="majorEastAsia" w:hAnsiTheme="minorHAnsi" w:cstheme="majorBidi"/>
          <w:b/>
          <w:color w:val="59595B"/>
          <w:szCs w:val="28"/>
          <w:lang w:val="en-GB" w:eastAsia="zh-CN"/>
        </w:rPr>
      </w:pPr>
    </w:p>
    <w:p w14:paraId="610A512C" w14:textId="77777777" w:rsidR="00034D32" w:rsidRPr="00DE0914" w:rsidRDefault="00034D32">
      <w:pPr>
        <w:rPr>
          <w:rFonts w:asciiTheme="minorHAnsi" w:eastAsiaTheme="majorEastAsia" w:hAnsiTheme="minorHAnsi" w:cstheme="majorBidi"/>
          <w:b/>
          <w:color w:val="59595B"/>
          <w:szCs w:val="28"/>
          <w:lang w:val="en-GB" w:eastAsia="zh-CN"/>
        </w:rPr>
      </w:pPr>
      <w:r w:rsidRPr="00DE0914">
        <w:rPr>
          <w:rFonts w:asciiTheme="minorHAnsi" w:eastAsiaTheme="majorEastAsia" w:hAnsiTheme="minorHAnsi" w:cstheme="majorBidi"/>
          <w:b/>
          <w:color w:val="59595B"/>
          <w:szCs w:val="28"/>
          <w:lang w:val="en-GB" w:eastAsia="zh-CN"/>
        </w:rPr>
        <w:br w:type="page"/>
      </w:r>
    </w:p>
    <w:p w14:paraId="7A96A987" w14:textId="77777777" w:rsidR="00F27F1A" w:rsidRPr="00DE0914" w:rsidRDefault="00F27F1A" w:rsidP="00F27F1A">
      <w:pPr>
        <w:pageBreakBefore/>
        <w:spacing w:after="120" w:line="276" w:lineRule="auto"/>
        <w:jc w:val="both"/>
        <w:rPr>
          <w:rFonts w:asciiTheme="minorHAnsi" w:eastAsia="Calibri" w:hAnsiTheme="minorHAnsi" w:cstheme="minorHAnsi"/>
          <w:b/>
          <w:color w:val="00679B"/>
          <w:sz w:val="22"/>
          <w:shd w:val="clear" w:color="auto" w:fill="FFFFFF"/>
        </w:rPr>
      </w:pPr>
      <w:r w:rsidRPr="00DE0914">
        <w:rPr>
          <w:rFonts w:asciiTheme="minorHAnsi" w:eastAsia="Calibri" w:hAnsiTheme="minorHAnsi" w:cstheme="minorHAnsi"/>
          <w:b/>
          <w:color w:val="00679B"/>
          <w:sz w:val="32"/>
        </w:rPr>
        <w:lastRenderedPageBreak/>
        <w:t>Pharming Group N.V.</w:t>
      </w:r>
    </w:p>
    <w:p w14:paraId="00F28B45" w14:textId="77777777" w:rsidR="00F27F1A" w:rsidRPr="00DE0914" w:rsidRDefault="00F27F1A" w:rsidP="00F27F1A">
      <w:pPr>
        <w:spacing w:before="60" w:after="120" w:line="276" w:lineRule="auto"/>
        <w:jc w:val="both"/>
        <w:rPr>
          <w:rFonts w:asciiTheme="minorHAnsi" w:eastAsia="Calibri" w:hAnsiTheme="minorHAnsi" w:cstheme="minorHAnsi"/>
          <w:b/>
          <w:color w:val="59595B"/>
        </w:rPr>
      </w:pPr>
      <w:r w:rsidRPr="00DE0914">
        <w:rPr>
          <w:rFonts w:asciiTheme="minorHAnsi" w:eastAsia="Calibri" w:hAnsiTheme="minorHAnsi" w:cstheme="minorHAnsi"/>
          <w:b/>
          <w:color w:val="59595B"/>
        </w:rPr>
        <w:t>Condensed Consolidated Interim Financial Statements in US Dollars (unaudited)</w:t>
      </w:r>
    </w:p>
    <w:p w14:paraId="73D586D8" w14:textId="77777777" w:rsidR="00F27F1A" w:rsidRPr="00DE0914" w:rsidRDefault="00F27F1A" w:rsidP="00F27F1A">
      <w:pPr>
        <w:spacing w:before="60" w:after="120" w:line="276" w:lineRule="auto"/>
        <w:jc w:val="both"/>
        <w:rPr>
          <w:rFonts w:asciiTheme="minorHAnsi" w:eastAsia="Calibri" w:hAnsiTheme="minorHAnsi" w:cstheme="minorHAnsi"/>
          <w:b/>
          <w:color w:val="59595B"/>
        </w:rPr>
      </w:pPr>
      <w:r w:rsidRPr="00DE0914">
        <w:rPr>
          <w:rFonts w:asciiTheme="minorHAnsi" w:eastAsia="Calibri" w:hAnsiTheme="minorHAnsi" w:cstheme="minorHAnsi"/>
          <w:color w:val="59595B"/>
        </w:rPr>
        <w:t>For the period ended 31 March 2021</w:t>
      </w:r>
    </w:p>
    <w:p w14:paraId="61A2EFD3" w14:textId="77777777" w:rsidR="00F27F1A" w:rsidRPr="00DE0914" w:rsidRDefault="00F27F1A" w:rsidP="00F27F1A">
      <w:pPr>
        <w:numPr>
          <w:ilvl w:val="0"/>
          <w:numId w:val="9"/>
        </w:numPr>
        <w:spacing w:line="288" w:lineRule="auto"/>
        <w:rPr>
          <w:rFonts w:asciiTheme="minorHAnsi" w:eastAsia="Calibri" w:hAnsiTheme="minorHAnsi" w:cstheme="minorHAnsi"/>
          <w:b/>
          <w:color w:val="59595B"/>
        </w:rPr>
      </w:pPr>
      <w:r w:rsidRPr="00DE0914">
        <w:rPr>
          <w:rFonts w:asciiTheme="minorHAnsi" w:eastAsia="Calibri" w:hAnsiTheme="minorHAnsi" w:cstheme="minorHAnsi"/>
          <w:color w:val="59595B"/>
        </w:rPr>
        <w:t>Condensed consolidated statement of profit or loss</w:t>
      </w:r>
    </w:p>
    <w:p w14:paraId="42D7517C" w14:textId="77777777" w:rsidR="00F27F1A" w:rsidRPr="00DE0914" w:rsidRDefault="00F27F1A" w:rsidP="00F27F1A">
      <w:pPr>
        <w:numPr>
          <w:ilvl w:val="0"/>
          <w:numId w:val="9"/>
        </w:numPr>
        <w:spacing w:line="288" w:lineRule="auto"/>
        <w:rPr>
          <w:rFonts w:asciiTheme="minorHAnsi" w:eastAsia="Calibri" w:hAnsiTheme="minorHAnsi" w:cstheme="minorHAnsi"/>
          <w:b/>
          <w:color w:val="59595B"/>
        </w:rPr>
      </w:pPr>
      <w:r w:rsidRPr="00DE0914">
        <w:rPr>
          <w:rFonts w:asciiTheme="minorHAnsi" w:eastAsia="Calibri" w:hAnsiTheme="minorHAnsi" w:cstheme="minorHAnsi"/>
          <w:color w:val="59595B"/>
        </w:rPr>
        <w:t>Condensed consolidated statement of comprehensive income</w:t>
      </w:r>
    </w:p>
    <w:p w14:paraId="595DE819" w14:textId="77777777" w:rsidR="00F27F1A" w:rsidRPr="00DE0914" w:rsidRDefault="00F27F1A" w:rsidP="00F27F1A">
      <w:pPr>
        <w:numPr>
          <w:ilvl w:val="0"/>
          <w:numId w:val="9"/>
        </w:numPr>
        <w:spacing w:line="288" w:lineRule="auto"/>
        <w:rPr>
          <w:rFonts w:asciiTheme="minorHAnsi" w:eastAsia="Calibri" w:hAnsiTheme="minorHAnsi" w:cstheme="minorHAnsi"/>
          <w:b/>
          <w:color w:val="59595B"/>
        </w:rPr>
      </w:pPr>
      <w:r w:rsidRPr="00DE0914">
        <w:rPr>
          <w:rFonts w:asciiTheme="minorHAnsi" w:eastAsia="Calibri" w:hAnsiTheme="minorHAnsi" w:cstheme="minorHAnsi"/>
          <w:color w:val="59595B"/>
        </w:rPr>
        <w:t>Condensed consolidated balance sheet</w:t>
      </w:r>
    </w:p>
    <w:p w14:paraId="000F3549" w14:textId="77777777" w:rsidR="00F27F1A" w:rsidRPr="00DE0914" w:rsidRDefault="00F27F1A" w:rsidP="00F27F1A">
      <w:pPr>
        <w:numPr>
          <w:ilvl w:val="0"/>
          <w:numId w:val="9"/>
        </w:numPr>
        <w:spacing w:line="288" w:lineRule="auto"/>
        <w:rPr>
          <w:rFonts w:asciiTheme="minorHAnsi" w:eastAsia="Calibri" w:hAnsiTheme="minorHAnsi" w:cstheme="minorHAnsi"/>
          <w:b/>
          <w:color w:val="59595B"/>
        </w:rPr>
      </w:pPr>
      <w:r w:rsidRPr="00DE0914">
        <w:rPr>
          <w:rFonts w:asciiTheme="minorHAnsi" w:eastAsia="Calibri" w:hAnsiTheme="minorHAnsi" w:cstheme="minorHAnsi"/>
          <w:color w:val="59595B"/>
        </w:rPr>
        <w:t>Condensed consolidated statement of cash flow</w:t>
      </w:r>
    </w:p>
    <w:p w14:paraId="627BF016" w14:textId="77777777" w:rsidR="00F27F1A" w:rsidRPr="00DE0914" w:rsidRDefault="00F27F1A" w:rsidP="00F27F1A">
      <w:pPr>
        <w:spacing w:line="288" w:lineRule="auto"/>
        <w:rPr>
          <w:rFonts w:asciiTheme="minorHAnsi" w:eastAsia="Arial" w:hAnsiTheme="minorHAnsi" w:cstheme="minorHAnsi"/>
          <w:b/>
          <w:color w:val="FF0000"/>
        </w:rPr>
      </w:pPr>
    </w:p>
    <w:p w14:paraId="47B6602A" w14:textId="77777777" w:rsidR="00F27F1A" w:rsidRPr="00DE0914" w:rsidRDefault="00F27F1A" w:rsidP="00F27F1A">
      <w:pPr>
        <w:spacing w:before="60" w:after="120" w:line="276" w:lineRule="auto"/>
        <w:jc w:val="both"/>
        <w:rPr>
          <w:rFonts w:asciiTheme="minorHAnsi" w:eastAsia="Calibri" w:hAnsiTheme="minorHAnsi" w:cstheme="minorHAnsi"/>
          <w:b/>
          <w:color w:val="59595B"/>
        </w:rPr>
      </w:pPr>
      <w:r w:rsidRPr="00DE0914">
        <w:rPr>
          <w:rFonts w:asciiTheme="minorHAnsi" w:eastAsia="Calibri" w:hAnsiTheme="minorHAnsi" w:cstheme="minorHAnsi"/>
          <w:b/>
          <w:color w:val="59595B"/>
        </w:rPr>
        <w:t>Appendix: Main condensed consolidated Interim Financial Statements reported in Euros</w:t>
      </w:r>
    </w:p>
    <w:p w14:paraId="3A9414E8" w14:textId="77777777" w:rsidR="00F27F1A" w:rsidRPr="00DE0914" w:rsidRDefault="00F27F1A" w:rsidP="00F27F1A">
      <w:pPr>
        <w:spacing w:before="60" w:after="120" w:line="276" w:lineRule="auto"/>
        <w:jc w:val="both"/>
        <w:rPr>
          <w:rFonts w:asciiTheme="minorHAnsi" w:eastAsia="Calibri" w:hAnsiTheme="minorHAnsi" w:cstheme="minorHAnsi"/>
          <w:b/>
          <w:color w:val="59595B"/>
        </w:rPr>
      </w:pPr>
      <w:r w:rsidRPr="00DE0914">
        <w:rPr>
          <w:rFonts w:asciiTheme="minorHAnsi" w:eastAsia="Calibri" w:hAnsiTheme="minorHAnsi" w:cstheme="minorHAnsi"/>
          <w:b/>
          <w:color w:val="59595B"/>
        </w:rPr>
        <w:t>(This appendix is not part of the Condensed Consolidated Interim Financial Statements)</w:t>
      </w:r>
    </w:p>
    <w:p w14:paraId="5DF2E677" w14:textId="77777777" w:rsidR="00F27F1A" w:rsidRPr="00DE0914" w:rsidRDefault="00F27F1A" w:rsidP="00F27F1A">
      <w:pPr>
        <w:numPr>
          <w:ilvl w:val="0"/>
          <w:numId w:val="10"/>
        </w:numPr>
        <w:spacing w:line="288" w:lineRule="auto"/>
        <w:rPr>
          <w:rFonts w:asciiTheme="minorHAnsi" w:eastAsia="Calibri" w:hAnsiTheme="minorHAnsi" w:cstheme="minorHAnsi"/>
          <w:b/>
          <w:color w:val="59595B"/>
        </w:rPr>
      </w:pPr>
      <w:r w:rsidRPr="00DE0914">
        <w:rPr>
          <w:rFonts w:asciiTheme="minorHAnsi" w:eastAsia="Calibri" w:hAnsiTheme="minorHAnsi" w:cstheme="minorHAnsi"/>
          <w:color w:val="59595B"/>
        </w:rPr>
        <w:t>Condensed consolidated statement of profit or loss in Euros</w:t>
      </w:r>
    </w:p>
    <w:p w14:paraId="4A80496F" w14:textId="77777777" w:rsidR="00F27F1A" w:rsidRPr="00DE0914" w:rsidRDefault="00F27F1A" w:rsidP="00F27F1A">
      <w:pPr>
        <w:numPr>
          <w:ilvl w:val="0"/>
          <w:numId w:val="10"/>
        </w:numPr>
        <w:spacing w:line="288" w:lineRule="auto"/>
        <w:rPr>
          <w:rFonts w:asciiTheme="minorHAnsi" w:eastAsia="Calibri" w:hAnsiTheme="minorHAnsi" w:cstheme="minorHAnsi"/>
          <w:b/>
          <w:color w:val="59595B"/>
        </w:rPr>
      </w:pPr>
      <w:r w:rsidRPr="00DE0914">
        <w:rPr>
          <w:rFonts w:asciiTheme="minorHAnsi" w:eastAsia="Calibri" w:hAnsiTheme="minorHAnsi" w:cstheme="minorHAnsi"/>
          <w:color w:val="59595B"/>
        </w:rPr>
        <w:t>Condensed consolidated statement balance sheet in Euros</w:t>
      </w:r>
    </w:p>
    <w:p w14:paraId="368DF7DF" w14:textId="77777777" w:rsidR="00F27F1A" w:rsidRPr="00DE0914" w:rsidRDefault="00F27F1A" w:rsidP="00F27F1A">
      <w:pPr>
        <w:numPr>
          <w:ilvl w:val="0"/>
          <w:numId w:val="10"/>
        </w:numPr>
        <w:spacing w:line="288" w:lineRule="auto"/>
        <w:rPr>
          <w:rFonts w:asciiTheme="minorHAnsi" w:eastAsia="Calibri" w:hAnsiTheme="minorHAnsi" w:cstheme="minorHAnsi"/>
          <w:b/>
          <w:color w:val="59595B"/>
        </w:rPr>
      </w:pPr>
      <w:r w:rsidRPr="00DE0914">
        <w:rPr>
          <w:rFonts w:asciiTheme="minorHAnsi" w:eastAsia="Calibri" w:hAnsiTheme="minorHAnsi" w:cstheme="minorHAnsi"/>
          <w:color w:val="59595B"/>
        </w:rPr>
        <w:t>Condensed consolidated statement of cash flows in Euros</w:t>
      </w:r>
    </w:p>
    <w:p w14:paraId="57BCA1C3" w14:textId="77777777" w:rsidR="00F27F1A" w:rsidRPr="00DE0914" w:rsidRDefault="00F27F1A" w:rsidP="003B26BF">
      <w:pPr>
        <w:rPr>
          <w:rFonts w:asciiTheme="minorHAnsi" w:eastAsiaTheme="majorEastAsia" w:hAnsiTheme="minorHAnsi" w:cstheme="majorBidi"/>
          <w:b/>
          <w:color w:val="59595B"/>
          <w:szCs w:val="28"/>
          <w:lang w:eastAsia="zh-CN"/>
        </w:rPr>
      </w:pPr>
    </w:p>
    <w:p w14:paraId="7C759702" w14:textId="77777777" w:rsidR="003B26BF" w:rsidRPr="00DE0914" w:rsidRDefault="003B26BF" w:rsidP="003B26BF">
      <w:pPr>
        <w:pStyle w:val="ListParagraph"/>
        <w:numPr>
          <w:ilvl w:val="0"/>
          <w:numId w:val="14"/>
        </w:numPr>
        <w:spacing w:after="120"/>
        <w:rPr>
          <w:rFonts w:ascii="Calibri" w:hAnsi="Calibri" w:cstheme="minorHAnsi"/>
          <w:b/>
          <w:szCs w:val="22"/>
          <w:lang w:val="en-GB"/>
        </w:rPr>
      </w:pPr>
      <w:r w:rsidRPr="00DE0914">
        <w:rPr>
          <w:rFonts w:ascii="Calibri" w:hAnsi="Calibri" w:cstheme="minorHAnsi"/>
          <w:b/>
          <w:szCs w:val="22"/>
          <w:lang w:val="en-GB"/>
        </w:rPr>
        <w:br w:type="page"/>
      </w:r>
    </w:p>
    <w:p w14:paraId="1AA03F50" w14:textId="77777777" w:rsidR="00D34187" w:rsidRPr="002C1B04" w:rsidRDefault="00D34187" w:rsidP="00D34187">
      <w:pPr>
        <w:rPr>
          <w:rFonts w:ascii="Calibri Light" w:eastAsiaTheme="majorEastAsia" w:hAnsi="Calibri Light" w:cstheme="majorBidi"/>
          <w:b/>
          <w:color w:val="59595B"/>
          <w:szCs w:val="28"/>
          <w:lang w:val="en-GB" w:eastAsia="zh-CN"/>
        </w:rPr>
      </w:pPr>
      <w:r w:rsidRPr="002C1B04">
        <w:rPr>
          <w:rFonts w:ascii="Calibri Light" w:eastAsiaTheme="majorEastAsia" w:hAnsi="Calibri Light" w:cstheme="majorBidi"/>
          <w:b/>
          <w:color w:val="59595B"/>
          <w:szCs w:val="28"/>
          <w:lang w:val="en-GB" w:eastAsia="zh-CN"/>
        </w:rPr>
        <w:lastRenderedPageBreak/>
        <w:t>Condensed Consolidated Statement of Profit or Loss</w:t>
      </w:r>
    </w:p>
    <w:p w14:paraId="10A9B33D" w14:textId="77777777" w:rsidR="00D34187" w:rsidRPr="00DE0914" w:rsidRDefault="00D34187" w:rsidP="00D34187">
      <w:pPr>
        <w:spacing w:before="60" w:after="120" w:line="276" w:lineRule="auto"/>
        <w:rPr>
          <w:rFonts w:ascii="Calibri" w:eastAsia="Calibri" w:hAnsi="Calibri" w:cs="Calibri"/>
          <w:color w:val="59595B"/>
        </w:rPr>
      </w:pPr>
      <w:r w:rsidRPr="00DE0914">
        <w:rPr>
          <w:rFonts w:ascii="Calibri" w:eastAsia="Calibri" w:hAnsi="Calibri" w:cs="Calibri"/>
          <w:color w:val="59595B"/>
        </w:rPr>
        <w:t>For the period ended 31 March</w:t>
      </w:r>
    </w:p>
    <w:tbl>
      <w:tblPr>
        <w:tblW w:w="8760" w:type="dxa"/>
        <w:tblLook w:val="04A0" w:firstRow="1" w:lastRow="0" w:firstColumn="1" w:lastColumn="0" w:noHBand="0" w:noVBand="1"/>
      </w:tblPr>
      <w:tblGrid>
        <w:gridCol w:w="5144"/>
        <w:gridCol w:w="1696"/>
        <w:gridCol w:w="1920"/>
      </w:tblGrid>
      <w:tr w:rsidR="00D34187" w:rsidRPr="00DE0914" w14:paraId="678FF04B" w14:textId="77777777" w:rsidTr="00B07AD0">
        <w:trPr>
          <w:trHeight w:val="612"/>
        </w:trPr>
        <w:tc>
          <w:tcPr>
            <w:tcW w:w="5144" w:type="dxa"/>
            <w:tcBorders>
              <w:top w:val="nil"/>
              <w:left w:val="nil"/>
              <w:bottom w:val="single" w:sz="8" w:space="0" w:color="BFBFBF"/>
              <w:right w:val="nil"/>
            </w:tcBorders>
            <w:shd w:val="clear" w:color="auto" w:fill="F2F2F2" w:themeFill="background1" w:themeFillShade="F2"/>
            <w:vAlign w:val="center"/>
            <w:hideMark/>
          </w:tcPr>
          <w:p w14:paraId="594DDE77" w14:textId="77777777" w:rsidR="00D34187" w:rsidRPr="00DE0914" w:rsidRDefault="00D34187" w:rsidP="00B07AD0">
            <w:pPr>
              <w:spacing w:before="120" w:after="120"/>
              <w:rPr>
                <w:rFonts w:ascii="Calibri" w:hAnsi="Calibri" w:cs="Calibri"/>
                <w:i/>
                <w:iCs/>
                <w:color w:val="59595B"/>
                <w:kern w:val="0"/>
                <w:sz w:val="22"/>
                <w:szCs w:val="22"/>
                <w:lang w:val="en-GB" w:eastAsia="en-GB"/>
              </w:rPr>
            </w:pPr>
            <w:r w:rsidRPr="00DE0914">
              <w:rPr>
                <w:rFonts w:ascii="Calibri" w:hAnsi="Calibri" w:cs="Calibri"/>
                <w:i/>
                <w:iCs/>
                <w:color w:val="59595B"/>
                <w:kern w:val="0"/>
                <w:sz w:val="20"/>
                <w:szCs w:val="20"/>
                <w:lang w:val="en-GB" w:eastAsia="en-GB"/>
              </w:rPr>
              <w:t>Amounts in $ ‘000</w:t>
            </w:r>
          </w:p>
        </w:tc>
        <w:tc>
          <w:tcPr>
            <w:tcW w:w="1696" w:type="dxa"/>
            <w:tcBorders>
              <w:top w:val="nil"/>
              <w:left w:val="nil"/>
              <w:bottom w:val="single" w:sz="8" w:space="0" w:color="BFBFBF"/>
              <w:right w:val="nil"/>
            </w:tcBorders>
            <w:shd w:val="clear" w:color="auto" w:fill="F2F2F2" w:themeFill="background1" w:themeFillShade="F2"/>
            <w:noWrap/>
            <w:vAlign w:val="center"/>
            <w:hideMark/>
          </w:tcPr>
          <w:p w14:paraId="1B5C6D2E"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YTD 2021</w:t>
            </w:r>
          </w:p>
        </w:tc>
        <w:tc>
          <w:tcPr>
            <w:tcW w:w="1920" w:type="dxa"/>
            <w:tcBorders>
              <w:top w:val="nil"/>
              <w:left w:val="nil"/>
              <w:bottom w:val="single" w:sz="8" w:space="0" w:color="BFBFBF"/>
              <w:right w:val="nil"/>
            </w:tcBorders>
            <w:shd w:val="clear" w:color="auto" w:fill="F2F2F2" w:themeFill="background1" w:themeFillShade="F2"/>
            <w:vAlign w:val="center"/>
            <w:hideMark/>
          </w:tcPr>
          <w:p w14:paraId="43D5439E"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YTD 2020</w:t>
            </w:r>
          </w:p>
        </w:tc>
      </w:tr>
      <w:tr w:rsidR="00D34187" w:rsidRPr="00DE0914" w14:paraId="6ABE096D" w14:textId="77777777" w:rsidTr="00B07AD0">
        <w:trPr>
          <w:trHeight w:val="207"/>
        </w:trPr>
        <w:tc>
          <w:tcPr>
            <w:tcW w:w="5144" w:type="dxa"/>
            <w:tcBorders>
              <w:top w:val="nil"/>
              <w:left w:val="nil"/>
              <w:bottom w:val="nil"/>
              <w:right w:val="single" w:sz="8" w:space="0" w:color="BFBFBF"/>
            </w:tcBorders>
            <w:shd w:val="clear" w:color="000000" w:fill="FFFFFF"/>
            <w:vAlign w:val="center"/>
            <w:hideMark/>
          </w:tcPr>
          <w:p w14:paraId="18025CAB" w14:textId="77777777" w:rsidR="00D34187" w:rsidRPr="00DE0914" w:rsidRDefault="00D34187" w:rsidP="00B07AD0">
            <w:pPr>
              <w:spacing w:before="120" w:after="120"/>
              <w:rPr>
                <w:rFonts w:ascii="Calibri" w:hAnsi="Calibri" w:cs="Calibri"/>
                <w:color w:val="808080"/>
                <w:kern w:val="0"/>
                <w:sz w:val="22"/>
                <w:szCs w:val="22"/>
                <w:lang w:val="en-GB" w:eastAsia="en-GB"/>
              </w:rPr>
            </w:pPr>
            <w:r w:rsidRPr="00DE0914">
              <w:rPr>
                <w:rFonts w:ascii="Calibri" w:hAnsi="Calibri" w:cs="Calibri"/>
                <w:b/>
                <w:bCs/>
                <w:color w:val="00679B"/>
                <w:kern w:val="0"/>
                <w:sz w:val="22"/>
                <w:szCs w:val="22"/>
                <w:lang w:val="en-GB" w:eastAsia="en-GB"/>
              </w:rPr>
              <w:t>Revenues</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2DA9C36B" w14:textId="77777777" w:rsidR="00D34187" w:rsidRPr="00DE0914" w:rsidRDefault="00D34187" w:rsidP="00B07AD0">
            <w:pPr>
              <w:spacing w:before="120" w:after="120"/>
              <w:rPr>
                <w:rFonts w:ascii="Calibri" w:hAnsi="Calibri" w:cs="Calibri"/>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43.564 </w:t>
            </w:r>
          </w:p>
        </w:tc>
        <w:tc>
          <w:tcPr>
            <w:tcW w:w="1920" w:type="dxa"/>
            <w:tcBorders>
              <w:top w:val="nil"/>
              <w:left w:val="nil"/>
              <w:bottom w:val="single" w:sz="8" w:space="0" w:color="BFBFBF"/>
              <w:right w:val="single" w:sz="8" w:space="0" w:color="BFBFBF"/>
            </w:tcBorders>
            <w:shd w:val="clear" w:color="auto" w:fill="auto"/>
            <w:noWrap/>
            <w:vAlign w:val="center"/>
            <w:hideMark/>
          </w:tcPr>
          <w:p w14:paraId="64BABBA8"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54.469 </w:t>
            </w:r>
          </w:p>
        </w:tc>
      </w:tr>
      <w:tr w:rsidR="00D34187" w:rsidRPr="00DE0914" w14:paraId="08B25611" w14:textId="77777777" w:rsidTr="00B07AD0">
        <w:trPr>
          <w:trHeight w:val="390"/>
        </w:trPr>
        <w:tc>
          <w:tcPr>
            <w:tcW w:w="5144" w:type="dxa"/>
            <w:tcBorders>
              <w:top w:val="single" w:sz="8" w:space="0" w:color="BFBFBF"/>
              <w:left w:val="nil"/>
              <w:bottom w:val="single" w:sz="8" w:space="0" w:color="BFBFBF"/>
              <w:right w:val="single" w:sz="8" w:space="0" w:color="BFBFBF"/>
            </w:tcBorders>
            <w:shd w:val="clear" w:color="000000" w:fill="FFFFFF"/>
            <w:vAlign w:val="center"/>
            <w:hideMark/>
          </w:tcPr>
          <w:p w14:paraId="177C7BEF" w14:textId="77777777" w:rsidR="00D34187" w:rsidRPr="00DE0914" w:rsidRDefault="00D34187" w:rsidP="00B07AD0">
            <w:pPr>
              <w:spacing w:before="120" w:after="120"/>
              <w:rPr>
                <w:rFonts w:ascii="Calibri" w:hAnsi="Calibri" w:cs="Calibri"/>
                <w:b/>
                <w:bCs/>
                <w:color w:val="0070C0"/>
                <w:kern w:val="0"/>
                <w:sz w:val="22"/>
                <w:szCs w:val="22"/>
                <w:lang w:val="en-GB" w:eastAsia="en-GB"/>
              </w:rPr>
            </w:pPr>
            <w:r w:rsidRPr="00DE0914">
              <w:rPr>
                <w:rFonts w:ascii="Calibri" w:hAnsi="Calibri" w:cs="Calibri"/>
                <w:b/>
                <w:bCs/>
                <w:color w:val="59595B"/>
                <w:kern w:val="0"/>
                <w:sz w:val="22"/>
                <w:szCs w:val="22"/>
                <w:lang w:val="en-GB" w:eastAsia="en-GB"/>
              </w:rPr>
              <w:t>Costs of sales</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1DAB316E"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(4.843)</w:t>
            </w:r>
          </w:p>
        </w:tc>
        <w:tc>
          <w:tcPr>
            <w:tcW w:w="1920" w:type="dxa"/>
            <w:tcBorders>
              <w:top w:val="nil"/>
              <w:left w:val="nil"/>
              <w:bottom w:val="single" w:sz="8" w:space="0" w:color="BFBFBF"/>
              <w:right w:val="single" w:sz="8" w:space="0" w:color="BFBFBF"/>
            </w:tcBorders>
            <w:shd w:val="clear" w:color="auto" w:fill="auto"/>
            <w:noWrap/>
            <w:vAlign w:val="center"/>
            <w:hideMark/>
          </w:tcPr>
          <w:p w14:paraId="4B9405E1"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(5.955)</w:t>
            </w:r>
          </w:p>
        </w:tc>
      </w:tr>
      <w:tr w:rsidR="00D34187" w:rsidRPr="00DE0914" w14:paraId="2933D6E8"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3C9C8F09"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00679B"/>
                <w:kern w:val="0"/>
                <w:sz w:val="22"/>
                <w:szCs w:val="22"/>
                <w:lang w:val="en-GB" w:eastAsia="en-GB"/>
              </w:rPr>
              <w:t>Gross profit</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5D282356"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38.721 </w:t>
            </w:r>
          </w:p>
        </w:tc>
        <w:tc>
          <w:tcPr>
            <w:tcW w:w="1920" w:type="dxa"/>
            <w:tcBorders>
              <w:top w:val="nil"/>
              <w:left w:val="nil"/>
              <w:bottom w:val="single" w:sz="8" w:space="0" w:color="BFBFBF"/>
              <w:right w:val="single" w:sz="8" w:space="0" w:color="BFBFBF"/>
            </w:tcBorders>
            <w:shd w:val="clear" w:color="auto" w:fill="auto"/>
            <w:noWrap/>
            <w:vAlign w:val="center"/>
            <w:hideMark/>
          </w:tcPr>
          <w:p w14:paraId="67E076A0"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48.514 </w:t>
            </w:r>
          </w:p>
        </w:tc>
      </w:tr>
      <w:tr w:rsidR="00D34187" w:rsidRPr="00DE0914" w14:paraId="3641BB44"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44C842A5" w14:textId="77777777" w:rsidR="00D34187" w:rsidRPr="00DE0914" w:rsidRDefault="00D34187" w:rsidP="00B07AD0">
            <w:pPr>
              <w:spacing w:before="120" w:after="120"/>
              <w:rPr>
                <w:rFonts w:ascii="Calibri" w:hAnsi="Calibri" w:cs="Calibri"/>
                <w:b/>
                <w:bCs/>
                <w:color w:val="0070C0"/>
                <w:kern w:val="0"/>
                <w:sz w:val="22"/>
                <w:szCs w:val="22"/>
                <w:lang w:val="en-GB" w:eastAsia="en-GB"/>
              </w:rPr>
            </w:pPr>
            <w:r w:rsidRPr="00DE0914">
              <w:rPr>
                <w:rFonts w:ascii="Calibri" w:hAnsi="Calibri" w:cs="Calibri"/>
                <w:b/>
                <w:bCs/>
                <w:color w:val="59595B"/>
                <w:kern w:val="0"/>
                <w:sz w:val="22"/>
                <w:szCs w:val="22"/>
                <w:lang w:val="en-GB" w:eastAsia="en-GB"/>
              </w:rPr>
              <w:t>Other income</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51B18EE7"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259 </w:t>
            </w:r>
          </w:p>
        </w:tc>
        <w:tc>
          <w:tcPr>
            <w:tcW w:w="1920" w:type="dxa"/>
            <w:tcBorders>
              <w:top w:val="nil"/>
              <w:left w:val="nil"/>
              <w:bottom w:val="single" w:sz="8" w:space="0" w:color="BFBFBF"/>
              <w:right w:val="single" w:sz="8" w:space="0" w:color="BFBFBF"/>
            </w:tcBorders>
            <w:shd w:val="clear" w:color="auto" w:fill="auto"/>
            <w:noWrap/>
            <w:vAlign w:val="center"/>
            <w:hideMark/>
          </w:tcPr>
          <w:p w14:paraId="23C42164"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267 </w:t>
            </w:r>
          </w:p>
        </w:tc>
      </w:tr>
      <w:tr w:rsidR="00D34187" w:rsidRPr="00DE0914" w14:paraId="287BA319" w14:textId="77777777" w:rsidTr="00B07AD0">
        <w:trPr>
          <w:trHeight w:val="390"/>
        </w:trPr>
        <w:tc>
          <w:tcPr>
            <w:tcW w:w="5144" w:type="dxa"/>
            <w:tcBorders>
              <w:top w:val="nil"/>
              <w:left w:val="nil"/>
              <w:bottom w:val="nil"/>
              <w:right w:val="single" w:sz="8" w:space="0" w:color="BFBFBF"/>
            </w:tcBorders>
            <w:shd w:val="clear" w:color="000000" w:fill="FFFFFF"/>
            <w:vAlign w:val="center"/>
            <w:hideMark/>
          </w:tcPr>
          <w:p w14:paraId="12B9F38D" w14:textId="77777777" w:rsidR="00D34187" w:rsidRPr="00DE0914" w:rsidRDefault="00D34187" w:rsidP="00B07AD0">
            <w:pPr>
              <w:spacing w:before="120" w:after="120"/>
              <w:rPr>
                <w:rFonts w:ascii="Calibri" w:hAnsi="Calibri" w:cs="Calibri"/>
                <w:b/>
                <w:bCs/>
                <w:color w:val="808080"/>
                <w:kern w:val="0"/>
                <w:sz w:val="22"/>
                <w:szCs w:val="22"/>
                <w:lang w:val="en-GB" w:eastAsia="en-GB"/>
              </w:rPr>
            </w:pPr>
            <w:r w:rsidRPr="00DE0914">
              <w:rPr>
                <w:rFonts w:ascii="Calibri" w:hAnsi="Calibri" w:cs="Calibri"/>
                <w:color w:val="59595B"/>
                <w:kern w:val="0"/>
                <w:sz w:val="22"/>
                <w:szCs w:val="22"/>
                <w:lang w:val="en-GB" w:eastAsia="en-GB"/>
              </w:rPr>
              <w:t>Research and development</w:t>
            </w:r>
          </w:p>
        </w:tc>
        <w:tc>
          <w:tcPr>
            <w:tcW w:w="1696" w:type="dxa"/>
            <w:tcBorders>
              <w:top w:val="nil"/>
              <w:left w:val="nil"/>
              <w:bottom w:val="nil"/>
              <w:right w:val="single" w:sz="8" w:space="0" w:color="BFBFBF"/>
            </w:tcBorders>
            <w:shd w:val="clear" w:color="auto" w:fill="F2F2F2" w:themeFill="background1" w:themeFillShade="F2"/>
            <w:noWrap/>
            <w:vAlign w:val="bottom"/>
            <w:hideMark/>
          </w:tcPr>
          <w:p w14:paraId="02C12585"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color w:val="00679B"/>
                <w:kern w:val="0"/>
                <w:sz w:val="22"/>
                <w:szCs w:val="22"/>
                <w:lang w:val="en-GB" w:eastAsia="en-GB"/>
              </w:rPr>
              <w:t>(10.700)</w:t>
            </w:r>
          </w:p>
        </w:tc>
        <w:tc>
          <w:tcPr>
            <w:tcW w:w="1920" w:type="dxa"/>
            <w:tcBorders>
              <w:top w:val="nil"/>
              <w:left w:val="nil"/>
              <w:bottom w:val="nil"/>
              <w:right w:val="single" w:sz="8" w:space="0" w:color="BFBFBF"/>
            </w:tcBorders>
            <w:shd w:val="clear" w:color="auto" w:fill="auto"/>
            <w:noWrap/>
            <w:vAlign w:val="bottom"/>
            <w:hideMark/>
          </w:tcPr>
          <w:p w14:paraId="46C902C2"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color w:val="59595B"/>
                <w:kern w:val="0"/>
                <w:sz w:val="22"/>
                <w:szCs w:val="22"/>
                <w:lang w:val="en-GB" w:eastAsia="en-GB"/>
              </w:rPr>
              <w:t>(8.859)</w:t>
            </w:r>
          </w:p>
        </w:tc>
      </w:tr>
      <w:tr w:rsidR="00D34187" w:rsidRPr="00DE0914" w14:paraId="4F51AF35" w14:textId="77777777" w:rsidTr="00B07AD0">
        <w:trPr>
          <w:trHeight w:val="312"/>
        </w:trPr>
        <w:tc>
          <w:tcPr>
            <w:tcW w:w="5144" w:type="dxa"/>
            <w:tcBorders>
              <w:top w:val="nil"/>
              <w:left w:val="nil"/>
              <w:bottom w:val="nil"/>
              <w:right w:val="single" w:sz="8" w:space="0" w:color="BFBFBF"/>
            </w:tcBorders>
            <w:shd w:val="clear" w:color="000000" w:fill="FFFFFF"/>
            <w:vAlign w:val="center"/>
            <w:hideMark/>
          </w:tcPr>
          <w:p w14:paraId="2A2CBFAA"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General and administrative</w:t>
            </w:r>
          </w:p>
        </w:tc>
        <w:tc>
          <w:tcPr>
            <w:tcW w:w="1696" w:type="dxa"/>
            <w:tcBorders>
              <w:top w:val="nil"/>
              <w:left w:val="nil"/>
              <w:bottom w:val="nil"/>
              <w:right w:val="single" w:sz="8" w:space="0" w:color="BFBFBF"/>
            </w:tcBorders>
            <w:shd w:val="clear" w:color="auto" w:fill="F2F2F2" w:themeFill="background1" w:themeFillShade="F2"/>
            <w:noWrap/>
            <w:vAlign w:val="bottom"/>
            <w:hideMark/>
          </w:tcPr>
          <w:p w14:paraId="11C19E79" w14:textId="77777777" w:rsidR="00D34187" w:rsidRPr="00DE0914" w:rsidRDefault="00D34187" w:rsidP="00B07AD0">
            <w:pPr>
              <w:spacing w:before="120" w:after="120"/>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(7.161)</w:t>
            </w:r>
          </w:p>
        </w:tc>
        <w:tc>
          <w:tcPr>
            <w:tcW w:w="1920" w:type="dxa"/>
            <w:tcBorders>
              <w:top w:val="nil"/>
              <w:left w:val="nil"/>
              <w:bottom w:val="nil"/>
              <w:right w:val="single" w:sz="8" w:space="0" w:color="BFBFBF"/>
            </w:tcBorders>
            <w:shd w:val="clear" w:color="auto" w:fill="auto"/>
            <w:noWrap/>
            <w:vAlign w:val="bottom"/>
            <w:hideMark/>
          </w:tcPr>
          <w:p w14:paraId="4BE946E5" w14:textId="3163D594"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(5.7</w:t>
            </w:r>
            <w:r w:rsidR="001404F9" w:rsidRPr="00DE0914">
              <w:rPr>
                <w:rFonts w:ascii="Calibri" w:hAnsi="Calibri" w:cs="Calibri"/>
                <w:color w:val="59595B"/>
                <w:kern w:val="0"/>
                <w:sz w:val="22"/>
                <w:szCs w:val="22"/>
                <w:lang w:val="en-GB" w:eastAsia="en-GB"/>
              </w:rPr>
              <w:t>09</w:t>
            </w:r>
            <w:r w:rsidRPr="00DE0914">
              <w:rPr>
                <w:rFonts w:ascii="Calibri" w:hAnsi="Calibri" w:cs="Calibri"/>
                <w:color w:val="59595B"/>
                <w:kern w:val="0"/>
                <w:sz w:val="22"/>
                <w:szCs w:val="22"/>
                <w:lang w:val="en-GB" w:eastAsia="en-GB"/>
              </w:rPr>
              <w:t>)</w:t>
            </w:r>
          </w:p>
        </w:tc>
      </w:tr>
      <w:tr w:rsidR="00D34187" w:rsidRPr="00DE0914" w14:paraId="457D7B74" w14:textId="77777777" w:rsidTr="00B07AD0">
        <w:trPr>
          <w:trHeight w:val="312"/>
        </w:trPr>
        <w:tc>
          <w:tcPr>
            <w:tcW w:w="5144" w:type="dxa"/>
            <w:tcBorders>
              <w:top w:val="nil"/>
              <w:left w:val="nil"/>
              <w:bottom w:val="single" w:sz="8" w:space="0" w:color="BFBFBF"/>
              <w:right w:val="single" w:sz="8" w:space="0" w:color="BFBFBF"/>
            </w:tcBorders>
            <w:shd w:val="clear" w:color="000000" w:fill="FFFFFF"/>
            <w:vAlign w:val="center"/>
            <w:hideMark/>
          </w:tcPr>
          <w:p w14:paraId="0BBB734D"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Marketing and sales</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bottom"/>
            <w:hideMark/>
          </w:tcPr>
          <w:p w14:paraId="31430BCB" w14:textId="77777777" w:rsidR="00D34187" w:rsidRPr="00DE0914" w:rsidRDefault="00D34187" w:rsidP="00B07AD0">
            <w:pPr>
              <w:spacing w:before="120" w:after="120"/>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(14.836)</w:t>
            </w:r>
          </w:p>
        </w:tc>
        <w:tc>
          <w:tcPr>
            <w:tcW w:w="1920" w:type="dxa"/>
            <w:tcBorders>
              <w:top w:val="nil"/>
              <w:left w:val="nil"/>
              <w:bottom w:val="single" w:sz="8" w:space="0" w:color="BFBFBF"/>
              <w:right w:val="single" w:sz="8" w:space="0" w:color="BFBFBF"/>
            </w:tcBorders>
            <w:shd w:val="clear" w:color="auto" w:fill="auto"/>
            <w:noWrap/>
            <w:vAlign w:val="bottom"/>
            <w:hideMark/>
          </w:tcPr>
          <w:p w14:paraId="742834C6"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(12.725)</w:t>
            </w:r>
          </w:p>
        </w:tc>
      </w:tr>
      <w:tr w:rsidR="00D34187" w:rsidRPr="00DE0914" w14:paraId="03FE8690" w14:textId="77777777" w:rsidTr="00B07AD0">
        <w:trPr>
          <w:trHeight w:val="312"/>
        </w:trPr>
        <w:tc>
          <w:tcPr>
            <w:tcW w:w="5144" w:type="dxa"/>
            <w:tcBorders>
              <w:top w:val="nil"/>
              <w:left w:val="nil"/>
              <w:bottom w:val="single" w:sz="8" w:space="0" w:color="BFBFBF"/>
              <w:right w:val="single" w:sz="8" w:space="0" w:color="BFBFBF"/>
            </w:tcBorders>
            <w:shd w:val="clear" w:color="000000" w:fill="FFFFFF"/>
            <w:vAlign w:val="center"/>
            <w:hideMark/>
          </w:tcPr>
          <w:p w14:paraId="79F5DDCA"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b/>
                <w:bCs/>
                <w:color w:val="59595B"/>
                <w:kern w:val="0"/>
                <w:sz w:val="22"/>
                <w:szCs w:val="22"/>
                <w:lang w:val="en-GB" w:eastAsia="en-GB"/>
              </w:rPr>
              <w:t>Other Operating Costs</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684A879D" w14:textId="77777777" w:rsidR="00D34187" w:rsidRPr="00DE0914" w:rsidRDefault="00D34187" w:rsidP="00B07AD0">
            <w:pPr>
              <w:spacing w:before="120" w:after="120"/>
              <w:rPr>
                <w:rFonts w:ascii="Calibri" w:hAnsi="Calibri" w:cs="Calibri"/>
                <w:color w:val="00679B"/>
                <w:kern w:val="0"/>
                <w:sz w:val="22"/>
                <w:szCs w:val="22"/>
                <w:lang w:val="en-GB" w:eastAsia="en-GB"/>
              </w:rPr>
            </w:pPr>
            <w:r w:rsidRPr="00DE0914">
              <w:rPr>
                <w:rFonts w:ascii="Calibri" w:hAnsi="Calibri" w:cs="Calibri"/>
                <w:b/>
                <w:bCs/>
                <w:color w:val="00679B"/>
                <w:kern w:val="0"/>
                <w:sz w:val="22"/>
                <w:szCs w:val="22"/>
                <w:lang w:val="en-GB" w:eastAsia="en-GB"/>
              </w:rPr>
              <w:t>(32.697)</w:t>
            </w:r>
          </w:p>
        </w:tc>
        <w:tc>
          <w:tcPr>
            <w:tcW w:w="1920" w:type="dxa"/>
            <w:tcBorders>
              <w:top w:val="nil"/>
              <w:left w:val="nil"/>
              <w:bottom w:val="single" w:sz="8" w:space="0" w:color="BFBFBF"/>
              <w:right w:val="single" w:sz="8" w:space="0" w:color="BFBFBF"/>
            </w:tcBorders>
            <w:shd w:val="clear" w:color="auto" w:fill="auto"/>
            <w:noWrap/>
            <w:vAlign w:val="center"/>
            <w:hideMark/>
          </w:tcPr>
          <w:p w14:paraId="0E418E58"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b/>
                <w:bCs/>
                <w:color w:val="59595B"/>
                <w:kern w:val="0"/>
                <w:sz w:val="22"/>
                <w:szCs w:val="22"/>
                <w:lang w:val="en-GB" w:eastAsia="en-GB"/>
              </w:rPr>
              <w:t>(27.293)</w:t>
            </w:r>
          </w:p>
        </w:tc>
      </w:tr>
      <w:tr w:rsidR="00D34187" w:rsidRPr="00DE0914" w14:paraId="65258C57"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567CE574"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00679B"/>
                <w:kern w:val="0"/>
                <w:sz w:val="22"/>
                <w:szCs w:val="22"/>
                <w:lang w:val="en-GB" w:eastAsia="en-GB"/>
              </w:rPr>
              <w:t>Operating profit</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107B7440"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6.283 </w:t>
            </w:r>
          </w:p>
        </w:tc>
        <w:tc>
          <w:tcPr>
            <w:tcW w:w="1920" w:type="dxa"/>
            <w:tcBorders>
              <w:top w:val="nil"/>
              <w:left w:val="nil"/>
              <w:bottom w:val="single" w:sz="8" w:space="0" w:color="BFBFBF"/>
              <w:right w:val="single" w:sz="8" w:space="0" w:color="BFBFBF"/>
            </w:tcBorders>
            <w:shd w:val="clear" w:color="auto" w:fill="auto"/>
            <w:noWrap/>
            <w:vAlign w:val="center"/>
            <w:hideMark/>
          </w:tcPr>
          <w:p w14:paraId="6B277E4F"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21.488</w:t>
            </w:r>
            <w:r w:rsidRPr="00DE0914">
              <w:rPr>
                <w:rFonts w:ascii="Calibri" w:hAnsi="Calibri" w:cs="Calibri"/>
                <w:b/>
                <w:bCs/>
                <w:color w:val="FF0000"/>
                <w:kern w:val="0"/>
                <w:sz w:val="22"/>
                <w:szCs w:val="22"/>
                <w:lang w:val="en-GB" w:eastAsia="en-GB"/>
              </w:rPr>
              <w:t xml:space="preserve"> </w:t>
            </w:r>
          </w:p>
        </w:tc>
      </w:tr>
      <w:tr w:rsidR="00D34187" w:rsidRPr="00DE0914" w14:paraId="5C4ECBE3" w14:textId="77777777" w:rsidTr="00B07AD0">
        <w:trPr>
          <w:trHeight w:val="390"/>
        </w:trPr>
        <w:tc>
          <w:tcPr>
            <w:tcW w:w="5144" w:type="dxa"/>
            <w:tcBorders>
              <w:top w:val="nil"/>
              <w:left w:val="nil"/>
              <w:bottom w:val="nil"/>
              <w:right w:val="single" w:sz="8" w:space="0" w:color="BFBFBF"/>
            </w:tcBorders>
            <w:shd w:val="clear" w:color="auto" w:fill="auto"/>
            <w:vAlign w:val="center"/>
            <w:hideMark/>
          </w:tcPr>
          <w:p w14:paraId="6C85D851" w14:textId="77777777" w:rsidR="00D34187" w:rsidRPr="00DE0914" w:rsidRDefault="00D34187" w:rsidP="00B07AD0">
            <w:pPr>
              <w:spacing w:before="120" w:after="120"/>
              <w:rPr>
                <w:rFonts w:ascii="Calibri" w:hAnsi="Calibri" w:cs="Calibri"/>
                <w:b/>
                <w:bCs/>
                <w:color w:val="0070C0"/>
                <w:kern w:val="0"/>
                <w:sz w:val="22"/>
                <w:szCs w:val="22"/>
                <w:lang w:val="en-GB" w:eastAsia="en-GB"/>
              </w:rPr>
            </w:pPr>
            <w:r w:rsidRPr="00DE0914">
              <w:rPr>
                <w:rFonts w:ascii="Calibri" w:hAnsi="Calibri" w:cs="Calibri"/>
                <w:color w:val="59595B"/>
                <w:kern w:val="0"/>
                <w:sz w:val="22"/>
                <w:szCs w:val="22"/>
                <w:lang w:val="en-GB" w:eastAsia="en-GB"/>
              </w:rPr>
              <w:t>Fair value loss on revaluation derivatives</w:t>
            </w:r>
          </w:p>
        </w:tc>
        <w:tc>
          <w:tcPr>
            <w:tcW w:w="1696" w:type="dxa"/>
            <w:tcBorders>
              <w:top w:val="nil"/>
              <w:left w:val="nil"/>
              <w:bottom w:val="nil"/>
              <w:right w:val="single" w:sz="8" w:space="0" w:color="BFBFBF"/>
            </w:tcBorders>
            <w:shd w:val="clear" w:color="auto" w:fill="F2F2F2" w:themeFill="background1" w:themeFillShade="F2"/>
            <w:noWrap/>
            <w:vAlign w:val="bottom"/>
            <w:hideMark/>
          </w:tcPr>
          <w:p w14:paraId="65C89F26"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color w:val="00679B"/>
                <w:kern w:val="0"/>
                <w:sz w:val="22"/>
                <w:szCs w:val="22"/>
                <w:lang w:val="en-GB" w:eastAsia="en-GB"/>
              </w:rPr>
              <w:t xml:space="preserve">30 </w:t>
            </w:r>
          </w:p>
        </w:tc>
        <w:tc>
          <w:tcPr>
            <w:tcW w:w="1920" w:type="dxa"/>
            <w:tcBorders>
              <w:top w:val="nil"/>
              <w:left w:val="nil"/>
              <w:bottom w:val="nil"/>
              <w:right w:val="single" w:sz="8" w:space="0" w:color="BFBFBF"/>
            </w:tcBorders>
            <w:shd w:val="clear" w:color="auto" w:fill="auto"/>
            <w:noWrap/>
            <w:vAlign w:val="bottom"/>
            <w:hideMark/>
          </w:tcPr>
          <w:p w14:paraId="5C8E5B3B"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color w:val="59595B"/>
                <w:kern w:val="0"/>
                <w:sz w:val="22"/>
                <w:szCs w:val="22"/>
                <w:lang w:val="en-GB" w:eastAsia="en-GB"/>
              </w:rPr>
              <w:t xml:space="preserve">134 </w:t>
            </w:r>
          </w:p>
        </w:tc>
      </w:tr>
      <w:tr w:rsidR="00D34187" w:rsidRPr="00DE0914" w14:paraId="6B1DD80A" w14:textId="77777777" w:rsidTr="00B07AD0">
        <w:trPr>
          <w:trHeight w:val="312"/>
        </w:trPr>
        <w:tc>
          <w:tcPr>
            <w:tcW w:w="5144" w:type="dxa"/>
            <w:tcBorders>
              <w:top w:val="nil"/>
              <w:left w:val="nil"/>
              <w:bottom w:val="nil"/>
              <w:right w:val="single" w:sz="8" w:space="0" w:color="BFBFBF"/>
            </w:tcBorders>
            <w:shd w:val="clear" w:color="auto" w:fill="auto"/>
            <w:vAlign w:val="center"/>
            <w:hideMark/>
          </w:tcPr>
          <w:p w14:paraId="55F09B0E"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finance income</w:t>
            </w:r>
          </w:p>
        </w:tc>
        <w:tc>
          <w:tcPr>
            <w:tcW w:w="1696" w:type="dxa"/>
            <w:tcBorders>
              <w:top w:val="nil"/>
              <w:left w:val="nil"/>
              <w:bottom w:val="nil"/>
              <w:right w:val="single" w:sz="8" w:space="0" w:color="BFBFBF"/>
            </w:tcBorders>
            <w:shd w:val="clear" w:color="auto" w:fill="F2F2F2" w:themeFill="background1" w:themeFillShade="F2"/>
            <w:noWrap/>
            <w:vAlign w:val="bottom"/>
            <w:hideMark/>
          </w:tcPr>
          <w:p w14:paraId="0A794EE4" w14:textId="77777777" w:rsidR="00D34187" w:rsidRPr="00DE0914" w:rsidRDefault="00D34187" w:rsidP="00B07AD0">
            <w:pPr>
              <w:spacing w:before="120" w:after="120"/>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8.159 </w:t>
            </w:r>
          </w:p>
        </w:tc>
        <w:tc>
          <w:tcPr>
            <w:tcW w:w="1920" w:type="dxa"/>
            <w:tcBorders>
              <w:top w:val="nil"/>
              <w:left w:val="nil"/>
              <w:bottom w:val="nil"/>
              <w:right w:val="single" w:sz="8" w:space="0" w:color="BFBFBF"/>
            </w:tcBorders>
            <w:shd w:val="clear" w:color="auto" w:fill="auto"/>
            <w:noWrap/>
            <w:vAlign w:val="bottom"/>
            <w:hideMark/>
          </w:tcPr>
          <w:p w14:paraId="6AD43C65"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409 </w:t>
            </w:r>
          </w:p>
        </w:tc>
      </w:tr>
      <w:tr w:rsidR="00D34187" w:rsidRPr="00DE0914" w14:paraId="7543CD46" w14:textId="77777777" w:rsidTr="00B07AD0">
        <w:trPr>
          <w:trHeight w:val="312"/>
        </w:trPr>
        <w:tc>
          <w:tcPr>
            <w:tcW w:w="5144" w:type="dxa"/>
            <w:tcBorders>
              <w:top w:val="nil"/>
              <w:left w:val="nil"/>
              <w:bottom w:val="single" w:sz="8" w:space="0" w:color="BFBFBF"/>
              <w:right w:val="single" w:sz="8" w:space="0" w:color="BFBFBF"/>
            </w:tcBorders>
            <w:shd w:val="clear" w:color="auto" w:fill="auto"/>
            <w:vAlign w:val="center"/>
            <w:hideMark/>
          </w:tcPr>
          <w:p w14:paraId="72F5E074"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finance expenses</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bottom"/>
            <w:hideMark/>
          </w:tcPr>
          <w:p w14:paraId="5DB0C6D6" w14:textId="77777777" w:rsidR="00D34187" w:rsidRPr="00DE0914" w:rsidRDefault="00D34187" w:rsidP="00B07AD0">
            <w:pPr>
              <w:spacing w:before="120" w:after="120"/>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(1.598)</w:t>
            </w:r>
          </w:p>
        </w:tc>
        <w:tc>
          <w:tcPr>
            <w:tcW w:w="1920" w:type="dxa"/>
            <w:tcBorders>
              <w:top w:val="nil"/>
              <w:left w:val="nil"/>
              <w:bottom w:val="single" w:sz="8" w:space="0" w:color="BFBFBF"/>
              <w:right w:val="single" w:sz="8" w:space="0" w:color="BFBFBF"/>
            </w:tcBorders>
            <w:shd w:val="clear" w:color="auto" w:fill="auto"/>
            <w:noWrap/>
            <w:vAlign w:val="bottom"/>
            <w:hideMark/>
          </w:tcPr>
          <w:p w14:paraId="61C8F3F4"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(8.378)</w:t>
            </w:r>
          </w:p>
        </w:tc>
      </w:tr>
      <w:tr w:rsidR="00D34187" w:rsidRPr="00DE0914" w14:paraId="173F38E8" w14:textId="77777777" w:rsidTr="00B07AD0">
        <w:trPr>
          <w:trHeight w:val="312"/>
        </w:trPr>
        <w:tc>
          <w:tcPr>
            <w:tcW w:w="5144" w:type="dxa"/>
            <w:tcBorders>
              <w:top w:val="nil"/>
              <w:left w:val="nil"/>
              <w:bottom w:val="single" w:sz="8" w:space="0" w:color="BFBFBF"/>
              <w:right w:val="single" w:sz="8" w:space="0" w:color="BFBFBF"/>
            </w:tcBorders>
            <w:shd w:val="clear" w:color="000000" w:fill="FFFFFF"/>
            <w:vAlign w:val="center"/>
            <w:hideMark/>
          </w:tcPr>
          <w:p w14:paraId="4526FD60"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b/>
                <w:bCs/>
                <w:color w:val="59595B"/>
                <w:kern w:val="0"/>
                <w:sz w:val="22"/>
                <w:szCs w:val="22"/>
                <w:lang w:val="en-GB" w:eastAsia="en-GB"/>
              </w:rPr>
              <w:t>Finance cost, net</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03D32AF7" w14:textId="77777777" w:rsidR="00D34187" w:rsidRPr="00DE0914" w:rsidRDefault="00D34187" w:rsidP="00B07AD0">
            <w:pPr>
              <w:spacing w:before="120" w:after="120"/>
              <w:rPr>
                <w:rFonts w:ascii="Calibri" w:hAnsi="Calibri" w:cs="Calibri"/>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6.591 </w:t>
            </w:r>
          </w:p>
        </w:tc>
        <w:tc>
          <w:tcPr>
            <w:tcW w:w="1920" w:type="dxa"/>
            <w:tcBorders>
              <w:top w:val="nil"/>
              <w:left w:val="nil"/>
              <w:bottom w:val="single" w:sz="8" w:space="0" w:color="BFBFBF"/>
              <w:right w:val="single" w:sz="8" w:space="0" w:color="BFBFBF"/>
            </w:tcBorders>
            <w:shd w:val="clear" w:color="auto" w:fill="auto"/>
            <w:noWrap/>
            <w:vAlign w:val="center"/>
            <w:hideMark/>
          </w:tcPr>
          <w:p w14:paraId="5723E619"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b/>
                <w:bCs/>
                <w:color w:val="59595B"/>
                <w:kern w:val="0"/>
                <w:sz w:val="22"/>
                <w:szCs w:val="22"/>
                <w:lang w:val="en-GB" w:eastAsia="en-GB"/>
              </w:rPr>
              <w:t>(7.835)</w:t>
            </w:r>
          </w:p>
        </w:tc>
      </w:tr>
      <w:tr w:rsidR="00D34187" w:rsidRPr="00DE0914" w14:paraId="2DD8D1CD"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6F76DE5E"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Share of net profits in associates using the equity method</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3E3D9DEE"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(82)</w:t>
            </w:r>
          </w:p>
        </w:tc>
        <w:tc>
          <w:tcPr>
            <w:tcW w:w="1920" w:type="dxa"/>
            <w:tcBorders>
              <w:top w:val="nil"/>
              <w:left w:val="nil"/>
              <w:bottom w:val="single" w:sz="8" w:space="0" w:color="BFBFBF"/>
              <w:right w:val="single" w:sz="8" w:space="0" w:color="BFBFBF"/>
            </w:tcBorders>
            <w:shd w:val="clear" w:color="auto" w:fill="auto"/>
            <w:noWrap/>
            <w:vAlign w:val="center"/>
            <w:hideMark/>
          </w:tcPr>
          <w:p w14:paraId="5CE08EF2"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15 </w:t>
            </w:r>
          </w:p>
        </w:tc>
      </w:tr>
      <w:tr w:rsidR="00D34187" w:rsidRPr="00DE0914" w14:paraId="1128D10D"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71F570EC"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00679B"/>
                <w:kern w:val="0"/>
                <w:sz w:val="22"/>
                <w:szCs w:val="22"/>
                <w:lang w:val="en-GB" w:eastAsia="en-GB"/>
              </w:rPr>
              <w:t>Profit before tax</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6FFA0A90"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12.792 </w:t>
            </w:r>
          </w:p>
        </w:tc>
        <w:tc>
          <w:tcPr>
            <w:tcW w:w="1920" w:type="dxa"/>
            <w:tcBorders>
              <w:top w:val="nil"/>
              <w:left w:val="nil"/>
              <w:bottom w:val="single" w:sz="8" w:space="0" w:color="BFBFBF"/>
              <w:right w:val="single" w:sz="8" w:space="0" w:color="BFBFBF"/>
            </w:tcBorders>
            <w:shd w:val="clear" w:color="auto" w:fill="auto"/>
            <w:noWrap/>
            <w:vAlign w:val="center"/>
            <w:hideMark/>
          </w:tcPr>
          <w:p w14:paraId="667427D4" w14:textId="27E66871" w:rsidR="00D34187" w:rsidRPr="00DE0914" w:rsidRDefault="00CC76EE"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13.668</w:t>
            </w:r>
          </w:p>
        </w:tc>
      </w:tr>
      <w:tr w:rsidR="00D34187" w:rsidRPr="00DE0914" w14:paraId="3908FAEA"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65E89BD0" w14:textId="78B18F06" w:rsidR="00D34187" w:rsidRPr="00DE0914" w:rsidRDefault="00D34187" w:rsidP="00B07AD0">
            <w:pPr>
              <w:spacing w:before="120" w:after="120"/>
              <w:rPr>
                <w:rFonts w:ascii="Calibri" w:hAnsi="Calibri" w:cs="Calibri"/>
                <w:b/>
                <w:bCs/>
                <w:color w:val="0070C0"/>
                <w:kern w:val="0"/>
                <w:sz w:val="22"/>
                <w:szCs w:val="22"/>
                <w:lang w:val="en-GB" w:eastAsia="en-GB"/>
              </w:rPr>
            </w:pPr>
            <w:r w:rsidRPr="00DE0914">
              <w:rPr>
                <w:rFonts w:ascii="Calibri" w:hAnsi="Calibri" w:cs="Calibri"/>
                <w:color w:val="59595B"/>
                <w:kern w:val="0"/>
                <w:sz w:val="22"/>
                <w:szCs w:val="22"/>
                <w:lang w:val="en-GB" w:eastAsia="en-GB"/>
              </w:rPr>
              <w:t>Income tax expense</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27AE6E54" w14:textId="77777777" w:rsidR="00D34187" w:rsidRPr="00DE0914" w:rsidRDefault="00D34187" w:rsidP="00B07AD0">
            <w:pPr>
              <w:spacing w:before="120" w:after="120"/>
              <w:rPr>
                <w:rFonts w:ascii="Calibri" w:hAnsi="Calibri" w:cs="Calibri"/>
                <w:b/>
                <w:bCs/>
                <w:color w:val="00679B"/>
                <w:kern w:val="0"/>
                <w:sz w:val="22"/>
                <w:szCs w:val="22"/>
                <w:lang w:val="en-GB" w:eastAsia="en-GB"/>
              </w:rPr>
            </w:pPr>
            <w:r w:rsidRPr="00DE0914">
              <w:rPr>
                <w:rFonts w:ascii="Calibri" w:hAnsi="Calibri" w:cs="Calibri"/>
                <w:color w:val="00679B"/>
                <w:kern w:val="0"/>
                <w:sz w:val="22"/>
                <w:szCs w:val="22"/>
                <w:lang w:val="en-GB" w:eastAsia="en-GB"/>
              </w:rPr>
              <w:t>(4.269)</w:t>
            </w:r>
          </w:p>
        </w:tc>
        <w:tc>
          <w:tcPr>
            <w:tcW w:w="1920" w:type="dxa"/>
            <w:tcBorders>
              <w:top w:val="nil"/>
              <w:left w:val="nil"/>
              <w:bottom w:val="single" w:sz="8" w:space="0" w:color="BFBFBF"/>
              <w:right w:val="single" w:sz="8" w:space="0" w:color="BFBFBF"/>
            </w:tcBorders>
            <w:shd w:val="clear" w:color="auto" w:fill="auto"/>
            <w:noWrap/>
            <w:vAlign w:val="center"/>
            <w:hideMark/>
          </w:tcPr>
          <w:p w14:paraId="69CB5857" w14:textId="77777777" w:rsidR="00D34187" w:rsidRPr="00DE0914" w:rsidRDefault="00D34187" w:rsidP="00B07AD0">
            <w:pPr>
              <w:spacing w:before="120" w:after="120"/>
              <w:rPr>
                <w:rFonts w:ascii="Calibri" w:hAnsi="Calibri" w:cs="Calibri"/>
                <w:b/>
                <w:bCs/>
                <w:color w:val="59595B"/>
                <w:kern w:val="0"/>
                <w:sz w:val="22"/>
                <w:szCs w:val="22"/>
                <w:lang w:val="en-GB" w:eastAsia="en-GB"/>
              </w:rPr>
            </w:pPr>
            <w:r w:rsidRPr="00DE0914">
              <w:rPr>
                <w:rFonts w:ascii="Calibri" w:hAnsi="Calibri" w:cs="Calibri"/>
                <w:color w:val="59595B"/>
                <w:kern w:val="0"/>
                <w:sz w:val="22"/>
                <w:szCs w:val="22"/>
                <w:lang w:val="en-GB" w:eastAsia="en-GB"/>
              </w:rPr>
              <w:t>(4.418)</w:t>
            </w:r>
          </w:p>
        </w:tc>
      </w:tr>
      <w:tr w:rsidR="00D34187" w:rsidRPr="00DE0914" w14:paraId="77FBABBE"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288EBFC5" w14:textId="77777777" w:rsidR="00D34187" w:rsidRPr="00DE0914" w:rsidRDefault="00D34187" w:rsidP="00B07AD0">
            <w:pPr>
              <w:spacing w:before="120" w:after="120"/>
              <w:rPr>
                <w:rFonts w:ascii="Calibri" w:hAnsi="Calibri" w:cs="Calibri"/>
                <w:color w:val="808080"/>
                <w:kern w:val="0"/>
                <w:sz w:val="22"/>
                <w:szCs w:val="22"/>
                <w:lang w:val="en-GB" w:eastAsia="en-GB"/>
              </w:rPr>
            </w:pPr>
            <w:r w:rsidRPr="00DE0914">
              <w:rPr>
                <w:rFonts w:ascii="Calibri" w:hAnsi="Calibri" w:cs="Calibri"/>
                <w:b/>
                <w:bCs/>
                <w:color w:val="00679B"/>
                <w:kern w:val="0"/>
                <w:sz w:val="22"/>
                <w:szCs w:val="22"/>
                <w:lang w:val="en-GB" w:eastAsia="en-GB"/>
              </w:rPr>
              <w:t>Profit for the year</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075FBD77" w14:textId="77777777" w:rsidR="00D34187" w:rsidRPr="00DE0914" w:rsidRDefault="00D34187" w:rsidP="00B07AD0">
            <w:pPr>
              <w:spacing w:before="120" w:after="120"/>
              <w:rPr>
                <w:rFonts w:ascii="Calibri" w:hAnsi="Calibri" w:cs="Calibri"/>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8.523 </w:t>
            </w:r>
          </w:p>
        </w:tc>
        <w:tc>
          <w:tcPr>
            <w:tcW w:w="1920" w:type="dxa"/>
            <w:tcBorders>
              <w:top w:val="nil"/>
              <w:left w:val="nil"/>
              <w:bottom w:val="single" w:sz="8" w:space="0" w:color="BFBFBF"/>
              <w:right w:val="single" w:sz="8" w:space="0" w:color="BFBFBF"/>
            </w:tcBorders>
            <w:shd w:val="clear" w:color="auto" w:fill="auto"/>
            <w:noWrap/>
            <w:vAlign w:val="center"/>
            <w:hideMark/>
          </w:tcPr>
          <w:p w14:paraId="7EF429FC"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9.250 </w:t>
            </w:r>
          </w:p>
        </w:tc>
      </w:tr>
      <w:tr w:rsidR="00D34187" w:rsidRPr="00DE0914" w14:paraId="4862B44D"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0CF89A54" w14:textId="77777777" w:rsidR="00D34187" w:rsidRPr="00DE0914" w:rsidRDefault="00D34187" w:rsidP="00B07AD0">
            <w:pPr>
              <w:spacing w:before="120" w:after="120"/>
              <w:rPr>
                <w:rFonts w:ascii="Calibri" w:hAnsi="Calibri" w:cs="Calibri"/>
                <w:b/>
                <w:bCs/>
                <w:color w:val="0070C0"/>
                <w:kern w:val="0"/>
                <w:sz w:val="22"/>
                <w:szCs w:val="22"/>
                <w:lang w:val="en-GB" w:eastAsia="en-GB"/>
              </w:rPr>
            </w:pPr>
            <w:r w:rsidRPr="00DE0914">
              <w:rPr>
                <w:rFonts w:ascii="Calibri" w:hAnsi="Calibri" w:cs="Calibri"/>
                <w:color w:val="59595B"/>
                <w:kern w:val="0"/>
                <w:sz w:val="22"/>
                <w:szCs w:val="22"/>
                <w:lang w:val="en-GB" w:eastAsia="en-GB"/>
              </w:rPr>
              <w:t xml:space="preserve">Basic earnings per share (€) </w:t>
            </w:r>
          </w:p>
        </w:tc>
        <w:tc>
          <w:tcPr>
            <w:tcW w:w="1696"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38453732" w14:textId="77777777" w:rsidR="00D34187" w:rsidRPr="00DE0914" w:rsidRDefault="00D34187" w:rsidP="00B07AD0">
            <w:pPr>
              <w:spacing w:before="120" w:after="120"/>
              <w:jc w:val="right"/>
              <w:rPr>
                <w:rFonts w:ascii="Calibri" w:hAnsi="Calibri" w:cs="Calibri"/>
                <w:b/>
                <w:bCs/>
                <w:color w:val="00679B"/>
                <w:kern w:val="0"/>
                <w:sz w:val="22"/>
                <w:szCs w:val="22"/>
                <w:lang w:val="en-GB" w:eastAsia="en-GB"/>
              </w:rPr>
            </w:pPr>
            <w:r w:rsidRPr="00DE0914">
              <w:rPr>
                <w:rFonts w:ascii="Calibri" w:hAnsi="Calibri" w:cs="Calibri"/>
                <w:color w:val="00679B"/>
                <w:kern w:val="0"/>
                <w:sz w:val="22"/>
                <w:szCs w:val="22"/>
                <w:lang w:val="en-GB" w:eastAsia="en-GB"/>
              </w:rPr>
              <w:t xml:space="preserve">0,013 </w:t>
            </w:r>
          </w:p>
        </w:tc>
        <w:tc>
          <w:tcPr>
            <w:tcW w:w="1920" w:type="dxa"/>
            <w:tcBorders>
              <w:top w:val="nil"/>
              <w:left w:val="nil"/>
              <w:bottom w:val="single" w:sz="8" w:space="0" w:color="BFBFBF"/>
              <w:right w:val="single" w:sz="8" w:space="0" w:color="BFBFBF"/>
            </w:tcBorders>
            <w:shd w:val="clear" w:color="auto" w:fill="auto"/>
            <w:noWrap/>
            <w:vAlign w:val="center"/>
            <w:hideMark/>
          </w:tcPr>
          <w:p w14:paraId="52635939" w14:textId="77777777" w:rsidR="00D34187" w:rsidRPr="00DE0914" w:rsidRDefault="00D34187" w:rsidP="00B07AD0">
            <w:pPr>
              <w:spacing w:before="120" w:after="120"/>
              <w:jc w:val="right"/>
              <w:rPr>
                <w:rFonts w:ascii="Calibri" w:hAnsi="Calibri" w:cs="Calibri"/>
                <w:b/>
                <w:bCs/>
                <w:color w:val="59595B"/>
                <w:kern w:val="0"/>
                <w:sz w:val="22"/>
                <w:szCs w:val="22"/>
                <w:lang w:val="en-GB" w:eastAsia="en-GB"/>
              </w:rPr>
            </w:pPr>
            <w:r w:rsidRPr="00DE0914">
              <w:rPr>
                <w:rFonts w:ascii="Calibri" w:hAnsi="Calibri" w:cs="Calibri"/>
                <w:color w:val="59595B"/>
                <w:kern w:val="0"/>
                <w:sz w:val="22"/>
                <w:szCs w:val="22"/>
                <w:lang w:val="en-GB" w:eastAsia="en-GB"/>
              </w:rPr>
              <w:t xml:space="preserve">0,015 </w:t>
            </w:r>
          </w:p>
        </w:tc>
      </w:tr>
      <w:tr w:rsidR="00D34187" w:rsidRPr="00DE0914" w14:paraId="391A3A2A"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0DABCA96" w14:textId="77777777" w:rsidR="00D34187" w:rsidRPr="00DE0914" w:rsidRDefault="00D34187"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Diluted earnings per share (€) </w:t>
            </w:r>
          </w:p>
        </w:tc>
        <w:tc>
          <w:tcPr>
            <w:tcW w:w="1696" w:type="dxa"/>
            <w:tcBorders>
              <w:top w:val="nil"/>
              <w:left w:val="nil"/>
              <w:bottom w:val="single" w:sz="8" w:space="0" w:color="BFBFBF"/>
              <w:right w:val="single" w:sz="8" w:space="0" w:color="BFBFBF"/>
            </w:tcBorders>
            <w:shd w:val="clear" w:color="auto" w:fill="F2F2F2" w:themeFill="background1" w:themeFillShade="F2"/>
            <w:vAlign w:val="center"/>
            <w:hideMark/>
          </w:tcPr>
          <w:p w14:paraId="1287A374" w14:textId="77777777" w:rsidR="00D34187" w:rsidRPr="00DE0914" w:rsidRDefault="00D34187" w:rsidP="00B07AD0">
            <w:pPr>
              <w:spacing w:before="120" w:after="120"/>
              <w:jc w:val="right"/>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0,013 </w:t>
            </w:r>
          </w:p>
        </w:tc>
        <w:tc>
          <w:tcPr>
            <w:tcW w:w="1920" w:type="dxa"/>
            <w:tcBorders>
              <w:top w:val="nil"/>
              <w:left w:val="nil"/>
              <w:bottom w:val="single" w:sz="8" w:space="0" w:color="BFBFBF"/>
              <w:right w:val="single" w:sz="8" w:space="0" w:color="BFBFBF"/>
            </w:tcBorders>
            <w:shd w:val="clear" w:color="auto" w:fill="auto"/>
            <w:vAlign w:val="center"/>
            <w:hideMark/>
          </w:tcPr>
          <w:p w14:paraId="78964D23" w14:textId="77777777" w:rsidR="00D34187" w:rsidRPr="00DE0914" w:rsidRDefault="00D34187" w:rsidP="00B07AD0">
            <w:pPr>
              <w:spacing w:before="120" w:after="120"/>
              <w:jc w:val="right"/>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0,013 </w:t>
            </w:r>
          </w:p>
        </w:tc>
      </w:tr>
    </w:tbl>
    <w:p w14:paraId="0CF67D1F" w14:textId="77777777" w:rsidR="00D34187" w:rsidRPr="00DE0914" w:rsidRDefault="00D34187" w:rsidP="003B26BF">
      <w:pPr>
        <w:rPr>
          <w:rFonts w:asciiTheme="minorHAnsi" w:eastAsiaTheme="majorEastAsia" w:hAnsiTheme="minorHAnsi" w:cstheme="majorBidi"/>
          <w:b/>
          <w:color w:val="59595B"/>
          <w:szCs w:val="28"/>
          <w:lang w:val="en-GB" w:eastAsia="zh-CN"/>
        </w:rPr>
      </w:pPr>
    </w:p>
    <w:p w14:paraId="70374BBB" w14:textId="77777777" w:rsidR="00D34187" w:rsidRPr="00DE0914" w:rsidRDefault="00D34187" w:rsidP="003B26BF">
      <w:pPr>
        <w:rPr>
          <w:rFonts w:asciiTheme="minorHAnsi" w:eastAsiaTheme="majorEastAsia" w:hAnsiTheme="minorHAnsi" w:cstheme="majorBidi"/>
          <w:b/>
          <w:color w:val="59595B"/>
          <w:szCs w:val="28"/>
          <w:lang w:val="en-GB" w:eastAsia="zh-CN"/>
        </w:rPr>
      </w:pPr>
    </w:p>
    <w:p w14:paraId="6654C5DA" w14:textId="77777777" w:rsidR="00BF00A8" w:rsidRPr="00DE0914" w:rsidRDefault="00BF00A8" w:rsidP="003B26BF">
      <w:pPr>
        <w:rPr>
          <w:rFonts w:ascii="Calibri Light" w:eastAsiaTheme="majorEastAsia" w:hAnsi="Calibri Light" w:cstheme="majorBidi"/>
          <w:b/>
          <w:color w:val="59595B"/>
          <w:szCs w:val="28"/>
          <w:lang w:val="en-GB" w:eastAsia="zh-CN"/>
        </w:rPr>
      </w:pPr>
    </w:p>
    <w:p w14:paraId="2A5CEF01" w14:textId="77777777" w:rsidR="00BF00A8" w:rsidRPr="00DE0914" w:rsidRDefault="00BF00A8" w:rsidP="003B26BF">
      <w:pPr>
        <w:rPr>
          <w:rFonts w:ascii="Calibri Light" w:eastAsiaTheme="majorEastAsia" w:hAnsi="Calibri Light" w:cstheme="majorBidi"/>
          <w:b/>
          <w:color w:val="59595B"/>
          <w:szCs w:val="28"/>
          <w:lang w:val="en-GB" w:eastAsia="zh-CN"/>
        </w:rPr>
      </w:pPr>
    </w:p>
    <w:p w14:paraId="266712A6" w14:textId="77777777" w:rsidR="00167F11" w:rsidRPr="002C1B04" w:rsidRDefault="00167F11" w:rsidP="00167F11">
      <w:pPr>
        <w:rPr>
          <w:rFonts w:ascii="Calibri Light" w:eastAsiaTheme="majorEastAsia" w:hAnsi="Calibri Light" w:cstheme="majorBidi"/>
          <w:b/>
          <w:color w:val="59595B"/>
          <w:szCs w:val="28"/>
          <w:lang w:val="en-GB" w:eastAsia="zh-CN"/>
        </w:rPr>
      </w:pPr>
      <w:r w:rsidRPr="002C1B04">
        <w:rPr>
          <w:rFonts w:ascii="Calibri Light" w:eastAsiaTheme="majorEastAsia" w:hAnsi="Calibri Light" w:cstheme="majorBidi"/>
          <w:b/>
          <w:color w:val="59595B"/>
          <w:szCs w:val="28"/>
          <w:lang w:val="en-GB" w:eastAsia="zh-CN"/>
        </w:rPr>
        <w:lastRenderedPageBreak/>
        <w:t xml:space="preserve">Condensed Consolidated Statement of Comprehensive Income </w:t>
      </w:r>
    </w:p>
    <w:p w14:paraId="5B4344AB" w14:textId="77777777" w:rsidR="00167F11" w:rsidRPr="00DE0914" w:rsidRDefault="00167F11" w:rsidP="00167F11">
      <w:pPr>
        <w:spacing w:before="60" w:after="120" w:line="276" w:lineRule="auto"/>
        <w:jc w:val="both"/>
        <w:rPr>
          <w:rFonts w:asciiTheme="minorHAnsi" w:hAnsiTheme="minorHAnsi"/>
          <w:lang w:val="en-GB"/>
        </w:rPr>
      </w:pPr>
      <w:r w:rsidRPr="00DE0914">
        <w:rPr>
          <w:rFonts w:ascii="Calibri" w:eastAsia="Calibri" w:hAnsi="Calibri" w:cs="Calibri"/>
          <w:color w:val="59595B"/>
        </w:rPr>
        <w:t>For the period ended 31 March</w:t>
      </w:r>
    </w:p>
    <w:tbl>
      <w:tblPr>
        <w:tblW w:w="9214" w:type="dxa"/>
        <w:tblLook w:val="04A0" w:firstRow="1" w:lastRow="0" w:firstColumn="1" w:lastColumn="0" w:noHBand="0" w:noVBand="1"/>
      </w:tblPr>
      <w:tblGrid>
        <w:gridCol w:w="5934"/>
        <w:gridCol w:w="1707"/>
        <w:gridCol w:w="1573"/>
      </w:tblGrid>
      <w:tr w:rsidR="00167F11" w:rsidRPr="00DE0914" w14:paraId="702FB77C" w14:textId="77777777" w:rsidTr="006165F7">
        <w:trPr>
          <w:trHeight w:val="275"/>
        </w:trPr>
        <w:tc>
          <w:tcPr>
            <w:tcW w:w="5934" w:type="dxa"/>
            <w:tcBorders>
              <w:top w:val="nil"/>
              <w:left w:val="nil"/>
              <w:bottom w:val="single" w:sz="8" w:space="0" w:color="BFBFBF"/>
              <w:right w:val="nil"/>
            </w:tcBorders>
            <w:shd w:val="clear" w:color="auto" w:fill="F2F2F2" w:themeFill="background1" w:themeFillShade="F2"/>
            <w:vAlign w:val="center"/>
            <w:hideMark/>
          </w:tcPr>
          <w:p w14:paraId="3EAE3035" w14:textId="77777777" w:rsidR="00167F11" w:rsidRPr="00DE0914" w:rsidRDefault="00167F11" w:rsidP="00B07AD0">
            <w:pPr>
              <w:spacing w:before="120" w:after="120"/>
              <w:rPr>
                <w:rFonts w:ascii="Calibri" w:hAnsi="Calibri" w:cs="Calibri"/>
                <w:i/>
                <w:iCs/>
                <w:color w:val="59595B"/>
                <w:kern w:val="0"/>
                <w:sz w:val="20"/>
                <w:szCs w:val="20"/>
                <w:lang w:val="en-GB" w:eastAsia="en-GB"/>
              </w:rPr>
            </w:pPr>
            <w:r w:rsidRPr="00DE0914">
              <w:rPr>
                <w:rFonts w:ascii="Calibri" w:hAnsi="Calibri" w:cs="Calibri"/>
                <w:i/>
                <w:iCs/>
                <w:color w:val="59595B"/>
                <w:kern w:val="0"/>
                <w:sz w:val="20"/>
                <w:szCs w:val="20"/>
                <w:lang w:val="en-GB" w:eastAsia="en-GB"/>
              </w:rPr>
              <w:t>Amounts in $ ‘000</w:t>
            </w:r>
          </w:p>
        </w:tc>
        <w:tc>
          <w:tcPr>
            <w:tcW w:w="1707" w:type="dxa"/>
            <w:tcBorders>
              <w:top w:val="nil"/>
              <w:left w:val="nil"/>
              <w:bottom w:val="single" w:sz="8" w:space="0" w:color="BFBFBF"/>
              <w:right w:val="nil"/>
            </w:tcBorders>
            <w:shd w:val="clear" w:color="auto" w:fill="F2F2F2" w:themeFill="background1" w:themeFillShade="F2"/>
            <w:noWrap/>
            <w:vAlign w:val="center"/>
            <w:hideMark/>
          </w:tcPr>
          <w:p w14:paraId="3B7C4429" w14:textId="77777777" w:rsidR="00167F11" w:rsidRPr="00DE0914" w:rsidRDefault="00167F11"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2021 </w:t>
            </w:r>
          </w:p>
        </w:tc>
        <w:tc>
          <w:tcPr>
            <w:tcW w:w="1573" w:type="dxa"/>
            <w:tcBorders>
              <w:top w:val="nil"/>
              <w:left w:val="nil"/>
              <w:bottom w:val="single" w:sz="8" w:space="0" w:color="BFBFBF"/>
              <w:right w:val="nil"/>
            </w:tcBorders>
            <w:shd w:val="clear" w:color="auto" w:fill="F2F2F2" w:themeFill="background1" w:themeFillShade="F2"/>
            <w:vAlign w:val="center"/>
            <w:hideMark/>
          </w:tcPr>
          <w:p w14:paraId="294FA9BE" w14:textId="77777777" w:rsidR="00167F11" w:rsidRPr="00DE0914" w:rsidRDefault="00167F11"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2020 </w:t>
            </w:r>
          </w:p>
        </w:tc>
      </w:tr>
      <w:tr w:rsidR="00167F11" w:rsidRPr="00DE0914" w14:paraId="59886A1D" w14:textId="77777777" w:rsidTr="006165F7">
        <w:trPr>
          <w:trHeight w:val="275"/>
        </w:trPr>
        <w:tc>
          <w:tcPr>
            <w:tcW w:w="5934" w:type="dxa"/>
            <w:tcBorders>
              <w:top w:val="nil"/>
              <w:left w:val="nil"/>
              <w:bottom w:val="nil"/>
              <w:right w:val="single" w:sz="8" w:space="0" w:color="BFBFBF"/>
            </w:tcBorders>
            <w:shd w:val="clear" w:color="000000" w:fill="FFFFFF"/>
            <w:vAlign w:val="center"/>
            <w:hideMark/>
          </w:tcPr>
          <w:p w14:paraId="719F0B9A" w14:textId="77777777" w:rsidR="00167F11" w:rsidRPr="00DE0914" w:rsidRDefault="00167F11"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Profit for the year</w:t>
            </w:r>
          </w:p>
        </w:tc>
        <w:tc>
          <w:tcPr>
            <w:tcW w:w="1707" w:type="dxa"/>
            <w:tcBorders>
              <w:top w:val="nil"/>
              <w:left w:val="nil"/>
              <w:bottom w:val="nil"/>
              <w:right w:val="single" w:sz="8" w:space="0" w:color="BFBFBF"/>
            </w:tcBorders>
            <w:shd w:val="clear" w:color="auto" w:fill="F2F2F2" w:themeFill="background1" w:themeFillShade="F2"/>
            <w:noWrap/>
            <w:vAlign w:val="bottom"/>
            <w:hideMark/>
          </w:tcPr>
          <w:p w14:paraId="7D8D0103" w14:textId="77777777" w:rsidR="00167F11" w:rsidRPr="00DE0914" w:rsidRDefault="00167F11"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8.523 </w:t>
            </w:r>
          </w:p>
        </w:tc>
        <w:tc>
          <w:tcPr>
            <w:tcW w:w="1573" w:type="dxa"/>
            <w:tcBorders>
              <w:top w:val="nil"/>
              <w:left w:val="nil"/>
              <w:bottom w:val="single" w:sz="8" w:space="0" w:color="D9D9D9"/>
              <w:right w:val="single" w:sz="8" w:space="0" w:color="BFBFBF"/>
            </w:tcBorders>
            <w:shd w:val="clear" w:color="auto" w:fill="auto"/>
            <w:noWrap/>
            <w:vAlign w:val="bottom"/>
            <w:hideMark/>
          </w:tcPr>
          <w:p w14:paraId="256CC9DA" w14:textId="77777777" w:rsidR="00167F11" w:rsidRPr="00DE0914" w:rsidRDefault="00167F11"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9.250 </w:t>
            </w:r>
          </w:p>
        </w:tc>
      </w:tr>
      <w:tr w:rsidR="00167F11" w:rsidRPr="00DE0914" w14:paraId="3E503BDB" w14:textId="77777777" w:rsidTr="006165F7">
        <w:trPr>
          <w:trHeight w:val="275"/>
        </w:trPr>
        <w:tc>
          <w:tcPr>
            <w:tcW w:w="5934" w:type="dxa"/>
            <w:tcBorders>
              <w:top w:val="single" w:sz="8" w:space="0" w:color="BFBFBF"/>
              <w:left w:val="nil"/>
              <w:bottom w:val="single" w:sz="8" w:space="0" w:color="BFBFBF"/>
              <w:right w:val="single" w:sz="8" w:space="0" w:color="BFBFBF"/>
            </w:tcBorders>
            <w:shd w:val="clear" w:color="000000" w:fill="FFFFFF"/>
            <w:vAlign w:val="center"/>
            <w:hideMark/>
          </w:tcPr>
          <w:p w14:paraId="615BC408" w14:textId="77777777" w:rsidR="00167F11" w:rsidRPr="00DE0914" w:rsidRDefault="00167F11"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Currency translation differences</w:t>
            </w:r>
          </w:p>
        </w:tc>
        <w:tc>
          <w:tcPr>
            <w:tcW w:w="1707" w:type="dxa"/>
            <w:tcBorders>
              <w:top w:val="single" w:sz="8" w:space="0" w:color="BFBFBF"/>
              <w:left w:val="nil"/>
              <w:bottom w:val="single" w:sz="8" w:space="0" w:color="BFBFBF"/>
              <w:right w:val="single" w:sz="8" w:space="0" w:color="BFBFBF"/>
            </w:tcBorders>
            <w:shd w:val="clear" w:color="auto" w:fill="F2F2F2" w:themeFill="background1" w:themeFillShade="F2"/>
            <w:noWrap/>
            <w:vAlign w:val="bottom"/>
            <w:hideMark/>
          </w:tcPr>
          <w:p w14:paraId="187C5D85" w14:textId="77777777" w:rsidR="00167F11" w:rsidRPr="00DE0914" w:rsidRDefault="00167F11" w:rsidP="00B07AD0">
            <w:pPr>
              <w:spacing w:before="120" w:after="120"/>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(8.483)</w:t>
            </w:r>
          </w:p>
        </w:tc>
        <w:tc>
          <w:tcPr>
            <w:tcW w:w="1573" w:type="dxa"/>
            <w:tcBorders>
              <w:top w:val="single" w:sz="8" w:space="0" w:color="D9D9D9"/>
              <w:left w:val="nil"/>
              <w:bottom w:val="single" w:sz="8" w:space="0" w:color="BFBFBF"/>
              <w:right w:val="single" w:sz="8" w:space="0" w:color="BFBFBF"/>
            </w:tcBorders>
            <w:shd w:val="clear" w:color="auto" w:fill="auto"/>
            <w:noWrap/>
            <w:vAlign w:val="bottom"/>
            <w:hideMark/>
          </w:tcPr>
          <w:p w14:paraId="761C7F65" w14:textId="77777777" w:rsidR="00167F11" w:rsidRPr="00DE0914" w:rsidRDefault="00167F11"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(2.631)</w:t>
            </w:r>
          </w:p>
        </w:tc>
      </w:tr>
      <w:tr w:rsidR="00167F11" w:rsidRPr="00DE0914" w14:paraId="7E38167C" w14:textId="77777777" w:rsidTr="006165F7">
        <w:trPr>
          <w:trHeight w:val="536"/>
        </w:trPr>
        <w:tc>
          <w:tcPr>
            <w:tcW w:w="5934" w:type="dxa"/>
            <w:tcBorders>
              <w:top w:val="nil"/>
              <w:left w:val="nil"/>
              <w:bottom w:val="single" w:sz="8" w:space="0" w:color="BFBFBF"/>
              <w:right w:val="single" w:sz="8" w:space="0" w:color="BFBFBF"/>
            </w:tcBorders>
            <w:shd w:val="clear" w:color="000000" w:fill="FFFFFF"/>
            <w:vAlign w:val="center"/>
            <w:hideMark/>
          </w:tcPr>
          <w:p w14:paraId="27150545" w14:textId="77777777" w:rsidR="00167F11" w:rsidRPr="00DE0914" w:rsidRDefault="00167F11"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Items that may be subsequently reclassified to profit or loss</w:t>
            </w:r>
          </w:p>
        </w:tc>
        <w:tc>
          <w:tcPr>
            <w:tcW w:w="1707" w:type="dxa"/>
            <w:tcBorders>
              <w:top w:val="nil"/>
              <w:left w:val="nil"/>
              <w:bottom w:val="single" w:sz="8" w:space="0" w:color="BFBFBF"/>
              <w:right w:val="single" w:sz="8" w:space="0" w:color="BFBFBF"/>
            </w:tcBorders>
            <w:shd w:val="clear" w:color="auto" w:fill="F2F2F2" w:themeFill="background1" w:themeFillShade="F2"/>
            <w:noWrap/>
            <w:vAlign w:val="bottom"/>
            <w:hideMark/>
          </w:tcPr>
          <w:p w14:paraId="6C77F132" w14:textId="77777777" w:rsidR="00167F11" w:rsidRPr="00DE0914" w:rsidRDefault="00167F11"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(8.483)</w:t>
            </w:r>
          </w:p>
        </w:tc>
        <w:tc>
          <w:tcPr>
            <w:tcW w:w="1573" w:type="dxa"/>
            <w:tcBorders>
              <w:top w:val="single" w:sz="8" w:space="0" w:color="BFBFBF"/>
              <w:left w:val="nil"/>
              <w:bottom w:val="single" w:sz="8" w:space="0" w:color="BFBFBF"/>
              <w:right w:val="single" w:sz="8" w:space="0" w:color="BFBFBF"/>
            </w:tcBorders>
            <w:shd w:val="clear" w:color="auto" w:fill="auto"/>
            <w:noWrap/>
            <w:vAlign w:val="bottom"/>
            <w:hideMark/>
          </w:tcPr>
          <w:p w14:paraId="506CEFCB" w14:textId="77777777" w:rsidR="00167F11" w:rsidRPr="00DE0914" w:rsidRDefault="00167F11"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(2.631)</w:t>
            </w:r>
          </w:p>
        </w:tc>
      </w:tr>
      <w:tr w:rsidR="00167F11" w:rsidRPr="00DE0914" w14:paraId="4EBA009C" w14:textId="77777777" w:rsidTr="006165F7">
        <w:trPr>
          <w:trHeight w:val="275"/>
        </w:trPr>
        <w:tc>
          <w:tcPr>
            <w:tcW w:w="5934" w:type="dxa"/>
            <w:tcBorders>
              <w:top w:val="nil"/>
              <w:left w:val="nil"/>
              <w:bottom w:val="single" w:sz="8" w:space="0" w:color="BFBFBF"/>
              <w:right w:val="single" w:sz="8" w:space="0" w:color="BFBFBF"/>
            </w:tcBorders>
            <w:shd w:val="clear" w:color="000000" w:fill="FFFFFF"/>
            <w:vAlign w:val="center"/>
            <w:hideMark/>
          </w:tcPr>
          <w:p w14:paraId="48C387C9" w14:textId="77777777" w:rsidR="00167F11" w:rsidRPr="00DE0914" w:rsidRDefault="00167F11"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Other comprehensive income (loss), net of tax</w:t>
            </w:r>
          </w:p>
        </w:tc>
        <w:tc>
          <w:tcPr>
            <w:tcW w:w="1707" w:type="dxa"/>
            <w:tcBorders>
              <w:top w:val="nil"/>
              <w:left w:val="nil"/>
              <w:bottom w:val="single" w:sz="8" w:space="0" w:color="BFBFBF"/>
              <w:right w:val="single" w:sz="8" w:space="0" w:color="BFBFBF"/>
            </w:tcBorders>
            <w:shd w:val="clear" w:color="auto" w:fill="F2F2F2" w:themeFill="background1" w:themeFillShade="F2"/>
            <w:noWrap/>
            <w:vAlign w:val="bottom"/>
            <w:hideMark/>
          </w:tcPr>
          <w:p w14:paraId="103D03DD" w14:textId="77777777" w:rsidR="00167F11" w:rsidRPr="00DE0914" w:rsidRDefault="00167F11"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(8.483)</w:t>
            </w:r>
          </w:p>
        </w:tc>
        <w:tc>
          <w:tcPr>
            <w:tcW w:w="1573" w:type="dxa"/>
            <w:tcBorders>
              <w:top w:val="nil"/>
              <w:left w:val="nil"/>
              <w:bottom w:val="single" w:sz="8" w:space="0" w:color="BFBFBF"/>
              <w:right w:val="single" w:sz="8" w:space="0" w:color="BFBFBF"/>
            </w:tcBorders>
            <w:shd w:val="clear" w:color="auto" w:fill="auto"/>
            <w:noWrap/>
            <w:vAlign w:val="bottom"/>
            <w:hideMark/>
          </w:tcPr>
          <w:p w14:paraId="0FC9E099" w14:textId="77777777" w:rsidR="00167F11" w:rsidRPr="00DE0914" w:rsidRDefault="00167F11"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(2.631)</w:t>
            </w:r>
          </w:p>
        </w:tc>
      </w:tr>
      <w:tr w:rsidR="00167F11" w:rsidRPr="00DE0914" w14:paraId="263728E2" w14:textId="77777777" w:rsidTr="006165F7">
        <w:trPr>
          <w:trHeight w:val="275"/>
        </w:trPr>
        <w:tc>
          <w:tcPr>
            <w:tcW w:w="5934" w:type="dxa"/>
            <w:tcBorders>
              <w:top w:val="nil"/>
              <w:left w:val="nil"/>
              <w:bottom w:val="single" w:sz="8" w:space="0" w:color="BFBFBF"/>
              <w:right w:val="single" w:sz="8" w:space="0" w:color="BFBFBF"/>
            </w:tcBorders>
            <w:shd w:val="clear" w:color="000000" w:fill="FFFFFF"/>
            <w:vAlign w:val="center"/>
            <w:hideMark/>
          </w:tcPr>
          <w:p w14:paraId="50B62EE5" w14:textId="77777777" w:rsidR="00167F11" w:rsidRPr="00DE0914" w:rsidRDefault="00167F11"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comprehensive income for the year</w:t>
            </w:r>
          </w:p>
        </w:tc>
        <w:tc>
          <w:tcPr>
            <w:tcW w:w="1707" w:type="dxa"/>
            <w:tcBorders>
              <w:top w:val="nil"/>
              <w:left w:val="nil"/>
              <w:bottom w:val="single" w:sz="8" w:space="0" w:color="BFBFBF"/>
              <w:right w:val="single" w:sz="8" w:space="0" w:color="BFBFBF"/>
            </w:tcBorders>
            <w:shd w:val="clear" w:color="auto" w:fill="F2F2F2" w:themeFill="background1" w:themeFillShade="F2"/>
            <w:noWrap/>
            <w:vAlign w:val="bottom"/>
            <w:hideMark/>
          </w:tcPr>
          <w:p w14:paraId="7831F94E" w14:textId="2DBC198A" w:rsidR="00167F11" w:rsidRPr="00DE0914" w:rsidRDefault="00167F11"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40</w:t>
            </w:r>
          </w:p>
        </w:tc>
        <w:tc>
          <w:tcPr>
            <w:tcW w:w="1573" w:type="dxa"/>
            <w:tcBorders>
              <w:top w:val="nil"/>
              <w:left w:val="nil"/>
              <w:bottom w:val="single" w:sz="8" w:space="0" w:color="BFBFBF"/>
              <w:right w:val="single" w:sz="8" w:space="0" w:color="BFBFBF"/>
            </w:tcBorders>
            <w:shd w:val="clear" w:color="auto" w:fill="auto"/>
            <w:noWrap/>
            <w:vAlign w:val="bottom"/>
            <w:hideMark/>
          </w:tcPr>
          <w:p w14:paraId="303617AE" w14:textId="51D639D0" w:rsidR="00167F11" w:rsidRPr="00DE0914" w:rsidRDefault="006165F7"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6.619</w:t>
            </w:r>
          </w:p>
        </w:tc>
      </w:tr>
    </w:tbl>
    <w:p w14:paraId="57077F13" w14:textId="77777777" w:rsidR="003B26BF" w:rsidRPr="00DE0914" w:rsidRDefault="003B26BF" w:rsidP="003B26BF">
      <w:pPr>
        <w:rPr>
          <w:rFonts w:ascii="Calibri" w:hAnsi="Calibri" w:cstheme="minorHAnsi"/>
          <w:b/>
          <w:color w:val="365F91" w:themeColor="accent1" w:themeShade="BF"/>
          <w:szCs w:val="22"/>
          <w:lang w:val="en-GB"/>
        </w:rPr>
      </w:pPr>
    </w:p>
    <w:p w14:paraId="55A2ED58" w14:textId="77777777" w:rsidR="003B26BF" w:rsidRPr="00DE0914" w:rsidRDefault="003B26BF" w:rsidP="003B26BF">
      <w:pPr>
        <w:rPr>
          <w:rFonts w:ascii="Calibri" w:hAnsi="Calibri" w:cstheme="minorHAnsi"/>
          <w:b/>
          <w:color w:val="365F91" w:themeColor="accent1" w:themeShade="BF"/>
          <w:szCs w:val="22"/>
          <w:lang w:val="en-GB"/>
        </w:rPr>
      </w:pPr>
    </w:p>
    <w:p w14:paraId="667822F5" w14:textId="77777777" w:rsidR="003B26BF" w:rsidRPr="00DE0914" w:rsidRDefault="003B26BF" w:rsidP="003B26BF">
      <w:pPr>
        <w:rPr>
          <w:rFonts w:ascii="Calibri" w:hAnsi="Calibri" w:cstheme="minorHAnsi"/>
          <w:b/>
          <w:color w:val="365F91" w:themeColor="accent1" w:themeShade="BF"/>
          <w:szCs w:val="22"/>
          <w:lang w:val="en-GB"/>
        </w:rPr>
      </w:pPr>
    </w:p>
    <w:p w14:paraId="29E1F09D" w14:textId="77777777" w:rsidR="003B26BF" w:rsidRPr="00DE0914" w:rsidRDefault="003B26BF" w:rsidP="003B26BF">
      <w:pPr>
        <w:rPr>
          <w:rFonts w:ascii="Calibri" w:hAnsi="Calibri" w:cstheme="minorHAnsi"/>
          <w:b/>
          <w:color w:val="365F91" w:themeColor="accent1" w:themeShade="BF"/>
          <w:szCs w:val="22"/>
          <w:lang w:val="en-GB"/>
        </w:rPr>
      </w:pPr>
    </w:p>
    <w:p w14:paraId="5BD8882E" w14:textId="77777777" w:rsidR="003B26BF" w:rsidRPr="00DE0914" w:rsidRDefault="003B26BF" w:rsidP="003B26BF">
      <w:pPr>
        <w:rPr>
          <w:rFonts w:ascii="Calibri" w:hAnsi="Calibri" w:cstheme="minorHAnsi"/>
          <w:b/>
          <w:color w:val="365F91" w:themeColor="accent1" w:themeShade="BF"/>
          <w:szCs w:val="22"/>
          <w:lang w:val="en-GB"/>
        </w:rPr>
      </w:pPr>
    </w:p>
    <w:p w14:paraId="1CED420D" w14:textId="77777777" w:rsidR="003B26BF" w:rsidRPr="00DE0914" w:rsidRDefault="003B26BF" w:rsidP="003B26BF">
      <w:pPr>
        <w:rPr>
          <w:rFonts w:ascii="Calibri" w:hAnsi="Calibri" w:cstheme="minorHAnsi"/>
          <w:b/>
          <w:color w:val="365F91" w:themeColor="accent1" w:themeShade="BF"/>
          <w:szCs w:val="22"/>
          <w:lang w:val="en-GB"/>
        </w:rPr>
      </w:pPr>
    </w:p>
    <w:p w14:paraId="550BB16E" w14:textId="77777777" w:rsidR="003B26BF" w:rsidRPr="00DE0914" w:rsidRDefault="003B26BF" w:rsidP="003B26BF">
      <w:pPr>
        <w:rPr>
          <w:rFonts w:ascii="Calibri" w:hAnsi="Calibri" w:cstheme="minorHAnsi"/>
          <w:b/>
          <w:color w:val="365F91" w:themeColor="accent1" w:themeShade="BF"/>
          <w:szCs w:val="22"/>
          <w:lang w:val="en-GB"/>
        </w:rPr>
      </w:pPr>
    </w:p>
    <w:p w14:paraId="3CA2B874" w14:textId="77777777" w:rsidR="003B26BF" w:rsidRPr="00DE0914" w:rsidRDefault="003B26BF" w:rsidP="003B26BF">
      <w:pPr>
        <w:rPr>
          <w:rFonts w:ascii="Calibri" w:hAnsi="Calibri" w:cstheme="minorHAnsi"/>
          <w:b/>
          <w:color w:val="365F91" w:themeColor="accent1" w:themeShade="BF"/>
          <w:szCs w:val="22"/>
          <w:lang w:val="en-GB"/>
        </w:rPr>
      </w:pPr>
    </w:p>
    <w:p w14:paraId="498B1EC5" w14:textId="77777777" w:rsidR="003B26BF" w:rsidRPr="00DE0914" w:rsidRDefault="003B26BF" w:rsidP="003B26BF">
      <w:pPr>
        <w:rPr>
          <w:rFonts w:ascii="Calibri" w:hAnsi="Calibri" w:cstheme="minorHAnsi"/>
          <w:b/>
          <w:color w:val="365F91" w:themeColor="accent1" w:themeShade="BF"/>
          <w:szCs w:val="22"/>
          <w:lang w:val="en-GB"/>
        </w:rPr>
      </w:pPr>
    </w:p>
    <w:p w14:paraId="7928433B" w14:textId="77777777" w:rsidR="003B26BF" w:rsidRPr="00DE0914" w:rsidRDefault="003B26BF" w:rsidP="003B26BF">
      <w:pPr>
        <w:rPr>
          <w:rFonts w:ascii="Calibri" w:hAnsi="Calibri" w:cstheme="minorHAnsi"/>
          <w:b/>
          <w:color w:val="365F91" w:themeColor="accent1" w:themeShade="BF"/>
          <w:szCs w:val="22"/>
          <w:lang w:val="en-GB"/>
        </w:rPr>
      </w:pPr>
    </w:p>
    <w:p w14:paraId="18A81C35" w14:textId="77777777" w:rsidR="003B26BF" w:rsidRPr="00DE0914" w:rsidRDefault="003B26BF" w:rsidP="003B26BF">
      <w:pPr>
        <w:rPr>
          <w:rFonts w:ascii="Calibri" w:hAnsi="Calibri" w:cstheme="minorHAnsi"/>
          <w:b/>
          <w:color w:val="365F91" w:themeColor="accent1" w:themeShade="BF"/>
          <w:szCs w:val="22"/>
          <w:lang w:val="en-GB"/>
        </w:rPr>
      </w:pPr>
    </w:p>
    <w:p w14:paraId="044ED4C8" w14:textId="77777777" w:rsidR="003B26BF" w:rsidRPr="00DE0914" w:rsidRDefault="003B26BF" w:rsidP="003B26BF">
      <w:pPr>
        <w:rPr>
          <w:rFonts w:ascii="Calibri" w:hAnsi="Calibri" w:cstheme="minorHAnsi"/>
          <w:b/>
          <w:color w:val="365F91" w:themeColor="accent1" w:themeShade="BF"/>
          <w:szCs w:val="22"/>
          <w:lang w:val="en-GB"/>
        </w:rPr>
      </w:pPr>
    </w:p>
    <w:p w14:paraId="5F45A09F" w14:textId="77777777" w:rsidR="003B26BF" w:rsidRPr="00DE0914" w:rsidRDefault="003B26BF" w:rsidP="003B26BF">
      <w:pPr>
        <w:rPr>
          <w:rFonts w:ascii="Calibri" w:hAnsi="Calibri" w:cstheme="minorHAnsi"/>
          <w:b/>
          <w:color w:val="365F91" w:themeColor="accent1" w:themeShade="BF"/>
          <w:szCs w:val="22"/>
          <w:lang w:val="en-GB"/>
        </w:rPr>
      </w:pPr>
    </w:p>
    <w:p w14:paraId="0D2FD4CC" w14:textId="77777777" w:rsidR="003B26BF" w:rsidRPr="00DE0914" w:rsidRDefault="003B26BF" w:rsidP="003B26BF">
      <w:pPr>
        <w:rPr>
          <w:rFonts w:ascii="Calibri" w:hAnsi="Calibri" w:cstheme="minorHAnsi"/>
          <w:b/>
          <w:color w:val="365F91" w:themeColor="accent1" w:themeShade="BF"/>
          <w:szCs w:val="22"/>
          <w:lang w:val="en-GB"/>
        </w:rPr>
      </w:pPr>
    </w:p>
    <w:p w14:paraId="7F035233" w14:textId="77777777" w:rsidR="003B26BF" w:rsidRPr="00DE0914" w:rsidRDefault="003B26BF" w:rsidP="003B26BF">
      <w:pPr>
        <w:rPr>
          <w:rFonts w:ascii="Calibri" w:hAnsi="Calibri" w:cstheme="minorHAnsi"/>
          <w:b/>
          <w:color w:val="365F91" w:themeColor="accent1" w:themeShade="BF"/>
          <w:szCs w:val="22"/>
          <w:lang w:val="en-GB"/>
        </w:rPr>
      </w:pPr>
    </w:p>
    <w:p w14:paraId="3D75624B" w14:textId="77777777" w:rsidR="003B26BF" w:rsidRPr="00DE0914" w:rsidRDefault="003B26BF" w:rsidP="003B26BF">
      <w:pPr>
        <w:rPr>
          <w:rFonts w:ascii="Calibri" w:hAnsi="Calibri" w:cstheme="minorHAnsi"/>
          <w:b/>
          <w:color w:val="365F91" w:themeColor="accent1" w:themeShade="BF"/>
          <w:szCs w:val="22"/>
          <w:lang w:val="en-GB"/>
        </w:rPr>
      </w:pPr>
    </w:p>
    <w:p w14:paraId="5B48A326" w14:textId="77777777" w:rsidR="003B26BF" w:rsidRPr="00DE0914" w:rsidRDefault="003B26BF" w:rsidP="003B26BF">
      <w:pPr>
        <w:rPr>
          <w:rFonts w:ascii="Calibri" w:hAnsi="Calibri" w:cstheme="minorHAnsi"/>
          <w:b/>
          <w:color w:val="365F91" w:themeColor="accent1" w:themeShade="BF"/>
          <w:szCs w:val="22"/>
          <w:lang w:val="en-GB"/>
        </w:rPr>
      </w:pPr>
    </w:p>
    <w:p w14:paraId="0CA7C2B9" w14:textId="77777777" w:rsidR="003B26BF" w:rsidRPr="00DE0914" w:rsidRDefault="003B26BF" w:rsidP="003B26BF">
      <w:pPr>
        <w:rPr>
          <w:rFonts w:ascii="Calibri" w:hAnsi="Calibri" w:cstheme="minorHAnsi"/>
          <w:b/>
          <w:color w:val="365F91" w:themeColor="accent1" w:themeShade="BF"/>
          <w:szCs w:val="22"/>
          <w:lang w:val="en-GB"/>
        </w:rPr>
      </w:pPr>
    </w:p>
    <w:p w14:paraId="1AE5E57D" w14:textId="77777777" w:rsidR="003B26BF" w:rsidRPr="00DE0914" w:rsidRDefault="003B26BF" w:rsidP="003B26BF">
      <w:pPr>
        <w:rPr>
          <w:rFonts w:ascii="Calibri" w:hAnsi="Calibri" w:cstheme="minorHAnsi"/>
          <w:b/>
          <w:color w:val="365F91" w:themeColor="accent1" w:themeShade="BF"/>
          <w:szCs w:val="22"/>
          <w:lang w:val="en-GB"/>
        </w:rPr>
      </w:pPr>
    </w:p>
    <w:p w14:paraId="00A19B52" w14:textId="77777777" w:rsidR="003B26BF" w:rsidRPr="00DE0914" w:rsidRDefault="003B26BF" w:rsidP="003B26BF">
      <w:pPr>
        <w:rPr>
          <w:rFonts w:ascii="Calibri" w:hAnsi="Calibri" w:cstheme="minorHAnsi"/>
          <w:b/>
          <w:color w:val="365F91" w:themeColor="accent1" w:themeShade="BF"/>
          <w:szCs w:val="22"/>
          <w:lang w:val="en-GB"/>
        </w:rPr>
      </w:pPr>
    </w:p>
    <w:p w14:paraId="52D04106" w14:textId="77777777" w:rsidR="003B26BF" w:rsidRPr="00DE0914" w:rsidRDefault="003B26BF" w:rsidP="003B26BF">
      <w:pPr>
        <w:rPr>
          <w:rFonts w:ascii="Calibri" w:hAnsi="Calibri" w:cstheme="minorHAnsi"/>
          <w:b/>
          <w:color w:val="365F91" w:themeColor="accent1" w:themeShade="BF"/>
          <w:szCs w:val="22"/>
          <w:lang w:val="en-GB"/>
        </w:rPr>
      </w:pPr>
    </w:p>
    <w:p w14:paraId="1A5B71C7" w14:textId="77777777" w:rsidR="003B26BF" w:rsidRPr="00DE0914" w:rsidRDefault="003B26BF" w:rsidP="003B26BF">
      <w:pPr>
        <w:rPr>
          <w:rFonts w:ascii="Calibri" w:hAnsi="Calibri" w:cstheme="minorHAnsi"/>
          <w:b/>
          <w:color w:val="365F91" w:themeColor="accent1" w:themeShade="BF"/>
          <w:szCs w:val="22"/>
          <w:lang w:val="en-GB"/>
        </w:rPr>
      </w:pPr>
    </w:p>
    <w:p w14:paraId="4128A221" w14:textId="77777777" w:rsidR="003B26BF" w:rsidRPr="00DE0914" w:rsidRDefault="003B26BF" w:rsidP="003B26BF">
      <w:pPr>
        <w:rPr>
          <w:rFonts w:ascii="Calibri" w:hAnsi="Calibri" w:cstheme="minorHAnsi"/>
          <w:b/>
          <w:color w:val="365F91" w:themeColor="accent1" w:themeShade="BF"/>
          <w:szCs w:val="22"/>
          <w:lang w:val="en-GB"/>
        </w:rPr>
      </w:pPr>
    </w:p>
    <w:p w14:paraId="4EE0A6BA" w14:textId="77777777" w:rsidR="003B26BF" w:rsidRPr="00DE0914" w:rsidRDefault="003B26BF" w:rsidP="003B26BF">
      <w:pPr>
        <w:rPr>
          <w:rFonts w:ascii="Calibri" w:hAnsi="Calibri" w:cstheme="minorHAnsi"/>
          <w:b/>
          <w:color w:val="365F91" w:themeColor="accent1" w:themeShade="BF"/>
          <w:szCs w:val="22"/>
          <w:lang w:val="en-GB"/>
        </w:rPr>
      </w:pPr>
    </w:p>
    <w:p w14:paraId="1B690623" w14:textId="77777777" w:rsidR="003B26BF" w:rsidRPr="00DE0914" w:rsidRDefault="003B26BF" w:rsidP="003B26BF">
      <w:pPr>
        <w:rPr>
          <w:rFonts w:ascii="Calibri" w:hAnsi="Calibri" w:cstheme="minorHAnsi"/>
          <w:b/>
          <w:color w:val="365F91" w:themeColor="accent1" w:themeShade="BF"/>
          <w:szCs w:val="22"/>
          <w:lang w:val="en-GB"/>
        </w:rPr>
      </w:pPr>
    </w:p>
    <w:p w14:paraId="271D3B04" w14:textId="77777777" w:rsidR="003B26BF" w:rsidRPr="00DE0914" w:rsidRDefault="003B26BF" w:rsidP="003B26BF">
      <w:pPr>
        <w:rPr>
          <w:rFonts w:ascii="Calibri" w:hAnsi="Calibri" w:cstheme="minorHAnsi"/>
          <w:b/>
          <w:color w:val="365F91" w:themeColor="accent1" w:themeShade="BF"/>
          <w:szCs w:val="22"/>
          <w:lang w:val="en-GB"/>
        </w:rPr>
      </w:pPr>
    </w:p>
    <w:p w14:paraId="276DDB2D" w14:textId="77777777" w:rsidR="003B26BF" w:rsidRPr="00DE0914" w:rsidRDefault="003B26BF" w:rsidP="003B26BF">
      <w:pPr>
        <w:rPr>
          <w:rFonts w:ascii="Calibri" w:hAnsi="Calibri" w:cstheme="minorHAnsi"/>
          <w:b/>
          <w:color w:val="365F91" w:themeColor="accent1" w:themeShade="BF"/>
          <w:szCs w:val="22"/>
          <w:lang w:val="en-GB"/>
        </w:rPr>
      </w:pPr>
    </w:p>
    <w:p w14:paraId="3C7E1534" w14:textId="77777777" w:rsidR="003B26BF" w:rsidRPr="00DE0914" w:rsidRDefault="003B26BF" w:rsidP="003B26BF">
      <w:pPr>
        <w:rPr>
          <w:rFonts w:ascii="Calibri" w:hAnsi="Calibri" w:cstheme="minorHAnsi"/>
          <w:b/>
          <w:color w:val="365F91" w:themeColor="accent1" w:themeShade="BF"/>
          <w:szCs w:val="22"/>
          <w:lang w:val="en-GB"/>
        </w:rPr>
      </w:pPr>
    </w:p>
    <w:p w14:paraId="4C004D26" w14:textId="77777777" w:rsidR="003B26BF" w:rsidRPr="00DE0914" w:rsidRDefault="003B26BF" w:rsidP="003B26BF">
      <w:pPr>
        <w:rPr>
          <w:rFonts w:ascii="Calibri" w:hAnsi="Calibri" w:cstheme="minorHAnsi"/>
          <w:b/>
          <w:color w:val="365F91" w:themeColor="accent1" w:themeShade="BF"/>
          <w:szCs w:val="22"/>
          <w:lang w:val="en-GB"/>
        </w:rPr>
      </w:pPr>
    </w:p>
    <w:p w14:paraId="429C7BCD" w14:textId="778E40BB" w:rsidR="003B26BF" w:rsidRPr="00DE0914" w:rsidRDefault="003B26BF" w:rsidP="003B26BF">
      <w:pPr>
        <w:rPr>
          <w:rFonts w:ascii="Calibri" w:hAnsi="Calibri" w:cstheme="minorHAnsi"/>
          <w:b/>
          <w:color w:val="365F91" w:themeColor="accent1" w:themeShade="BF"/>
          <w:szCs w:val="22"/>
          <w:lang w:val="en-GB"/>
        </w:rPr>
      </w:pPr>
    </w:p>
    <w:p w14:paraId="69428201" w14:textId="77777777" w:rsidR="00FE2552" w:rsidRPr="00DE0914" w:rsidRDefault="00FE2552" w:rsidP="00FE2552">
      <w:pPr>
        <w:spacing w:before="20" w:after="20"/>
        <w:rPr>
          <w:rFonts w:ascii="Calibri Light" w:eastAsiaTheme="majorEastAsia" w:hAnsi="Calibri Light" w:cstheme="majorBidi"/>
          <w:b/>
          <w:color w:val="59595B"/>
          <w:szCs w:val="28"/>
          <w:lang w:val="en-GB" w:eastAsia="zh-CN"/>
        </w:rPr>
      </w:pPr>
      <w:r w:rsidRPr="00DE0914">
        <w:rPr>
          <w:rFonts w:ascii="Calibri Light" w:eastAsiaTheme="majorEastAsia" w:hAnsi="Calibri Light" w:cstheme="majorBidi"/>
          <w:b/>
          <w:color w:val="59595B"/>
          <w:szCs w:val="28"/>
          <w:lang w:val="en-GB" w:eastAsia="zh-CN"/>
        </w:rPr>
        <w:lastRenderedPageBreak/>
        <w:t xml:space="preserve">Condensed Consolidated Balance Sheet </w:t>
      </w:r>
    </w:p>
    <w:p w14:paraId="3782412C" w14:textId="77777777" w:rsidR="00FE2552" w:rsidRPr="00DE0914" w:rsidRDefault="00FE2552" w:rsidP="00FE2552">
      <w:pPr>
        <w:spacing w:before="20" w:after="20" w:line="276" w:lineRule="auto"/>
        <w:jc w:val="both"/>
        <w:rPr>
          <w:rFonts w:asciiTheme="minorHAnsi" w:hAnsiTheme="minorHAnsi"/>
          <w:lang w:val="en-GB"/>
        </w:rPr>
      </w:pPr>
      <w:r w:rsidRPr="00DE0914">
        <w:rPr>
          <w:rFonts w:ascii="Calibri" w:eastAsia="Calibri" w:hAnsi="Calibri" w:cs="Calibri"/>
          <w:color w:val="59595B"/>
        </w:rPr>
        <w:t>For the period ended 31 March</w:t>
      </w:r>
    </w:p>
    <w:tbl>
      <w:tblPr>
        <w:tblW w:w="9531" w:type="dxa"/>
        <w:tblLook w:val="04A0" w:firstRow="1" w:lastRow="0" w:firstColumn="1" w:lastColumn="0" w:noHBand="0" w:noVBand="1"/>
      </w:tblPr>
      <w:tblGrid>
        <w:gridCol w:w="4907"/>
        <w:gridCol w:w="2382"/>
        <w:gridCol w:w="2242"/>
      </w:tblGrid>
      <w:tr w:rsidR="00FE2552" w:rsidRPr="00DE0914" w14:paraId="7FFEFC77" w14:textId="77777777" w:rsidTr="00B07AD0">
        <w:trPr>
          <w:trHeight w:val="286"/>
        </w:trPr>
        <w:tc>
          <w:tcPr>
            <w:tcW w:w="4907" w:type="dxa"/>
            <w:tcBorders>
              <w:top w:val="nil"/>
              <w:left w:val="nil"/>
              <w:bottom w:val="single" w:sz="8" w:space="0" w:color="BFBFBF"/>
              <w:right w:val="nil"/>
            </w:tcBorders>
            <w:shd w:val="clear" w:color="auto" w:fill="F2F2F2" w:themeFill="background1" w:themeFillShade="F2"/>
            <w:vAlign w:val="center"/>
            <w:hideMark/>
          </w:tcPr>
          <w:p w14:paraId="1B0B028A" w14:textId="77777777" w:rsidR="00FE2552" w:rsidRPr="00DE0914" w:rsidRDefault="00FE2552" w:rsidP="00B07AD0">
            <w:pPr>
              <w:spacing w:before="20" w:afterLines="20" w:after="48"/>
              <w:rPr>
                <w:rFonts w:ascii="Calibri" w:hAnsi="Calibri" w:cs="Calibri"/>
                <w:color w:val="59595B"/>
                <w:kern w:val="0"/>
                <w:sz w:val="20"/>
                <w:szCs w:val="20"/>
                <w:lang w:val="en-GB" w:eastAsia="en-GB"/>
              </w:rPr>
            </w:pPr>
            <w:r w:rsidRPr="00DE0914">
              <w:rPr>
                <w:rFonts w:ascii="Calibri" w:hAnsi="Calibri" w:cs="Calibri"/>
                <w:i/>
                <w:iCs/>
                <w:color w:val="59595B"/>
                <w:kern w:val="0"/>
                <w:sz w:val="20"/>
                <w:szCs w:val="20"/>
                <w:lang w:val="en-GB" w:eastAsia="en-GB"/>
              </w:rPr>
              <w:t>Amounts in $ ‘000</w:t>
            </w:r>
          </w:p>
        </w:tc>
        <w:tc>
          <w:tcPr>
            <w:tcW w:w="2382" w:type="dxa"/>
            <w:tcBorders>
              <w:top w:val="nil"/>
              <w:left w:val="nil"/>
              <w:bottom w:val="single" w:sz="8" w:space="0" w:color="BFBFBF"/>
              <w:right w:val="nil"/>
            </w:tcBorders>
            <w:shd w:val="clear" w:color="auto" w:fill="F2F2F2" w:themeFill="background1" w:themeFillShade="F2"/>
            <w:noWrap/>
            <w:vAlign w:val="center"/>
            <w:hideMark/>
          </w:tcPr>
          <w:p w14:paraId="106D1B89"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 March 31, 2021 </w:t>
            </w:r>
          </w:p>
        </w:tc>
        <w:tc>
          <w:tcPr>
            <w:tcW w:w="2242" w:type="dxa"/>
            <w:tcBorders>
              <w:top w:val="nil"/>
              <w:left w:val="nil"/>
              <w:bottom w:val="single" w:sz="8" w:space="0" w:color="BFBFBF"/>
              <w:right w:val="nil"/>
            </w:tcBorders>
            <w:shd w:val="clear" w:color="auto" w:fill="F2F2F2" w:themeFill="background1" w:themeFillShade="F2"/>
            <w:vAlign w:val="center"/>
            <w:hideMark/>
          </w:tcPr>
          <w:p w14:paraId="44C62179"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December 31, 2020</w:t>
            </w:r>
          </w:p>
        </w:tc>
      </w:tr>
      <w:tr w:rsidR="00FE2552" w:rsidRPr="00DE0914" w14:paraId="082A0417" w14:textId="77777777" w:rsidTr="00B07AD0">
        <w:trPr>
          <w:trHeight w:val="145"/>
        </w:trPr>
        <w:tc>
          <w:tcPr>
            <w:tcW w:w="4907" w:type="dxa"/>
            <w:tcBorders>
              <w:top w:val="nil"/>
              <w:left w:val="nil"/>
              <w:bottom w:val="nil"/>
              <w:right w:val="single" w:sz="8" w:space="0" w:color="BFBFBF"/>
            </w:tcBorders>
            <w:shd w:val="clear" w:color="000000" w:fill="FFFFFF"/>
            <w:vAlign w:val="center"/>
            <w:hideMark/>
          </w:tcPr>
          <w:p w14:paraId="74285571"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Non-current assets</w:t>
            </w:r>
          </w:p>
        </w:tc>
        <w:tc>
          <w:tcPr>
            <w:tcW w:w="2382" w:type="dxa"/>
            <w:tcBorders>
              <w:top w:val="nil"/>
              <w:left w:val="nil"/>
              <w:bottom w:val="nil"/>
              <w:right w:val="single" w:sz="8" w:space="0" w:color="BFBFBF"/>
            </w:tcBorders>
            <w:shd w:val="clear" w:color="auto" w:fill="F2F2F2" w:themeFill="background1" w:themeFillShade="F2"/>
            <w:vAlign w:val="center"/>
            <w:hideMark/>
          </w:tcPr>
          <w:p w14:paraId="4A62C5C3"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w:t>
            </w:r>
          </w:p>
        </w:tc>
        <w:tc>
          <w:tcPr>
            <w:tcW w:w="2242" w:type="dxa"/>
            <w:tcBorders>
              <w:top w:val="nil"/>
              <w:left w:val="nil"/>
              <w:bottom w:val="nil"/>
              <w:right w:val="single" w:sz="8" w:space="0" w:color="BFBFBF"/>
            </w:tcBorders>
            <w:shd w:val="clear" w:color="000000" w:fill="FFFFFF"/>
            <w:vAlign w:val="center"/>
            <w:hideMark/>
          </w:tcPr>
          <w:p w14:paraId="4A49B177"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w:t>
            </w:r>
          </w:p>
        </w:tc>
      </w:tr>
      <w:tr w:rsidR="00FE2552" w:rsidRPr="00DE0914" w14:paraId="2F805BE1"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4EEBA25F"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Intangible assets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40C1034F"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89.943 </w:t>
            </w:r>
          </w:p>
        </w:tc>
        <w:tc>
          <w:tcPr>
            <w:tcW w:w="2242" w:type="dxa"/>
            <w:tcBorders>
              <w:top w:val="nil"/>
              <w:left w:val="nil"/>
              <w:bottom w:val="nil"/>
              <w:right w:val="single" w:sz="8" w:space="0" w:color="BFBFBF"/>
            </w:tcBorders>
            <w:shd w:val="clear" w:color="auto" w:fill="auto"/>
            <w:noWrap/>
            <w:vAlign w:val="bottom"/>
            <w:hideMark/>
          </w:tcPr>
          <w:p w14:paraId="47A8BDA6"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94.083 </w:t>
            </w:r>
          </w:p>
        </w:tc>
      </w:tr>
      <w:tr w:rsidR="00FE2552" w:rsidRPr="00DE0914" w14:paraId="7C37881C"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6A5180A8"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Property, plant and equipment</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53C19688"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13.093 </w:t>
            </w:r>
          </w:p>
        </w:tc>
        <w:tc>
          <w:tcPr>
            <w:tcW w:w="2242" w:type="dxa"/>
            <w:tcBorders>
              <w:top w:val="nil"/>
              <w:left w:val="nil"/>
              <w:bottom w:val="nil"/>
              <w:right w:val="single" w:sz="8" w:space="0" w:color="BFBFBF"/>
            </w:tcBorders>
            <w:shd w:val="clear" w:color="auto" w:fill="auto"/>
            <w:noWrap/>
            <w:vAlign w:val="bottom"/>
            <w:hideMark/>
          </w:tcPr>
          <w:p w14:paraId="44B8AFA8"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12.226 </w:t>
            </w:r>
          </w:p>
        </w:tc>
      </w:tr>
      <w:tr w:rsidR="00FE2552" w:rsidRPr="00DE0914" w14:paraId="47638E24"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796D9055"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Right-of-use assets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7B46F7F3"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8.828 </w:t>
            </w:r>
          </w:p>
        </w:tc>
        <w:tc>
          <w:tcPr>
            <w:tcW w:w="2242" w:type="dxa"/>
            <w:tcBorders>
              <w:top w:val="nil"/>
              <w:left w:val="nil"/>
              <w:bottom w:val="nil"/>
              <w:right w:val="single" w:sz="8" w:space="0" w:color="BFBFBF"/>
            </w:tcBorders>
            <w:shd w:val="clear" w:color="auto" w:fill="auto"/>
            <w:noWrap/>
            <w:vAlign w:val="bottom"/>
            <w:hideMark/>
          </w:tcPr>
          <w:p w14:paraId="6CA314D8"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9.427 </w:t>
            </w:r>
          </w:p>
        </w:tc>
      </w:tr>
      <w:tr w:rsidR="00FE2552" w:rsidRPr="00DE0914" w14:paraId="35C51E38"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5150D5AA"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Deferred tax assets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2521CBC0"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27.559 </w:t>
            </w:r>
          </w:p>
        </w:tc>
        <w:tc>
          <w:tcPr>
            <w:tcW w:w="2242" w:type="dxa"/>
            <w:tcBorders>
              <w:top w:val="nil"/>
              <w:left w:val="nil"/>
              <w:bottom w:val="nil"/>
              <w:right w:val="single" w:sz="8" w:space="0" w:color="BFBFBF"/>
            </w:tcBorders>
            <w:shd w:val="clear" w:color="auto" w:fill="auto"/>
            <w:noWrap/>
            <w:vAlign w:val="bottom"/>
            <w:hideMark/>
          </w:tcPr>
          <w:p w14:paraId="1C925B4B"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31.877 </w:t>
            </w:r>
          </w:p>
        </w:tc>
      </w:tr>
      <w:tr w:rsidR="00FE2552" w:rsidRPr="00DE0914" w14:paraId="7E62EAE9"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6625193E"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Investment accounted for using the equity method</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384643A1"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6.720 </w:t>
            </w:r>
          </w:p>
        </w:tc>
        <w:tc>
          <w:tcPr>
            <w:tcW w:w="2242" w:type="dxa"/>
            <w:tcBorders>
              <w:top w:val="nil"/>
              <w:left w:val="nil"/>
              <w:bottom w:val="nil"/>
              <w:right w:val="single" w:sz="8" w:space="0" w:color="BFBFBF"/>
            </w:tcBorders>
            <w:shd w:val="clear" w:color="auto" w:fill="auto"/>
            <w:noWrap/>
            <w:vAlign w:val="bottom"/>
            <w:hideMark/>
          </w:tcPr>
          <w:p w14:paraId="7A9D44BC"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7.118 </w:t>
            </w:r>
          </w:p>
        </w:tc>
      </w:tr>
      <w:tr w:rsidR="00FE2552" w:rsidRPr="00DE0914" w14:paraId="759511EE"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33DAEE59"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Restricted cash</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70F68FFD"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863 </w:t>
            </w:r>
          </w:p>
        </w:tc>
        <w:tc>
          <w:tcPr>
            <w:tcW w:w="2242" w:type="dxa"/>
            <w:tcBorders>
              <w:top w:val="nil"/>
              <w:left w:val="nil"/>
              <w:bottom w:val="nil"/>
              <w:right w:val="single" w:sz="8" w:space="0" w:color="BFBFBF"/>
            </w:tcBorders>
            <w:shd w:val="clear" w:color="auto" w:fill="auto"/>
            <w:noWrap/>
            <w:vAlign w:val="bottom"/>
            <w:hideMark/>
          </w:tcPr>
          <w:p w14:paraId="3DFEDDF0"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510 </w:t>
            </w:r>
          </w:p>
        </w:tc>
      </w:tr>
      <w:tr w:rsidR="00FE2552" w:rsidRPr="00DE0914" w14:paraId="199C3737"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72DDDE2E"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non-current assets</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vAlign w:val="bottom"/>
            <w:hideMark/>
          </w:tcPr>
          <w:p w14:paraId="44A17B54"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147.006 </w:t>
            </w:r>
          </w:p>
        </w:tc>
        <w:tc>
          <w:tcPr>
            <w:tcW w:w="2242" w:type="dxa"/>
            <w:tcBorders>
              <w:top w:val="single" w:sz="8" w:space="0" w:color="BFBFBF"/>
              <w:left w:val="nil"/>
              <w:bottom w:val="single" w:sz="8" w:space="0" w:color="BFBFBF"/>
              <w:right w:val="single" w:sz="8" w:space="0" w:color="BFBFBF"/>
            </w:tcBorders>
            <w:shd w:val="clear" w:color="auto" w:fill="auto"/>
            <w:noWrap/>
            <w:vAlign w:val="bottom"/>
            <w:hideMark/>
          </w:tcPr>
          <w:p w14:paraId="02051FA9"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155.241</w:t>
            </w:r>
          </w:p>
        </w:tc>
      </w:tr>
      <w:tr w:rsidR="00FE2552" w:rsidRPr="00DE0914" w14:paraId="4A04D84F"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18FF01E4"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Current assets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09F84832"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p>
        </w:tc>
        <w:tc>
          <w:tcPr>
            <w:tcW w:w="2242" w:type="dxa"/>
            <w:tcBorders>
              <w:top w:val="nil"/>
              <w:left w:val="nil"/>
              <w:bottom w:val="nil"/>
              <w:right w:val="single" w:sz="8" w:space="0" w:color="BFBFBF"/>
            </w:tcBorders>
            <w:shd w:val="clear" w:color="auto" w:fill="auto"/>
            <w:noWrap/>
            <w:vAlign w:val="bottom"/>
            <w:hideMark/>
          </w:tcPr>
          <w:p w14:paraId="14F65AC4"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w:t>
            </w:r>
          </w:p>
        </w:tc>
      </w:tr>
      <w:tr w:rsidR="00FE2552" w:rsidRPr="00DE0914" w14:paraId="7EB74D93" w14:textId="77777777" w:rsidTr="00B07AD0">
        <w:trPr>
          <w:trHeight w:val="145"/>
        </w:trPr>
        <w:tc>
          <w:tcPr>
            <w:tcW w:w="4907" w:type="dxa"/>
            <w:tcBorders>
              <w:top w:val="nil"/>
              <w:left w:val="nil"/>
              <w:bottom w:val="nil"/>
              <w:right w:val="single" w:sz="8" w:space="0" w:color="BFBFBF"/>
            </w:tcBorders>
            <w:shd w:val="clear" w:color="000000" w:fill="FFFFFF"/>
            <w:vAlign w:val="center"/>
            <w:hideMark/>
          </w:tcPr>
          <w:p w14:paraId="36EB3700"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Inventories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78A9CED7"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21.765 </w:t>
            </w:r>
          </w:p>
        </w:tc>
        <w:tc>
          <w:tcPr>
            <w:tcW w:w="2242" w:type="dxa"/>
            <w:tcBorders>
              <w:top w:val="nil"/>
              <w:left w:val="nil"/>
              <w:bottom w:val="nil"/>
              <w:right w:val="single" w:sz="8" w:space="0" w:color="BFBFBF"/>
            </w:tcBorders>
            <w:shd w:val="clear" w:color="auto" w:fill="auto"/>
            <w:noWrap/>
            <w:vAlign w:val="bottom"/>
            <w:hideMark/>
          </w:tcPr>
          <w:p w14:paraId="25711820"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21.157 </w:t>
            </w:r>
          </w:p>
        </w:tc>
      </w:tr>
      <w:tr w:rsidR="00FE2552" w:rsidRPr="00DE0914" w14:paraId="4C5CF78E"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59280B51"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Trade and other receivables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704719A2"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32.941 </w:t>
            </w:r>
          </w:p>
        </w:tc>
        <w:tc>
          <w:tcPr>
            <w:tcW w:w="2242" w:type="dxa"/>
            <w:tcBorders>
              <w:top w:val="nil"/>
              <w:left w:val="nil"/>
              <w:bottom w:val="nil"/>
              <w:right w:val="single" w:sz="8" w:space="0" w:color="BFBFBF"/>
            </w:tcBorders>
            <w:shd w:val="clear" w:color="auto" w:fill="auto"/>
            <w:noWrap/>
            <w:vAlign w:val="bottom"/>
            <w:hideMark/>
          </w:tcPr>
          <w:p w14:paraId="72AF5BAD"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35.902 </w:t>
            </w:r>
          </w:p>
        </w:tc>
      </w:tr>
      <w:tr w:rsidR="00FE2552" w:rsidRPr="00DE0914" w14:paraId="17612660"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2591D83B"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Restricted cash</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67211A82"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962 </w:t>
            </w:r>
          </w:p>
        </w:tc>
        <w:tc>
          <w:tcPr>
            <w:tcW w:w="2242" w:type="dxa"/>
            <w:tcBorders>
              <w:top w:val="nil"/>
              <w:left w:val="nil"/>
              <w:bottom w:val="nil"/>
              <w:right w:val="single" w:sz="8" w:space="0" w:color="BFBFBF"/>
            </w:tcBorders>
            <w:shd w:val="clear" w:color="auto" w:fill="auto"/>
            <w:noWrap/>
            <w:vAlign w:val="bottom"/>
            <w:hideMark/>
          </w:tcPr>
          <w:p w14:paraId="7C02ED93"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995 </w:t>
            </w:r>
          </w:p>
        </w:tc>
      </w:tr>
      <w:tr w:rsidR="00FE2552" w:rsidRPr="00DE0914" w14:paraId="31FF11BB"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050A0207"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Cash and cash equivalents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6BFC6F27"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206.625 </w:t>
            </w:r>
          </w:p>
        </w:tc>
        <w:tc>
          <w:tcPr>
            <w:tcW w:w="2242" w:type="dxa"/>
            <w:tcBorders>
              <w:top w:val="nil"/>
              <w:left w:val="nil"/>
              <w:bottom w:val="single" w:sz="8" w:space="0" w:color="BFBFBF"/>
              <w:right w:val="single" w:sz="8" w:space="0" w:color="BFBFBF"/>
            </w:tcBorders>
            <w:shd w:val="clear" w:color="auto" w:fill="auto"/>
            <w:noWrap/>
            <w:vAlign w:val="bottom"/>
            <w:hideMark/>
          </w:tcPr>
          <w:p w14:paraId="4E41163D"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205.159 </w:t>
            </w:r>
          </w:p>
        </w:tc>
      </w:tr>
      <w:tr w:rsidR="00FE2552" w:rsidRPr="00DE0914" w14:paraId="0B1803B6"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2157F82B"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current assets</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vAlign w:val="bottom"/>
            <w:hideMark/>
          </w:tcPr>
          <w:p w14:paraId="46D85D2B"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262.293 </w:t>
            </w:r>
          </w:p>
        </w:tc>
        <w:tc>
          <w:tcPr>
            <w:tcW w:w="2242" w:type="dxa"/>
            <w:tcBorders>
              <w:top w:val="nil"/>
              <w:left w:val="nil"/>
              <w:bottom w:val="single" w:sz="8" w:space="0" w:color="BFBFBF"/>
              <w:right w:val="single" w:sz="8" w:space="0" w:color="BFBFBF"/>
            </w:tcBorders>
            <w:shd w:val="clear" w:color="auto" w:fill="auto"/>
            <w:noWrap/>
            <w:vAlign w:val="bottom"/>
            <w:hideMark/>
          </w:tcPr>
          <w:p w14:paraId="757B0266"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263.213 </w:t>
            </w:r>
          </w:p>
        </w:tc>
      </w:tr>
      <w:tr w:rsidR="00FE2552" w:rsidRPr="00DE0914" w14:paraId="3C8FE1FF" w14:textId="77777777" w:rsidTr="00B07AD0">
        <w:trPr>
          <w:trHeight w:val="190"/>
        </w:trPr>
        <w:tc>
          <w:tcPr>
            <w:tcW w:w="4907" w:type="dxa"/>
            <w:tcBorders>
              <w:top w:val="nil"/>
              <w:left w:val="nil"/>
              <w:bottom w:val="single" w:sz="8" w:space="0" w:color="BFBFBF"/>
              <w:right w:val="single" w:sz="8" w:space="0" w:color="BFBFBF"/>
            </w:tcBorders>
            <w:shd w:val="clear" w:color="auto" w:fill="F2F2F2" w:themeFill="background1" w:themeFillShade="F2"/>
            <w:vAlign w:val="center"/>
            <w:hideMark/>
          </w:tcPr>
          <w:p w14:paraId="33530BF3"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assets</w:t>
            </w:r>
          </w:p>
        </w:tc>
        <w:tc>
          <w:tcPr>
            <w:tcW w:w="2382" w:type="dxa"/>
            <w:tcBorders>
              <w:top w:val="nil"/>
              <w:left w:val="nil"/>
              <w:bottom w:val="single" w:sz="8" w:space="0" w:color="BFBFBF"/>
              <w:right w:val="single" w:sz="8" w:space="0" w:color="BFBFBF"/>
            </w:tcBorders>
            <w:shd w:val="clear" w:color="auto" w:fill="F2F2F2" w:themeFill="background1" w:themeFillShade="F2"/>
            <w:noWrap/>
            <w:vAlign w:val="center"/>
            <w:hideMark/>
          </w:tcPr>
          <w:p w14:paraId="13FE30E9"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409.299 </w:t>
            </w:r>
          </w:p>
        </w:tc>
        <w:tc>
          <w:tcPr>
            <w:tcW w:w="2242" w:type="dxa"/>
            <w:tcBorders>
              <w:top w:val="nil"/>
              <w:left w:val="nil"/>
              <w:bottom w:val="single" w:sz="8" w:space="0" w:color="BFBFBF"/>
              <w:right w:val="single" w:sz="8" w:space="0" w:color="BFBFBF"/>
            </w:tcBorders>
            <w:shd w:val="clear" w:color="auto" w:fill="F2F2F2" w:themeFill="background1" w:themeFillShade="F2"/>
            <w:noWrap/>
            <w:vAlign w:val="bottom"/>
            <w:hideMark/>
          </w:tcPr>
          <w:p w14:paraId="19A72700"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418.453 </w:t>
            </w:r>
          </w:p>
        </w:tc>
      </w:tr>
      <w:tr w:rsidR="00FE2552" w:rsidRPr="00DE0914" w14:paraId="281390A5" w14:textId="77777777" w:rsidTr="00B07AD0">
        <w:trPr>
          <w:trHeight w:val="162"/>
        </w:trPr>
        <w:tc>
          <w:tcPr>
            <w:tcW w:w="4907" w:type="dxa"/>
            <w:tcBorders>
              <w:top w:val="nil"/>
              <w:left w:val="nil"/>
              <w:bottom w:val="single" w:sz="8" w:space="0" w:color="BFBFBF"/>
              <w:right w:val="nil"/>
            </w:tcBorders>
            <w:shd w:val="clear" w:color="000000" w:fill="FFFFFF"/>
            <w:vAlign w:val="center"/>
            <w:hideMark/>
          </w:tcPr>
          <w:p w14:paraId="76DDD9E9"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p>
        </w:tc>
        <w:tc>
          <w:tcPr>
            <w:tcW w:w="2382" w:type="dxa"/>
            <w:tcBorders>
              <w:top w:val="nil"/>
              <w:left w:val="nil"/>
              <w:bottom w:val="single" w:sz="8" w:space="0" w:color="BFBFBF"/>
              <w:right w:val="nil"/>
            </w:tcBorders>
            <w:shd w:val="clear" w:color="auto" w:fill="FFFFFF" w:themeFill="background1"/>
            <w:noWrap/>
            <w:vAlign w:val="bottom"/>
            <w:hideMark/>
          </w:tcPr>
          <w:p w14:paraId="37FDBD86"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p>
        </w:tc>
        <w:tc>
          <w:tcPr>
            <w:tcW w:w="2242" w:type="dxa"/>
            <w:tcBorders>
              <w:top w:val="nil"/>
              <w:left w:val="nil"/>
              <w:bottom w:val="single" w:sz="8" w:space="0" w:color="BFBFBF"/>
              <w:right w:val="nil"/>
            </w:tcBorders>
            <w:shd w:val="clear" w:color="auto" w:fill="FFFFFF" w:themeFill="background1"/>
            <w:noWrap/>
            <w:vAlign w:val="bottom"/>
            <w:hideMark/>
          </w:tcPr>
          <w:p w14:paraId="1C5C9D84"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p>
        </w:tc>
      </w:tr>
      <w:tr w:rsidR="00FE2552" w:rsidRPr="00DE0914" w14:paraId="7FB4CFA5" w14:textId="77777777" w:rsidTr="00B07AD0">
        <w:trPr>
          <w:trHeight w:val="145"/>
        </w:trPr>
        <w:tc>
          <w:tcPr>
            <w:tcW w:w="4907" w:type="dxa"/>
            <w:tcBorders>
              <w:top w:val="nil"/>
              <w:left w:val="nil"/>
              <w:bottom w:val="nil"/>
              <w:right w:val="nil"/>
            </w:tcBorders>
            <w:shd w:val="clear" w:color="000000" w:fill="FFFFFF"/>
            <w:vAlign w:val="center"/>
            <w:hideMark/>
          </w:tcPr>
          <w:p w14:paraId="11A0CC8E"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Equity</w:t>
            </w:r>
          </w:p>
        </w:tc>
        <w:tc>
          <w:tcPr>
            <w:tcW w:w="2382" w:type="dxa"/>
            <w:tcBorders>
              <w:top w:val="nil"/>
              <w:left w:val="single" w:sz="8" w:space="0" w:color="BFBFBF"/>
              <w:bottom w:val="nil"/>
              <w:right w:val="single" w:sz="8" w:space="0" w:color="BFBFBF"/>
            </w:tcBorders>
            <w:shd w:val="clear" w:color="auto" w:fill="F2F2F2" w:themeFill="background1" w:themeFillShade="F2"/>
            <w:noWrap/>
            <w:vAlign w:val="bottom"/>
            <w:hideMark/>
          </w:tcPr>
          <w:p w14:paraId="60D4296B"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w:t>
            </w:r>
          </w:p>
        </w:tc>
        <w:tc>
          <w:tcPr>
            <w:tcW w:w="2242" w:type="dxa"/>
            <w:tcBorders>
              <w:top w:val="nil"/>
              <w:left w:val="nil"/>
              <w:bottom w:val="nil"/>
              <w:right w:val="single" w:sz="8" w:space="0" w:color="BFBFBF"/>
            </w:tcBorders>
            <w:shd w:val="clear" w:color="auto" w:fill="auto"/>
            <w:noWrap/>
            <w:vAlign w:val="bottom"/>
            <w:hideMark/>
          </w:tcPr>
          <w:p w14:paraId="4645D2CD"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w:t>
            </w:r>
          </w:p>
        </w:tc>
      </w:tr>
      <w:tr w:rsidR="00FE2552" w:rsidRPr="00DE0914" w14:paraId="67B8988A" w14:textId="77777777" w:rsidTr="00B07AD0">
        <w:trPr>
          <w:trHeight w:val="190"/>
        </w:trPr>
        <w:tc>
          <w:tcPr>
            <w:tcW w:w="4907" w:type="dxa"/>
            <w:tcBorders>
              <w:top w:val="nil"/>
              <w:left w:val="nil"/>
              <w:bottom w:val="nil"/>
              <w:right w:val="nil"/>
            </w:tcBorders>
            <w:shd w:val="clear" w:color="000000" w:fill="FFFFFF"/>
            <w:vAlign w:val="center"/>
            <w:hideMark/>
          </w:tcPr>
          <w:p w14:paraId="568EF097"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Share capital</w:t>
            </w:r>
          </w:p>
        </w:tc>
        <w:tc>
          <w:tcPr>
            <w:tcW w:w="2382" w:type="dxa"/>
            <w:tcBorders>
              <w:top w:val="nil"/>
              <w:left w:val="single" w:sz="8" w:space="0" w:color="BFBFBF"/>
              <w:bottom w:val="nil"/>
              <w:right w:val="single" w:sz="8" w:space="0" w:color="BFBFBF"/>
            </w:tcBorders>
            <w:shd w:val="clear" w:color="auto" w:fill="F2F2F2" w:themeFill="background1" w:themeFillShade="F2"/>
            <w:noWrap/>
            <w:vAlign w:val="bottom"/>
            <w:hideMark/>
          </w:tcPr>
          <w:p w14:paraId="44B0B03D"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7.195</w:t>
            </w:r>
          </w:p>
        </w:tc>
        <w:tc>
          <w:tcPr>
            <w:tcW w:w="2242" w:type="dxa"/>
            <w:tcBorders>
              <w:top w:val="nil"/>
              <w:left w:val="nil"/>
              <w:bottom w:val="nil"/>
              <w:right w:val="single" w:sz="8" w:space="0" w:color="BFBFBF"/>
            </w:tcBorders>
            <w:shd w:val="clear" w:color="auto" w:fill="auto"/>
            <w:noWrap/>
            <w:vAlign w:val="bottom"/>
            <w:hideMark/>
          </w:tcPr>
          <w:p w14:paraId="4965F6C4"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7.163 </w:t>
            </w:r>
          </w:p>
        </w:tc>
      </w:tr>
      <w:tr w:rsidR="00FE2552" w:rsidRPr="00DE0914" w14:paraId="063DDF10" w14:textId="77777777" w:rsidTr="00B07AD0">
        <w:trPr>
          <w:trHeight w:val="190"/>
        </w:trPr>
        <w:tc>
          <w:tcPr>
            <w:tcW w:w="4907" w:type="dxa"/>
            <w:tcBorders>
              <w:top w:val="nil"/>
              <w:left w:val="nil"/>
              <w:bottom w:val="nil"/>
              <w:right w:val="nil"/>
            </w:tcBorders>
            <w:shd w:val="clear" w:color="000000" w:fill="FFFFFF"/>
            <w:vAlign w:val="center"/>
            <w:hideMark/>
          </w:tcPr>
          <w:p w14:paraId="2FC0D015"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Share premium</w:t>
            </w:r>
          </w:p>
        </w:tc>
        <w:tc>
          <w:tcPr>
            <w:tcW w:w="2382" w:type="dxa"/>
            <w:tcBorders>
              <w:top w:val="nil"/>
              <w:left w:val="single" w:sz="8" w:space="0" w:color="BFBFBF"/>
              <w:bottom w:val="nil"/>
              <w:right w:val="single" w:sz="8" w:space="0" w:color="BFBFBF"/>
            </w:tcBorders>
            <w:shd w:val="clear" w:color="auto" w:fill="F2F2F2" w:themeFill="background1" w:themeFillShade="F2"/>
            <w:noWrap/>
            <w:vAlign w:val="bottom"/>
            <w:hideMark/>
          </w:tcPr>
          <w:p w14:paraId="12FB8954"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449.135 </w:t>
            </w:r>
          </w:p>
        </w:tc>
        <w:tc>
          <w:tcPr>
            <w:tcW w:w="2242" w:type="dxa"/>
            <w:tcBorders>
              <w:top w:val="nil"/>
              <w:left w:val="nil"/>
              <w:bottom w:val="nil"/>
              <w:right w:val="single" w:sz="8" w:space="0" w:color="BFBFBF"/>
            </w:tcBorders>
            <w:shd w:val="clear" w:color="auto" w:fill="auto"/>
            <w:noWrap/>
            <w:vAlign w:val="bottom"/>
            <w:hideMark/>
          </w:tcPr>
          <w:p w14:paraId="56D00ADF"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444.940 </w:t>
            </w:r>
          </w:p>
        </w:tc>
      </w:tr>
      <w:tr w:rsidR="00FE2552" w:rsidRPr="00DE0914" w14:paraId="27A7FE4D" w14:textId="77777777" w:rsidTr="00B07AD0">
        <w:trPr>
          <w:trHeight w:val="190"/>
        </w:trPr>
        <w:tc>
          <w:tcPr>
            <w:tcW w:w="4907" w:type="dxa"/>
            <w:tcBorders>
              <w:top w:val="nil"/>
              <w:left w:val="nil"/>
              <w:bottom w:val="nil"/>
              <w:right w:val="nil"/>
            </w:tcBorders>
            <w:shd w:val="clear" w:color="000000" w:fill="FFFFFF"/>
            <w:vAlign w:val="center"/>
            <w:hideMark/>
          </w:tcPr>
          <w:p w14:paraId="0EA31852"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Legal reserves</w:t>
            </w:r>
          </w:p>
        </w:tc>
        <w:tc>
          <w:tcPr>
            <w:tcW w:w="2382" w:type="dxa"/>
            <w:tcBorders>
              <w:top w:val="nil"/>
              <w:left w:val="single" w:sz="8" w:space="0" w:color="BFBFBF"/>
              <w:bottom w:val="nil"/>
              <w:right w:val="single" w:sz="8" w:space="0" w:color="BFBFBF"/>
            </w:tcBorders>
            <w:shd w:val="clear" w:color="auto" w:fill="F2F2F2" w:themeFill="background1" w:themeFillShade="F2"/>
            <w:noWrap/>
            <w:vAlign w:val="bottom"/>
            <w:hideMark/>
          </w:tcPr>
          <w:p w14:paraId="21E8BB69" w14:textId="2CE5387A"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11.</w:t>
            </w:r>
            <w:r w:rsidR="0043192B" w:rsidRPr="00DE0914">
              <w:rPr>
                <w:rFonts w:ascii="Calibri" w:hAnsi="Calibri" w:cs="Calibri"/>
                <w:color w:val="00679B"/>
                <w:kern w:val="0"/>
                <w:sz w:val="22"/>
                <w:szCs w:val="22"/>
                <w:lang w:val="en-GB" w:eastAsia="en-GB"/>
              </w:rPr>
              <w:t>358</w:t>
            </w:r>
          </w:p>
        </w:tc>
        <w:tc>
          <w:tcPr>
            <w:tcW w:w="2242" w:type="dxa"/>
            <w:tcBorders>
              <w:top w:val="nil"/>
              <w:left w:val="nil"/>
              <w:bottom w:val="nil"/>
              <w:right w:val="single" w:sz="8" w:space="0" w:color="BFBFBF"/>
            </w:tcBorders>
            <w:shd w:val="clear" w:color="auto" w:fill="auto"/>
            <w:noWrap/>
            <w:vAlign w:val="bottom"/>
            <w:hideMark/>
          </w:tcPr>
          <w:p w14:paraId="786A78C4" w14:textId="1B37A002" w:rsidR="00FE2552" w:rsidRPr="00DE0914" w:rsidRDefault="00606BB7"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19.859</w:t>
            </w:r>
            <w:r w:rsidR="00FE2552" w:rsidRPr="00DE0914">
              <w:rPr>
                <w:rFonts w:ascii="Calibri" w:hAnsi="Calibri" w:cs="Calibri"/>
                <w:color w:val="59595B"/>
                <w:kern w:val="0"/>
                <w:sz w:val="22"/>
                <w:szCs w:val="22"/>
                <w:lang w:val="en-GB" w:eastAsia="en-GB"/>
              </w:rPr>
              <w:t xml:space="preserve"> </w:t>
            </w:r>
          </w:p>
        </w:tc>
      </w:tr>
      <w:tr w:rsidR="00FE2552" w:rsidRPr="00DE0914" w14:paraId="5B1F987F" w14:textId="77777777" w:rsidTr="00B07AD0">
        <w:trPr>
          <w:trHeight w:val="190"/>
        </w:trPr>
        <w:tc>
          <w:tcPr>
            <w:tcW w:w="4907" w:type="dxa"/>
            <w:tcBorders>
              <w:top w:val="nil"/>
              <w:left w:val="nil"/>
              <w:bottom w:val="nil"/>
              <w:right w:val="nil"/>
            </w:tcBorders>
            <w:shd w:val="clear" w:color="000000" w:fill="FFFFFF"/>
            <w:vAlign w:val="center"/>
            <w:hideMark/>
          </w:tcPr>
          <w:p w14:paraId="72D396A1"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Accumulated deficit</w:t>
            </w:r>
          </w:p>
        </w:tc>
        <w:tc>
          <w:tcPr>
            <w:tcW w:w="2382" w:type="dxa"/>
            <w:tcBorders>
              <w:top w:val="nil"/>
              <w:left w:val="single" w:sz="8" w:space="0" w:color="BFBFBF"/>
              <w:bottom w:val="nil"/>
              <w:right w:val="single" w:sz="8" w:space="0" w:color="BFBFBF"/>
            </w:tcBorders>
            <w:shd w:val="clear" w:color="auto" w:fill="F2F2F2" w:themeFill="background1" w:themeFillShade="F2"/>
            <w:noWrap/>
            <w:vAlign w:val="bottom"/>
            <w:hideMark/>
          </w:tcPr>
          <w:p w14:paraId="3A468358" w14:textId="1E65012A"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(281.</w:t>
            </w:r>
            <w:r w:rsidR="0043192B" w:rsidRPr="00DE0914">
              <w:rPr>
                <w:rFonts w:ascii="Calibri" w:hAnsi="Calibri" w:cs="Calibri"/>
                <w:color w:val="00679B"/>
                <w:kern w:val="0"/>
                <w:sz w:val="22"/>
                <w:szCs w:val="22"/>
                <w:lang w:val="en-GB" w:eastAsia="en-GB"/>
              </w:rPr>
              <w:t>328</w:t>
            </w:r>
            <w:r w:rsidRPr="00DE0914">
              <w:rPr>
                <w:rFonts w:ascii="Calibri" w:hAnsi="Calibri" w:cs="Calibri"/>
                <w:color w:val="00679B"/>
                <w:kern w:val="0"/>
                <w:sz w:val="22"/>
                <w:szCs w:val="22"/>
                <w:lang w:val="en-GB" w:eastAsia="en-GB"/>
              </w:rPr>
              <w:t>)</w:t>
            </w:r>
          </w:p>
        </w:tc>
        <w:tc>
          <w:tcPr>
            <w:tcW w:w="2242" w:type="dxa"/>
            <w:tcBorders>
              <w:top w:val="nil"/>
              <w:left w:val="nil"/>
              <w:bottom w:val="nil"/>
              <w:right w:val="single" w:sz="8" w:space="0" w:color="BFBFBF"/>
            </w:tcBorders>
            <w:shd w:val="clear" w:color="auto" w:fill="auto"/>
            <w:noWrap/>
            <w:vAlign w:val="bottom"/>
            <w:hideMark/>
          </w:tcPr>
          <w:p w14:paraId="3E298D54" w14:textId="400226A5" w:rsidR="00FE2552" w:rsidRPr="00DE0914" w:rsidRDefault="00606BB7"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(288.527)</w:t>
            </w:r>
          </w:p>
        </w:tc>
      </w:tr>
      <w:tr w:rsidR="00FE2552" w:rsidRPr="00DE0914" w14:paraId="4FD3E50B" w14:textId="77777777" w:rsidTr="00B07AD0">
        <w:trPr>
          <w:trHeight w:val="190"/>
        </w:trPr>
        <w:tc>
          <w:tcPr>
            <w:tcW w:w="4907" w:type="dxa"/>
            <w:tcBorders>
              <w:top w:val="single" w:sz="8" w:space="0" w:color="BFBFBF"/>
              <w:left w:val="nil"/>
              <w:bottom w:val="single" w:sz="8" w:space="0" w:color="BFBFBF"/>
              <w:right w:val="single" w:sz="8" w:space="0" w:color="BFBFBF"/>
            </w:tcBorders>
            <w:shd w:val="clear" w:color="000000" w:fill="FFFFFF"/>
            <w:vAlign w:val="center"/>
            <w:hideMark/>
          </w:tcPr>
          <w:p w14:paraId="662A16D4"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Shareholders’ equity</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vAlign w:val="bottom"/>
            <w:hideMark/>
          </w:tcPr>
          <w:p w14:paraId="77BAA2EC"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186.360</w:t>
            </w:r>
          </w:p>
        </w:tc>
        <w:tc>
          <w:tcPr>
            <w:tcW w:w="2242" w:type="dxa"/>
            <w:tcBorders>
              <w:top w:val="single" w:sz="8" w:space="0" w:color="BFBFBF"/>
              <w:left w:val="nil"/>
              <w:bottom w:val="single" w:sz="8" w:space="0" w:color="BFBFBF"/>
              <w:right w:val="single" w:sz="8" w:space="0" w:color="BFBFBF"/>
            </w:tcBorders>
            <w:shd w:val="clear" w:color="auto" w:fill="auto"/>
            <w:noWrap/>
            <w:vAlign w:val="bottom"/>
            <w:hideMark/>
          </w:tcPr>
          <w:p w14:paraId="4E0924C1"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183.435 </w:t>
            </w:r>
          </w:p>
        </w:tc>
      </w:tr>
      <w:tr w:rsidR="00FE2552" w:rsidRPr="00DE0914" w14:paraId="7676ED82" w14:textId="77777777" w:rsidTr="00B07AD0">
        <w:trPr>
          <w:trHeight w:val="151"/>
        </w:trPr>
        <w:tc>
          <w:tcPr>
            <w:tcW w:w="4907" w:type="dxa"/>
            <w:tcBorders>
              <w:top w:val="nil"/>
              <w:left w:val="nil"/>
              <w:bottom w:val="nil"/>
              <w:right w:val="single" w:sz="8" w:space="0" w:color="BFBFBF"/>
            </w:tcBorders>
            <w:shd w:val="clear" w:color="000000" w:fill="FFFFFF"/>
            <w:vAlign w:val="center"/>
            <w:hideMark/>
          </w:tcPr>
          <w:p w14:paraId="0F06A42D"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Non-current liabilities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0CD50946"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w:t>
            </w:r>
          </w:p>
        </w:tc>
        <w:tc>
          <w:tcPr>
            <w:tcW w:w="2242" w:type="dxa"/>
            <w:tcBorders>
              <w:top w:val="nil"/>
              <w:left w:val="nil"/>
              <w:bottom w:val="nil"/>
              <w:right w:val="single" w:sz="8" w:space="0" w:color="BFBFBF"/>
            </w:tcBorders>
            <w:shd w:val="clear" w:color="auto" w:fill="auto"/>
            <w:noWrap/>
            <w:vAlign w:val="bottom"/>
            <w:hideMark/>
          </w:tcPr>
          <w:p w14:paraId="63D17B60"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w:t>
            </w:r>
          </w:p>
        </w:tc>
      </w:tr>
      <w:tr w:rsidR="00FE2552" w:rsidRPr="00DE0914" w14:paraId="264264E4"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4B829A0C"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Convertible bonds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6C5CA815"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141.169 </w:t>
            </w:r>
          </w:p>
        </w:tc>
        <w:tc>
          <w:tcPr>
            <w:tcW w:w="2242" w:type="dxa"/>
            <w:tcBorders>
              <w:top w:val="nil"/>
              <w:left w:val="nil"/>
              <w:bottom w:val="nil"/>
              <w:right w:val="single" w:sz="8" w:space="0" w:color="BFBFBF"/>
            </w:tcBorders>
            <w:shd w:val="clear" w:color="auto" w:fill="auto"/>
            <w:noWrap/>
            <w:vAlign w:val="bottom"/>
            <w:hideMark/>
          </w:tcPr>
          <w:p w14:paraId="39A912C8"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149.727 </w:t>
            </w:r>
          </w:p>
        </w:tc>
      </w:tr>
      <w:tr w:rsidR="00FE2552" w:rsidRPr="00DE0914" w14:paraId="2D7724B6" w14:textId="77777777" w:rsidTr="00B07AD0">
        <w:trPr>
          <w:trHeight w:val="190"/>
        </w:trPr>
        <w:tc>
          <w:tcPr>
            <w:tcW w:w="4907" w:type="dxa"/>
            <w:tcBorders>
              <w:top w:val="nil"/>
              <w:left w:val="nil"/>
              <w:bottom w:val="nil"/>
              <w:right w:val="nil"/>
            </w:tcBorders>
            <w:shd w:val="clear" w:color="000000" w:fill="FFFFFF"/>
            <w:vAlign w:val="center"/>
            <w:hideMark/>
          </w:tcPr>
          <w:p w14:paraId="5C253753"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Lease liabilities</w:t>
            </w:r>
          </w:p>
        </w:tc>
        <w:tc>
          <w:tcPr>
            <w:tcW w:w="2382" w:type="dxa"/>
            <w:tcBorders>
              <w:top w:val="nil"/>
              <w:left w:val="single" w:sz="8" w:space="0" w:color="BFBFBF"/>
              <w:bottom w:val="nil"/>
              <w:right w:val="single" w:sz="8" w:space="0" w:color="BFBFBF"/>
            </w:tcBorders>
            <w:shd w:val="clear" w:color="auto" w:fill="F2F2F2" w:themeFill="background1" w:themeFillShade="F2"/>
            <w:noWrap/>
            <w:vAlign w:val="bottom"/>
            <w:hideMark/>
          </w:tcPr>
          <w:p w14:paraId="1AC84358"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7.744 </w:t>
            </w:r>
          </w:p>
        </w:tc>
        <w:tc>
          <w:tcPr>
            <w:tcW w:w="2242" w:type="dxa"/>
            <w:tcBorders>
              <w:top w:val="nil"/>
              <w:left w:val="nil"/>
              <w:bottom w:val="nil"/>
              <w:right w:val="single" w:sz="8" w:space="0" w:color="BFBFBF"/>
            </w:tcBorders>
            <w:shd w:val="clear" w:color="auto" w:fill="auto"/>
            <w:noWrap/>
            <w:vAlign w:val="bottom"/>
            <w:hideMark/>
          </w:tcPr>
          <w:p w14:paraId="0FCC58CB"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8.230 </w:t>
            </w:r>
          </w:p>
        </w:tc>
      </w:tr>
      <w:tr w:rsidR="00FE2552" w:rsidRPr="00DE0914" w14:paraId="2D9DA1A7" w14:textId="77777777" w:rsidTr="00B07AD0">
        <w:trPr>
          <w:trHeight w:val="190"/>
        </w:trPr>
        <w:tc>
          <w:tcPr>
            <w:tcW w:w="4907" w:type="dxa"/>
            <w:tcBorders>
              <w:top w:val="nil"/>
              <w:left w:val="nil"/>
              <w:bottom w:val="nil"/>
              <w:right w:val="nil"/>
            </w:tcBorders>
            <w:shd w:val="clear" w:color="000000" w:fill="FFFFFF"/>
            <w:vAlign w:val="center"/>
            <w:hideMark/>
          </w:tcPr>
          <w:p w14:paraId="4EC8201A"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financial liabilities</w:t>
            </w:r>
          </w:p>
        </w:tc>
        <w:tc>
          <w:tcPr>
            <w:tcW w:w="2382" w:type="dxa"/>
            <w:tcBorders>
              <w:top w:val="nil"/>
              <w:left w:val="single" w:sz="8" w:space="0" w:color="BFBFBF"/>
              <w:bottom w:val="nil"/>
              <w:right w:val="single" w:sz="8" w:space="0" w:color="BFBFBF"/>
            </w:tcBorders>
            <w:shd w:val="clear" w:color="auto" w:fill="F2F2F2" w:themeFill="background1" w:themeFillShade="F2"/>
            <w:noWrap/>
            <w:vAlign w:val="bottom"/>
            <w:hideMark/>
          </w:tcPr>
          <w:p w14:paraId="6E8451F2"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189</w:t>
            </w:r>
          </w:p>
        </w:tc>
        <w:tc>
          <w:tcPr>
            <w:tcW w:w="2242" w:type="dxa"/>
            <w:tcBorders>
              <w:top w:val="nil"/>
              <w:left w:val="nil"/>
              <w:bottom w:val="nil"/>
              <w:right w:val="single" w:sz="8" w:space="0" w:color="BFBFBF"/>
            </w:tcBorders>
            <w:shd w:val="clear" w:color="auto" w:fill="auto"/>
            <w:noWrap/>
            <w:vAlign w:val="bottom"/>
            <w:hideMark/>
          </w:tcPr>
          <w:p w14:paraId="65489C36"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212 </w:t>
            </w:r>
          </w:p>
        </w:tc>
      </w:tr>
      <w:tr w:rsidR="00FE2552" w:rsidRPr="00DE0914" w14:paraId="1CAB0AE2" w14:textId="77777777" w:rsidTr="00B07AD0">
        <w:trPr>
          <w:trHeight w:val="145"/>
        </w:trPr>
        <w:tc>
          <w:tcPr>
            <w:tcW w:w="4907" w:type="dxa"/>
            <w:tcBorders>
              <w:top w:val="single" w:sz="8" w:space="0" w:color="BFBFBF"/>
              <w:left w:val="nil"/>
              <w:bottom w:val="single" w:sz="8" w:space="0" w:color="BFBFBF"/>
              <w:right w:val="single" w:sz="8" w:space="0" w:color="BFBFBF"/>
            </w:tcBorders>
            <w:shd w:val="clear" w:color="000000" w:fill="FFFFFF"/>
            <w:vAlign w:val="center"/>
            <w:hideMark/>
          </w:tcPr>
          <w:p w14:paraId="134F5BF0"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non-current liabilities</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vAlign w:val="bottom"/>
            <w:hideMark/>
          </w:tcPr>
          <w:p w14:paraId="6686B89D"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149.102</w:t>
            </w:r>
          </w:p>
        </w:tc>
        <w:tc>
          <w:tcPr>
            <w:tcW w:w="2242" w:type="dxa"/>
            <w:tcBorders>
              <w:top w:val="single" w:sz="8" w:space="0" w:color="BFBFBF"/>
              <w:left w:val="nil"/>
              <w:bottom w:val="single" w:sz="8" w:space="0" w:color="BFBFBF"/>
              <w:right w:val="single" w:sz="8" w:space="0" w:color="BFBFBF"/>
            </w:tcBorders>
            <w:shd w:val="clear" w:color="auto" w:fill="auto"/>
            <w:noWrap/>
            <w:vAlign w:val="bottom"/>
            <w:hideMark/>
          </w:tcPr>
          <w:p w14:paraId="5965423D"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158.169 </w:t>
            </w:r>
          </w:p>
        </w:tc>
      </w:tr>
      <w:tr w:rsidR="00FE2552" w:rsidRPr="00DE0914" w14:paraId="5804C7AF"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68CD4914"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Current liabilities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26798153"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p>
        </w:tc>
        <w:tc>
          <w:tcPr>
            <w:tcW w:w="2242" w:type="dxa"/>
            <w:tcBorders>
              <w:top w:val="nil"/>
              <w:left w:val="nil"/>
              <w:bottom w:val="nil"/>
              <w:right w:val="single" w:sz="8" w:space="0" w:color="BFBFBF"/>
            </w:tcBorders>
            <w:shd w:val="clear" w:color="auto" w:fill="auto"/>
            <w:noWrap/>
            <w:vAlign w:val="bottom"/>
            <w:hideMark/>
          </w:tcPr>
          <w:p w14:paraId="1E6306B3"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w:t>
            </w:r>
          </w:p>
        </w:tc>
      </w:tr>
      <w:tr w:rsidR="00FE2552" w:rsidRPr="00DE0914" w14:paraId="6A42F17A"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4A6D696D"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Convertible bonds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6272672B"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3.062 </w:t>
            </w:r>
          </w:p>
        </w:tc>
        <w:tc>
          <w:tcPr>
            <w:tcW w:w="2242" w:type="dxa"/>
            <w:tcBorders>
              <w:top w:val="nil"/>
              <w:left w:val="nil"/>
              <w:bottom w:val="nil"/>
              <w:right w:val="single" w:sz="8" w:space="0" w:color="BFBFBF"/>
            </w:tcBorders>
            <w:shd w:val="clear" w:color="auto" w:fill="auto"/>
            <w:noWrap/>
            <w:vAlign w:val="bottom"/>
            <w:hideMark/>
          </w:tcPr>
          <w:p w14:paraId="59ECBE07"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2.040 </w:t>
            </w:r>
          </w:p>
        </w:tc>
      </w:tr>
      <w:tr w:rsidR="00FE2552" w:rsidRPr="00DE0914" w14:paraId="7E0BEDCB"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2536B47B"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Derivative financial liabilities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3EB6A062"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84 </w:t>
            </w:r>
          </w:p>
        </w:tc>
        <w:tc>
          <w:tcPr>
            <w:tcW w:w="2242" w:type="dxa"/>
            <w:tcBorders>
              <w:top w:val="nil"/>
              <w:left w:val="nil"/>
              <w:bottom w:val="nil"/>
              <w:right w:val="single" w:sz="8" w:space="0" w:color="BFBFBF"/>
            </w:tcBorders>
            <w:shd w:val="clear" w:color="auto" w:fill="auto"/>
            <w:noWrap/>
            <w:vAlign w:val="bottom"/>
            <w:hideMark/>
          </w:tcPr>
          <w:p w14:paraId="7F33B74C"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181 </w:t>
            </w:r>
          </w:p>
        </w:tc>
      </w:tr>
      <w:tr w:rsidR="00FE2552" w:rsidRPr="00DE0914" w14:paraId="2FE5E267"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2AAE8972"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Trade and other payables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04DBA845"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43.682 </w:t>
            </w:r>
          </w:p>
        </w:tc>
        <w:tc>
          <w:tcPr>
            <w:tcW w:w="2242" w:type="dxa"/>
            <w:tcBorders>
              <w:top w:val="nil"/>
              <w:left w:val="nil"/>
              <w:bottom w:val="nil"/>
              <w:right w:val="single" w:sz="8" w:space="0" w:color="BFBFBF"/>
            </w:tcBorders>
            <w:shd w:val="clear" w:color="auto" w:fill="auto"/>
            <w:noWrap/>
            <w:vAlign w:val="bottom"/>
            <w:hideMark/>
          </w:tcPr>
          <w:p w14:paraId="79D307F9"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47.666 </w:t>
            </w:r>
          </w:p>
        </w:tc>
      </w:tr>
      <w:tr w:rsidR="00FE2552" w:rsidRPr="00DE0914" w14:paraId="2FD5AA16"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212B6881"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Lease liabilities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1954E399"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1.907 </w:t>
            </w:r>
          </w:p>
        </w:tc>
        <w:tc>
          <w:tcPr>
            <w:tcW w:w="2242" w:type="dxa"/>
            <w:tcBorders>
              <w:top w:val="nil"/>
              <w:left w:val="nil"/>
              <w:bottom w:val="nil"/>
              <w:right w:val="single" w:sz="8" w:space="0" w:color="BFBFBF"/>
            </w:tcBorders>
            <w:shd w:val="clear" w:color="auto" w:fill="auto"/>
            <w:noWrap/>
            <w:vAlign w:val="bottom"/>
            <w:hideMark/>
          </w:tcPr>
          <w:p w14:paraId="68AC2A0A"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1.962 </w:t>
            </w:r>
          </w:p>
        </w:tc>
      </w:tr>
      <w:tr w:rsidR="00FE2552" w:rsidRPr="00DE0914" w14:paraId="2F69F883"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32EAC969"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financial liabilities</w:t>
            </w:r>
          </w:p>
        </w:tc>
        <w:tc>
          <w:tcPr>
            <w:tcW w:w="2382" w:type="dxa"/>
            <w:tcBorders>
              <w:top w:val="nil"/>
              <w:left w:val="nil"/>
              <w:bottom w:val="nil"/>
              <w:right w:val="single" w:sz="8" w:space="0" w:color="BFBFBF"/>
            </w:tcBorders>
            <w:shd w:val="clear" w:color="auto" w:fill="F2F2F2" w:themeFill="background1" w:themeFillShade="F2"/>
            <w:noWrap/>
            <w:vAlign w:val="bottom"/>
            <w:hideMark/>
          </w:tcPr>
          <w:p w14:paraId="743D9C8E" w14:textId="77777777" w:rsidR="00FE2552" w:rsidRPr="00DE0914" w:rsidRDefault="00FE2552" w:rsidP="00B07AD0">
            <w:pPr>
              <w:spacing w:before="20" w:afterLines="20" w:after="48"/>
              <w:rPr>
                <w:rFonts w:ascii="Calibri" w:hAnsi="Calibri" w:cs="Calibri"/>
                <w:color w:val="00679B"/>
                <w:kern w:val="0"/>
                <w:sz w:val="22"/>
                <w:szCs w:val="22"/>
                <w:lang w:val="en-GB" w:eastAsia="en-GB"/>
              </w:rPr>
            </w:pPr>
            <w:r w:rsidRPr="00DE0914">
              <w:rPr>
                <w:rFonts w:ascii="Calibri" w:hAnsi="Calibri" w:cs="Calibri"/>
                <w:color w:val="00679B"/>
                <w:kern w:val="0"/>
                <w:sz w:val="22"/>
                <w:szCs w:val="22"/>
                <w:lang w:val="en-GB" w:eastAsia="en-GB"/>
              </w:rPr>
              <w:t xml:space="preserve">25.103 </w:t>
            </w:r>
          </w:p>
        </w:tc>
        <w:tc>
          <w:tcPr>
            <w:tcW w:w="2242" w:type="dxa"/>
            <w:tcBorders>
              <w:top w:val="nil"/>
              <w:left w:val="nil"/>
              <w:bottom w:val="nil"/>
              <w:right w:val="single" w:sz="8" w:space="0" w:color="BFBFBF"/>
            </w:tcBorders>
            <w:shd w:val="clear" w:color="auto" w:fill="auto"/>
            <w:noWrap/>
            <w:vAlign w:val="bottom"/>
            <w:hideMark/>
          </w:tcPr>
          <w:p w14:paraId="7AABE480" w14:textId="77777777" w:rsidR="00FE2552" w:rsidRPr="00DE0914" w:rsidRDefault="00FE2552"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25.000 </w:t>
            </w:r>
          </w:p>
        </w:tc>
      </w:tr>
      <w:tr w:rsidR="00FE2552" w:rsidRPr="00DE0914" w14:paraId="0B50D5AD"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0F6F96BB"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current liabilities</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vAlign w:val="bottom"/>
            <w:hideMark/>
          </w:tcPr>
          <w:p w14:paraId="46F62EF1" w14:textId="77777777" w:rsidR="00FE2552" w:rsidRPr="00DE0914" w:rsidRDefault="00FE2552" w:rsidP="00B07AD0">
            <w:pPr>
              <w:spacing w:before="20" w:afterLines="20" w:after="48"/>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73.837 </w:t>
            </w:r>
          </w:p>
        </w:tc>
        <w:tc>
          <w:tcPr>
            <w:tcW w:w="2242" w:type="dxa"/>
            <w:tcBorders>
              <w:top w:val="single" w:sz="8" w:space="0" w:color="BFBFBF"/>
              <w:left w:val="nil"/>
              <w:bottom w:val="single" w:sz="8" w:space="0" w:color="BFBFBF"/>
              <w:right w:val="single" w:sz="8" w:space="0" w:color="BFBFBF"/>
            </w:tcBorders>
            <w:shd w:val="clear" w:color="auto" w:fill="auto"/>
            <w:noWrap/>
            <w:vAlign w:val="bottom"/>
            <w:hideMark/>
          </w:tcPr>
          <w:p w14:paraId="6D73B76E" w14:textId="77777777" w:rsidR="00FE2552" w:rsidRPr="00DE0914" w:rsidRDefault="00FE2552"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76.849 </w:t>
            </w:r>
          </w:p>
        </w:tc>
      </w:tr>
    </w:tbl>
    <w:p w14:paraId="3BD11ED6" w14:textId="77777777" w:rsidR="00177EB9" w:rsidRPr="00DE0914" w:rsidRDefault="00177EB9" w:rsidP="00513216">
      <w:pPr>
        <w:rPr>
          <w:rFonts w:ascii="Calibri Light" w:eastAsiaTheme="majorEastAsia" w:hAnsi="Calibri Light" w:cstheme="majorBidi"/>
          <w:b/>
          <w:color w:val="59595B"/>
          <w:sz w:val="22"/>
          <w:lang w:val="en-GB" w:eastAsia="zh-CN"/>
        </w:rPr>
      </w:pPr>
    </w:p>
    <w:p w14:paraId="7A6E3EA0" w14:textId="300B47E0" w:rsidR="00513216" w:rsidRPr="00D8079E" w:rsidRDefault="00513216" w:rsidP="00513216">
      <w:pPr>
        <w:rPr>
          <w:rFonts w:ascii="Calibri Light" w:eastAsiaTheme="majorEastAsia" w:hAnsi="Calibri Light" w:cstheme="majorBidi"/>
          <w:b/>
          <w:color w:val="59595B"/>
          <w:lang w:val="en-GB" w:eastAsia="zh-CN"/>
        </w:rPr>
      </w:pPr>
      <w:r w:rsidRPr="00D8079E">
        <w:rPr>
          <w:rFonts w:ascii="Calibri Light" w:eastAsiaTheme="majorEastAsia" w:hAnsi="Calibri Light" w:cstheme="majorBidi"/>
          <w:b/>
          <w:color w:val="59595B"/>
          <w:lang w:val="en-GB" w:eastAsia="zh-CN"/>
        </w:rPr>
        <w:lastRenderedPageBreak/>
        <w:t>Condensed Consolidated Statement of Cash Flow</w:t>
      </w:r>
    </w:p>
    <w:p w14:paraId="72658BA4" w14:textId="77777777" w:rsidR="00513216" w:rsidRPr="00D8079E" w:rsidRDefault="00513216" w:rsidP="00513216">
      <w:pPr>
        <w:jc w:val="both"/>
        <w:rPr>
          <w:rFonts w:asciiTheme="minorHAnsi" w:hAnsiTheme="minorHAnsi"/>
          <w:lang w:val="en-GB"/>
        </w:rPr>
      </w:pPr>
      <w:r w:rsidRPr="00D8079E">
        <w:rPr>
          <w:rFonts w:ascii="Calibri" w:eastAsia="Calibri" w:hAnsi="Calibri" w:cs="Calibri"/>
          <w:color w:val="59595B"/>
        </w:rPr>
        <w:t>For the period ended 31 March</w:t>
      </w:r>
    </w:p>
    <w:tbl>
      <w:tblPr>
        <w:tblW w:w="9688" w:type="dxa"/>
        <w:tblLook w:val="04A0" w:firstRow="1" w:lastRow="0" w:firstColumn="1" w:lastColumn="0" w:noHBand="0" w:noVBand="1"/>
      </w:tblPr>
      <w:tblGrid>
        <w:gridCol w:w="6275"/>
        <w:gridCol w:w="1716"/>
        <w:gridCol w:w="1697"/>
      </w:tblGrid>
      <w:tr w:rsidR="00513216" w:rsidRPr="00DE0914" w14:paraId="4E11F24A" w14:textId="77777777" w:rsidTr="00B07AD0">
        <w:trPr>
          <w:trHeight w:val="323"/>
        </w:trPr>
        <w:tc>
          <w:tcPr>
            <w:tcW w:w="6275" w:type="dxa"/>
            <w:tcBorders>
              <w:top w:val="nil"/>
              <w:bottom w:val="single" w:sz="8" w:space="0" w:color="BFBFBF"/>
              <w:right w:val="nil"/>
            </w:tcBorders>
            <w:shd w:val="clear" w:color="auto" w:fill="F2F2F2" w:themeFill="background1" w:themeFillShade="F2"/>
            <w:vAlign w:val="center"/>
            <w:hideMark/>
          </w:tcPr>
          <w:p w14:paraId="3CAAF4CF" w14:textId="77777777" w:rsidR="00513216" w:rsidRPr="00DE0914" w:rsidRDefault="00513216" w:rsidP="00B07AD0">
            <w:pPr>
              <w:spacing w:before="20" w:after="20"/>
              <w:rPr>
                <w:rFonts w:ascii="Calibri" w:hAnsi="Calibri" w:cs="Calibri"/>
                <w:color w:val="808080"/>
                <w:kern w:val="0"/>
                <w:sz w:val="22"/>
                <w:szCs w:val="22"/>
                <w:lang w:val="en-GB" w:eastAsia="en-GB"/>
              </w:rPr>
            </w:pPr>
            <w:r w:rsidRPr="00DE0914">
              <w:rPr>
                <w:rFonts w:ascii="Calibri" w:hAnsi="Calibri" w:cs="Calibri"/>
                <w:i/>
                <w:iCs/>
                <w:color w:val="59595B"/>
                <w:kern w:val="0"/>
                <w:sz w:val="22"/>
                <w:szCs w:val="22"/>
                <w:lang w:val="en-GB" w:eastAsia="en-GB"/>
              </w:rPr>
              <w:t>Amounts in $’000</w:t>
            </w:r>
          </w:p>
        </w:tc>
        <w:tc>
          <w:tcPr>
            <w:tcW w:w="1716" w:type="dxa"/>
            <w:tcBorders>
              <w:top w:val="nil"/>
              <w:left w:val="nil"/>
              <w:bottom w:val="single" w:sz="8" w:space="0" w:color="BFBFBF"/>
              <w:right w:val="nil"/>
            </w:tcBorders>
            <w:shd w:val="clear" w:color="auto" w:fill="F2F2F2" w:themeFill="background1" w:themeFillShade="F2"/>
            <w:noWrap/>
            <w:vAlign w:val="center"/>
            <w:hideMark/>
          </w:tcPr>
          <w:p w14:paraId="057E8823" w14:textId="77777777" w:rsidR="00513216" w:rsidRPr="00DE0914" w:rsidRDefault="00513216"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YTD 2021</w:t>
            </w:r>
          </w:p>
        </w:tc>
        <w:tc>
          <w:tcPr>
            <w:tcW w:w="1697" w:type="dxa"/>
            <w:tcBorders>
              <w:top w:val="nil"/>
              <w:left w:val="nil"/>
              <w:bottom w:val="single" w:sz="8" w:space="0" w:color="BFBFBF"/>
              <w:right w:val="nil"/>
            </w:tcBorders>
            <w:shd w:val="clear" w:color="auto" w:fill="F2F2F2" w:themeFill="background1" w:themeFillShade="F2"/>
            <w:vAlign w:val="center"/>
            <w:hideMark/>
          </w:tcPr>
          <w:p w14:paraId="62395F82"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YTD 2020</w:t>
            </w:r>
          </w:p>
        </w:tc>
      </w:tr>
      <w:tr w:rsidR="00513216" w:rsidRPr="00DE0914" w14:paraId="3D5AFEBA" w14:textId="77777777" w:rsidTr="00B07AD0">
        <w:trPr>
          <w:trHeight w:val="269"/>
        </w:trPr>
        <w:tc>
          <w:tcPr>
            <w:tcW w:w="6275" w:type="dxa"/>
            <w:tcBorders>
              <w:top w:val="nil"/>
              <w:bottom w:val="single" w:sz="8" w:space="0" w:color="BFBFBF"/>
              <w:right w:val="single" w:sz="8" w:space="0" w:color="BFBFBF"/>
            </w:tcBorders>
            <w:shd w:val="clear" w:color="auto" w:fill="auto"/>
            <w:vAlign w:val="center"/>
            <w:hideMark/>
          </w:tcPr>
          <w:p w14:paraId="2188E896"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Profit before tax</w:t>
            </w:r>
          </w:p>
        </w:tc>
        <w:tc>
          <w:tcPr>
            <w:tcW w:w="1716" w:type="dxa"/>
            <w:tcBorders>
              <w:top w:val="nil"/>
              <w:left w:val="nil"/>
              <w:bottom w:val="single" w:sz="8" w:space="0" w:color="BFBFBF"/>
              <w:right w:val="single" w:sz="8" w:space="0" w:color="BFBFBF"/>
            </w:tcBorders>
            <w:shd w:val="clear" w:color="auto" w:fill="auto"/>
            <w:noWrap/>
            <w:vAlign w:val="bottom"/>
            <w:hideMark/>
          </w:tcPr>
          <w:p w14:paraId="1C4F84F5" w14:textId="77777777" w:rsidR="00513216" w:rsidRPr="00DE0914" w:rsidRDefault="00513216"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12.792</w:t>
            </w:r>
          </w:p>
        </w:tc>
        <w:tc>
          <w:tcPr>
            <w:tcW w:w="1697" w:type="dxa"/>
            <w:tcBorders>
              <w:top w:val="nil"/>
              <w:left w:val="nil"/>
              <w:bottom w:val="single" w:sz="8" w:space="0" w:color="BFBFBF"/>
              <w:right w:val="single" w:sz="8" w:space="0" w:color="BFBFBF"/>
            </w:tcBorders>
            <w:shd w:val="clear" w:color="auto" w:fill="auto"/>
            <w:noWrap/>
            <w:vAlign w:val="bottom"/>
            <w:hideMark/>
          </w:tcPr>
          <w:p w14:paraId="31AC62E7"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13.668</w:t>
            </w:r>
          </w:p>
        </w:tc>
      </w:tr>
      <w:tr w:rsidR="00513216" w:rsidRPr="00DE0914" w14:paraId="117D2C5C" w14:textId="77777777" w:rsidTr="00B07AD0">
        <w:trPr>
          <w:trHeight w:val="254"/>
        </w:trPr>
        <w:tc>
          <w:tcPr>
            <w:tcW w:w="6275" w:type="dxa"/>
            <w:tcBorders>
              <w:top w:val="nil"/>
              <w:bottom w:val="nil"/>
              <w:right w:val="single" w:sz="8" w:space="0" w:color="BFBFBF"/>
            </w:tcBorders>
            <w:shd w:val="clear" w:color="auto" w:fill="auto"/>
            <w:vAlign w:val="center"/>
            <w:hideMark/>
          </w:tcPr>
          <w:p w14:paraId="66EAF1FF"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Non-cash adjustments:</w:t>
            </w:r>
          </w:p>
        </w:tc>
        <w:tc>
          <w:tcPr>
            <w:tcW w:w="1716" w:type="dxa"/>
            <w:tcBorders>
              <w:top w:val="nil"/>
              <w:left w:val="nil"/>
              <w:bottom w:val="nil"/>
              <w:right w:val="single" w:sz="8" w:space="0" w:color="BFBFBF"/>
            </w:tcBorders>
            <w:shd w:val="clear" w:color="auto" w:fill="auto"/>
            <w:vAlign w:val="center"/>
          </w:tcPr>
          <w:p w14:paraId="5E52A7F7" w14:textId="77777777" w:rsidR="00513216" w:rsidRPr="00DE0914" w:rsidRDefault="00513216" w:rsidP="00B07AD0">
            <w:pPr>
              <w:spacing w:before="20" w:after="20"/>
              <w:jc w:val="right"/>
              <w:rPr>
                <w:rFonts w:ascii="Calibri" w:hAnsi="Calibri" w:cs="Calibri"/>
                <w:b/>
                <w:bCs/>
                <w:color w:val="00679B"/>
                <w:kern w:val="0"/>
                <w:sz w:val="22"/>
                <w:szCs w:val="22"/>
                <w:lang w:val="en-GB" w:eastAsia="en-GB"/>
              </w:rPr>
            </w:pPr>
          </w:p>
        </w:tc>
        <w:tc>
          <w:tcPr>
            <w:tcW w:w="1697" w:type="dxa"/>
            <w:tcBorders>
              <w:top w:val="nil"/>
              <w:left w:val="nil"/>
              <w:bottom w:val="nil"/>
              <w:right w:val="single" w:sz="8" w:space="0" w:color="BFBFBF"/>
            </w:tcBorders>
            <w:shd w:val="clear" w:color="000000" w:fill="FFFFFF"/>
            <w:vAlign w:val="center"/>
          </w:tcPr>
          <w:p w14:paraId="240290E3" w14:textId="77777777" w:rsidR="00513216" w:rsidRPr="00DE0914" w:rsidRDefault="00513216" w:rsidP="00B07AD0">
            <w:pPr>
              <w:spacing w:before="20" w:after="20"/>
              <w:rPr>
                <w:rFonts w:ascii="Calibri" w:hAnsi="Calibri" w:cs="Calibri"/>
                <w:b/>
                <w:bCs/>
                <w:color w:val="59595B"/>
                <w:kern w:val="0"/>
                <w:sz w:val="22"/>
                <w:szCs w:val="22"/>
                <w:lang w:val="en-GB" w:eastAsia="en-GB"/>
              </w:rPr>
            </w:pPr>
          </w:p>
        </w:tc>
      </w:tr>
      <w:tr w:rsidR="00513216" w:rsidRPr="00DE0914" w14:paraId="59929EC8" w14:textId="77777777" w:rsidTr="00B07AD0">
        <w:trPr>
          <w:trHeight w:val="254"/>
        </w:trPr>
        <w:tc>
          <w:tcPr>
            <w:tcW w:w="6275" w:type="dxa"/>
            <w:tcBorders>
              <w:top w:val="nil"/>
              <w:bottom w:val="nil"/>
              <w:right w:val="single" w:sz="8" w:space="0" w:color="BFBFBF"/>
            </w:tcBorders>
            <w:shd w:val="clear" w:color="auto" w:fill="auto"/>
            <w:vAlign w:val="center"/>
            <w:hideMark/>
          </w:tcPr>
          <w:p w14:paraId="0A1B7B60"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Depreciation, amortisation, impairment</w:t>
            </w:r>
          </w:p>
        </w:tc>
        <w:tc>
          <w:tcPr>
            <w:tcW w:w="1716" w:type="dxa"/>
            <w:tcBorders>
              <w:top w:val="nil"/>
              <w:left w:val="nil"/>
              <w:bottom w:val="nil"/>
              <w:right w:val="single" w:sz="8" w:space="0" w:color="BFBFBF"/>
            </w:tcBorders>
            <w:shd w:val="clear" w:color="auto" w:fill="auto"/>
            <w:noWrap/>
            <w:vAlign w:val="bottom"/>
            <w:hideMark/>
          </w:tcPr>
          <w:p w14:paraId="5B58BCF5"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2.063</w:t>
            </w:r>
          </w:p>
        </w:tc>
        <w:tc>
          <w:tcPr>
            <w:tcW w:w="1697" w:type="dxa"/>
            <w:tcBorders>
              <w:top w:val="nil"/>
              <w:left w:val="nil"/>
              <w:bottom w:val="nil"/>
              <w:right w:val="single" w:sz="8" w:space="0" w:color="BFBFBF"/>
            </w:tcBorders>
            <w:shd w:val="clear" w:color="000000" w:fill="FFFFFF"/>
            <w:noWrap/>
            <w:vAlign w:val="bottom"/>
            <w:hideMark/>
          </w:tcPr>
          <w:p w14:paraId="7655EDD9"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1.883</w:t>
            </w:r>
          </w:p>
        </w:tc>
      </w:tr>
      <w:tr w:rsidR="00513216" w:rsidRPr="00DE0914" w14:paraId="21D1ACF1" w14:textId="77777777" w:rsidTr="00B07AD0">
        <w:trPr>
          <w:trHeight w:val="254"/>
        </w:trPr>
        <w:tc>
          <w:tcPr>
            <w:tcW w:w="6275" w:type="dxa"/>
            <w:tcBorders>
              <w:top w:val="nil"/>
              <w:bottom w:val="nil"/>
              <w:right w:val="single" w:sz="8" w:space="0" w:color="BFBFBF"/>
            </w:tcBorders>
            <w:shd w:val="clear" w:color="auto" w:fill="auto"/>
            <w:vAlign w:val="center"/>
            <w:hideMark/>
          </w:tcPr>
          <w:p w14:paraId="68E24FB9"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Equity settled share-based payments</w:t>
            </w:r>
          </w:p>
        </w:tc>
        <w:tc>
          <w:tcPr>
            <w:tcW w:w="1716" w:type="dxa"/>
            <w:tcBorders>
              <w:top w:val="nil"/>
              <w:left w:val="nil"/>
              <w:bottom w:val="nil"/>
              <w:right w:val="single" w:sz="8" w:space="0" w:color="BFBFBF"/>
            </w:tcBorders>
            <w:shd w:val="clear" w:color="auto" w:fill="auto"/>
            <w:noWrap/>
            <w:vAlign w:val="bottom"/>
            <w:hideMark/>
          </w:tcPr>
          <w:p w14:paraId="4D1949B8"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1.909</w:t>
            </w:r>
          </w:p>
        </w:tc>
        <w:tc>
          <w:tcPr>
            <w:tcW w:w="1697" w:type="dxa"/>
            <w:tcBorders>
              <w:top w:val="nil"/>
              <w:left w:val="nil"/>
              <w:bottom w:val="nil"/>
              <w:right w:val="single" w:sz="8" w:space="0" w:color="BFBFBF"/>
            </w:tcBorders>
            <w:shd w:val="clear" w:color="000000" w:fill="FFFFFF"/>
            <w:noWrap/>
            <w:vAlign w:val="bottom"/>
            <w:hideMark/>
          </w:tcPr>
          <w:p w14:paraId="5E2DE5B1"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760</w:t>
            </w:r>
          </w:p>
        </w:tc>
      </w:tr>
      <w:tr w:rsidR="00513216" w:rsidRPr="00DE0914" w14:paraId="3F6966FC" w14:textId="77777777" w:rsidTr="00B07AD0">
        <w:trPr>
          <w:trHeight w:val="254"/>
        </w:trPr>
        <w:tc>
          <w:tcPr>
            <w:tcW w:w="6275" w:type="dxa"/>
            <w:tcBorders>
              <w:top w:val="nil"/>
              <w:bottom w:val="nil"/>
              <w:right w:val="single" w:sz="8" w:space="0" w:color="BFBFBF"/>
            </w:tcBorders>
            <w:shd w:val="clear" w:color="auto" w:fill="auto"/>
            <w:vAlign w:val="center"/>
            <w:hideMark/>
          </w:tcPr>
          <w:p w14:paraId="03E453C6"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Fair value gain (loss) loss on revaluation of derivatives</w:t>
            </w:r>
          </w:p>
        </w:tc>
        <w:tc>
          <w:tcPr>
            <w:tcW w:w="1716" w:type="dxa"/>
            <w:tcBorders>
              <w:top w:val="nil"/>
              <w:left w:val="nil"/>
              <w:bottom w:val="nil"/>
              <w:right w:val="single" w:sz="8" w:space="0" w:color="BFBFBF"/>
            </w:tcBorders>
            <w:shd w:val="clear" w:color="auto" w:fill="auto"/>
            <w:noWrap/>
            <w:vAlign w:val="bottom"/>
            <w:hideMark/>
          </w:tcPr>
          <w:p w14:paraId="696E8B93"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(30)</w:t>
            </w:r>
          </w:p>
        </w:tc>
        <w:tc>
          <w:tcPr>
            <w:tcW w:w="1697" w:type="dxa"/>
            <w:tcBorders>
              <w:top w:val="nil"/>
              <w:left w:val="nil"/>
              <w:bottom w:val="nil"/>
              <w:right w:val="single" w:sz="8" w:space="0" w:color="BFBFBF"/>
            </w:tcBorders>
            <w:shd w:val="clear" w:color="000000" w:fill="FFFFFF"/>
            <w:noWrap/>
            <w:vAlign w:val="bottom"/>
            <w:hideMark/>
          </w:tcPr>
          <w:p w14:paraId="50ED6C87"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(134)</w:t>
            </w:r>
          </w:p>
        </w:tc>
      </w:tr>
      <w:tr w:rsidR="00513216" w:rsidRPr="00DE0914" w14:paraId="25727310" w14:textId="77777777" w:rsidTr="00B07AD0">
        <w:trPr>
          <w:trHeight w:val="254"/>
        </w:trPr>
        <w:tc>
          <w:tcPr>
            <w:tcW w:w="6275" w:type="dxa"/>
            <w:tcBorders>
              <w:top w:val="nil"/>
              <w:bottom w:val="nil"/>
              <w:right w:val="single" w:sz="8" w:space="0" w:color="BFBFBF"/>
            </w:tcBorders>
            <w:shd w:val="clear" w:color="auto" w:fill="auto"/>
            <w:vAlign w:val="center"/>
            <w:hideMark/>
          </w:tcPr>
          <w:p w14:paraId="49A0B99F"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finance income</w:t>
            </w:r>
          </w:p>
        </w:tc>
        <w:tc>
          <w:tcPr>
            <w:tcW w:w="1716" w:type="dxa"/>
            <w:tcBorders>
              <w:top w:val="nil"/>
              <w:left w:val="nil"/>
              <w:bottom w:val="nil"/>
              <w:right w:val="single" w:sz="8" w:space="0" w:color="BFBFBF"/>
            </w:tcBorders>
            <w:shd w:val="clear" w:color="auto" w:fill="auto"/>
            <w:noWrap/>
            <w:vAlign w:val="bottom"/>
            <w:hideMark/>
          </w:tcPr>
          <w:p w14:paraId="35FDEE11"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(8.159)</w:t>
            </w:r>
          </w:p>
        </w:tc>
        <w:tc>
          <w:tcPr>
            <w:tcW w:w="1697" w:type="dxa"/>
            <w:tcBorders>
              <w:top w:val="nil"/>
              <w:left w:val="nil"/>
              <w:bottom w:val="nil"/>
              <w:right w:val="single" w:sz="8" w:space="0" w:color="BFBFBF"/>
            </w:tcBorders>
            <w:shd w:val="clear" w:color="000000" w:fill="FFFFFF"/>
            <w:noWrap/>
            <w:vAlign w:val="bottom"/>
            <w:hideMark/>
          </w:tcPr>
          <w:p w14:paraId="69A2CBD4"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(409)</w:t>
            </w:r>
          </w:p>
        </w:tc>
      </w:tr>
      <w:tr w:rsidR="00513216" w:rsidRPr="00DE0914" w14:paraId="3B2420EB" w14:textId="77777777" w:rsidTr="00B07AD0">
        <w:trPr>
          <w:trHeight w:val="254"/>
        </w:trPr>
        <w:tc>
          <w:tcPr>
            <w:tcW w:w="6275" w:type="dxa"/>
            <w:tcBorders>
              <w:top w:val="nil"/>
              <w:bottom w:val="nil"/>
              <w:right w:val="single" w:sz="8" w:space="0" w:color="BFBFBF"/>
            </w:tcBorders>
            <w:shd w:val="clear" w:color="auto" w:fill="auto"/>
            <w:vAlign w:val="center"/>
            <w:hideMark/>
          </w:tcPr>
          <w:p w14:paraId="32B4E7A2"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finance expenses</w:t>
            </w:r>
          </w:p>
        </w:tc>
        <w:tc>
          <w:tcPr>
            <w:tcW w:w="1716" w:type="dxa"/>
            <w:tcBorders>
              <w:top w:val="nil"/>
              <w:left w:val="nil"/>
              <w:bottom w:val="nil"/>
              <w:right w:val="single" w:sz="8" w:space="0" w:color="BFBFBF"/>
            </w:tcBorders>
            <w:shd w:val="clear" w:color="auto" w:fill="auto"/>
            <w:noWrap/>
            <w:vAlign w:val="bottom"/>
            <w:hideMark/>
          </w:tcPr>
          <w:p w14:paraId="6126FBE1"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1.598</w:t>
            </w:r>
          </w:p>
        </w:tc>
        <w:tc>
          <w:tcPr>
            <w:tcW w:w="1697" w:type="dxa"/>
            <w:tcBorders>
              <w:top w:val="nil"/>
              <w:left w:val="nil"/>
              <w:bottom w:val="nil"/>
              <w:right w:val="single" w:sz="8" w:space="0" w:color="BFBFBF"/>
            </w:tcBorders>
            <w:shd w:val="clear" w:color="000000" w:fill="FFFFFF"/>
            <w:noWrap/>
            <w:vAlign w:val="bottom"/>
            <w:hideMark/>
          </w:tcPr>
          <w:p w14:paraId="2F99D243"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8.378</w:t>
            </w:r>
          </w:p>
        </w:tc>
      </w:tr>
      <w:tr w:rsidR="00513216" w:rsidRPr="00DE0914" w14:paraId="0EFD9BF2" w14:textId="77777777" w:rsidTr="00B07AD0">
        <w:trPr>
          <w:trHeight w:val="254"/>
        </w:trPr>
        <w:tc>
          <w:tcPr>
            <w:tcW w:w="6275" w:type="dxa"/>
            <w:tcBorders>
              <w:top w:val="nil"/>
              <w:bottom w:val="nil"/>
              <w:right w:val="single" w:sz="8" w:space="0" w:color="BFBFBF"/>
            </w:tcBorders>
            <w:shd w:val="clear" w:color="auto" w:fill="auto"/>
            <w:vAlign w:val="center"/>
            <w:hideMark/>
          </w:tcPr>
          <w:p w14:paraId="740FA345"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Share of net profits in associates using the equity method</w:t>
            </w:r>
          </w:p>
        </w:tc>
        <w:tc>
          <w:tcPr>
            <w:tcW w:w="1716" w:type="dxa"/>
            <w:tcBorders>
              <w:top w:val="nil"/>
              <w:left w:val="nil"/>
              <w:bottom w:val="nil"/>
              <w:right w:val="single" w:sz="8" w:space="0" w:color="BFBFBF"/>
            </w:tcBorders>
            <w:shd w:val="clear" w:color="auto" w:fill="auto"/>
            <w:noWrap/>
            <w:vAlign w:val="bottom"/>
            <w:hideMark/>
          </w:tcPr>
          <w:p w14:paraId="16F78E59"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(82)</w:t>
            </w:r>
          </w:p>
        </w:tc>
        <w:tc>
          <w:tcPr>
            <w:tcW w:w="1697" w:type="dxa"/>
            <w:tcBorders>
              <w:top w:val="nil"/>
              <w:left w:val="nil"/>
              <w:bottom w:val="nil"/>
              <w:right w:val="single" w:sz="8" w:space="0" w:color="BFBFBF"/>
            </w:tcBorders>
            <w:shd w:val="clear" w:color="auto" w:fill="auto"/>
            <w:noWrap/>
            <w:vAlign w:val="bottom"/>
            <w:hideMark/>
          </w:tcPr>
          <w:p w14:paraId="321C9E9C"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15</w:t>
            </w:r>
          </w:p>
        </w:tc>
      </w:tr>
      <w:tr w:rsidR="00513216" w:rsidRPr="00DE0914" w14:paraId="6E85BD23" w14:textId="77777777" w:rsidTr="00B07AD0">
        <w:trPr>
          <w:trHeight w:val="254"/>
        </w:trPr>
        <w:tc>
          <w:tcPr>
            <w:tcW w:w="6275" w:type="dxa"/>
            <w:tcBorders>
              <w:top w:val="nil"/>
              <w:bottom w:val="nil"/>
              <w:right w:val="single" w:sz="8" w:space="0" w:color="BFBFBF"/>
            </w:tcBorders>
            <w:shd w:val="clear" w:color="auto" w:fill="auto"/>
            <w:vAlign w:val="center"/>
            <w:hideMark/>
          </w:tcPr>
          <w:p w14:paraId="32543B27"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w:t>
            </w:r>
          </w:p>
        </w:tc>
        <w:tc>
          <w:tcPr>
            <w:tcW w:w="1716" w:type="dxa"/>
            <w:tcBorders>
              <w:top w:val="nil"/>
              <w:left w:val="nil"/>
              <w:bottom w:val="nil"/>
              <w:right w:val="single" w:sz="8" w:space="0" w:color="BFBFBF"/>
            </w:tcBorders>
            <w:shd w:val="clear" w:color="auto" w:fill="auto"/>
            <w:noWrap/>
            <w:vAlign w:val="bottom"/>
            <w:hideMark/>
          </w:tcPr>
          <w:p w14:paraId="646E0F66" w14:textId="1CC9ECE3"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(1.</w:t>
            </w:r>
            <w:r w:rsidR="003E2C45" w:rsidRPr="00D8079E">
              <w:rPr>
                <w:rFonts w:ascii="Calibri" w:hAnsi="Calibri" w:cs="Calibri"/>
                <w:color w:val="00679B"/>
                <w:kern w:val="0"/>
                <w:sz w:val="22"/>
                <w:szCs w:val="22"/>
                <w:lang w:val="en-GB" w:eastAsia="en-GB"/>
              </w:rPr>
              <w:t>094</w:t>
            </w:r>
            <w:r w:rsidRPr="00D8079E">
              <w:rPr>
                <w:rFonts w:ascii="Calibri" w:hAnsi="Calibri" w:cs="Calibri"/>
                <w:color w:val="00679B"/>
                <w:kern w:val="0"/>
                <w:sz w:val="22"/>
                <w:szCs w:val="22"/>
                <w:lang w:val="en-GB" w:eastAsia="en-GB"/>
              </w:rPr>
              <w:t>)</w:t>
            </w:r>
          </w:p>
        </w:tc>
        <w:tc>
          <w:tcPr>
            <w:tcW w:w="1697" w:type="dxa"/>
            <w:tcBorders>
              <w:top w:val="nil"/>
              <w:left w:val="nil"/>
              <w:bottom w:val="nil"/>
              <w:right w:val="single" w:sz="8" w:space="0" w:color="BFBFBF"/>
            </w:tcBorders>
            <w:shd w:val="clear" w:color="auto" w:fill="auto"/>
            <w:noWrap/>
            <w:vAlign w:val="bottom"/>
            <w:hideMark/>
          </w:tcPr>
          <w:p w14:paraId="6D5199CA"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(40)</w:t>
            </w:r>
          </w:p>
        </w:tc>
      </w:tr>
      <w:tr w:rsidR="00513216" w:rsidRPr="00DE0914" w14:paraId="2C428771" w14:textId="77777777" w:rsidTr="00B07AD0">
        <w:trPr>
          <w:trHeight w:val="254"/>
        </w:trPr>
        <w:tc>
          <w:tcPr>
            <w:tcW w:w="6275" w:type="dxa"/>
            <w:tcBorders>
              <w:top w:val="nil"/>
              <w:bottom w:val="nil"/>
              <w:right w:val="single" w:sz="8" w:space="0" w:color="BFBFBF"/>
            </w:tcBorders>
            <w:shd w:val="clear" w:color="auto" w:fill="auto"/>
            <w:vAlign w:val="center"/>
            <w:hideMark/>
          </w:tcPr>
          <w:p w14:paraId="1BB5D124"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Operating cash flows before changes in working capital</w:t>
            </w:r>
          </w:p>
        </w:tc>
        <w:tc>
          <w:tcPr>
            <w:tcW w:w="1716" w:type="dxa"/>
            <w:tcBorders>
              <w:top w:val="nil"/>
              <w:left w:val="nil"/>
              <w:bottom w:val="nil"/>
              <w:right w:val="single" w:sz="8" w:space="0" w:color="BFBFBF"/>
            </w:tcBorders>
            <w:shd w:val="clear" w:color="auto" w:fill="auto"/>
            <w:noWrap/>
            <w:vAlign w:val="bottom"/>
            <w:hideMark/>
          </w:tcPr>
          <w:p w14:paraId="29251B6F" w14:textId="09918CAC" w:rsidR="00513216" w:rsidRPr="00DE0914" w:rsidRDefault="003E2C45"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8.997</w:t>
            </w:r>
          </w:p>
        </w:tc>
        <w:tc>
          <w:tcPr>
            <w:tcW w:w="1697" w:type="dxa"/>
            <w:tcBorders>
              <w:top w:val="nil"/>
              <w:left w:val="nil"/>
              <w:bottom w:val="nil"/>
              <w:right w:val="single" w:sz="8" w:space="0" w:color="BFBFBF"/>
            </w:tcBorders>
            <w:shd w:val="clear" w:color="auto" w:fill="auto"/>
            <w:noWrap/>
            <w:vAlign w:val="bottom"/>
            <w:hideMark/>
          </w:tcPr>
          <w:p w14:paraId="0F9A447F"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24.121</w:t>
            </w:r>
          </w:p>
        </w:tc>
      </w:tr>
      <w:tr w:rsidR="00513216" w:rsidRPr="00DE0914" w14:paraId="3365205D" w14:textId="77777777" w:rsidTr="00B07AD0">
        <w:trPr>
          <w:trHeight w:val="254"/>
        </w:trPr>
        <w:tc>
          <w:tcPr>
            <w:tcW w:w="6275" w:type="dxa"/>
            <w:tcBorders>
              <w:top w:val="nil"/>
              <w:bottom w:val="nil"/>
              <w:right w:val="single" w:sz="8" w:space="0" w:color="BFBFBF"/>
            </w:tcBorders>
            <w:shd w:val="clear" w:color="auto" w:fill="auto"/>
            <w:vAlign w:val="center"/>
            <w:hideMark/>
          </w:tcPr>
          <w:p w14:paraId="0F52C296" w14:textId="77777777" w:rsidR="00513216" w:rsidRPr="00DE0914" w:rsidRDefault="00513216" w:rsidP="00B07AD0">
            <w:pPr>
              <w:spacing w:before="20" w:after="20"/>
              <w:rPr>
                <w:rFonts w:ascii="Calibri" w:hAnsi="Calibri" w:cs="Calibri"/>
                <w:b/>
                <w:bCs/>
                <w:i/>
                <w:iCs/>
                <w:color w:val="59595B"/>
                <w:kern w:val="0"/>
                <w:sz w:val="22"/>
                <w:szCs w:val="22"/>
                <w:lang w:val="en-GB" w:eastAsia="en-GB"/>
              </w:rPr>
            </w:pPr>
            <w:r w:rsidRPr="00DE0914">
              <w:rPr>
                <w:rFonts w:ascii="Calibri" w:hAnsi="Calibri" w:cs="Calibri"/>
                <w:b/>
                <w:bCs/>
                <w:color w:val="59595B"/>
                <w:kern w:val="0"/>
                <w:sz w:val="22"/>
                <w:szCs w:val="22"/>
                <w:lang w:val="en-GB" w:eastAsia="en-GB"/>
              </w:rPr>
              <w:t>Changes in working capital:</w:t>
            </w:r>
          </w:p>
        </w:tc>
        <w:tc>
          <w:tcPr>
            <w:tcW w:w="1716" w:type="dxa"/>
            <w:tcBorders>
              <w:top w:val="nil"/>
              <w:left w:val="nil"/>
              <w:bottom w:val="nil"/>
              <w:right w:val="single" w:sz="8" w:space="0" w:color="BFBFBF"/>
            </w:tcBorders>
            <w:shd w:val="clear" w:color="auto" w:fill="auto"/>
            <w:noWrap/>
            <w:vAlign w:val="bottom"/>
            <w:hideMark/>
          </w:tcPr>
          <w:p w14:paraId="74FFA15F" w14:textId="77777777" w:rsidR="00513216" w:rsidRPr="00DE0914" w:rsidRDefault="00513216" w:rsidP="00B07AD0">
            <w:pPr>
              <w:spacing w:before="20" w:after="20"/>
              <w:rPr>
                <w:rFonts w:ascii="Calibri" w:hAnsi="Calibri" w:cs="Calibri"/>
                <w:b/>
                <w:bCs/>
                <w:color w:val="00679B"/>
                <w:kern w:val="0"/>
                <w:sz w:val="22"/>
                <w:szCs w:val="22"/>
                <w:lang w:val="en-GB" w:eastAsia="en-GB"/>
              </w:rPr>
            </w:pPr>
          </w:p>
        </w:tc>
        <w:tc>
          <w:tcPr>
            <w:tcW w:w="1697" w:type="dxa"/>
            <w:tcBorders>
              <w:top w:val="nil"/>
              <w:left w:val="nil"/>
              <w:bottom w:val="nil"/>
              <w:right w:val="single" w:sz="8" w:space="0" w:color="BFBFBF"/>
            </w:tcBorders>
            <w:shd w:val="clear" w:color="000000" w:fill="FFFFFF"/>
            <w:noWrap/>
            <w:vAlign w:val="bottom"/>
            <w:hideMark/>
          </w:tcPr>
          <w:p w14:paraId="0DDEB226" w14:textId="77777777" w:rsidR="00513216" w:rsidRPr="00DE0914" w:rsidRDefault="00513216" w:rsidP="00B07AD0">
            <w:pPr>
              <w:spacing w:before="20" w:after="20"/>
              <w:rPr>
                <w:rFonts w:ascii="Calibri" w:hAnsi="Calibri" w:cs="Calibri"/>
                <w:b/>
                <w:bCs/>
                <w:color w:val="59595B"/>
                <w:kern w:val="0"/>
                <w:sz w:val="22"/>
                <w:szCs w:val="22"/>
                <w:lang w:val="en-GB" w:eastAsia="en-GB"/>
              </w:rPr>
            </w:pPr>
          </w:p>
        </w:tc>
      </w:tr>
      <w:tr w:rsidR="00513216" w:rsidRPr="00DE0914" w14:paraId="733B909B" w14:textId="77777777" w:rsidTr="00B07AD0">
        <w:trPr>
          <w:trHeight w:val="254"/>
        </w:trPr>
        <w:tc>
          <w:tcPr>
            <w:tcW w:w="6275" w:type="dxa"/>
            <w:tcBorders>
              <w:top w:val="nil"/>
              <w:bottom w:val="nil"/>
              <w:right w:val="single" w:sz="8" w:space="0" w:color="BFBFBF"/>
            </w:tcBorders>
            <w:shd w:val="clear" w:color="auto" w:fill="auto"/>
            <w:vAlign w:val="center"/>
            <w:hideMark/>
          </w:tcPr>
          <w:p w14:paraId="49977157"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Inventories</w:t>
            </w:r>
          </w:p>
        </w:tc>
        <w:tc>
          <w:tcPr>
            <w:tcW w:w="1716" w:type="dxa"/>
            <w:tcBorders>
              <w:top w:val="nil"/>
              <w:left w:val="nil"/>
              <w:bottom w:val="nil"/>
              <w:right w:val="single" w:sz="8" w:space="0" w:color="BFBFBF"/>
            </w:tcBorders>
            <w:shd w:val="clear" w:color="auto" w:fill="auto"/>
            <w:noWrap/>
            <w:vAlign w:val="bottom"/>
            <w:hideMark/>
          </w:tcPr>
          <w:p w14:paraId="51E4037A"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(608)</w:t>
            </w:r>
          </w:p>
        </w:tc>
        <w:tc>
          <w:tcPr>
            <w:tcW w:w="1697" w:type="dxa"/>
            <w:tcBorders>
              <w:top w:val="nil"/>
              <w:left w:val="nil"/>
              <w:bottom w:val="nil"/>
              <w:right w:val="single" w:sz="8" w:space="0" w:color="BFBFBF"/>
            </w:tcBorders>
            <w:shd w:val="clear" w:color="auto" w:fill="auto"/>
            <w:noWrap/>
            <w:vAlign w:val="bottom"/>
            <w:hideMark/>
          </w:tcPr>
          <w:p w14:paraId="3366363D"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(63)</w:t>
            </w:r>
          </w:p>
        </w:tc>
      </w:tr>
      <w:tr w:rsidR="00513216" w:rsidRPr="00DE0914" w14:paraId="1CCF9E65" w14:textId="77777777" w:rsidTr="00B07AD0">
        <w:trPr>
          <w:trHeight w:val="254"/>
        </w:trPr>
        <w:tc>
          <w:tcPr>
            <w:tcW w:w="6275" w:type="dxa"/>
            <w:tcBorders>
              <w:top w:val="nil"/>
              <w:bottom w:val="nil"/>
              <w:right w:val="single" w:sz="8" w:space="0" w:color="BFBFBF"/>
            </w:tcBorders>
            <w:shd w:val="clear" w:color="auto" w:fill="auto"/>
            <w:vAlign w:val="center"/>
            <w:hideMark/>
          </w:tcPr>
          <w:p w14:paraId="4F279154"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Trade and other receivables</w:t>
            </w:r>
          </w:p>
        </w:tc>
        <w:tc>
          <w:tcPr>
            <w:tcW w:w="1716" w:type="dxa"/>
            <w:tcBorders>
              <w:top w:val="nil"/>
              <w:left w:val="nil"/>
              <w:bottom w:val="nil"/>
              <w:right w:val="single" w:sz="8" w:space="0" w:color="BFBFBF"/>
            </w:tcBorders>
            <w:shd w:val="clear" w:color="auto" w:fill="auto"/>
            <w:noWrap/>
            <w:vAlign w:val="bottom"/>
            <w:hideMark/>
          </w:tcPr>
          <w:p w14:paraId="3BFF29A5"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2.961</w:t>
            </w:r>
          </w:p>
        </w:tc>
        <w:tc>
          <w:tcPr>
            <w:tcW w:w="1697" w:type="dxa"/>
            <w:tcBorders>
              <w:top w:val="nil"/>
              <w:left w:val="nil"/>
              <w:bottom w:val="nil"/>
              <w:right w:val="single" w:sz="8" w:space="0" w:color="BFBFBF"/>
            </w:tcBorders>
            <w:shd w:val="clear" w:color="auto" w:fill="auto"/>
            <w:noWrap/>
            <w:vAlign w:val="bottom"/>
            <w:hideMark/>
          </w:tcPr>
          <w:p w14:paraId="46ED6885"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(5.334)</w:t>
            </w:r>
          </w:p>
        </w:tc>
      </w:tr>
      <w:tr w:rsidR="00513216" w:rsidRPr="00DE0914" w14:paraId="6D28EF76" w14:textId="77777777" w:rsidTr="00B07AD0">
        <w:trPr>
          <w:trHeight w:val="254"/>
        </w:trPr>
        <w:tc>
          <w:tcPr>
            <w:tcW w:w="6275" w:type="dxa"/>
            <w:tcBorders>
              <w:top w:val="nil"/>
              <w:bottom w:val="nil"/>
              <w:right w:val="single" w:sz="8" w:space="0" w:color="BFBFBF"/>
            </w:tcBorders>
            <w:shd w:val="clear" w:color="auto" w:fill="auto"/>
            <w:vAlign w:val="center"/>
            <w:hideMark/>
          </w:tcPr>
          <w:p w14:paraId="63FC47A1"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Payables and other current liabilities</w:t>
            </w:r>
          </w:p>
        </w:tc>
        <w:tc>
          <w:tcPr>
            <w:tcW w:w="1716" w:type="dxa"/>
            <w:tcBorders>
              <w:top w:val="nil"/>
              <w:left w:val="nil"/>
              <w:bottom w:val="nil"/>
              <w:right w:val="single" w:sz="8" w:space="0" w:color="BFBFBF"/>
            </w:tcBorders>
            <w:shd w:val="clear" w:color="auto" w:fill="auto"/>
            <w:noWrap/>
            <w:vAlign w:val="bottom"/>
            <w:hideMark/>
          </w:tcPr>
          <w:p w14:paraId="6054DB81"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(4.006)</w:t>
            </w:r>
          </w:p>
        </w:tc>
        <w:tc>
          <w:tcPr>
            <w:tcW w:w="1697" w:type="dxa"/>
            <w:tcBorders>
              <w:top w:val="nil"/>
              <w:left w:val="nil"/>
              <w:bottom w:val="nil"/>
              <w:right w:val="single" w:sz="8" w:space="0" w:color="BFBFBF"/>
            </w:tcBorders>
            <w:shd w:val="clear" w:color="auto" w:fill="auto"/>
            <w:noWrap/>
            <w:vAlign w:val="bottom"/>
            <w:hideMark/>
          </w:tcPr>
          <w:p w14:paraId="3275D2E8"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2.761</w:t>
            </w:r>
          </w:p>
        </w:tc>
      </w:tr>
      <w:tr w:rsidR="00513216" w:rsidRPr="00DE0914" w14:paraId="3910BB2B" w14:textId="77777777" w:rsidTr="00B07AD0">
        <w:trPr>
          <w:trHeight w:val="254"/>
        </w:trPr>
        <w:tc>
          <w:tcPr>
            <w:tcW w:w="6275" w:type="dxa"/>
            <w:tcBorders>
              <w:top w:val="nil"/>
              <w:bottom w:val="nil"/>
              <w:right w:val="single" w:sz="8" w:space="0" w:color="BFBFBF"/>
            </w:tcBorders>
            <w:shd w:val="clear" w:color="auto" w:fill="auto"/>
            <w:vAlign w:val="center"/>
            <w:hideMark/>
          </w:tcPr>
          <w:p w14:paraId="56777242"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Restricted cash</w:t>
            </w:r>
          </w:p>
        </w:tc>
        <w:tc>
          <w:tcPr>
            <w:tcW w:w="1716" w:type="dxa"/>
            <w:tcBorders>
              <w:top w:val="nil"/>
              <w:left w:val="nil"/>
              <w:bottom w:val="nil"/>
              <w:right w:val="single" w:sz="8" w:space="0" w:color="BFBFBF"/>
            </w:tcBorders>
            <w:shd w:val="clear" w:color="auto" w:fill="auto"/>
            <w:noWrap/>
            <w:vAlign w:val="bottom"/>
            <w:hideMark/>
          </w:tcPr>
          <w:p w14:paraId="3F673980"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(321)</w:t>
            </w:r>
          </w:p>
        </w:tc>
        <w:tc>
          <w:tcPr>
            <w:tcW w:w="1697" w:type="dxa"/>
            <w:tcBorders>
              <w:top w:val="nil"/>
              <w:left w:val="nil"/>
              <w:bottom w:val="nil"/>
              <w:right w:val="single" w:sz="8" w:space="0" w:color="BFBFBF"/>
            </w:tcBorders>
            <w:shd w:val="clear" w:color="auto" w:fill="auto"/>
            <w:noWrap/>
            <w:vAlign w:val="bottom"/>
            <w:hideMark/>
          </w:tcPr>
          <w:p w14:paraId="7615B013"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12</w:t>
            </w:r>
          </w:p>
        </w:tc>
      </w:tr>
      <w:tr w:rsidR="00513216" w:rsidRPr="00DE0914" w14:paraId="63423062" w14:textId="77777777" w:rsidTr="00B07AD0">
        <w:trPr>
          <w:trHeight w:val="254"/>
        </w:trPr>
        <w:tc>
          <w:tcPr>
            <w:tcW w:w="6275" w:type="dxa"/>
            <w:tcBorders>
              <w:top w:val="nil"/>
              <w:bottom w:val="nil"/>
              <w:right w:val="single" w:sz="8" w:space="0" w:color="BFBFBF"/>
            </w:tcBorders>
            <w:shd w:val="clear" w:color="auto" w:fill="auto"/>
            <w:vAlign w:val="center"/>
            <w:hideMark/>
          </w:tcPr>
          <w:p w14:paraId="51E93A9C"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Release contract liabilities</w:t>
            </w:r>
          </w:p>
        </w:tc>
        <w:tc>
          <w:tcPr>
            <w:tcW w:w="1716" w:type="dxa"/>
            <w:tcBorders>
              <w:top w:val="nil"/>
              <w:left w:val="nil"/>
              <w:bottom w:val="nil"/>
              <w:right w:val="single" w:sz="8" w:space="0" w:color="BFBFBF"/>
            </w:tcBorders>
            <w:shd w:val="clear" w:color="auto" w:fill="auto"/>
            <w:noWrap/>
            <w:vAlign w:val="bottom"/>
          </w:tcPr>
          <w:p w14:paraId="7B7A5247" w14:textId="77777777" w:rsidR="00513216" w:rsidRPr="00D8079E" w:rsidRDefault="00513216" w:rsidP="00B07AD0">
            <w:pPr>
              <w:spacing w:before="20" w:after="20"/>
              <w:rPr>
                <w:rFonts w:ascii="Calibri" w:hAnsi="Calibri" w:cs="Calibri"/>
                <w:color w:val="00679B"/>
                <w:kern w:val="0"/>
                <w:sz w:val="22"/>
                <w:szCs w:val="22"/>
                <w:lang w:val="en-GB" w:eastAsia="en-GB"/>
              </w:rPr>
            </w:pPr>
          </w:p>
        </w:tc>
        <w:tc>
          <w:tcPr>
            <w:tcW w:w="1697" w:type="dxa"/>
            <w:tcBorders>
              <w:top w:val="nil"/>
              <w:left w:val="nil"/>
              <w:bottom w:val="nil"/>
              <w:right w:val="single" w:sz="8" w:space="0" w:color="BFBFBF"/>
            </w:tcBorders>
            <w:shd w:val="clear" w:color="auto" w:fill="auto"/>
            <w:noWrap/>
            <w:vAlign w:val="bottom"/>
            <w:hideMark/>
          </w:tcPr>
          <w:p w14:paraId="1EB3654E" w14:textId="77777777" w:rsidR="00513216" w:rsidRPr="00D8079E" w:rsidRDefault="00513216" w:rsidP="00B07AD0">
            <w:pPr>
              <w:spacing w:before="20" w:after="20"/>
              <w:rPr>
                <w:rFonts w:ascii="Calibri" w:hAnsi="Calibri" w:cs="Calibri"/>
                <w:color w:val="59595B"/>
                <w:kern w:val="0"/>
                <w:sz w:val="22"/>
                <w:szCs w:val="22"/>
                <w:lang w:val="en-GB" w:eastAsia="en-GB"/>
              </w:rPr>
            </w:pPr>
          </w:p>
        </w:tc>
      </w:tr>
      <w:tr w:rsidR="00513216" w:rsidRPr="00DE0914" w14:paraId="48DF742C" w14:textId="77777777" w:rsidTr="00B07AD0">
        <w:trPr>
          <w:trHeight w:val="254"/>
        </w:trPr>
        <w:tc>
          <w:tcPr>
            <w:tcW w:w="6275" w:type="dxa"/>
            <w:tcBorders>
              <w:top w:val="nil"/>
              <w:bottom w:val="nil"/>
              <w:right w:val="single" w:sz="8" w:space="0" w:color="BFBFBF"/>
            </w:tcBorders>
            <w:shd w:val="clear" w:color="auto" w:fill="auto"/>
            <w:noWrap/>
            <w:vAlign w:val="center"/>
            <w:hideMark/>
          </w:tcPr>
          <w:p w14:paraId="7D4711A4"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changes in working capital</w:t>
            </w:r>
          </w:p>
        </w:tc>
        <w:tc>
          <w:tcPr>
            <w:tcW w:w="1716" w:type="dxa"/>
            <w:tcBorders>
              <w:top w:val="nil"/>
              <w:left w:val="nil"/>
              <w:bottom w:val="nil"/>
              <w:right w:val="single" w:sz="8" w:space="0" w:color="BFBFBF"/>
            </w:tcBorders>
            <w:shd w:val="clear" w:color="auto" w:fill="auto"/>
            <w:noWrap/>
            <w:vAlign w:val="bottom"/>
            <w:hideMark/>
          </w:tcPr>
          <w:p w14:paraId="2A7CABF4" w14:textId="77777777" w:rsidR="00513216" w:rsidRPr="00DE0914" w:rsidRDefault="00513216"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(1.974)</w:t>
            </w:r>
          </w:p>
        </w:tc>
        <w:tc>
          <w:tcPr>
            <w:tcW w:w="1697" w:type="dxa"/>
            <w:tcBorders>
              <w:top w:val="nil"/>
              <w:left w:val="nil"/>
              <w:bottom w:val="nil"/>
              <w:right w:val="single" w:sz="8" w:space="0" w:color="BFBFBF"/>
            </w:tcBorders>
            <w:shd w:val="clear" w:color="auto" w:fill="auto"/>
            <w:noWrap/>
            <w:vAlign w:val="bottom"/>
            <w:hideMark/>
          </w:tcPr>
          <w:p w14:paraId="0BDD6E5C"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(2.624)</w:t>
            </w:r>
          </w:p>
        </w:tc>
      </w:tr>
      <w:tr w:rsidR="00513216" w:rsidRPr="00DE0914" w14:paraId="5669F3BE" w14:textId="77777777" w:rsidTr="00B07AD0">
        <w:trPr>
          <w:trHeight w:val="254"/>
        </w:trPr>
        <w:tc>
          <w:tcPr>
            <w:tcW w:w="6275" w:type="dxa"/>
            <w:tcBorders>
              <w:top w:val="nil"/>
              <w:bottom w:val="nil"/>
              <w:right w:val="single" w:sz="8" w:space="0" w:color="BFBFBF"/>
            </w:tcBorders>
            <w:shd w:val="clear" w:color="auto" w:fill="auto"/>
            <w:vAlign w:val="center"/>
            <w:hideMark/>
          </w:tcPr>
          <w:p w14:paraId="3F789107"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Interest received</w:t>
            </w:r>
          </w:p>
        </w:tc>
        <w:tc>
          <w:tcPr>
            <w:tcW w:w="1716" w:type="dxa"/>
            <w:tcBorders>
              <w:top w:val="nil"/>
              <w:left w:val="nil"/>
              <w:bottom w:val="nil"/>
              <w:right w:val="single" w:sz="8" w:space="0" w:color="BFBFBF"/>
            </w:tcBorders>
            <w:shd w:val="clear" w:color="auto" w:fill="auto"/>
            <w:noWrap/>
            <w:vAlign w:val="bottom"/>
            <w:hideMark/>
          </w:tcPr>
          <w:p w14:paraId="0F60999B"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38</w:t>
            </w:r>
          </w:p>
        </w:tc>
        <w:tc>
          <w:tcPr>
            <w:tcW w:w="1697" w:type="dxa"/>
            <w:tcBorders>
              <w:top w:val="nil"/>
              <w:left w:val="nil"/>
              <w:bottom w:val="nil"/>
              <w:right w:val="single" w:sz="8" w:space="0" w:color="BFBFBF"/>
            </w:tcBorders>
            <w:shd w:val="clear" w:color="auto" w:fill="auto"/>
            <w:noWrap/>
            <w:vAlign w:val="bottom"/>
            <w:hideMark/>
          </w:tcPr>
          <w:p w14:paraId="07F17D8B"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335</w:t>
            </w:r>
          </w:p>
        </w:tc>
      </w:tr>
      <w:tr w:rsidR="00513216" w:rsidRPr="00DE0914" w14:paraId="35A559B6" w14:textId="77777777" w:rsidTr="00B07AD0">
        <w:trPr>
          <w:trHeight w:val="254"/>
        </w:trPr>
        <w:tc>
          <w:tcPr>
            <w:tcW w:w="6275" w:type="dxa"/>
            <w:tcBorders>
              <w:top w:val="nil"/>
              <w:bottom w:val="single" w:sz="8" w:space="0" w:color="D9D9D9"/>
              <w:right w:val="single" w:sz="8" w:space="0" w:color="BFBFBF"/>
            </w:tcBorders>
            <w:shd w:val="clear" w:color="auto" w:fill="auto"/>
            <w:vAlign w:val="center"/>
            <w:hideMark/>
          </w:tcPr>
          <w:p w14:paraId="39B8AD58"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Income taxes paid</w:t>
            </w:r>
          </w:p>
        </w:tc>
        <w:tc>
          <w:tcPr>
            <w:tcW w:w="1716" w:type="dxa"/>
            <w:tcBorders>
              <w:top w:val="nil"/>
              <w:left w:val="nil"/>
              <w:bottom w:val="single" w:sz="8" w:space="0" w:color="D9D9D9"/>
              <w:right w:val="nil"/>
            </w:tcBorders>
            <w:shd w:val="clear" w:color="auto" w:fill="auto"/>
            <w:noWrap/>
            <w:vAlign w:val="bottom"/>
            <w:hideMark/>
          </w:tcPr>
          <w:p w14:paraId="7CDEE354" w14:textId="46352214" w:rsidR="00513216" w:rsidRPr="00D8079E" w:rsidRDefault="00EB5E20"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w:t>
            </w:r>
          </w:p>
        </w:tc>
        <w:tc>
          <w:tcPr>
            <w:tcW w:w="1697" w:type="dxa"/>
            <w:tcBorders>
              <w:top w:val="nil"/>
              <w:left w:val="single" w:sz="8" w:space="0" w:color="BFBFBF"/>
              <w:bottom w:val="single" w:sz="8" w:space="0" w:color="D9D9D9"/>
              <w:right w:val="single" w:sz="8" w:space="0" w:color="BFBFBF"/>
            </w:tcBorders>
            <w:shd w:val="clear" w:color="000000" w:fill="FFFFFF"/>
            <w:noWrap/>
            <w:vAlign w:val="bottom"/>
            <w:hideMark/>
          </w:tcPr>
          <w:p w14:paraId="0DC40FF8" w14:textId="7F692C95" w:rsidR="00513216" w:rsidRPr="00D8079E" w:rsidRDefault="00EB5E20"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w:t>
            </w:r>
          </w:p>
        </w:tc>
      </w:tr>
      <w:tr w:rsidR="00513216" w:rsidRPr="00DE0914" w14:paraId="239C76EA" w14:textId="77777777" w:rsidTr="00B07AD0">
        <w:trPr>
          <w:trHeight w:val="269"/>
        </w:trPr>
        <w:tc>
          <w:tcPr>
            <w:tcW w:w="6275" w:type="dxa"/>
            <w:tcBorders>
              <w:top w:val="single" w:sz="8" w:space="0" w:color="D9D9D9"/>
              <w:bottom w:val="single" w:sz="8" w:space="0" w:color="BFBFBF"/>
              <w:right w:val="single" w:sz="8" w:space="0" w:color="BFBFBF"/>
            </w:tcBorders>
            <w:shd w:val="clear" w:color="auto" w:fill="auto"/>
            <w:vAlign w:val="center"/>
            <w:hideMark/>
          </w:tcPr>
          <w:p w14:paraId="236F72EF" w14:textId="77777777" w:rsidR="00513216" w:rsidRPr="00DE0914" w:rsidRDefault="00513216" w:rsidP="00B07AD0">
            <w:pPr>
              <w:spacing w:before="20" w:after="20"/>
              <w:rPr>
                <w:rFonts w:ascii="Calibri" w:hAnsi="Calibri" w:cs="Calibri"/>
                <w:b/>
                <w:bCs/>
                <w:color w:val="595959"/>
                <w:kern w:val="0"/>
                <w:sz w:val="22"/>
                <w:szCs w:val="22"/>
                <w:lang w:val="en-GB" w:eastAsia="en-GB"/>
              </w:rPr>
            </w:pPr>
            <w:r w:rsidRPr="00DE0914">
              <w:rPr>
                <w:rFonts w:ascii="Calibri" w:hAnsi="Calibri" w:cs="Calibri"/>
                <w:b/>
                <w:bCs/>
                <w:color w:val="59595B"/>
                <w:kern w:val="0"/>
                <w:sz w:val="22"/>
                <w:szCs w:val="22"/>
                <w:lang w:val="en-GB" w:eastAsia="en-GB"/>
              </w:rPr>
              <w:t>Net cash flows generated from (used in) operating activities</w:t>
            </w:r>
          </w:p>
        </w:tc>
        <w:tc>
          <w:tcPr>
            <w:tcW w:w="1716" w:type="dxa"/>
            <w:tcBorders>
              <w:top w:val="single" w:sz="8" w:space="0" w:color="D9D9D9"/>
              <w:left w:val="nil"/>
              <w:bottom w:val="single" w:sz="8" w:space="0" w:color="BFBFBF"/>
              <w:right w:val="single" w:sz="8" w:space="0" w:color="BFBFBF"/>
            </w:tcBorders>
            <w:shd w:val="clear" w:color="auto" w:fill="auto"/>
            <w:noWrap/>
            <w:vAlign w:val="bottom"/>
            <w:hideMark/>
          </w:tcPr>
          <w:p w14:paraId="0599102C" w14:textId="2FCE4B8C" w:rsidR="00513216" w:rsidRPr="00DE0914" w:rsidRDefault="003E2C45"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7.061</w:t>
            </w:r>
            <w:r w:rsidR="00513216" w:rsidRPr="00DE0914">
              <w:rPr>
                <w:rFonts w:ascii="Calibri" w:hAnsi="Calibri" w:cs="Calibri"/>
                <w:b/>
                <w:bCs/>
                <w:color w:val="00679B"/>
                <w:kern w:val="0"/>
                <w:sz w:val="22"/>
                <w:szCs w:val="22"/>
                <w:lang w:val="en-GB" w:eastAsia="en-GB"/>
              </w:rPr>
              <w:t xml:space="preserve"> </w:t>
            </w:r>
          </w:p>
        </w:tc>
        <w:tc>
          <w:tcPr>
            <w:tcW w:w="1697" w:type="dxa"/>
            <w:tcBorders>
              <w:top w:val="single" w:sz="8" w:space="0" w:color="D9D9D9"/>
              <w:left w:val="nil"/>
              <w:bottom w:val="single" w:sz="8" w:space="0" w:color="BFBFBF"/>
              <w:right w:val="single" w:sz="8" w:space="0" w:color="BFBFBF"/>
            </w:tcBorders>
            <w:shd w:val="clear" w:color="000000" w:fill="FFFFFF"/>
            <w:noWrap/>
            <w:vAlign w:val="bottom"/>
            <w:hideMark/>
          </w:tcPr>
          <w:p w14:paraId="5C0E1730"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xml:space="preserve">21.832 </w:t>
            </w:r>
          </w:p>
        </w:tc>
      </w:tr>
      <w:tr w:rsidR="00513216" w:rsidRPr="00DE0914" w14:paraId="74052394" w14:textId="77777777" w:rsidTr="00B07AD0">
        <w:trPr>
          <w:trHeight w:val="254"/>
        </w:trPr>
        <w:tc>
          <w:tcPr>
            <w:tcW w:w="6275" w:type="dxa"/>
            <w:tcBorders>
              <w:top w:val="nil"/>
              <w:bottom w:val="nil"/>
              <w:right w:val="single" w:sz="8" w:space="0" w:color="BFBFBF"/>
            </w:tcBorders>
            <w:shd w:val="clear" w:color="auto" w:fill="auto"/>
            <w:vAlign w:val="center"/>
            <w:hideMark/>
          </w:tcPr>
          <w:p w14:paraId="448AA6C1"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Capital expenditure for property, plant and equipment</w:t>
            </w:r>
          </w:p>
        </w:tc>
        <w:tc>
          <w:tcPr>
            <w:tcW w:w="1716" w:type="dxa"/>
            <w:tcBorders>
              <w:top w:val="nil"/>
              <w:left w:val="nil"/>
              <w:bottom w:val="nil"/>
              <w:right w:val="nil"/>
            </w:tcBorders>
            <w:shd w:val="clear" w:color="auto" w:fill="auto"/>
            <w:noWrap/>
            <w:vAlign w:val="bottom"/>
            <w:hideMark/>
          </w:tcPr>
          <w:p w14:paraId="162C195A"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(1.956)</w:t>
            </w:r>
          </w:p>
        </w:tc>
        <w:tc>
          <w:tcPr>
            <w:tcW w:w="1697" w:type="dxa"/>
            <w:tcBorders>
              <w:top w:val="nil"/>
              <w:left w:val="single" w:sz="8" w:space="0" w:color="BFBFBF"/>
              <w:bottom w:val="nil"/>
              <w:right w:val="single" w:sz="8" w:space="0" w:color="BFBFBF"/>
            </w:tcBorders>
            <w:shd w:val="clear" w:color="auto" w:fill="auto"/>
            <w:noWrap/>
            <w:vAlign w:val="bottom"/>
            <w:hideMark/>
          </w:tcPr>
          <w:p w14:paraId="34D54001"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(660)</w:t>
            </w:r>
          </w:p>
        </w:tc>
      </w:tr>
      <w:tr w:rsidR="00513216" w:rsidRPr="00DE0914" w14:paraId="11F14633" w14:textId="77777777" w:rsidTr="00B07AD0">
        <w:trPr>
          <w:trHeight w:val="254"/>
        </w:trPr>
        <w:tc>
          <w:tcPr>
            <w:tcW w:w="6275" w:type="dxa"/>
            <w:tcBorders>
              <w:top w:val="nil"/>
              <w:bottom w:val="nil"/>
              <w:right w:val="single" w:sz="8" w:space="0" w:color="BFBFBF"/>
            </w:tcBorders>
            <w:shd w:val="clear" w:color="auto" w:fill="auto"/>
            <w:vAlign w:val="center"/>
            <w:hideMark/>
          </w:tcPr>
          <w:p w14:paraId="0432CDF8"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Investment intangible assets</w:t>
            </w:r>
          </w:p>
        </w:tc>
        <w:tc>
          <w:tcPr>
            <w:tcW w:w="1716" w:type="dxa"/>
            <w:tcBorders>
              <w:top w:val="nil"/>
              <w:left w:val="nil"/>
              <w:bottom w:val="nil"/>
              <w:right w:val="nil"/>
            </w:tcBorders>
            <w:shd w:val="clear" w:color="auto" w:fill="auto"/>
            <w:noWrap/>
            <w:vAlign w:val="bottom"/>
            <w:hideMark/>
          </w:tcPr>
          <w:p w14:paraId="2C145778"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(460)</w:t>
            </w:r>
          </w:p>
        </w:tc>
        <w:tc>
          <w:tcPr>
            <w:tcW w:w="1697" w:type="dxa"/>
            <w:tcBorders>
              <w:top w:val="nil"/>
              <w:left w:val="single" w:sz="8" w:space="0" w:color="BFBFBF"/>
              <w:bottom w:val="nil"/>
              <w:right w:val="single" w:sz="8" w:space="0" w:color="BFBFBF"/>
            </w:tcBorders>
            <w:shd w:val="clear" w:color="auto" w:fill="auto"/>
            <w:noWrap/>
            <w:vAlign w:val="bottom"/>
            <w:hideMark/>
          </w:tcPr>
          <w:p w14:paraId="236C6F29"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(210)</w:t>
            </w:r>
          </w:p>
        </w:tc>
      </w:tr>
      <w:tr w:rsidR="00513216" w:rsidRPr="00DE0914" w14:paraId="16FBFE3B" w14:textId="77777777" w:rsidTr="00B07AD0">
        <w:trPr>
          <w:trHeight w:val="254"/>
        </w:trPr>
        <w:tc>
          <w:tcPr>
            <w:tcW w:w="6275" w:type="dxa"/>
            <w:tcBorders>
              <w:top w:val="nil"/>
              <w:bottom w:val="nil"/>
              <w:right w:val="single" w:sz="8" w:space="0" w:color="BFBFBF"/>
            </w:tcBorders>
            <w:shd w:val="clear" w:color="auto" w:fill="auto"/>
            <w:vAlign w:val="center"/>
            <w:hideMark/>
          </w:tcPr>
          <w:p w14:paraId="701EBEE2"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Investment associate</w:t>
            </w:r>
          </w:p>
        </w:tc>
        <w:tc>
          <w:tcPr>
            <w:tcW w:w="1716" w:type="dxa"/>
            <w:tcBorders>
              <w:top w:val="nil"/>
              <w:left w:val="nil"/>
              <w:bottom w:val="nil"/>
              <w:right w:val="nil"/>
            </w:tcBorders>
            <w:shd w:val="clear" w:color="auto" w:fill="auto"/>
            <w:noWrap/>
            <w:vAlign w:val="bottom"/>
            <w:hideMark/>
          </w:tcPr>
          <w:p w14:paraId="668DD252"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398</w:t>
            </w:r>
          </w:p>
        </w:tc>
        <w:tc>
          <w:tcPr>
            <w:tcW w:w="1697" w:type="dxa"/>
            <w:tcBorders>
              <w:top w:val="nil"/>
              <w:left w:val="single" w:sz="8" w:space="0" w:color="BFBFBF"/>
              <w:bottom w:val="nil"/>
              <w:right w:val="single" w:sz="8" w:space="0" w:color="BFBFBF"/>
            </w:tcBorders>
            <w:shd w:val="clear" w:color="auto" w:fill="auto"/>
            <w:noWrap/>
            <w:vAlign w:val="bottom"/>
            <w:hideMark/>
          </w:tcPr>
          <w:p w14:paraId="69CA751E"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 xml:space="preserve">8 </w:t>
            </w:r>
          </w:p>
        </w:tc>
      </w:tr>
      <w:tr w:rsidR="00513216" w:rsidRPr="00DE0914" w14:paraId="22A5D1B4" w14:textId="77777777" w:rsidTr="00B07AD0">
        <w:trPr>
          <w:trHeight w:val="269"/>
        </w:trPr>
        <w:tc>
          <w:tcPr>
            <w:tcW w:w="6275" w:type="dxa"/>
            <w:tcBorders>
              <w:top w:val="nil"/>
              <w:bottom w:val="single" w:sz="8" w:space="0" w:color="BFBFBF"/>
              <w:right w:val="single" w:sz="8" w:space="0" w:color="BFBFBF"/>
            </w:tcBorders>
            <w:shd w:val="clear" w:color="auto" w:fill="auto"/>
            <w:noWrap/>
            <w:vAlign w:val="bottom"/>
            <w:hideMark/>
          </w:tcPr>
          <w:p w14:paraId="5C54DA59"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Acquisition of license </w:t>
            </w:r>
          </w:p>
        </w:tc>
        <w:tc>
          <w:tcPr>
            <w:tcW w:w="1716" w:type="dxa"/>
            <w:tcBorders>
              <w:top w:val="nil"/>
              <w:left w:val="nil"/>
              <w:bottom w:val="nil"/>
              <w:right w:val="nil"/>
            </w:tcBorders>
            <w:shd w:val="clear" w:color="auto" w:fill="auto"/>
            <w:noWrap/>
            <w:vAlign w:val="bottom"/>
            <w:hideMark/>
          </w:tcPr>
          <w:p w14:paraId="3E497C06"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(547)</w:t>
            </w:r>
          </w:p>
        </w:tc>
        <w:tc>
          <w:tcPr>
            <w:tcW w:w="1697" w:type="dxa"/>
            <w:tcBorders>
              <w:top w:val="nil"/>
              <w:left w:val="single" w:sz="8" w:space="0" w:color="BFBFBF"/>
              <w:bottom w:val="single" w:sz="8" w:space="0" w:color="BFBFBF"/>
              <w:right w:val="single" w:sz="8" w:space="0" w:color="BFBFBF"/>
            </w:tcBorders>
            <w:shd w:val="clear" w:color="auto" w:fill="auto"/>
            <w:noWrap/>
            <w:vAlign w:val="bottom"/>
            <w:hideMark/>
          </w:tcPr>
          <w:p w14:paraId="2427B70A"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(6.077)</w:t>
            </w:r>
          </w:p>
        </w:tc>
      </w:tr>
      <w:tr w:rsidR="00513216" w:rsidRPr="00DE0914" w14:paraId="509453E8" w14:textId="77777777" w:rsidTr="00B07AD0">
        <w:trPr>
          <w:trHeight w:val="269"/>
        </w:trPr>
        <w:tc>
          <w:tcPr>
            <w:tcW w:w="6275" w:type="dxa"/>
            <w:tcBorders>
              <w:top w:val="nil"/>
              <w:bottom w:val="single" w:sz="8" w:space="0" w:color="BFBFBF"/>
              <w:right w:val="single" w:sz="8" w:space="0" w:color="BFBFBF"/>
            </w:tcBorders>
            <w:shd w:val="clear" w:color="auto" w:fill="auto"/>
            <w:vAlign w:val="center"/>
            <w:hideMark/>
          </w:tcPr>
          <w:p w14:paraId="4E6A9C6A" w14:textId="77777777" w:rsidR="00513216" w:rsidRPr="00DE0914" w:rsidRDefault="00513216" w:rsidP="00B07AD0">
            <w:pPr>
              <w:spacing w:before="20" w:after="20"/>
              <w:rPr>
                <w:rFonts w:ascii="Calibri" w:hAnsi="Calibri" w:cs="Calibri"/>
                <w:b/>
                <w:bCs/>
                <w:color w:val="595959"/>
                <w:kern w:val="0"/>
                <w:sz w:val="22"/>
                <w:szCs w:val="22"/>
                <w:lang w:val="en-GB" w:eastAsia="en-GB"/>
              </w:rPr>
            </w:pPr>
            <w:r w:rsidRPr="00DE0914">
              <w:rPr>
                <w:rFonts w:ascii="Calibri" w:hAnsi="Calibri" w:cs="Calibri"/>
                <w:b/>
                <w:bCs/>
                <w:color w:val="59595B"/>
                <w:kern w:val="0"/>
                <w:sz w:val="22"/>
                <w:szCs w:val="22"/>
                <w:lang w:val="en-GB" w:eastAsia="en-GB"/>
              </w:rPr>
              <w:t>Net cash flows used in investing activities</w:t>
            </w:r>
          </w:p>
        </w:tc>
        <w:tc>
          <w:tcPr>
            <w:tcW w:w="1716" w:type="dxa"/>
            <w:tcBorders>
              <w:top w:val="single" w:sz="8" w:space="0" w:color="BFBFBF"/>
              <w:left w:val="nil"/>
              <w:bottom w:val="single" w:sz="8" w:space="0" w:color="BFBFBF"/>
              <w:right w:val="single" w:sz="8" w:space="0" w:color="BFBFBF"/>
            </w:tcBorders>
            <w:shd w:val="clear" w:color="auto" w:fill="auto"/>
            <w:noWrap/>
            <w:vAlign w:val="bottom"/>
            <w:hideMark/>
          </w:tcPr>
          <w:p w14:paraId="6AFF66EC" w14:textId="77777777" w:rsidR="00513216" w:rsidRPr="00DE0914" w:rsidRDefault="00513216"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(2.565)</w:t>
            </w:r>
          </w:p>
        </w:tc>
        <w:tc>
          <w:tcPr>
            <w:tcW w:w="1697" w:type="dxa"/>
            <w:tcBorders>
              <w:top w:val="nil"/>
              <w:left w:val="nil"/>
              <w:bottom w:val="single" w:sz="8" w:space="0" w:color="BFBFBF"/>
              <w:right w:val="single" w:sz="8" w:space="0" w:color="BFBFBF"/>
            </w:tcBorders>
            <w:shd w:val="clear" w:color="000000" w:fill="FFFFFF"/>
            <w:noWrap/>
            <w:vAlign w:val="bottom"/>
            <w:hideMark/>
          </w:tcPr>
          <w:p w14:paraId="631C5276"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(6.939)</w:t>
            </w:r>
          </w:p>
        </w:tc>
      </w:tr>
      <w:tr w:rsidR="00513216" w:rsidRPr="00DE0914" w14:paraId="29E01D5F" w14:textId="77777777" w:rsidTr="00B07AD0">
        <w:trPr>
          <w:trHeight w:val="254"/>
        </w:trPr>
        <w:tc>
          <w:tcPr>
            <w:tcW w:w="6275" w:type="dxa"/>
            <w:tcBorders>
              <w:top w:val="nil"/>
              <w:bottom w:val="nil"/>
              <w:right w:val="single" w:sz="8" w:space="0" w:color="BFBFBF"/>
            </w:tcBorders>
            <w:shd w:val="clear" w:color="auto" w:fill="auto"/>
            <w:vAlign w:val="center"/>
            <w:hideMark/>
          </w:tcPr>
          <w:p w14:paraId="6563B95B"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Repayment on loans and borrowings</w:t>
            </w:r>
          </w:p>
        </w:tc>
        <w:tc>
          <w:tcPr>
            <w:tcW w:w="1716" w:type="dxa"/>
            <w:tcBorders>
              <w:top w:val="nil"/>
              <w:left w:val="nil"/>
              <w:bottom w:val="nil"/>
              <w:right w:val="single" w:sz="8" w:space="0" w:color="BFBFBF"/>
            </w:tcBorders>
            <w:shd w:val="clear" w:color="auto" w:fill="auto"/>
            <w:noWrap/>
            <w:vAlign w:val="bottom"/>
            <w:hideMark/>
          </w:tcPr>
          <w:p w14:paraId="3DCABC3D" w14:textId="54345132" w:rsidR="00513216" w:rsidRPr="00D8079E" w:rsidRDefault="000464D4"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w:t>
            </w:r>
          </w:p>
        </w:tc>
        <w:tc>
          <w:tcPr>
            <w:tcW w:w="1697" w:type="dxa"/>
            <w:tcBorders>
              <w:top w:val="nil"/>
              <w:left w:val="nil"/>
              <w:bottom w:val="nil"/>
              <w:right w:val="single" w:sz="8" w:space="0" w:color="BFBFBF"/>
            </w:tcBorders>
            <w:shd w:val="clear" w:color="auto" w:fill="auto"/>
            <w:noWrap/>
            <w:vAlign w:val="bottom"/>
            <w:hideMark/>
          </w:tcPr>
          <w:p w14:paraId="25A44462"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(54.965)</w:t>
            </w:r>
          </w:p>
        </w:tc>
      </w:tr>
      <w:tr w:rsidR="00513216" w:rsidRPr="00DE0914" w14:paraId="72D6DD05" w14:textId="77777777" w:rsidTr="00B07AD0">
        <w:trPr>
          <w:trHeight w:val="254"/>
        </w:trPr>
        <w:tc>
          <w:tcPr>
            <w:tcW w:w="6275" w:type="dxa"/>
            <w:tcBorders>
              <w:top w:val="nil"/>
              <w:bottom w:val="nil"/>
              <w:right w:val="single" w:sz="8" w:space="0" w:color="BFBFBF"/>
            </w:tcBorders>
            <w:shd w:val="clear" w:color="auto" w:fill="auto"/>
            <w:vAlign w:val="center"/>
            <w:hideMark/>
          </w:tcPr>
          <w:p w14:paraId="15D3A114"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Payment on contingent consideration</w:t>
            </w:r>
          </w:p>
        </w:tc>
        <w:tc>
          <w:tcPr>
            <w:tcW w:w="1716" w:type="dxa"/>
            <w:tcBorders>
              <w:top w:val="nil"/>
              <w:left w:val="nil"/>
              <w:bottom w:val="nil"/>
              <w:right w:val="single" w:sz="8" w:space="0" w:color="BFBFBF"/>
            </w:tcBorders>
            <w:shd w:val="clear" w:color="auto" w:fill="auto"/>
            <w:noWrap/>
            <w:vAlign w:val="bottom"/>
            <w:hideMark/>
          </w:tcPr>
          <w:p w14:paraId="72D72E64"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w:t>
            </w:r>
          </w:p>
        </w:tc>
        <w:tc>
          <w:tcPr>
            <w:tcW w:w="1697" w:type="dxa"/>
            <w:tcBorders>
              <w:top w:val="nil"/>
              <w:left w:val="nil"/>
              <w:bottom w:val="nil"/>
              <w:right w:val="single" w:sz="8" w:space="0" w:color="BFBFBF"/>
            </w:tcBorders>
            <w:shd w:val="clear" w:color="auto" w:fill="auto"/>
            <w:noWrap/>
            <w:vAlign w:val="bottom"/>
            <w:hideMark/>
          </w:tcPr>
          <w:p w14:paraId="441BA006"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(20.039)</w:t>
            </w:r>
          </w:p>
        </w:tc>
      </w:tr>
      <w:tr w:rsidR="00513216" w:rsidRPr="00DE0914" w14:paraId="246E62CE" w14:textId="77777777" w:rsidTr="00B07AD0">
        <w:trPr>
          <w:trHeight w:val="254"/>
        </w:trPr>
        <w:tc>
          <w:tcPr>
            <w:tcW w:w="6275" w:type="dxa"/>
            <w:tcBorders>
              <w:top w:val="nil"/>
              <w:bottom w:val="nil"/>
              <w:right w:val="single" w:sz="8" w:space="0" w:color="BFBFBF"/>
            </w:tcBorders>
            <w:shd w:val="clear" w:color="auto" w:fill="auto"/>
            <w:vAlign w:val="center"/>
            <w:hideMark/>
          </w:tcPr>
          <w:p w14:paraId="37E9F6AA"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Payment of lease liabilities</w:t>
            </w:r>
          </w:p>
        </w:tc>
        <w:tc>
          <w:tcPr>
            <w:tcW w:w="1716" w:type="dxa"/>
            <w:tcBorders>
              <w:top w:val="nil"/>
              <w:left w:val="nil"/>
              <w:bottom w:val="nil"/>
              <w:right w:val="single" w:sz="8" w:space="0" w:color="BFBFBF"/>
            </w:tcBorders>
            <w:shd w:val="clear" w:color="auto" w:fill="auto"/>
            <w:noWrap/>
            <w:vAlign w:val="bottom"/>
            <w:hideMark/>
          </w:tcPr>
          <w:p w14:paraId="25A89653"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(554)</w:t>
            </w:r>
          </w:p>
        </w:tc>
        <w:tc>
          <w:tcPr>
            <w:tcW w:w="1697" w:type="dxa"/>
            <w:tcBorders>
              <w:top w:val="nil"/>
              <w:left w:val="nil"/>
              <w:bottom w:val="nil"/>
              <w:right w:val="single" w:sz="8" w:space="0" w:color="BFBFBF"/>
            </w:tcBorders>
            <w:shd w:val="clear" w:color="auto" w:fill="auto"/>
            <w:noWrap/>
            <w:vAlign w:val="bottom"/>
            <w:hideMark/>
          </w:tcPr>
          <w:p w14:paraId="4F9BBB54"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(525)</w:t>
            </w:r>
          </w:p>
        </w:tc>
      </w:tr>
      <w:tr w:rsidR="00513216" w:rsidRPr="00DE0914" w14:paraId="189477F8" w14:textId="77777777" w:rsidTr="00B07AD0">
        <w:trPr>
          <w:trHeight w:val="254"/>
        </w:trPr>
        <w:tc>
          <w:tcPr>
            <w:tcW w:w="6275" w:type="dxa"/>
            <w:tcBorders>
              <w:top w:val="nil"/>
              <w:bottom w:val="nil"/>
              <w:right w:val="single" w:sz="8" w:space="0" w:color="BFBFBF"/>
            </w:tcBorders>
            <w:shd w:val="clear" w:color="auto" w:fill="auto"/>
            <w:vAlign w:val="center"/>
            <w:hideMark/>
          </w:tcPr>
          <w:p w14:paraId="39D131C8"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Proceeds of issued convertible bonds</w:t>
            </w:r>
          </w:p>
        </w:tc>
        <w:tc>
          <w:tcPr>
            <w:tcW w:w="1716" w:type="dxa"/>
            <w:tcBorders>
              <w:top w:val="nil"/>
              <w:left w:val="nil"/>
              <w:bottom w:val="nil"/>
              <w:right w:val="single" w:sz="8" w:space="0" w:color="BFBFBF"/>
            </w:tcBorders>
            <w:shd w:val="clear" w:color="auto" w:fill="auto"/>
            <w:noWrap/>
            <w:vAlign w:val="bottom"/>
            <w:hideMark/>
          </w:tcPr>
          <w:p w14:paraId="296FA14C"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w:t>
            </w:r>
          </w:p>
        </w:tc>
        <w:tc>
          <w:tcPr>
            <w:tcW w:w="1697" w:type="dxa"/>
            <w:tcBorders>
              <w:top w:val="nil"/>
              <w:left w:val="nil"/>
              <w:bottom w:val="nil"/>
              <w:right w:val="single" w:sz="8" w:space="0" w:color="BFBFBF"/>
            </w:tcBorders>
            <w:shd w:val="clear" w:color="auto" w:fill="auto"/>
            <w:noWrap/>
            <w:vAlign w:val="bottom"/>
            <w:hideMark/>
          </w:tcPr>
          <w:p w14:paraId="3A8B99B5" w14:textId="55913D74" w:rsidR="00513216" w:rsidRPr="00D8079E" w:rsidRDefault="0094439B"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138.124</w:t>
            </w:r>
          </w:p>
        </w:tc>
      </w:tr>
      <w:tr w:rsidR="00513216" w:rsidRPr="00DE0914" w14:paraId="043DCF5C" w14:textId="77777777" w:rsidTr="00B07AD0">
        <w:trPr>
          <w:trHeight w:val="254"/>
        </w:trPr>
        <w:tc>
          <w:tcPr>
            <w:tcW w:w="6275" w:type="dxa"/>
            <w:tcBorders>
              <w:top w:val="nil"/>
              <w:bottom w:val="nil"/>
              <w:right w:val="single" w:sz="8" w:space="0" w:color="BFBFBF"/>
            </w:tcBorders>
            <w:shd w:val="clear" w:color="auto" w:fill="auto"/>
            <w:vAlign w:val="center"/>
            <w:hideMark/>
          </w:tcPr>
          <w:p w14:paraId="12CB15F3"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Transaction costs related to issued convertible bond</w:t>
            </w:r>
          </w:p>
        </w:tc>
        <w:tc>
          <w:tcPr>
            <w:tcW w:w="1716" w:type="dxa"/>
            <w:tcBorders>
              <w:top w:val="nil"/>
              <w:left w:val="nil"/>
              <w:bottom w:val="nil"/>
              <w:right w:val="single" w:sz="8" w:space="0" w:color="BFBFBF"/>
            </w:tcBorders>
            <w:shd w:val="clear" w:color="auto" w:fill="auto"/>
            <w:noWrap/>
            <w:vAlign w:val="bottom"/>
            <w:hideMark/>
          </w:tcPr>
          <w:p w14:paraId="1415CF3E"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w:t>
            </w:r>
          </w:p>
        </w:tc>
        <w:tc>
          <w:tcPr>
            <w:tcW w:w="1697" w:type="dxa"/>
            <w:tcBorders>
              <w:top w:val="nil"/>
              <w:left w:val="nil"/>
              <w:bottom w:val="nil"/>
              <w:right w:val="single" w:sz="8" w:space="0" w:color="BFBFBF"/>
            </w:tcBorders>
            <w:shd w:val="clear" w:color="auto" w:fill="auto"/>
            <w:noWrap/>
            <w:vAlign w:val="bottom"/>
            <w:hideMark/>
          </w:tcPr>
          <w:p w14:paraId="23BC2756" w14:textId="5B9DE852" w:rsidR="00513216" w:rsidRPr="00D8079E" w:rsidRDefault="00B16321"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(2</w:t>
            </w:r>
            <w:r w:rsidR="00744A91" w:rsidRPr="00D8079E">
              <w:rPr>
                <w:rFonts w:ascii="Calibri" w:hAnsi="Calibri" w:cs="Calibri"/>
                <w:color w:val="59595B"/>
                <w:kern w:val="0"/>
                <w:sz w:val="22"/>
                <w:szCs w:val="22"/>
                <w:lang w:val="en-GB" w:eastAsia="en-GB"/>
              </w:rPr>
              <w:t>.561)</w:t>
            </w:r>
          </w:p>
        </w:tc>
      </w:tr>
      <w:tr w:rsidR="00513216" w:rsidRPr="00DE0914" w14:paraId="79099B12" w14:textId="77777777" w:rsidTr="00B07AD0">
        <w:trPr>
          <w:trHeight w:val="254"/>
        </w:trPr>
        <w:tc>
          <w:tcPr>
            <w:tcW w:w="6275" w:type="dxa"/>
            <w:tcBorders>
              <w:top w:val="nil"/>
              <w:bottom w:val="nil"/>
              <w:right w:val="single" w:sz="8" w:space="0" w:color="BFBFBF"/>
            </w:tcBorders>
            <w:shd w:val="clear" w:color="auto" w:fill="auto"/>
            <w:vAlign w:val="center"/>
            <w:hideMark/>
          </w:tcPr>
          <w:p w14:paraId="5248A9FA"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Interests on loans</w:t>
            </w:r>
          </w:p>
        </w:tc>
        <w:tc>
          <w:tcPr>
            <w:tcW w:w="1716" w:type="dxa"/>
            <w:tcBorders>
              <w:top w:val="nil"/>
              <w:left w:val="nil"/>
              <w:bottom w:val="nil"/>
              <w:right w:val="single" w:sz="8" w:space="0" w:color="BFBFBF"/>
            </w:tcBorders>
            <w:shd w:val="clear" w:color="auto" w:fill="auto"/>
            <w:noWrap/>
            <w:vAlign w:val="bottom"/>
            <w:hideMark/>
          </w:tcPr>
          <w:p w14:paraId="48ADC671"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(2.266)</w:t>
            </w:r>
          </w:p>
        </w:tc>
        <w:tc>
          <w:tcPr>
            <w:tcW w:w="1697" w:type="dxa"/>
            <w:tcBorders>
              <w:top w:val="nil"/>
              <w:left w:val="nil"/>
              <w:bottom w:val="nil"/>
              <w:right w:val="single" w:sz="8" w:space="0" w:color="BFBFBF"/>
            </w:tcBorders>
            <w:shd w:val="clear" w:color="auto" w:fill="auto"/>
            <w:noWrap/>
            <w:vAlign w:val="bottom"/>
            <w:hideMark/>
          </w:tcPr>
          <w:p w14:paraId="4DA2C919"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(382)</w:t>
            </w:r>
          </w:p>
        </w:tc>
      </w:tr>
      <w:tr w:rsidR="00513216" w:rsidRPr="00DE0914" w14:paraId="275843DA" w14:textId="77777777" w:rsidTr="00B07AD0">
        <w:trPr>
          <w:trHeight w:val="254"/>
        </w:trPr>
        <w:tc>
          <w:tcPr>
            <w:tcW w:w="6275" w:type="dxa"/>
            <w:tcBorders>
              <w:top w:val="nil"/>
              <w:bottom w:val="nil"/>
              <w:right w:val="nil"/>
            </w:tcBorders>
            <w:shd w:val="clear" w:color="auto" w:fill="auto"/>
            <w:vAlign w:val="center"/>
            <w:hideMark/>
          </w:tcPr>
          <w:p w14:paraId="008EFD53"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Interests on leases</w:t>
            </w:r>
          </w:p>
        </w:tc>
        <w:tc>
          <w:tcPr>
            <w:tcW w:w="1716" w:type="dxa"/>
            <w:tcBorders>
              <w:top w:val="nil"/>
              <w:left w:val="single" w:sz="8" w:space="0" w:color="BFBFBF"/>
              <w:bottom w:val="nil"/>
              <w:right w:val="single" w:sz="8" w:space="0" w:color="BFBFBF"/>
            </w:tcBorders>
            <w:shd w:val="clear" w:color="auto" w:fill="auto"/>
            <w:noWrap/>
            <w:vAlign w:val="bottom"/>
            <w:hideMark/>
          </w:tcPr>
          <w:p w14:paraId="08990F54"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(234)</w:t>
            </w:r>
          </w:p>
        </w:tc>
        <w:tc>
          <w:tcPr>
            <w:tcW w:w="1697" w:type="dxa"/>
            <w:tcBorders>
              <w:top w:val="nil"/>
              <w:left w:val="nil"/>
              <w:bottom w:val="nil"/>
              <w:right w:val="single" w:sz="8" w:space="0" w:color="BFBFBF"/>
            </w:tcBorders>
            <w:shd w:val="clear" w:color="auto" w:fill="auto"/>
            <w:noWrap/>
            <w:vAlign w:val="bottom"/>
            <w:hideMark/>
          </w:tcPr>
          <w:p w14:paraId="72EDC981"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w:t>
            </w:r>
          </w:p>
        </w:tc>
      </w:tr>
      <w:tr w:rsidR="00513216" w:rsidRPr="00DE0914" w14:paraId="45FBC35C" w14:textId="77777777" w:rsidTr="00B07AD0">
        <w:trPr>
          <w:trHeight w:val="269"/>
        </w:trPr>
        <w:tc>
          <w:tcPr>
            <w:tcW w:w="6275" w:type="dxa"/>
            <w:tcBorders>
              <w:top w:val="nil"/>
              <w:bottom w:val="single" w:sz="8" w:space="0" w:color="BFBFBF"/>
              <w:right w:val="single" w:sz="8" w:space="0" w:color="BFBFBF"/>
            </w:tcBorders>
            <w:shd w:val="clear" w:color="auto" w:fill="auto"/>
            <w:noWrap/>
            <w:vAlign w:val="bottom"/>
            <w:hideMark/>
          </w:tcPr>
          <w:p w14:paraId="002FC64F"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Proceeds of equity and warrants </w:t>
            </w:r>
          </w:p>
        </w:tc>
        <w:tc>
          <w:tcPr>
            <w:tcW w:w="1716" w:type="dxa"/>
            <w:tcBorders>
              <w:top w:val="nil"/>
              <w:left w:val="nil"/>
              <w:bottom w:val="nil"/>
              <w:right w:val="single" w:sz="8" w:space="0" w:color="BFBFBF"/>
            </w:tcBorders>
            <w:shd w:val="clear" w:color="auto" w:fill="auto"/>
            <w:noWrap/>
            <w:vAlign w:val="bottom"/>
            <w:hideMark/>
          </w:tcPr>
          <w:p w14:paraId="43D77C72" w14:textId="18350205" w:rsidR="00513216" w:rsidRPr="00D8079E" w:rsidRDefault="000663AA"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674</w:t>
            </w:r>
          </w:p>
        </w:tc>
        <w:tc>
          <w:tcPr>
            <w:tcW w:w="1697" w:type="dxa"/>
            <w:tcBorders>
              <w:top w:val="nil"/>
              <w:left w:val="nil"/>
              <w:bottom w:val="single" w:sz="8" w:space="0" w:color="BFBFBF"/>
              <w:right w:val="single" w:sz="8" w:space="0" w:color="BFBFBF"/>
            </w:tcBorders>
            <w:shd w:val="clear" w:color="auto" w:fill="auto"/>
            <w:noWrap/>
            <w:vAlign w:val="bottom"/>
            <w:hideMark/>
          </w:tcPr>
          <w:p w14:paraId="3CCE00A6"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547</w:t>
            </w:r>
          </w:p>
        </w:tc>
      </w:tr>
      <w:tr w:rsidR="00513216" w:rsidRPr="00DE0914" w14:paraId="0923A44C" w14:textId="77777777" w:rsidTr="00B07AD0">
        <w:trPr>
          <w:trHeight w:val="269"/>
        </w:trPr>
        <w:tc>
          <w:tcPr>
            <w:tcW w:w="6275" w:type="dxa"/>
            <w:tcBorders>
              <w:top w:val="nil"/>
              <w:bottom w:val="single" w:sz="8" w:space="0" w:color="BFBFBF"/>
              <w:right w:val="single" w:sz="8" w:space="0" w:color="BFBFBF"/>
            </w:tcBorders>
            <w:shd w:val="clear" w:color="auto" w:fill="auto"/>
            <w:vAlign w:val="center"/>
            <w:hideMark/>
          </w:tcPr>
          <w:p w14:paraId="66827F34"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Net cash flows generated from (used in) financing activities</w:t>
            </w:r>
          </w:p>
        </w:tc>
        <w:tc>
          <w:tcPr>
            <w:tcW w:w="1716" w:type="dxa"/>
            <w:tcBorders>
              <w:top w:val="single" w:sz="8" w:space="0" w:color="BFBFBF"/>
              <w:left w:val="nil"/>
              <w:bottom w:val="single" w:sz="8" w:space="0" w:color="BFBFBF"/>
              <w:right w:val="single" w:sz="8" w:space="0" w:color="BFBFBF"/>
            </w:tcBorders>
            <w:shd w:val="clear" w:color="auto" w:fill="auto"/>
            <w:noWrap/>
            <w:vAlign w:val="bottom"/>
            <w:hideMark/>
          </w:tcPr>
          <w:p w14:paraId="3756E57A" w14:textId="449B2A38" w:rsidR="00513216" w:rsidRPr="00DE0914" w:rsidRDefault="00513216"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(2.38</w:t>
            </w:r>
            <w:r w:rsidR="000663AA" w:rsidRPr="00DE0914">
              <w:rPr>
                <w:rFonts w:ascii="Calibri" w:hAnsi="Calibri" w:cs="Calibri"/>
                <w:b/>
                <w:bCs/>
                <w:color w:val="00679B"/>
                <w:kern w:val="0"/>
                <w:sz w:val="22"/>
                <w:szCs w:val="22"/>
                <w:lang w:val="en-GB" w:eastAsia="en-GB"/>
              </w:rPr>
              <w:t>0</w:t>
            </w:r>
            <w:r w:rsidRPr="00DE0914">
              <w:rPr>
                <w:rFonts w:ascii="Calibri" w:hAnsi="Calibri" w:cs="Calibri"/>
                <w:b/>
                <w:bCs/>
                <w:color w:val="00679B"/>
                <w:kern w:val="0"/>
                <w:sz w:val="22"/>
                <w:szCs w:val="22"/>
                <w:lang w:val="en-GB" w:eastAsia="en-GB"/>
              </w:rPr>
              <w:t>)</w:t>
            </w:r>
          </w:p>
        </w:tc>
        <w:tc>
          <w:tcPr>
            <w:tcW w:w="1697" w:type="dxa"/>
            <w:tcBorders>
              <w:top w:val="nil"/>
              <w:left w:val="nil"/>
              <w:bottom w:val="single" w:sz="8" w:space="0" w:color="BFBFBF"/>
              <w:right w:val="single" w:sz="8" w:space="0" w:color="BFBFBF"/>
            </w:tcBorders>
            <w:shd w:val="clear" w:color="000000" w:fill="FFFFFF"/>
            <w:noWrap/>
            <w:vAlign w:val="bottom"/>
            <w:hideMark/>
          </w:tcPr>
          <w:p w14:paraId="1BAE4F44"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60.199</w:t>
            </w:r>
          </w:p>
        </w:tc>
      </w:tr>
      <w:tr w:rsidR="00513216" w:rsidRPr="00DE0914" w14:paraId="3CE976D4" w14:textId="77777777" w:rsidTr="00B07AD0">
        <w:trPr>
          <w:trHeight w:val="254"/>
        </w:trPr>
        <w:tc>
          <w:tcPr>
            <w:tcW w:w="6275" w:type="dxa"/>
            <w:tcBorders>
              <w:top w:val="nil"/>
              <w:bottom w:val="nil"/>
              <w:right w:val="single" w:sz="8" w:space="0" w:color="BFBFBF"/>
            </w:tcBorders>
            <w:shd w:val="clear" w:color="auto" w:fill="auto"/>
            <w:vAlign w:val="center"/>
            <w:hideMark/>
          </w:tcPr>
          <w:p w14:paraId="37629AC0"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Increase (decrease) of cash</w:t>
            </w:r>
          </w:p>
        </w:tc>
        <w:tc>
          <w:tcPr>
            <w:tcW w:w="1716" w:type="dxa"/>
            <w:tcBorders>
              <w:top w:val="nil"/>
              <w:left w:val="nil"/>
              <w:bottom w:val="nil"/>
              <w:right w:val="single" w:sz="8" w:space="0" w:color="BFBFBF"/>
            </w:tcBorders>
            <w:shd w:val="clear" w:color="auto" w:fill="auto"/>
            <w:noWrap/>
            <w:vAlign w:val="bottom"/>
            <w:hideMark/>
          </w:tcPr>
          <w:p w14:paraId="5CD798DB" w14:textId="77777777" w:rsidR="00513216" w:rsidRPr="00DE0914" w:rsidRDefault="00513216"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2.116 </w:t>
            </w:r>
          </w:p>
        </w:tc>
        <w:tc>
          <w:tcPr>
            <w:tcW w:w="1697" w:type="dxa"/>
            <w:tcBorders>
              <w:top w:val="nil"/>
              <w:left w:val="nil"/>
              <w:bottom w:val="nil"/>
              <w:right w:val="single" w:sz="8" w:space="0" w:color="BFBFBF"/>
            </w:tcBorders>
            <w:shd w:val="clear" w:color="000000" w:fill="FFFFFF"/>
            <w:noWrap/>
            <w:vAlign w:val="bottom"/>
            <w:hideMark/>
          </w:tcPr>
          <w:p w14:paraId="560FF2FB"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75.092</w:t>
            </w:r>
          </w:p>
        </w:tc>
      </w:tr>
      <w:tr w:rsidR="00513216" w:rsidRPr="00DE0914" w14:paraId="7D7ABEF8" w14:textId="77777777" w:rsidTr="00B07AD0">
        <w:trPr>
          <w:trHeight w:val="254"/>
        </w:trPr>
        <w:tc>
          <w:tcPr>
            <w:tcW w:w="6275" w:type="dxa"/>
            <w:tcBorders>
              <w:top w:val="nil"/>
              <w:bottom w:val="nil"/>
              <w:right w:val="single" w:sz="8" w:space="0" w:color="BFBFBF"/>
            </w:tcBorders>
            <w:shd w:val="clear" w:color="auto" w:fill="auto"/>
            <w:vAlign w:val="center"/>
            <w:hideMark/>
          </w:tcPr>
          <w:p w14:paraId="63806F37"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Exchange rate effects</w:t>
            </w:r>
          </w:p>
        </w:tc>
        <w:tc>
          <w:tcPr>
            <w:tcW w:w="1716" w:type="dxa"/>
            <w:tcBorders>
              <w:top w:val="nil"/>
              <w:left w:val="nil"/>
              <w:bottom w:val="nil"/>
              <w:right w:val="single" w:sz="8" w:space="0" w:color="BFBFBF"/>
            </w:tcBorders>
            <w:shd w:val="clear" w:color="auto" w:fill="auto"/>
            <w:noWrap/>
            <w:vAlign w:val="bottom"/>
            <w:hideMark/>
          </w:tcPr>
          <w:p w14:paraId="513786C4"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(650)</w:t>
            </w:r>
          </w:p>
        </w:tc>
        <w:tc>
          <w:tcPr>
            <w:tcW w:w="1697" w:type="dxa"/>
            <w:tcBorders>
              <w:top w:val="nil"/>
              <w:left w:val="nil"/>
              <w:bottom w:val="nil"/>
              <w:right w:val="single" w:sz="8" w:space="0" w:color="BFBFBF"/>
            </w:tcBorders>
            <w:shd w:val="clear" w:color="000000" w:fill="FFFFFF"/>
            <w:noWrap/>
            <w:vAlign w:val="bottom"/>
            <w:hideMark/>
          </w:tcPr>
          <w:p w14:paraId="5A39FBB9"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(2.544)</w:t>
            </w:r>
          </w:p>
        </w:tc>
      </w:tr>
      <w:tr w:rsidR="00513216" w:rsidRPr="00DE0914" w14:paraId="3BA37A42" w14:textId="77777777" w:rsidTr="00B07AD0">
        <w:trPr>
          <w:trHeight w:val="254"/>
        </w:trPr>
        <w:tc>
          <w:tcPr>
            <w:tcW w:w="6275" w:type="dxa"/>
            <w:tcBorders>
              <w:top w:val="nil"/>
              <w:bottom w:val="single" w:sz="8" w:space="0" w:color="D9D9D9"/>
              <w:right w:val="single" w:sz="8" w:space="0" w:color="BFBFBF"/>
            </w:tcBorders>
            <w:shd w:val="clear" w:color="auto" w:fill="auto"/>
            <w:vAlign w:val="center"/>
            <w:hideMark/>
          </w:tcPr>
          <w:p w14:paraId="68FD3D55" w14:textId="77777777" w:rsidR="00513216" w:rsidRPr="00DE0914" w:rsidRDefault="00513216"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Cash and cash equivalents at 1 January</w:t>
            </w:r>
          </w:p>
        </w:tc>
        <w:tc>
          <w:tcPr>
            <w:tcW w:w="1716" w:type="dxa"/>
            <w:tcBorders>
              <w:top w:val="nil"/>
              <w:left w:val="nil"/>
              <w:bottom w:val="single" w:sz="8" w:space="0" w:color="D9D9D9"/>
              <w:right w:val="single" w:sz="8" w:space="0" w:color="BFBFBF"/>
            </w:tcBorders>
            <w:shd w:val="clear" w:color="auto" w:fill="auto"/>
            <w:noWrap/>
            <w:vAlign w:val="bottom"/>
            <w:hideMark/>
          </w:tcPr>
          <w:p w14:paraId="5626CEDA" w14:textId="77777777" w:rsidR="00513216" w:rsidRPr="00D8079E" w:rsidRDefault="00513216" w:rsidP="00B07AD0">
            <w:pPr>
              <w:spacing w:before="20" w:after="20"/>
              <w:rPr>
                <w:rFonts w:ascii="Calibri" w:hAnsi="Calibri" w:cs="Calibri"/>
                <w:color w:val="00679B"/>
                <w:kern w:val="0"/>
                <w:sz w:val="22"/>
                <w:szCs w:val="22"/>
                <w:lang w:val="en-GB" w:eastAsia="en-GB"/>
              </w:rPr>
            </w:pPr>
            <w:r w:rsidRPr="00D8079E">
              <w:rPr>
                <w:rFonts w:ascii="Calibri" w:hAnsi="Calibri" w:cs="Calibri"/>
                <w:color w:val="00679B"/>
                <w:kern w:val="0"/>
                <w:sz w:val="22"/>
                <w:szCs w:val="22"/>
                <w:lang w:val="en-GB" w:eastAsia="en-GB"/>
              </w:rPr>
              <w:t xml:space="preserve">205.159 </w:t>
            </w:r>
          </w:p>
        </w:tc>
        <w:tc>
          <w:tcPr>
            <w:tcW w:w="1697" w:type="dxa"/>
            <w:tcBorders>
              <w:top w:val="nil"/>
              <w:left w:val="nil"/>
              <w:bottom w:val="single" w:sz="8" w:space="0" w:color="D9D9D9"/>
              <w:right w:val="single" w:sz="8" w:space="0" w:color="BFBFBF"/>
            </w:tcBorders>
            <w:shd w:val="clear" w:color="000000" w:fill="FFFFFF"/>
            <w:noWrap/>
            <w:vAlign w:val="bottom"/>
            <w:hideMark/>
          </w:tcPr>
          <w:p w14:paraId="29DA6D65" w14:textId="77777777" w:rsidR="00513216" w:rsidRPr="00D8079E" w:rsidRDefault="00513216" w:rsidP="00B07AD0">
            <w:pPr>
              <w:spacing w:before="20" w:after="20"/>
              <w:rPr>
                <w:rFonts w:ascii="Calibri" w:hAnsi="Calibri" w:cs="Calibri"/>
                <w:color w:val="59595B"/>
                <w:kern w:val="0"/>
                <w:sz w:val="22"/>
                <w:szCs w:val="22"/>
                <w:lang w:val="en-GB" w:eastAsia="en-GB"/>
              </w:rPr>
            </w:pPr>
            <w:r w:rsidRPr="00D8079E">
              <w:rPr>
                <w:rFonts w:ascii="Calibri" w:hAnsi="Calibri" w:cs="Calibri"/>
                <w:color w:val="59595B"/>
                <w:kern w:val="0"/>
                <w:sz w:val="22"/>
                <w:szCs w:val="22"/>
                <w:lang w:val="en-GB" w:eastAsia="en-GB"/>
              </w:rPr>
              <w:t>74.348</w:t>
            </w:r>
          </w:p>
        </w:tc>
      </w:tr>
      <w:tr w:rsidR="00513216" w:rsidRPr="00DE0914" w14:paraId="6A58E06A" w14:textId="77777777" w:rsidTr="00B07AD0">
        <w:trPr>
          <w:trHeight w:val="269"/>
        </w:trPr>
        <w:tc>
          <w:tcPr>
            <w:tcW w:w="6275" w:type="dxa"/>
            <w:tcBorders>
              <w:top w:val="single" w:sz="8" w:space="0" w:color="D9D9D9"/>
              <w:bottom w:val="single" w:sz="8" w:space="0" w:color="BFBFBF"/>
              <w:right w:val="single" w:sz="8" w:space="0" w:color="BFBFBF"/>
            </w:tcBorders>
            <w:shd w:val="clear" w:color="auto" w:fill="F2F2F2" w:themeFill="background1" w:themeFillShade="F2"/>
            <w:vAlign w:val="center"/>
            <w:hideMark/>
          </w:tcPr>
          <w:p w14:paraId="09960328" w14:textId="77777777" w:rsidR="00513216" w:rsidRPr="00DE0914" w:rsidRDefault="00513216" w:rsidP="00B07AD0">
            <w:pPr>
              <w:spacing w:before="20" w:after="20"/>
              <w:rPr>
                <w:rFonts w:ascii="Calibri" w:hAnsi="Calibri" w:cs="Calibri"/>
                <w:b/>
                <w:bCs/>
                <w:color w:val="595959"/>
                <w:kern w:val="0"/>
                <w:sz w:val="22"/>
                <w:szCs w:val="22"/>
                <w:lang w:val="en-GB" w:eastAsia="en-GB"/>
              </w:rPr>
            </w:pPr>
            <w:r w:rsidRPr="00DE0914">
              <w:rPr>
                <w:rFonts w:ascii="Calibri" w:hAnsi="Calibri" w:cs="Calibri"/>
                <w:b/>
                <w:bCs/>
                <w:color w:val="59595B"/>
                <w:kern w:val="0"/>
                <w:sz w:val="22"/>
                <w:szCs w:val="22"/>
                <w:lang w:val="en-GB" w:eastAsia="en-GB"/>
              </w:rPr>
              <w:t>Total cash and cash equivalents at 31 March</w:t>
            </w:r>
          </w:p>
        </w:tc>
        <w:tc>
          <w:tcPr>
            <w:tcW w:w="1716" w:type="dxa"/>
            <w:tcBorders>
              <w:top w:val="single" w:sz="8" w:space="0" w:color="D9D9D9"/>
              <w:left w:val="nil"/>
              <w:bottom w:val="single" w:sz="8" w:space="0" w:color="BFBFBF"/>
              <w:right w:val="single" w:sz="8" w:space="0" w:color="BFBFBF"/>
            </w:tcBorders>
            <w:shd w:val="clear" w:color="auto" w:fill="F2F2F2" w:themeFill="background1" w:themeFillShade="F2"/>
            <w:noWrap/>
            <w:vAlign w:val="bottom"/>
            <w:hideMark/>
          </w:tcPr>
          <w:p w14:paraId="5B03CC74" w14:textId="77777777" w:rsidR="00513216" w:rsidRPr="00DE0914" w:rsidRDefault="00513216"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 xml:space="preserve">206.625 </w:t>
            </w:r>
          </w:p>
        </w:tc>
        <w:tc>
          <w:tcPr>
            <w:tcW w:w="1697" w:type="dxa"/>
            <w:tcBorders>
              <w:top w:val="single" w:sz="8" w:space="0" w:color="D9D9D9"/>
              <w:left w:val="nil"/>
              <w:bottom w:val="single" w:sz="8" w:space="0" w:color="BFBFBF"/>
              <w:right w:val="single" w:sz="8" w:space="0" w:color="BFBFBF"/>
            </w:tcBorders>
            <w:shd w:val="clear" w:color="auto" w:fill="F2F2F2" w:themeFill="background1" w:themeFillShade="F2"/>
            <w:noWrap/>
            <w:vAlign w:val="bottom"/>
            <w:hideMark/>
          </w:tcPr>
          <w:p w14:paraId="3BC75D73" w14:textId="77777777" w:rsidR="00513216" w:rsidRPr="00DE0914" w:rsidRDefault="00513216"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146.896</w:t>
            </w:r>
          </w:p>
        </w:tc>
      </w:tr>
    </w:tbl>
    <w:p w14:paraId="1173A6D2" w14:textId="77777777" w:rsidR="003B26BF" w:rsidRPr="00DE0914" w:rsidRDefault="003B26BF" w:rsidP="003B26BF">
      <w:pPr>
        <w:pStyle w:val="NoSpacing"/>
        <w:spacing w:after="120"/>
        <w:rPr>
          <w:rFonts w:asciiTheme="minorHAnsi" w:eastAsia="Times New Roman" w:hAnsiTheme="minorHAnsi" w:cstheme="minorHAnsi"/>
          <w:kern w:val="16"/>
          <w:sz w:val="24"/>
          <w:szCs w:val="20"/>
          <w:u w:val="single"/>
          <w:lang w:val="en-GB"/>
        </w:rPr>
      </w:pPr>
      <w:r w:rsidRPr="00DE0914">
        <w:rPr>
          <w:rFonts w:asciiTheme="minorHAnsi" w:eastAsia="Times New Roman" w:hAnsiTheme="minorHAnsi" w:cstheme="minorHAnsi"/>
          <w:kern w:val="16"/>
          <w:sz w:val="24"/>
          <w:szCs w:val="20"/>
          <w:u w:val="single"/>
          <w:lang w:val="en-GB"/>
        </w:rPr>
        <w:lastRenderedPageBreak/>
        <w:t>Appendix: Main Condensed Consolidated Financial Statements reported in Euro’s</w:t>
      </w:r>
    </w:p>
    <w:p w14:paraId="1CD38EBF" w14:textId="77777777" w:rsidR="003B26BF" w:rsidRPr="00DE0914" w:rsidRDefault="003B26BF" w:rsidP="003B26BF">
      <w:pPr>
        <w:outlineLvl w:val="0"/>
        <w:rPr>
          <w:rFonts w:ascii="Calibri Light" w:hAnsi="Calibri Light"/>
          <w:iCs/>
          <w:color w:val="595B5B"/>
          <w:lang w:val="en-GB"/>
        </w:rPr>
      </w:pPr>
      <w:r w:rsidRPr="00DE0914">
        <w:rPr>
          <w:rFonts w:ascii="Calibri Light" w:hAnsi="Calibri Light"/>
          <w:iCs/>
          <w:color w:val="595B5B"/>
          <w:lang w:val="en-GB"/>
        </w:rPr>
        <w:t>These statements are not part of the original Interim Financial Statements. The original Interim Financial Statements are reported in US Dollars. In case of differences of interpretation between the Financial Statements in US dollars and the Financial Statements in Euros, the Financial Statements in US Dollars will prevail.</w:t>
      </w:r>
    </w:p>
    <w:p w14:paraId="7B1801A9" w14:textId="77777777" w:rsidR="003B26BF" w:rsidRPr="00DE0914" w:rsidRDefault="003B26BF" w:rsidP="003B26BF">
      <w:pPr>
        <w:outlineLvl w:val="0"/>
        <w:rPr>
          <w:rFonts w:ascii="Calibri Light" w:hAnsi="Calibri Light"/>
          <w:iCs/>
          <w:color w:val="595B5B"/>
          <w:lang w:val="en-GB"/>
        </w:rPr>
      </w:pPr>
    </w:p>
    <w:p w14:paraId="5813D7F9" w14:textId="77777777" w:rsidR="00D35A05" w:rsidRPr="002C1B04" w:rsidRDefault="00D35A05" w:rsidP="00D35A05">
      <w:pPr>
        <w:rPr>
          <w:rFonts w:ascii="Calibri Light" w:eastAsiaTheme="majorEastAsia" w:hAnsi="Calibri Light" w:cstheme="majorBidi"/>
          <w:b/>
          <w:color w:val="59595B"/>
          <w:szCs w:val="28"/>
          <w:lang w:val="en-GB" w:eastAsia="zh-CN"/>
        </w:rPr>
      </w:pPr>
      <w:r w:rsidRPr="002C1B04">
        <w:rPr>
          <w:rFonts w:ascii="Calibri Light" w:eastAsiaTheme="majorEastAsia" w:hAnsi="Calibri Light" w:cstheme="majorBidi"/>
          <w:b/>
          <w:color w:val="59595B"/>
          <w:szCs w:val="28"/>
          <w:lang w:val="en-GB" w:eastAsia="zh-CN"/>
        </w:rPr>
        <w:t>Exchange rates (USD:EUR) used:</w:t>
      </w:r>
      <w:r w:rsidRPr="002C1B04">
        <w:rPr>
          <w:rFonts w:ascii="Calibri Light" w:eastAsiaTheme="majorEastAsia" w:hAnsi="Calibri Light" w:cstheme="majorBidi"/>
          <w:b/>
          <w:color w:val="59595B"/>
          <w:szCs w:val="28"/>
          <w:lang w:val="en-GB" w:eastAsia="zh-CN"/>
        </w:rPr>
        <w:tab/>
      </w:r>
    </w:p>
    <w:p w14:paraId="0C51472C" w14:textId="57AFB8A2"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Statement of income YTD 2019</w:t>
      </w:r>
      <w:r w:rsidRPr="00DE0914">
        <w:rPr>
          <w:rFonts w:ascii="Calibri Light" w:hAnsi="Calibri Light"/>
          <w:iCs/>
          <w:color w:val="595B5B"/>
          <w:lang w:val="en-GB"/>
        </w:rPr>
        <w:tab/>
      </w:r>
      <w:r w:rsidRPr="00DE0914">
        <w:rPr>
          <w:rFonts w:ascii="Calibri Light" w:hAnsi="Calibri Light"/>
          <w:iCs/>
          <w:color w:val="595B5B"/>
          <w:lang w:val="en-GB"/>
        </w:rPr>
        <w:tab/>
        <w:t>1.1401</w:t>
      </w:r>
    </w:p>
    <w:p w14:paraId="2524230D" w14:textId="69680C60"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Statement of income YTD 2020</w:t>
      </w:r>
      <w:r w:rsidRPr="00DE0914">
        <w:rPr>
          <w:rFonts w:ascii="Calibri Light" w:hAnsi="Calibri Light"/>
          <w:iCs/>
          <w:color w:val="595B5B"/>
          <w:lang w:val="en-GB"/>
        </w:rPr>
        <w:tab/>
      </w:r>
      <w:r w:rsidRPr="00DE0914">
        <w:rPr>
          <w:rFonts w:ascii="Calibri Light" w:hAnsi="Calibri Light"/>
          <w:iCs/>
          <w:color w:val="595B5B"/>
          <w:lang w:val="en-GB"/>
        </w:rPr>
        <w:tab/>
        <w:t>1.1050</w:t>
      </w:r>
    </w:p>
    <w:p w14:paraId="766168CF" w14:textId="09F7258B"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Statement of income YTD 2021</w:t>
      </w:r>
      <w:r w:rsidRPr="00DE0914">
        <w:rPr>
          <w:rFonts w:ascii="Calibri Light" w:hAnsi="Calibri Light"/>
          <w:iCs/>
          <w:color w:val="595B5B"/>
          <w:lang w:val="en-GB"/>
        </w:rPr>
        <w:tab/>
      </w:r>
      <w:r w:rsidRPr="00DE0914">
        <w:rPr>
          <w:rFonts w:ascii="Calibri Light" w:hAnsi="Calibri Light"/>
          <w:iCs/>
          <w:color w:val="595B5B"/>
          <w:lang w:val="en-GB"/>
        </w:rPr>
        <w:tab/>
        <w:t>1.2087</w:t>
      </w:r>
    </w:p>
    <w:p w14:paraId="11FECB28" w14:textId="03E7449B"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Balance sheet at December 31, 2020</w:t>
      </w:r>
      <w:r w:rsidRPr="00DE0914">
        <w:rPr>
          <w:rFonts w:ascii="Calibri Light" w:hAnsi="Calibri Light"/>
          <w:iCs/>
          <w:color w:val="595B5B"/>
          <w:lang w:val="en-GB"/>
        </w:rPr>
        <w:tab/>
      </w:r>
      <w:r w:rsidR="007A0AAB" w:rsidRPr="00DE0914">
        <w:rPr>
          <w:rFonts w:ascii="Calibri Light" w:hAnsi="Calibri Light"/>
          <w:iCs/>
          <w:color w:val="595B5B"/>
          <w:lang w:val="en-GB"/>
        </w:rPr>
        <w:tab/>
      </w:r>
      <w:r w:rsidRPr="00DE0914">
        <w:rPr>
          <w:rFonts w:ascii="Calibri Light" w:hAnsi="Calibri Light"/>
          <w:iCs/>
          <w:color w:val="595B5B"/>
          <w:lang w:val="en-GB"/>
        </w:rPr>
        <w:t>1.2280</w:t>
      </w:r>
    </w:p>
    <w:p w14:paraId="76C47E0B" w14:textId="0B4AFF10"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Balance sheet at March 31, 2021</w:t>
      </w:r>
      <w:r w:rsidRPr="00DE0914">
        <w:rPr>
          <w:rFonts w:ascii="Calibri Light" w:hAnsi="Calibri Light"/>
          <w:iCs/>
          <w:color w:val="595B5B"/>
          <w:lang w:val="en-GB"/>
        </w:rPr>
        <w:tab/>
      </w:r>
      <w:r w:rsidRPr="00DE0914">
        <w:rPr>
          <w:rFonts w:ascii="Calibri Light" w:hAnsi="Calibri Light"/>
          <w:iCs/>
          <w:color w:val="595B5B"/>
          <w:lang w:val="en-GB"/>
        </w:rPr>
        <w:tab/>
        <w:t>1.1744</w:t>
      </w:r>
    </w:p>
    <w:p w14:paraId="6B2454E5" w14:textId="7F28004A"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Cash flow YTD 2020</w:t>
      </w:r>
      <w:r w:rsidRPr="00DE0914">
        <w:rPr>
          <w:rFonts w:ascii="Calibri Light" w:hAnsi="Calibri Light"/>
          <w:iCs/>
          <w:color w:val="595B5B"/>
          <w:lang w:val="en-GB"/>
        </w:rPr>
        <w:tab/>
      </w:r>
      <w:r w:rsidRPr="00DE0914">
        <w:rPr>
          <w:rFonts w:ascii="Calibri Light" w:hAnsi="Calibri Light"/>
          <w:iCs/>
          <w:color w:val="595B5B"/>
          <w:lang w:val="en-GB"/>
        </w:rPr>
        <w:tab/>
      </w:r>
      <w:r w:rsidRPr="00DE0914">
        <w:rPr>
          <w:rFonts w:ascii="Calibri Light" w:hAnsi="Calibri Light"/>
          <w:iCs/>
          <w:color w:val="595B5B"/>
          <w:lang w:val="en-GB"/>
        </w:rPr>
        <w:tab/>
      </w:r>
      <w:r w:rsidRPr="00DE0914">
        <w:rPr>
          <w:rFonts w:ascii="Calibri Light" w:hAnsi="Calibri Light"/>
          <w:iCs/>
          <w:color w:val="595B5B"/>
          <w:lang w:val="en-GB"/>
        </w:rPr>
        <w:tab/>
        <w:t>1.1050</w:t>
      </w:r>
    </w:p>
    <w:p w14:paraId="6BD9BA6B" w14:textId="4E0DEEA9"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Cash flow YTD 2021</w:t>
      </w:r>
      <w:r w:rsidRPr="00DE0914">
        <w:rPr>
          <w:rFonts w:ascii="Calibri Light" w:hAnsi="Calibri Light"/>
          <w:iCs/>
          <w:color w:val="595B5B"/>
          <w:lang w:val="en-GB"/>
        </w:rPr>
        <w:tab/>
      </w:r>
      <w:r w:rsidRPr="00DE0914">
        <w:rPr>
          <w:rFonts w:ascii="Calibri Light" w:hAnsi="Calibri Light"/>
          <w:iCs/>
          <w:color w:val="595B5B"/>
          <w:lang w:val="en-GB"/>
        </w:rPr>
        <w:tab/>
      </w:r>
      <w:r w:rsidRPr="00DE0914">
        <w:rPr>
          <w:rFonts w:ascii="Calibri Light" w:hAnsi="Calibri Light"/>
          <w:iCs/>
          <w:color w:val="595B5B"/>
          <w:lang w:val="en-GB"/>
        </w:rPr>
        <w:tab/>
      </w:r>
      <w:r w:rsidRPr="00DE0914">
        <w:rPr>
          <w:rFonts w:ascii="Calibri Light" w:hAnsi="Calibri Light"/>
          <w:iCs/>
          <w:color w:val="595B5B"/>
          <w:lang w:val="en-GB"/>
        </w:rPr>
        <w:tab/>
        <w:t>1.2087</w:t>
      </w:r>
    </w:p>
    <w:p w14:paraId="1AD18400" w14:textId="0B47C0DA"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Cash balance as per 1 January 2020</w:t>
      </w:r>
      <w:r w:rsidRPr="00DE0914">
        <w:rPr>
          <w:rFonts w:ascii="Calibri Light" w:hAnsi="Calibri Light"/>
          <w:iCs/>
          <w:color w:val="595B5B"/>
          <w:lang w:val="en-GB"/>
        </w:rPr>
        <w:tab/>
      </w:r>
      <w:r w:rsidRPr="00DE0914">
        <w:rPr>
          <w:rFonts w:ascii="Calibri Light" w:hAnsi="Calibri Light"/>
          <w:iCs/>
          <w:color w:val="595B5B"/>
          <w:lang w:val="en-GB"/>
        </w:rPr>
        <w:tab/>
        <w:t>1.1214</w:t>
      </w:r>
    </w:p>
    <w:p w14:paraId="72C1A17B" w14:textId="3AB8BF83"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Cash balance as per 31 March 2020</w:t>
      </w:r>
      <w:r w:rsidRPr="00DE0914">
        <w:rPr>
          <w:rFonts w:ascii="Calibri Light" w:hAnsi="Calibri Light"/>
          <w:iCs/>
          <w:color w:val="595B5B"/>
          <w:lang w:val="en-GB"/>
        </w:rPr>
        <w:tab/>
      </w:r>
      <w:r w:rsidRPr="00DE0914">
        <w:rPr>
          <w:rFonts w:ascii="Calibri Light" w:hAnsi="Calibri Light"/>
          <w:iCs/>
          <w:color w:val="595B5B"/>
          <w:lang w:val="en-GB"/>
        </w:rPr>
        <w:tab/>
        <w:t>1.0976</w:t>
      </w:r>
    </w:p>
    <w:p w14:paraId="095CCF58" w14:textId="5C97DBF4" w:rsidR="00D35A05" w:rsidRPr="00DE0914" w:rsidRDefault="00D35A05" w:rsidP="00D35A05">
      <w:pPr>
        <w:rPr>
          <w:rFonts w:ascii="Calibri Light" w:hAnsi="Calibri Light"/>
          <w:iCs/>
          <w:color w:val="595B5B"/>
          <w:lang w:val="en-GB"/>
        </w:rPr>
      </w:pPr>
      <w:r w:rsidRPr="00DE0914">
        <w:rPr>
          <w:rFonts w:ascii="Calibri Light" w:hAnsi="Calibri Light"/>
          <w:iCs/>
          <w:color w:val="595B5B"/>
          <w:lang w:val="en-GB"/>
        </w:rPr>
        <w:t>Cash balance as per 1 January 2021</w:t>
      </w:r>
      <w:r w:rsidRPr="00DE0914">
        <w:rPr>
          <w:rFonts w:ascii="Calibri Light" w:hAnsi="Calibri Light"/>
          <w:iCs/>
          <w:color w:val="595B5B"/>
          <w:lang w:val="en-GB"/>
        </w:rPr>
        <w:tab/>
      </w:r>
      <w:r w:rsidRPr="00DE0914">
        <w:rPr>
          <w:rFonts w:ascii="Calibri Light" w:hAnsi="Calibri Light"/>
          <w:iCs/>
          <w:color w:val="595B5B"/>
          <w:lang w:val="en-GB"/>
        </w:rPr>
        <w:tab/>
        <w:t>1.2280</w:t>
      </w:r>
    </w:p>
    <w:p w14:paraId="6304AD26" w14:textId="48DE17E6" w:rsidR="003B26BF" w:rsidRPr="00DE0914" w:rsidRDefault="00D35A05" w:rsidP="00D35A05">
      <w:pPr>
        <w:rPr>
          <w:rFonts w:ascii="Calibri Light" w:hAnsi="Calibri Light"/>
          <w:iCs/>
          <w:color w:val="595B5B"/>
          <w:lang w:val="en-GB"/>
        </w:rPr>
      </w:pPr>
      <w:r w:rsidRPr="00DE0914">
        <w:rPr>
          <w:rFonts w:ascii="Calibri Light" w:hAnsi="Calibri Light"/>
          <w:iCs/>
          <w:color w:val="595B5B"/>
          <w:lang w:val="en-GB"/>
        </w:rPr>
        <w:t>Cash balance as per 31 March 2021</w:t>
      </w:r>
      <w:r w:rsidRPr="00DE0914">
        <w:rPr>
          <w:rFonts w:ascii="Calibri Light" w:hAnsi="Calibri Light"/>
          <w:iCs/>
          <w:color w:val="595B5B"/>
          <w:lang w:val="en-GB"/>
        </w:rPr>
        <w:tab/>
      </w:r>
      <w:r w:rsidRPr="00DE0914">
        <w:rPr>
          <w:rFonts w:ascii="Calibri Light" w:hAnsi="Calibri Light"/>
          <w:iCs/>
          <w:color w:val="595B5B"/>
          <w:lang w:val="en-GB"/>
        </w:rPr>
        <w:tab/>
        <w:t>1.1744</w:t>
      </w:r>
    </w:p>
    <w:p w14:paraId="45737547"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796702E6"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7FE73726"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643BA7E9"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5FA58044"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6B369CBF"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292848BE"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097B7685"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607E8975"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716C2FBB"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5E701E28"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0E41BCE0"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0AF796C6"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575FE2A6"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1486E767"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16681FE1"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339BBCD3"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78A7CC6E"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585A99BC"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26C8B237" w14:textId="77777777" w:rsidR="003B26BF" w:rsidRPr="00DE0914" w:rsidRDefault="003B26BF" w:rsidP="003B26BF">
      <w:pPr>
        <w:rPr>
          <w:rFonts w:asciiTheme="minorHAnsi" w:eastAsiaTheme="majorEastAsia" w:hAnsiTheme="minorHAnsi" w:cstheme="majorBidi"/>
          <w:b/>
          <w:color w:val="59595B"/>
          <w:szCs w:val="28"/>
          <w:lang w:val="en-GB" w:eastAsia="zh-CN"/>
        </w:rPr>
      </w:pPr>
    </w:p>
    <w:p w14:paraId="1B52AAD7" w14:textId="77777777" w:rsidR="009F7F6F" w:rsidRPr="00DE0914" w:rsidRDefault="009F7F6F">
      <w:pPr>
        <w:rPr>
          <w:rFonts w:asciiTheme="minorHAnsi" w:eastAsiaTheme="majorEastAsia" w:hAnsiTheme="minorHAnsi" w:cstheme="majorBidi"/>
          <w:b/>
          <w:color w:val="59595B"/>
          <w:szCs w:val="28"/>
          <w:lang w:val="en-GB" w:eastAsia="zh-CN"/>
        </w:rPr>
      </w:pPr>
      <w:r w:rsidRPr="00DE0914">
        <w:rPr>
          <w:rFonts w:asciiTheme="minorHAnsi" w:eastAsiaTheme="majorEastAsia" w:hAnsiTheme="minorHAnsi" w:cstheme="majorBidi"/>
          <w:b/>
          <w:color w:val="59595B"/>
          <w:szCs w:val="28"/>
          <w:lang w:val="en-GB" w:eastAsia="zh-CN"/>
        </w:rPr>
        <w:br w:type="page"/>
      </w:r>
    </w:p>
    <w:p w14:paraId="3BF5B72B" w14:textId="77777777" w:rsidR="009F5F6D" w:rsidRPr="00DE0914" w:rsidRDefault="009F5F6D" w:rsidP="009F5F6D">
      <w:pPr>
        <w:rPr>
          <w:rFonts w:asciiTheme="minorHAnsi" w:eastAsiaTheme="majorEastAsia" w:hAnsiTheme="minorHAnsi" w:cstheme="majorBidi"/>
          <w:b/>
          <w:color w:val="59595B"/>
          <w:szCs w:val="28"/>
          <w:lang w:val="en-GB" w:eastAsia="zh-CN"/>
        </w:rPr>
      </w:pPr>
      <w:r w:rsidRPr="00DE0914">
        <w:rPr>
          <w:rFonts w:ascii="Calibri Light" w:eastAsiaTheme="majorEastAsia" w:hAnsi="Calibri Light" w:cstheme="majorBidi"/>
          <w:b/>
          <w:color w:val="59595B"/>
          <w:szCs w:val="28"/>
          <w:lang w:val="en-GB" w:eastAsia="zh-CN"/>
        </w:rPr>
        <w:lastRenderedPageBreak/>
        <w:t xml:space="preserve">Condensed Consolidated Statement of Profit or Loss </w:t>
      </w:r>
      <w:r w:rsidRPr="00DE0914">
        <w:rPr>
          <w:rFonts w:ascii="Calibri Light" w:eastAsiaTheme="majorEastAsia" w:hAnsi="Calibri Light" w:cstheme="majorBidi"/>
          <w:b/>
          <w:color w:val="59595B"/>
          <w:szCs w:val="28"/>
          <w:lang w:val="en-GB" w:eastAsia="zh-CN"/>
        </w:rPr>
        <w:tab/>
      </w:r>
      <w:r w:rsidRPr="00DE0914">
        <w:rPr>
          <w:rFonts w:ascii="Calibri Light" w:eastAsiaTheme="majorEastAsia" w:hAnsi="Calibri Light" w:cstheme="majorBidi"/>
          <w:b/>
          <w:color w:val="59595B"/>
          <w:szCs w:val="28"/>
          <w:u w:val="single"/>
          <w:lang w:val="en-GB" w:eastAsia="zh-CN"/>
        </w:rPr>
        <w:t>in Euros</w:t>
      </w:r>
      <w:r w:rsidRPr="00DE0914">
        <w:rPr>
          <w:rFonts w:asciiTheme="minorHAnsi" w:eastAsiaTheme="majorEastAsia" w:hAnsiTheme="minorHAnsi" w:cstheme="majorBidi"/>
          <w:b/>
          <w:color w:val="59595B"/>
          <w:szCs w:val="28"/>
          <w:lang w:val="en-GB" w:eastAsia="zh-CN"/>
        </w:rPr>
        <w:tab/>
      </w:r>
      <w:r w:rsidRPr="00DE0914">
        <w:rPr>
          <w:rFonts w:asciiTheme="minorHAnsi" w:eastAsiaTheme="majorEastAsia" w:hAnsiTheme="minorHAnsi" w:cstheme="majorBidi"/>
          <w:b/>
          <w:color w:val="59595B"/>
          <w:szCs w:val="28"/>
          <w:lang w:val="en-GB" w:eastAsia="zh-CN"/>
        </w:rPr>
        <w:tab/>
      </w:r>
      <w:r w:rsidRPr="00DE0914">
        <w:rPr>
          <w:rFonts w:asciiTheme="minorHAnsi" w:eastAsiaTheme="majorEastAsia" w:hAnsiTheme="minorHAnsi" w:cstheme="majorBidi"/>
          <w:b/>
          <w:color w:val="59595B"/>
          <w:szCs w:val="28"/>
          <w:lang w:val="en-GB" w:eastAsia="zh-CN"/>
        </w:rPr>
        <w:tab/>
      </w:r>
    </w:p>
    <w:p w14:paraId="5C80BBBE" w14:textId="77777777" w:rsidR="009F5F6D" w:rsidRPr="00DE0914" w:rsidRDefault="009F5F6D" w:rsidP="009F5F6D">
      <w:pPr>
        <w:jc w:val="both"/>
        <w:rPr>
          <w:rFonts w:ascii="Calibri" w:eastAsia="Calibri" w:hAnsi="Calibri" w:cs="Calibri"/>
          <w:color w:val="59595B"/>
          <w:sz w:val="22"/>
          <w:szCs w:val="22"/>
        </w:rPr>
      </w:pPr>
      <w:r w:rsidRPr="00DE0914">
        <w:rPr>
          <w:rFonts w:ascii="Calibri" w:eastAsia="Calibri" w:hAnsi="Calibri" w:cs="Calibri"/>
          <w:color w:val="59595B"/>
          <w:sz w:val="22"/>
          <w:szCs w:val="22"/>
        </w:rPr>
        <w:t>For the period ended 31 March</w:t>
      </w:r>
    </w:p>
    <w:p w14:paraId="51AF6108" w14:textId="77777777" w:rsidR="009F5F6D" w:rsidRPr="00DE0914" w:rsidRDefault="009F5F6D" w:rsidP="009F5F6D">
      <w:pPr>
        <w:rPr>
          <w:rFonts w:asciiTheme="minorHAnsi" w:hAnsiTheme="minorHAnsi"/>
          <w:lang w:val="en-GB"/>
        </w:rPr>
      </w:pPr>
    </w:p>
    <w:tbl>
      <w:tblPr>
        <w:tblW w:w="8760" w:type="dxa"/>
        <w:tblLook w:val="04A0" w:firstRow="1" w:lastRow="0" w:firstColumn="1" w:lastColumn="0" w:noHBand="0" w:noVBand="1"/>
      </w:tblPr>
      <w:tblGrid>
        <w:gridCol w:w="5144"/>
        <w:gridCol w:w="1696"/>
        <w:gridCol w:w="1920"/>
      </w:tblGrid>
      <w:tr w:rsidR="009F5F6D" w:rsidRPr="00DE0914" w14:paraId="7B66F89F" w14:textId="77777777" w:rsidTr="00B07AD0">
        <w:trPr>
          <w:trHeight w:val="612"/>
        </w:trPr>
        <w:tc>
          <w:tcPr>
            <w:tcW w:w="5144" w:type="dxa"/>
            <w:tcBorders>
              <w:top w:val="nil"/>
              <w:left w:val="nil"/>
              <w:bottom w:val="single" w:sz="8" w:space="0" w:color="BFBFBF"/>
              <w:right w:val="nil"/>
            </w:tcBorders>
            <w:shd w:val="clear" w:color="auto" w:fill="F2F2F2" w:themeFill="background1" w:themeFillShade="F2"/>
            <w:vAlign w:val="center"/>
            <w:hideMark/>
          </w:tcPr>
          <w:p w14:paraId="502A5728" w14:textId="71007C06" w:rsidR="009F5F6D" w:rsidRPr="00DE0914" w:rsidRDefault="009F5F6D" w:rsidP="00B07AD0">
            <w:pPr>
              <w:spacing w:before="120" w:after="120"/>
              <w:rPr>
                <w:rFonts w:ascii="Calibri" w:hAnsi="Calibri" w:cs="Calibri"/>
                <w:i/>
                <w:iCs/>
                <w:color w:val="59595B"/>
                <w:kern w:val="0"/>
                <w:sz w:val="22"/>
                <w:szCs w:val="22"/>
                <w:lang w:val="en-GB" w:eastAsia="en-GB"/>
              </w:rPr>
            </w:pPr>
            <w:r w:rsidRPr="00DE0914">
              <w:rPr>
                <w:rFonts w:ascii="Calibri" w:hAnsi="Calibri" w:cs="Calibri"/>
                <w:i/>
                <w:iCs/>
                <w:color w:val="59595B"/>
                <w:kern w:val="0"/>
                <w:sz w:val="20"/>
                <w:szCs w:val="20"/>
                <w:lang w:val="en-GB" w:eastAsia="en-GB"/>
              </w:rPr>
              <w:t xml:space="preserve">Amounts in </w:t>
            </w:r>
            <w:r w:rsidR="00D8079E" w:rsidRPr="00DE0914">
              <w:rPr>
                <w:rFonts w:ascii="Calibri" w:hAnsi="Calibri" w:cs="Calibri"/>
                <w:i/>
                <w:iCs/>
                <w:color w:val="59595B"/>
                <w:kern w:val="0"/>
                <w:sz w:val="20"/>
                <w:szCs w:val="20"/>
                <w:lang w:val="en-GB" w:eastAsia="en-GB"/>
              </w:rPr>
              <w:t>€ ‘</w:t>
            </w:r>
            <w:r w:rsidRPr="00DE0914">
              <w:rPr>
                <w:rFonts w:ascii="Calibri" w:hAnsi="Calibri" w:cs="Calibri"/>
                <w:i/>
                <w:iCs/>
                <w:color w:val="59595B"/>
                <w:kern w:val="0"/>
                <w:sz w:val="20"/>
                <w:szCs w:val="20"/>
                <w:lang w:val="en-GB" w:eastAsia="en-GB"/>
              </w:rPr>
              <w:t>000</w:t>
            </w:r>
          </w:p>
        </w:tc>
        <w:tc>
          <w:tcPr>
            <w:tcW w:w="1696" w:type="dxa"/>
            <w:tcBorders>
              <w:top w:val="nil"/>
              <w:left w:val="nil"/>
              <w:bottom w:val="single" w:sz="8" w:space="0" w:color="BFBFBF"/>
              <w:right w:val="nil"/>
            </w:tcBorders>
            <w:shd w:val="clear" w:color="auto" w:fill="F2F2F2" w:themeFill="background1" w:themeFillShade="F2"/>
            <w:noWrap/>
            <w:vAlign w:val="center"/>
            <w:hideMark/>
          </w:tcPr>
          <w:p w14:paraId="035E7EEA" w14:textId="77777777" w:rsidR="009F5F6D" w:rsidRPr="00DE0914" w:rsidRDefault="009F5F6D" w:rsidP="00B07AD0">
            <w:pPr>
              <w:spacing w:before="120" w:after="1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YTD 2021</w:t>
            </w:r>
          </w:p>
        </w:tc>
        <w:tc>
          <w:tcPr>
            <w:tcW w:w="1920" w:type="dxa"/>
            <w:tcBorders>
              <w:top w:val="nil"/>
              <w:left w:val="nil"/>
              <w:bottom w:val="single" w:sz="8" w:space="0" w:color="BFBFBF"/>
              <w:right w:val="nil"/>
            </w:tcBorders>
            <w:shd w:val="clear" w:color="auto" w:fill="F2F2F2" w:themeFill="background1" w:themeFillShade="F2"/>
            <w:vAlign w:val="center"/>
            <w:hideMark/>
          </w:tcPr>
          <w:p w14:paraId="5B378144" w14:textId="77777777" w:rsidR="009F5F6D" w:rsidRPr="00DE0914" w:rsidRDefault="009F5F6D"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YTD 2020</w:t>
            </w:r>
          </w:p>
        </w:tc>
      </w:tr>
      <w:tr w:rsidR="009F5F6D" w:rsidRPr="00DE0914" w14:paraId="492CE817" w14:textId="77777777" w:rsidTr="00B07AD0">
        <w:trPr>
          <w:trHeight w:val="207"/>
        </w:trPr>
        <w:tc>
          <w:tcPr>
            <w:tcW w:w="5144" w:type="dxa"/>
            <w:tcBorders>
              <w:top w:val="nil"/>
              <w:left w:val="nil"/>
              <w:bottom w:val="nil"/>
              <w:right w:val="single" w:sz="8" w:space="0" w:color="BFBFBF"/>
            </w:tcBorders>
            <w:shd w:val="clear" w:color="000000" w:fill="FFFFFF"/>
            <w:vAlign w:val="center"/>
            <w:hideMark/>
          </w:tcPr>
          <w:p w14:paraId="385CF3AF" w14:textId="77777777" w:rsidR="009F5F6D" w:rsidRPr="00DE0914" w:rsidRDefault="009F5F6D" w:rsidP="00B07AD0">
            <w:pPr>
              <w:spacing w:before="120" w:after="120"/>
              <w:rPr>
                <w:rFonts w:ascii="Calibri" w:hAnsi="Calibri" w:cs="Calibri"/>
                <w:color w:val="808080"/>
                <w:kern w:val="0"/>
                <w:sz w:val="22"/>
                <w:szCs w:val="22"/>
                <w:lang w:val="en-GB" w:eastAsia="en-GB"/>
              </w:rPr>
            </w:pPr>
            <w:r w:rsidRPr="00DE0914">
              <w:rPr>
                <w:rFonts w:ascii="Calibri" w:hAnsi="Calibri" w:cs="Calibri"/>
                <w:b/>
                <w:bCs/>
                <w:color w:val="00679B"/>
                <w:kern w:val="0"/>
                <w:sz w:val="22"/>
                <w:szCs w:val="22"/>
                <w:lang w:val="en-GB" w:eastAsia="en-GB"/>
              </w:rPr>
              <w:t>Revenues</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60FD473B"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36.042 </w:t>
            </w:r>
          </w:p>
        </w:tc>
        <w:tc>
          <w:tcPr>
            <w:tcW w:w="1920" w:type="dxa"/>
            <w:tcBorders>
              <w:top w:val="nil"/>
              <w:left w:val="nil"/>
              <w:bottom w:val="single" w:sz="8" w:space="0" w:color="BFBFBF"/>
              <w:right w:val="single" w:sz="8" w:space="0" w:color="BFBFBF"/>
            </w:tcBorders>
            <w:shd w:val="clear" w:color="auto" w:fill="auto"/>
            <w:noWrap/>
            <w:hideMark/>
          </w:tcPr>
          <w:p w14:paraId="6FA28749"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49.294 </w:t>
            </w:r>
          </w:p>
        </w:tc>
      </w:tr>
      <w:tr w:rsidR="009F5F6D" w:rsidRPr="00DE0914" w14:paraId="5DA52542" w14:textId="77777777" w:rsidTr="00B07AD0">
        <w:trPr>
          <w:trHeight w:val="390"/>
        </w:trPr>
        <w:tc>
          <w:tcPr>
            <w:tcW w:w="5144" w:type="dxa"/>
            <w:tcBorders>
              <w:top w:val="single" w:sz="8" w:space="0" w:color="BFBFBF"/>
              <w:left w:val="nil"/>
              <w:bottom w:val="single" w:sz="8" w:space="0" w:color="BFBFBF"/>
              <w:right w:val="single" w:sz="8" w:space="0" w:color="BFBFBF"/>
            </w:tcBorders>
            <w:shd w:val="clear" w:color="000000" w:fill="FFFFFF"/>
            <w:vAlign w:val="center"/>
            <w:hideMark/>
          </w:tcPr>
          <w:p w14:paraId="5AD09BD6" w14:textId="77777777" w:rsidR="009F5F6D" w:rsidRPr="00DE0914" w:rsidRDefault="009F5F6D" w:rsidP="00B07AD0">
            <w:pPr>
              <w:spacing w:before="120" w:after="120"/>
              <w:rPr>
                <w:rFonts w:ascii="Calibri" w:hAnsi="Calibri" w:cs="Calibri"/>
                <w:b/>
                <w:bCs/>
                <w:color w:val="0070C0"/>
                <w:kern w:val="0"/>
                <w:sz w:val="22"/>
                <w:szCs w:val="22"/>
                <w:lang w:val="en-GB" w:eastAsia="en-GB"/>
              </w:rPr>
            </w:pPr>
            <w:r w:rsidRPr="00DE0914">
              <w:rPr>
                <w:rFonts w:ascii="Calibri" w:hAnsi="Calibri" w:cs="Calibri"/>
                <w:b/>
                <w:bCs/>
                <w:color w:val="59595B"/>
                <w:kern w:val="0"/>
                <w:sz w:val="22"/>
                <w:szCs w:val="22"/>
                <w:lang w:val="en-GB" w:eastAsia="en-GB"/>
              </w:rPr>
              <w:t>Costs of sales</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0FF746A6"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(4.007)</w:t>
            </w:r>
          </w:p>
        </w:tc>
        <w:tc>
          <w:tcPr>
            <w:tcW w:w="1920" w:type="dxa"/>
            <w:tcBorders>
              <w:top w:val="nil"/>
              <w:left w:val="nil"/>
              <w:bottom w:val="single" w:sz="8" w:space="0" w:color="BFBFBF"/>
              <w:right w:val="single" w:sz="8" w:space="0" w:color="BFBFBF"/>
            </w:tcBorders>
            <w:shd w:val="clear" w:color="auto" w:fill="auto"/>
            <w:noWrap/>
            <w:hideMark/>
          </w:tcPr>
          <w:p w14:paraId="1C5E02FB"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 (5.390)</w:t>
            </w:r>
          </w:p>
        </w:tc>
      </w:tr>
      <w:tr w:rsidR="009F5F6D" w:rsidRPr="00DE0914" w14:paraId="2E06A9AA"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23933928" w14:textId="77777777" w:rsidR="009F5F6D" w:rsidRPr="00DE0914" w:rsidRDefault="009F5F6D"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00679B"/>
                <w:kern w:val="0"/>
                <w:sz w:val="22"/>
                <w:szCs w:val="22"/>
                <w:lang w:val="en-GB" w:eastAsia="en-GB"/>
              </w:rPr>
              <w:t>Gross profit</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620487C0"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32.035 </w:t>
            </w:r>
          </w:p>
        </w:tc>
        <w:tc>
          <w:tcPr>
            <w:tcW w:w="1920" w:type="dxa"/>
            <w:tcBorders>
              <w:top w:val="nil"/>
              <w:left w:val="nil"/>
              <w:bottom w:val="single" w:sz="8" w:space="0" w:color="BFBFBF"/>
              <w:right w:val="single" w:sz="8" w:space="0" w:color="BFBFBF"/>
            </w:tcBorders>
            <w:shd w:val="clear" w:color="auto" w:fill="auto"/>
            <w:noWrap/>
            <w:hideMark/>
          </w:tcPr>
          <w:p w14:paraId="62D8B0E2"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43.904 </w:t>
            </w:r>
          </w:p>
        </w:tc>
      </w:tr>
      <w:tr w:rsidR="009F5F6D" w:rsidRPr="00DE0914" w14:paraId="0868BAF1"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50A7B73F" w14:textId="77777777" w:rsidR="009F5F6D" w:rsidRPr="00DE0914" w:rsidRDefault="009F5F6D" w:rsidP="00B07AD0">
            <w:pPr>
              <w:spacing w:before="120" w:after="120"/>
              <w:rPr>
                <w:rFonts w:ascii="Calibri" w:hAnsi="Calibri" w:cs="Calibri"/>
                <w:b/>
                <w:bCs/>
                <w:color w:val="0070C0"/>
                <w:kern w:val="0"/>
                <w:sz w:val="22"/>
                <w:szCs w:val="22"/>
                <w:lang w:val="en-GB" w:eastAsia="en-GB"/>
              </w:rPr>
            </w:pPr>
            <w:r w:rsidRPr="00DE0914">
              <w:rPr>
                <w:rFonts w:ascii="Calibri" w:hAnsi="Calibri" w:cs="Calibri"/>
                <w:b/>
                <w:bCs/>
                <w:color w:val="59595B"/>
                <w:kern w:val="0"/>
                <w:sz w:val="22"/>
                <w:szCs w:val="22"/>
                <w:lang w:val="en-GB" w:eastAsia="en-GB"/>
              </w:rPr>
              <w:t>Other income</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4D2DD995"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214 </w:t>
            </w:r>
          </w:p>
        </w:tc>
        <w:tc>
          <w:tcPr>
            <w:tcW w:w="1920" w:type="dxa"/>
            <w:tcBorders>
              <w:top w:val="nil"/>
              <w:left w:val="nil"/>
              <w:bottom w:val="single" w:sz="8" w:space="0" w:color="BFBFBF"/>
              <w:right w:val="single" w:sz="8" w:space="0" w:color="BFBFBF"/>
            </w:tcBorders>
            <w:shd w:val="clear" w:color="auto" w:fill="auto"/>
            <w:noWrap/>
            <w:hideMark/>
          </w:tcPr>
          <w:p w14:paraId="7300FFF8"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241 </w:t>
            </w:r>
          </w:p>
        </w:tc>
      </w:tr>
      <w:tr w:rsidR="009F5F6D" w:rsidRPr="00DE0914" w14:paraId="46A800D2" w14:textId="77777777" w:rsidTr="00B07AD0">
        <w:trPr>
          <w:trHeight w:val="390"/>
        </w:trPr>
        <w:tc>
          <w:tcPr>
            <w:tcW w:w="5144" w:type="dxa"/>
            <w:tcBorders>
              <w:top w:val="nil"/>
              <w:left w:val="nil"/>
              <w:bottom w:val="nil"/>
              <w:right w:val="single" w:sz="8" w:space="0" w:color="BFBFBF"/>
            </w:tcBorders>
            <w:shd w:val="clear" w:color="000000" w:fill="FFFFFF"/>
            <w:vAlign w:val="center"/>
            <w:hideMark/>
          </w:tcPr>
          <w:p w14:paraId="34D86E1E" w14:textId="77777777" w:rsidR="009F5F6D" w:rsidRPr="00DE0914" w:rsidRDefault="009F5F6D" w:rsidP="00B07AD0">
            <w:pPr>
              <w:spacing w:before="120" w:after="120"/>
              <w:rPr>
                <w:rFonts w:ascii="Calibri" w:hAnsi="Calibri" w:cs="Calibri"/>
                <w:b/>
                <w:bCs/>
                <w:color w:val="808080"/>
                <w:kern w:val="0"/>
                <w:sz w:val="22"/>
                <w:szCs w:val="22"/>
                <w:lang w:val="en-GB" w:eastAsia="en-GB"/>
              </w:rPr>
            </w:pPr>
            <w:r w:rsidRPr="00DE0914">
              <w:rPr>
                <w:rFonts w:ascii="Calibri" w:hAnsi="Calibri" w:cs="Calibri"/>
                <w:color w:val="59595B"/>
                <w:kern w:val="0"/>
                <w:sz w:val="22"/>
                <w:szCs w:val="22"/>
                <w:lang w:val="en-GB" w:eastAsia="en-GB"/>
              </w:rPr>
              <w:t>Research and development</w:t>
            </w:r>
          </w:p>
        </w:tc>
        <w:tc>
          <w:tcPr>
            <w:tcW w:w="1696" w:type="dxa"/>
            <w:tcBorders>
              <w:top w:val="nil"/>
              <w:left w:val="nil"/>
              <w:bottom w:val="nil"/>
              <w:right w:val="single" w:sz="8" w:space="0" w:color="BFBFBF"/>
            </w:tcBorders>
            <w:shd w:val="clear" w:color="auto" w:fill="F2F2F2" w:themeFill="background1" w:themeFillShade="F2"/>
            <w:noWrap/>
            <w:hideMark/>
          </w:tcPr>
          <w:p w14:paraId="6E054212"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(8.853)</w:t>
            </w:r>
          </w:p>
        </w:tc>
        <w:tc>
          <w:tcPr>
            <w:tcW w:w="1920" w:type="dxa"/>
            <w:tcBorders>
              <w:top w:val="nil"/>
              <w:left w:val="nil"/>
              <w:bottom w:val="nil"/>
              <w:right w:val="single" w:sz="8" w:space="0" w:color="BFBFBF"/>
            </w:tcBorders>
            <w:shd w:val="clear" w:color="auto" w:fill="auto"/>
            <w:noWrap/>
            <w:hideMark/>
          </w:tcPr>
          <w:p w14:paraId="5AC4B030"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(8.017)</w:t>
            </w:r>
          </w:p>
        </w:tc>
      </w:tr>
      <w:tr w:rsidR="009F5F6D" w:rsidRPr="00DE0914" w14:paraId="047045F9" w14:textId="77777777" w:rsidTr="00B07AD0">
        <w:trPr>
          <w:trHeight w:val="312"/>
        </w:trPr>
        <w:tc>
          <w:tcPr>
            <w:tcW w:w="5144" w:type="dxa"/>
            <w:tcBorders>
              <w:top w:val="nil"/>
              <w:left w:val="nil"/>
              <w:bottom w:val="nil"/>
              <w:right w:val="single" w:sz="8" w:space="0" w:color="BFBFBF"/>
            </w:tcBorders>
            <w:shd w:val="clear" w:color="000000" w:fill="FFFFFF"/>
            <w:vAlign w:val="center"/>
            <w:hideMark/>
          </w:tcPr>
          <w:p w14:paraId="36345AE5" w14:textId="77777777" w:rsidR="009F5F6D" w:rsidRPr="00DE0914" w:rsidRDefault="009F5F6D"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General and administrative</w:t>
            </w:r>
          </w:p>
        </w:tc>
        <w:tc>
          <w:tcPr>
            <w:tcW w:w="1696" w:type="dxa"/>
            <w:tcBorders>
              <w:top w:val="nil"/>
              <w:left w:val="nil"/>
              <w:bottom w:val="nil"/>
              <w:right w:val="single" w:sz="8" w:space="0" w:color="BFBFBF"/>
            </w:tcBorders>
            <w:shd w:val="clear" w:color="auto" w:fill="F2F2F2" w:themeFill="background1" w:themeFillShade="F2"/>
            <w:noWrap/>
            <w:hideMark/>
          </w:tcPr>
          <w:p w14:paraId="118FDE88" w14:textId="77777777" w:rsidR="009F5F6D" w:rsidRPr="00DE0914" w:rsidRDefault="009F5F6D" w:rsidP="00B07AD0">
            <w:pPr>
              <w:spacing w:before="120" w:after="120"/>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(5.924)</w:t>
            </w:r>
          </w:p>
        </w:tc>
        <w:tc>
          <w:tcPr>
            <w:tcW w:w="1920" w:type="dxa"/>
            <w:tcBorders>
              <w:top w:val="nil"/>
              <w:left w:val="nil"/>
              <w:bottom w:val="nil"/>
              <w:right w:val="single" w:sz="8" w:space="0" w:color="BFBFBF"/>
            </w:tcBorders>
            <w:shd w:val="clear" w:color="auto" w:fill="auto"/>
            <w:noWrap/>
            <w:hideMark/>
          </w:tcPr>
          <w:p w14:paraId="5758CAFE" w14:textId="77777777" w:rsidR="009F5F6D" w:rsidRPr="00DE0914" w:rsidRDefault="009F5F6D" w:rsidP="00B07AD0">
            <w:pPr>
              <w:spacing w:before="120" w:after="120"/>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(5.167)</w:t>
            </w:r>
          </w:p>
        </w:tc>
      </w:tr>
      <w:tr w:rsidR="009F5F6D" w:rsidRPr="00DE0914" w14:paraId="193D211E" w14:textId="77777777" w:rsidTr="00B07AD0">
        <w:trPr>
          <w:trHeight w:val="312"/>
        </w:trPr>
        <w:tc>
          <w:tcPr>
            <w:tcW w:w="5144" w:type="dxa"/>
            <w:tcBorders>
              <w:top w:val="nil"/>
              <w:left w:val="nil"/>
              <w:bottom w:val="single" w:sz="8" w:space="0" w:color="BFBFBF"/>
              <w:right w:val="single" w:sz="8" w:space="0" w:color="BFBFBF"/>
            </w:tcBorders>
            <w:shd w:val="clear" w:color="000000" w:fill="FFFFFF"/>
            <w:vAlign w:val="center"/>
            <w:hideMark/>
          </w:tcPr>
          <w:p w14:paraId="623910CF" w14:textId="77777777" w:rsidR="009F5F6D" w:rsidRPr="00DE0914" w:rsidRDefault="009F5F6D"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Marketing and sales</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4246CD9C" w14:textId="77777777" w:rsidR="009F5F6D" w:rsidRPr="00DE0914" w:rsidRDefault="009F5F6D" w:rsidP="00B07AD0">
            <w:pPr>
              <w:spacing w:before="120" w:after="120"/>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(12.274)</w:t>
            </w:r>
          </w:p>
        </w:tc>
        <w:tc>
          <w:tcPr>
            <w:tcW w:w="1920" w:type="dxa"/>
            <w:tcBorders>
              <w:top w:val="nil"/>
              <w:left w:val="nil"/>
              <w:bottom w:val="single" w:sz="8" w:space="0" w:color="BFBFBF"/>
              <w:right w:val="single" w:sz="8" w:space="0" w:color="BFBFBF"/>
            </w:tcBorders>
            <w:shd w:val="clear" w:color="auto" w:fill="auto"/>
            <w:noWrap/>
            <w:hideMark/>
          </w:tcPr>
          <w:p w14:paraId="314AAF8A" w14:textId="77777777" w:rsidR="009F5F6D" w:rsidRPr="00DE0914" w:rsidRDefault="009F5F6D" w:rsidP="00B07AD0">
            <w:pPr>
              <w:spacing w:before="120" w:after="120"/>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(11.515)</w:t>
            </w:r>
          </w:p>
        </w:tc>
      </w:tr>
      <w:tr w:rsidR="009F5F6D" w:rsidRPr="00DE0914" w14:paraId="24367F3E" w14:textId="77777777" w:rsidTr="00B07AD0">
        <w:trPr>
          <w:trHeight w:val="312"/>
        </w:trPr>
        <w:tc>
          <w:tcPr>
            <w:tcW w:w="5144" w:type="dxa"/>
            <w:tcBorders>
              <w:top w:val="nil"/>
              <w:left w:val="nil"/>
              <w:bottom w:val="single" w:sz="8" w:space="0" w:color="BFBFBF"/>
              <w:right w:val="single" w:sz="8" w:space="0" w:color="BFBFBF"/>
            </w:tcBorders>
            <w:shd w:val="clear" w:color="000000" w:fill="FFFFFF"/>
            <w:vAlign w:val="center"/>
            <w:hideMark/>
          </w:tcPr>
          <w:p w14:paraId="592C4986" w14:textId="77777777" w:rsidR="009F5F6D" w:rsidRPr="00DE0914" w:rsidRDefault="009F5F6D" w:rsidP="00B07AD0">
            <w:pPr>
              <w:spacing w:before="120" w:after="120"/>
              <w:rPr>
                <w:rFonts w:ascii="Calibri" w:hAnsi="Calibri" w:cs="Calibri"/>
                <w:color w:val="59595B"/>
                <w:kern w:val="0"/>
                <w:sz w:val="22"/>
                <w:szCs w:val="22"/>
                <w:lang w:val="en-GB" w:eastAsia="en-GB"/>
              </w:rPr>
            </w:pPr>
            <w:r w:rsidRPr="00DE0914">
              <w:rPr>
                <w:rFonts w:ascii="Calibri" w:hAnsi="Calibri" w:cs="Calibri"/>
                <w:b/>
                <w:bCs/>
                <w:color w:val="59595B"/>
                <w:kern w:val="0"/>
                <w:sz w:val="22"/>
                <w:szCs w:val="22"/>
                <w:lang w:val="en-GB" w:eastAsia="en-GB"/>
              </w:rPr>
              <w:t>Other Operating Costs</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130D7A6A"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(27.051)</w:t>
            </w:r>
          </w:p>
        </w:tc>
        <w:tc>
          <w:tcPr>
            <w:tcW w:w="1920" w:type="dxa"/>
            <w:tcBorders>
              <w:top w:val="nil"/>
              <w:left w:val="nil"/>
              <w:bottom w:val="single" w:sz="8" w:space="0" w:color="BFBFBF"/>
              <w:right w:val="single" w:sz="8" w:space="0" w:color="BFBFBF"/>
            </w:tcBorders>
            <w:shd w:val="clear" w:color="auto" w:fill="auto"/>
            <w:noWrap/>
            <w:hideMark/>
          </w:tcPr>
          <w:p w14:paraId="071DFB18"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(24.699)</w:t>
            </w:r>
          </w:p>
        </w:tc>
      </w:tr>
      <w:tr w:rsidR="009F5F6D" w:rsidRPr="00DE0914" w14:paraId="318D6E72"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59BC37DA" w14:textId="77777777" w:rsidR="009F5F6D" w:rsidRPr="00DE0914" w:rsidRDefault="009F5F6D"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00679B"/>
                <w:kern w:val="0"/>
                <w:sz w:val="22"/>
                <w:szCs w:val="22"/>
                <w:lang w:val="en-GB" w:eastAsia="en-GB"/>
              </w:rPr>
              <w:t>Operating profit</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24B7873B"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5.198 </w:t>
            </w:r>
          </w:p>
        </w:tc>
        <w:tc>
          <w:tcPr>
            <w:tcW w:w="1920" w:type="dxa"/>
            <w:tcBorders>
              <w:top w:val="nil"/>
              <w:left w:val="nil"/>
              <w:bottom w:val="single" w:sz="8" w:space="0" w:color="BFBFBF"/>
              <w:right w:val="single" w:sz="8" w:space="0" w:color="BFBFBF"/>
            </w:tcBorders>
            <w:shd w:val="clear" w:color="auto" w:fill="auto"/>
            <w:noWrap/>
            <w:hideMark/>
          </w:tcPr>
          <w:p w14:paraId="2FCB9E87"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19.446 </w:t>
            </w:r>
          </w:p>
        </w:tc>
      </w:tr>
      <w:tr w:rsidR="009F5F6D" w:rsidRPr="00DE0914" w14:paraId="323AE7F4" w14:textId="77777777" w:rsidTr="00B07AD0">
        <w:trPr>
          <w:trHeight w:val="390"/>
        </w:trPr>
        <w:tc>
          <w:tcPr>
            <w:tcW w:w="5144" w:type="dxa"/>
            <w:tcBorders>
              <w:top w:val="nil"/>
              <w:left w:val="nil"/>
              <w:bottom w:val="nil"/>
              <w:right w:val="single" w:sz="8" w:space="0" w:color="BFBFBF"/>
            </w:tcBorders>
            <w:shd w:val="clear" w:color="auto" w:fill="auto"/>
            <w:vAlign w:val="center"/>
            <w:hideMark/>
          </w:tcPr>
          <w:p w14:paraId="19D2D73F" w14:textId="77777777" w:rsidR="009F5F6D" w:rsidRPr="00DE0914" w:rsidRDefault="009F5F6D" w:rsidP="00B07AD0">
            <w:pPr>
              <w:spacing w:before="120" w:after="120"/>
              <w:rPr>
                <w:rFonts w:ascii="Calibri" w:hAnsi="Calibri" w:cs="Calibri"/>
                <w:b/>
                <w:bCs/>
                <w:color w:val="0070C0"/>
                <w:kern w:val="0"/>
                <w:sz w:val="22"/>
                <w:szCs w:val="22"/>
                <w:lang w:val="en-GB" w:eastAsia="en-GB"/>
              </w:rPr>
            </w:pPr>
            <w:r w:rsidRPr="00DE0914">
              <w:rPr>
                <w:rFonts w:ascii="Calibri" w:hAnsi="Calibri" w:cs="Calibri"/>
                <w:color w:val="59595B"/>
                <w:kern w:val="0"/>
                <w:sz w:val="22"/>
                <w:szCs w:val="22"/>
                <w:lang w:val="en-GB" w:eastAsia="en-GB"/>
              </w:rPr>
              <w:t>Fair value loss on revaluation derivatives</w:t>
            </w:r>
          </w:p>
        </w:tc>
        <w:tc>
          <w:tcPr>
            <w:tcW w:w="1696" w:type="dxa"/>
            <w:tcBorders>
              <w:top w:val="nil"/>
              <w:left w:val="nil"/>
              <w:bottom w:val="nil"/>
              <w:right w:val="single" w:sz="8" w:space="0" w:color="BFBFBF"/>
            </w:tcBorders>
            <w:shd w:val="clear" w:color="auto" w:fill="F2F2F2" w:themeFill="background1" w:themeFillShade="F2"/>
            <w:noWrap/>
            <w:hideMark/>
          </w:tcPr>
          <w:p w14:paraId="48983878"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25 </w:t>
            </w:r>
          </w:p>
        </w:tc>
        <w:tc>
          <w:tcPr>
            <w:tcW w:w="1920" w:type="dxa"/>
            <w:tcBorders>
              <w:top w:val="nil"/>
              <w:left w:val="nil"/>
              <w:bottom w:val="nil"/>
              <w:right w:val="single" w:sz="8" w:space="0" w:color="BFBFBF"/>
            </w:tcBorders>
            <w:shd w:val="clear" w:color="auto" w:fill="auto"/>
            <w:noWrap/>
            <w:hideMark/>
          </w:tcPr>
          <w:p w14:paraId="12BB305C"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121 </w:t>
            </w:r>
          </w:p>
        </w:tc>
      </w:tr>
      <w:tr w:rsidR="009F5F6D" w:rsidRPr="00DE0914" w14:paraId="4208BA1E" w14:textId="77777777" w:rsidTr="00B07AD0">
        <w:trPr>
          <w:trHeight w:val="312"/>
        </w:trPr>
        <w:tc>
          <w:tcPr>
            <w:tcW w:w="5144" w:type="dxa"/>
            <w:tcBorders>
              <w:top w:val="nil"/>
              <w:left w:val="nil"/>
              <w:bottom w:val="nil"/>
              <w:right w:val="single" w:sz="8" w:space="0" w:color="BFBFBF"/>
            </w:tcBorders>
            <w:shd w:val="clear" w:color="auto" w:fill="auto"/>
            <w:vAlign w:val="center"/>
            <w:hideMark/>
          </w:tcPr>
          <w:p w14:paraId="18E14DC4" w14:textId="77777777" w:rsidR="009F5F6D" w:rsidRPr="00DE0914" w:rsidRDefault="009F5F6D"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finance income</w:t>
            </w:r>
          </w:p>
        </w:tc>
        <w:tc>
          <w:tcPr>
            <w:tcW w:w="1696" w:type="dxa"/>
            <w:tcBorders>
              <w:top w:val="nil"/>
              <w:left w:val="nil"/>
              <w:bottom w:val="nil"/>
              <w:right w:val="single" w:sz="8" w:space="0" w:color="BFBFBF"/>
            </w:tcBorders>
            <w:shd w:val="clear" w:color="auto" w:fill="F2F2F2" w:themeFill="background1" w:themeFillShade="F2"/>
            <w:noWrap/>
            <w:hideMark/>
          </w:tcPr>
          <w:p w14:paraId="16710EAE" w14:textId="77777777" w:rsidR="009F5F6D" w:rsidRPr="00DE0914" w:rsidRDefault="009F5F6D" w:rsidP="00B07AD0">
            <w:pPr>
              <w:spacing w:before="120" w:after="120"/>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6.750 </w:t>
            </w:r>
          </w:p>
        </w:tc>
        <w:tc>
          <w:tcPr>
            <w:tcW w:w="1920" w:type="dxa"/>
            <w:tcBorders>
              <w:top w:val="nil"/>
              <w:left w:val="nil"/>
              <w:bottom w:val="nil"/>
              <w:right w:val="single" w:sz="8" w:space="0" w:color="BFBFBF"/>
            </w:tcBorders>
            <w:shd w:val="clear" w:color="auto" w:fill="auto"/>
            <w:noWrap/>
            <w:hideMark/>
          </w:tcPr>
          <w:p w14:paraId="0A4CDEB7" w14:textId="77777777" w:rsidR="009F5F6D" w:rsidRPr="00DE0914" w:rsidRDefault="009F5F6D" w:rsidP="00B07AD0">
            <w:pPr>
              <w:spacing w:before="120" w:after="120"/>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370 </w:t>
            </w:r>
          </w:p>
        </w:tc>
      </w:tr>
      <w:tr w:rsidR="009F5F6D" w:rsidRPr="00DE0914" w14:paraId="2AFE926B" w14:textId="77777777" w:rsidTr="00B07AD0">
        <w:trPr>
          <w:trHeight w:val="312"/>
        </w:trPr>
        <w:tc>
          <w:tcPr>
            <w:tcW w:w="5144" w:type="dxa"/>
            <w:tcBorders>
              <w:top w:val="nil"/>
              <w:left w:val="nil"/>
              <w:bottom w:val="single" w:sz="8" w:space="0" w:color="BFBFBF"/>
              <w:right w:val="single" w:sz="8" w:space="0" w:color="BFBFBF"/>
            </w:tcBorders>
            <w:shd w:val="clear" w:color="auto" w:fill="auto"/>
            <w:vAlign w:val="center"/>
            <w:hideMark/>
          </w:tcPr>
          <w:p w14:paraId="63D8EE1B" w14:textId="77777777" w:rsidR="009F5F6D" w:rsidRPr="00DE0914" w:rsidRDefault="009F5F6D"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finance expenses</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14338084" w14:textId="77777777" w:rsidR="009F5F6D" w:rsidRPr="00DE0914" w:rsidRDefault="009F5F6D" w:rsidP="00B07AD0">
            <w:pPr>
              <w:spacing w:before="120" w:after="120"/>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(1.322)</w:t>
            </w:r>
          </w:p>
        </w:tc>
        <w:tc>
          <w:tcPr>
            <w:tcW w:w="1920" w:type="dxa"/>
            <w:tcBorders>
              <w:top w:val="nil"/>
              <w:left w:val="nil"/>
              <w:bottom w:val="single" w:sz="8" w:space="0" w:color="BFBFBF"/>
              <w:right w:val="single" w:sz="8" w:space="0" w:color="BFBFBF"/>
            </w:tcBorders>
            <w:shd w:val="clear" w:color="auto" w:fill="auto"/>
            <w:noWrap/>
            <w:hideMark/>
          </w:tcPr>
          <w:p w14:paraId="16D6015A" w14:textId="77777777" w:rsidR="009F5F6D" w:rsidRPr="00DE0914" w:rsidRDefault="009F5F6D" w:rsidP="00B07AD0">
            <w:pPr>
              <w:spacing w:before="120" w:after="120"/>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(7.525)</w:t>
            </w:r>
          </w:p>
        </w:tc>
      </w:tr>
      <w:tr w:rsidR="009F5F6D" w:rsidRPr="00DE0914" w14:paraId="506D3E74" w14:textId="77777777" w:rsidTr="00B07AD0">
        <w:trPr>
          <w:trHeight w:val="312"/>
        </w:trPr>
        <w:tc>
          <w:tcPr>
            <w:tcW w:w="5144" w:type="dxa"/>
            <w:tcBorders>
              <w:top w:val="nil"/>
              <w:left w:val="nil"/>
              <w:bottom w:val="single" w:sz="8" w:space="0" w:color="BFBFBF"/>
              <w:right w:val="single" w:sz="8" w:space="0" w:color="BFBFBF"/>
            </w:tcBorders>
            <w:shd w:val="clear" w:color="000000" w:fill="FFFFFF"/>
            <w:vAlign w:val="center"/>
            <w:hideMark/>
          </w:tcPr>
          <w:p w14:paraId="0343D99C" w14:textId="77777777" w:rsidR="009F5F6D" w:rsidRPr="00DE0914" w:rsidRDefault="009F5F6D" w:rsidP="00B07AD0">
            <w:pPr>
              <w:spacing w:before="120" w:after="120"/>
              <w:rPr>
                <w:rFonts w:ascii="Calibri" w:hAnsi="Calibri" w:cs="Calibri"/>
                <w:color w:val="59595B"/>
                <w:kern w:val="0"/>
                <w:sz w:val="22"/>
                <w:szCs w:val="22"/>
                <w:lang w:val="en-GB" w:eastAsia="en-GB"/>
              </w:rPr>
            </w:pPr>
            <w:r w:rsidRPr="00DE0914">
              <w:rPr>
                <w:rFonts w:ascii="Calibri" w:hAnsi="Calibri" w:cs="Calibri"/>
                <w:b/>
                <w:bCs/>
                <w:color w:val="59595B"/>
                <w:kern w:val="0"/>
                <w:sz w:val="22"/>
                <w:szCs w:val="22"/>
                <w:lang w:val="en-GB" w:eastAsia="en-GB"/>
              </w:rPr>
              <w:t>Finance cost, net</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5CFFD4C4"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5.453 </w:t>
            </w:r>
          </w:p>
        </w:tc>
        <w:tc>
          <w:tcPr>
            <w:tcW w:w="1920" w:type="dxa"/>
            <w:tcBorders>
              <w:top w:val="nil"/>
              <w:left w:val="nil"/>
              <w:bottom w:val="single" w:sz="8" w:space="0" w:color="BFBFBF"/>
              <w:right w:val="single" w:sz="8" w:space="0" w:color="BFBFBF"/>
            </w:tcBorders>
            <w:shd w:val="clear" w:color="auto" w:fill="auto"/>
            <w:noWrap/>
            <w:hideMark/>
          </w:tcPr>
          <w:p w14:paraId="5D924BA7"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(7.034)</w:t>
            </w:r>
          </w:p>
        </w:tc>
      </w:tr>
      <w:tr w:rsidR="009F5F6D" w:rsidRPr="00DE0914" w14:paraId="43D3C94D"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0A01BA7E" w14:textId="77777777" w:rsidR="009F5F6D" w:rsidRPr="00DE0914" w:rsidRDefault="009F5F6D"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Share of net profits in associates using the equity method</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7F5C18C9"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(68)</w:t>
            </w:r>
          </w:p>
        </w:tc>
        <w:tc>
          <w:tcPr>
            <w:tcW w:w="1920" w:type="dxa"/>
            <w:tcBorders>
              <w:top w:val="nil"/>
              <w:left w:val="nil"/>
              <w:bottom w:val="single" w:sz="8" w:space="0" w:color="BFBFBF"/>
              <w:right w:val="single" w:sz="8" w:space="0" w:color="BFBFBF"/>
            </w:tcBorders>
            <w:shd w:val="clear" w:color="auto" w:fill="auto"/>
            <w:noWrap/>
            <w:hideMark/>
          </w:tcPr>
          <w:p w14:paraId="0B2FCCE3"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14 </w:t>
            </w:r>
          </w:p>
        </w:tc>
      </w:tr>
      <w:tr w:rsidR="009F5F6D" w:rsidRPr="00DE0914" w14:paraId="1BF2D70F"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2EDE6897" w14:textId="77777777" w:rsidR="009F5F6D" w:rsidRPr="00DE0914" w:rsidRDefault="009F5F6D" w:rsidP="00B07AD0">
            <w:pPr>
              <w:spacing w:before="120" w:after="120"/>
              <w:rPr>
                <w:rFonts w:ascii="Calibri" w:hAnsi="Calibri" w:cs="Calibri"/>
                <w:b/>
                <w:bCs/>
                <w:color w:val="59595B"/>
                <w:kern w:val="0"/>
                <w:sz w:val="22"/>
                <w:szCs w:val="22"/>
                <w:lang w:val="en-GB" w:eastAsia="en-GB"/>
              </w:rPr>
            </w:pPr>
            <w:r w:rsidRPr="00DE0914">
              <w:rPr>
                <w:rFonts w:ascii="Calibri" w:hAnsi="Calibri" w:cs="Calibri"/>
                <w:b/>
                <w:bCs/>
                <w:color w:val="00679B"/>
                <w:kern w:val="0"/>
                <w:sz w:val="22"/>
                <w:szCs w:val="22"/>
                <w:lang w:val="en-GB" w:eastAsia="en-GB"/>
              </w:rPr>
              <w:t>Profit before tax</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255F25A0"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10.583 </w:t>
            </w:r>
          </w:p>
        </w:tc>
        <w:tc>
          <w:tcPr>
            <w:tcW w:w="1920" w:type="dxa"/>
            <w:tcBorders>
              <w:top w:val="nil"/>
              <w:left w:val="nil"/>
              <w:bottom w:val="single" w:sz="8" w:space="0" w:color="BFBFBF"/>
              <w:right w:val="single" w:sz="8" w:space="0" w:color="BFBFBF"/>
            </w:tcBorders>
            <w:shd w:val="clear" w:color="auto" w:fill="auto"/>
            <w:noWrap/>
            <w:hideMark/>
          </w:tcPr>
          <w:p w14:paraId="4E332A84"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12.426 </w:t>
            </w:r>
          </w:p>
        </w:tc>
      </w:tr>
      <w:tr w:rsidR="009F5F6D" w:rsidRPr="00DE0914" w14:paraId="2B57EFB3"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4E310A67" w14:textId="77777777" w:rsidR="009F5F6D" w:rsidRPr="00DE0914" w:rsidRDefault="009F5F6D" w:rsidP="00B07AD0">
            <w:pPr>
              <w:spacing w:before="120" w:after="120"/>
              <w:rPr>
                <w:rFonts w:ascii="Calibri" w:hAnsi="Calibri" w:cs="Calibri"/>
                <w:b/>
                <w:bCs/>
                <w:color w:val="0070C0"/>
                <w:kern w:val="0"/>
                <w:sz w:val="22"/>
                <w:szCs w:val="22"/>
                <w:lang w:val="en-GB" w:eastAsia="en-GB"/>
              </w:rPr>
            </w:pPr>
            <w:r w:rsidRPr="00DE0914">
              <w:rPr>
                <w:rFonts w:ascii="Calibri" w:hAnsi="Calibri" w:cs="Calibri"/>
                <w:color w:val="59595B"/>
                <w:kern w:val="0"/>
                <w:sz w:val="22"/>
                <w:szCs w:val="22"/>
                <w:lang w:val="en-GB" w:eastAsia="en-GB"/>
              </w:rPr>
              <w:t>Income tax expense</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4A68F4D9"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(3.532)</w:t>
            </w:r>
          </w:p>
        </w:tc>
        <w:tc>
          <w:tcPr>
            <w:tcW w:w="1920" w:type="dxa"/>
            <w:tcBorders>
              <w:top w:val="nil"/>
              <w:left w:val="nil"/>
              <w:bottom w:val="single" w:sz="8" w:space="0" w:color="BFBFBF"/>
              <w:right w:val="single" w:sz="8" w:space="0" w:color="BFBFBF"/>
            </w:tcBorders>
            <w:shd w:val="clear" w:color="auto" w:fill="auto"/>
            <w:noWrap/>
            <w:hideMark/>
          </w:tcPr>
          <w:p w14:paraId="37860418"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(3.999)</w:t>
            </w:r>
          </w:p>
        </w:tc>
      </w:tr>
      <w:tr w:rsidR="009F5F6D" w:rsidRPr="00DE0914" w14:paraId="0AE1B577"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67937DD7" w14:textId="77777777" w:rsidR="009F5F6D" w:rsidRPr="00DE0914" w:rsidRDefault="009F5F6D" w:rsidP="00B07AD0">
            <w:pPr>
              <w:spacing w:before="120" w:after="120"/>
              <w:rPr>
                <w:rFonts w:ascii="Calibri" w:hAnsi="Calibri" w:cs="Calibri"/>
                <w:color w:val="808080"/>
                <w:kern w:val="0"/>
                <w:sz w:val="22"/>
                <w:szCs w:val="22"/>
                <w:lang w:val="en-GB" w:eastAsia="en-GB"/>
              </w:rPr>
            </w:pPr>
            <w:r w:rsidRPr="00DE0914">
              <w:rPr>
                <w:rFonts w:ascii="Calibri" w:hAnsi="Calibri" w:cs="Calibri"/>
                <w:b/>
                <w:bCs/>
                <w:color w:val="00679B"/>
                <w:kern w:val="0"/>
                <w:sz w:val="22"/>
                <w:szCs w:val="22"/>
                <w:lang w:val="en-GB" w:eastAsia="en-GB"/>
              </w:rPr>
              <w:t>Profit for the year</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204F9CD0" w14:textId="77777777" w:rsidR="009F5F6D" w:rsidRPr="00DE0914" w:rsidRDefault="009F5F6D" w:rsidP="00B07AD0">
            <w:pPr>
              <w:spacing w:before="120" w:after="1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7.051 </w:t>
            </w:r>
          </w:p>
        </w:tc>
        <w:tc>
          <w:tcPr>
            <w:tcW w:w="1920" w:type="dxa"/>
            <w:tcBorders>
              <w:top w:val="nil"/>
              <w:left w:val="nil"/>
              <w:bottom w:val="single" w:sz="8" w:space="0" w:color="BFBFBF"/>
              <w:right w:val="single" w:sz="8" w:space="0" w:color="BFBFBF"/>
            </w:tcBorders>
            <w:shd w:val="clear" w:color="auto" w:fill="auto"/>
            <w:noWrap/>
            <w:hideMark/>
          </w:tcPr>
          <w:p w14:paraId="293FAD22" w14:textId="77777777" w:rsidR="009F5F6D" w:rsidRPr="00DE0914" w:rsidRDefault="009F5F6D" w:rsidP="00B07AD0">
            <w:pPr>
              <w:spacing w:before="120" w:after="1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8.427 </w:t>
            </w:r>
          </w:p>
        </w:tc>
      </w:tr>
      <w:tr w:rsidR="009F5F6D" w:rsidRPr="00DE0914" w14:paraId="6FD7EFB1"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0FFB4DFB" w14:textId="77777777" w:rsidR="009F5F6D" w:rsidRPr="00DE0914" w:rsidRDefault="009F5F6D" w:rsidP="00B07AD0">
            <w:pPr>
              <w:spacing w:before="120" w:after="120"/>
              <w:rPr>
                <w:rFonts w:ascii="Calibri" w:hAnsi="Calibri" w:cs="Calibri"/>
                <w:b/>
                <w:bCs/>
                <w:color w:val="0070C0"/>
                <w:kern w:val="0"/>
                <w:sz w:val="22"/>
                <w:szCs w:val="22"/>
                <w:lang w:val="en-GB" w:eastAsia="en-GB"/>
              </w:rPr>
            </w:pPr>
            <w:r w:rsidRPr="00DE0914">
              <w:rPr>
                <w:rFonts w:ascii="Calibri" w:hAnsi="Calibri" w:cs="Calibri"/>
                <w:color w:val="59595B"/>
                <w:kern w:val="0"/>
                <w:sz w:val="22"/>
                <w:szCs w:val="22"/>
                <w:lang w:val="en-GB" w:eastAsia="en-GB"/>
              </w:rPr>
              <w:t xml:space="preserve">Basic earnings per share (€) </w:t>
            </w:r>
          </w:p>
        </w:tc>
        <w:tc>
          <w:tcPr>
            <w:tcW w:w="1696" w:type="dxa"/>
            <w:tcBorders>
              <w:top w:val="nil"/>
              <w:left w:val="nil"/>
              <w:bottom w:val="single" w:sz="8" w:space="0" w:color="BFBFBF"/>
              <w:right w:val="single" w:sz="8" w:space="0" w:color="BFBFBF"/>
            </w:tcBorders>
            <w:shd w:val="clear" w:color="auto" w:fill="F2F2F2" w:themeFill="background1" w:themeFillShade="F2"/>
            <w:noWrap/>
            <w:hideMark/>
          </w:tcPr>
          <w:p w14:paraId="36EB4F0E" w14:textId="77777777" w:rsidR="009F5F6D" w:rsidRPr="00DE0914" w:rsidRDefault="009F5F6D" w:rsidP="00B07AD0">
            <w:pPr>
              <w:spacing w:before="120" w:after="120"/>
              <w:jc w:val="right"/>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0,011 </w:t>
            </w:r>
          </w:p>
        </w:tc>
        <w:tc>
          <w:tcPr>
            <w:tcW w:w="1920" w:type="dxa"/>
            <w:tcBorders>
              <w:top w:val="nil"/>
              <w:left w:val="nil"/>
              <w:bottom w:val="single" w:sz="8" w:space="0" w:color="BFBFBF"/>
              <w:right w:val="single" w:sz="8" w:space="0" w:color="BFBFBF"/>
            </w:tcBorders>
            <w:shd w:val="clear" w:color="auto" w:fill="auto"/>
            <w:noWrap/>
            <w:hideMark/>
          </w:tcPr>
          <w:p w14:paraId="7C44A0C0" w14:textId="77777777" w:rsidR="009F5F6D" w:rsidRPr="00DE0914" w:rsidRDefault="009F5F6D" w:rsidP="00B07AD0">
            <w:pPr>
              <w:spacing w:before="120" w:after="120"/>
              <w:jc w:val="right"/>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0,013</w:t>
            </w:r>
          </w:p>
        </w:tc>
      </w:tr>
      <w:tr w:rsidR="009F5F6D" w:rsidRPr="00DE0914" w14:paraId="34DC4EF7" w14:textId="77777777" w:rsidTr="00B07AD0">
        <w:trPr>
          <w:trHeight w:val="390"/>
        </w:trPr>
        <w:tc>
          <w:tcPr>
            <w:tcW w:w="5144" w:type="dxa"/>
            <w:tcBorders>
              <w:top w:val="nil"/>
              <w:left w:val="nil"/>
              <w:bottom w:val="single" w:sz="8" w:space="0" w:color="BFBFBF"/>
              <w:right w:val="single" w:sz="8" w:space="0" w:color="BFBFBF"/>
            </w:tcBorders>
            <w:shd w:val="clear" w:color="000000" w:fill="FFFFFF"/>
            <w:vAlign w:val="center"/>
            <w:hideMark/>
          </w:tcPr>
          <w:p w14:paraId="4A134293" w14:textId="77777777" w:rsidR="009F5F6D" w:rsidRPr="00DE0914" w:rsidRDefault="009F5F6D" w:rsidP="00B07AD0">
            <w:pPr>
              <w:spacing w:before="120" w:after="1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Diluted earnings per share (€) </w:t>
            </w:r>
          </w:p>
        </w:tc>
        <w:tc>
          <w:tcPr>
            <w:tcW w:w="1696" w:type="dxa"/>
            <w:tcBorders>
              <w:top w:val="nil"/>
              <w:left w:val="nil"/>
              <w:bottom w:val="single" w:sz="8" w:space="0" w:color="BFBFBF"/>
              <w:right w:val="single" w:sz="8" w:space="0" w:color="BFBFBF"/>
            </w:tcBorders>
            <w:shd w:val="clear" w:color="auto" w:fill="F2F2F2" w:themeFill="background1" w:themeFillShade="F2"/>
            <w:hideMark/>
          </w:tcPr>
          <w:p w14:paraId="5FEDE32F" w14:textId="77777777" w:rsidR="009F5F6D" w:rsidRPr="00DE0914" w:rsidRDefault="009F5F6D" w:rsidP="00B07AD0">
            <w:pPr>
              <w:spacing w:before="120" w:after="120"/>
              <w:jc w:val="right"/>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0,011 </w:t>
            </w:r>
          </w:p>
        </w:tc>
        <w:tc>
          <w:tcPr>
            <w:tcW w:w="1920" w:type="dxa"/>
            <w:tcBorders>
              <w:top w:val="nil"/>
              <w:left w:val="nil"/>
              <w:bottom w:val="single" w:sz="8" w:space="0" w:color="BFBFBF"/>
              <w:right w:val="single" w:sz="8" w:space="0" w:color="BFBFBF"/>
            </w:tcBorders>
            <w:shd w:val="clear" w:color="auto" w:fill="auto"/>
            <w:hideMark/>
          </w:tcPr>
          <w:p w14:paraId="44315D7D" w14:textId="77777777" w:rsidR="009F5F6D" w:rsidRPr="00DE0914" w:rsidRDefault="009F5F6D" w:rsidP="00B07AD0">
            <w:pPr>
              <w:spacing w:before="120" w:after="120"/>
              <w:jc w:val="right"/>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0,011</w:t>
            </w:r>
          </w:p>
        </w:tc>
      </w:tr>
    </w:tbl>
    <w:p w14:paraId="57850076" w14:textId="77777777" w:rsidR="009F5F6D" w:rsidRPr="00DE0914" w:rsidRDefault="009F5F6D" w:rsidP="003B26BF">
      <w:pPr>
        <w:rPr>
          <w:rFonts w:ascii="Calibri Light" w:eastAsiaTheme="majorEastAsia" w:hAnsi="Calibri Light" w:cstheme="majorBidi"/>
          <w:b/>
          <w:color w:val="59595B"/>
          <w:szCs w:val="28"/>
          <w:lang w:val="en-GB" w:eastAsia="zh-CN"/>
        </w:rPr>
      </w:pPr>
    </w:p>
    <w:p w14:paraId="66B10FDB" w14:textId="77777777" w:rsidR="009F5F6D" w:rsidRPr="00DE0914" w:rsidRDefault="009F5F6D" w:rsidP="003B26BF">
      <w:pPr>
        <w:rPr>
          <w:rFonts w:ascii="Calibri Light" w:eastAsiaTheme="majorEastAsia" w:hAnsi="Calibri Light" w:cstheme="majorBidi"/>
          <w:b/>
          <w:color w:val="59595B"/>
          <w:szCs w:val="28"/>
          <w:lang w:val="en-GB" w:eastAsia="zh-CN"/>
        </w:rPr>
      </w:pPr>
    </w:p>
    <w:p w14:paraId="4C667E24" w14:textId="77777777" w:rsidR="009F5F6D" w:rsidRPr="00DE0914" w:rsidRDefault="009F5F6D" w:rsidP="003B26BF">
      <w:pPr>
        <w:rPr>
          <w:rFonts w:ascii="Calibri Light" w:eastAsiaTheme="majorEastAsia" w:hAnsi="Calibri Light" w:cstheme="majorBidi"/>
          <w:b/>
          <w:color w:val="59595B"/>
          <w:szCs w:val="28"/>
          <w:lang w:val="en-GB" w:eastAsia="zh-CN"/>
        </w:rPr>
      </w:pPr>
    </w:p>
    <w:p w14:paraId="4E97C7A6" w14:textId="77777777" w:rsidR="009F5F6D" w:rsidRPr="00DE0914" w:rsidRDefault="009F5F6D" w:rsidP="003B26BF">
      <w:pPr>
        <w:rPr>
          <w:rFonts w:ascii="Calibri Light" w:eastAsiaTheme="majorEastAsia" w:hAnsi="Calibri Light" w:cstheme="majorBidi"/>
          <w:b/>
          <w:color w:val="59595B"/>
          <w:szCs w:val="28"/>
          <w:lang w:val="en-GB" w:eastAsia="zh-CN"/>
        </w:rPr>
      </w:pPr>
    </w:p>
    <w:p w14:paraId="7F99FD60" w14:textId="77777777" w:rsidR="00B67EDB" w:rsidRPr="00DE0914" w:rsidRDefault="00B67EDB" w:rsidP="00B67EDB">
      <w:pPr>
        <w:rPr>
          <w:rFonts w:ascii="Calibri Light" w:eastAsiaTheme="majorEastAsia" w:hAnsi="Calibri Light" w:cstheme="majorBidi"/>
          <w:b/>
          <w:color w:val="59595B"/>
          <w:szCs w:val="28"/>
          <w:lang w:val="en-GB" w:eastAsia="zh-CN"/>
        </w:rPr>
      </w:pPr>
      <w:r w:rsidRPr="00DE0914">
        <w:rPr>
          <w:rFonts w:ascii="Calibri Light" w:eastAsiaTheme="majorEastAsia" w:hAnsi="Calibri Light" w:cstheme="majorBidi"/>
          <w:b/>
          <w:color w:val="59595B"/>
          <w:szCs w:val="28"/>
          <w:lang w:val="en-GB" w:eastAsia="zh-CN"/>
        </w:rPr>
        <w:lastRenderedPageBreak/>
        <w:t xml:space="preserve">Condensed Consolidated Balance Sheet in </w:t>
      </w:r>
      <w:r w:rsidRPr="00DE0914">
        <w:rPr>
          <w:rFonts w:ascii="Calibri Light" w:eastAsiaTheme="majorEastAsia" w:hAnsi="Calibri Light" w:cstheme="majorBidi"/>
          <w:b/>
          <w:color w:val="59595B"/>
          <w:szCs w:val="28"/>
          <w:u w:val="single"/>
          <w:lang w:val="en-GB" w:eastAsia="zh-CN"/>
        </w:rPr>
        <w:t>Euros</w:t>
      </w:r>
    </w:p>
    <w:p w14:paraId="519A40FD" w14:textId="77777777" w:rsidR="00B67EDB" w:rsidRPr="00DE0914" w:rsidRDefault="00B67EDB" w:rsidP="00B67EDB">
      <w:pPr>
        <w:jc w:val="both"/>
        <w:rPr>
          <w:rFonts w:ascii="Calibri" w:eastAsia="Calibri" w:hAnsi="Calibri" w:cs="Calibri"/>
          <w:color w:val="59595B"/>
          <w:sz w:val="22"/>
          <w:szCs w:val="22"/>
        </w:rPr>
      </w:pPr>
      <w:r w:rsidRPr="00DE0914">
        <w:rPr>
          <w:rFonts w:ascii="Calibri" w:eastAsia="Calibri" w:hAnsi="Calibri" w:cs="Calibri"/>
          <w:color w:val="59595B"/>
          <w:sz w:val="22"/>
          <w:szCs w:val="22"/>
        </w:rPr>
        <w:t>As at date shown</w:t>
      </w:r>
    </w:p>
    <w:tbl>
      <w:tblPr>
        <w:tblW w:w="9531" w:type="dxa"/>
        <w:tblLook w:val="04A0" w:firstRow="1" w:lastRow="0" w:firstColumn="1" w:lastColumn="0" w:noHBand="0" w:noVBand="1"/>
      </w:tblPr>
      <w:tblGrid>
        <w:gridCol w:w="4907"/>
        <w:gridCol w:w="2382"/>
        <w:gridCol w:w="2242"/>
      </w:tblGrid>
      <w:tr w:rsidR="00B67EDB" w:rsidRPr="00DE0914" w14:paraId="6EB8449D" w14:textId="77777777" w:rsidTr="00B07AD0">
        <w:trPr>
          <w:trHeight w:val="286"/>
        </w:trPr>
        <w:tc>
          <w:tcPr>
            <w:tcW w:w="4907" w:type="dxa"/>
            <w:tcBorders>
              <w:top w:val="nil"/>
              <w:left w:val="nil"/>
              <w:bottom w:val="single" w:sz="8" w:space="0" w:color="BFBFBF"/>
              <w:right w:val="nil"/>
            </w:tcBorders>
            <w:shd w:val="clear" w:color="auto" w:fill="F2F2F2" w:themeFill="background1" w:themeFillShade="F2"/>
            <w:vAlign w:val="center"/>
            <w:hideMark/>
          </w:tcPr>
          <w:p w14:paraId="25BC0028" w14:textId="5CC9863E"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i/>
                <w:iCs/>
                <w:color w:val="59595B"/>
                <w:kern w:val="0"/>
                <w:sz w:val="20"/>
                <w:szCs w:val="20"/>
                <w:lang w:val="en-GB" w:eastAsia="en-GB"/>
              </w:rPr>
              <w:t xml:space="preserve">Amounts in </w:t>
            </w:r>
            <w:r w:rsidR="003E2C45" w:rsidRPr="00DE0914">
              <w:rPr>
                <w:rFonts w:ascii="Calibri" w:hAnsi="Calibri" w:cs="Calibri"/>
                <w:i/>
                <w:iCs/>
                <w:color w:val="59595B"/>
                <w:kern w:val="0"/>
                <w:sz w:val="20"/>
                <w:szCs w:val="20"/>
                <w:lang w:val="en-GB" w:eastAsia="en-GB"/>
              </w:rPr>
              <w:t>€</w:t>
            </w:r>
            <w:r w:rsidRPr="00DE0914">
              <w:rPr>
                <w:rFonts w:ascii="Calibri" w:hAnsi="Calibri" w:cs="Calibri"/>
                <w:i/>
                <w:iCs/>
                <w:color w:val="59595B"/>
                <w:kern w:val="0"/>
                <w:sz w:val="20"/>
                <w:szCs w:val="20"/>
                <w:lang w:val="en-GB" w:eastAsia="en-GB"/>
              </w:rPr>
              <w:t xml:space="preserve"> ‘000</w:t>
            </w:r>
          </w:p>
        </w:tc>
        <w:tc>
          <w:tcPr>
            <w:tcW w:w="2382" w:type="dxa"/>
            <w:tcBorders>
              <w:top w:val="nil"/>
              <w:left w:val="nil"/>
              <w:bottom w:val="single" w:sz="8" w:space="0" w:color="BFBFBF"/>
              <w:right w:val="nil"/>
            </w:tcBorders>
            <w:shd w:val="clear" w:color="auto" w:fill="F2F2F2" w:themeFill="background1" w:themeFillShade="F2"/>
            <w:noWrap/>
            <w:vAlign w:val="center"/>
            <w:hideMark/>
          </w:tcPr>
          <w:p w14:paraId="385EB4A1"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kern w:val="0"/>
                <w:sz w:val="22"/>
                <w:szCs w:val="22"/>
                <w:lang w:val="en-GB" w:eastAsia="en-GB"/>
              </w:rPr>
              <w:t xml:space="preserve"> March 31, 2021 </w:t>
            </w:r>
          </w:p>
        </w:tc>
        <w:tc>
          <w:tcPr>
            <w:tcW w:w="2242" w:type="dxa"/>
            <w:tcBorders>
              <w:top w:val="nil"/>
              <w:left w:val="nil"/>
              <w:bottom w:val="single" w:sz="8" w:space="0" w:color="BFBFBF"/>
              <w:right w:val="nil"/>
            </w:tcBorders>
            <w:shd w:val="clear" w:color="auto" w:fill="F2F2F2" w:themeFill="background1" w:themeFillShade="F2"/>
            <w:vAlign w:val="center"/>
            <w:hideMark/>
          </w:tcPr>
          <w:p w14:paraId="244463E0"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December 31, 2020</w:t>
            </w:r>
          </w:p>
        </w:tc>
      </w:tr>
      <w:tr w:rsidR="00B67EDB" w:rsidRPr="00DE0914" w14:paraId="72DAB9BC" w14:textId="77777777" w:rsidTr="00B07AD0">
        <w:trPr>
          <w:trHeight w:val="145"/>
        </w:trPr>
        <w:tc>
          <w:tcPr>
            <w:tcW w:w="4907" w:type="dxa"/>
            <w:tcBorders>
              <w:top w:val="nil"/>
              <w:left w:val="nil"/>
              <w:bottom w:val="nil"/>
              <w:right w:val="single" w:sz="8" w:space="0" w:color="BFBFBF"/>
            </w:tcBorders>
            <w:shd w:val="clear" w:color="000000" w:fill="FFFFFF"/>
            <w:vAlign w:val="center"/>
            <w:hideMark/>
          </w:tcPr>
          <w:p w14:paraId="2E2D3CBD"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Non-current assets</w:t>
            </w:r>
          </w:p>
        </w:tc>
        <w:tc>
          <w:tcPr>
            <w:tcW w:w="2382" w:type="dxa"/>
            <w:tcBorders>
              <w:top w:val="nil"/>
              <w:left w:val="nil"/>
              <w:bottom w:val="nil"/>
              <w:right w:val="single" w:sz="8" w:space="0" w:color="BFBFBF"/>
            </w:tcBorders>
            <w:shd w:val="clear" w:color="auto" w:fill="F2F2F2" w:themeFill="background1" w:themeFillShade="F2"/>
            <w:vAlign w:val="center"/>
            <w:hideMark/>
          </w:tcPr>
          <w:p w14:paraId="187FE253"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kern w:val="0"/>
                <w:sz w:val="22"/>
                <w:szCs w:val="22"/>
                <w:lang w:val="en-GB" w:eastAsia="en-GB"/>
              </w:rPr>
              <w:t> </w:t>
            </w:r>
          </w:p>
        </w:tc>
        <w:tc>
          <w:tcPr>
            <w:tcW w:w="2242" w:type="dxa"/>
            <w:tcBorders>
              <w:top w:val="nil"/>
              <w:left w:val="nil"/>
              <w:bottom w:val="nil"/>
              <w:right w:val="single" w:sz="8" w:space="0" w:color="BFBFBF"/>
            </w:tcBorders>
            <w:shd w:val="clear" w:color="000000" w:fill="FFFFFF"/>
            <w:vAlign w:val="center"/>
            <w:hideMark/>
          </w:tcPr>
          <w:p w14:paraId="7D1A3E73"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 </w:t>
            </w:r>
          </w:p>
        </w:tc>
      </w:tr>
      <w:tr w:rsidR="00B67EDB" w:rsidRPr="00DE0914" w14:paraId="464ED91F"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4C145A28"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Intangible assets</w:t>
            </w:r>
          </w:p>
        </w:tc>
        <w:tc>
          <w:tcPr>
            <w:tcW w:w="2382" w:type="dxa"/>
            <w:tcBorders>
              <w:top w:val="nil"/>
              <w:left w:val="nil"/>
              <w:bottom w:val="nil"/>
              <w:right w:val="single" w:sz="8" w:space="0" w:color="BFBFBF"/>
            </w:tcBorders>
            <w:shd w:val="clear" w:color="auto" w:fill="F2F2F2" w:themeFill="background1" w:themeFillShade="F2"/>
            <w:noWrap/>
            <w:hideMark/>
          </w:tcPr>
          <w:p w14:paraId="43D389EC"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76.587 </w:t>
            </w:r>
          </w:p>
        </w:tc>
        <w:tc>
          <w:tcPr>
            <w:tcW w:w="2242" w:type="dxa"/>
            <w:tcBorders>
              <w:top w:val="nil"/>
              <w:left w:val="nil"/>
              <w:bottom w:val="nil"/>
              <w:right w:val="single" w:sz="8" w:space="0" w:color="BFBFBF"/>
            </w:tcBorders>
            <w:shd w:val="clear" w:color="auto" w:fill="auto"/>
            <w:noWrap/>
            <w:hideMark/>
          </w:tcPr>
          <w:p w14:paraId="255EF0F6"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76.615 </w:t>
            </w:r>
          </w:p>
        </w:tc>
      </w:tr>
      <w:tr w:rsidR="00B67EDB" w:rsidRPr="00DE0914" w14:paraId="60C73A98"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59EC463D"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Property, plant and equipment</w:t>
            </w:r>
          </w:p>
        </w:tc>
        <w:tc>
          <w:tcPr>
            <w:tcW w:w="2382" w:type="dxa"/>
            <w:tcBorders>
              <w:top w:val="nil"/>
              <w:left w:val="nil"/>
              <w:bottom w:val="nil"/>
              <w:right w:val="single" w:sz="8" w:space="0" w:color="BFBFBF"/>
            </w:tcBorders>
            <w:shd w:val="clear" w:color="auto" w:fill="F2F2F2" w:themeFill="background1" w:themeFillShade="F2"/>
            <w:noWrap/>
            <w:hideMark/>
          </w:tcPr>
          <w:p w14:paraId="584F730B"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11.148 </w:t>
            </w:r>
          </w:p>
        </w:tc>
        <w:tc>
          <w:tcPr>
            <w:tcW w:w="2242" w:type="dxa"/>
            <w:tcBorders>
              <w:top w:val="nil"/>
              <w:left w:val="nil"/>
              <w:bottom w:val="nil"/>
              <w:right w:val="single" w:sz="8" w:space="0" w:color="BFBFBF"/>
            </w:tcBorders>
            <w:shd w:val="clear" w:color="auto" w:fill="auto"/>
            <w:noWrap/>
            <w:hideMark/>
          </w:tcPr>
          <w:p w14:paraId="7AFD4183"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9.956 </w:t>
            </w:r>
          </w:p>
        </w:tc>
      </w:tr>
      <w:tr w:rsidR="00B67EDB" w:rsidRPr="00DE0914" w14:paraId="243F72F8"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561FCABC"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Right-of-use assets</w:t>
            </w:r>
          </w:p>
        </w:tc>
        <w:tc>
          <w:tcPr>
            <w:tcW w:w="2382" w:type="dxa"/>
            <w:tcBorders>
              <w:top w:val="nil"/>
              <w:left w:val="nil"/>
              <w:bottom w:val="nil"/>
              <w:right w:val="single" w:sz="8" w:space="0" w:color="BFBFBF"/>
            </w:tcBorders>
            <w:shd w:val="clear" w:color="auto" w:fill="F2F2F2" w:themeFill="background1" w:themeFillShade="F2"/>
            <w:noWrap/>
            <w:hideMark/>
          </w:tcPr>
          <w:p w14:paraId="1CB16F42"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7.517 </w:t>
            </w:r>
          </w:p>
        </w:tc>
        <w:tc>
          <w:tcPr>
            <w:tcW w:w="2242" w:type="dxa"/>
            <w:tcBorders>
              <w:top w:val="nil"/>
              <w:left w:val="nil"/>
              <w:bottom w:val="nil"/>
              <w:right w:val="single" w:sz="8" w:space="0" w:color="BFBFBF"/>
            </w:tcBorders>
            <w:shd w:val="clear" w:color="auto" w:fill="auto"/>
            <w:noWrap/>
            <w:hideMark/>
          </w:tcPr>
          <w:p w14:paraId="5E05EC19"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7.676 </w:t>
            </w:r>
          </w:p>
        </w:tc>
      </w:tr>
      <w:tr w:rsidR="00B67EDB" w:rsidRPr="00DE0914" w14:paraId="48A4F256"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312A5F8C"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Deferred tax assets</w:t>
            </w:r>
          </w:p>
        </w:tc>
        <w:tc>
          <w:tcPr>
            <w:tcW w:w="2382" w:type="dxa"/>
            <w:tcBorders>
              <w:top w:val="nil"/>
              <w:left w:val="nil"/>
              <w:bottom w:val="nil"/>
              <w:right w:val="single" w:sz="8" w:space="0" w:color="BFBFBF"/>
            </w:tcBorders>
            <w:shd w:val="clear" w:color="auto" w:fill="F2F2F2" w:themeFill="background1" w:themeFillShade="F2"/>
            <w:noWrap/>
            <w:hideMark/>
          </w:tcPr>
          <w:p w14:paraId="41A05454"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23.467 </w:t>
            </w:r>
          </w:p>
        </w:tc>
        <w:tc>
          <w:tcPr>
            <w:tcW w:w="2242" w:type="dxa"/>
            <w:tcBorders>
              <w:top w:val="nil"/>
              <w:left w:val="nil"/>
              <w:bottom w:val="nil"/>
              <w:right w:val="single" w:sz="8" w:space="0" w:color="BFBFBF"/>
            </w:tcBorders>
            <w:shd w:val="clear" w:color="auto" w:fill="auto"/>
            <w:noWrap/>
            <w:hideMark/>
          </w:tcPr>
          <w:p w14:paraId="3ECFE585"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25.957 </w:t>
            </w:r>
          </w:p>
        </w:tc>
      </w:tr>
      <w:tr w:rsidR="00B67EDB" w:rsidRPr="00DE0914" w14:paraId="6D1C0184"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7AF1B0F8"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Investment accounted for using the equity method</w:t>
            </w:r>
          </w:p>
        </w:tc>
        <w:tc>
          <w:tcPr>
            <w:tcW w:w="2382" w:type="dxa"/>
            <w:tcBorders>
              <w:top w:val="nil"/>
              <w:left w:val="nil"/>
              <w:bottom w:val="nil"/>
              <w:right w:val="single" w:sz="8" w:space="0" w:color="BFBFBF"/>
            </w:tcBorders>
            <w:shd w:val="clear" w:color="auto" w:fill="F2F2F2" w:themeFill="background1" w:themeFillShade="F2"/>
            <w:noWrap/>
            <w:hideMark/>
          </w:tcPr>
          <w:p w14:paraId="251F113B"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5.722 </w:t>
            </w:r>
          </w:p>
        </w:tc>
        <w:tc>
          <w:tcPr>
            <w:tcW w:w="2242" w:type="dxa"/>
            <w:tcBorders>
              <w:top w:val="nil"/>
              <w:left w:val="nil"/>
              <w:bottom w:val="nil"/>
              <w:right w:val="single" w:sz="8" w:space="0" w:color="BFBFBF"/>
            </w:tcBorders>
            <w:shd w:val="clear" w:color="auto" w:fill="auto"/>
            <w:noWrap/>
            <w:hideMark/>
          </w:tcPr>
          <w:p w14:paraId="33E4D715"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5.796 </w:t>
            </w:r>
          </w:p>
        </w:tc>
      </w:tr>
      <w:tr w:rsidR="00B67EDB" w:rsidRPr="00DE0914" w14:paraId="1CFA76AF"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66730A54"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Restricted cash</w:t>
            </w:r>
          </w:p>
        </w:tc>
        <w:tc>
          <w:tcPr>
            <w:tcW w:w="2382" w:type="dxa"/>
            <w:tcBorders>
              <w:top w:val="nil"/>
              <w:left w:val="nil"/>
              <w:bottom w:val="nil"/>
              <w:right w:val="single" w:sz="8" w:space="0" w:color="BFBFBF"/>
            </w:tcBorders>
            <w:shd w:val="clear" w:color="auto" w:fill="F2F2F2" w:themeFill="background1" w:themeFillShade="F2"/>
            <w:noWrap/>
            <w:hideMark/>
          </w:tcPr>
          <w:p w14:paraId="66602F93"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735 </w:t>
            </w:r>
          </w:p>
        </w:tc>
        <w:tc>
          <w:tcPr>
            <w:tcW w:w="2242" w:type="dxa"/>
            <w:tcBorders>
              <w:top w:val="nil"/>
              <w:left w:val="nil"/>
              <w:bottom w:val="nil"/>
              <w:right w:val="single" w:sz="8" w:space="0" w:color="BFBFBF"/>
            </w:tcBorders>
            <w:shd w:val="clear" w:color="auto" w:fill="auto"/>
            <w:noWrap/>
            <w:hideMark/>
          </w:tcPr>
          <w:p w14:paraId="130E0C4C"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415 </w:t>
            </w:r>
          </w:p>
        </w:tc>
      </w:tr>
      <w:tr w:rsidR="00B67EDB" w:rsidRPr="00DE0914" w14:paraId="49027F5F"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4FA7DE75"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non-current assets</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hideMark/>
          </w:tcPr>
          <w:p w14:paraId="760E01E5" w14:textId="4E2BE1AF"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125.17</w:t>
            </w:r>
            <w:r w:rsidR="00C469F1" w:rsidRPr="00DE0914">
              <w:rPr>
                <w:rFonts w:asciiTheme="minorHAnsi" w:hAnsiTheme="minorHAnsi" w:cstheme="minorHAnsi"/>
                <w:b/>
                <w:bCs/>
                <w:color w:val="00679B"/>
                <w:sz w:val="22"/>
                <w:szCs w:val="22"/>
              </w:rPr>
              <w:t>6</w:t>
            </w:r>
          </w:p>
        </w:tc>
        <w:tc>
          <w:tcPr>
            <w:tcW w:w="2242" w:type="dxa"/>
            <w:tcBorders>
              <w:top w:val="single" w:sz="8" w:space="0" w:color="BFBFBF"/>
              <w:left w:val="nil"/>
              <w:bottom w:val="single" w:sz="8" w:space="0" w:color="BFBFBF"/>
              <w:right w:val="single" w:sz="8" w:space="0" w:color="BFBFBF"/>
            </w:tcBorders>
            <w:shd w:val="clear" w:color="auto" w:fill="auto"/>
            <w:noWrap/>
            <w:hideMark/>
          </w:tcPr>
          <w:p w14:paraId="126BB4C4"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126.415 </w:t>
            </w:r>
          </w:p>
        </w:tc>
      </w:tr>
      <w:tr w:rsidR="00B67EDB" w:rsidRPr="00DE0914" w14:paraId="36BBAB6D"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7FDD33E1"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Current assets</w:t>
            </w:r>
          </w:p>
        </w:tc>
        <w:tc>
          <w:tcPr>
            <w:tcW w:w="2382" w:type="dxa"/>
            <w:tcBorders>
              <w:top w:val="nil"/>
              <w:left w:val="nil"/>
              <w:bottom w:val="nil"/>
              <w:right w:val="single" w:sz="8" w:space="0" w:color="BFBFBF"/>
            </w:tcBorders>
            <w:shd w:val="clear" w:color="auto" w:fill="F2F2F2" w:themeFill="background1" w:themeFillShade="F2"/>
            <w:noWrap/>
            <w:hideMark/>
          </w:tcPr>
          <w:p w14:paraId="641C2CCE"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 </w:t>
            </w:r>
          </w:p>
        </w:tc>
        <w:tc>
          <w:tcPr>
            <w:tcW w:w="2242" w:type="dxa"/>
            <w:tcBorders>
              <w:top w:val="nil"/>
              <w:left w:val="nil"/>
              <w:bottom w:val="nil"/>
              <w:right w:val="single" w:sz="8" w:space="0" w:color="BFBFBF"/>
            </w:tcBorders>
            <w:shd w:val="clear" w:color="auto" w:fill="auto"/>
            <w:noWrap/>
            <w:hideMark/>
          </w:tcPr>
          <w:p w14:paraId="27EFD499"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 </w:t>
            </w:r>
          </w:p>
        </w:tc>
      </w:tr>
      <w:tr w:rsidR="00B67EDB" w:rsidRPr="00DE0914" w14:paraId="13B69B50" w14:textId="77777777" w:rsidTr="00B07AD0">
        <w:trPr>
          <w:trHeight w:val="145"/>
        </w:trPr>
        <w:tc>
          <w:tcPr>
            <w:tcW w:w="4907" w:type="dxa"/>
            <w:tcBorders>
              <w:top w:val="nil"/>
              <w:left w:val="nil"/>
              <w:bottom w:val="nil"/>
              <w:right w:val="single" w:sz="8" w:space="0" w:color="BFBFBF"/>
            </w:tcBorders>
            <w:shd w:val="clear" w:color="000000" w:fill="FFFFFF"/>
            <w:vAlign w:val="center"/>
            <w:hideMark/>
          </w:tcPr>
          <w:p w14:paraId="58AC5721"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Inventories</w:t>
            </w:r>
          </w:p>
        </w:tc>
        <w:tc>
          <w:tcPr>
            <w:tcW w:w="2382" w:type="dxa"/>
            <w:tcBorders>
              <w:top w:val="nil"/>
              <w:left w:val="nil"/>
              <w:bottom w:val="nil"/>
              <w:right w:val="single" w:sz="8" w:space="0" w:color="BFBFBF"/>
            </w:tcBorders>
            <w:shd w:val="clear" w:color="auto" w:fill="F2F2F2" w:themeFill="background1" w:themeFillShade="F2"/>
            <w:noWrap/>
            <w:hideMark/>
          </w:tcPr>
          <w:p w14:paraId="6697615B"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18.533 </w:t>
            </w:r>
          </w:p>
        </w:tc>
        <w:tc>
          <w:tcPr>
            <w:tcW w:w="2242" w:type="dxa"/>
            <w:tcBorders>
              <w:top w:val="nil"/>
              <w:left w:val="nil"/>
              <w:bottom w:val="nil"/>
              <w:right w:val="single" w:sz="8" w:space="0" w:color="BFBFBF"/>
            </w:tcBorders>
            <w:shd w:val="clear" w:color="auto" w:fill="auto"/>
            <w:noWrap/>
            <w:hideMark/>
          </w:tcPr>
          <w:p w14:paraId="587ECE21"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17.229 </w:t>
            </w:r>
          </w:p>
        </w:tc>
      </w:tr>
      <w:tr w:rsidR="00B67EDB" w:rsidRPr="00DE0914" w14:paraId="776187AC"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5F70FEF0"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Trade and other receivables</w:t>
            </w:r>
          </w:p>
        </w:tc>
        <w:tc>
          <w:tcPr>
            <w:tcW w:w="2382" w:type="dxa"/>
            <w:tcBorders>
              <w:top w:val="nil"/>
              <w:left w:val="nil"/>
              <w:bottom w:val="nil"/>
              <w:right w:val="single" w:sz="8" w:space="0" w:color="BFBFBF"/>
            </w:tcBorders>
            <w:shd w:val="clear" w:color="auto" w:fill="F2F2F2" w:themeFill="background1" w:themeFillShade="F2"/>
            <w:noWrap/>
            <w:hideMark/>
          </w:tcPr>
          <w:p w14:paraId="0CF123D8"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28.050 </w:t>
            </w:r>
          </w:p>
        </w:tc>
        <w:tc>
          <w:tcPr>
            <w:tcW w:w="2242" w:type="dxa"/>
            <w:tcBorders>
              <w:top w:val="nil"/>
              <w:left w:val="nil"/>
              <w:bottom w:val="nil"/>
              <w:right w:val="single" w:sz="8" w:space="0" w:color="BFBFBF"/>
            </w:tcBorders>
            <w:shd w:val="clear" w:color="auto" w:fill="auto"/>
            <w:noWrap/>
            <w:hideMark/>
          </w:tcPr>
          <w:p w14:paraId="19F8C31A"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29.236 </w:t>
            </w:r>
          </w:p>
        </w:tc>
      </w:tr>
      <w:tr w:rsidR="00B67EDB" w:rsidRPr="00DE0914" w14:paraId="01DC9C1B"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739EB968"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Restricted cash</w:t>
            </w:r>
          </w:p>
        </w:tc>
        <w:tc>
          <w:tcPr>
            <w:tcW w:w="2382" w:type="dxa"/>
            <w:tcBorders>
              <w:top w:val="nil"/>
              <w:left w:val="nil"/>
              <w:bottom w:val="nil"/>
              <w:right w:val="single" w:sz="8" w:space="0" w:color="BFBFBF"/>
            </w:tcBorders>
            <w:shd w:val="clear" w:color="auto" w:fill="F2F2F2" w:themeFill="background1" w:themeFillShade="F2"/>
            <w:noWrap/>
            <w:hideMark/>
          </w:tcPr>
          <w:p w14:paraId="2B3BC896"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820 </w:t>
            </w:r>
          </w:p>
        </w:tc>
        <w:tc>
          <w:tcPr>
            <w:tcW w:w="2242" w:type="dxa"/>
            <w:tcBorders>
              <w:top w:val="nil"/>
              <w:left w:val="nil"/>
              <w:bottom w:val="nil"/>
              <w:right w:val="single" w:sz="8" w:space="0" w:color="BFBFBF"/>
            </w:tcBorders>
            <w:shd w:val="clear" w:color="auto" w:fill="auto"/>
            <w:noWrap/>
            <w:hideMark/>
          </w:tcPr>
          <w:p w14:paraId="2F8AFB6F"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810 </w:t>
            </w:r>
          </w:p>
        </w:tc>
      </w:tr>
      <w:tr w:rsidR="00B67EDB" w:rsidRPr="00DE0914" w14:paraId="27C2F525"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075D75EE"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Cash and cash equivalents</w:t>
            </w:r>
          </w:p>
        </w:tc>
        <w:tc>
          <w:tcPr>
            <w:tcW w:w="2382" w:type="dxa"/>
            <w:tcBorders>
              <w:top w:val="nil"/>
              <w:left w:val="nil"/>
              <w:bottom w:val="nil"/>
              <w:right w:val="single" w:sz="8" w:space="0" w:color="BFBFBF"/>
            </w:tcBorders>
            <w:shd w:val="clear" w:color="auto" w:fill="F2F2F2" w:themeFill="background1" w:themeFillShade="F2"/>
            <w:noWrap/>
            <w:hideMark/>
          </w:tcPr>
          <w:p w14:paraId="2781CED5"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175.941 </w:t>
            </w:r>
          </w:p>
        </w:tc>
        <w:tc>
          <w:tcPr>
            <w:tcW w:w="2242" w:type="dxa"/>
            <w:tcBorders>
              <w:top w:val="nil"/>
              <w:left w:val="nil"/>
              <w:bottom w:val="single" w:sz="8" w:space="0" w:color="BFBFBF"/>
              <w:right w:val="single" w:sz="8" w:space="0" w:color="BFBFBF"/>
            </w:tcBorders>
            <w:shd w:val="clear" w:color="auto" w:fill="auto"/>
            <w:noWrap/>
            <w:hideMark/>
          </w:tcPr>
          <w:p w14:paraId="39E881A9"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167.068 </w:t>
            </w:r>
          </w:p>
        </w:tc>
      </w:tr>
      <w:tr w:rsidR="00B67EDB" w:rsidRPr="00DE0914" w14:paraId="09ADB315"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7D4345D5"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current assets</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hideMark/>
          </w:tcPr>
          <w:p w14:paraId="18DB01D4"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223.343 </w:t>
            </w:r>
          </w:p>
        </w:tc>
        <w:tc>
          <w:tcPr>
            <w:tcW w:w="2242" w:type="dxa"/>
            <w:tcBorders>
              <w:top w:val="nil"/>
              <w:left w:val="nil"/>
              <w:bottom w:val="single" w:sz="8" w:space="0" w:color="BFBFBF"/>
              <w:right w:val="single" w:sz="8" w:space="0" w:color="BFBFBF"/>
            </w:tcBorders>
            <w:shd w:val="clear" w:color="auto" w:fill="auto"/>
            <w:noWrap/>
            <w:hideMark/>
          </w:tcPr>
          <w:p w14:paraId="24E1E8D3"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214.343 </w:t>
            </w:r>
          </w:p>
        </w:tc>
      </w:tr>
      <w:tr w:rsidR="00B67EDB" w:rsidRPr="00DE0914" w14:paraId="6BEA9083" w14:textId="77777777" w:rsidTr="00B07AD0">
        <w:trPr>
          <w:trHeight w:val="190"/>
        </w:trPr>
        <w:tc>
          <w:tcPr>
            <w:tcW w:w="4907" w:type="dxa"/>
            <w:tcBorders>
              <w:top w:val="nil"/>
              <w:left w:val="nil"/>
              <w:bottom w:val="single" w:sz="8" w:space="0" w:color="BFBFBF"/>
              <w:right w:val="single" w:sz="8" w:space="0" w:color="BFBFBF"/>
            </w:tcBorders>
            <w:shd w:val="clear" w:color="auto" w:fill="F2F2F2" w:themeFill="background1" w:themeFillShade="F2"/>
            <w:vAlign w:val="center"/>
            <w:hideMark/>
          </w:tcPr>
          <w:p w14:paraId="67BBEA98"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assets</w:t>
            </w:r>
          </w:p>
        </w:tc>
        <w:tc>
          <w:tcPr>
            <w:tcW w:w="2382" w:type="dxa"/>
            <w:tcBorders>
              <w:top w:val="nil"/>
              <w:left w:val="nil"/>
              <w:bottom w:val="single" w:sz="8" w:space="0" w:color="BFBFBF"/>
              <w:right w:val="single" w:sz="8" w:space="0" w:color="BFBFBF"/>
            </w:tcBorders>
            <w:shd w:val="clear" w:color="auto" w:fill="F2F2F2" w:themeFill="background1" w:themeFillShade="F2"/>
            <w:noWrap/>
            <w:hideMark/>
          </w:tcPr>
          <w:p w14:paraId="2F23AB60"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348.519</w:t>
            </w:r>
          </w:p>
        </w:tc>
        <w:tc>
          <w:tcPr>
            <w:tcW w:w="2242" w:type="dxa"/>
            <w:tcBorders>
              <w:top w:val="nil"/>
              <w:left w:val="nil"/>
              <w:bottom w:val="single" w:sz="8" w:space="0" w:color="BFBFBF"/>
              <w:right w:val="single" w:sz="8" w:space="0" w:color="BFBFBF"/>
            </w:tcBorders>
            <w:shd w:val="clear" w:color="auto" w:fill="F2F2F2" w:themeFill="background1" w:themeFillShade="F2"/>
            <w:noWrap/>
            <w:hideMark/>
          </w:tcPr>
          <w:p w14:paraId="067259C5"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340.758 </w:t>
            </w:r>
          </w:p>
        </w:tc>
      </w:tr>
      <w:tr w:rsidR="00B67EDB" w:rsidRPr="00DE0914" w14:paraId="31DADFBF" w14:textId="77777777" w:rsidTr="00B07AD0">
        <w:trPr>
          <w:trHeight w:val="137"/>
        </w:trPr>
        <w:tc>
          <w:tcPr>
            <w:tcW w:w="4907" w:type="dxa"/>
            <w:tcBorders>
              <w:top w:val="nil"/>
              <w:left w:val="nil"/>
              <w:bottom w:val="single" w:sz="8" w:space="0" w:color="BFBFBF"/>
              <w:right w:val="nil"/>
            </w:tcBorders>
            <w:shd w:val="clear" w:color="000000" w:fill="FFFFFF"/>
            <w:vAlign w:val="center"/>
            <w:hideMark/>
          </w:tcPr>
          <w:p w14:paraId="20B6E967"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p>
        </w:tc>
        <w:tc>
          <w:tcPr>
            <w:tcW w:w="2382" w:type="dxa"/>
            <w:tcBorders>
              <w:top w:val="nil"/>
              <w:left w:val="nil"/>
              <w:bottom w:val="single" w:sz="8" w:space="0" w:color="BFBFBF"/>
              <w:right w:val="nil"/>
            </w:tcBorders>
            <w:shd w:val="clear" w:color="auto" w:fill="FFFFFF" w:themeFill="background1"/>
            <w:noWrap/>
            <w:hideMark/>
          </w:tcPr>
          <w:p w14:paraId="2424D8FB"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 </w:t>
            </w:r>
          </w:p>
        </w:tc>
        <w:tc>
          <w:tcPr>
            <w:tcW w:w="2242" w:type="dxa"/>
            <w:tcBorders>
              <w:top w:val="nil"/>
              <w:left w:val="nil"/>
              <w:bottom w:val="single" w:sz="8" w:space="0" w:color="BFBFBF"/>
              <w:right w:val="nil"/>
            </w:tcBorders>
            <w:shd w:val="clear" w:color="auto" w:fill="FFFFFF" w:themeFill="background1"/>
            <w:noWrap/>
            <w:hideMark/>
          </w:tcPr>
          <w:p w14:paraId="34A4D061"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w:t>
            </w:r>
          </w:p>
        </w:tc>
      </w:tr>
      <w:tr w:rsidR="00B67EDB" w:rsidRPr="00DE0914" w14:paraId="0A48C0D4" w14:textId="77777777" w:rsidTr="00B07AD0">
        <w:trPr>
          <w:trHeight w:val="145"/>
        </w:trPr>
        <w:tc>
          <w:tcPr>
            <w:tcW w:w="4907" w:type="dxa"/>
            <w:tcBorders>
              <w:top w:val="nil"/>
              <w:left w:val="nil"/>
              <w:bottom w:val="nil"/>
              <w:right w:val="nil"/>
            </w:tcBorders>
            <w:shd w:val="clear" w:color="000000" w:fill="FFFFFF"/>
            <w:vAlign w:val="center"/>
            <w:hideMark/>
          </w:tcPr>
          <w:p w14:paraId="34C6794E"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Equity</w:t>
            </w:r>
          </w:p>
        </w:tc>
        <w:tc>
          <w:tcPr>
            <w:tcW w:w="2382" w:type="dxa"/>
            <w:tcBorders>
              <w:top w:val="nil"/>
              <w:left w:val="single" w:sz="8" w:space="0" w:color="BFBFBF"/>
              <w:bottom w:val="nil"/>
              <w:right w:val="single" w:sz="8" w:space="0" w:color="BFBFBF"/>
            </w:tcBorders>
            <w:shd w:val="clear" w:color="auto" w:fill="F2F2F2" w:themeFill="background1" w:themeFillShade="F2"/>
            <w:noWrap/>
            <w:hideMark/>
          </w:tcPr>
          <w:p w14:paraId="3D2873C9"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 </w:t>
            </w:r>
          </w:p>
        </w:tc>
        <w:tc>
          <w:tcPr>
            <w:tcW w:w="2242" w:type="dxa"/>
            <w:tcBorders>
              <w:top w:val="nil"/>
              <w:left w:val="nil"/>
              <w:bottom w:val="nil"/>
              <w:right w:val="single" w:sz="8" w:space="0" w:color="BFBFBF"/>
            </w:tcBorders>
            <w:shd w:val="clear" w:color="auto" w:fill="auto"/>
            <w:noWrap/>
            <w:hideMark/>
          </w:tcPr>
          <w:p w14:paraId="53EEC6AD"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w:t>
            </w:r>
          </w:p>
        </w:tc>
      </w:tr>
      <w:tr w:rsidR="00B67EDB" w:rsidRPr="00DE0914" w14:paraId="662AEC29" w14:textId="77777777" w:rsidTr="00B07AD0">
        <w:trPr>
          <w:trHeight w:val="190"/>
        </w:trPr>
        <w:tc>
          <w:tcPr>
            <w:tcW w:w="4907" w:type="dxa"/>
            <w:tcBorders>
              <w:top w:val="nil"/>
              <w:left w:val="nil"/>
              <w:bottom w:val="nil"/>
              <w:right w:val="nil"/>
            </w:tcBorders>
            <w:shd w:val="clear" w:color="000000" w:fill="FFFFFF"/>
            <w:vAlign w:val="center"/>
            <w:hideMark/>
          </w:tcPr>
          <w:p w14:paraId="241A40A9"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Share capital</w:t>
            </w:r>
          </w:p>
        </w:tc>
        <w:tc>
          <w:tcPr>
            <w:tcW w:w="2382" w:type="dxa"/>
            <w:tcBorders>
              <w:top w:val="nil"/>
              <w:left w:val="single" w:sz="8" w:space="0" w:color="BFBFBF"/>
              <w:bottom w:val="nil"/>
              <w:right w:val="single" w:sz="8" w:space="0" w:color="BFBFBF"/>
            </w:tcBorders>
            <w:shd w:val="clear" w:color="auto" w:fill="F2F2F2" w:themeFill="background1" w:themeFillShade="F2"/>
            <w:noWrap/>
            <w:hideMark/>
          </w:tcPr>
          <w:p w14:paraId="1E2F5D5A"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6.127</w:t>
            </w:r>
          </w:p>
        </w:tc>
        <w:tc>
          <w:tcPr>
            <w:tcW w:w="2242" w:type="dxa"/>
            <w:tcBorders>
              <w:top w:val="nil"/>
              <w:left w:val="nil"/>
              <w:bottom w:val="nil"/>
              <w:right w:val="single" w:sz="8" w:space="0" w:color="BFBFBF"/>
            </w:tcBorders>
            <w:shd w:val="clear" w:color="auto" w:fill="auto"/>
            <w:noWrap/>
            <w:hideMark/>
          </w:tcPr>
          <w:p w14:paraId="1A1D03E3"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6.388 </w:t>
            </w:r>
          </w:p>
        </w:tc>
      </w:tr>
      <w:tr w:rsidR="00B67EDB" w:rsidRPr="00DE0914" w14:paraId="4A32525C" w14:textId="77777777" w:rsidTr="00B07AD0">
        <w:trPr>
          <w:trHeight w:val="190"/>
        </w:trPr>
        <w:tc>
          <w:tcPr>
            <w:tcW w:w="4907" w:type="dxa"/>
            <w:tcBorders>
              <w:top w:val="nil"/>
              <w:left w:val="nil"/>
              <w:bottom w:val="nil"/>
              <w:right w:val="nil"/>
            </w:tcBorders>
            <w:shd w:val="clear" w:color="000000" w:fill="FFFFFF"/>
            <w:vAlign w:val="center"/>
            <w:hideMark/>
          </w:tcPr>
          <w:p w14:paraId="17B2D2CA"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Share premium</w:t>
            </w:r>
          </w:p>
        </w:tc>
        <w:tc>
          <w:tcPr>
            <w:tcW w:w="2382" w:type="dxa"/>
            <w:tcBorders>
              <w:top w:val="nil"/>
              <w:left w:val="single" w:sz="8" w:space="0" w:color="BFBFBF"/>
              <w:bottom w:val="nil"/>
              <w:right w:val="single" w:sz="8" w:space="0" w:color="BFBFBF"/>
            </w:tcBorders>
            <w:shd w:val="clear" w:color="auto" w:fill="F2F2F2" w:themeFill="background1" w:themeFillShade="F2"/>
            <w:noWrap/>
            <w:hideMark/>
          </w:tcPr>
          <w:p w14:paraId="424D4675"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382.438 </w:t>
            </w:r>
          </w:p>
        </w:tc>
        <w:tc>
          <w:tcPr>
            <w:tcW w:w="2242" w:type="dxa"/>
            <w:tcBorders>
              <w:top w:val="nil"/>
              <w:left w:val="nil"/>
              <w:bottom w:val="nil"/>
              <w:right w:val="single" w:sz="8" w:space="0" w:color="BFBFBF"/>
            </w:tcBorders>
            <w:shd w:val="clear" w:color="auto" w:fill="auto"/>
            <w:noWrap/>
            <w:hideMark/>
          </w:tcPr>
          <w:p w14:paraId="2994BD63"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396.799 </w:t>
            </w:r>
          </w:p>
        </w:tc>
      </w:tr>
      <w:tr w:rsidR="00B67EDB" w:rsidRPr="00DE0914" w14:paraId="0BE1574C" w14:textId="77777777" w:rsidTr="00B07AD0">
        <w:trPr>
          <w:trHeight w:val="190"/>
        </w:trPr>
        <w:tc>
          <w:tcPr>
            <w:tcW w:w="4907" w:type="dxa"/>
            <w:tcBorders>
              <w:top w:val="nil"/>
              <w:left w:val="nil"/>
              <w:bottom w:val="nil"/>
              <w:right w:val="nil"/>
            </w:tcBorders>
            <w:shd w:val="clear" w:color="000000" w:fill="FFFFFF"/>
            <w:vAlign w:val="center"/>
            <w:hideMark/>
          </w:tcPr>
          <w:p w14:paraId="078E73A2"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Legal reserves</w:t>
            </w:r>
          </w:p>
        </w:tc>
        <w:tc>
          <w:tcPr>
            <w:tcW w:w="2382" w:type="dxa"/>
            <w:tcBorders>
              <w:top w:val="nil"/>
              <w:left w:val="single" w:sz="8" w:space="0" w:color="BFBFBF"/>
              <w:bottom w:val="nil"/>
              <w:right w:val="single" w:sz="8" w:space="0" w:color="BFBFBF"/>
            </w:tcBorders>
            <w:shd w:val="clear" w:color="auto" w:fill="F2F2F2" w:themeFill="background1" w:themeFillShade="F2"/>
            <w:noWrap/>
            <w:hideMark/>
          </w:tcPr>
          <w:p w14:paraId="7EF6CA04" w14:textId="7D4958BD" w:rsidR="00B67EDB" w:rsidRPr="00DE0914" w:rsidRDefault="0057460E"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9.671</w:t>
            </w:r>
          </w:p>
        </w:tc>
        <w:tc>
          <w:tcPr>
            <w:tcW w:w="2242" w:type="dxa"/>
            <w:tcBorders>
              <w:top w:val="nil"/>
              <w:left w:val="nil"/>
              <w:bottom w:val="nil"/>
              <w:right w:val="single" w:sz="8" w:space="0" w:color="BFBFBF"/>
            </w:tcBorders>
            <w:shd w:val="clear" w:color="auto" w:fill="auto"/>
            <w:noWrap/>
            <w:hideMark/>
          </w:tcPr>
          <w:p w14:paraId="5CB0F62F"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4.341 </w:t>
            </w:r>
          </w:p>
        </w:tc>
      </w:tr>
      <w:tr w:rsidR="00B67EDB" w:rsidRPr="00DE0914" w14:paraId="424CEA1B" w14:textId="77777777" w:rsidTr="00B07AD0">
        <w:trPr>
          <w:trHeight w:val="190"/>
        </w:trPr>
        <w:tc>
          <w:tcPr>
            <w:tcW w:w="4907" w:type="dxa"/>
            <w:tcBorders>
              <w:top w:val="nil"/>
              <w:left w:val="nil"/>
              <w:bottom w:val="nil"/>
              <w:right w:val="nil"/>
            </w:tcBorders>
            <w:shd w:val="clear" w:color="000000" w:fill="FFFFFF"/>
            <w:vAlign w:val="center"/>
            <w:hideMark/>
          </w:tcPr>
          <w:p w14:paraId="5EDEB980"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Accumulated deficit</w:t>
            </w:r>
          </w:p>
        </w:tc>
        <w:tc>
          <w:tcPr>
            <w:tcW w:w="2382" w:type="dxa"/>
            <w:tcBorders>
              <w:top w:val="nil"/>
              <w:left w:val="single" w:sz="8" w:space="0" w:color="BFBFBF"/>
              <w:bottom w:val="nil"/>
              <w:right w:val="single" w:sz="8" w:space="0" w:color="BFBFBF"/>
            </w:tcBorders>
            <w:shd w:val="clear" w:color="auto" w:fill="F2F2F2" w:themeFill="background1" w:themeFillShade="F2"/>
            <w:noWrap/>
            <w:hideMark/>
          </w:tcPr>
          <w:p w14:paraId="217F5ADD" w14:textId="1EA061F4" w:rsidR="00B67EDB" w:rsidRPr="00DE0914" w:rsidRDefault="0057460E"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(239.550)</w:t>
            </w:r>
          </w:p>
        </w:tc>
        <w:tc>
          <w:tcPr>
            <w:tcW w:w="2242" w:type="dxa"/>
            <w:tcBorders>
              <w:top w:val="nil"/>
              <w:left w:val="nil"/>
              <w:bottom w:val="nil"/>
              <w:right w:val="single" w:sz="8" w:space="0" w:color="BFBFBF"/>
            </w:tcBorders>
            <w:shd w:val="clear" w:color="auto" w:fill="auto"/>
            <w:noWrap/>
            <w:hideMark/>
          </w:tcPr>
          <w:p w14:paraId="2DCD9153"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(258.151)</w:t>
            </w:r>
          </w:p>
        </w:tc>
      </w:tr>
      <w:tr w:rsidR="00B67EDB" w:rsidRPr="00DE0914" w14:paraId="73397298" w14:textId="77777777" w:rsidTr="00B07AD0">
        <w:trPr>
          <w:trHeight w:val="190"/>
        </w:trPr>
        <w:tc>
          <w:tcPr>
            <w:tcW w:w="4907" w:type="dxa"/>
            <w:tcBorders>
              <w:top w:val="single" w:sz="8" w:space="0" w:color="BFBFBF"/>
              <w:left w:val="nil"/>
              <w:bottom w:val="single" w:sz="8" w:space="0" w:color="BFBFBF"/>
              <w:right w:val="single" w:sz="8" w:space="0" w:color="BFBFBF"/>
            </w:tcBorders>
            <w:shd w:val="clear" w:color="000000" w:fill="FFFFFF"/>
            <w:vAlign w:val="center"/>
            <w:hideMark/>
          </w:tcPr>
          <w:p w14:paraId="1BBDD631"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Shareholders’ equity</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hideMark/>
          </w:tcPr>
          <w:p w14:paraId="5CCEDB1C" w14:textId="09DA834B" w:rsidR="00B67EDB" w:rsidRPr="00DE0914" w:rsidRDefault="0057460E"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158.686</w:t>
            </w:r>
          </w:p>
        </w:tc>
        <w:tc>
          <w:tcPr>
            <w:tcW w:w="2242" w:type="dxa"/>
            <w:tcBorders>
              <w:top w:val="single" w:sz="8" w:space="0" w:color="BFBFBF"/>
              <w:left w:val="nil"/>
              <w:bottom w:val="single" w:sz="8" w:space="0" w:color="BFBFBF"/>
              <w:right w:val="single" w:sz="8" w:space="0" w:color="BFBFBF"/>
            </w:tcBorders>
            <w:shd w:val="clear" w:color="auto" w:fill="auto"/>
            <w:noWrap/>
            <w:hideMark/>
          </w:tcPr>
          <w:p w14:paraId="06B89BB0"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149.377 </w:t>
            </w:r>
          </w:p>
        </w:tc>
      </w:tr>
      <w:tr w:rsidR="00B67EDB" w:rsidRPr="00DE0914" w14:paraId="2F4BB898" w14:textId="77777777" w:rsidTr="00B07AD0">
        <w:trPr>
          <w:trHeight w:val="151"/>
        </w:trPr>
        <w:tc>
          <w:tcPr>
            <w:tcW w:w="4907" w:type="dxa"/>
            <w:tcBorders>
              <w:top w:val="nil"/>
              <w:left w:val="nil"/>
              <w:bottom w:val="nil"/>
              <w:right w:val="single" w:sz="8" w:space="0" w:color="BFBFBF"/>
            </w:tcBorders>
            <w:shd w:val="clear" w:color="000000" w:fill="FFFFFF"/>
            <w:vAlign w:val="center"/>
            <w:hideMark/>
          </w:tcPr>
          <w:p w14:paraId="7DEE323E"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Non-current liabilities</w:t>
            </w:r>
          </w:p>
        </w:tc>
        <w:tc>
          <w:tcPr>
            <w:tcW w:w="2382" w:type="dxa"/>
            <w:tcBorders>
              <w:top w:val="nil"/>
              <w:left w:val="nil"/>
              <w:bottom w:val="nil"/>
              <w:right w:val="single" w:sz="8" w:space="0" w:color="BFBFBF"/>
            </w:tcBorders>
            <w:shd w:val="clear" w:color="auto" w:fill="F2F2F2" w:themeFill="background1" w:themeFillShade="F2"/>
            <w:noWrap/>
            <w:hideMark/>
          </w:tcPr>
          <w:p w14:paraId="360A6CA2"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 </w:t>
            </w:r>
          </w:p>
        </w:tc>
        <w:tc>
          <w:tcPr>
            <w:tcW w:w="2242" w:type="dxa"/>
            <w:tcBorders>
              <w:top w:val="nil"/>
              <w:left w:val="nil"/>
              <w:bottom w:val="nil"/>
              <w:right w:val="single" w:sz="8" w:space="0" w:color="BFBFBF"/>
            </w:tcBorders>
            <w:shd w:val="clear" w:color="auto" w:fill="auto"/>
            <w:noWrap/>
            <w:hideMark/>
          </w:tcPr>
          <w:p w14:paraId="48F66349"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 </w:t>
            </w:r>
          </w:p>
        </w:tc>
      </w:tr>
      <w:tr w:rsidR="00B67EDB" w:rsidRPr="00DE0914" w14:paraId="29F6C0A3"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06F5673B"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Convertible bonds</w:t>
            </w:r>
          </w:p>
        </w:tc>
        <w:tc>
          <w:tcPr>
            <w:tcW w:w="2382" w:type="dxa"/>
            <w:tcBorders>
              <w:top w:val="nil"/>
              <w:left w:val="nil"/>
              <w:bottom w:val="nil"/>
              <w:right w:val="single" w:sz="8" w:space="0" w:color="BFBFBF"/>
            </w:tcBorders>
            <w:shd w:val="clear" w:color="auto" w:fill="F2F2F2" w:themeFill="background1" w:themeFillShade="F2"/>
            <w:noWrap/>
            <w:hideMark/>
          </w:tcPr>
          <w:p w14:paraId="0F85E4E7"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120.205 </w:t>
            </w:r>
          </w:p>
        </w:tc>
        <w:tc>
          <w:tcPr>
            <w:tcW w:w="2242" w:type="dxa"/>
            <w:tcBorders>
              <w:top w:val="nil"/>
              <w:left w:val="nil"/>
              <w:bottom w:val="nil"/>
              <w:right w:val="single" w:sz="8" w:space="0" w:color="BFBFBF"/>
            </w:tcBorders>
            <w:shd w:val="clear" w:color="auto" w:fill="auto"/>
            <w:noWrap/>
            <w:hideMark/>
          </w:tcPr>
          <w:p w14:paraId="1EAB3AAD"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121.927 </w:t>
            </w:r>
          </w:p>
        </w:tc>
      </w:tr>
      <w:tr w:rsidR="00B67EDB" w:rsidRPr="00DE0914" w14:paraId="525BF8F0" w14:textId="77777777" w:rsidTr="00B07AD0">
        <w:trPr>
          <w:trHeight w:val="190"/>
        </w:trPr>
        <w:tc>
          <w:tcPr>
            <w:tcW w:w="4907" w:type="dxa"/>
            <w:tcBorders>
              <w:top w:val="nil"/>
              <w:left w:val="nil"/>
              <w:bottom w:val="nil"/>
              <w:right w:val="nil"/>
            </w:tcBorders>
            <w:shd w:val="clear" w:color="000000" w:fill="FFFFFF"/>
            <w:vAlign w:val="center"/>
            <w:hideMark/>
          </w:tcPr>
          <w:p w14:paraId="7A48F31F"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Lease liabilities</w:t>
            </w:r>
          </w:p>
        </w:tc>
        <w:tc>
          <w:tcPr>
            <w:tcW w:w="2382" w:type="dxa"/>
            <w:tcBorders>
              <w:top w:val="nil"/>
              <w:left w:val="single" w:sz="8" w:space="0" w:color="BFBFBF"/>
              <w:bottom w:val="nil"/>
              <w:right w:val="single" w:sz="8" w:space="0" w:color="BFBFBF"/>
            </w:tcBorders>
            <w:shd w:val="clear" w:color="auto" w:fill="F2F2F2" w:themeFill="background1" w:themeFillShade="F2"/>
            <w:noWrap/>
            <w:hideMark/>
          </w:tcPr>
          <w:p w14:paraId="5BA3D828"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6.594 </w:t>
            </w:r>
          </w:p>
        </w:tc>
        <w:tc>
          <w:tcPr>
            <w:tcW w:w="2242" w:type="dxa"/>
            <w:tcBorders>
              <w:top w:val="nil"/>
              <w:left w:val="nil"/>
              <w:bottom w:val="nil"/>
              <w:right w:val="single" w:sz="8" w:space="0" w:color="BFBFBF"/>
            </w:tcBorders>
            <w:shd w:val="clear" w:color="auto" w:fill="auto"/>
            <w:noWrap/>
            <w:hideMark/>
          </w:tcPr>
          <w:p w14:paraId="37A865F3"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6.702 </w:t>
            </w:r>
          </w:p>
        </w:tc>
      </w:tr>
      <w:tr w:rsidR="00B67EDB" w:rsidRPr="00DE0914" w14:paraId="31D16603" w14:textId="77777777" w:rsidTr="00B07AD0">
        <w:trPr>
          <w:trHeight w:val="190"/>
        </w:trPr>
        <w:tc>
          <w:tcPr>
            <w:tcW w:w="4907" w:type="dxa"/>
            <w:tcBorders>
              <w:top w:val="nil"/>
              <w:left w:val="nil"/>
              <w:bottom w:val="nil"/>
              <w:right w:val="nil"/>
            </w:tcBorders>
            <w:shd w:val="clear" w:color="000000" w:fill="FFFFFF"/>
            <w:vAlign w:val="center"/>
            <w:hideMark/>
          </w:tcPr>
          <w:p w14:paraId="2D69EAFA"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financial liabilities</w:t>
            </w:r>
          </w:p>
        </w:tc>
        <w:tc>
          <w:tcPr>
            <w:tcW w:w="2382" w:type="dxa"/>
            <w:tcBorders>
              <w:top w:val="nil"/>
              <w:left w:val="single" w:sz="8" w:space="0" w:color="BFBFBF"/>
              <w:bottom w:val="nil"/>
              <w:right w:val="single" w:sz="8" w:space="0" w:color="BFBFBF"/>
            </w:tcBorders>
            <w:shd w:val="clear" w:color="auto" w:fill="F2F2F2" w:themeFill="background1" w:themeFillShade="F2"/>
            <w:noWrap/>
            <w:hideMark/>
          </w:tcPr>
          <w:p w14:paraId="53683FDA"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161</w:t>
            </w:r>
          </w:p>
        </w:tc>
        <w:tc>
          <w:tcPr>
            <w:tcW w:w="2242" w:type="dxa"/>
            <w:tcBorders>
              <w:top w:val="nil"/>
              <w:left w:val="nil"/>
              <w:bottom w:val="nil"/>
              <w:right w:val="single" w:sz="8" w:space="0" w:color="BFBFBF"/>
            </w:tcBorders>
            <w:shd w:val="clear" w:color="auto" w:fill="auto"/>
            <w:noWrap/>
            <w:hideMark/>
          </w:tcPr>
          <w:p w14:paraId="61666F87"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173 </w:t>
            </w:r>
          </w:p>
        </w:tc>
      </w:tr>
      <w:tr w:rsidR="00B67EDB" w:rsidRPr="00DE0914" w14:paraId="04A103FC" w14:textId="77777777" w:rsidTr="00B07AD0">
        <w:trPr>
          <w:trHeight w:val="145"/>
        </w:trPr>
        <w:tc>
          <w:tcPr>
            <w:tcW w:w="4907" w:type="dxa"/>
            <w:tcBorders>
              <w:top w:val="single" w:sz="8" w:space="0" w:color="BFBFBF"/>
              <w:left w:val="nil"/>
              <w:bottom w:val="single" w:sz="8" w:space="0" w:color="BFBFBF"/>
              <w:right w:val="single" w:sz="8" w:space="0" w:color="BFBFBF"/>
            </w:tcBorders>
            <w:shd w:val="clear" w:color="000000" w:fill="FFFFFF"/>
            <w:vAlign w:val="center"/>
            <w:hideMark/>
          </w:tcPr>
          <w:p w14:paraId="49433E02"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non-current liabilities</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hideMark/>
          </w:tcPr>
          <w:p w14:paraId="33AEA00E"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126.960</w:t>
            </w:r>
          </w:p>
        </w:tc>
        <w:tc>
          <w:tcPr>
            <w:tcW w:w="2242" w:type="dxa"/>
            <w:tcBorders>
              <w:top w:val="single" w:sz="8" w:space="0" w:color="BFBFBF"/>
              <w:left w:val="nil"/>
              <w:bottom w:val="single" w:sz="8" w:space="0" w:color="BFBFBF"/>
              <w:right w:val="single" w:sz="8" w:space="0" w:color="BFBFBF"/>
            </w:tcBorders>
            <w:shd w:val="clear" w:color="auto" w:fill="auto"/>
            <w:noWrap/>
            <w:hideMark/>
          </w:tcPr>
          <w:p w14:paraId="4D3EFDF2"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128.802 </w:t>
            </w:r>
          </w:p>
        </w:tc>
      </w:tr>
      <w:tr w:rsidR="00B67EDB" w:rsidRPr="00DE0914" w14:paraId="0CE3589D"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30229092"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Current liabilities</w:t>
            </w:r>
          </w:p>
        </w:tc>
        <w:tc>
          <w:tcPr>
            <w:tcW w:w="2382" w:type="dxa"/>
            <w:tcBorders>
              <w:top w:val="nil"/>
              <w:left w:val="nil"/>
              <w:bottom w:val="nil"/>
              <w:right w:val="single" w:sz="8" w:space="0" w:color="BFBFBF"/>
            </w:tcBorders>
            <w:shd w:val="clear" w:color="auto" w:fill="F2F2F2" w:themeFill="background1" w:themeFillShade="F2"/>
            <w:noWrap/>
            <w:hideMark/>
          </w:tcPr>
          <w:p w14:paraId="39110975"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 </w:t>
            </w:r>
          </w:p>
        </w:tc>
        <w:tc>
          <w:tcPr>
            <w:tcW w:w="2242" w:type="dxa"/>
            <w:tcBorders>
              <w:top w:val="nil"/>
              <w:left w:val="nil"/>
              <w:bottom w:val="nil"/>
              <w:right w:val="single" w:sz="8" w:space="0" w:color="BFBFBF"/>
            </w:tcBorders>
            <w:shd w:val="clear" w:color="auto" w:fill="auto"/>
            <w:noWrap/>
            <w:hideMark/>
          </w:tcPr>
          <w:p w14:paraId="5DA48DDE"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 </w:t>
            </w:r>
          </w:p>
        </w:tc>
      </w:tr>
      <w:tr w:rsidR="00B67EDB" w:rsidRPr="00DE0914" w14:paraId="67AEA55B"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08CB4625"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Convertible bonds</w:t>
            </w:r>
          </w:p>
        </w:tc>
        <w:tc>
          <w:tcPr>
            <w:tcW w:w="2382" w:type="dxa"/>
            <w:tcBorders>
              <w:top w:val="nil"/>
              <w:left w:val="nil"/>
              <w:bottom w:val="nil"/>
              <w:right w:val="single" w:sz="8" w:space="0" w:color="BFBFBF"/>
            </w:tcBorders>
            <w:shd w:val="clear" w:color="auto" w:fill="F2F2F2" w:themeFill="background1" w:themeFillShade="F2"/>
            <w:noWrap/>
            <w:hideMark/>
          </w:tcPr>
          <w:p w14:paraId="794EBB60"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2.607 </w:t>
            </w:r>
          </w:p>
        </w:tc>
        <w:tc>
          <w:tcPr>
            <w:tcW w:w="2242" w:type="dxa"/>
            <w:tcBorders>
              <w:top w:val="nil"/>
              <w:left w:val="nil"/>
              <w:bottom w:val="nil"/>
              <w:right w:val="single" w:sz="8" w:space="0" w:color="BFBFBF"/>
            </w:tcBorders>
            <w:shd w:val="clear" w:color="auto" w:fill="auto"/>
            <w:noWrap/>
            <w:hideMark/>
          </w:tcPr>
          <w:p w14:paraId="5C774C15"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1.661 </w:t>
            </w:r>
          </w:p>
        </w:tc>
      </w:tr>
      <w:tr w:rsidR="00B67EDB" w:rsidRPr="00DE0914" w14:paraId="5C5D905F"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320A8B32"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Derivative financial liabilities</w:t>
            </w:r>
          </w:p>
        </w:tc>
        <w:tc>
          <w:tcPr>
            <w:tcW w:w="2382" w:type="dxa"/>
            <w:tcBorders>
              <w:top w:val="nil"/>
              <w:left w:val="nil"/>
              <w:bottom w:val="nil"/>
              <w:right w:val="single" w:sz="8" w:space="0" w:color="BFBFBF"/>
            </w:tcBorders>
            <w:shd w:val="clear" w:color="auto" w:fill="F2F2F2" w:themeFill="background1" w:themeFillShade="F2"/>
            <w:noWrap/>
            <w:hideMark/>
          </w:tcPr>
          <w:p w14:paraId="598ACFA9"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72 </w:t>
            </w:r>
          </w:p>
        </w:tc>
        <w:tc>
          <w:tcPr>
            <w:tcW w:w="2242" w:type="dxa"/>
            <w:tcBorders>
              <w:top w:val="nil"/>
              <w:left w:val="nil"/>
              <w:bottom w:val="nil"/>
              <w:right w:val="single" w:sz="8" w:space="0" w:color="BFBFBF"/>
            </w:tcBorders>
            <w:shd w:val="clear" w:color="auto" w:fill="auto"/>
            <w:noWrap/>
            <w:hideMark/>
          </w:tcPr>
          <w:p w14:paraId="3D4D5FB6"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147 </w:t>
            </w:r>
          </w:p>
        </w:tc>
      </w:tr>
      <w:tr w:rsidR="00B67EDB" w:rsidRPr="00DE0914" w14:paraId="1AA64836"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0C7882C1"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Trade and other payables</w:t>
            </w:r>
          </w:p>
        </w:tc>
        <w:tc>
          <w:tcPr>
            <w:tcW w:w="2382" w:type="dxa"/>
            <w:tcBorders>
              <w:top w:val="nil"/>
              <w:left w:val="nil"/>
              <w:bottom w:val="nil"/>
              <w:right w:val="single" w:sz="8" w:space="0" w:color="BFBFBF"/>
            </w:tcBorders>
            <w:shd w:val="clear" w:color="auto" w:fill="F2F2F2" w:themeFill="background1" w:themeFillShade="F2"/>
            <w:noWrap/>
            <w:hideMark/>
          </w:tcPr>
          <w:p w14:paraId="063CCB5B"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37.195 </w:t>
            </w:r>
          </w:p>
        </w:tc>
        <w:tc>
          <w:tcPr>
            <w:tcW w:w="2242" w:type="dxa"/>
            <w:tcBorders>
              <w:top w:val="nil"/>
              <w:left w:val="nil"/>
              <w:bottom w:val="nil"/>
              <w:right w:val="single" w:sz="8" w:space="0" w:color="BFBFBF"/>
            </w:tcBorders>
            <w:shd w:val="clear" w:color="auto" w:fill="auto"/>
            <w:noWrap/>
            <w:hideMark/>
          </w:tcPr>
          <w:p w14:paraId="65522019"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38.816 </w:t>
            </w:r>
          </w:p>
        </w:tc>
      </w:tr>
      <w:tr w:rsidR="00B67EDB" w:rsidRPr="00DE0914" w14:paraId="3E9E3A97" w14:textId="77777777" w:rsidTr="00B07AD0">
        <w:trPr>
          <w:trHeight w:val="190"/>
        </w:trPr>
        <w:tc>
          <w:tcPr>
            <w:tcW w:w="4907" w:type="dxa"/>
            <w:tcBorders>
              <w:top w:val="nil"/>
              <w:left w:val="nil"/>
              <w:bottom w:val="nil"/>
              <w:right w:val="single" w:sz="8" w:space="0" w:color="BFBFBF"/>
            </w:tcBorders>
            <w:shd w:val="clear" w:color="000000" w:fill="FFFFFF"/>
            <w:vAlign w:val="center"/>
            <w:hideMark/>
          </w:tcPr>
          <w:p w14:paraId="782CED05"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Lease liabilities</w:t>
            </w:r>
          </w:p>
        </w:tc>
        <w:tc>
          <w:tcPr>
            <w:tcW w:w="2382" w:type="dxa"/>
            <w:tcBorders>
              <w:top w:val="nil"/>
              <w:left w:val="nil"/>
              <w:bottom w:val="nil"/>
              <w:right w:val="single" w:sz="8" w:space="0" w:color="BFBFBF"/>
            </w:tcBorders>
            <w:shd w:val="clear" w:color="auto" w:fill="F2F2F2" w:themeFill="background1" w:themeFillShade="F2"/>
            <w:noWrap/>
            <w:hideMark/>
          </w:tcPr>
          <w:p w14:paraId="6E8DDBDD"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1.624 </w:t>
            </w:r>
          </w:p>
        </w:tc>
        <w:tc>
          <w:tcPr>
            <w:tcW w:w="2242" w:type="dxa"/>
            <w:tcBorders>
              <w:top w:val="nil"/>
              <w:left w:val="nil"/>
              <w:bottom w:val="nil"/>
              <w:right w:val="single" w:sz="8" w:space="0" w:color="BFBFBF"/>
            </w:tcBorders>
            <w:shd w:val="clear" w:color="auto" w:fill="auto"/>
            <w:noWrap/>
            <w:hideMark/>
          </w:tcPr>
          <w:p w14:paraId="5338A1A6"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1.598 </w:t>
            </w:r>
          </w:p>
        </w:tc>
      </w:tr>
      <w:tr w:rsidR="00B67EDB" w:rsidRPr="00DE0914" w14:paraId="07B5EA08"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573A922A" w14:textId="77777777" w:rsidR="00B67EDB" w:rsidRPr="00DE0914" w:rsidRDefault="00B67EDB" w:rsidP="00B07AD0">
            <w:pPr>
              <w:spacing w:before="20" w:afterLines="20" w:after="48"/>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financial liabilities</w:t>
            </w:r>
          </w:p>
        </w:tc>
        <w:tc>
          <w:tcPr>
            <w:tcW w:w="2382" w:type="dxa"/>
            <w:tcBorders>
              <w:top w:val="nil"/>
              <w:left w:val="nil"/>
              <w:bottom w:val="nil"/>
              <w:right w:val="single" w:sz="8" w:space="0" w:color="BFBFBF"/>
            </w:tcBorders>
            <w:shd w:val="clear" w:color="auto" w:fill="F2F2F2" w:themeFill="background1" w:themeFillShade="F2"/>
            <w:noWrap/>
            <w:hideMark/>
          </w:tcPr>
          <w:p w14:paraId="7D0630E4" w14:textId="77777777" w:rsidR="00B67EDB" w:rsidRPr="00DE0914" w:rsidRDefault="00B67EDB" w:rsidP="00B07AD0">
            <w:pPr>
              <w:spacing w:before="20" w:afterLines="20" w:after="48"/>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21.375 </w:t>
            </w:r>
          </w:p>
        </w:tc>
        <w:tc>
          <w:tcPr>
            <w:tcW w:w="2242" w:type="dxa"/>
            <w:tcBorders>
              <w:top w:val="nil"/>
              <w:left w:val="nil"/>
              <w:bottom w:val="nil"/>
              <w:right w:val="single" w:sz="8" w:space="0" w:color="BFBFBF"/>
            </w:tcBorders>
            <w:shd w:val="clear" w:color="auto" w:fill="auto"/>
            <w:noWrap/>
            <w:hideMark/>
          </w:tcPr>
          <w:p w14:paraId="718EA0A6" w14:textId="77777777" w:rsidR="00B67EDB" w:rsidRPr="00DE0914" w:rsidRDefault="00B67EDB" w:rsidP="00B07AD0">
            <w:pPr>
              <w:spacing w:before="20" w:afterLines="20" w:after="48"/>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sz w:val="22"/>
                <w:szCs w:val="22"/>
              </w:rPr>
              <w:t xml:space="preserve">20.357 </w:t>
            </w:r>
          </w:p>
        </w:tc>
      </w:tr>
      <w:tr w:rsidR="00B67EDB" w:rsidRPr="00DE0914" w14:paraId="662EF468" w14:textId="77777777" w:rsidTr="00B07AD0">
        <w:trPr>
          <w:trHeight w:val="190"/>
        </w:trPr>
        <w:tc>
          <w:tcPr>
            <w:tcW w:w="4907" w:type="dxa"/>
            <w:tcBorders>
              <w:top w:val="nil"/>
              <w:left w:val="nil"/>
              <w:bottom w:val="single" w:sz="8" w:space="0" w:color="BFBFBF"/>
              <w:right w:val="single" w:sz="8" w:space="0" w:color="BFBFBF"/>
            </w:tcBorders>
            <w:shd w:val="clear" w:color="000000" w:fill="FFFFFF"/>
            <w:vAlign w:val="center"/>
            <w:hideMark/>
          </w:tcPr>
          <w:p w14:paraId="68DFF3C5"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current liabilities</w:t>
            </w:r>
          </w:p>
        </w:tc>
        <w:tc>
          <w:tcPr>
            <w:tcW w:w="2382" w:type="dxa"/>
            <w:tcBorders>
              <w:top w:val="single" w:sz="8" w:space="0" w:color="BFBFBF"/>
              <w:left w:val="nil"/>
              <w:bottom w:val="single" w:sz="8" w:space="0" w:color="BFBFBF"/>
              <w:right w:val="single" w:sz="8" w:space="0" w:color="BFBFBF"/>
            </w:tcBorders>
            <w:shd w:val="clear" w:color="auto" w:fill="F2F2F2" w:themeFill="background1" w:themeFillShade="F2"/>
            <w:noWrap/>
            <w:hideMark/>
          </w:tcPr>
          <w:p w14:paraId="7297B59D"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62.873</w:t>
            </w:r>
          </w:p>
        </w:tc>
        <w:tc>
          <w:tcPr>
            <w:tcW w:w="2242" w:type="dxa"/>
            <w:tcBorders>
              <w:top w:val="single" w:sz="8" w:space="0" w:color="BFBFBF"/>
              <w:left w:val="nil"/>
              <w:bottom w:val="single" w:sz="8" w:space="0" w:color="BFBFBF"/>
              <w:right w:val="single" w:sz="8" w:space="0" w:color="BFBFBF"/>
            </w:tcBorders>
            <w:shd w:val="clear" w:color="auto" w:fill="auto"/>
            <w:noWrap/>
            <w:hideMark/>
          </w:tcPr>
          <w:p w14:paraId="411F3B33"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62.579 </w:t>
            </w:r>
          </w:p>
        </w:tc>
      </w:tr>
      <w:tr w:rsidR="00B67EDB" w:rsidRPr="00DE0914" w14:paraId="07F3FF21" w14:textId="77777777" w:rsidTr="00B07AD0">
        <w:trPr>
          <w:trHeight w:val="53"/>
        </w:trPr>
        <w:tc>
          <w:tcPr>
            <w:tcW w:w="4907" w:type="dxa"/>
            <w:tcBorders>
              <w:top w:val="nil"/>
              <w:left w:val="nil"/>
              <w:bottom w:val="single" w:sz="8" w:space="0" w:color="BFBFBF"/>
              <w:right w:val="single" w:sz="8" w:space="0" w:color="BFBFBF"/>
            </w:tcBorders>
            <w:shd w:val="clear" w:color="auto" w:fill="F2F2F2" w:themeFill="background1" w:themeFillShade="F2"/>
            <w:vAlign w:val="center"/>
            <w:hideMark/>
          </w:tcPr>
          <w:p w14:paraId="326334AA" w14:textId="77777777" w:rsidR="00B67EDB" w:rsidRPr="00DE0914" w:rsidRDefault="00B67EDB" w:rsidP="00B07AD0">
            <w:pPr>
              <w:spacing w:before="20" w:afterLines="20" w:after="48"/>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equity and liabilities</w:t>
            </w:r>
          </w:p>
        </w:tc>
        <w:tc>
          <w:tcPr>
            <w:tcW w:w="2382" w:type="dxa"/>
            <w:tcBorders>
              <w:top w:val="nil"/>
              <w:left w:val="nil"/>
              <w:bottom w:val="single" w:sz="8" w:space="0" w:color="BFBFBF"/>
              <w:right w:val="single" w:sz="8" w:space="0" w:color="BFBFBF"/>
            </w:tcBorders>
            <w:shd w:val="clear" w:color="auto" w:fill="F2F2F2" w:themeFill="background1" w:themeFillShade="F2"/>
            <w:noWrap/>
            <w:hideMark/>
          </w:tcPr>
          <w:p w14:paraId="22E83367" w14:textId="77777777" w:rsidR="00B67EDB" w:rsidRPr="00DE0914" w:rsidRDefault="00B67EDB" w:rsidP="00B07AD0">
            <w:pPr>
              <w:spacing w:before="20" w:afterLines="20" w:after="48"/>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348.519</w:t>
            </w:r>
          </w:p>
        </w:tc>
        <w:tc>
          <w:tcPr>
            <w:tcW w:w="2242" w:type="dxa"/>
            <w:tcBorders>
              <w:top w:val="nil"/>
              <w:left w:val="nil"/>
              <w:bottom w:val="single" w:sz="8" w:space="0" w:color="BFBFBF"/>
              <w:right w:val="single" w:sz="8" w:space="0" w:color="BFBFBF"/>
            </w:tcBorders>
            <w:shd w:val="clear" w:color="auto" w:fill="F2F2F2" w:themeFill="background1" w:themeFillShade="F2"/>
            <w:noWrap/>
            <w:hideMark/>
          </w:tcPr>
          <w:p w14:paraId="4108C17F" w14:textId="77777777" w:rsidR="00B67EDB" w:rsidRPr="00DE0914" w:rsidRDefault="00B67EDB" w:rsidP="00B07AD0">
            <w:pPr>
              <w:spacing w:before="20" w:afterLines="20" w:after="48"/>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340.758 </w:t>
            </w:r>
          </w:p>
        </w:tc>
      </w:tr>
    </w:tbl>
    <w:p w14:paraId="54ADAA6E" w14:textId="77777777" w:rsidR="00A51FB9" w:rsidRPr="00DE0914" w:rsidRDefault="00A51FB9" w:rsidP="00A51FB9">
      <w:pPr>
        <w:rPr>
          <w:rFonts w:ascii="Calibri Light" w:eastAsiaTheme="majorEastAsia" w:hAnsi="Calibri Light" w:cstheme="majorBidi"/>
          <w:b/>
          <w:color w:val="59595B"/>
          <w:szCs w:val="28"/>
          <w:lang w:val="en-GB" w:eastAsia="zh-CN"/>
        </w:rPr>
      </w:pPr>
      <w:r w:rsidRPr="00DE0914">
        <w:rPr>
          <w:rFonts w:ascii="Calibri Light" w:eastAsiaTheme="majorEastAsia" w:hAnsi="Calibri Light" w:cstheme="majorBidi"/>
          <w:b/>
          <w:color w:val="59595B"/>
          <w:szCs w:val="28"/>
          <w:lang w:val="en-GB" w:eastAsia="zh-CN"/>
        </w:rPr>
        <w:lastRenderedPageBreak/>
        <w:t xml:space="preserve">Condensed Consolidated Statement of Cash Flows in </w:t>
      </w:r>
      <w:r w:rsidRPr="00DE0914">
        <w:rPr>
          <w:rFonts w:ascii="Calibri Light" w:eastAsiaTheme="majorEastAsia" w:hAnsi="Calibri Light" w:cstheme="majorBidi"/>
          <w:b/>
          <w:color w:val="59595B"/>
          <w:szCs w:val="28"/>
          <w:u w:val="single"/>
          <w:lang w:val="en-GB" w:eastAsia="zh-CN"/>
        </w:rPr>
        <w:t>Euros</w:t>
      </w:r>
    </w:p>
    <w:p w14:paraId="25702789" w14:textId="77777777" w:rsidR="00A51FB9" w:rsidRPr="00DE0914" w:rsidRDefault="00A51FB9" w:rsidP="00A51FB9">
      <w:pPr>
        <w:jc w:val="both"/>
        <w:rPr>
          <w:rFonts w:ascii="Calibri" w:eastAsia="Calibri" w:hAnsi="Calibri" w:cs="Calibri"/>
          <w:color w:val="59595B"/>
          <w:sz w:val="22"/>
          <w:szCs w:val="22"/>
        </w:rPr>
      </w:pPr>
      <w:r w:rsidRPr="00DE0914">
        <w:rPr>
          <w:rFonts w:ascii="Calibri" w:eastAsia="Calibri" w:hAnsi="Calibri" w:cs="Calibri"/>
          <w:color w:val="59595B"/>
          <w:sz w:val="22"/>
          <w:szCs w:val="22"/>
        </w:rPr>
        <w:t>For the period ended 31 March</w:t>
      </w:r>
    </w:p>
    <w:tbl>
      <w:tblPr>
        <w:tblW w:w="9688" w:type="dxa"/>
        <w:tblLook w:val="04A0" w:firstRow="1" w:lastRow="0" w:firstColumn="1" w:lastColumn="0" w:noHBand="0" w:noVBand="1"/>
      </w:tblPr>
      <w:tblGrid>
        <w:gridCol w:w="6275"/>
        <w:gridCol w:w="1716"/>
        <w:gridCol w:w="1697"/>
      </w:tblGrid>
      <w:tr w:rsidR="00A51FB9" w:rsidRPr="00DE0914" w14:paraId="527BE38D" w14:textId="77777777" w:rsidTr="00B07AD0">
        <w:trPr>
          <w:trHeight w:val="323"/>
        </w:trPr>
        <w:tc>
          <w:tcPr>
            <w:tcW w:w="6275" w:type="dxa"/>
            <w:tcBorders>
              <w:top w:val="nil"/>
              <w:bottom w:val="single" w:sz="8" w:space="0" w:color="BFBFBF"/>
              <w:right w:val="nil"/>
            </w:tcBorders>
            <w:shd w:val="clear" w:color="auto" w:fill="F2F2F2" w:themeFill="background1" w:themeFillShade="F2"/>
            <w:vAlign w:val="center"/>
            <w:hideMark/>
          </w:tcPr>
          <w:p w14:paraId="5AA989FC" w14:textId="26AFF326" w:rsidR="00A51FB9" w:rsidRPr="00DE0914" w:rsidRDefault="00A51FB9" w:rsidP="00B07AD0">
            <w:pPr>
              <w:spacing w:before="20" w:after="20"/>
              <w:rPr>
                <w:rFonts w:ascii="Calibri" w:hAnsi="Calibri" w:cs="Calibri"/>
                <w:color w:val="808080"/>
                <w:kern w:val="0"/>
                <w:sz w:val="22"/>
                <w:szCs w:val="22"/>
                <w:lang w:val="en-GB" w:eastAsia="en-GB"/>
              </w:rPr>
            </w:pPr>
            <w:r w:rsidRPr="00DE0914">
              <w:rPr>
                <w:rFonts w:ascii="Calibri" w:hAnsi="Calibri" w:cs="Calibri"/>
                <w:i/>
                <w:iCs/>
                <w:color w:val="59595B"/>
                <w:kern w:val="0"/>
                <w:sz w:val="22"/>
                <w:szCs w:val="22"/>
                <w:lang w:val="en-GB" w:eastAsia="en-GB"/>
              </w:rPr>
              <w:t xml:space="preserve">Amounts in </w:t>
            </w:r>
            <w:r w:rsidR="00DE0914" w:rsidRPr="00DE0914">
              <w:rPr>
                <w:rFonts w:ascii="Calibri" w:hAnsi="Calibri" w:cs="Calibri"/>
                <w:i/>
                <w:iCs/>
                <w:color w:val="59595B"/>
                <w:kern w:val="0"/>
                <w:sz w:val="22"/>
                <w:szCs w:val="22"/>
                <w:lang w:val="en-GB" w:eastAsia="en-GB"/>
              </w:rPr>
              <w:t>€</w:t>
            </w:r>
            <w:r w:rsidRPr="00DE0914">
              <w:rPr>
                <w:rFonts w:ascii="Calibri" w:hAnsi="Calibri" w:cs="Calibri"/>
                <w:i/>
                <w:iCs/>
                <w:color w:val="59595B"/>
                <w:kern w:val="0"/>
                <w:sz w:val="22"/>
                <w:szCs w:val="22"/>
                <w:lang w:val="en-GB" w:eastAsia="en-GB"/>
              </w:rPr>
              <w:t>’000</w:t>
            </w:r>
          </w:p>
        </w:tc>
        <w:tc>
          <w:tcPr>
            <w:tcW w:w="1716" w:type="dxa"/>
            <w:tcBorders>
              <w:top w:val="nil"/>
              <w:left w:val="nil"/>
              <w:bottom w:val="single" w:sz="8" w:space="0" w:color="BFBFBF"/>
              <w:right w:val="nil"/>
            </w:tcBorders>
            <w:shd w:val="clear" w:color="auto" w:fill="F2F2F2" w:themeFill="background1" w:themeFillShade="F2"/>
            <w:noWrap/>
            <w:vAlign w:val="center"/>
            <w:hideMark/>
          </w:tcPr>
          <w:p w14:paraId="351F72DF" w14:textId="77777777" w:rsidR="00A51FB9" w:rsidRPr="00DE0914" w:rsidRDefault="00A51FB9" w:rsidP="00B07AD0">
            <w:pPr>
              <w:spacing w:before="20" w:after="20"/>
              <w:rPr>
                <w:rFonts w:ascii="Calibri" w:hAnsi="Calibri" w:cs="Calibri"/>
                <w:b/>
                <w:bCs/>
                <w:color w:val="00679B"/>
                <w:kern w:val="0"/>
                <w:sz w:val="22"/>
                <w:szCs w:val="22"/>
                <w:lang w:val="en-GB" w:eastAsia="en-GB"/>
              </w:rPr>
            </w:pPr>
            <w:r w:rsidRPr="00DE0914">
              <w:rPr>
                <w:rFonts w:ascii="Calibri" w:hAnsi="Calibri" w:cs="Calibri"/>
                <w:b/>
                <w:bCs/>
                <w:color w:val="00679B"/>
                <w:kern w:val="0"/>
                <w:sz w:val="22"/>
                <w:szCs w:val="22"/>
                <w:lang w:val="en-GB" w:eastAsia="en-GB"/>
              </w:rPr>
              <w:t>YTD 2021</w:t>
            </w:r>
          </w:p>
        </w:tc>
        <w:tc>
          <w:tcPr>
            <w:tcW w:w="1697" w:type="dxa"/>
            <w:tcBorders>
              <w:top w:val="nil"/>
              <w:left w:val="nil"/>
              <w:bottom w:val="single" w:sz="8" w:space="0" w:color="BFBFBF"/>
              <w:right w:val="nil"/>
            </w:tcBorders>
            <w:shd w:val="clear" w:color="auto" w:fill="F2F2F2" w:themeFill="background1" w:themeFillShade="F2"/>
            <w:vAlign w:val="center"/>
            <w:hideMark/>
          </w:tcPr>
          <w:p w14:paraId="1286A530" w14:textId="77777777" w:rsidR="00A51FB9" w:rsidRPr="00DE0914" w:rsidRDefault="00A51FB9"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YTD 2020</w:t>
            </w:r>
          </w:p>
        </w:tc>
      </w:tr>
      <w:tr w:rsidR="00A51FB9" w:rsidRPr="00DE0914" w14:paraId="231B15C4" w14:textId="77777777" w:rsidTr="00B07AD0">
        <w:trPr>
          <w:trHeight w:val="269"/>
        </w:trPr>
        <w:tc>
          <w:tcPr>
            <w:tcW w:w="6275" w:type="dxa"/>
            <w:tcBorders>
              <w:top w:val="nil"/>
              <w:bottom w:val="single" w:sz="8" w:space="0" w:color="BFBFBF"/>
              <w:right w:val="single" w:sz="8" w:space="0" w:color="BFBFBF"/>
            </w:tcBorders>
            <w:shd w:val="clear" w:color="auto" w:fill="auto"/>
            <w:vAlign w:val="center"/>
            <w:hideMark/>
          </w:tcPr>
          <w:p w14:paraId="75D56C24" w14:textId="77777777" w:rsidR="00A51FB9" w:rsidRPr="00DE0914" w:rsidRDefault="00A51FB9"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Profit before tax</w:t>
            </w:r>
          </w:p>
        </w:tc>
        <w:tc>
          <w:tcPr>
            <w:tcW w:w="1716" w:type="dxa"/>
            <w:tcBorders>
              <w:top w:val="nil"/>
              <w:left w:val="nil"/>
              <w:bottom w:val="single" w:sz="8" w:space="0" w:color="BFBFBF"/>
              <w:right w:val="single" w:sz="8" w:space="0" w:color="BFBFBF"/>
            </w:tcBorders>
            <w:shd w:val="clear" w:color="auto" w:fill="F2F2F2" w:themeFill="background1" w:themeFillShade="F2"/>
            <w:noWrap/>
            <w:hideMark/>
          </w:tcPr>
          <w:p w14:paraId="17A28BB4"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10.583 </w:t>
            </w:r>
          </w:p>
        </w:tc>
        <w:tc>
          <w:tcPr>
            <w:tcW w:w="1697" w:type="dxa"/>
            <w:tcBorders>
              <w:top w:val="nil"/>
              <w:left w:val="nil"/>
              <w:bottom w:val="single" w:sz="8" w:space="0" w:color="BFBFBF"/>
              <w:right w:val="single" w:sz="8" w:space="0" w:color="BFBFBF"/>
            </w:tcBorders>
            <w:shd w:val="clear" w:color="auto" w:fill="auto"/>
            <w:noWrap/>
            <w:hideMark/>
          </w:tcPr>
          <w:p w14:paraId="51D63E26"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12.426 </w:t>
            </w:r>
          </w:p>
        </w:tc>
      </w:tr>
      <w:tr w:rsidR="00A51FB9" w:rsidRPr="00DE0914" w14:paraId="19355EC7" w14:textId="77777777" w:rsidTr="00B07AD0">
        <w:trPr>
          <w:trHeight w:val="254"/>
        </w:trPr>
        <w:tc>
          <w:tcPr>
            <w:tcW w:w="6275" w:type="dxa"/>
            <w:tcBorders>
              <w:top w:val="nil"/>
              <w:bottom w:val="nil"/>
              <w:right w:val="single" w:sz="8" w:space="0" w:color="BFBFBF"/>
            </w:tcBorders>
            <w:shd w:val="clear" w:color="auto" w:fill="auto"/>
            <w:vAlign w:val="center"/>
            <w:hideMark/>
          </w:tcPr>
          <w:p w14:paraId="611ED180" w14:textId="77777777" w:rsidR="00A51FB9" w:rsidRPr="00DE0914" w:rsidRDefault="00A51FB9"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Non-cash adjustments:</w:t>
            </w:r>
          </w:p>
        </w:tc>
        <w:tc>
          <w:tcPr>
            <w:tcW w:w="1716" w:type="dxa"/>
            <w:tcBorders>
              <w:top w:val="nil"/>
              <w:left w:val="nil"/>
              <w:bottom w:val="nil"/>
              <w:right w:val="single" w:sz="8" w:space="0" w:color="BFBFBF"/>
            </w:tcBorders>
            <w:shd w:val="clear" w:color="auto" w:fill="F2F2F2" w:themeFill="background1" w:themeFillShade="F2"/>
          </w:tcPr>
          <w:p w14:paraId="7657F868" w14:textId="77777777" w:rsidR="00A51FB9" w:rsidRPr="00DE0914" w:rsidRDefault="00A51FB9" w:rsidP="00B07AD0">
            <w:pPr>
              <w:spacing w:before="20" w:after="20"/>
              <w:jc w:val="right"/>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 </w:t>
            </w:r>
          </w:p>
        </w:tc>
        <w:tc>
          <w:tcPr>
            <w:tcW w:w="1697" w:type="dxa"/>
            <w:tcBorders>
              <w:top w:val="nil"/>
              <w:left w:val="nil"/>
              <w:bottom w:val="nil"/>
              <w:right w:val="single" w:sz="8" w:space="0" w:color="BFBFBF"/>
            </w:tcBorders>
            <w:shd w:val="clear" w:color="000000" w:fill="FFFFFF"/>
          </w:tcPr>
          <w:p w14:paraId="27E1B6FA"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w:t>
            </w:r>
          </w:p>
        </w:tc>
      </w:tr>
      <w:tr w:rsidR="00A51FB9" w:rsidRPr="00DE0914" w14:paraId="38E74B72" w14:textId="77777777" w:rsidTr="00B07AD0">
        <w:trPr>
          <w:trHeight w:val="254"/>
        </w:trPr>
        <w:tc>
          <w:tcPr>
            <w:tcW w:w="6275" w:type="dxa"/>
            <w:tcBorders>
              <w:top w:val="nil"/>
              <w:bottom w:val="nil"/>
              <w:right w:val="single" w:sz="8" w:space="0" w:color="BFBFBF"/>
            </w:tcBorders>
            <w:shd w:val="clear" w:color="auto" w:fill="auto"/>
            <w:vAlign w:val="center"/>
            <w:hideMark/>
          </w:tcPr>
          <w:p w14:paraId="2F81B67C"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Depreciation, amortisation, impairment</w:t>
            </w:r>
          </w:p>
        </w:tc>
        <w:tc>
          <w:tcPr>
            <w:tcW w:w="1716" w:type="dxa"/>
            <w:tcBorders>
              <w:top w:val="nil"/>
              <w:left w:val="nil"/>
              <w:bottom w:val="nil"/>
              <w:right w:val="single" w:sz="8" w:space="0" w:color="BFBFBF"/>
            </w:tcBorders>
            <w:shd w:val="clear" w:color="auto" w:fill="F2F2F2" w:themeFill="background1" w:themeFillShade="F2"/>
            <w:noWrap/>
            <w:hideMark/>
          </w:tcPr>
          <w:p w14:paraId="1E4283BF"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1.706 </w:t>
            </w:r>
          </w:p>
        </w:tc>
        <w:tc>
          <w:tcPr>
            <w:tcW w:w="1697" w:type="dxa"/>
            <w:tcBorders>
              <w:top w:val="nil"/>
              <w:left w:val="nil"/>
              <w:bottom w:val="nil"/>
              <w:right w:val="single" w:sz="8" w:space="0" w:color="BFBFBF"/>
            </w:tcBorders>
            <w:shd w:val="clear" w:color="000000" w:fill="FFFFFF"/>
            <w:noWrap/>
            <w:hideMark/>
          </w:tcPr>
          <w:p w14:paraId="78C501E9"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1.704 </w:t>
            </w:r>
          </w:p>
        </w:tc>
      </w:tr>
      <w:tr w:rsidR="00A51FB9" w:rsidRPr="00DE0914" w14:paraId="2422F7C6" w14:textId="77777777" w:rsidTr="00B07AD0">
        <w:trPr>
          <w:trHeight w:val="254"/>
        </w:trPr>
        <w:tc>
          <w:tcPr>
            <w:tcW w:w="6275" w:type="dxa"/>
            <w:tcBorders>
              <w:top w:val="nil"/>
              <w:bottom w:val="nil"/>
              <w:right w:val="single" w:sz="8" w:space="0" w:color="BFBFBF"/>
            </w:tcBorders>
            <w:shd w:val="clear" w:color="auto" w:fill="auto"/>
            <w:vAlign w:val="center"/>
            <w:hideMark/>
          </w:tcPr>
          <w:p w14:paraId="1C461B60"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Equity settled share-based payments</w:t>
            </w:r>
          </w:p>
        </w:tc>
        <w:tc>
          <w:tcPr>
            <w:tcW w:w="1716" w:type="dxa"/>
            <w:tcBorders>
              <w:top w:val="nil"/>
              <w:left w:val="nil"/>
              <w:bottom w:val="nil"/>
              <w:right w:val="single" w:sz="8" w:space="0" w:color="BFBFBF"/>
            </w:tcBorders>
            <w:shd w:val="clear" w:color="auto" w:fill="F2F2F2" w:themeFill="background1" w:themeFillShade="F2"/>
            <w:noWrap/>
            <w:hideMark/>
          </w:tcPr>
          <w:p w14:paraId="4894E5E0"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1.579</w:t>
            </w:r>
          </w:p>
        </w:tc>
        <w:tc>
          <w:tcPr>
            <w:tcW w:w="1697" w:type="dxa"/>
            <w:tcBorders>
              <w:top w:val="nil"/>
              <w:left w:val="nil"/>
              <w:bottom w:val="nil"/>
              <w:right w:val="single" w:sz="8" w:space="0" w:color="BFBFBF"/>
            </w:tcBorders>
            <w:shd w:val="clear" w:color="000000" w:fill="FFFFFF"/>
            <w:noWrap/>
            <w:hideMark/>
          </w:tcPr>
          <w:p w14:paraId="13439E77"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563 </w:t>
            </w:r>
          </w:p>
        </w:tc>
      </w:tr>
      <w:tr w:rsidR="00A51FB9" w:rsidRPr="00DE0914" w14:paraId="7A0F8EDB" w14:textId="77777777" w:rsidTr="00B07AD0">
        <w:trPr>
          <w:trHeight w:val="254"/>
        </w:trPr>
        <w:tc>
          <w:tcPr>
            <w:tcW w:w="6275" w:type="dxa"/>
            <w:tcBorders>
              <w:top w:val="nil"/>
              <w:bottom w:val="nil"/>
              <w:right w:val="single" w:sz="8" w:space="0" w:color="BFBFBF"/>
            </w:tcBorders>
            <w:shd w:val="clear" w:color="auto" w:fill="auto"/>
            <w:vAlign w:val="center"/>
            <w:hideMark/>
          </w:tcPr>
          <w:p w14:paraId="6C8837C6"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Fair value gain (loss) loss on revaluation of derivatives</w:t>
            </w:r>
          </w:p>
        </w:tc>
        <w:tc>
          <w:tcPr>
            <w:tcW w:w="1716" w:type="dxa"/>
            <w:tcBorders>
              <w:top w:val="nil"/>
              <w:left w:val="nil"/>
              <w:bottom w:val="nil"/>
              <w:right w:val="single" w:sz="8" w:space="0" w:color="BFBFBF"/>
            </w:tcBorders>
            <w:shd w:val="clear" w:color="auto" w:fill="F2F2F2" w:themeFill="background1" w:themeFillShade="F2"/>
            <w:noWrap/>
            <w:hideMark/>
          </w:tcPr>
          <w:p w14:paraId="40D0A6C2"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(25)</w:t>
            </w:r>
          </w:p>
        </w:tc>
        <w:tc>
          <w:tcPr>
            <w:tcW w:w="1697" w:type="dxa"/>
            <w:tcBorders>
              <w:top w:val="nil"/>
              <w:left w:val="nil"/>
              <w:bottom w:val="nil"/>
              <w:right w:val="single" w:sz="8" w:space="0" w:color="BFBFBF"/>
            </w:tcBorders>
            <w:shd w:val="clear" w:color="000000" w:fill="FFFFFF"/>
            <w:noWrap/>
            <w:hideMark/>
          </w:tcPr>
          <w:p w14:paraId="1F9A35D2" w14:textId="57896E49"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(121)</w:t>
            </w:r>
          </w:p>
        </w:tc>
      </w:tr>
      <w:tr w:rsidR="00A51FB9" w:rsidRPr="00DE0914" w14:paraId="0C542980" w14:textId="77777777" w:rsidTr="00B07AD0">
        <w:trPr>
          <w:trHeight w:val="254"/>
        </w:trPr>
        <w:tc>
          <w:tcPr>
            <w:tcW w:w="6275" w:type="dxa"/>
            <w:tcBorders>
              <w:top w:val="nil"/>
              <w:bottom w:val="nil"/>
              <w:right w:val="single" w:sz="8" w:space="0" w:color="BFBFBF"/>
            </w:tcBorders>
            <w:shd w:val="clear" w:color="auto" w:fill="auto"/>
            <w:vAlign w:val="center"/>
            <w:hideMark/>
          </w:tcPr>
          <w:p w14:paraId="41E85208"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finance income</w:t>
            </w:r>
          </w:p>
        </w:tc>
        <w:tc>
          <w:tcPr>
            <w:tcW w:w="1716" w:type="dxa"/>
            <w:tcBorders>
              <w:top w:val="nil"/>
              <w:left w:val="nil"/>
              <w:bottom w:val="nil"/>
              <w:right w:val="single" w:sz="8" w:space="0" w:color="BFBFBF"/>
            </w:tcBorders>
            <w:shd w:val="clear" w:color="auto" w:fill="F2F2F2" w:themeFill="background1" w:themeFillShade="F2"/>
            <w:noWrap/>
            <w:hideMark/>
          </w:tcPr>
          <w:p w14:paraId="089FDB18"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(6.750)</w:t>
            </w:r>
          </w:p>
        </w:tc>
        <w:tc>
          <w:tcPr>
            <w:tcW w:w="1697" w:type="dxa"/>
            <w:tcBorders>
              <w:top w:val="nil"/>
              <w:left w:val="nil"/>
              <w:bottom w:val="nil"/>
              <w:right w:val="single" w:sz="8" w:space="0" w:color="BFBFBF"/>
            </w:tcBorders>
            <w:shd w:val="clear" w:color="000000" w:fill="FFFFFF"/>
            <w:noWrap/>
            <w:hideMark/>
          </w:tcPr>
          <w:p w14:paraId="77A4E78E" w14:textId="4E58BEB6"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(370)</w:t>
            </w:r>
          </w:p>
        </w:tc>
      </w:tr>
      <w:tr w:rsidR="00A51FB9" w:rsidRPr="00DE0914" w14:paraId="0D250A10" w14:textId="77777777" w:rsidTr="00B07AD0">
        <w:trPr>
          <w:trHeight w:val="254"/>
        </w:trPr>
        <w:tc>
          <w:tcPr>
            <w:tcW w:w="6275" w:type="dxa"/>
            <w:tcBorders>
              <w:top w:val="nil"/>
              <w:bottom w:val="nil"/>
              <w:right w:val="single" w:sz="8" w:space="0" w:color="BFBFBF"/>
            </w:tcBorders>
            <w:shd w:val="clear" w:color="auto" w:fill="auto"/>
            <w:vAlign w:val="center"/>
            <w:hideMark/>
          </w:tcPr>
          <w:p w14:paraId="13C8D12B"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 finance expenses</w:t>
            </w:r>
          </w:p>
        </w:tc>
        <w:tc>
          <w:tcPr>
            <w:tcW w:w="1716" w:type="dxa"/>
            <w:tcBorders>
              <w:top w:val="nil"/>
              <w:left w:val="nil"/>
              <w:bottom w:val="nil"/>
              <w:right w:val="single" w:sz="8" w:space="0" w:color="BFBFBF"/>
            </w:tcBorders>
            <w:shd w:val="clear" w:color="auto" w:fill="F2F2F2" w:themeFill="background1" w:themeFillShade="F2"/>
            <w:noWrap/>
            <w:hideMark/>
          </w:tcPr>
          <w:p w14:paraId="1A0D24E8"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1.322 </w:t>
            </w:r>
          </w:p>
        </w:tc>
        <w:tc>
          <w:tcPr>
            <w:tcW w:w="1697" w:type="dxa"/>
            <w:tcBorders>
              <w:top w:val="nil"/>
              <w:left w:val="nil"/>
              <w:bottom w:val="nil"/>
              <w:right w:val="single" w:sz="8" w:space="0" w:color="BFBFBF"/>
            </w:tcBorders>
            <w:shd w:val="clear" w:color="000000" w:fill="FFFFFF"/>
            <w:noWrap/>
            <w:hideMark/>
          </w:tcPr>
          <w:p w14:paraId="054D9A4C"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7.582 </w:t>
            </w:r>
          </w:p>
        </w:tc>
      </w:tr>
      <w:tr w:rsidR="00A51FB9" w:rsidRPr="00DE0914" w14:paraId="56238374" w14:textId="77777777" w:rsidTr="00B07AD0">
        <w:trPr>
          <w:trHeight w:val="254"/>
        </w:trPr>
        <w:tc>
          <w:tcPr>
            <w:tcW w:w="6275" w:type="dxa"/>
            <w:tcBorders>
              <w:top w:val="nil"/>
              <w:bottom w:val="nil"/>
              <w:right w:val="single" w:sz="8" w:space="0" w:color="BFBFBF"/>
            </w:tcBorders>
            <w:shd w:val="clear" w:color="auto" w:fill="auto"/>
            <w:vAlign w:val="center"/>
            <w:hideMark/>
          </w:tcPr>
          <w:p w14:paraId="60FFC0FB"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Share of net profits in associates using the equity method</w:t>
            </w:r>
          </w:p>
        </w:tc>
        <w:tc>
          <w:tcPr>
            <w:tcW w:w="1716" w:type="dxa"/>
            <w:tcBorders>
              <w:top w:val="nil"/>
              <w:left w:val="nil"/>
              <w:bottom w:val="nil"/>
              <w:right w:val="single" w:sz="8" w:space="0" w:color="BFBFBF"/>
            </w:tcBorders>
            <w:shd w:val="clear" w:color="auto" w:fill="F2F2F2" w:themeFill="background1" w:themeFillShade="F2"/>
            <w:noWrap/>
            <w:hideMark/>
          </w:tcPr>
          <w:p w14:paraId="4E9B4DBA"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(68)</w:t>
            </w:r>
          </w:p>
        </w:tc>
        <w:tc>
          <w:tcPr>
            <w:tcW w:w="1697" w:type="dxa"/>
            <w:tcBorders>
              <w:top w:val="nil"/>
              <w:left w:val="nil"/>
              <w:bottom w:val="nil"/>
              <w:right w:val="single" w:sz="8" w:space="0" w:color="BFBFBF"/>
            </w:tcBorders>
            <w:shd w:val="clear" w:color="auto" w:fill="auto"/>
            <w:noWrap/>
            <w:hideMark/>
          </w:tcPr>
          <w:p w14:paraId="3701ABAB"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14 </w:t>
            </w:r>
          </w:p>
        </w:tc>
      </w:tr>
      <w:tr w:rsidR="00A51FB9" w:rsidRPr="00DE0914" w14:paraId="015DB6A3" w14:textId="77777777" w:rsidTr="00B07AD0">
        <w:trPr>
          <w:trHeight w:val="254"/>
        </w:trPr>
        <w:tc>
          <w:tcPr>
            <w:tcW w:w="6275" w:type="dxa"/>
            <w:tcBorders>
              <w:top w:val="nil"/>
              <w:bottom w:val="nil"/>
              <w:right w:val="single" w:sz="8" w:space="0" w:color="BFBFBF"/>
            </w:tcBorders>
            <w:shd w:val="clear" w:color="auto" w:fill="auto"/>
            <w:vAlign w:val="center"/>
            <w:hideMark/>
          </w:tcPr>
          <w:p w14:paraId="2B76EC28"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Other</w:t>
            </w:r>
          </w:p>
        </w:tc>
        <w:tc>
          <w:tcPr>
            <w:tcW w:w="1716" w:type="dxa"/>
            <w:tcBorders>
              <w:top w:val="nil"/>
              <w:left w:val="nil"/>
              <w:bottom w:val="nil"/>
              <w:right w:val="single" w:sz="8" w:space="0" w:color="BFBFBF"/>
            </w:tcBorders>
            <w:shd w:val="clear" w:color="auto" w:fill="F2F2F2" w:themeFill="background1" w:themeFillShade="F2"/>
            <w:noWrap/>
            <w:hideMark/>
          </w:tcPr>
          <w:p w14:paraId="0C4E8D68" w14:textId="3A2FDDC1" w:rsidR="00A51FB9" w:rsidRPr="00DE0914" w:rsidRDefault="002D1A22"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(906)</w:t>
            </w:r>
          </w:p>
        </w:tc>
        <w:tc>
          <w:tcPr>
            <w:tcW w:w="1697" w:type="dxa"/>
            <w:tcBorders>
              <w:top w:val="nil"/>
              <w:left w:val="nil"/>
              <w:bottom w:val="nil"/>
              <w:right w:val="single" w:sz="8" w:space="0" w:color="BFBFBF"/>
            </w:tcBorders>
            <w:shd w:val="clear" w:color="auto" w:fill="auto"/>
            <w:noWrap/>
            <w:hideMark/>
          </w:tcPr>
          <w:p w14:paraId="3C937E36" w14:textId="3D991DF0"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(36)</w:t>
            </w:r>
          </w:p>
        </w:tc>
      </w:tr>
      <w:tr w:rsidR="00A51FB9" w:rsidRPr="00DE0914" w14:paraId="4C970C50" w14:textId="77777777" w:rsidTr="00B07AD0">
        <w:trPr>
          <w:trHeight w:val="254"/>
        </w:trPr>
        <w:tc>
          <w:tcPr>
            <w:tcW w:w="6275" w:type="dxa"/>
            <w:tcBorders>
              <w:top w:val="nil"/>
              <w:bottom w:val="nil"/>
              <w:right w:val="single" w:sz="8" w:space="0" w:color="BFBFBF"/>
            </w:tcBorders>
            <w:shd w:val="clear" w:color="auto" w:fill="auto"/>
            <w:vAlign w:val="center"/>
            <w:hideMark/>
          </w:tcPr>
          <w:p w14:paraId="0334369A" w14:textId="77777777" w:rsidR="00A51FB9" w:rsidRPr="00DE0914" w:rsidRDefault="00A51FB9"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Operating cash flows before changes in working capital</w:t>
            </w:r>
          </w:p>
        </w:tc>
        <w:tc>
          <w:tcPr>
            <w:tcW w:w="1716" w:type="dxa"/>
            <w:tcBorders>
              <w:top w:val="nil"/>
              <w:left w:val="nil"/>
              <w:bottom w:val="nil"/>
              <w:right w:val="single" w:sz="8" w:space="0" w:color="BFBFBF"/>
            </w:tcBorders>
            <w:shd w:val="clear" w:color="auto" w:fill="F2F2F2" w:themeFill="background1" w:themeFillShade="F2"/>
            <w:noWrap/>
            <w:hideMark/>
          </w:tcPr>
          <w:p w14:paraId="051F6BF2" w14:textId="595AF7CC"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7.44</w:t>
            </w:r>
            <w:r w:rsidR="002D1A22" w:rsidRPr="00DE0914">
              <w:rPr>
                <w:rFonts w:asciiTheme="minorHAnsi" w:hAnsiTheme="minorHAnsi" w:cstheme="minorHAnsi"/>
                <w:b/>
                <w:bCs/>
                <w:color w:val="00679B"/>
                <w:sz w:val="22"/>
                <w:szCs w:val="22"/>
              </w:rPr>
              <w:t>3</w:t>
            </w:r>
          </w:p>
        </w:tc>
        <w:tc>
          <w:tcPr>
            <w:tcW w:w="1697" w:type="dxa"/>
            <w:tcBorders>
              <w:top w:val="nil"/>
              <w:left w:val="nil"/>
              <w:bottom w:val="nil"/>
              <w:right w:val="single" w:sz="8" w:space="0" w:color="BFBFBF"/>
            </w:tcBorders>
            <w:shd w:val="clear" w:color="auto" w:fill="auto"/>
            <w:noWrap/>
            <w:hideMark/>
          </w:tcPr>
          <w:p w14:paraId="217CD228"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21.762 </w:t>
            </w:r>
          </w:p>
        </w:tc>
      </w:tr>
      <w:tr w:rsidR="00A51FB9" w:rsidRPr="00DE0914" w14:paraId="34E9D5D2" w14:textId="77777777" w:rsidTr="00B07AD0">
        <w:trPr>
          <w:trHeight w:val="254"/>
        </w:trPr>
        <w:tc>
          <w:tcPr>
            <w:tcW w:w="6275" w:type="dxa"/>
            <w:tcBorders>
              <w:top w:val="nil"/>
              <w:bottom w:val="nil"/>
              <w:right w:val="single" w:sz="8" w:space="0" w:color="BFBFBF"/>
            </w:tcBorders>
            <w:shd w:val="clear" w:color="auto" w:fill="auto"/>
            <w:vAlign w:val="center"/>
            <w:hideMark/>
          </w:tcPr>
          <w:p w14:paraId="3CAB4073" w14:textId="77777777" w:rsidR="00A51FB9" w:rsidRPr="00DE0914" w:rsidRDefault="00A51FB9" w:rsidP="00B07AD0">
            <w:pPr>
              <w:spacing w:before="20" w:after="20"/>
              <w:rPr>
                <w:rFonts w:ascii="Calibri" w:hAnsi="Calibri" w:cs="Calibri"/>
                <w:b/>
                <w:bCs/>
                <w:i/>
                <w:iCs/>
                <w:color w:val="59595B"/>
                <w:kern w:val="0"/>
                <w:sz w:val="22"/>
                <w:szCs w:val="22"/>
                <w:lang w:val="en-GB" w:eastAsia="en-GB"/>
              </w:rPr>
            </w:pPr>
            <w:r w:rsidRPr="00DE0914">
              <w:rPr>
                <w:rFonts w:ascii="Calibri" w:hAnsi="Calibri" w:cs="Calibri"/>
                <w:b/>
                <w:bCs/>
                <w:color w:val="59595B"/>
                <w:kern w:val="0"/>
                <w:sz w:val="22"/>
                <w:szCs w:val="22"/>
                <w:lang w:val="en-GB" w:eastAsia="en-GB"/>
              </w:rPr>
              <w:t>Changes in working capital:</w:t>
            </w:r>
          </w:p>
        </w:tc>
        <w:tc>
          <w:tcPr>
            <w:tcW w:w="1716" w:type="dxa"/>
            <w:tcBorders>
              <w:top w:val="nil"/>
              <w:left w:val="nil"/>
              <w:bottom w:val="nil"/>
              <w:right w:val="single" w:sz="8" w:space="0" w:color="BFBFBF"/>
            </w:tcBorders>
            <w:shd w:val="clear" w:color="auto" w:fill="F2F2F2" w:themeFill="background1" w:themeFillShade="F2"/>
            <w:noWrap/>
            <w:hideMark/>
          </w:tcPr>
          <w:p w14:paraId="10D455B2"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 </w:t>
            </w:r>
          </w:p>
        </w:tc>
        <w:tc>
          <w:tcPr>
            <w:tcW w:w="1697" w:type="dxa"/>
            <w:tcBorders>
              <w:top w:val="nil"/>
              <w:left w:val="nil"/>
              <w:bottom w:val="nil"/>
              <w:right w:val="single" w:sz="8" w:space="0" w:color="BFBFBF"/>
            </w:tcBorders>
            <w:shd w:val="clear" w:color="000000" w:fill="FFFFFF"/>
            <w:noWrap/>
            <w:hideMark/>
          </w:tcPr>
          <w:p w14:paraId="3CE83FF1"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 </w:t>
            </w:r>
          </w:p>
        </w:tc>
      </w:tr>
      <w:tr w:rsidR="00A51FB9" w:rsidRPr="00DE0914" w14:paraId="344A84D5" w14:textId="77777777" w:rsidTr="00B07AD0">
        <w:trPr>
          <w:trHeight w:val="254"/>
        </w:trPr>
        <w:tc>
          <w:tcPr>
            <w:tcW w:w="6275" w:type="dxa"/>
            <w:tcBorders>
              <w:top w:val="nil"/>
              <w:bottom w:val="nil"/>
              <w:right w:val="single" w:sz="8" w:space="0" w:color="BFBFBF"/>
            </w:tcBorders>
            <w:shd w:val="clear" w:color="auto" w:fill="auto"/>
            <w:vAlign w:val="center"/>
            <w:hideMark/>
          </w:tcPr>
          <w:p w14:paraId="09BCA7E4"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Inventories</w:t>
            </w:r>
          </w:p>
        </w:tc>
        <w:tc>
          <w:tcPr>
            <w:tcW w:w="1716" w:type="dxa"/>
            <w:tcBorders>
              <w:top w:val="nil"/>
              <w:left w:val="nil"/>
              <w:bottom w:val="nil"/>
              <w:right w:val="single" w:sz="8" w:space="0" w:color="BFBFBF"/>
            </w:tcBorders>
            <w:shd w:val="clear" w:color="auto" w:fill="F2F2F2" w:themeFill="background1" w:themeFillShade="F2"/>
            <w:noWrap/>
            <w:hideMark/>
          </w:tcPr>
          <w:p w14:paraId="25819E10"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(503)</w:t>
            </w:r>
          </w:p>
        </w:tc>
        <w:tc>
          <w:tcPr>
            <w:tcW w:w="1697" w:type="dxa"/>
            <w:tcBorders>
              <w:top w:val="nil"/>
              <w:left w:val="nil"/>
              <w:bottom w:val="nil"/>
              <w:right w:val="single" w:sz="8" w:space="0" w:color="BFBFBF"/>
            </w:tcBorders>
            <w:shd w:val="clear" w:color="auto" w:fill="auto"/>
            <w:noWrap/>
            <w:hideMark/>
          </w:tcPr>
          <w:p w14:paraId="7899832E"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(57)</w:t>
            </w:r>
          </w:p>
        </w:tc>
      </w:tr>
      <w:tr w:rsidR="00A51FB9" w:rsidRPr="00DE0914" w14:paraId="469B5C0E" w14:textId="77777777" w:rsidTr="00B07AD0">
        <w:trPr>
          <w:trHeight w:val="254"/>
        </w:trPr>
        <w:tc>
          <w:tcPr>
            <w:tcW w:w="6275" w:type="dxa"/>
            <w:tcBorders>
              <w:top w:val="nil"/>
              <w:bottom w:val="nil"/>
              <w:right w:val="single" w:sz="8" w:space="0" w:color="BFBFBF"/>
            </w:tcBorders>
            <w:shd w:val="clear" w:color="auto" w:fill="auto"/>
            <w:vAlign w:val="center"/>
            <w:hideMark/>
          </w:tcPr>
          <w:p w14:paraId="29D6A271"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Trade and other receivables</w:t>
            </w:r>
          </w:p>
        </w:tc>
        <w:tc>
          <w:tcPr>
            <w:tcW w:w="1716" w:type="dxa"/>
            <w:tcBorders>
              <w:top w:val="nil"/>
              <w:left w:val="nil"/>
              <w:bottom w:val="nil"/>
              <w:right w:val="single" w:sz="8" w:space="0" w:color="BFBFBF"/>
            </w:tcBorders>
            <w:shd w:val="clear" w:color="auto" w:fill="F2F2F2" w:themeFill="background1" w:themeFillShade="F2"/>
            <w:noWrap/>
            <w:hideMark/>
          </w:tcPr>
          <w:p w14:paraId="2A229255"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2.450 </w:t>
            </w:r>
          </w:p>
        </w:tc>
        <w:tc>
          <w:tcPr>
            <w:tcW w:w="1697" w:type="dxa"/>
            <w:tcBorders>
              <w:top w:val="nil"/>
              <w:left w:val="nil"/>
              <w:bottom w:val="nil"/>
              <w:right w:val="single" w:sz="8" w:space="0" w:color="BFBFBF"/>
            </w:tcBorders>
            <w:shd w:val="clear" w:color="auto" w:fill="auto"/>
            <w:noWrap/>
            <w:hideMark/>
          </w:tcPr>
          <w:p w14:paraId="0B549316"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(4.827)</w:t>
            </w:r>
          </w:p>
        </w:tc>
      </w:tr>
      <w:tr w:rsidR="00A51FB9" w:rsidRPr="00DE0914" w14:paraId="7D184E73" w14:textId="77777777" w:rsidTr="00B07AD0">
        <w:trPr>
          <w:trHeight w:val="254"/>
        </w:trPr>
        <w:tc>
          <w:tcPr>
            <w:tcW w:w="6275" w:type="dxa"/>
            <w:tcBorders>
              <w:top w:val="nil"/>
              <w:bottom w:val="nil"/>
              <w:right w:val="single" w:sz="8" w:space="0" w:color="BFBFBF"/>
            </w:tcBorders>
            <w:shd w:val="clear" w:color="auto" w:fill="auto"/>
            <w:vAlign w:val="center"/>
            <w:hideMark/>
          </w:tcPr>
          <w:p w14:paraId="51274D3E"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Payables and other current liabilities</w:t>
            </w:r>
          </w:p>
        </w:tc>
        <w:tc>
          <w:tcPr>
            <w:tcW w:w="1716" w:type="dxa"/>
            <w:tcBorders>
              <w:top w:val="nil"/>
              <w:left w:val="nil"/>
              <w:bottom w:val="nil"/>
              <w:right w:val="single" w:sz="8" w:space="0" w:color="BFBFBF"/>
            </w:tcBorders>
            <w:shd w:val="clear" w:color="auto" w:fill="F2F2F2" w:themeFill="background1" w:themeFillShade="F2"/>
            <w:noWrap/>
            <w:hideMark/>
          </w:tcPr>
          <w:p w14:paraId="6BCB1A4A"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(3.314)</w:t>
            </w:r>
          </w:p>
        </w:tc>
        <w:tc>
          <w:tcPr>
            <w:tcW w:w="1697" w:type="dxa"/>
            <w:tcBorders>
              <w:top w:val="nil"/>
              <w:left w:val="nil"/>
              <w:bottom w:val="nil"/>
              <w:right w:val="single" w:sz="8" w:space="0" w:color="BFBFBF"/>
            </w:tcBorders>
            <w:shd w:val="clear" w:color="auto" w:fill="auto"/>
            <w:noWrap/>
            <w:hideMark/>
          </w:tcPr>
          <w:p w14:paraId="69BC6FC2"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2.499 </w:t>
            </w:r>
          </w:p>
        </w:tc>
      </w:tr>
      <w:tr w:rsidR="00A51FB9" w:rsidRPr="00DE0914" w14:paraId="6823875D" w14:textId="77777777" w:rsidTr="00B07AD0">
        <w:trPr>
          <w:trHeight w:val="254"/>
        </w:trPr>
        <w:tc>
          <w:tcPr>
            <w:tcW w:w="6275" w:type="dxa"/>
            <w:tcBorders>
              <w:top w:val="nil"/>
              <w:bottom w:val="nil"/>
              <w:right w:val="single" w:sz="8" w:space="0" w:color="BFBFBF"/>
            </w:tcBorders>
            <w:shd w:val="clear" w:color="auto" w:fill="auto"/>
            <w:vAlign w:val="center"/>
            <w:hideMark/>
          </w:tcPr>
          <w:p w14:paraId="28867DFA"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Restricted cash</w:t>
            </w:r>
          </w:p>
        </w:tc>
        <w:tc>
          <w:tcPr>
            <w:tcW w:w="1716" w:type="dxa"/>
            <w:tcBorders>
              <w:top w:val="nil"/>
              <w:left w:val="nil"/>
              <w:bottom w:val="nil"/>
              <w:right w:val="single" w:sz="8" w:space="0" w:color="BFBFBF"/>
            </w:tcBorders>
            <w:shd w:val="clear" w:color="auto" w:fill="F2F2F2" w:themeFill="background1" w:themeFillShade="F2"/>
            <w:noWrap/>
            <w:hideMark/>
          </w:tcPr>
          <w:p w14:paraId="4A9B9E63"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(265)</w:t>
            </w:r>
          </w:p>
        </w:tc>
        <w:tc>
          <w:tcPr>
            <w:tcW w:w="1697" w:type="dxa"/>
            <w:tcBorders>
              <w:top w:val="nil"/>
              <w:left w:val="nil"/>
              <w:bottom w:val="nil"/>
              <w:right w:val="single" w:sz="8" w:space="0" w:color="BFBFBF"/>
            </w:tcBorders>
            <w:shd w:val="clear" w:color="auto" w:fill="auto"/>
            <w:noWrap/>
            <w:hideMark/>
          </w:tcPr>
          <w:p w14:paraId="4F180924"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(37)</w:t>
            </w:r>
          </w:p>
        </w:tc>
      </w:tr>
      <w:tr w:rsidR="00A51FB9" w:rsidRPr="00DE0914" w14:paraId="1B2D4188" w14:textId="77777777" w:rsidTr="00B07AD0">
        <w:trPr>
          <w:trHeight w:val="254"/>
        </w:trPr>
        <w:tc>
          <w:tcPr>
            <w:tcW w:w="6275" w:type="dxa"/>
            <w:tcBorders>
              <w:top w:val="nil"/>
              <w:bottom w:val="nil"/>
              <w:right w:val="single" w:sz="8" w:space="0" w:color="BFBFBF"/>
            </w:tcBorders>
            <w:shd w:val="clear" w:color="auto" w:fill="auto"/>
            <w:noWrap/>
            <w:vAlign w:val="center"/>
            <w:hideMark/>
          </w:tcPr>
          <w:p w14:paraId="360CDA18" w14:textId="77777777" w:rsidR="00A51FB9" w:rsidRPr="00DE0914" w:rsidRDefault="00A51FB9"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Total changes in working capital</w:t>
            </w:r>
          </w:p>
        </w:tc>
        <w:tc>
          <w:tcPr>
            <w:tcW w:w="1716" w:type="dxa"/>
            <w:tcBorders>
              <w:top w:val="nil"/>
              <w:left w:val="nil"/>
              <w:bottom w:val="nil"/>
              <w:right w:val="single" w:sz="8" w:space="0" w:color="BFBFBF"/>
            </w:tcBorders>
            <w:shd w:val="clear" w:color="auto" w:fill="F2F2F2" w:themeFill="background1" w:themeFillShade="F2"/>
            <w:noWrap/>
            <w:hideMark/>
          </w:tcPr>
          <w:p w14:paraId="2617A65C" w14:textId="479B79D6"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(1.63</w:t>
            </w:r>
            <w:r w:rsidR="00B77066" w:rsidRPr="00DE0914">
              <w:rPr>
                <w:rFonts w:asciiTheme="minorHAnsi" w:hAnsiTheme="minorHAnsi" w:cstheme="minorHAnsi"/>
                <w:b/>
                <w:bCs/>
                <w:color w:val="00679B"/>
                <w:sz w:val="22"/>
                <w:szCs w:val="22"/>
              </w:rPr>
              <w:t>2</w:t>
            </w:r>
            <w:r w:rsidRPr="00DE0914">
              <w:rPr>
                <w:rFonts w:asciiTheme="minorHAnsi" w:hAnsiTheme="minorHAnsi" w:cstheme="minorHAnsi"/>
                <w:b/>
                <w:bCs/>
                <w:color w:val="00679B"/>
                <w:sz w:val="22"/>
                <w:szCs w:val="22"/>
              </w:rPr>
              <w:t>)</w:t>
            </w:r>
          </w:p>
        </w:tc>
        <w:tc>
          <w:tcPr>
            <w:tcW w:w="1697" w:type="dxa"/>
            <w:tcBorders>
              <w:top w:val="nil"/>
              <w:left w:val="nil"/>
              <w:bottom w:val="nil"/>
              <w:right w:val="single" w:sz="8" w:space="0" w:color="BFBFBF"/>
            </w:tcBorders>
            <w:shd w:val="clear" w:color="auto" w:fill="auto"/>
            <w:noWrap/>
            <w:hideMark/>
          </w:tcPr>
          <w:p w14:paraId="7455D084"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(2.422)</w:t>
            </w:r>
          </w:p>
        </w:tc>
      </w:tr>
      <w:tr w:rsidR="00A51FB9" w:rsidRPr="00DE0914" w14:paraId="53518BA2" w14:textId="77777777" w:rsidTr="00B07AD0">
        <w:trPr>
          <w:trHeight w:val="254"/>
        </w:trPr>
        <w:tc>
          <w:tcPr>
            <w:tcW w:w="6275" w:type="dxa"/>
            <w:tcBorders>
              <w:top w:val="nil"/>
              <w:bottom w:val="nil"/>
              <w:right w:val="single" w:sz="8" w:space="0" w:color="BFBFBF"/>
            </w:tcBorders>
            <w:shd w:val="clear" w:color="auto" w:fill="auto"/>
            <w:vAlign w:val="center"/>
            <w:hideMark/>
          </w:tcPr>
          <w:p w14:paraId="0441DBAA"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Interest received</w:t>
            </w:r>
          </w:p>
        </w:tc>
        <w:tc>
          <w:tcPr>
            <w:tcW w:w="1716" w:type="dxa"/>
            <w:tcBorders>
              <w:top w:val="nil"/>
              <w:left w:val="nil"/>
              <w:bottom w:val="nil"/>
              <w:right w:val="single" w:sz="8" w:space="0" w:color="BFBFBF"/>
            </w:tcBorders>
            <w:shd w:val="clear" w:color="auto" w:fill="F2F2F2" w:themeFill="background1" w:themeFillShade="F2"/>
            <w:noWrap/>
            <w:hideMark/>
          </w:tcPr>
          <w:p w14:paraId="6D94B869"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32 </w:t>
            </w:r>
          </w:p>
        </w:tc>
        <w:tc>
          <w:tcPr>
            <w:tcW w:w="1697" w:type="dxa"/>
            <w:tcBorders>
              <w:top w:val="nil"/>
              <w:left w:val="nil"/>
              <w:bottom w:val="nil"/>
              <w:right w:val="single" w:sz="8" w:space="0" w:color="BFBFBF"/>
            </w:tcBorders>
            <w:shd w:val="clear" w:color="auto" w:fill="auto"/>
            <w:noWrap/>
            <w:hideMark/>
          </w:tcPr>
          <w:p w14:paraId="7D738210"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370 </w:t>
            </w:r>
          </w:p>
        </w:tc>
      </w:tr>
      <w:tr w:rsidR="00A51FB9" w:rsidRPr="00DE0914" w14:paraId="5846C98A" w14:textId="77777777" w:rsidTr="00B07AD0">
        <w:trPr>
          <w:trHeight w:val="254"/>
        </w:trPr>
        <w:tc>
          <w:tcPr>
            <w:tcW w:w="6275" w:type="dxa"/>
            <w:tcBorders>
              <w:top w:val="nil"/>
              <w:bottom w:val="single" w:sz="8" w:space="0" w:color="D9D9D9"/>
              <w:right w:val="single" w:sz="8" w:space="0" w:color="BFBFBF"/>
            </w:tcBorders>
            <w:shd w:val="clear" w:color="auto" w:fill="auto"/>
            <w:vAlign w:val="center"/>
            <w:hideMark/>
          </w:tcPr>
          <w:p w14:paraId="7A66AE60"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Income taxes paid</w:t>
            </w:r>
          </w:p>
        </w:tc>
        <w:tc>
          <w:tcPr>
            <w:tcW w:w="1716" w:type="dxa"/>
            <w:tcBorders>
              <w:top w:val="nil"/>
              <w:left w:val="nil"/>
              <w:bottom w:val="single" w:sz="8" w:space="0" w:color="D9D9D9"/>
              <w:right w:val="nil"/>
            </w:tcBorders>
            <w:shd w:val="clear" w:color="auto" w:fill="F2F2F2" w:themeFill="background1" w:themeFillShade="F2"/>
            <w:noWrap/>
            <w:hideMark/>
          </w:tcPr>
          <w:p w14:paraId="503C81A0"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   </w:t>
            </w:r>
          </w:p>
        </w:tc>
        <w:tc>
          <w:tcPr>
            <w:tcW w:w="1697" w:type="dxa"/>
            <w:tcBorders>
              <w:top w:val="nil"/>
              <w:left w:val="single" w:sz="8" w:space="0" w:color="BFBFBF"/>
              <w:bottom w:val="single" w:sz="8" w:space="0" w:color="D9D9D9"/>
              <w:right w:val="single" w:sz="8" w:space="0" w:color="BFBFBF"/>
            </w:tcBorders>
            <w:shd w:val="clear" w:color="000000" w:fill="FFFFFF"/>
            <w:noWrap/>
            <w:hideMark/>
          </w:tcPr>
          <w:p w14:paraId="3C45AE91"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w:t>
            </w:r>
          </w:p>
        </w:tc>
      </w:tr>
      <w:tr w:rsidR="00A51FB9" w:rsidRPr="00DE0914" w14:paraId="5B3CAD70" w14:textId="77777777" w:rsidTr="00B07AD0">
        <w:trPr>
          <w:trHeight w:val="269"/>
        </w:trPr>
        <w:tc>
          <w:tcPr>
            <w:tcW w:w="6275" w:type="dxa"/>
            <w:tcBorders>
              <w:top w:val="single" w:sz="8" w:space="0" w:color="D9D9D9"/>
              <w:bottom w:val="single" w:sz="8" w:space="0" w:color="BFBFBF"/>
              <w:right w:val="single" w:sz="8" w:space="0" w:color="BFBFBF"/>
            </w:tcBorders>
            <w:shd w:val="clear" w:color="auto" w:fill="auto"/>
            <w:vAlign w:val="center"/>
            <w:hideMark/>
          </w:tcPr>
          <w:p w14:paraId="1027DB4C" w14:textId="77777777" w:rsidR="00A51FB9" w:rsidRPr="00DE0914" w:rsidRDefault="00A51FB9" w:rsidP="00B07AD0">
            <w:pPr>
              <w:spacing w:before="20" w:after="20"/>
              <w:rPr>
                <w:rFonts w:ascii="Calibri" w:hAnsi="Calibri" w:cs="Calibri"/>
                <w:b/>
                <w:bCs/>
                <w:color w:val="595959"/>
                <w:kern w:val="0"/>
                <w:sz w:val="22"/>
                <w:szCs w:val="22"/>
                <w:lang w:val="en-GB" w:eastAsia="en-GB"/>
              </w:rPr>
            </w:pPr>
            <w:r w:rsidRPr="00DE0914">
              <w:rPr>
                <w:rFonts w:ascii="Calibri" w:hAnsi="Calibri" w:cs="Calibri"/>
                <w:b/>
                <w:bCs/>
                <w:color w:val="59595B"/>
                <w:kern w:val="0"/>
                <w:sz w:val="22"/>
                <w:szCs w:val="22"/>
                <w:lang w:val="en-GB" w:eastAsia="en-GB"/>
              </w:rPr>
              <w:t>Net cash flows generated from (used in) operating activities</w:t>
            </w:r>
          </w:p>
        </w:tc>
        <w:tc>
          <w:tcPr>
            <w:tcW w:w="1716" w:type="dxa"/>
            <w:tcBorders>
              <w:top w:val="single" w:sz="8" w:space="0" w:color="D9D9D9"/>
              <w:left w:val="nil"/>
              <w:bottom w:val="single" w:sz="8" w:space="0" w:color="BFBFBF"/>
              <w:right w:val="single" w:sz="8" w:space="0" w:color="BFBFBF"/>
            </w:tcBorders>
            <w:shd w:val="clear" w:color="auto" w:fill="F2F2F2" w:themeFill="background1" w:themeFillShade="F2"/>
            <w:noWrap/>
            <w:hideMark/>
          </w:tcPr>
          <w:p w14:paraId="6414B704" w14:textId="11E1404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5.</w:t>
            </w:r>
            <w:r w:rsidR="002D1A22" w:rsidRPr="00DE0914">
              <w:rPr>
                <w:rFonts w:asciiTheme="minorHAnsi" w:hAnsiTheme="minorHAnsi" w:cstheme="minorHAnsi"/>
                <w:b/>
                <w:bCs/>
                <w:color w:val="00679B"/>
                <w:sz w:val="22"/>
                <w:szCs w:val="22"/>
              </w:rPr>
              <w:t>842</w:t>
            </w:r>
          </w:p>
        </w:tc>
        <w:tc>
          <w:tcPr>
            <w:tcW w:w="1697" w:type="dxa"/>
            <w:tcBorders>
              <w:top w:val="single" w:sz="8" w:space="0" w:color="D9D9D9"/>
              <w:left w:val="nil"/>
              <w:bottom w:val="single" w:sz="8" w:space="0" w:color="BFBFBF"/>
              <w:right w:val="single" w:sz="8" w:space="0" w:color="BFBFBF"/>
            </w:tcBorders>
            <w:shd w:val="clear" w:color="000000" w:fill="FFFFFF"/>
            <w:noWrap/>
            <w:hideMark/>
          </w:tcPr>
          <w:p w14:paraId="09BE0E71"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19.710 </w:t>
            </w:r>
          </w:p>
        </w:tc>
      </w:tr>
      <w:tr w:rsidR="00A51FB9" w:rsidRPr="00DE0914" w14:paraId="3288C34D" w14:textId="77777777" w:rsidTr="00B07AD0">
        <w:trPr>
          <w:trHeight w:val="254"/>
        </w:trPr>
        <w:tc>
          <w:tcPr>
            <w:tcW w:w="6275" w:type="dxa"/>
            <w:tcBorders>
              <w:top w:val="nil"/>
              <w:bottom w:val="nil"/>
              <w:right w:val="single" w:sz="8" w:space="0" w:color="BFBFBF"/>
            </w:tcBorders>
            <w:shd w:val="clear" w:color="auto" w:fill="auto"/>
            <w:vAlign w:val="center"/>
            <w:hideMark/>
          </w:tcPr>
          <w:p w14:paraId="41D677DB"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Capital expenditure for property, plant and equipment</w:t>
            </w:r>
          </w:p>
        </w:tc>
        <w:tc>
          <w:tcPr>
            <w:tcW w:w="1716" w:type="dxa"/>
            <w:tcBorders>
              <w:top w:val="nil"/>
              <w:left w:val="nil"/>
              <w:bottom w:val="nil"/>
              <w:right w:val="nil"/>
            </w:tcBorders>
            <w:shd w:val="clear" w:color="auto" w:fill="F2F2F2" w:themeFill="background1" w:themeFillShade="F2"/>
            <w:noWrap/>
            <w:hideMark/>
          </w:tcPr>
          <w:p w14:paraId="5BC0E20D"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(1.618)</w:t>
            </w:r>
          </w:p>
        </w:tc>
        <w:tc>
          <w:tcPr>
            <w:tcW w:w="1697" w:type="dxa"/>
            <w:tcBorders>
              <w:top w:val="nil"/>
              <w:left w:val="single" w:sz="8" w:space="0" w:color="BFBFBF"/>
              <w:bottom w:val="nil"/>
              <w:right w:val="single" w:sz="8" w:space="0" w:color="BFBFBF"/>
            </w:tcBorders>
            <w:shd w:val="clear" w:color="auto" w:fill="auto"/>
            <w:noWrap/>
            <w:hideMark/>
          </w:tcPr>
          <w:p w14:paraId="11ACF03B"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(597)</w:t>
            </w:r>
          </w:p>
        </w:tc>
      </w:tr>
      <w:tr w:rsidR="00A51FB9" w:rsidRPr="00DE0914" w14:paraId="7526DF3F" w14:textId="77777777" w:rsidTr="00B07AD0">
        <w:trPr>
          <w:trHeight w:val="254"/>
        </w:trPr>
        <w:tc>
          <w:tcPr>
            <w:tcW w:w="6275" w:type="dxa"/>
            <w:tcBorders>
              <w:top w:val="nil"/>
              <w:bottom w:val="nil"/>
              <w:right w:val="single" w:sz="8" w:space="0" w:color="BFBFBF"/>
            </w:tcBorders>
            <w:shd w:val="clear" w:color="auto" w:fill="auto"/>
            <w:vAlign w:val="center"/>
            <w:hideMark/>
          </w:tcPr>
          <w:p w14:paraId="43B93FD5"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Investment intangible assets</w:t>
            </w:r>
          </w:p>
        </w:tc>
        <w:tc>
          <w:tcPr>
            <w:tcW w:w="1716" w:type="dxa"/>
            <w:tcBorders>
              <w:top w:val="nil"/>
              <w:left w:val="nil"/>
              <w:bottom w:val="nil"/>
              <w:right w:val="nil"/>
            </w:tcBorders>
            <w:shd w:val="clear" w:color="auto" w:fill="F2F2F2" w:themeFill="background1" w:themeFillShade="F2"/>
            <w:noWrap/>
            <w:hideMark/>
          </w:tcPr>
          <w:p w14:paraId="34D2A692"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(381)   </w:t>
            </w:r>
          </w:p>
        </w:tc>
        <w:tc>
          <w:tcPr>
            <w:tcW w:w="1697" w:type="dxa"/>
            <w:tcBorders>
              <w:top w:val="nil"/>
              <w:left w:val="single" w:sz="8" w:space="0" w:color="BFBFBF"/>
              <w:bottom w:val="nil"/>
              <w:right w:val="single" w:sz="8" w:space="0" w:color="BFBFBF"/>
            </w:tcBorders>
            <w:shd w:val="clear" w:color="auto" w:fill="auto"/>
            <w:noWrap/>
            <w:hideMark/>
          </w:tcPr>
          <w:p w14:paraId="104D00DD"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(190)</w:t>
            </w:r>
          </w:p>
        </w:tc>
      </w:tr>
      <w:tr w:rsidR="00A51FB9" w:rsidRPr="00DE0914" w14:paraId="4AF225F8" w14:textId="77777777" w:rsidTr="00B07AD0">
        <w:trPr>
          <w:trHeight w:val="254"/>
        </w:trPr>
        <w:tc>
          <w:tcPr>
            <w:tcW w:w="6275" w:type="dxa"/>
            <w:tcBorders>
              <w:top w:val="nil"/>
              <w:bottom w:val="nil"/>
              <w:right w:val="single" w:sz="8" w:space="0" w:color="BFBFBF"/>
            </w:tcBorders>
            <w:shd w:val="clear" w:color="auto" w:fill="auto"/>
            <w:vAlign w:val="center"/>
            <w:hideMark/>
          </w:tcPr>
          <w:p w14:paraId="6F4F603B"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Investment associate</w:t>
            </w:r>
          </w:p>
        </w:tc>
        <w:tc>
          <w:tcPr>
            <w:tcW w:w="1716" w:type="dxa"/>
            <w:tcBorders>
              <w:top w:val="nil"/>
              <w:left w:val="nil"/>
              <w:bottom w:val="nil"/>
              <w:right w:val="nil"/>
            </w:tcBorders>
            <w:shd w:val="clear" w:color="auto" w:fill="F2F2F2" w:themeFill="background1" w:themeFillShade="F2"/>
            <w:noWrap/>
            <w:hideMark/>
          </w:tcPr>
          <w:p w14:paraId="532BAA73"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329 </w:t>
            </w:r>
          </w:p>
        </w:tc>
        <w:tc>
          <w:tcPr>
            <w:tcW w:w="1697" w:type="dxa"/>
            <w:tcBorders>
              <w:top w:val="nil"/>
              <w:left w:val="single" w:sz="8" w:space="0" w:color="BFBFBF"/>
              <w:bottom w:val="nil"/>
              <w:right w:val="single" w:sz="8" w:space="0" w:color="BFBFBF"/>
            </w:tcBorders>
            <w:shd w:val="clear" w:color="auto" w:fill="auto"/>
            <w:noWrap/>
            <w:hideMark/>
          </w:tcPr>
          <w:p w14:paraId="4D36D0B9"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7 </w:t>
            </w:r>
          </w:p>
        </w:tc>
      </w:tr>
      <w:tr w:rsidR="00A51FB9" w:rsidRPr="00DE0914" w14:paraId="461D8EE3" w14:textId="77777777" w:rsidTr="00B07AD0">
        <w:trPr>
          <w:trHeight w:val="269"/>
        </w:trPr>
        <w:tc>
          <w:tcPr>
            <w:tcW w:w="6275" w:type="dxa"/>
            <w:tcBorders>
              <w:top w:val="nil"/>
              <w:bottom w:val="single" w:sz="8" w:space="0" w:color="BFBFBF"/>
              <w:right w:val="single" w:sz="8" w:space="0" w:color="BFBFBF"/>
            </w:tcBorders>
            <w:shd w:val="clear" w:color="auto" w:fill="auto"/>
            <w:noWrap/>
            <w:vAlign w:val="bottom"/>
            <w:hideMark/>
          </w:tcPr>
          <w:p w14:paraId="46A76FFD"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Acquisition of license </w:t>
            </w:r>
          </w:p>
        </w:tc>
        <w:tc>
          <w:tcPr>
            <w:tcW w:w="1716" w:type="dxa"/>
            <w:tcBorders>
              <w:top w:val="nil"/>
              <w:left w:val="nil"/>
              <w:bottom w:val="nil"/>
              <w:right w:val="nil"/>
            </w:tcBorders>
            <w:shd w:val="clear" w:color="auto" w:fill="F2F2F2" w:themeFill="background1" w:themeFillShade="F2"/>
            <w:noWrap/>
            <w:hideMark/>
          </w:tcPr>
          <w:p w14:paraId="20800F09"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(452)</w:t>
            </w:r>
          </w:p>
        </w:tc>
        <w:tc>
          <w:tcPr>
            <w:tcW w:w="1697" w:type="dxa"/>
            <w:tcBorders>
              <w:top w:val="nil"/>
              <w:left w:val="single" w:sz="8" w:space="0" w:color="BFBFBF"/>
              <w:bottom w:val="single" w:sz="8" w:space="0" w:color="BFBFBF"/>
              <w:right w:val="single" w:sz="8" w:space="0" w:color="BFBFBF"/>
            </w:tcBorders>
            <w:shd w:val="clear" w:color="auto" w:fill="auto"/>
            <w:noWrap/>
            <w:hideMark/>
          </w:tcPr>
          <w:p w14:paraId="6BCD82BD"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(5.500)</w:t>
            </w:r>
          </w:p>
        </w:tc>
      </w:tr>
      <w:tr w:rsidR="00A51FB9" w:rsidRPr="00DE0914" w14:paraId="3DD6513C" w14:textId="77777777" w:rsidTr="00B07AD0">
        <w:trPr>
          <w:trHeight w:val="269"/>
        </w:trPr>
        <w:tc>
          <w:tcPr>
            <w:tcW w:w="6275" w:type="dxa"/>
            <w:tcBorders>
              <w:top w:val="nil"/>
              <w:bottom w:val="single" w:sz="8" w:space="0" w:color="BFBFBF"/>
              <w:right w:val="single" w:sz="8" w:space="0" w:color="BFBFBF"/>
            </w:tcBorders>
            <w:shd w:val="clear" w:color="auto" w:fill="auto"/>
            <w:vAlign w:val="center"/>
            <w:hideMark/>
          </w:tcPr>
          <w:p w14:paraId="76FF689D" w14:textId="77777777" w:rsidR="00A51FB9" w:rsidRPr="00DE0914" w:rsidRDefault="00A51FB9" w:rsidP="00B07AD0">
            <w:pPr>
              <w:spacing w:before="20" w:after="20"/>
              <w:rPr>
                <w:rFonts w:ascii="Calibri" w:hAnsi="Calibri" w:cs="Calibri"/>
                <w:b/>
                <w:bCs/>
                <w:color w:val="595959"/>
                <w:kern w:val="0"/>
                <w:sz w:val="22"/>
                <w:szCs w:val="22"/>
                <w:lang w:val="en-GB" w:eastAsia="en-GB"/>
              </w:rPr>
            </w:pPr>
            <w:r w:rsidRPr="00DE0914">
              <w:rPr>
                <w:rFonts w:ascii="Calibri" w:hAnsi="Calibri" w:cs="Calibri"/>
                <w:b/>
                <w:bCs/>
                <w:color w:val="59595B"/>
                <w:kern w:val="0"/>
                <w:sz w:val="22"/>
                <w:szCs w:val="22"/>
                <w:lang w:val="en-GB" w:eastAsia="en-GB"/>
              </w:rPr>
              <w:t>Net cash flows used in investing activities</w:t>
            </w:r>
          </w:p>
        </w:tc>
        <w:tc>
          <w:tcPr>
            <w:tcW w:w="1716" w:type="dxa"/>
            <w:tcBorders>
              <w:top w:val="single" w:sz="8" w:space="0" w:color="BFBFBF"/>
              <w:left w:val="nil"/>
              <w:bottom w:val="single" w:sz="8" w:space="0" w:color="BFBFBF"/>
              <w:right w:val="single" w:sz="8" w:space="0" w:color="BFBFBF"/>
            </w:tcBorders>
            <w:shd w:val="clear" w:color="auto" w:fill="F2F2F2" w:themeFill="background1" w:themeFillShade="F2"/>
            <w:noWrap/>
            <w:hideMark/>
          </w:tcPr>
          <w:p w14:paraId="3F5D3A2F"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(2.122)</w:t>
            </w:r>
          </w:p>
        </w:tc>
        <w:tc>
          <w:tcPr>
            <w:tcW w:w="1697" w:type="dxa"/>
            <w:tcBorders>
              <w:top w:val="nil"/>
              <w:left w:val="nil"/>
              <w:bottom w:val="single" w:sz="8" w:space="0" w:color="BFBFBF"/>
              <w:right w:val="single" w:sz="8" w:space="0" w:color="BFBFBF"/>
            </w:tcBorders>
            <w:shd w:val="clear" w:color="000000" w:fill="FFFFFF"/>
            <w:noWrap/>
            <w:hideMark/>
          </w:tcPr>
          <w:p w14:paraId="768DED52"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 (6.280)</w:t>
            </w:r>
          </w:p>
        </w:tc>
      </w:tr>
      <w:tr w:rsidR="00A51FB9" w:rsidRPr="00DE0914" w14:paraId="70A09004" w14:textId="77777777" w:rsidTr="00B07AD0">
        <w:trPr>
          <w:trHeight w:val="254"/>
        </w:trPr>
        <w:tc>
          <w:tcPr>
            <w:tcW w:w="6275" w:type="dxa"/>
            <w:tcBorders>
              <w:top w:val="nil"/>
              <w:bottom w:val="nil"/>
              <w:right w:val="single" w:sz="8" w:space="0" w:color="BFBFBF"/>
            </w:tcBorders>
            <w:shd w:val="clear" w:color="auto" w:fill="auto"/>
            <w:vAlign w:val="center"/>
            <w:hideMark/>
          </w:tcPr>
          <w:p w14:paraId="61F73ABE"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Repayment on loans and borrowings</w:t>
            </w:r>
          </w:p>
        </w:tc>
        <w:tc>
          <w:tcPr>
            <w:tcW w:w="1716" w:type="dxa"/>
            <w:tcBorders>
              <w:top w:val="nil"/>
              <w:left w:val="nil"/>
              <w:bottom w:val="nil"/>
              <w:right w:val="single" w:sz="8" w:space="0" w:color="BFBFBF"/>
            </w:tcBorders>
            <w:shd w:val="clear" w:color="auto" w:fill="F2F2F2" w:themeFill="background1" w:themeFillShade="F2"/>
            <w:noWrap/>
            <w:hideMark/>
          </w:tcPr>
          <w:p w14:paraId="649583F5"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   </w:t>
            </w:r>
          </w:p>
        </w:tc>
        <w:tc>
          <w:tcPr>
            <w:tcW w:w="1697" w:type="dxa"/>
            <w:tcBorders>
              <w:top w:val="nil"/>
              <w:left w:val="nil"/>
              <w:bottom w:val="nil"/>
              <w:right w:val="single" w:sz="8" w:space="0" w:color="BFBFBF"/>
            </w:tcBorders>
            <w:shd w:val="clear" w:color="auto" w:fill="auto"/>
            <w:noWrap/>
            <w:hideMark/>
          </w:tcPr>
          <w:p w14:paraId="56F42E49"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(49.742)</w:t>
            </w:r>
          </w:p>
        </w:tc>
      </w:tr>
      <w:tr w:rsidR="00A51FB9" w:rsidRPr="00DE0914" w14:paraId="58185BD1" w14:textId="77777777" w:rsidTr="00B07AD0">
        <w:trPr>
          <w:trHeight w:val="254"/>
        </w:trPr>
        <w:tc>
          <w:tcPr>
            <w:tcW w:w="6275" w:type="dxa"/>
            <w:tcBorders>
              <w:top w:val="nil"/>
              <w:bottom w:val="nil"/>
              <w:right w:val="single" w:sz="8" w:space="0" w:color="BFBFBF"/>
            </w:tcBorders>
            <w:shd w:val="clear" w:color="auto" w:fill="auto"/>
            <w:vAlign w:val="center"/>
            <w:hideMark/>
          </w:tcPr>
          <w:p w14:paraId="5AC1E010"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Payment on contingent consideration</w:t>
            </w:r>
          </w:p>
        </w:tc>
        <w:tc>
          <w:tcPr>
            <w:tcW w:w="1716" w:type="dxa"/>
            <w:tcBorders>
              <w:top w:val="nil"/>
              <w:left w:val="nil"/>
              <w:bottom w:val="nil"/>
              <w:right w:val="single" w:sz="8" w:space="0" w:color="BFBFBF"/>
            </w:tcBorders>
            <w:shd w:val="clear" w:color="auto" w:fill="F2F2F2" w:themeFill="background1" w:themeFillShade="F2"/>
            <w:noWrap/>
            <w:hideMark/>
          </w:tcPr>
          <w:p w14:paraId="5ABDB455"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   </w:t>
            </w:r>
          </w:p>
        </w:tc>
        <w:tc>
          <w:tcPr>
            <w:tcW w:w="1697" w:type="dxa"/>
            <w:tcBorders>
              <w:top w:val="nil"/>
              <w:left w:val="nil"/>
              <w:bottom w:val="nil"/>
              <w:right w:val="single" w:sz="8" w:space="0" w:color="BFBFBF"/>
            </w:tcBorders>
            <w:shd w:val="clear" w:color="auto" w:fill="auto"/>
            <w:noWrap/>
            <w:hideMark/>
          </w:tcPr>
          <w:p w14:paraId="3ABBF7A6"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(18.135)</w:t>
            </w:r>
          </w:p>
        </w:tc>
      </w:tr>
      <w:tr w:rsidR="00A51FB9" w:rsidRPr="00DE0914" w14:paraId="52317A2F" w14:textId="77777777" w:rsidTr="00B07AD0">
        <w:trPr>
          <w:trHeight w:val="254"/>
        </w:trPr>
        <w:tc>
          <w:tcPr>
            <w:tcW w:w="6275" w:type="dxa"/>
            <w:tcBorders>
              <w:top w:val="nil"/>
              <w:bottom w:val="nil"/>
              <w:right w:val="single" w:sz="8" w:space="0" w:color="BFBFBF"/>
            </w:tcBorders>
            <w:shd w:val="clear" w:color="auto" w:fill="auto"/>
            <w:vAlign w:val="center"/>
            <w:hideMark/>
          </w:tcPr>
          <w:p w14:paraId="398749D3"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Payment of lease liabilities</w:t>
            </w:r>
          </w:p>
        </w:tc>
        <w:tc>
          <w:tcPr>
            <w:tcW w:w="1716" w:type="dxa"/>
            <w:tcBorders>
              <w:top w:val="nil"/>
              <w:left w:val="nil"/>
              <w:bottom w:val="nil"/>
              <w:right w:val="single" w:sz="8" w:space="0" w:color="BFBFBF"/>
            </w:tcBorders>
            <w:shd w:val="clear" w:color="auto" w:fill="F2F2F2" w:themeFill="background1" w:themeFillShade="F2"/>
            <w:noWrap/>
            <w:hideMark/>
          </w:tcPr>
          <w:p w14:paraId="162808E2"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(458)</w:t>
            </w:r>
          </w:p>
        </w:tc>
        <w:tc>
          <w:tcPr>
            <w:tcW w:w="1697" w:type="dxa"/>
            <w:tcBorders>
              <w:top w:val="nil"/>
              <w:left w:val="nil"/>
              <w:bottom w:val="nil"/>
              <w:right w:val="single" w:sz="8" w:space="0" w:color="BFBFBF"/>
            </w:tcBorders>
            <w:shd w:val="clear" w:color="auto" w:fill="auto"/>
            <w:noWrap/>
            <w:hideMark/>
          </w:tcPr>
          <w:p w14:paraId="18E988CA"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(475)</w:t>
            </w:r>
          </w:p>
        </w:tc>
      </w:tr>
      <w:tr w:rsidR="00A51FB9" w:rsidRPr="00DE0914" w14:paraId="0279412F" w14:textId="77777777" w:rsidTr="00B07AD0">
        <w:trPr>
          <w:trHeight w:val="254"/>
        </w:trPr>
        <w:tc>
          <w:tcPr>
            <w:tcW w:w="6275" w:type="dxa"/>
            <w:tcBorders>
              <w:top w:val="nil"/>
              <w:bottom w:val="nil"/>
              <w:right w:val="single" w:sz="8" w:space="0" w:color="BFBFBF"/>
            </w:tcBorders>
            <w:shd w:val="clear" w:color="auto" w:fill="auto"/>
            <w:vAlign w:val="center"/>
            <w:hideMark/>
          </w:tcPr>
          <w:p w14:paraId="4F293DE2"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Proceeds of issued convertible bonds</w:t>
            </w:r>
          </w:p>
        </w:tc>
        <w:tc>
          <w:tcPr>
            <w:tcW w:w="1716" w:type="dxa"/>
            <w:tcBorders>
              <w:top w:val="nil"/>
              <w:left w:val="nil"/>
              <w:bottom w:val="nil"/>
              <w:right w:val="single" w:sz="8" w:space="0" w:color="BFBFBF"/>
            </w:tcBorders>
            <w:shd w:val="clear" w:color="auto" w:fill="F2F2F2" w:themeFill="background1" w:themeFillShade="F2"/>
            <w:noWrap/>
            <w:hideMark/>
          </w:tcPr>
          <w:p w14:paraId="7C37D4A6"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   </w:t>
            </w:r>
          </w:p>
        </w:tc>
        <w:tc>
          <w:tcPr>
            <w:tcW w:w="1697" w:type="dxa"/>
            <w:tcBorders>
              <w:top w:val="nil"/>
              <w:left w:val="nil"/>
              <w:bottom w:val="nil"/>
              <w:right w:val="single" w:sz="8" w:space="0" w:color="BFBFBF"/>
            </w:tcBorders>
            <w:shd w:val="clear" w:color="auto" w:fill="auto"/>
            <w:noWrap/>
            <w:hideMark/>
          </w:tcPr>
          <w:p w14:paraId="04E5E470" w14:textId="36A987BC"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12</w:t>
            </w:r>
            <w:r w:rsidR="0010303E" w:rsidRPr="00DE0914">
              <w:rPr>
                <w:rFonts w:asciiTheme="minorHAnsi" w:hAnsiTheme="minorHAnsi" w:cstheme="minorHAnsi"/>
                <w:color w:val="59595B"/>
                <w:sz w:val="22"/>
                <w:szCs w:val="22"/>
              </w:rPr>
              <w:t>5.000</w:t>
            </w:r>
          </w:p>
        </w:tc>
      </w:tr>
      <w:tr w:rsidR="00A51FB9" w:rsidRPr="00DE0914" w14:paraId="54A9A404" w14:textId="77777777" w:rsidTr="00B07AD0">
        <w:trPr>
          <w:trHeight w:val="254"/>
        </w:trPr>
        <w:tc>
          <w:tcPr>
            <w:tcW w:w="6275" w:type="dxa"/>
            <w:tcBorders>
              <w:top w:val="nil"/>
              <w:bottom w:val="nil"/>
              <w:right w:val="single" w:sz="8" w:space="0" w:color="BFBFBF"/>
            </w:tcBorders>
            <w:shd w:val="clear" w:color="auto" w:fill="auto"/>
            <w:vAlign w:val="center"/>
            <w:hideMark/>
          </w:tcPr>
          <w:p w14:paraId="00C646CD"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Transaction costs related to issued convertible bond</w:t>
            </w:r>
          </w:p>
        </w:tc>
        <w:tc>
          <w:tcPr>
            <w:tcW w:w="1716" w:type="dxa"/>
            <w:tcBorders>
              <w:top w:val="nil"/>
              <w:left w:val="nil"/>
              <w:bottom w:val="nil"/>
              <w:right w:val="single" w:sz="8" w:space="0" w:color="BFBFBF"/>
            </w:tcBorders>
            <w:shd w:val="clear" w:color="auto" w:fill="F2F2F2" w:themeFill="background1" w:themeFillShade="F2"/>
            <w:noWrap/>
            <w:hideMark/>
          </w:tcPr>
          <w:p w14:paraId="5196C5B8" w14:textId="77777777" w:rsidR="00A51FB9" w:rsidRPr="00DE0914" w:rsidRDefault="00A51FB9" w:rsidP="00B07AD0">
            <w:pPr>
              <w:spacing w:before="20" w:after="20"/>
              <w:rPr>
                <w:rFonts w:asciiTheme="minorHAnsi" w:hAnsiTheme="minorHAnsi" w:cstheme="minorHAnsi"/>
                <w:color w:val="00679B"/>
                <w:kern w:val="0"/>
                <w:sz w:val="22"/>
                <w:szCs w:val="22"/>
                <w:lang w:val="en-GB" w:eastAsia="en-GB"/>
              </w:rPr>
            </w:pPr>
            <w:r w:rsidRPr="00DE0914">
              <w:rPr>
                <w:rFonts w:asciiTheme="minorHAnsi" w:hAnsiTheme="minorHAnsi" w:cstheme="minorHAnsi"/>
                <w:color w:val="00679B"/>
                <w:sz w:val="22"/>
                <w:szCs w:val="22"/>
              </w:rPr>
              <w:t xml:space="preserve">-   </w:t>
            </w:r>
          </w:p>
        </w:tc>
        <w:tc>
          <w:tcPr>
            <w:tcW w:w="1697" w:type="dxa"/>
            <w:tcBorders>
              <w:top w:val="nil"/>
              <w:left w:val="nil"/>
              <w:bottom w:val="nil"/>
              <w:right w:val="single" w:sz="8" w:space="0" w:color="BFBFBF"/>
            </w:tcBorders>
            <w:shd w:val="clear" w:color="auto" w:fill="auto"/>
            <w:noWrap/>
            <w:hideMark/>
          </w:tcPr>
          <w:p w14:paraId="202C0ADE" w14:textId="5A48682A" w:rsidR="00A51FB9" w:rsidRPr="00DE0914" w:rsidRDefault="0010303E" w:rsidP="00B07AD0">
            <w:pPr>
              <w:spacing w:before="20" w:after="20"/>
              <w:rPr>
                <w:rFonts w:asciiTheme="minorHAnsi" w:hAnsiTheme="minorHAnsi" w:cstheme="minorHAnsi"/>
                <w:color w:val="59595B"/>
                <w:kern w:val="0"/>
                <w:sz w:val="22"/>
                <w:szCs w:val="22"/>
                <w:lang w:val="en-GB" w:eastAsia="en-GB"/>
              </w:rPr>
            </w:pPr>
            <w:r w:rsidRPr="00DE0914">
              <w:rPr>
                <w:rFonts w:asciiTheme="minorHAnsi" w:hAnsiTheme="minorHAnsi" w:cstheme="minorHAnsi"/>
                <w:color w:val="59595B"/>
                <w:kern w:val="0"/>
                <w:sz w:val="22"/>
                <w:szCs w:val="22"/>
                <w:lang w:val="en-GB" w:eastAsia="en-GB"/>
              </w:rPr>
              <w:t>(2.318)</w:t>
            </w:r>
          </w:p>
        </w:tc>
      </w:tr>
      <w:tr w:rsidR="00A51FB9" w:rsidRPr="00DE0914" w14:paraId="3ABD0F88" w14:textId="77777777" w:rsidTr="00B07AD0">
        <w:trPr>
          <w:trHeight w:val="254"/>
        </w:trPr>
        <w:tc>
          <w:tcPr>
            <w:tcW w:w="6275" w:type="dxa"/>
            <w:tcBorders>
              <w:top w:val="nil"/>
              <w:bottom w:val="nil"/>
              <w:right w:val="single" w:sz="8" w:space="0" w:color="BFBFBF"/>
            </w:tcBorders>
            <w:shd w:val="clear" w:color="auto" w:fill="auto"/>
            <w:vAlign w:val="center"/>
            <w:hideMark/>
          </w:tcPr>
          <w:p w14:paraId="0B05FE3B"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Interests on loans</w:t>
            </w:r>
          </w:p>
        </w:tc>
        <w:tc>
          <w:tcPr>
            <w:tcW w:w="1716" w:type="dxa"/>
            <w:tcBorders>
              <w:top w:val="nil"/>
              <w:left w:val="nil"/>
              <w:bottom w:val="nil"/>
              <w:right w:val="single" w:sz="8" w:space="0" w:color="BFBFBF"/>
            </w:tcBorders>
            <w:shd w:val="clear" w:color="auto" w:fill="F2F2F2" w:themeFill="background1" w:themeFillShade="F2"/>
            <w:noWrap/>
            <w:hideMark/>
          </w:tcPr>
          <w:p w14:paraId="7FF6C990"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(1.875)</w:t>
            </w:r>
          </w:p>
        </w:tc>
        <w:tc>
          <w:tcPr>
            <w:tcW w:w="1697" w:type="dxa"/>
            <w:tcBorders>
              <w:top w:val="nil"/>
              <w:left w:val="nil"/>
              <w:bottom w:val="nil"/>
              <w:right w:val="single" w:sz="8" w:space="0" w:color="BFBFBF"/>
            </w:tcBorders>
            <w:shd w:val="clear" w:color="auto" w:fill="auto"/>
            <w:noWrap/>
            <w:hideMark/>
          </w:tcPr>
          <w:p w14:paraId="399F98FE" w14:textId="799DB371"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(346)</w:t>
            </w:r>
          </w:p>
        </w:tc>
      </w:tr>
      <w:tr w:rsidR="00A51FB9" w:rsidRPr="00DE0914" w14:paraId="4BC646DE" w14:textId="77777777" w:rsidTr="00B07AD0">
        <w:trPr>
          <w:trHeight w:val="254"/>
        </w:trPr>
        <w:tc>
          <w:tcPr>
            <w:tcW w:w="6275" w:type="dxa"/>
            <w:tcBorders>
              <w:top w:val="nil"/>
              <w:bottom w:val="nil"/>
              <w:right w:val="nil"/>
            </w:tcBorders>
            <w:shd w:val="clear" w:color="auto" w:fill="auto"/>
            <w:vAlign w:val="center"/>
            <w:hideMark/>
          </w:tcPr>
          <w:p w14:paraId="0209A449"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Interests on leases</w:t>
            </w:r>
          </w:p>
        </w:tc>
        <w:tc>
          <w:tcPr>
            <w:tcW w:w="1716" w:type="dxa"/>
            <w:tcBorders>
              <w:top w:val="nil"/>
              <w:left w:val="single" w:sz="8" w:space="0" w:color="BFBFBF"/>
              <w:bottom w:val="nil"/>
              <w:right w:val="single" w:sz="8" w:space="0" w:color="BFBFBF"/>
            </w:tcBorders>
            <w:shd w:val="clear" w:color="auto" w:fill="F2F2F2" w:themeFill="background1" w:themeFillShade="F2"/>
            <w:noWrap/>
            <w:hideMark/>
          </w:tcPr>
          <w:p w14:paraId="46F029C2"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(194)</w:t>
            </w:r>
          </w:p>
        </w:tc>
        <w:tc>
          <w:tcPr>
            <w:tcW w:w="1697" w:type="dxa"/>
            <w:tcBorders>
              <w:top w:val="nil"/>
              <w:left w:val="nil"/>
              <w:bottom w:val="nil"/>
              <w:right w:val="single" w:sz="8" w:space="0" w:color="BFBFBF"/>
            </w:tcBorders>
            <w:shd w:val="clear" w:color="auto" w:fill="auto"/>
            <w:noWrap/>
            <w:hideMark/>
          </w:tcPr>
          <w:p w14:paraId="067EDBE3"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   </w:t>
            </w:r>
          </w:p>
        </w:tc>
      </w:tr>
      <w:tr w:rsidR="00A51FB9" w:rsidRPr="00DE0914" w14:paraId="2BBE5929" w14:textId="77777777" w:rsidTr="00B07AD0">
        <w:trPr>
          <w:trHeight w:val="269"/>
        </w:trPr>
        <w:tc>
          <w:tcPr>
            <w:tcW w:w="6275" w:type="dxa"/>
            <w:tcBorders>
              <w:top w:val="nil"/>
              <w:bottom w:val="single" w:sz="8" w:space="0" w:color="BFBFBF"/>
              <w:right w:val="single" w:sz="8" w:space="0" w:color="BFBFBF"/>
            </w:tcBorders>
            <w:shd w:val="clear" w:color="auto" w:fill="auto"/>
            <w:noWrap/>
            <w:vAlign w:val="bottom"/>
            <w:hideMark/>
          </w:tcPr>
          <w:p w14:paraId="10997D5B"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 xml:space="preserve">Proceeds of equity and warrants </w:t>
            </w:r>
          </w:p>
        </w:tc>
        <w:tc>
          <w:tcPr>
            <w:tcW w:w="1716" w:type="dxa"/>
            <w:tcBorders>
              <w:top w:val="nil"/>
              <w:left w:val="nil"/>
              <w:bottom w:val="nil"/>
              <w:right w:val="single" w:sz="8" w:space="0" w:color="BFBFBF"/>
            </w:tcBorders>
            <w:shd w:val="clear" w:color="auto" w:fill="F2F2F2" w:themeFill="background1" w:themeFillShade="F2"/>
            <w:noWrap/>
            <w:hideMark/>
          </w:tcPr>
          <w:p w14:paraId="6B6AC334" w14:textId="470FB5F2" w:rsidR="00A51FB9" w:rsidRPr="00DE0914" w:rsidRDefault="002D1A22"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557</w:t>
            </w:r>
          </w:p>
        </w:tc>
        <w:tc>
          <w:tcPr>
            <w:tcW w:w="1697" w:type="dxa"/>
            <w:tcBorders>
              <w:top w:val="nil"/>
              <w:left w:val="nil"/>
              <w:bottom w:val="single" w:sz="8" w:space="0" w:color="BFBFBF"/>
              <w:right w:val="single" w:sz="8" w:space="0" w:color="BFBFBF"/>
            </w:tcBorders>
            <w:shd w:val="clear" w:color="auto" w:fill="auto"/>
            <w:noWrap/>
            <w:hideMark/>
          </w:tcPr>
          <w:p w14:paraId="79CF961A"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495 </w:t>
            </w:r>
          </w:p>
        </w:tc>
      </w:tr>
      <w:tr w:rsidR="00A51FB9" w:rsidRPr="00DE0914" w14:paraId="2BF1FBC4" w14:textId="77777777" w:rsidTr="00B07AD0">
        <w:trPr>
          <w:trHeight w:val="269"/>
        </w:trPr>
        <w:tc>
          <w:tcPr>
            <w:tcW w:w="6275" w:type="dxa"/>
            <w:tcBorders>
              <w:top w:val="nil"/>
              <w:bottom w:val="single" w:sz="8" w:space="0" w:color="BFBFBF"/>
              <w:right w:val="single" w:sz="8" w:space="0" w:color="BFBFBF"/>
            </w:tcBorders>
            <w:shd w:val="clear" w:color="auto" w:fill="auto"/>
            <w:vAlign w:val="center"/>
            <w:hideMark/>
          </w:tcPr>
          <w:p w14:paraId="406F3B28" w14:textId="77777777" w:rsidR="00A51FB9" w:rsidRPr="00DE0914" w:rsidRDefault="00A51FB9"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Net cash flows generated from (used in) financing activities</w:t>
            </w:r>
          </w:p>
        </w:tc>
        <w:tc>
          <w:tcPr>
            <w:tcW w:w="1716" w:type="dxa"/>
            <w:tcBorders>
              <w:top w:val="single" w:sz="8" w:space="0" w:color="BFBFBF"/>
              <w:left w:val="nil"/>
              <w:bottom w:val="single" w:sz="8" w:space="0" w:color="BFBFBF"/>
              <w:right w:val="single" w:sz="8" w:space="0" w:color="BFBFBF"/>
            </w:tcBorders>
            <w:shd w:val="clear" w:color="auto" w:fill="F2F2F2" w:themeFill="background1" w:themeFillShade="F2"/>
            <w:noWrap/>
            <w:hideMark/>
          </w:tcPr>
          <w:p w14:paraId="063D4F64"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(1.972)</w:t>
            </w:r>
          </w:p>
        </w:tc>
        <w:tc>
          <w:tcPr>
            <w:tcW w:w="1697" w:type="dxa"/>
            <w:tcBorders>
              <w:top w:val="nil"/>
              <w:left w:val="nil"/>
              <w:bottom w:val="single" w:sz="8" w:space="0" w:color="BFBFBF"/>
              <w:right w:val="single" w:sz="8" w:space="0" w:color="BFBFBF"/>
            </w:tcBorders>
            <w:shd w:val="clear" w:color="000000" w:fill="FFFFFF"/>
            <w:noWrap/>
            <w:hideMark/>
          </w:tcPr>
          <w:p w14:paraId="791B6B58"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54.479 </w:t>
            </w:r>
          </w:p>
        </w:tc>
      </w:tr>
      <w:tr w:rsidR="00A51FB9" w:rsidRPr="00DE0914" w14:paraId="4BD940CA" w14:textId="77777777" w:rsidTr="00B07AD0">
        <w:trPr>
          <w:trHeight w:val="254"/>
        </w:trPr>
        <w:tc>
          <w:tcPr>
            <w:tcW w:w="6275" w:type="dxa"/>
            <w:tcBorders>
              <w:top w:val="nil"/>
              <w:bottom w:val="nil"/>
              <w:right w:val="single" w:sz="8" w:space="0" w:color="BFBFBF"/>
            </w:tcBorders>
            <w:shd w:val="clear" w:color="auto" w:fill="auto"/>
            <w:vAlign w:val="center"/>
            <w:hideMark/>
          </w:tcPr>
          <w:p w14:paraId="7D545E26" w14:textId="77777777" w:rsidR="00A51FB9" w:rsidRPr="00DE0914" w:rsidRDefault="00A51FB9" w:rsidP="00B07AD0">
            <w:pPr>
              <w:spacing w:before="20" w:after="20"/>
              <w:rPr>
                <w:rFonts w:ascii="Calibri" w:hAnsi="Calibri" w:cs="Calibri"/>
                <w:b/>
                <w:bCs/>
                <w:color w:val="59595B"/>
                <w:kern w:val="0"/>
                <w:sz w:val="22"/>
                <w:szCs w:val="22"/>
                <w:lang w:val="en-GB" w:eastAsia="en-GB"/>
              </w:rPr>
            </w:pPr>
            <w:r w:rsidRPr="00DE0914">
              <w:rPr>
                <w:rFonts w:ascii="Calibri" w:hAnsi="Calibri" w:cs="Calibri"/>
                <w:b/>
                <w:bCs/>
                <w:color w:val="59595B"/>
                <w:kern w:val="0"/>
                <w:sz w:val="22"/>
                <w:szCs w:val="22"/>
                <w:lang w:val="en-GB" w:eastAsia="en-GB"/>
              </w:rPr>
              <w:t>Increase (decrease) of cash</w:t>
            </w:r>
          </w:p>
        </w:tc>
        <w:tc>
          <w:tcPr>
            <w:tcW w:w="1716" w:type="dxa"/>
            <w:tcBorders>
              <w:top w:val="nil"/>
              <w:left w:val="nil"/>
              <w:bottom w:val="nil"/>
              <w:right w:val="single" w:sz="8" w:space="0" w:color="BFBFBF"/>
            </w:tcBorders>
            <w:shd w:val="clear" w:color="auto" w:fill="F2F2F2" w:themeFill="background1" w:themeFillShade="F2"/>
            <w:noWrap/>
            <w:hideMark/>
          </w:tcPr>
          <w:p w14:paraId="28ACD0BE"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1.751 </w:t>
            </w:r>
          </w:p>
        </w:tc>
        <w:tc>
          <w:tcPr>
            <w:tcW w:w="1697" w:type="dxa"/>
            <w:tcBorders>
              <w:top w:val="nil"/>
              <w:left w:val="nil"/>
              <w:bottom w:val="nil"/>
              <w:right w:val="single" w:sz="8" w:space="0" w:color="BFBFBF"/>
            </w:tcBorders>
            <w:shd w:val="clear" w:color="000000" w:fill="FFFFFF"/>
            <w:noWrap/>
            <w:hideMark/>
          </w:tcPr>
          <w:p w14:paraId="08D0C319"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67.909 </w:t>
            </w:r>
          </w:p>
        </w:tc>
      </w:tr>
      <w:tr w:rsidR="00A51FB9" w:rsidRPr="00DE0914" w14:paraId="532F7745" w14:textId="77777777" w:rsidTr="00B07AD0">
        <w:trPr>
          <w:trHeight w:val="254"/>
        </w:trPr>
        <w:tc>
          <w:tcPr>
            <w:tcW w:w="6275" w:type="dxa"/>
            <w:tcBorders>
              <w:top w:val="nil"/>
              <w:bottom w:val="nil"/>
              <w:right w:val="single" w:sz="8" w:space="0" w:color="BFBFBF"/>
            </w:tcBorders>
            <w:shd w:val="clear" w:color="auto" w:fill="auto"/>
            <w:vAlign w:val="center"/>
            <w:hideMark/>
          </w:tcPr>
          <w:p w14:paraId="689773C0"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Exchange rate effects</w:t>
            </w:r>
          </w:p>
        </w:tc>
        <w:tc>
          <w:tcPr>
            <w:tcW w:w="1716" w:type="dxa"/>
            <w:tcBorders>
              <w:top w:val="nil"/>
              <w:left w:val="nil"/>
              <w:bottom w:val="nil"/>
              <w:right w:val="single" w:sz="8" w:space="0" w:color="BFBFBF"/>
            </w:tcBorders>
            <w:shd w:val="clear" w:color="auto" w:fill="F2F2F2" w:themeFill="background1" w:themeFillShade="F2"/>
            <w:noWrap/>
            <w:hideMark/>
          </w:tcPr>
          <w:p w14:paraId="15407BF2"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7.122 </w:t>
            </w:r>
          </w:p>
        </w:tc>
        <w:tc>
          <w:tcPr>
            <w:tcW w:w="1697" w:type="dxa"/>
            <w:tcBorders>
              <w:top w:val="nil"/>
              <w:left w:val="nil"/>
              <w:bottom w:val="nil"/>
              <w:right w:val="single" w:sz="8" w:space="0" w:color="BFBFBF"/>
            </w:tcBorders>
            <w:shd w:val="clear" w:color="000000" w:fill="FFFFFF"/>
            <w:noWrap/>
            <w:hideMark/>
          </w:tcPr>
          <w:p w14:paraId="65DFBBAB" w14:textId="68F136C9"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(374)</w:t>
            </w:r>
          </w:p>
        </w:tc>
      </w:tr>
      <w:tr w:rsidR="00A51FB9" w:rsidRPr="00DE0914" w14:paraId="3904A903" w14:textId="77777777" w:rsidTr="00B07AD0">
        <w:trPr>
          <w:trHeight w:val="254"/>
        </w:trPr>
        <w:tc>
          <w:tcPr>
            <w:tcW w:w="6275" w:type="dxa"/>
            <w:tcBorders>
              <w:top w:val="nil"/>
              <w:bottom w:val="single" w:sz="8" w:space="0" w:color="D9D9D9"/>
              <w:right w:val="single" w:sz="8" w:space="0" w:color="BFBFBF"/>
            </w:tcBorders>
            <w:shd w:val="clear" w:color="auto" w:fill="auto"/>
            <w:vAlign w:val="center"/>
            <w:hideMark/>
          </w:tcPr>
          <w:p w14:paraId="5EFF7E56" w14:textId="77777777" w:rsidR="00A51FB9" w:rsidRPr="00DE0914" w:rsidRDefault="00A51FB9" w:rsidP="00B07AD0">
            <w:pPr>
              <w:spacing w:before="20" w:after="20"/>
              <w:rPr>
                <w:rFonts w:ascii="Calibri" w:hAnsi="Calibri" w:cs="Calibri"/>
                <w:color w:val="59595B"/>
                <w:kern w:val="0"/>
                <w:sz w:val="22"/>
                <w:szCs w:val="22"/>
                <w:lang w:val="en-GB" w:eastAsia="en-GB"/>
              </w:rPr>
            </w:pPr>
            <w:r w:rsidRPr="00DE0914">
              <w:rPr>
                <w:rFonts w:ascii="Calibri" w:hAnsi="Calibri" w:cs="Calibri"/>
                <w:color w:val="59595B"/>
                <w:kern w:val="0"/>
                <w:sz w:val="22"/>
                <w:szCs w:val="22"/>
                <w:lang w:val="en-GB" w:eastAsia="en-GB"/>
              </w:rPr>
              <w:t>Cash and cash equivalents at 1 January</w:t>
            </w:r>
          </w:p>
        </w:tc>
        <w:tc>
          <w:tcPr>
            <w:tcW w:w="1716" w:type="dxa"/>
            <w:tcBorders>
              <w:top w:val="nil"/>
              <w:left w:val="nil"/>
              <w:bottom w:val="single" w:sz="8" w:space="0" w:color="D9D9D9"/>
              <w:right w:val="single" w:sz="8" w:space="0" w:color="BFBFBF"/>
            </w:tcBorders>
            <w:shd w:val="clear" w:color="auto" w:fill="F2F2F2" w:themeFill="background1" w:themeFillShade="F2"/>
            <w:noWrap/>
            <w:hideMark/>
          </w:tcPr>
          <w:p w14:paraId="0A9E9524"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color w:val="00679B"/>
                <w:sz w:val="22"/>
                <w:szCs w:val="22"/>
              </w:rPr>
              <w:t xml:space="preserve">167.068 </w:t>
            </w:r>
          </w:p>
        </w:tc>
        <w:tc>
          <w:tcPr>
            <w:tcW w:w="1697" w:type="dxa"/>
            <w:tcBorders>
              <w:top w:val="nil"/>
              <w:left w:val="nil"/>
              <w:bottom w:val="single" w:sz="8" w:space="0" w:color="D9D9D9"/>
              <w:right w:val="single" w:sz="8" w:space="0" w:color="BFBFBF"/>
            </w:tcBorders>
            <w:shd w:val="clear" w:color="000000" w:fill="FFFFFF"/>
            <w:noWrap/>
            <w:hideMark/>
          </w:tcPr>
          <w:p w14:paraId="00CC4F23"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color w:val="59595B"/>
                <w:sz w:val="22"/>
                <w:szCs w:val="22"/>
              </w:rPr>
              <w:t xml:space="preserve">66.299 </w:t>
            </w:r>
          </w:p>
        </w:tc>
      </w:tr>
      <w:tr w:rsidR="00A51FB9" w:rsidRPr="00DE0914" w14:paraId="1C562ACC" w14:textId="77777777" w:rsidTr="00B07AD0">
        <w:trPr>
          <w:trHeight w:val="269"/>
        </w:trPr>
        <w:tc>
          <w:tcPr>
            <w:tcW w:w="6275" w:type="dxa"/>
            <w:tcBorders>
              <w:top w:val="single" w:sz="8" w:space="0" w:color="D9D9D9"/>
              <w:bottom w:val="single" w:sz="8" w:space="0" w:color="BFBFBF"/>
              <w:right w:val="single" w:sz="8" w:space="0" w:color="BFBFBF"/>
            </w:tcBorders>
            <w:shd w:val="clear" w:color="auto" w:fill="F2F2F2" w:themeFill="background1" w:themeFillShade="F2"/>
            <w:vAlign w:val="center"/>
            <w:hideMark/>
          </w:tcPr>
          <w:p w14:paraId="02D4B3E2" w14:textId="77777777" w:rsidR="00A51FB9" w:rsidRPr="00DE0914" w:rsidRDefault="00A51FB9" w:rsidP="00B07AD0">
            <w:pPr>
              <w:spacing w:before="20" w:after="20"/>
              <w:rPr>
                <w:rFonts w:ascii="Calibri" w:hAnsi="Calibri" w:cs="Calibri"/>
                <w:b/>
                <w:bCs/>
                <w:color w:val="595959"/>
                <w:kern w:val="0"/>
                <w:sz w:val="22"/>
                <w:szCs w:val="22"/>
                <w:lang w:val="en-GB" w:eastAsia="en-GB"/>
              </w:rPr>
            </w:pPr>
            <w:r w:rsidRPr="00DE0914">
              <w:rPr>
                <w:rFonts w:ascii="Calibri" w:hAnsi="Calibri" w:cs="Calibri"/>
                <w:b/>
                <w:bCs/>
                <w:color w:val="59595B"/>
                <w:kern w:val="0"/>
                <w:sz w:val="22"/>
                <w:szCs w:val="22"/>
                <w:lang w:val="en-GB" w:eastAsia="en-GB"/>
              </w:rPr>
              <w:t>Total cash and cash equivalents at 31 March</w:t>
            </w:r>
          </w:p>
        </w:tc>
        <w:tc>
          <w:tcPr>
            <w:tcW w:w="1716" w:type="dxa"/>
            <w:tcBorders>
              <w:top w:val="single" w:sz="8" w:space="0" w:color="D9D9D9"/>
              <w:left w:val="nil"/>
              <w:bottom w:val="single" w:sz="8" w:space="0" w:color="BFBFBF"/>
              <w:right w:val="single" w:sz="8" w:space="0" w:color="BFBFBF"/>
            </w:tcBorders>
            <w:shd w:val="clear" w:color="auto" w:fill="F2F2F2" w:themeFill="background1" w:themeFillShade="F2"/>
            <w:noWrap/>
            <w:hideMark/>
          </w:tcPr>
          <w:p w14:paraId="3505913C" w14:textId="77777777" w:rsidR="00A51FB9" w:rsidRPr="00DE0914" w:rsidRDefault="00A51FB9" w:rsidP="00B07AD0">
            <w:pPr>
              <w:spacing w:before="20" w:after="20"/>
              <w:rPr>
                <w:rFonts w:asciiTheme="minorHAnsi" w:hAnsiTheme="minorHAnsi" w:cstheme="minorHAnsi"/>
                <w:b/>
                <w:bCs/>
                <w:color w:val="00679B"/>
                <w:kern w:val="0"/>
                <w:sz w:val="22"/>
                <w:szCs w:val="22"/>
                <w:lang w:val="en-GB" w:eastAsia="en-GB"/>
              </w:rPr>
            </w:pPr>
            <w:r w:rsidRPr="00DE0914">
              <w:rPr>
                <w:rFonts w:asciiTheme="minorHAnsi" w:hAnsiTheme="minorHAnsi" w:cstheme="minorHAnsi"/>
                <w:b/>
                <w:bCs/>
                <w:color w:val="00679B"/>
                <w:sz w:val="22"/>
                <w:szCs w:val="22"/>
              </w:rPr>
              <w:t xml:space="preserve">175.941 </w:t>
            </w:r>
          </w:p>
        </w:tc>
        <w:tc>
          <w:tcPr>
            <w:tcW w:w="1697" w:type="dxa"/>
            <w:tcBorders>
              <w:top w:val="single" w:sz="8" w:space="0" w:color="D9D9D9"/>
              <w:left w:val="nil"/>
              <w:bottom w:val="single" w:sz="8" w:space="0" w:color="BFBFBF"/>
              <w:right w:val="single" w:sz="8" w:space="0" w:color="BFBFBF"/>
            </w:tcBorders>
            <w:shd w:val="clear" w:color="auto" w:fill="F2F2F2" w:themeFill="background1" w:themeFillShade="F2"/>
            <w:noWrap/>
            <w:hideMark/>
          </w:tcPr>
          <w:p w14:paraId="31A1841D" w14:textId="77777777" w:rsidR="00A51FB9" w:rsidRPr="00DE0914" w:rsidRDefault="00A51FB9" w:rsidP="00B07AD0">
            <w:pPr>
              <w:spacing w:before="20" w:after="20"/>
              <w:rPr>
                <w:rFonts w:asciiTheme="minorHAnsi" w:hAnsiTheme="minorHAnsi" w:cstheme="minorHAnsi"/>
                <w:b/>
                <w:bCs/>
                <w:color w:val="59595B"/>
                <w:kern w:val="0"/>
                <w:sz w:val="22"/>
                <w:szCs w:val="22"/>
                <w:lang w:val="en-GB" w:eastAsia="en-GB"/>
              </w:rPr>
            </w:pPr>
            <w:r w:rsidRPr="00DE0914">
              <w:rPr>
                <w:rFonts w:asciiTheme="minorHAnsi" w:hAnsiTheme="minorHAnsi" w:cstheme="minorHAnsi"/>
                <w:b/>
                <w:bCs/>
                <w:color w:val="59595B"/>
                <w:sz w:val="22"/>
                <w:szCs w:val="22"/>
              </w:rPr>
              <w:t xml:space="preserve">133.834 </w:t>
            </w:r>
          </w:p>
        </w:tc>
      </w:tr>
    </w:tbl>
    <w:p w14:paraId="6BF1535E" w14:textId="5E07F840" w:rsidR="001B0F60" w:rsidRPr="00A51FB9" w:rsidRDefault="00A51FB9" w:rsidP="002329C7">
      <w:pPr>
        <w:keepNext/>
        <w:spacing w:before="60" w:after="120" w:line="276" w:lineRule="auto"/>
        <w:jc w:val="center"/>
        <w:rPr>
          <w:rFonts w:ascii="Arial" w:eastAsia="Arial" w:hAnsi="Arial" w:cs="Arial"/>
          <w:b/>
          <w:color w:val="00679B"/>
          <w:shd w:val="clear" w:color="auto" w:fill="FFFF00"/>
        </w:rPr>
      </w:pPr>
      <w:r w:rsidRPr="00DE0914">
        <w:rPr>
          <w:rFonts w:ascii="Calibri" w:eastAsia="Calibri" w:hAnsi="Calibri" w:cs="Calibri"/>
          <w:color w:val="59595B"/>
        </w:rPr>
        <w:t>---ENDS---</w:t>
      </w:r>
    </w:p>
    <w:sectPr w:rsidR="001B0F60" w:rsidRPr="00A51FB9">
      <w:headerReference w:type="default" r:id="rId11"/>
      <w:footerReference w:type="default" r:id="rId12"/>
      <w:type w:val="continuous"/>
      <w:pgSz w:w="12240" w:h="15840"/>
      <w:pgMar w:top="1440" w:right="1440" w:bottom="1440" w:left="144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8AAF5" w14:textId="77777777" w:rsidR="00181B52" w:rsidRDefault="00181B52">
      <w:r>
        <w:separator/>
      </w:r>
    </w:p>
  </w:endnote>
  <w:endnote w:type="continuationSeparator" w:id="0">
    <w:p w14:paraId="1000B4A8" w14:textId="77777777" w:rsidR="00181B52" w:rsidRDefault="0018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415223"/>
      <w:docPartObj>
        <w:docPartGallery w:val="Page Numbers (Bottom of Page)"/>
        <w:docPartUnique/>
      </w:docPartObj>
    </w:sdtPr>
    <w:sdtEndPr>
      <w:rPr>
        <w:rFonts w:asciiTheme="minorHAnsi" w:hAnsiTheme="minorHAnsi" w:cstheme="minorHAnsi"/>
        <w:noProof/>
        <w:sz w:val="20"/>
        <w:szCs w:val="20"/>
      </w:rPr>
    </w:sdtEndPr>
    <w:sdtContent>
      <w:p w14:paraId="6F472610" w14:textId="75673538" w:rsidR="009F706D" w:rsidRPr="009F706D" w:rsidRDefault="009F706D">
        <w:pPr>
          <w:pStyle w:val="Footer"/>
          <w:jc w:val="right"/>
          <w:rPr>
            <w:rFonts w:asciiTheme="minorHAnsi" w:hAnsiTheme="minorHAnsi" w:cstheme="minorHAnsi"/>
            <w:sz w:val="20"/>
            <w:szCs w:val="20"/>
          </w:rPr>
        </w:pPr>
        <w:r w:rsidRPr="009F706D">
          <w:rPr>
            <w:rFonts w:asciiTheme="minorHAnsi" w:hAnsiTheme="minorHAnsi" w:cstheme="minorHAnsi"/>
            <w:sz w:val="20"/>
            <w:szCs w:val="20"/>
          </w:rPr>
          <w:fldChar w:fldCharType="begin"/>
        </w:r>
        <w:r w:rsidRPr="009F706D">
          <w:rPr>
            <w:rFonts w:asciiTheme="minorHAnsi" w:hAnsiTheme="minorHAnsi" w:cstheme="minorHAnsi"/>
            <w:sz w:val="20"/>
            <w:szCs w:val="20"/>
          </w:rPr>
          <w:instrText xml:space="preserve"> PAGE   \* MERGEFORMAT </w:instrText>
        </w:r>
        <w:r w:rsidRPr="009F706D">
          <w:rPr>
            <w:rFonts w:asciiTheme="minorHAnsi" w:hAnsiTheme="minorHAnsi" w:cstheme="minorHAnsi"/>
            <w:sz w:val="20"/>
            <w:szCs w:val="20"/>
          </w:rPr>
          <w:fldChar w:fldCharType="separate"/>
        </w:r>
        <w:r w:rsidRPr="009F706D">
          <w:rPr>
            <w:rFonts w:asciiTheme="minorHAnsi" w:hAnsiTheme="minorHAnsi" w:cstheme="minorHAnsi"/>
            <w:noProof/>
            <w:sz w:val="20"/>
            <w:szCs w:val="20"/>
          </w:rPr>
          <w:t>2</w:t>
        </w:r>
        <w:r w:rsidRPr="009F706D">
          <w:rPr>
            <w:rFonts w:asciiTheme="minorHAnsi" w:hAnsiTheme="minorHAnsi" w:cstheme="minorHAnsi"/>
            <w:noProof/>
            <w:sz w:val="20"/>
            <w:szCs w:val="20"/>
          </w:rPr>
          <w:fldChar w:fldCharType="end"/>
        </w:r>
      </w:p>
    </w:sdtContent>
  </w:sdt>
  <w:p w14:paraId="0238EF2B" w14:textId="77777777" w:rsidR="009F706D" w:rsidRDefault="009F7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4893" w14:textId="77777777" w:rsidR="00181B52" w:rsidRDefault="00181B52">
      <w:r>
        <w:separator/>
      </w:r>
    </w:p>
  </w:footnote>
  <w:footnote w:type="continuationSeparator" w:id="0">
    <w:p w14:paraId="765401E5" w14:textId="77777777" w:rsidR="00181B52" w:rsidRDefault="0018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986F" w14:textId="77777777" w:rsidR="003E5249" w:rsidRDefault="003E5249">
    <w:pPr>
      <w:spacing w:line="288" w:lineRule="auto"/>
      <w:jc w:val="right"/>
      <w:rPr>
        <w:rFonts w:ascii="Arial" w:eastAsia="Arial" w:hAnsi="Arial" w:cs="Arial"/>
      </w:rPr>
    </w:pPr>
    <w:r>
      <w:rPr>
        <w:noProof/>
      </w:rPr>
      <w:drawing>
        <wp:inline distT="0" distB="0" distL="0" distR="0" wp14:anchorId="2821A118" wp14:editId="2D2DE3DF">
          <wp:extent cx="1905000" cy="4572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4"/>
    <w:multiLevelType w:val="multilevel"/>
    <w:tmpl w:val="00000001"/>
    <w:lvl w:ilvl="0">
      <w:start w:val="1"/>
      <w:numFmt w:val="decimal"/>
      <w:lvlText w:val="•"/>
      <w:lvlJc w:val="left"/>
      <w:pPr>
        <w:tabs>
          <w:tab w:val="num" w:pos="-351"/>
        </w:tabs>
        <w:ind w:left="-351" w:hanging="360"/>
      </w:pPr>
      <w:rPr>
        <w:rFonts w:ascii="Calibri" w:eastAsia="Calibri" w:hAnsi="Calibri" w:cs="Calibri"/>
        <w:color w:val="00679B"/>
        <w:sz w:val="24"/>
      </w:rPr>
    </w:lvl>
    <w:lvl w:ilvl="1">
      <w:start w:val="1"/>
      <w:numFmt w:val="lowerLetter"/>
      <w:lvlText w:val="◦"/>
      <w:lvlJc w:val="left"/>
      <w:pPr>
        <w:tabs>
          <w:tab w:val="num" w:pos="369"/>
        </w:tabs>
        <w:ind w:left="369" w:hanging="360"/>
      </w:pPr>
    </w:lvl>
    <w:lvl w:ilvl="2">
      <w:start w:val="1"/>
      <w:numFmt w:val="lowerRoman"/>
      <w:lvlText w:val="▪"/>
      <w:lvlJc w:val="left"/>
      <w:pPr>
        <w:tabs>
          <w:tab w:val="num" w:pos="1089"/>
        </w:tabs>
        <w:ind w:left="1089" w:hanging="180"/>
      </w:pPr>
    </w:lvl>
    <w:lvl w:ilvl="3">
      <w:start w:val="1"/>
      <w:numFmt w:val="decimal"/>
      <w:lvlText w:val="•"/>
      <w:lvlJc w:val="left"/>
      <w:pPr>
        <w:tabs>
          <w:tab w:val="num" w:pos="1809"/>
        </w:tabs>
        <w:ind w:left="1809" w:hanging="360"/>
      </w:pPr>
    </w:lvl>
    <w:lvl w:ilvl="4">
      <w:start w:val="1"/>
      <w:numFmt w:val="lowerLetter"/>
      <w:lvlText w:val="◦"/>
      <w:lvlJc w:val="left"/>
      <w:pPr>
        <w:tabs>
          <w:tab w:val="num" w:pos="2529"/>
        </w:tabs>
        <w:ind w:left="2529" w:hanging="360"/>
      </w:pPr>
    </w:lvl>
    <w:lvl w:ilvl="5">
      <w:start w:val="1"/>
      <w:numFmt w:val="lowerRoman"/>
      <w:lvlText w:val="▪"/>
      <w:lvlJc w:val="left"/>
      <w:pPr>
        <w:tabs>
          <w:tab w:val="num" w:pos="3249"/>
        </w:tabs>
        <w:ind w:left="3249" w:hanging="180"/>
      </w:pPr>
    </w:lvl>
    <w:lvl w:ilvl="6">
      <w:start w:val="1"/>
      <w:numFmt w:val="decimal"/>
      <w:lvlText w:val="•"/>
      <w:lvlJc w:val="left"/>
      <w:pPr>
        <w:tabs>
          <w:tab w:val="num" w:pos="3969"/>
        </w:tabs>
        <w:ind w:left="3969" w:hanging="360"/>
      </w:pPr>
    </w:lvl>
    <w:lvl w:ilvl="7">
      <w:start w:val="1"/>
      <w:numFmt w:val="lowerLetter"/>
      <w:lvlText w:val="◦"/>
      <w:lvlJc w:val="left"/>
      <w:pPr>
        <w:tabs>
          <w:tab w:val="num" w:pos="4689"/>
        </w:tabs>
        <w:ind w:left="4689" w:hanging="360"/>
      </w:pPr>
    </w:lvl>
    <w:lvl w:ilvl="8">
      <w:start w:val="1"/>
      <w:numFmt w:val="lowerRoman"/>
      <w:lvlText w:val="▪"/>
      <w:lvlJc w:val="left"/>
      <w:pPr>
        <w:tabs>
          <w:tab w:val="num" w:pos="5409"/>
        </w:tabs>
        <w:ind w:left="5409" w:hanging="180"/>
      </w:pPr>
    </w:lvl>
  </w:abstractNum>
  <w:abstractNum w:abstractNumId="2" w15:restartNumberingAfterBreak="0">
    <w:nsid w:val="00000057"/>
    <w:multiLevelType w:val="multilevel"/>
    <w:tmpl w:val="00000001"/>
    <w:lvl w:ilvl="0">
      <w:start w:val="1"/>
      <w:numFmt w:val="decimal"/>
      <w:lvlText w:val="•"/>
      <w:lvlJc w:val="left"/>
      <w:pPr>
        <w:tabs>
          <w:tab w:val="num" w:pos="360"/>
        </w:tabs>
        <w:ind w:left="360" w:hanging="360"/>
      </w:pPr>
      <w:rPr>
        <w:rFonts w:ascii="Calibri" w:eastAsia="Calibri" w:hAnsi="Calibri" w:cs="Calibri"/>
        <w:color w:val="59595B"/>
        <w:sz w:val="24"/>
      </w:rPr>
    </w:lvl>
    <w:lvl w:ilvl="1">
      <w:start w:val="1"/>
      <w:numFmt w:val="lowerLetter"/>
      <w:lvlText w:val="◦"/>
      <w:lvlJc w:val="left"/>
      <w:pPr>
        <w:tabs>
          <w:tab w:val="num" w:pos="1080"/>
        </w:tabs>
        <w:ind w:left="1080" w:hanging="360"/>
      </w:pPr>
    </w:lvl>
    <w:lvl w:ilvl="2">
      <w:start w:val="1"/>
      <w:numFmt w:val="lowerRoman"/>
      <w:lvlText w:val="▪"/>
      <w:lvlJc w:val="left"/>
      <w:pPr>
        <w:tabs>
          <w:tab w:val="num" w:pos="1800"/>
        </w:tabs>
        <w:ind w:left="1800" w:hanging="180"/>
      </w:pPr>
    </w:lvl>
    <w:lvl w:ilvl="3">
      <w:start w:val="1"/>
      <w:numFmt w:val="decimal"/>
      <w:lvlText w:val="•"/>
      <w:lvlJc w:val="left"/>
      <w:pPr>
        <w:tabs>
          <w:tab w:val="num" w:pos="2520"/>
        </w:tabs>
        <w:ind w:left="2520" w:hanging="360"/>
      </w:pPr>
    </w:lvl>
    <w:lvl w:ilvl="4">
      <w:start w:val="1"/>
      <w:numFmt w:val="lowerLetter"/>
      <w:lvlText w:val="◦"/>
      <w:lvlJc w:val="left"/>
      <w:pPr>
        <w:tabs>
          <w:tab w:val="num" w:pos="3240"/>
        </w:tabs>
        <w:ind w:left="3240" w:hanging="360"/>
      </w:pPr>
    </w:lvl>
    <w:lvl w:ilvl="5">
      <w:start w:val="1"/>
      <w:numFmt w:val="lowerRoman"/>
      <w:lvlText w:val="▪"/>
      <w:lvlJc w:val="left"/>
      <w:pPr>
        <w:tabs>
          <w:tab w:val="num" w:pos="3960"/>
        </w:tabs>
        <w:ind w:left="3960" w:hanging="180"/>
      </w:pPr>
    </w:lvl>
    <w:lvl w:ilvl="6">
      <w:start w:val="1"/>
      <w:numFmt w:val="decimal"/>
      <w:lvlText w:val="•"/>
      <w:lvlJc w:val="left"/>
      <w:pPr>
        <w:tabs>
          <w:tab w:val="num" w:pos="4680"/>
        </w:tabs>
        <w:ind w:left="4680" w:hanging="360"/>
      </w:pPr>
    </w:lvl>
    <w:lvl w:ilvl="7">
      <w:start w:val="1"/>
      <w:numFmt w:val="lowerLetter"/>
      <w:lvlText w:val="◦"/>
      <w:lvlJc w:val="left"/>
      <w:pPr>
        <w:tabs>
          <w:tab w:val="num" w:pos="5400"/>
        </w:tabs>
        <w:ind w:left="5400" w:hanging="360"/>
      </w:pPr>
    </w:lvl>
    <w:lvl w:ilvl="8">
      <w:start w:val="1"/>
      <w:numFmt w:val="lowerRoman"/>
      <w:lvlText w:val="▪"/>
      <w:lvlJc w:val="left"/>
      <w:pPr>
        <w:tabs>
          <w:tab w:val="num" w:pos="6120"/>
        </w:tabs>
        <w:ind w:left="6120" w:hanging="180"/>
      </w:pPr>
    </w:lvl>
  </w:abstractNum>
  <w:abstractNum w:abstractNumId="3" w15:restartNumberingAfterBreak="0">
    <w:nsid w:val="00000085"/>
    <w:multiLevelType w:val="multilevel"/>
    <w:tmpl w:val="00000001"/>
    <w:lvl w:ilvl="0">
      <w:start w:val="1"/>
      <w:numFmt w:val="decimal"/>
      <w:lvlText w:val="•"/>
      <w:lvlJc w:val="left"/>
      <w:pPr>
        <w:tabs>
          <w:tab w:val="num" w:pos="360"/>
        </w:tabs>
        <w:ind w:left="360" w:hanging="360"/>
      </w:pPr>
      <w:rPr>
        <w:rFonts w:ascii="Calibri" w:eastAsia="Calibri" w:hAnsi="Calibri" w:cs="Calibri"/>
        <w:color w:val="59595B"/>
        <w:sz w:val="22"/>
      </w:rPr>
    </w:lvl>
    <w:lvl w:ilvl="1">
      <w:start w:val="1"/>
      <w:numFmt w:val="lowerLetter"/>
      <w:lvlText w:val="◦"/>
      <w:lvlJc w:val="left"/>
      <w:pPr>
        <w:tabs>
          <w:tab w:val="num" w:pos="1080"/>
        </w:tabs>
        <w:ind w:left="1080" w:hanging="360"/>
      </w:pPr>
    </w:lvl>
    <w:lvl w:ilvl="2">
      <w:start w:val="1"/>
      <w:numFmt w:val="lowerRoman"/>
      <w:lvlText w:val="▪"/>
      <w:lvlJc w:val="left"/>
      <w:pPr>
        <w:tabs>
          <w:tab w:val="num" w:pos="1800"/>
        </w:tabs>
        <w:ind w:left="1800" w:hanging="180"/>
      </w:pPr>
    </w:lvl>
    <w:lvl w:ilvl="3">
      <w:start w:val="1"/>
      <w:numFmt w:val="decimal"/>
      <w:lvlText w:val="•"/>
      <w:lvlJc w:val="left"/>
      <w:pPr>
        <w:tabs>
          <w:tab w:val="num" w:pos="2520"/>
        </w:tabs>
        <w:ind w:left="2520" w:hanging="360"/>
      </w:pPr>
    </w:lvl>
    <w:lvl w:ilvl="4">
      <w:start w:val="1"/>
      <w:numFmt w:val="lowerLetter"/>
      <w:lvlText w:val="◦"/>
      <w:lvlJc w:val="left"/>
      <w:pPr>
        <w:tabs>
          <w:tab w:val="num" w:pos="3240"/>
        </w:tabs>
        <w:ind w:left="3240" w:hanging="360"/>
      </w:pPr>
    </w:lvl>
    <w:lvl w:ilvl="5">
      <w:start w:val="1"/>
      <w:numFmt w:val="lowerRoman"/>
      <w:lvlText w:val="▪"/>
      <w:lvlJc w:val="left"/>
      <w:pPr>
        <w:tabs>
          <w:tab w:val="num" w:pos="3960"/>
        </w:tabs>
        <w:ind w:left="3960" w:hanging="180"/>
      </w:pPr>
    </w:lvl>
    <w:lvl w:ilvl="6">
      <w:start w:val="1"/>
      <w:numFmt w:val="decimal"/>
      <w:lvlText w:val="•"/>
      <w:lvlJc w:val="left"/>
      <w:pPr>
        <w:tabs>
          <w:tab w:val="num" w:pos="4680"/>
        </w:tabs>
        <w:ind w:left="4680" w:hanging="360"/>
      </w:pPr>
    </w:lvl>
    <w:lvl w:ilvl="7">
      <w:start w:val="1"/>
      <w:numFmt w:val="lowerLetter"/>
      <w:lvlText w:val="◦"/>
      <w:lvlJc w:val="left"/>
      <w:pPr>
        <w:tabs>
          <w:tab w:val="num" w:pos="5400"/>
        </w:tabs>
        <w:ind w:left="5400" w:hanging="360"/>
      </w:pPr>
    </w:lvl>
    <w:lvl w:ilvl="8">
      <w:start w:val="1"/>
      <w:numFmt w:val="lowerRoman"/>
      <w:lvlText w:val="▪"/>
      <w:lvlJc w:val="left"/>
      <w:pPr>
        <w:tabs>
          <w:tab w:val="num" w:pos="6120"/>
        </w:tabs>
        <w:ind w:left="6120" w:hanging="180"/>
      </w:pPr>
    </w:lvl>
  </w:abstractNum>
  <w:abstractNum w:abstractNumId="4" w15:restartNumberingAfterBreak="0">
    <w:nsid w:val="00000095"/>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A8"/>
    <w:multiLevelType w:val="multilevel"/>
    <w:tmpl w:val="00000001"/>
    <w:lvl w:ilvl="0">
      <w:start w:val="1"/>
      <w:numFmt w:val="decimal"/>
      <w:lvlText w:val="•"/>
      <w:lvlJc w:val="left"/>
      <w:pPr>
        <w:tabs>
          <w:tab w:val="num" w:pos="360"/>
        </w:tabs>
        <w:ind w:left="360" w:hanging="360"/>
      </w:pPr>
      <w:rPr>
        <w:rFonts w:ascii="Calibri" w:eastAsia="Calibri" w:hAnsi="Calibri" w:cs="Calibri"/>
        <w:color w:val="59595B"/>
        <w:sz w:val="24"/>
      </w:rPr>
    </w:lvl>
    <w:lvl w:ilvl="1">
      <w:start w:val="1"/>
      <w:numFmt w:val="lowerLetter"/>
      <w:lvlText w:val="◦"/>
      <w:lvlJc w:val="left"/>
      <w:pPr>
        <w:tabs>
          <w:tab w:val="num" w:pos="1080"/>
        </w:tabs>
        <w:ind w:left="1080" w:hanging="360"/>
      </w:pPr>
    </w:lvl>
    <w:lvl w:ilvl="2">
      <w:start w:val="1"/>
      <w:numFmt w:val="lowerRoman"/>
      <w:lvlText w:val="▪"/>
      <w:lvlJc w:val="left"/>
      <w:pPr>
        <w:tabs>
          <w:tab w:val="num" w:pos="1800"/>
        </w:tabs>
        <w:ind w:left="1800" w:hanging="180"/>
      </w:pPr>
    </w:lvl>
    <w:lvl w:ilvl="3">
      <w:start w:val="1"/>
      <w:numFmt w:val="decimal"/>
      <w:lvlText w:val="•"/>
      <w:lvlJc w:val="left"/>
      <w:pPr>
        <w:tabs>
          <w:tab w:val="num" w:pos="2520"/>
        </w:tabs>
        <w:ind w:left="2520" w:hanging="360"/>
      </w:pPr>
    </w:lvl>
    <w:lvl w:ilvl="4">
      <w:start w:val="1"/>
      <w:numFmt w:val="lowerLetter"/>
      <w:lvlText w:val="◦"/>
      <w:lvlJc w:val="left"/>
      <w:pPr>
        <w:tabs>
          <w:tab w:val="num" w:pos="3240"/>
        </w:tabs>
        <w:ind w:left="3240" w:hanging="360"/>
      </w:pPr>
    </w:lvl>
    <w:lvl w:ilvl="5">
      <w:start w:val="1"/>
      <w:numFmt w:val="lowerRoman"/>
      <w:lvlText w:val="▪"/>
      <w:lvlJc w:val="left"/>
      <w:pPr>
        <w:tabs>
          <w:tab w:val="num" w:pos="3960"/>
        </w:tabs>
        <w:ind w:left="3960" w:hanging="180"/>
      </w:pPr>
    </w:lvl>
    <w:lvl w:ilvl="6">
      <w:start w:val="1"/>
      <w:numFmt w:val="decimal"/>
      <w:lvlText w:val="•"/>
      <w:lvlJc w:val="left"/>
      <w:pPr>
        <w:tabs>
          <w:tab w:val="num" w:pos="4680"/>
        </w:tabs>
        <w:ind w:left="4680" w:hanging="360"/>
      </w:pPr>
    </w:lvl>
    <w:lvl w:ilvl="7">
      <w:start w:val="1"/>
      <w:numFmt w:val="lowerLetter"/>
      <w:lvlText w:val="◦"/>
      <w:lvlJc w:val="left"/>
      <w:pPr>
        <w:tabs>
          <w:tab w:val="num" w:pos="5400"/>
        </w:tabs>
        <w:ind w:left="5400" w:hanging="360"/>
      </w:pPr>
    </w:lvl>
    <w:lvl w:ilvl="8">
      <w:start w:val="1"/>
      <w:numFmt w:val="lowerRoman"/>
      <w:lvlText w:val="▪"/>
      <w:lvlJc w:val="left"/>
      <w:pPr>
        <w:tabs>
          <w:tab w:val="num" w:pos="6120"/>
        </w:tabs>
        <w:ind w:left="6120" w:hanging="180"/>
      </w:pPr>
    </w:lvl>
  </w:abstractNum>
  <w:abstractNum w:abstractNumId="6" w15:restartNumberingAfterBreak="0">
    <w:nsid w:val="000000A9"/>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AA"/>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AB"/>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15:restartNumberingAfterBreak="0">
    <w:nsid w:val="000000AD"/>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0" w15:restartNumberingAfterBreak="0">
    <w:nsid w:val="33394052"/>
    <w:multiLevelType w:val="hybridMultilevel"/>
    <w:tmpl w:val="A5182AFA"/>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1" w15:restartNumberingAfterBreak="0">
    <w:nsid w:val="33A171F6"/>
    <w:multiLevelType w:val="hybridMultilevel"/>
    <w:tmpl w:val="5F7A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C4BCB"/>
    <w:multiLevelType w:val="hybridMultilevel"/>
    <w:tmpl w:val="EC46E6DE"/>
    <w:lvl w:ilvl="0" w:tplc="AEAED236">
      <w:start w:val="1"/>
      <w:numFmt w:val="bullet"/>
      <w:lvlText w:val=""/>
      <w:lvlJc w:val="left"/>
      <w:pPr>
        <w:ind w:left="1260" w:hanging="360"/>
      </w:pPr>
      <w:rPr>
        <w:rFonts w:ascii="Symbol" w:hAnsi="Symbol" w:hint="default"/>
        <w:color w:val="548DD4" w:themeColor="text2" w:themeTint="99"/>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3"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1"/>
  </w:num>
  <w:num w:numId="13">
    <w:abstractNumId w:val="10"/>
  </w:num>
  <w:num w:numId="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110"/>
    <w:rsid w:val="000068D6"/>
    <w:rsid w:val="00021AB1"/>
    <w:rsid w:val="00021E8D"/>
    <w:rsid w:val="00023AE0"/>
    <w:rsid w:val="00027691"/>
    <w:rsid w:val="00034D32"/>
    <w:rsid w:val="00041C9A"/>
    <w:rsid w:val="000424F4"/>
    <w:rsid w:val="000439C5"/>
    <w:rsid w:val="00043F62"/>
    <w:rsid w:val="000462A9"/>
    <w:rsid w:val="000464D4"/>
    <w:rsid w:val="00052D6E"/>
    <w:rsid w:val="000549FA"/>
    <w:rsid w:val="0006163F"/>
    <w:rsid w:val="00063D45"/>
    <w:rsid w:val="000663AA"/>
    <w:rsid w:val="00066E64"/>
    <w:rsid w:val="00076EA1"/>
    <w:rsid w:val="00093970"/>
    <w:rsid w:val="0009523F"/>
    <w:rsid w:val="000A4103"/>
    <w:rsid w:val="000B0FA6"/>
    <w:rsid w:val="000B2AAB"/>
    <w:rsid w:val="000D04FC"/>
    <w:rsid w:val="000D3CD7"/>
    <w:rsid w:val="000D5557"/>
    <w:rsid w:val="000F2E4B"/>
    <w:rsid w:val="0010303E"/>
    <w:rsid w:val="001149E6"/>
    <w:rsid w:val="001404F9"/>
    <w:rsid w:val="001406F0"/>
    <w:rsid w:val="00140ACB"/>
    <w:rsid w:val="001422DD"/>
    <w:rsid w:val="001432D2"/>
    <w:rsid w:val="00145110"/>
    <w:rsid w:val="00152462"/>
    <w:rsid w:val="00154471"/>
    <w:rsid w:val="00163440"/>
    <w:rsid w:val="00166BF4"/>
    <w:rsid w:val="00167F11"/>
    <w:rsid w:val="001735FD"/>
    <w:rsid w:val="001762B2"/>
    <w:rsid w:val="00177EB9"/>
    <w:rsid w:val="00181B52"/>
    <w:rsid w:val="00186C9B"/>
    <w:rsid w:val="001938DE"/>
    <w:rsid w:val="001B0F60"/>
    <w:rsid w:val="001B7CCF"/>
    <w:rsid w:val="001F1399"/>
    <w:rsid w:val="001F596C"/>
    <w:rsid w:val="00200139"/>
    <w:rsid w:val="00204752"/>
    <w:rsid w:val="00204CEF"/>
    <w:rsid w:val="002053A1"/>
    <w:rsid w:val="002065B6"/>
    <w:rsid w:val="00212B45"/>
    <w:rsid w:val="00215750"/>
    <w:rsid w:val="00215953"/>
    <w:rsid w:val="002275C5"/>
    <w:rsid w:val="00227F87"/>
    <w:rsid w:val="002329C7"/>
    <w:rsid w:val="0024005B"/>
    <w:rsid w:val="00243560"/>
    <w:rsid w:val="00243628"/>
    <w:rsid w:val="002611ED"/>
    <w:rsid w:val="00284B59"/>
    <w:rsid w:val="00287FDC"/>
    <w:rsid w:val="00295654"/>
    <w:rsid w:val="002A4366"/>
    <w:rsid w:val="002A7CAC"/>
    <w:rsid w:val="002B069D"/>
    <w:rsid w:val="002B2311"/>
    <w:rsid w:val="002B2664"/>
    <w:rsid w:val="002B65D4"/>
    <w:rsid w:val="002C0614"/>
    <w:rsid w:val="002C1B04"/>
    <w:rsid w:val="002C5856"/>
    <w:rsid w:val="002D1A22"/>
    <w:rsid w:val="002D558E"/>
    <w:rsid w:val="002D72E0"/>
    <w:rsid w:val="002E0EDB"/>
    <w:rsid w:val="002E2ADF"/>
    <w:rsid w:val="002F101E"/>
    <w:rsid w:val="002F4623"/>
    <w:rsid w:val="002F7568"/>
    <w:rsid w:val="00300B4F"/>
    <w:rsid w:val="003037C4"/>
    <w:rsid w:val="00304478"/>
    <w:rsid w:val="003045BD"/>
    <w:rsid w:val="00304DE7"/>
    <w:rsid w:val="00306EE1"/>
    <w:rsid w:val="00311F5A"/>
    <w:rsid w:val="00316823"/>
    <w:rsid w:val="00321CB4"/>
    <w:rsid w:val="0033798A"/>
    <w:rsid w:val="00355B93"/>
    <w:rsid w:val="0035715D"/>
    <w:rsid w:val="00364B4C"/>
    <w:rsid w:val="003716FC"/>
    <w:rsid w:val="00374A73"/>
    <w:rsid w:val="00376AD5"/>
    <w:rsid w:val="00383F34"/>
    <w:rsid w:val="003A263D"/>
    <w:rsid w:val="003A5367"/>
    <w:rsid w:val="003A6548"/>
    <w:rsid w:val="003B09E5"/>
    <w:rsid w:val="003B26BF"/>
    <w:rsid w:val="003B4B3C"/>
    <w:rsid w:val="003B4CC2"/>
    <w:rsid w:val="003D2660"/>
    <w:rsid w:val="003D5529"/>
    <w:rsid w:val="003D5C3C"/>
    <w:rsid w:val="003E2C45"/>
    <w:rsid w:val="003E5249"/>
    <w:rsid w:val="003F23B5"/>
    <w:rsid w:val="003F275D"/>
    <w:rsid w:val="003F5E8C"/>
    <w:rsid w:val="003F7830"/>
    <w:rsid w:val="00405632"/>
    <w:rsid w:val="0041200D"/>
    <w:rsid w:val="00417D71"/>
    <w:rsid w:val="00424B7F"/>
    <w:rsid w:val="00425FBD"/>
    <w:rsid w:val="0043192B"/>
    <w:rsid w:val="0044210B"/>
    <w:rsid w:val="00447765"/>
    <w:rsid w:val="00452B5F"/>
    <w:rsid w:val="0045461A"/>
    <w:rsid w:val="00455A6D"/>
    <w:rsid w:val="0046066F"/>
    <w:rsid w:val="00463BD3"/>
    <w:rsid w:val="00470697"/>
    <w:rsid w:val="004738F3"/>
    <w:rsid w:val="00474751"/>
    <w:rsid w:val="004822E8"/>
    <w:rsid w:val="00482AB8"/>
    <w:rsid w:val="0048753D"/>
    <w:rsid w:val="00496A74"/>
    <w:rsid w:val="00497157"/>
    <w:rsid w:val="004A1800"/>
    <w:rsid w:val="004A199C"/>
    <w:rsid w:val="004A5584"/>
    <w:rsid w:val="004D2BD4"/>
    <w:rsid w:val="004D2E5E"/>
    <w:rsid w:val="004D4CA5"/>
    <w:rsid w:val="004D72F5"/>
    <w:rsid w:val="004E4277"/>
    <w:rsid w:val="004E6D3A"/>
    <w:rsid w:val="005021BE"/>
    <w:rsid w:val="00510898"/>
    <w:rsid w:val="00513216"/>
    <w:rsid w:val="005406A8"/>
    <w:rsid w:val="005407E1"/>
    <w:rsid w:val="00544AA5"/>
    <w:rsid w:val="005523DB"/>
    <w:rsid w:val="005608E4"/>
    <w:rsid w:val="00560CAB"/>
    <w:rsid w:val="005647DE"/>
    <w:rsid w:val="0057460E"/>
    <w:rsid w:val="00591998"/>
    <w:rsid w:val="00597550"/>
    <w:rsid w:val="005A0BC4"/>
    <w:rsid w:val="005A28E8"/>
    <w:rsid w:val="005A3F24"/>
    <w:rsid w:val="005A7728"/>
    <w:rsid w:val="005B6F7D"/>
    <w:rsid w:val="005C0A9F"/>
    <w:rsid w:val="005C3108"/>
    <w:rsid w:val="005D1547"/>
    <w:rsid w:val="005D5577"/>
    <w:rsid w:val="006014F9"/>
    <w:rsid w:val="00601A3F"/>
    <w:rsid w:val="00604C8E"/>
    <w:rsid w:val="006052F7"/>
    <w:rsid w:val="00606BB7"/>
    <w:rsid w:val="006165F7"/>
    <w:rsid w:val="00632FC4"/>
    <w:rsid w:val="00635E26"/>
    <w:rsid w:val="00636384"/>
    <w:rsid w:val="006425E1"/>
    <w:rsid w:val="00644F06"/>
    <w:rsid w:val="006457EB"/>
    <w:rsid w:val="00645EF6"/>
    <w:rsid w:val="00647DFE"/>
    <w:rsid w:val="00650D30"/>
    <w:rsid w:val="00655C46"/>
    <w:rsid w:val="00661EED"/>
    <w:rsid w:val="00663CFA"/>
    <w:rsid w:val="006728B1"/>
    <w:rsid w:val="00681808"/>
    <w:rsid w:val="00681913"/>
    <w:rsid w:val="00682735"/>
    <w:rsid w:val="00687A29"/>
    <w:rsid w:val="00690D7D"/>
    <w:rsid w:val="0069211A"/>
    <w:rsid w:val="0069317E"/>
    <w:rsid w:val="006A3C47"/>
    <w:rsid w:val="006A703E"/>
    <w:rsid w:val="006B4347"/>
    <w:rsid w:val="006C20C3"/>
    <w:rsid w:val="006D56FB"/>
    <w:rsid w:val="006D6347"/>
    <w:rsid w:val="006E4E05"/>
    <w:rsid w:val="006F077A"/>
    <w:rsid w:val="006F1033"/>
    <w:rsid w:val="006F36BA"/>
    <w:rsid w:val="007047FA"/>
    <w:rsid w:val="00706E94"/>
    <w:rsid w:val="00710D63"/>
    <w:rsid w:val="00713472"/>
    <w:rsid w:val="00717063"/>
    <w:rsid w:val="00717E7E"/>
    <w:rsid w:val="00720A44"/>
    <w:rsid w:val="00725F22"/>
    <w:rsid w:val="007269E4"/>
    <w:rsid w:val="00734BD8"/>
    <w:rsid w:val="0074071C"/>
    <w:rsid w:val="007420DC"/>
    <w:rsid w:val="00744A91"/>
    <w:rsid w:val="00745E49"/>
    <w:rsid w:val="0076457F"/>
    <w:rsid w:val="00767B8A"/>
    <w:rsid w:val="00772BD1"/>
    <w:rsid w:val="007757A5"/>
    <w:rsid w:val="0077683D"/>
    <w:rsid w:val="007777B0"/>
    <w:rsid w:val="007875A5"/>
    <w:rsid w:val="0079138C"/>
    <w:rsid w:val="00795250"/>
    <w:rsid w:val="007A0AAB"/>
    <w:rsid w:val="007B0838"/>
    <w:rsid w:val="007B1FEA"/>
    <w:rsid w:val="007B53A9"/>
    <w:rsid w:val="007C0C3D"/>
    <w:rsid w:val="007C2E0B"/>
    <w:rsid w:val="007C50C4"/>
    <w:rsid w:val="007C5566"/>
    <w:rsid w:val="007D362F"/>
    <w:rsid w:val="007D5A70"/>
    <w:rsid w:val="007E1B8C"/>
    <w:rsid w:val="007E65FF"/>
    <w:rsid w:val="007F74E9"/>
    <w:rsid w:val="007F77A6"/>
    <w:rsid w:val="007F7E04"/>
    <w:rsid w:val="00806A58"/>
    <w:rsid w:val="00810258"/>
    <w:rsid w:val="0081115A"/>
    <w:rsid w:val="00812A8B"/>
    <w:rsid w:val="008148B4"/>
    <w:rsid w:val="00822859"/>
    <w:rsid w:val="008264B8"/>
    <w:rsid w:val="00832380"/>
    <w:rsid w:val="00833258"/>
    <w:rsid w:val="0084391F"/>
    <w:rsid w:val="0084729A"/>
    <w:rsid w:val="0085000E"/>
    <w:rsid w:val="00861E99"/>
    <w:rsid w:val="008706C3"/>
    <w:rsid w:val="0087093E"/>
    <w:rsid w:val="008737A5"/>
    <w:rsid w:val="00880180"/>
    <w:rsid w:val="00882FB1"/>
    <w:rsid w:val="00886773"/>
    <w:rsid w:val="008875B2"/>
    <w:rsid w:val="00892610"/>
    <w:rsid w:val="008A0340"/>
    <w:rsid w:val="008B33CC"/>
    <w:rsid w:val="008B693C"/>
    <w:rsid w:val="008C00C5"/>
    <w:rsid w:val="008C6A86"/>
    <w:rsid w:val="008C7DBD"/>
    <w:rsid w:val="008D0A08"/>
    <w:rsid w:val="008D11A9"/>
    <w:rsid w:val="008E224C"/>
    <w:rsid w:val="008E38B0"/>
    <w:rsid w:val="008F60B2"/>
    <w:rsid w:val="0090238B"/>
    <w:rsid w:val="009067E8"/>
    <w:rsid w:val="009105C5"/>
    <w:rsid w:val="009129FB"/>
    <w:rsid w:val="00914869"/>
    <w:rsid w:val="0091731B"/>
    <w:rsid w:val="0092185F"/>
    <w:rsid w:val="009231E7"/>
    <w:rsid w:val="00926F7B"/>
    <w:rsid w:val="009312D1"/>
    <w:rsid w:val="00942077"/>
    <w:rsid w:val="0094439B"/>
    <w:rsid w:val="009506BF"/>
    <w:rsid w:val="00961FE2"/>
    <w:rsid w:val="00962C89"/>
    <w:rsid w:val="00971CA5"/>
    <w:rsid w:val="009845E3"/>
    <w:rsid w:val="00984682"/>
    <w:rsid w:val="00985C58"/>
    <w:rsid w:val="00992F5A"/>
    <w:rsid w:val="009A028B"/>
    <w:rsid w:val="009A53E5"/>
    <w:rsid w:val="009A606E"/>
    <w:rsid w:val="009B5F25"/>
    <w:rsid w:val="009E0E1B"/>
    <w:rsid w:val="009E43D2"/>
    <w:rsid w:val="009F3279"/>
    <w:rsid w:val="009F33E6"/>
    <w:rsid w:val="009F5F6D"/>
    <w:rsid w:val="009F706D"/>
    <w:rsid w:val="009F7F6F"/>
    <w:rsid w:val="00A05E78"/>
    <w:rsid w:val="00A23579"/>
    <w:rsid w:val="00A2386C"/>
    <w:rsid w:val="00A367A1"/>
    <w:rsid w:val="00A41E1E"/>
    <w:rsid w:val="00A503A1"/>
    <w:rsid w:val="00A51FB9"/>
    <w:rsid w:val="00A54332"/>
    <w:rsid w:val="00A6180A"/>
    <w:rsid w:val="00A73794"/>
    <w:rsid w:val="00A76BAA"/>
    <w:rsid w:val="00A77043"/>
    <w:rsid w:val="00A77B3E"/>
    <w:rsid w:val="00A77EDB"/>
    <w:rsid w:val="00A86BBC"/>
    <w:rsid w:val="00AA6F29"/>
    <w:rsid w:val="00AB671C"/>
    <w:rsid w:val="00AC2787"/>
    <w:rsid w:val="00AC5EFF"/>
    <w:rsid w:val="00AD0602"/>
    <w:rsid w:val="00AD6D59"/>
    <w:rsid w:val="00AE332F"/>
    <w:rsid w:val="00AE5336"/>
    <w:rsid w:val="00AE6F75"/>
    <w:rsid w:val="00AF0EDB"/>
    <w:rsid w:val="00AF5C0F"/>
    <w:rsid w:val="00AF6669"/>
    <w:rsid w:val="00B0243A"/>
    <w:rsid w:val="00B02A75"/>
    <w:rsid w:val="00B03822"/>
    <w:rsid w:val="00B07AD0"/>
    <w:rsid w:val="00B1352D"/>
    <w:rsid w:val="00B1489C"/>
    <w:rsid w:val="00B16321"/>
    <w:rsid w:val="00B2589C"/>
    <w:rsid w:val="00B26C36"/>
    <w:rsid w:val="00B30178"/>
    <w:rsid w:val="00B32758"/>
    <w:rsid w:val="00B374C4"/>
    <w:rsid w:val="00B4016A"/>
    <w:rsid w:val="00B650E9"/>
    <w:rsid w:val="00B666CC"/>
    <w:rsid w:val="00B67EDB"/>
    <w:rsid w:val="00B7631E"/>
    <w:rsid w:val="00B77066"/>
    <w:rsid w:val="00B85520"/>
    <w:rsid w:val="00B9724D"/>
    <w:rsid w:val="00BA5AFE"/>
    <w:rsid w:val="00BB5A6C"/>
    <w:rsid w:val="00BB6D3E"/>
    <w:rsid w:val="00BB76FF"/>
    <w:rsid w:val="00BC1C98"/>
    <w:rsid w:val="00BC1F93"/>
    <w:rsid w:val="00BD588B"/>
    <w:rsid w:val="00BD71B9"/>
    <w:rsid w:val="00BE7EC0"/>
    <w:rsid w:val="00BF00A8"/>
    <w:rsid w:val="00C04CEF"/>
    <w:rsid w:val="00C112ED"/>
    <w:rsid w:val="00C118A9"/>
    <w:rsid w:val="00C22EE4"/>
    <w:rsid w:val="00C26518"/>
    <w:rsid w:val="00C36A18"/>
    <w:rsid w:val="00C42E19"/>
    <w:rsid w:val="00C469F1"/>
    <w:rsid w:val="00C543CA"/>
    <w:rsid w:val="00C616C7"/>
    <w:rsid w:val="00C6502E"/>
    <w:rsid w:val="00C7380C"/>
    <w:rsid w:val="00C74F4E"/>
    <w:rsid w:val="00C82F72"/>
    <w:rsid w:val="00C92B1B"/>
    <w:rsid w:val="00C9421B"/>
    <w:rsid w:val="00CA2A55"/>
    <w:rsid w:val="00CB5768"/>
    <w:rsid w:val="00CB6E95"/>
    <w:rsid w:val="00CC1CD2"/>
    <w:rsid w:val="00CC2101"/>
    <w:rsid w:val="00CC28F4"/>
    <w:rsid w:val="00CC3D88"/>
    <w:rsid w:val="00CC67AC"/>
    <w:rsid w:val="00CC6B54"/>
    <w:rsid w:val="00CC76EE"/>
    <w:rsid w:val="00CD2728"/>
    <w:rsid w:val="00CE1C31"/>
    <w:rsid w:val="00CE203F"/>
    <w:rsid w:val="00CE35AB"/>
    <w:rsid w:val="00CF2C11"/>
    <w:rsid w:val="00D00479"/>
    <w:rsid w:val="00D121D0"/>
    <w:rsid w:val="00D16A3C"/>
    <w:rsid w:val="00D23670"/>
    <w:rsid w:val="00D34187"/>
    <w:rsid w:val="00D35A05"/>
    <w:rsid w:val="00D36FD8"/>
    <w:rsid w:val="00D37505"/>
    <w:rsid w:val="00D411A7"/>
    <w:rsid w:val="00D45EAD"/>
    <w:rsid w:val="00D550B3"/>
    <w:rsid w:val="00D66355"/>
    <w:rsid w:val="00D71803"/>
    <w:rsid w:val="00D8079E"/>
    <w:rsid w:val="00D81A5B"/>
    <w:rsid w:val="00D87A21"/>
    <w:rsid w:val="00D939D0"/>
    <w:rsid w:val="00D970EF"/>
    <w:rsid w:val="00DB47A3"/>
    <w:rsid w:val="00DC4275"/>
    <w:rsid w:val="00DC74AE"/>
    <w:rsid w:val="00DD072C"/>
    <w:rsid w:val="00DD0F21"/>
    <w:rsid w:val="00DD19F3"/>
    <w:rsid w:val="00DD1CE5"/>
    <w:rsid w:val="00DD41C3"/>
    <w:rsid w:val="00DD6E54"/>
    <w:rsid w:val="00DE0914"/>
    <w:rsid w:val="00DF2991"/>
    <w:rsid w:val="00E2695E"/>
    <w:rsid w:val="00E306C8"/>
    <w:rsid w:val="00E32BA0"/>
    <w:rsid w:val="00E34A30"/>
    <w:rsid w:val="00E5177C"/>
    <w:rsid w:val="00E54AC1"/>
    <w:rsid w:val="00E54B7D"/>
    <w:rsid w:val="00E573EE"/>
    <w:rsid w:val="00E57D74"/>
    <w:rsid w:val="00E704BD"/>
    <w:rsid w:val="00E9154F"/>
    <w:rsid w:val="00EA2FE9"/>
    <w:rsid w:val="00EB5E20"/>
    <w:rsid w:val="00EB61D2"/>
    <w:rsid w:val="00EC0D9D"/>
    <w:rsid w:val="00EC2D96"/>
    <w:rsid w:val="00EC3503"/>
    <w:rsid w:val="00EC4ECC"/>
    <w:rsid w:val="00ED73D8"/>
    <w:rsid w:val="00EF1759"/>
    <w:rsid w:val="00EF1C6D"/>
    <w:rsid w:val="00EF71FE"/>
    <w:rsid w:val="00F02528"/>
    <w:rsid w:val="00F0650E"/>
    <w:rsid w:val="00F07931"/>
    <w:rsid w:val="00F1336D"/>
    <w:rsid w:val="00F2749A"/>
    <w:rsid w:val="00F27F1A"/>
    <w:rsid w:val="00F3246A"/>
    <w:rsid w:val="00F43229"/>
    <w:rsid w:val="00F47D50"/>
    <w:rsid w:val="00F5515A"/>
    <w:rsid w:val="00F610F6"/>
    <w:rsid w:val="00F76D8D"/>
    <w:rsid w:val="00F81CC9"/>
    <w:rsid w:val="00F83D1A"/>
    <w:rsid w:val="00FA7ED6"/>
    <w:rsid w:val="00FB231F"/>
    <w:rsid w:val="00FB47AD"/>
    <w:rsid w:val="00FC1C7C"/>
    <w:rsid w:val="00FC65DA"/>
    <w:rsid w:val="00FD489A"/>
    <w:rsid w:val="00FE0CD1"/>
    <w:rsid w:val="00FE2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AB036"/>
  <w15:docId w15:val="{6AF98747-7424-4F7B-9719-E7266901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paragraph" w:styleId="NoSpacing">
    <w:name w:val="No Spacing"/>
    <w:aliases w:val="Paragraph"/>
    <w:link w:val="NoSpacingChar"/>
    <w:uiPriority w:val="1"/>
    <w:qFormat/>
    <w:rsid w:val="00A2386C"/>
    <w:rPr>
      <w:rFonts w:ascii="Calibri" w:eastAsia="Calibri" w:hAnsi="Calibri" w:cs="Calibri Light"/>
      <w:color w:val="00679B"/>
      <w:kern w:val="0"/>
      <w:sz w:val="22"/>
      <w:szCs w:val="22"/>
    </w:rPr>
  </w:style>
  <w:style w:type="character" w:customStyle="1" w:styleId="NoSpacingChar">
    <w:name w:val="No Spacing Char"/>
    <w:aliases w:val="Paragraph Char"/>
    <w:basedOn w:val="DefaultParagraphFont"/>
    <w:link w:val="NoSpacing"/>
    <w:uiPriority w:val="1"/>
    <w:rsid w:val="00A2386C"/>
    <w:rPr>
      <w:rFonts w:ascii="Calibri" w:eastAsia="Calibri" w:hAnsi="Calibri" w:cs="Calibri Light"/>
      <w:color w:val="00679B"/>
      <w:kern w:val="0"/>
      <w:sz w:val="22"/>
      <w:szCs w:val="22"/>
    </w:rPr>
  </w:style>
  <w:style w:type="paragraph" w:styleId="ListParagraph">
    <w:name w:val="List Paragraph"/>
    <w:basedOn w:val="Normal"/>
    <w:uiPriority w:val="34"/>
    <w:qFormat/>
    <w:rsid w:val="00B26C36"/>
    <w:pPr>
      <w:ind w:left="720"/>
      <w:contextualSpacing/>
      <w:jc w:val="both"/>
    </w:pPr>
    <w:rPr>
      <w:rFonts w:ascii="Arial Narrow" w:hAnsi="Arial Narrow"/>
      <w:color w:val="003366"/>
      <w:kern w:val="0"/>
      <w:sz w:val="22"/>
    </w:rPr>
  </w:style>
  <w:style w:type="paragraph" w:styleId="BalloonText">
    <w:name w:val="Balloon Text"/>
    <w:basedOn w:val="Normal"/>
    <w:link w:val="BalloonTextChar"/>
    <w:rsid w:val="00DB47A3"/>
    <w:rPr>
      <w:rFonts w:ascii="Segoe UI" w:hAnsi="Segoe UI" w:cs="Segoe UI"/>
      <w:sz w:val="18"/>
      <w:szCs w:val="18"/>
    </w:rPr>
  </w:style>
  <w:style w:type="character" w:customStyle="1" w:styleId="BalloonTextChar">
    <w:name w:val="Balloon Text Char"/>
    <w:basedOn w:val="DefaultParagraphFont"/>
    <w:link w:val="BalloonText"/>
    <w:rsid w:val="00DB47A3"/>
    <w:rPr>
      <w:rFonts w:ascii="Segoe UI" w:hAnsi="Segoe UI" w:cs="Segoe UI"/>
      <w:sz w:val="18"/>
      <w:szCs w:val="18"/>
    </w:rPr>
  </w:style>
  <w:style w:type="character" w:styleId="CommentReference">
    <w:name w:val="annotation reference"/>
    <w:basedOn w:val="DefaultParagraphFont"/>
    <w:semiHidden/>
    <w:unhideWhenUsed/>
    <w:rsid w:val="00154471"/>
    <w:rPr>
      <w:sz w:val="16"/>
      <w:szCs w:val="16"/>
    </w:rPr>
  </w:style>
  <w:style w:type="paragraph" w:styleId="CommentText">
    <w:name w:val="annotation text"/>
    <w:basedOn w:val="Normal"/>
    <w:link w:val="CommentTextChar"/>
    <w:semiHidden/>
    <w:unhideWhenUsed/>
    <w:rsid w:val="00154471"/>
    <w:rPr>
      <w:sz w:val="20"/>
      <w:szCs w:val="20"/>
    </w:rPr>
  </w:style>
  <w:style w:type="character" w:customStyle="1" w:styleId="CommentTextChar">
    <w:name w:val="Comment Text Char"/>
    <w:basedOn w:val="DefaultParagraphFont"/>
    <w:link w:val="CommentText"/>
    <w:semiHidden/>
    <w:rsid w:val="00154471"/>
  </w:style>
  <w:style w:type="paragraph" w:styleId="CommentSubject">
    <w:name w:val="annotation subject"/>
    <w:basedOn w:val="CommentText"/>
    <w:next w:val="CommentText"/>
    <w:link w:val="CommentSubjectChar"/>
    <w:semiHidden/>
    <w:unhideWhenUsed/>
    <w:rsid w:val="00154471"/>
    <w:rPr>
      <w:b/>
      <w:bCs/>
    </w:rPr>
  </w:style>
  <w:style w:type="character" w:customStyle="1" w:styleId="CommentSubjectChar">
    <w:name w:val="Comment Subject Char"/>
    <w:basedOn w:val="CommentTextChar"/>
    <w:link w:val="CommentSubject"/>
    <w:semiHidden/>
    <w:rsid w:val="00154471"/>
    <w:rPr>
      <w:b/>
      <w:bCs/>
    </w:rPr>
  </w:style>
  <w:style w:type="paragraph" w:styleId="Revision">
    <w:name w:val="Revision"/>
    <w:hidden/>
    <w:uiPriority w:val="99"/>
    <w:semiHidden/>
    <w:rsid w:val="003037C4"/>
    <w:rPr>
      <w:sz w:val="24"/>
      <w:szCs w:val="24"/>
    </w:rPr>
  </w:style>
  <w:style w:type="character" w:styleId="Hyperlink">
    <w:name w:val="Hyperlink"/>
    <w:basedOn w:val="DefaultParagraphFont"/>
    <w:unhideWhenUsed/>
    <w:rsid w:val="004A1800"/>
    <w:rPr>
      <w:color w:val="0000FF" w:themeColor="hyperlink"/>
      <w:u w:val="single"/>
    </w:rPr>
  </w:style>
  <w:style w:type="character" w:styleId="UnresolvedMention">
    <w:name w:val="Unresolved Mention"/>
    <w:basedOn w:val="DefaultParagraphFont"/>
    <w:uiPriority w:val="99"/>
    <w:semiHidden/>
    <w:unhideWhenUsed/>
    <w:rsid w:val="004A1800"/>
    <w:rPr>
      <w:color w:val="605E5C"/>
      <w:shd w:val="clear" w:color="auto" w:fill="E1DFDD"/>
    </w:rPr>
  </w:style>
  <w:style w:type="paragraph" w:styleId="Header">
    <w:name w:val="header"/>
    <w:basedOn w:val="Normal"/>
    <w:link w:val="HeaderChar"/>
    <w:unhideWhenUsed/>
    <w:rsid w:val="004A1800"/>
    <w:pPr>
      <w:tabs>
        <w:tab w:val="center" w:pos="4513"/>
        <w:tab w:val="right" w:pos="9026"/>
      </w:tabs>
    </w:pPr>
  </w:style>
  <w:style w:type="character" w:customStyle="1" w:styleId="HeaderChar">
    <w:name w:val="Header Char"/>
    <w:basedOn w:val="DefaultParagraphFont"/>
    <w:link w:val="Header"/>
    <w:rsid w:val="004A1800"/>
    <w:rPr>
      <w:sz w:val="24"/>
      <w:szCs w:val="24"/>
    </w:rPr>
  </w:style>
  <w:style w:type="paragraph" w:styleId="Footer">
    <w:name w:val="footer"/>
    <w:basedOn w:val="Normal"/>
    <w:link w:val="FooterChar"/>
    <w:uiPriority w:val="99"/>
    <w:unhideWhenUsed/>
    <w:rsid w:val="004A1800"/>
    <w:pPr>
      <w:tabs>
        <w:tab w:val="center" w:pos="4513"/>
        <w:tab w:val="right" w:pos="9026"/>
      </w:tabs>
    </w:pPr>
  </w:style>
  <w:style w:type="character" w:customStyle="1" w:styleId="FooterChar">
    <w:name w:val="Footer Char"/>
    <w:basedOn w:val="DefaultParagraphFont"/>
    <w:link w:val="Footer"/>
    <w:uiPriority w:val="99"/>
    <w:rsid w:val="004A1800"/>
    <w:rPr>
      <w:sz w:val="24"/>
      <w:szCs w:val="24"/>
    </w:rPr>
  </w:style>
  <w:style w:type="table" w:styleId="TableGrid">
    <w:name w:val="Table Grid"/>
    <w:basedOn w:val="TableNormal"/>
    <w:rsid w:val="004A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8372">
      <w:bodyDiv w:val="1"/>
      <w:marLeft w:val="0"/>
      <w:marRight w:val="0"/>
      <w:marTop w:val="0"/>
      <w:marBottom w:val="0"/>
      <w:divBdr>
        <w:top w:val="none" w:sz="0" w:space="0" w:color="auto"/>
        <w:left w:val="none" w:sz="0" w:space="0" w:color="auto"/>
        <w:bottom w:val="none" w:sz="0" w:space="0" w:color="auto"/>
        <w:right w:val="none" w:sz="0" w:space="0" w:color="auto"/>
      </w:divBdr>
    </w:div>
    <w:div w:id="251821901">
      <w:bodyDiv w:val="1"/>
      <w:marLeft w:val="0"/>
      <w:marRight w:val="0"/>
      <w:marTop w:val="0"/>
      <w:marBottom w:val="0"/>
      <w:divBdr>
        <w:top w:val="none" w:sz="0" w:space="0" w:color="auto"/>
        <w:left w:val="none" w:sz="0" w:space="0" w:color="auto"/>
        <w:bottom w:val="none" w:sz="0" w:space="0" w:color="auto"/>
        <w:right w:val="none" w:sz="0" w:space="0" w:color="auto"/>
      </w:divBdr>
    </w:div>
    <w:div w:id="448744734">
      <w:bodyDiv w:val="1"/>
      <w:marLeft w:val="0"/>
      <w:marRight w:val="0"/>
      <w:marTop w:val="0"/>
      <w:marBottom w:val="0"/>
      <w:divBdr>
        <w:top w:val="none" w:sz="0" w:space="0" w:color="auto"/>
        <w:left w:val="none" w:sz="0" w:space="0" w:color="auto"/>
        <w:bottom w:val="none" w:sz="0" w:space="0" w:color="auto"/>
        <w:right w:val="none" w:sz="0" w:space="0" w:color="auto"/>
      </w:divBdr>
    </w:div>
    <w:div w:id="504594161">
      <w:bodyDiv w:val="1"/>
      <w:marLeft w:val="0"/>
      <w:marRight w:val="0"/>
      <w:marTop w:val="0"/>
      <w:marBottom w:val="0"/>
      <w:divBdr>
        <w:top w:val="none" w:sz="0" w:space="0" w:color="auto"/>
        <w:left w:val="none" w:sz="0" w:space="0" w:color="auto"/>
        <w:bottom w:val="none" w:sz="0" w:space="0" w:color="auto"/>
        <w:right w:val="none" w:sz="0" w:space="0" w:color="auto"/>
      </w:divBdr>
    </w:div>
    <w:div w:id="1411002146">
      <w:bodyDiv w:val="1"/>
      <w:marLeft w:val="0"/>
      <w:marRight w:val="0"/>
      <w:marTop w:val="0"/>
      <w:marBottom w:val="0"/>
      <w:divBdr>
        <w:top w:val="none" w:sz="0" w:space="0" w:color="auto"/>
        <w:left w:val="none" w:sz="0" w:space="0" w:color="auto"/>
        <w:bottom w:val="none" w:sz="0" w:space="0" w:color="auto"/>
        <w:right w:val="none" w:sz="0" w:space="0" w:color="auto"/>
      </w:divBdr>
    </w:div>
    <w:div w:id="1465342553">
      <w:bodyDiv w:val="1"/>
      <w:marLeft w:val="0"/>
      <w:marRight w:val="0"/>
      <w:marTop w:val="0"/>
      <w:marBottom w:val="0"/>
      <w:divBdr>
        <w:top w:val="none" w:sz="0" w:space="0" w:color="auto"/>
        <w:left w:val="none" w:sz="0" w:space="0" w:color="auto"/>
        <w:bottom w:val="none" w:sz="0" w:space="0" w:color="auto"/>
        <w:right w:val="none" w:sz="0" w:space="0" w:color="auto"/>
      </w:divBdr>
    </w:div>
    <w:div w:id="1564482884">
      <w:bodyDiv w:val="1"/>
      <w:marLeft w:val="0"/>
      <w:marRight w:val="0"/>
      <w:marTop w:val="0"/>
      <w:marBottom w:val="0"/>
      <w:divBdr>
        <w:top w:val="none" w:sz="0" w:space="0" w:color="auto"/>
        <w:left w:val="none" w:sz="0" w:space="0" w:color="auto"/>
        <w:bottom w:val="none" w:sz="0" w:space="0" w:color="auto"/>
        <w:right w:val="none" w:sz="0" w:space="0" w:color="auto"/>
      </w:divBdr>
    </w:div>
    <w:div w:id="1602642596">
      <w:bodyDiv w:val="1"/>
      <w:marLeft w:val="0"/>
      <w:marRight w:val="0"/>
      <w:marTop w:val="0"/>
      <w:marBottom w:val="0"/>
      <w:divBdr>
        <w:top w:val="none" w:sz="0" w:space="0" w:color="auto"/>
        <w:left w:val="none" w:sz="0" w:space="0" w:color="auto"/>
        <w:bottom w:val="none" w:sz="0" w:space="0" w:color="auto"/>
        <w:right w:val="none" w:sz="0" w:space="0" w:color="auto"/>
      </w:divBdr>
    </w:div>
    <w:div w:id="2006787537">
      <w:bodyDiv w:val="1"/>
      <w:marLeft w:val="0"/>
      <w:marRight w:val="0"/>
      <w:marTop w:val="0"/>
      <w:marBottom w:val="0"/>
      <w:divBdr>
        <w:top w:val="none" w:sz="0" w:space="0" w:color="auto"/>
        <w:left w:val="none" w:sz="0" w:space="0" w:color="auto"/>
        <w:bottom w:val="none" w:sz="0" w:space="0" w:color="auto"/>
        <w:right w:val="none" w:sz="0" w:space="0" w:color="auto"/>
      </w:divBdr>
    </w:div>
    <w:div w:id="2056269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ebcast.openbriefing.com/pharming-q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08098-CD4F-4937-87C7-48E2540DF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011DF-04E0-4A48-8E41-C68F2D2086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50D46A-0CCF-4BA1-ABBF-3625DF1C6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3261</Words>
  <Characters>19097</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Q1 21 PR</vt:lpstr>
      <vt:lpstr>Q1 21 PR</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21 PR</dc:title>
  <dc:creator>Sijmen de Vries</dc:creator>
  <cp:lastModifiedBy>Varun Venkatesh</cp:lastModifiedBy>
  <cp:revision>2</cp:revision>
  <cp:lastPrinted>2021-05-12T12:55:00Z</cp:lastPrinted>
  <dcterms:created xsi:type="dcterms:W3CDTF">2021-05-13T04:04:00Z</dcterms:created>
  <dcterms:modified xsi:type="dcterms:W3CDTF">2021-05-13T04:04:00Z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