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6C73" w14:textId="6D89CCCC" w:rsidR="00203BD0" w:rsidRDefault="002B6EC2" w:rsidP="00714E59">
      <w:pPr>
        <w:tabs>
          <w:tab w:val="left" w:pos="9360"/>
        </w:tabs>
        <w:spacing w:before="60" w:after="120" w:line="240" w:lineRule="auto"/>
        <w:contextualSpacing/>
        <w:jc w:val="center"/>
        <w:rPr>
          <w:rFonts w:asciiTheme="majorHAnsi" w:eastAsia="Times New Roman" w:hAnsiTheme="majorHAnsi" w:cstheme="majorHAnsi"/>
          <w:b/>
          <w:bCs/>
          <w:snapToGrid w:val="0"/>
          <w:color w:val="00679B"/>
          <w:sz w:val="32"/>
          <w:szCs w:val="32"/>
        </w:rPr>
      </w:pPr>
      <w:r w:rsidRPr="004853FA">
        <w:rPr>
          <w:rFonts w:asciiTheme="majorHAnsi" w:eastAsia="Times New Roman" w:hAnsiTheme="majorHAnsi" w:cstheme="majorHAnsi"/>
          <w:b/>
          <w:bCs/>
          <w:snapToGrid w:val="0"/>
          <w:color w:val="00679B"/>
          <w:sz w:val="32"/>
          <w:szCs w:val="32"/>
        </w:rPr>
        <w:t xml:space="preserve">Pharming Group N.V. announces the </w:t>
      </w:r>
      <w:r w:rsidR="002709C3">
        <w:rPr>
          <w:rFonts w:asciiTheme="majorHAnsi" w:eastAsia="Times New Roman" w:hAnsiTheme="majorHAnsi" w:cstheme="majorHAnsi"/>
          <w:b/>
          <w:bCs/>
          <w:snapToGrid w:val="0"/>
          <w:color w:val="00679B"/>
          <w:sz w:val="32"/>
          <w:szCs w:val="32"/>
        </w:rPr>
        <w:t>r</w:t>
      </w:r>
      <w:r w:rsidR="00203BD0" w:rsidRPr="004853FA">
        <w:rPr>
          <w:rFonts w:asciiTheme="majorHAnsi" w:eastAsia="Times New Roman" w:hAnsiTheme="majorHAnsi" w:cstheme="majorHAnsi"/>
          <w:b/>
          <w:bCs/>
          <w:snapToGrid w:val="0"/>
          <w:color w:val="00679B"/>
          <w:sz w:val="32"/>
          <w:szCs w:val="32"/>
        </w:rPr>
        <w:t xml:space="preserve">eimbursement of </w:t>
      </w:r>
      <w:r w:rsidRPr="004853FA">
        <w:rPr>
          <w:rFonts w:asciiTheme="majorHAnsi" w:eastAsia="Times New Roman" w:hAnsiTheme="majorHAnsi" w:cstheme="majorHAnsi"/>
          <w:b/>
          <w:bCs/>
          <w:snapToGrid w:val="0"/>
          <w:color w:val="00679B"/>
          <w:sz w:val="32"/>
          <w:szCs w:val="32"/>
        </w:rPr>
        <w:t xml:space="preserve">RUCONEST® </w:t>
      </w:r>
      <w:r w:rsidR="00616DDD" w:rsidRPr="004853FA">
        <w:rPr>
          <w:rFonts w:asciiTheme="majorHAnsi" w:eastAsia="Times New Roman" w:hAnsiTheme="majorHAnsi" w:cstheme="majorHAnsi"/>
          <w:b/>
          <w:bCs/>
          <w:snapToGrid w:val="0"/>
          <w:color w:val="00679B"/>
          <w:sz w:val="32"/>
          <w:szCs w:val="32"/>
        </w:rPr>
        <w:t>in Spain</w:t>
      </w:r>
      <w:r w:rsidR="00927BF3" w:rsidRPr="004853FA">
        <w:rPr>
          <w:rFonts w:asciiTheme="majorHAnsi" w:eastAsia="Times New Roman" w:hAnsiTheme="majorHAnsi" w:cstheme="majorHAnsi"/>
          <w:b/>
          <w:bCs/>
          <w:snapToGrid w:val="0"/>
          <w:color w:val="00679B"/>
          <w:sz w:val="32"/>
          <w:szCs w:val="32"/>
        </w:rPr>
        <w:t xml:space="preserve"> </w:t>
      </w:r>
    </w:p>
    <w:p w14:paraId="5A829B6E" w14:textId="77777777" w:rsidR="00A575F1" w:rsidRPr="004853FA" w:rsidRDefault="00A575F1" w:rsidP="00714E59">
      <w:pPr>
        <w:tabs>
          <w:tab w:val="left" w:pos="9360"/>
        </w:tabs>
        <w:spacing w:before="60" w:after="120" w:line="240" w:lineRule="auto"/>
        <w:contextualSpacing/>
        <w:jc w:val="center"/>
        <w:rPr>
          <w:rFonts w:asciiTheme="majorHAnsi" w:eastAsia="Times New Roman" w:hAnsiTheme="majorHAnsi" w:cstheme="majorHAnsi"/>
          <w:b/>
          <w:bCs/>
          <w:snapToGrid w:val="0"/>
          <w:color w:val="00679B"/>
          <w:sz w:val="32"/>
          <w:szCs w:val="32"/>
        </w:rPr>
      </w:pPr>
    </w:p>
    <w:p w14:paraId="2999BCF2" w14:textId="771B4DEF" w:rsidR="00B942B2" w:rsidRDefault="00203BD0" w:rsidP="00624568">
      <w:pPr>
        <w:spacing w:before="120" w:after="120" w:line="240" w:lineRule="auto"/>
        <w:jc w:val="both"/>
        <w:rPr>
          <w:rFonts w:asciiTheme="majorHAnsi" w:eastAsia="Times New Roman" w:hAnsiTheme="majorHAnsi" w:cstheme="majorHAnsi"/>
          <w:color w:val="59595B"/>
          <w:szCs w:val="24"/>
        </w:rPr>
      </w:pPr>
      <w:r w:rsidRPr="004853FA">
        <w:rPr>
          <w:rStyle w:val="Emphasis"/>
          <w:rFonts w:asciiTheme="majorHAnsi" w:eastAsia="Times New Roman" w:hAnsiTheme="majorHAnsi" w:cstheme="majorHAnsi"/>
          <w:i/>
          <w:iCs/>
          <w:color w:val="00679B"/>
          <w:szCs w:val="24"/>
          <w:shd w:val="clear" w:color="auto" w:fill="FFFFFF"/>
        </w:rPr>
        <w:t xml:space="preserve">Leiden, The Netherlands, </w:t>
      </w:r>
      <w:r w:rsidR="00A575F1">
        <w:rPr>
          <w:rStyle w:val="Emphasis"/>
          <w:rFonts w:asciiTheme="majorHAnsi" w:eastAsia="Times New Roman" w:hAnsiTheme="majorHAnsi" w:cstheme="majorHAnsi"/>
          <w:i/>
          <w:iCs/>
          <w:color w:val="00679B"/>
          <w:szCs w:val="24"/>
          <w:shd w:val="clear" w:color="auto" w:fill="FFFFFF"/>
        </w:rPr>
        <w:t>4 June 2</w:t>
      </w:r>
      <w:r w:rsidR="0039154C" w:rsidRPr="004853FA">
        <w:rPr>
          <w:rStyle w:val="Emphasis"/>
          <w:rFonts w:asciiTheme="majorHAnsi" w:eastAsia="Times New Roman" w:hAnsiTheme="majorHAnsi" w:cstheme="majorHAnsi"/>
          <w:i/>
          <w:iCs/>
          <w:color w:val="00679B"/>
          <w:szCs w:val="24"/>
          <w:shd w:val="clear" w:color="auto" w:fill="FFFFFF"/>
        </w:rPr>
        <w:t>021</w:t>
      </w:r>
      <w:r w:rsidRPr="004853FA">
        <w:rPr>
          <w:rStyle w:val="Emphasis"/>
          <w:rFonts w:asciiTheme="majorHAnsi" w:eastAsia="Times New Roman" w:hAnsiTheme="majorHAnsi" w:cstheme="majorHAnsi"/>
          <w:i/>
          <w:iCs/>
          <w:color w:val="00679B"/>
          <w:szCs w:val="24"/>
          <w:shd w:val="clear" w:color="auto" w:fill="FFFFFF"/>
        </w:rPr>
        <w:t>:</w:t>
      </w:r>
      <w:r w:rsidRPr="00F412C0">
        <w:rPr>
          <w:color w:val="2F5496" w:themeColor="accent1" w:themeShade="BF"/>
        </w:rPr>
        <w:t xml:space="preserve"> </w:t>
      </w:r>
      <w:r w:rsidRPr="004853FA">
        <w:rPr>
          <w:rFonts w:asciiTheme="majorHAnsi" w:eastAsia="Times New Roman" w:hAnsiTheme="majorHAnsi" w:cstheme="majorHAnsi"/>
          <w:color w:val="59595B"/>
          <w:szCs w:val="24"/>
        </w:rPr>
        <w:t xml:space="preserve">Pharming Group N.V. (“Pharming” or “the Company”) (Euronext Amsterdam: PHARM/Nasdaq: PHAR) </w:t>
      </w:r>
      <w:r w:rsidR="00616DDD" w:rsidRPr="004853FA">
        <w:rPr>
          <w:rFonts w:asciiTheme="majorHAnsi" w:eastAsia="Times New Roman" w:hAnsiTheme="majorHAnsi" w:cstheme="majorHAnsi"/>
          <w:color w:val="59595B"/>
          <w:szCs w:val="24"/>
        </w:rPr>
        <w:t>announces that</w:t>
      </w:r>
      <w:r w:rsidR="00037F2E" w:rsidRPr="004853FA">
        <w:rPr>
          <w:rFonts w:asciiTheme="majorHAnsi" w:eastAsia="Times New Roman" w:hAnsiTheme="majorHAnsi" w:cstheme="majorHAnsi"/>
          <w:color w:val="59595B"/>
          <w:szCs w:val="24"/>
        </w:rPr>
        <w:t xml:space="preserve"> a</w:t>
      </w:r>
      <w:r w:rsidR="000A22A8" w:rsidRPr="004853FA">
        <w:rPr>
          <w:rFonts w:asciiTheme="majorHAnsi" w:eastAsia="Times New Roman" w:hAnsiTheme="majorHAnsi" w:cstheme="majorHAnsi"/>
          <w:color w:val="59595B"/>
          <w:szCs w:val="24"/>
        </w:rPr>
        <w:t>n agreement has been reached with the Spanish Ministry of Health to grant reimbursement for</w:t>
      </w:r>
      <w:r w:rsidR="004B5918" w:rsidRPr="004853FA">
        <w:rPr>
          <w:rFonts w:asciiTheme="majorHAnsi" w:eastAsia="Times New Roman" w:hAnsiTheme="majorHAnsi" w:cstheme="majorHAnsi"/>
          <w:color w:val="59595B"/>
          <w:szCs w:val="24"/>
        </w:rPr>
        <w:t xml:space="preserve"> </w:t>
      </w:r>
      <w:r w:rsidR="000A22A8" w:rsidRPr="004853FA">
        <w:rPr>
          <w:rFonts w:asciiTheme="majorHAnsi" w:eastAsia="Times New Roman" w:hAnsiTheme="majorHAnsi" w:cstheme="majorHAnsi"/>
          <w:color w:val="59595B"/>
          <w:szCs w:val="24"/>
        </w:rPr>
        <w:t xml:space="preserve">RUCONEST® </w:t>
      </w:r>
      <w:r w:rsidR="00DE2A9B">
        <w:rPr>
          <w:rFonts w:asciiTheme="majorHAnsi" w:eastAsia="Times New Roman" w:hAnsiTheme="majorHAnsi" w:cstheme="majorHAnsi"/>
          <w:color w:val="59595B"/>
          <w:szCs w:val="24"/>
        </w:rPr>
        <w:t>(</w:t>
      </w:r>
      <w:r w:rsidR="00DE2A9B" w:rsidRPr="00DE2A9B">
        <w:rPr>
          <w:rFonts w:asciiTheme="majorHAnsi" w:eastAsia="Times New Roman" w:hAnsiTheme="majorHAnsi" w:cstheme="majorHAnsi"/>
          <w:color w:val="59595B"/>
          <w:szCs w:val="24"/>
        </w:rPr>
        <w:t xml:space="preserve">conestat alfa) </w:t>
      </w:r>
      <w:r w:rsidR="000A22A8" w:rsidRPr="004853FA">
        <w:rPr>
          <w:rFonts w:asciiTheme="majorHAnsi" w:eastAsia="Times New Roman" w:hAnsiTheme="majorHAnsi" w:cstheme="majorHAnsi"/>
          <w:color w:val="59595B"/>
          <w:szCs w:val="24"/>
        </w:rPr>
        <w:t xml:space="preserve">in Spain. </w:t>
      </w:r>
    </w:p>
    <w:p w14:paraId="07B81CE2" w14:textId="06E067E9" w:rsidR="00CE1ECA" w:rsidRPr="004853FA" w:rsidRDefault="004B5918" w:rsidP="00624568">
      <w:pPr>
        <w:spacing w:before="120" w:after="120" w:line="240" w:lineRule="auto"/>
        <w:jc w:val="both"/>
        <w:rPr>
          <w:rFonts w:asciiTheme="majorHAnsi" w:eastAsia="Times New Roman" w:hAnsiTheme="majorHAnsi" w:cstheme="majorHAnsi"/>
          <w:color w:val="59595B"/>
          <w:szCs w:val="24"/>
        </w:rPr>
      </w:pPr>
      <w:r w:rsidRPr="004853FA">
        <w:rPr>
          <w:rFonts w:asciiTheme="majorHAnsi" w:eastAsia="Times New Roman" w:hAnsiTheme="majorHAnsi" w:cstheme="majorHAnsi"/>
          <w:color w:val="59595B"/>
          <w:szCs w:val="24"/>
        </w:rPr>
        <w:t>RUCONEST</w:t>
      </w:r>
      <w:r w:rsidR="00616DDD" w:rsidRPr="004853FA">
        <w:rPr>
          <w:rFonts w:asciiTheme="majorHAnsi" w:eastAsia="Times New Roman" w:hAnsiTheme="majorHAnsi" w:cstheme="majorHAnsi"/>
          <w:color w:val="59595B"/>
          <w:szCs w:val="24"/>
        </w:rPr>
        <w:t>®</w:t>
      </w:r>
      <w:r w:rsidRPr="004853FA">
        <w:rPr>
          <w:rFonts w:asciiTheme="majorHAnsi" w:eastAsia="Times New Roman" w:hAnsiTheme="majorHAnsi" w:cstheme="majorHAnsi"/>
          <w:color w:val="59595B"/>
          <w:szCs w:val="24"/>
        </w:rPr>
        <w:t xml:space="preserve"> is </w:t>
      </w:r>
      <w:r w:rsidR="000A22A8" w:rsidRPr="004853FA">
        <w:rPr>
          <w:rFonts w:asciiTheme="majorHAnsi" w:eastAsia="Times New Roman" w:hAnsiTheme="majorHAnsi" w:cstheme="majorHAnsi"/>
          <w:color w:val="59595B"/>
          <w:szCs w:val="24"/>
        </w:rPr>
        <w:t xml:space="preserve">the first and only plasma-free </w:t>
      </w:r>
      <w:r w:rsidR="00DE2A9B" w:rsidRPr="004853FA">
        <w:rPr>
          <w:rFonts w:asciiTheme="majorHAnsi" w:eastAsia="Times New Roman" w:hAnsiTheme="majorHAnsi" w:cstheme="majorHAnsi"/>
          <w:color w:val="59595B"/>
          <w:szCs w:val="24"/>
        </w:rPr>
        <w:t xml:space="preserve">recombinant </w:t>
      </w:r>
      <w:r w:rsidR="00DE2A9B">
        <w:rPr>
          <w:rFonts w:asciiTheme="majorHAnsi" w:eastAsia="Times New Roman" w:hAnsiTheme="majorHAnsi" w:cstheme="majorHAnsi"/>
          <w:color w:val="59595B"/>
          <w:szCs w:val="24"/>
        </w:rPr>
        <w:t>human C</w:t>
      </w:r>
      <w:r w:rsidR="000258A8" w:rsidRPr="004853FA">
        <w:rPr>
          <w:rFonts w:asciiTheme="majorHAnsi" w:eastAsia="Times New Roman" w:hAnsiTheme="majorHAnsi" w:cstheme="majorHAnsi"/>
          <w:color w:val="59595B"/>
          <w:szCs w:val="24"/>
        </w:rPr>
        <w:t>1 esterase inhibitor (</w:t>
      </w:r>
      <w:r w:rsidR="000A22A8" w:rsidRPr="004853FA">
        <w:rPr>
          <w:rFonts w:asciiTheme="majorHAnsi" w:eastAsia="Times New Roman" w:hAnsiTheme="majorHAnsi" w:cstheme="majorHAnsi"/>
          <w:color w:val="59595B"/>
          <w:szCs w:val="24"/>
        </w:rPr>
        <w:t>rhC1INH</w:t>
      </w:r>
      <w:r w:rsidR="000258A8" w:rsidRPr="004853FA">
        <w:rPr>
          <w:rFonts w:asciiTheme="majorHAnsi" w:eastAsia="Times New Roman" w:hAnsiTheme="majorHAnsi" w:cstheme="majorHAnsi"/>
          <w:color w:val="59595B"/>
          <w:szCs w:val="24"/>
        </w:rPr>
        <w:t>)</w:t>
      </w:r>
      <w:r w:rsidR="000A22A8" w:rsidRPr="004853FA">
        <w:rPr>
          <w:rFonts w:asciiTheme="majorHAnsi" w:eastAsia="Times New Roman" w:hAnsiTheme="majorHAnsi" w:cstheme="majorHAnsi"/>
          <w:color w:val="59595B"/>
          <w:szCs w:val="24"/>
        </w:rPr>
        <w:t xml:space="preserve"> protein replacement therapy</w:t>
      </w:r>
      <w:r w:rsidR="00AB4A0B" w:rsidRPr="004853FA">
        <w:rPr>
          <w:rFonts w:asciiTheme="majorHAnsi" w:eastAsia="Times New Roman" w:hAnsiTheme="majorHAnsi" w:cstheme="majorHAnsi"/>
          <w:color w:val="59595B"/>
          <w:szCs w:val="24"/>
        </w:rPr>
        <w:t xml:space="preserve"> approved for the treatment of acute hereditary angioedema (HAE) attacks</w:t>
      </w:r>
      <w:r w:rsidR="00D27E94" w:rsidRPr="004853FA">
        <w:rPr>
          <w:rFonts w:asciiTheme="majorHAnsi" w:eastAsia="Times New Roman" w:hAnsiTheme="majorHAnsi" w:cstheme="majorHAnsi"/>
          <w:color w:val="59595B"/>
          <w:szCs w:val="24"/>
        </w:rPr>
        <w:t xml:space="preserve"> </w:t>
      </w:r>
      <w:r w:rsidR="00760868" w:rsidRPr="004853FA">
        <w:rPr>
          <w:rFonts w:asciiTheme="majorHAnsi" w:eastAsia="Times New Roman" w:hAnsiTheme="majorHAnsi" w:cstheme="majorHAnsi"/>
          <w:color w:val="59595B"/>
          <w:szCs w:val="24"/>
        </w:rPr>
        <w:t xml:space="preserve">in adults and </w:t>
      </w:r>
      <w:r w:rsidR="003516DC" w:rsidRPr="004853FA">
        <w:rPr>
          <w:rFonts w:asciiTheme="majorHAnsi" w:eastAsia="Times New Roman" w:hAnsiTheme="majorHAnsi" w:cstheme="majorHAnsi"/>
          <w:color w:val="59595B"/>
          <w:szCs w:val="24"/>
        </w:rPr>
        <w:t>children aged 2 years and over</w:t>
      </w:r>
      <w:r w:rsidR="00E2501F" w:rsidRPr="004853FA">
        <w:rPr>
          <w:rFonts w:asciiTheme="majorHAnsi" w:eastAsia="Times New Roman" w:hAnsiTheme="majorHAnsi" w:cstheme="majorHAnsi"/>
          <w:color w:val="59595B"/>
          <w:szCs w:val="24"/>
        </w:rPr>
        <w:t>.</w:t>
      </w:r>
      <w:r w:rsidR="002E0C0C" w:rsidRPr="004853FA">
        <w:rPr>
          <w:rFonts w:asciiTheme="majorHAnsi" w:eastAsia="Times New Roman" w:hAnsiTheme="majorHAnsi" w:cstheme="majorHAnsi"/>
          <w:color w:val="59595B"/>
          <w:szCs w:val="24"/>
          <w:vertAlign w:val="superscript"/>
        </w:rPr>
        <w:t>1</w:t>
      </w:r>
      <w:r w:rsidR="00E2501F" w:rsidRPr="004853FA">
        <w:rPr>
          <w:rFonts w:asciiTheme="majorHAnsi" w:eastAsia="Times New Roman" w:hAnsiTheme="majorHAnsi" w:cstheme="majorHAnsi"/>
          <w:color w:val="59595B"/>
          <w:szCs w:val="24"/>
        </w:rPr>
        <w:t xml:space="preserve"> </w:t>
      </w:r>
    </w:p>
    <w:p w14:paraId="076F9291" w14:textId="16646851" w:rsidR="00CE1ECA" w:rsidRPr="004853FA" w:rsidRDefault="00CE1ECA" w:rsidP="00624568">
      <w:pPr>
        <w:spacing w:before="120" w:after="120" w:line="240" w:lineRule="auto"/>
        <w:jc w:val="both"/>
        <w:rPr>
          <w:rFonts w:asciiTheme="majorHAnsi" w:eastAsia="Times New Roman" w:hAnsiTheme="majorHAnsi" w:cstheme="majorHAnsi"/>
          <w:color w:val="59595B"/>
          <w:szCs w:val="24"/>
        </w:rPr>
      </w:pPr>
      <w:r w:rsidRPr="004853FA">
        <w:rPr>
          <w:rFonts w:asciiTheme="majorHAnsi" w:eastAsia="Times New Roman" w:hAnsiTheme="majorHAnsi" w:cstheme="majorHAnsi"/>
          <w:color w:val="59595B"/>
          <w:szCs w:val="24"/>
        </w:rPr>
        <w:t>HAE is a rare genetic condition char</w:t>
      </w:r>
      <w:r w:rsidRPr="00624568">
        <w:rPr>
          <w:rFonts w:asciiTheme="majorHAnsi" w:eastAsia="Times New Roman" w:hAnsiTheme="majorHAnsi" w:cstheme="majorHAnsi"/>
          <w:color w:val="59595B"/>
          <w:szCs w:val="24"/>
        </w:rPr>
        <w:t>acterized by recurrent, unpredictable episodic swellings of mucosal or cutaneous sites, causing pain, disfigurement, and disability</w:t>
      </w:r>
      <w:r w:rsidR="00DE2A9B" w:rsidRPr="00624568">
        <w:rPr>
          <w:rFonts w:asciiTheme="majorHAnsi" w:eastAsia="Times New Roman" w:hAnsiTheme="majorHAnsi" w:cstheme="majorHAnsi"/>
          <w:color w:val="59595B"/>
          <w:szCs w:val="24"/>
        </w:rPr>
        <w:t>,</w:t>
      </w:r>
      <w:r w:rsidRPr="00624568">
        <w:rPr>
          <w:rFonts w:asciiTheme="majorHAnsi" w:eastAsia="Times New Roman" w:hAnsiTheme="majorHAnsi" w:cstheme="majorHAnsi"/>
          <w:color w:val="59595B"/>
          <w:szCs w:val="24"/>
        </w:rPr>
        <w:t xml:space="preserve"> which last </w:t>
      </w:r>
      <w:r w:rsidR="00A62060" w:rsidRPr="00624568">
        <w:rPr>
          <w:rFonts w:asciiTheme="majorHAnsi" w:eastAsia="Times New Roman" w:hAnsiTheme="majorHAnsi" w:cstheme="majorHAnsi"/>
          <w:color w:val="59595B"/>
          <w:szCs w:val="24"/>
        </w:rPr>
        <w:t xml:space="preserve">for </w:t>
      </w:r>
      <w:r w:rsidRPr="00624568">
        <w:rPr>
          <w:rFonts w:asciiTheme="majorHAnsi" w:eastAsia="Times New Roman" w:hAnsiTheme="majorHAnsi" w:cstheme="majorHAnsi"/>
          <w:color w:val="59595B"/>
          <w:szCs w:val="24"/>
        </w:rPr>
        <w:t>hours and</w:t>
      </w:r>
      <w:r w:rsidR="00DE2A9B" w:rsidRPr="00624568">
        <w:rPr>
          <w:rFonts w:asciiTheme="majorHAnsi" w:eastAsia="Times New Roman" w:hAnsiTheme="majorHAnsi" w:cstheme="majorHAnsi"/>
          <w:color w:val="59595B"/>
          <w:szCs w:val="24"/>
        </w:rPr>
        <w:t>,</w:t>
      </w:r>
      <w:r w:rsidRPr="00624568">
        <w:rPr>
          <w:rFonts w:asciiTheme="majorHAnsi" w:eastAsia="Times New Roman" w:hAnsiTheme="majorHAnsi" w:cstheme="majorHAnsi"/>
          <w:color w:val="59595B"/>
          <w:szCs w:val="24"/>
        </w:rPr>
        <w:t xml:space="preserve"> occasionally</w:t>
      </w:r>
      <w:r w:rsidR="00A62060" w:rsidRPr="00624568">
        <w:rPr>
          <w:rFonts w:asciiTheme="majorHAnsi" w:eastAsia="Times New Roman" w:hAnsiTheme="majorHAnsi" w:cstheme="majorHAnsi"/>
          <w:color w:val="59595B"/>
          <w:szCs w:val="24"/>
        </w:rPr>
        <w:t>,</w:t>
      </w:r>
      <w:r w:rsidRPr="00624568">
        <w:rPr>
          <w:rFonts w:asciiTheme="majorHAnsi" w:eastAsia="Times New Roman" w:hAnsiTheme="majorHAnsi" w:cstheme="majorHAnsi"/>
          <w:color w:val="59595B"/>
          <w:szCs w:val="24"/>
        </w:rPr>
        <w:t xml:space="preserve"> several days.</w:t>
      </w:r>
      <w:r w:rsidR="002E0C0C" w:rsidRPr="00624568">
        <w:rPr>
          <w:rFonts w:asciiTheme="majorHAnsi" w:eastAsia="Times New Roman" w:hAnsiTheme="majorHAnsi" w:cstheme="majorHAnsi"/>
          <w:color w:val="59595B"/>
          <w:szCs w:val="24"/>
          <w:vertAlign w:val="superscript"/>
        </w:rPr>
        <w:t>2</w:t>
      </w:r>
      <w:r w:rsidRPr="00624568">
        <w:rPr>
          <w:rFonts w:asciiTheme="majorHAnsi" w:eastAsia="Times New Roman" w:hAnsiTheme="majorHAnsi" w:cstheme="majorHAnsi"/>
          <w:color w:val="59595B"/>
          <w:szCs w:val="24"/>
        </w:rPr>
        <w:t xml:space="preserve"> For affected patients, the disorder</w:t>
      </w:r>
      <w:r w:rsidRPr="004853FA">
        <w:rPr>
          <w:rFonts w:asciiTheme="majorHAnsi" w:eastAsia="Times New Roman" w:hAnsiTheme="majorHAnsi" w:cstheme="majorHAnsi"/>
          <w:color w:val="59595B"/>
          <w:szCs w:val="24"/>
        </w:rPr>
        <w:t xml:space="preserve"> is disabling and can sometimes even be fatal</w:t>
      </w:r>
      <w:r w:rsidR="000175E4" w:rsidRPr="004853FA">
        <w:rPr>
          <w:rFonts w:asciiTheme="majorHAnsi" w:eastAsia="Times New Roman" w:hAnsiTheme="majorHAnsi" w:cstheme="majorHAnsi"/>
          <w:color w:val="59595B"/>
          <w:szCs w:val="24"/>
        </w:rPr>
        <w:t xml:space="preserve"> if not treated</w:t>
      </w:r>
      <w:r w:rsidR="00165975" w:rsidRPr="004853FA">
        <w:rPr>
          <w:rFonts w:asciiTheme="majorHAnsi" w:eastAsia="Times New Roman" w:hAnsiTheme="majorHAnsi" w:cstheme="majorHAnsi"/>
          <w:color w:val="59595B"/>
          <w:szCs w:val="24"/>
        </w:rPr>
        <w:t>.</w:t>
      </w:r>
      <w:r w:rsidR="000175E4" w:rsidRPr="004853FA">
        <w:rPr>
          <w:rFonts w:asciiTheme="majorHAnsi" w:eastAsia="Times New Roman" w:hAnsiTheme="majorHAnsi" w:cstheme="majorHAnsi"/>
          <w:color w:val="59595B"/>
          <w:szCs w:val="24"/>
          <w:vertAlign w:val="superscript"/>
        </w:rPr>
        <w:t>2</w:t>
      </w:r>
    </w:p>
    <w:p w14:paraId="2DC1A462" w14:textId="1956D412" w:rsidR="000A22A8" w:rsidRPr="004853FA" w:rsidRDefault="00616DDD" w:rsidP="00624568">
      <w:pPr>
        <w:spacing w:before="120" w:after="120" w:line="240" w:lineRule="auto"/>
        <w:jc w:val="both"/>
        <w:rPr>
          <w:rFonts w:asciiTheme="majorHAnsi" w:eastAsia="Times New Roman" w:hAnsiTheme="majorHAnsi" w:cstheme="majorHAnsi"/>
          <w:color w:val="59595B"/>
          <w:szCs w:val="24"/>
        </w:rPr>
      </w:pPr>
      <w:r w:rsidRPr="004853FA">
        <w:rPr>
          <w:rFonts w:asciiTheme="majorHAnsi" w:eastAsia="Times New Roman" w:hAnsiTheme="majorHAnsi" w:cstheme="majorHAnsi"/>
          <w:color w:val="59595B"/>
          <w:szCs w:val="24"/>
        </w:rPr>
        <w:t>Clinical trial evidence has demonstrated th</w:t>
      </w:r>
      <w:r w:rsidR="003B4FEC" w:rsidRPr="004853FA">
        <w:rPr>
          <w:rFonts w:asciiTheme="majorHAnsi" w:eastAsia="Times New Roman" w:hAnsiTheme="majorHAnsi" w:cstheme="majorHAnsi"/>
          <w:color w:val="59595B"/>
          <w:szCs w:val="24"/>
        </w:rPr>
        <w:t>at</w:t>
      </w:r>
      <w:r w:rsidRPr="004853FA">
        <w:rPr>
          <w:rFonts w:asciiTheme="majorHAnsi" w:eastAsia="Times New Roman" w:hAnsiTheme="majorHAnsi" w:cstheme="majorHAnsi"/>
          <w:color w:val="59595B"/>
          <w:szCs w:val="24"/>
        </w:rPr>
        <w:t xml:space="preserve"> rhC1INH is efficacious and well</w:t>
      </w:r>
      <w:r w:rsidR="006221C2" w:rsidRPr="004853FA">
        <w:rPr>
          <w:rFonts w:asciiTheme="majorHAnsi" w:eastAsia="Times New Roman" w:hAnsiTheme="majorHAnsi" w:cstheme="majorHAnsi"/>
          <w:color w:val="59595B"/>
          <w:szCs w:val="24"/>
        </w:rPr>
        <w:t>-</w:t>
      </w:r>
      <w:r w:rsidRPr="004853FA">
        <w:rPr>
          <w:rFonts w:asciiTheme="majorHAnsi" w:eastAsia="Times New Roman" w:hAnsiTheme="majorHAnsi" w:cstheme="majorHAnsi"/>
          <w:color w:val="59595B"/>
          <w:szCs w:val="24"/>
        </w:rPr>
        <w:t xml:space="preserve">tolerated, and these results have been further confirmed </w:t>
      </w:r>
      <w:r w:rsidR="006221C2" w:rsidRPr="004853FA">
        <w:rPr>
          <w:rFonts w:asciiTheme="majorHAnsi" w:eastAsia="Times New Roman" w:hAnsiTheme="majorHAnsi" w:cstheme="majorHAnsi"/>
          <w:color w:val="59595B"/>
          <w:szCs w:val="24"/>
        </w:rPr>
        <w:t xml:space="preserve">in </w:t>
      </w:r>
      <w:r w:rsidRPr="004853FA">
        <w:rPr>
          <w:rFonts w:asciiTheme="majorHAnsi" w:eastAsia="Times New Roman" w:hAnsiTheme="majorHAnsi" w:cstheme="majorHAnsi"/>
          <w:color w:val="59595B"/>
          <w:szCs w:val="24"/>
        </w:rPr>
        <w:t>real-world observational studies</w:t>
      </w:r>
      <w:r w:rsidR="006221C2" w:rsidRPr="004853FA">
        <w:rPr>
          <w:rFonts w:asciiTheme="majorHAnsi" w:eastAsia="Times New Roman" w:hAnsiTheme="majorHAnsi" w:cstheme="majorHAnsi"/>
          <w:color w:val="59595B"/>
          <w:szCs w:val="24"/>
        </w:rPr>
        <w:t>.</w:t>
      </w:r>
      <w:r w:rsidR="003B4FEC" w:rsidRPr="004853FA">
        <w:rPr>
          <w:rFonts w:asciiTheme="majorHAnsi" w:eastAsia="Times New Roman" w:hAnsiTheme="majorHAnsi" w:cstheme="majorHAnsi"/>
          <w:color w:val="59595B"/>
          <w:szCs w:val="24"/>
          <w:vertAlign w:val="superscript"/>
        </w:rPr>
        <w:t>3-7</w:t>
      </w:r>
    </w:p>
    <w:p w14:paraId="54426488" w14:textId="77777777" w:rsidR="00F37981" w:rsidRPr="00624568" w:rsidRDefault="00F37981" w:rsidP="00624568">
      <w:pPr>
        <w:spacing w:before="120" w:after="120"/>
        <w:rPr>
          <w:rStyle w:val="Emphasis"/>
          <w:rFonts w:asciiTheme="majorHAnsi" w:eastAsia="Times New Roman" w:hAnsiTheme="majorHAnsi" w:cstheme="majorHAnsi"/>
          <w:color w:val="59595B"/>
          <w:szCs w:val="24"/>
          <w:shd w:val="clear" w:color="auto" w:fill="FFFFFF"/>
        </w:rPr>
      </w:pPr>
      <w:r w:rsidRPr="00624568">
        <w:rPr>
          <w:rStyle w:val="Emphasis"/>
          <w:rFonts w:asciiTheme="majorHAnsi" w:eastAsia="Times New Roman" w:hAnsiTheme="majorHAnsi" w:cstheme="majorHAnsi"/>
          <w:color w:val="59595B"/>
          <w:szCs w:val="24"/>
          <w:shd w:val="clear" w:color="auto" w:fill="FFFFFF"/>
        </w:rPr>
        <w:t xml:space="preserve">Mrs Sarah Smith, The President of the Spanish HAE Patient Association (AEDAF), said: </w:t>
      </w:r>
    </w:p>
    <w:p w14:paraId="4C4E1639" w14:textId="28A56B8E" w:rsidR="00F37981" w:rsidRPr="00624568" w:rsidRDefault="00F37981" w:rsidP="00624568">
      <w:pPr>
        <w:spacing w:before="120" w:after="120"/>
        <w:rPr>
          <w:rFonts w:asciiTheme="majorHAnsi" w:eastAsia="Times New Roman" w:hAnsiTheme="majorHAnsi" w:cstheme="majorHAnsi"/>
          <w:i/>
          <w:iCs/>
          <w:color w:val="59595B"/>
          <w:szCs w:val="24"/>
        </w:rPr>
      </w:pPr>
      <w:r w:rsidRPr="00624568">
        <w:rPr>
          <w:rFonts w:asciiTheme="majorHAnsi" w:eastAsia="Times New Roman" w:hAnsiTheme="majorHAnsi" w:cstheme="majorHAnsi"/>
          <w:i/>
          <w:iCs/>
          <w:color w:val="59595B"/>
          <w:szCs w:val="24"/>
        </w:rPr>
        <w:t>“AEDAF, the Spanish HAE Patient Association, welcomes the approval of new treatments which might help alleviate the suffering of patients with HAE.”</w:t>
      </w:r>
    </w:p>
    <w:p w14:paraId="4BD8824E" w14:textId="3C2CE1B4" w:rsidR="00624568" w:rsidRDefault="002709C3" w:rsidP="00624568">
      <w:pPr>
        <w:spacing w:before="120" w:after="120" w:line="240" w:lineRule="auto"/>
        <w:jc w:val="both"/>
        <w:rPr>
          <w:rFonts w:asciiTheme="majorHAnsi" w:eastAsia="Times New Roman" w:hAnsiTheme="majorHAnsi" w:cstheme="majorHAnsi"/>
          <w:color w:val="59595B"/>
          <w:szCs w:val="24"/>
        </w:rPr>
      </w:pPr>
      <w:r w:rsidRPr="00624568">
        <w:rPr>
          <w:rStyle w:val="Emphasis"/>
          <w:rFonts w:asciiTheme="majorHAnsi" w:eastAsia="Times New Roman" w:hAnsiTheme="majorHAnsi" w:cstheme="majorHAnsi"/>
          <w:color w:val="59595B"/>
          <w:szCs w:val="24"/>
          <w:shd w:val="clear" w:color="auto" w:fill="FFFFFF"/>
        </w:rPr>
        <w:t>Sijmen de Vries, Chief Executive Officer of Pharming, commented:</w:t>
      </w:r>
      <w:r w:rsidR="00624568" w:rsidRPr="00624568">
        <w:rPr>
          <w:rStyle w:val="Emphasis"/>
          <w:rFonts w:asciiTheme="majorHAnsi" w:eastAsia="Times New Roman" w:hAnsiTheme="majorHAnsi" w:cstheme="majorHAnsi"/>
          <w:color w:val="59595B"/>
          <w:szCs w:val="24"/>
          <w:shd w:val="clear" w:color="auto" w:fill="FFFFFF"/>
        </w:rPr>
        <w:t xml:space="preserve"> </w:t>
      </w:r>
    </w:p>
    <w:p w14:paraId="2201FED4" w14:textId="2ADFDC6E" w:rsidR="00037F2E" w:rsidRPr="00624568" w:rsidRDefault="00F412C0" w:rsidP="00624568">
      <w:pPr>
        <w:spacing w:before="120" w:after="120" w:line="240" w:lineRule="auto"/>
        <w:jc w:val="both"/>
        <w:rPr>
          <w:rFonts w:asciiTheme="majorHAnsi" w:eastAsia="Times New Roman" w:hAnsiTheme="majorHAnsi" w:cstheme="majorHAnsi"/>
          <w:i/>
          <w:iCs/>
          <w:color w:val="59595B"/>
          <w:szCs w:val="24"/>
        </w:rPr>
      </w:pPr>
      <w:r w:rsidRPr="00624568">
        <w:rPr>
          <w:rFonts w:asciiTheme="majorHAnsi" w:eastAsia="Times New Roman" w:hAnsiTheme="majorHAnsi" w:cstheme="majorHAnsi"/>
          <w:i/>
          <w:iCs/>
          <w:color w:val="59595B"/>
          <w:szCs w:val="24"/>
        </w:rPr>
        <w:t>“</w:t>
      </w:r>
      <w:r w:rsidR="00930CB1" w:rsidRPr="00624568">
        <w:rPr>
          <w:rFonts w:asciiTheme="majorHAnsi" w:eastAsia="Times New Roman" w:hAnsiTheme="majorHAnsi" w:cstheme="majorHAnsi"/>
          <w:i/>
          <w:iCs/>
          <w:color w:val="59595B"/>
          <w:szCs w:val="24"/>
        </w:rPr>
        <w:t xml:space="preserve">We are delighted with this </w:t>
      </w:r>
      <w:r w:rsidR="004853FA" w:rsidRPr="00624568">
        <w:rPr>
          <w:rFonts w:asciiTheme="majorHAnsi" w:eastAsia="Times New Roman" w:hAnsiTheme="majorHAnsi" w:cstheme="majorHAnsi"/>
          <w:i/>
          <w:iCs/>
          <w:color w:val="59595B"/>
          <w:szCs w:val="24"/>
        </w:rPr>
        <w:t xml:space="preserve">positive reimbursement </w:t>
      </w:r>
      <w:r w:rsidR="00930CB1" w:rsidRPr="00624568">
        <w:rPr>
          <w:rFonts w:asciiTheme="majorHAnsi" w:eastAsia="Times New Roman" w:hAnsiTheme="majorHAnsi" w:cstheme="majorHAnsi"/>
          <w:i/>
          <w:iCs/>
          <w:color w:val="59595B"/>
          <w:szCs w:val="24"/>
        </w:rPr>
        <w:t xml:space="preserve">decision by the Spanish Ministry of Health, as it means </w:t>
      </w:r>
      <w:r w:rsidR="004853FA" w:rsidRPr="00624568">
        <w:rPr>
          <w:rFonts w:asciiTheme="majorHAnsi" w:eastAsia="Times New Roman" w:hAnsiTheme="majorHAnsi" w:cstheme="majorHAnsi"/>
          <w:i/>
          <w:iCs/>
          <w:color w:val="59595B"/>
          <w:szCs w:val="24"/>
        </w:rPr>
        <w:t xml:space="preserve">patients in </w:t>
      </w:r>
      <w:r w:rsidR="00FD7E9B">
        <w:rPr>
          <w:rFonts w:asciiTheme="majorHAnsi" w:eastAsia="Times New Roman" w:hAnsiTheme="majorHAnsi" w:cstheme="majorHAnsi"/>
          <w:i/>
          <w:iCs/>
          <w:color w:val="59595B"/>
          <w:szCs w:val="24"/>
        </w:rPr>
        <w:t xml:space="preserve">Spain </w:t>
      </w:r>
      <w:r w:rsidR="001227AA">
        <w:rPr>
          <w:rFonts w:asciiTheme="majorHAnsi" w:eastAsia="Times New Roman" w:hAnsiTheme="majorHAnsi" w:cstheme="majorHAnsi"/>
          <w:i/>
          <w:iCs/>
          <w:color w:val="59595B"/>
          <w:szCs w:val="24"/>
        </w:rPr>
        <w:t xml:space="preserve">in </w:t>
      </w:r>
      <w:r w:rsidR="004853FA" w:rsidRPr="00624568">
        <w:rPr>
          <w:rFonts w:asciiTheme="majorHAnsi" w:eastAsia="Times New Roman" w:hAnsiTheme="majorHAnsi" w:cstheme="majorHAnsi"/>
          <w:i/>
          <w:iCs/>
          <w:color w:val="59595B"/>
          <w:szCs w:val="24"/>
        </w:rPr>
        <w:t xml:space="preserve">need of new treatment options </w:t>
      </w:r>
      <w:r w:rsidR="007D2BAB" w:rsidRPr="00624568">
        <w:rPr>
          <w:rFonts w:asciiTheme="majorHAnsi" w:eastAsia="Times New Roman" w:hAnsiTheme="majorHAnsi" w:cstheme="majorHAnsi"/>
          <w:i/>
          <w:iCs/>
          <w:color w:val="59595B"/>
          <w:szCs w:val="24"/>
        </w:rPr>
        <w:t xml:space="preserve">for hereditary angioedema </w:t>
      </w:r>
      <w:r w:rsidR="004853FA" w:rsidRPr="00624568">
        <w:rPr>
          <w:rFonts w:asciiTheme="majorHAnsi" w:eastAsia="Times New Roman" w:hAnsiTheme="majorHAnsi" w:cstheme="majorHAnsi"/>
          <w:i/>
          <w:iCs/>
          <w:color w:val="59595B"/>
          <w:szCs w:val="24"/>
        </w:rPr>
        <w:t>will now be able to access RUCONEST®. W</w:t>
      </w:r>
      <w:r w:rsidR="00616DDD" w:rsidRPr="00624568">
        <w:rPr>
          <w:rFonts w:asciiTheme="majorHAnsi" w:eastAsia="Times New Roman" w:hAnsiTheme="majorHAnsi" w:cstheme="majorHAnsi"/>
          <w:i/>
          <w:iCs/>
          <w:color w:val="59595B"/>
          <w:szCs w:val="24"/>
        </w:rPr>
        <w:t xml:space="preserve">e look forward to working with the Spanish healthcare community to ensure </w:t>
      </w:r>
      <w:r w:rsidR="007D2BAB" w:rsidRPr="00624568">
        <w:rPr>
          <w:rFonts w:asciiTheme="majorHAnsi" w:eastAsia="Times New Roman" w:hAnsiTheme="majorHAnsi" w:cstheme="majorHAnsi"/>
          <w:i/>
          <w:iCs/>
          <w:color w:val="59595B"/>
          <w:szCs w:val="24"/>
        </w:rPr>
        <w:t xml:space="preserve">a </w:t>
      </w:r>
      <w:r w:rsidR="00616DDD" w:rsidRPr="00624568">
        <w:rPr>
          <w:rFonts w:asciiTheme="majorHAnsi" w:eastAsia="Times New Roman" w:hAnsiTheme="majorHAnsi" w:cstheme="majorHAnsi"/>
          <w:i/>
          <w:iCs/>
          <w:color w:val="59595B"/>
          <w:szCs w:val="24"/>
        </w:rPr>
        <w:t xml:space="preserve">rapid </w:t>
      </w:r>
      <w:r w:rsidR="007D2BAB" w:rsidRPr="00624568">
        <w:rPr>
          <w:rFonts w:asciiTheme="majorHAnsi" w:eastAsia="Times New Roman" w:hAnsiTheme="majorHAnsi" w:cstheme="majorHAnsi"/>
          <w:i/>
          <w:iCs/>
          <w:color w:val="59595B"/>
          <w:szCs w:val="24"/>
        </w:rPr>
        <w:t xml:space="preserve">rollout </w:t>
      </w:r>
      <w:r w:rsidR="00616DDD" w:rsidRPr="00624568">
        <w:rPr>
          <w:rFonts w:asciiTheme="majorHAnsi" w:eastAsia="Times New Roman" w:hAnsiTheme="majorHAnsi" w:cstheme="majorHAnsi"/>
          <w:i/>
          <w:iCs/>
          <w:color w:val="59595B"/>
          <w:szCs w:val="24"/>
        </w:rPr>
        <w:t xml:space="preserve">of </w:t>
      </w:r>
      <w:r w:rsidR="007D2BAB" w:rsidRPr="00624568">
        <w:rPr>
          <w:rFonts w:asciiTheme="majorHAnsi" w:eastAsia="Times New Roman" w:hAnsiTheme="majorHAnsi" w:cstheme="majorHAnsi"/>
          <w:i/>
          <w:iCs/>
          <w:color w:val="59595B"/>
          <w:szCs w:val="24"/>
        </w:rPr>
        <w:t xml:space="preserve">the </w:t>
      </w:r>
      <w:r w:rsidR="00616DDD" w:rsidRPr="00624568">
        <w:rPr>
          <w:rFonts w:asciiTheme="majorHAnsi" w:eastAsia="Times New Roman" w:hAnsiTheme="majorHAnsi" w:cstheme="majorHAnsi"/>
          <w:i/>
          <w:iCs/>
          <w:color w:val="59595B"/>
          <w:szCs w:val="24"/>
        </w:rPr>
        <w:t>product</w:t>
      </w:r>
      <w:r w:rsidR="002709C3" w:rsidRPr="00624568">
        <w:rPr>
          <w:rFonts w:asciiTheme="majorHAnsi" w:eastAsia="Times New Roman" w:hAnsiTheme="majorHAnsi" w:cstheme="majorHAnsi"/>
          <w:i/>
          <w:iCs/>
          <w:color w:val="59595B"/>
          <w:szCs w:val="24"/>
        </w:rPr>
        <w:t>.</w:t>
      </w:r>
      <w:r w:rsidR="00165975" w:rsidRPr="00624568">
        <w:rPr>
          <w:rFonts w:asciiTheme="majorHAnsi" w:eastAsia="Times New Roman" w:hAnsiTheme="majorHAnsi" w:cstheme="majorHAnsi"/>
          <w:i/>
          <w:iCs/>
          <w:color w:val="59595B"/>
          <w:szCs w:val="24"/>
        </w:rPr>
        <w:t xml:space="preserve">” </w:t>
      </w:r>
    </w:p>
    <w:p w14:paraId="2D9DBAB8" w14:textId="69C97C4F" w:rsidR="00D1031F" w:rsidRDefault="00D1031F" w:rsidP="00166C69">
      <w:pPr>
        <w:autoSpaceDE w:val="0"/>
        <w:autoSpaceDN w:val="0"/>
        <w:adjustRightInd w:val="0"/>
        <w:spacing w:after="0" w:line="240" w:lineRule="auto"/>
        <w:rPr>
          <w:rFonts w:cstheme="minorHAnsi"/>
        </w:rPr>
      </w:pPr>
    </w:p>
    <w:p w14:paraId="75AB6954" w14:textId="42DA3AD9" w:rsidR="002709C3" w:rsidRPr="004853FA" w:rsidRDefault="000A22A8" w:rsidP="00624568">
      <w:pPr>
        <w:autoSpaceDE w:val="0"/>
        <w:autoSpaceDN w:val="0"/>
        <w:spacing w:before="120" w:after="120" w:line="240" w:lineRule="auto"/>
        <w:contextualSpacing/>
        <w:jc w:val="both"/>
        <w:rPr>
          <w:rStyle w:val="Emphasis"/>
          <w:rFonts w:asciiTheme="majorHAnsi" w:eastAsia="Times New Roman" w:hAnsiTheme="majorHAnsi" w:cstheme="majorHAnsi"/>
          <w:color w:val="00679B"/>
          <w:szCs w:val="24"/>
          <w:shd w:val="clear" w:color="auto" w:fill="FFFFFF"/>
        </w:rPr>
      </w:pPr>
      <w:r w:rsidRPr="004853FA">
        <w:rPr>
          <w:rStyle w:val="Emphasis"/>
          <w:rFonts w:asciiTheme="majorHAnsi" w:eastAsia="Times New Roman" w:hAnsiTheme="majorHAnsi" w:cstheme="majorHAnsi"/>
          <w:color w:val="00679B"/>
          <w:szCs w:val="24"/>
          <w:shd w:val="clear" w:color="auto" w:fill="FFFFFF"/>
        </w:rPr>
        <w:t xml:space="preserve">About Pharming Group N.V. </w:t>
      </w:r>
    </w:p>
    <w:p w14:paraId="3B1996D3" w14:textId="77777777" w:rsidR="002709C3" w:rsidRPr="002709C3" w:rsidRDefault="002709C3" w:rsidP="00624568">
      <w:pPr>
        <w:spacing w:before="120" w:after="120" w:line="240" w:lineRule="auto"/>
        <w:jc w:val="both"/>
        <w:rPr>
          <w:rFonts w:asciiTheme="majorHAnsi" w:eastAsia="Times New Roman" w:hAnsiTheme="majorHAnsi" w:cstheme="majorHAnsi"/>
          <w:bCs/>
          <w:color w:val="59595B"/>
          <w:szCs w:val="24"/>
        </w:rPr>
      </w:pPr>
      <w:r w:rsidRPr="002709C3">
        <w:rPr>
          <w:rFonts w:asciiTheme="majorHAnsi" w:eastAsia="Times New Roman" w:hAnsiTheme="majorHAnsi" w:cstheme="majorHAnsi"/>
          <w:bCs/>
          <w:color w:val="59595B"/>
          <w:szCs w:val="24"/>
        </w:rPr>
        <w:t xml:space="preserve">Pharming Group N.V. is a global, commercial stage biopharmaceutical company developing innovative protein replacement therapies and precision medicines for the treatment of rare diseases and unmet medical needs. </w:t>
      </w:r>
    </w:p>
    <w:p w14:paraId="5FBBF01F" w14:textId="77777777" w:rsidR="002709C3" w:rsidRPr="002709C3" w:rsidRDefault="002709C3" w:rsidP="00624568">
      <w:pPr>
        <w:spacing w:before="120" w:after="120" w:line="240" w:lineRule="auto"/>
        <w:jc w:val="both"/>
        <w:rPr>
          <w:rFonts w:asciiTheme="majorHAnsi" w:eastAsia="Times New Roman" w:hAnsiTheme="majorHAnsi" w:cstheme="majorHAnsi"/>
          <w:bCs/>
          <w:color w:val="59595B"/>
          <w:szCs w:val="24"/>
        </w:rPr>
      </w:pPr>
      <w:r w:rsidRPr="002709C3">
        <w:rPr>
          <w:rFonts w:asciiTheme="majorHAnsi" w:eastAsia="Times New Roman" w:hAnsiTheme="majorHAnsi" w:cstheme="majorHAnsi"/>
          <w:bCs/>
          <w:color w:val="59595B"/>
          <w:szCs w:val="24"/>
        </w:rPr>
        <w:t xml:space="preserve">The flagship of our portfolio is our recombinant human C1 esterase inhibitor (rhC1INH) franchise. C1INH is a naturally occurring protein that down regulates the complement and contact cascades in order to control inflammation in affected tissues. </w:t>
      </w:r>
    </w:p>
    <w:p w14:paraId="47F7BC70" w14:textId="77777777" w:rsidR="002709C3" w:rsidRPr="002709C3" w:rsidRDefault="002709C3" w:rsidP="00624568">
      <w:pPr>
        <w:spacing w:before="120" w:after="120" w:line="240" w:lineRule="auto"/>
        <w:jc w:val="both"/>
        <w:rPr>
          <w:rFonts w:asciiTheme="majorHAnsi" w:eastAsia="Times New Roman" w:hAnsiTheme="majorHAnsi" w:cstheme="majorHAnsi"/>
          <w:bCs/>
          <w:color w:val="59595B"/>
          <w:szCs w:val="24"/>
        </w:rPr>
      </w:pPr>
      <w:r w:rsidRPr="002709C3">
        <w:rPr>
          <w:rFonts w:asciiTheme="majorHAnsi" w:eastAsia="Times New Roman" w:hAnsiTheme="majorHAnsi" w:cstheme="majorHAnsi"/>
          <w:bCs/>
          <w:color w:val="59595B"/>
          <w:szCs w:val="24"/>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0604F31A" w14:textId="77777777" w:rsidR="002709C3" w:rsidRPr="002709C3" w:rsidRDefault="002709C3" w:rsidP="00624568">
      <w:pPr>
        <w:spacing w:before="120" w:after="120" w:line="240" w:lineRule="auto"/>
        <w:jc w:val="both"/>
        <w:rPr>
          <w:rFonts w:asciiTheme="majorHAnsi" w:eastAsia="Times New Roman" w:hAnsiTheme="majorHAnsi" w:cstheme="majorHAnsi"/>
          <w:bCs/>
          <w:color w:val="59595B"/>
          <w:szCs w:val="24"/>
        </w:rPr>
      </w:pPr>
      <w:r w:rsidRPr="002709C3">
        <w:rPr>
          <w:rFonts w:asciiTheme="majorHAnsi" w:eastAsia="Times New Roman" w:hAnsiTheme="majorHAnsi" w:cstheme="majorHAnsi"/>
          <w:bCs/>
          <w:color w:val="59595B"/>
          <w:szCs w:val="24"/>
        </w:rPr>
        <w:t xml:space="preserve">In addition, we are investigating the clinical efficacy of rhC1INH in the treatment of further indications, including pre-eclampsia, acute kidney injury, and severe pneumonia as a result of COVID-19 infections. </w:t>
      </w:r>
    </w:p>
    <w:p w14:paraId="2D8AEAAA" w14:textId="05BF3720" w:rsidR="00C7398F" w:rsidRDefault="002709C3" w:rsidP="00624568">
      <w:pPr>
        <w:spacing w:before="120" w:after="120"/>
        <w:rPr>
          <w:rFonts w:cstheme="minorHAnsi"/>
          <w:b/>
          <w:bCs/>
          <w:sz w:val="20"/>
          <w:szCs w:val="20"/>
        </w:rPr>
      </w:pPr>
      <w:r w:rsidRPr="002709C3">
        <w:rPr>
          <w:rFonts w:asciiTheme="majorHAnsi" w:eastAsia="Times New Roman" w:hAnsiTheme="majorHAnsi" w:cstheme="majorHAnsi"/>
          <w:bCs/>
          <w:color w:val="59595B"/>
          <w:szCs w:val="24"/>
        </w:rPr>
        <w:t>Furthermore, we are leveraging our transgenic manufacturing technology to develop next-generation protein replacement therapies, most notably for Pompe disease, which is currently in preclinical development.</w:t>
      </w:r>
    </w:p>
    <w:p w14:paraId="466C003A" w14:textId="77777777" w:rsidR="001B63EB" w:rsidRDefault="001B63EB" w:rsidP="00624568">
      <w:pPr>
        <w:autoSpaceDE w:val="0"/>
        <w:autoSpaceDN w:val="0"/>
        <w:spacing w:before="120" w:after="120" w:line="240" w:lineRule="auto"/>
        <w:contextualSpacing/>
        <w:rPr>
          <w:rFonts w:asciiTheme="majorHAnsi" w:eastAsia="Times New Roman" w:hAnsiTheme="majorHAnsi" w:cstheme="majorHAnsi"/>
          <w:b/>
          <w:bCs/>
          <w:color w:val="00679B"/>
          <w:szCs w:val="24"/>
          <w:shd w:val="clear" w:color="auto" w:fill="FFFFFF"/>
        </w:rPr>
      </w:pPr>
    </w:p>
    <w:p w14:paraId="3EEE9828" w14:textId="0486E781"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b/>
          <w:bCs/>
          <w:color w:val="00679B"/>
          <w:szCs w:val="24"/>
          <w:shd w:val="clear" w:color="auto" w:fill="FFFFFF"/>
        </w:rPr>
      </w:pPr>
      <w:r w:rsidRPr="004853FA">
        <w:rPr>
          <w:rFonts w:asciiTheme="majorHAnsi" w:eastAsia="Times New Roman" w:hAnsiTheme="majorHAnsi" w:cstheme="majorHAnsi"/>
          <w:b/>
          <w:bCs/>
          <w:color w:val="00679B"/>
          <w:szCs w:val="24"/>
          <w:shd w:val="clear" w:color="auto" w:fill="FFFFFF"/>
        </w:rPr>
        <w:t xml:space="preserve">Forward-looking Statements </w:t>
      </w:r>
    </w:p>
    <w:p w14:paraId="62500DE5" w14:textId="77777777" w:rsidR="004853FA" w:rsidRPr="004853FA" w:rsidRDefault="004853FA" w:rsidP="00624568">
      <w:pPr>
        <w:spacing w:before="120" w:after="120" w:line="240" w:lineRule="auto"/>
        <w:jc w:val="both"/>
        <w:rPr>
          <w:rFonts w:asciiTheme="majorHAnsi" w:eastAsia="Calibri" w:hAnsiTheme="majorHAnsi" w:cstheme="majorHAnsi"/>
          <w:i/>
          <w:color w:val="59595B"/>
          <w:szCs w:val="24"/>
          <w:lang w:val="en-US"/>
        </w:rPr>
      </w:pPr>
      <w:r w:rsidRPr="004853FA">
        <w:rPr>
          <w:rFonts w:asciiTheme="majorHAnsi" w:eastAsia="Calibri" w:hAnsiTheme="majorHAnsi" w:cstheme="majorHAnsi"/>
          <w:i/>
          <w:color w:val="59595B"/>
          <w:szCs w:val="24"/>
          <w:lang w:val="en-US"/>
        </w:rPr>
        <w:t xml:space="preserve">This press release contains forward-looking statements, including with respect to timing and progress of Pharming’s preclinical studies and clinical trials of its product candidates, Pharming’s clinical and </w:t>
      </w:r>
      <w:r w:rsidRPr="004853FA">
        <w:rPr>
          <w:rFonts w:asciiTheme="majorHAnsi" w:eastAsia="Calibri" w:hAnsiTheme="majorHAnsi" w:cstheme="majorHAnsi"/>
          <w:i/>
          <w:color w:val="59595B"/>
          <w:szCs w:val="24"/>
          <w:lang w:val="en-US"/>
        </w:rPr>
        <w:lastRenderedPageBreak/>
        <w:t>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34320274"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bCs/>
          <w:i/>
          <w:iCs/>
          <w:color w:val="59595B"/>
          <w:szCs w:val="24"/>
          <w:lang w:val="en-US"/>
        </w:rPr>
      </w:pPr>
    </w:p>
    <w:p w14:paraId="7D94E411"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b/>
          <w:bCs/>
          <w:color w:val="00679B"/>
          <w:szCs w:val="24"/>
          <w:shd w:val="clear" w:color="auto" w:fill="FFFFFF"/>
        </w:rPr>
      </w:pPr>
      <w:r w:rsidRPr="004853FA">
        <w:rPr>
          <w:rFonts w:asciiTheme="majorHAnsi" w:eastAsia="Times New Roman" w:hAnsiTheme="majorHAnsi" w:cstheme="majorHAnsi"/>
          <w:b/>
          <w:bCs/>
          <w:color w:val="00679B"/>
          <w:szCs w:val="24"/>
          <w:shd w:val="clear" w:color="auto" w:fill="FFFFFF"/>
        </w:rPr>
        <w:t>Inside Information</w:t>
      </w:r>
    </w:p>
    <w:p w14:paraId="53FE6EC3"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bCs/>
          <w:i/>
          <w:iCs/>
          <w:color w:val="59595B"/>
          <w:szCs w:val="24"/>
        </w:rPr>
      </w:pPr>
      <w:r w:rsidRPr="004853FA">
        <w:rPr>
          <w:rFonts w:asciiTheme="majorHAnsi" w:eastAsia="Times New Roman" w:hAnsiTheme="majorHAnsi" w:cstheme="majorHAnsi"/>
          <w:bCs/>
          <w:i/>
          <w:iCs/>
          <w:color w:val="59595B"/>
          <w:szCs w:val="24"/>
        </w:rPr>
        <w:t>This press release relates to the disclosure of information that qualifies, or may have qualified, as inside information within the meaning of Article 7(1) of the EU Market Abuse Regulation.</w:t>
      </w:r>
    </w:p>
    <w:p w14:paraId="62EC2227"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b/>
          <w:bCs/>
          <w:color w:val="00679B"/>
          <w:szCs w:val="24"/>
          <w:shd w:val="clear" w:color="auto" w:fill="FFFFFF"/>
        </w:rPr>
      </w:pPr>
    </w:p>
    <w:p w14:paraId="17E720EA"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b/>
          <w:bCs/>
          <w:color w:val="00679B"/>
          <w:szCs w:val="24"/>
          <w:shd w:val="clear" w:color="auto" w:fill="FFFFFF"/>
        </w:rPr>
      </w:pPr>
      <w:r w:rsidRPr="004853FA">
        <w:rPr>
          <w:rFonts w:asciiTheme="majorHAnsi" w:eastAsia="Times New Roman" w:hAnsiTheme="majorHAnsi" w:cstheme="majorHAnsi"/>
          <w:b/>
          <w:bCs/>
          <w:color w:val="00679B"/>
          <w:szCs w:val="24"/>
          <w:shd w:val="clear" w:color="auto" w:fill="FFFFFF"/>
        </w:rPr>
        <w:t>For further public information, contact:</w:t>
      </w:r>
    </w:p>
    <w:p w14:paraId="18E67652"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i/>
          <w:iCs/>
          <w:color w:val="59595B"/>
          <w:szCs w:val="24"/>
        </w:rPr>
      </w:pPr>
      <w:r w:rsidRPr="004853FA">
        <w:rPr>
          <w:rFonts w:asciiTheme="majorHAnsi" w:eastAsia="Times New Roman" w:hAnsiTheme="majorHAnsi" w:cstheme="majorHAnsi"/>
          <w:i/>
          <w:iCs/>
          <w:color w:val="59595B"/>
          <w:szCs w:val="24"/>
        </w:rPr>
        <w:t>Pharming Group, Leiden, The Netherlands</w:t>
      </w:r>
    </w:p>
    <w:p w14:paraId="5C55DBF0"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color w:val="59595B"/>
          <w:szCs w:val="24"/>
        </w:rPr>
      </w:pPr>
      <w:r w:rsidRPr="004853FA">
        <w:rPr>
          <w:rFonts w:asciiTheme="majorHAnsi" w:eastAsia="Times New Roman" w:hAnsiTheme="majorHAnsi" w:cstheme="majorHAnsi"/>
          <w:color w:val="59595B"/>
          <w:szCs w:val="24"/>
        </w:rPr>
        <w:t>Sijmen de Vries, CEO: T: +31 71 524 7400</w:t>
      </w:r>
    </w:p>
    <w:p w14:paraId="64E37036" w14:textId="6B850359"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color w:val="59595B"/>
          <w:szCs w:val="24"/>
        </w:rPr>
      </w:pPr>
      <w:r w:rsidRPr="004853FA">
        <w:rPr>
          <w:rFonts w:asciiTheme="majorHAnsi" w:eastAsia="Times New Roman" w:hAnsiTheme="majorHAnsi" w:cstheme="majorHAnsi"/>
          <w:color w:val="59595B"/>
          <w:szCs w:val="24"/>
        </w:rPr>
        <w:t xml:space="preserve">Susanne Embleton, Investor Relations Manager: T: +31 71 524 7400 E: </w:t>
      </w:r>
      <w:hyperlink r:id="rId8" w:history="1">
        <w:r w:rsidR="009A6F4F" w:rsidRPr="009D66CF">
          <w:rPr>
            <w:rStyle w:val="Hyperlink"/>
            <w:rFonts w:asciiTheme="majorHAnsi" w:eastAsia="Times New Roman" w:hAnsiTheme="majorHAnsi" w:cstheme="majorHAnsi"/>
            <w:szCs w:val="24"/>
          </w:rPr>
          <w:t>investor@pharming.com</w:t>
        </w:r>
      </w:hyperlink>
      <w:r w:rsidR="009A6F4F">
        <w:rPr>
          <w:rFonts w:asciiTheme="majorHAnsi" w:eastAsia="Times New Roman" w:hAnsiTheme="majorHAnsi" w:cstheme="majorHAnsi"/>
          <w:color w:val="59595B"/>
          <w:szCs w:val="24"/>
        </w:rPr>
        <w:t xml:space="preserve"> </w:t>
      </w:r>
    </w:p>
    <w:p w14:paraId="68E2A223" w14:textId="77777777" w:rsidR="00624568" w:rsidRDefault="00624568" w:rsidP="00624568">
      <w:pPr>
        <w:autoSpaceDE w:val="0"/>
        <w:autoSpaceDN w:val="0"/>
        <w:spacing w:before="120" w:after="120" w:line="240" w:lineRule="auto"/>
        <w:contextualSpacing/>
        <w:rPr>
          <w:rFonts w:asciiTheme="majorHAnsi" w:eastAsia="Times New Roman" w:hAnsiTheme="majorHAnsi" w:cstheme="majorHAnsi"/>
          <w:i/>
          <w:iCs/>
          <w:color w:val="59595B"/>
          <w:szCs w:val="24"/>
        </w:rPr>
      </w:pPr>
    </w:p>
    <w:p w14:paraId="3DE275C1" w14:textId="2072A2F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b/>
          <w:bCs/>
          <w:color w:val="59595B"/>
          <w:szCs w:val="24"/>
        </w:rPr>
      </w:pPr>
      <w:r w:rsidRPr="004853FA">
        <w:rPr>
          <w:rFonts w:asciiTheme="majorHAnsi" w:eastAsia="Times New Roman" w:hAnsiTheme="majorHAnsi" w:cstheme="majorHAnsi"/>
          <w:i/>
          <w:iCs/>
          <w:color w:val="59595B"/>
          <w:szCs w:val="24"/>
        </w:rPr>
        <w:t>FTI Consulting, London, UK</w:t>
      </w:r>
    </w:p>
    <w:p w14:paraId="33CC3F89"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color w:val="59595B"/>
          <w:szCs w:val="24"/>
        </w:rPr>
      </w:pPr>
      <w:r w:rsidRPr="004853FA">
        <w:rPr>
          <w:rFonts w:asciiTheme="majorHAnsi" w:eastAsia="Times New Roman" w:hAnsiTheme="majorHAnsi" w:cstheme="majorHAnsi"/>
          <w:color w:val="59595B"/>
          <w:szCs w:val="24"/>
        </w:rPr>
        <w:t xml:space="preserve">Victoria Foster Mitchell/Alex Shaw </w:t>
      </w:r>
    </w:p>
    <w:p w14:paraId="3DAE3D1E"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color w:val="59595B"/>
          <w:szCs w:val="24"/>
        </w:rPr>
      </w:pPr>
      <w:r w:rsidRPr="004853FA">
        <w:rPr>
          <w:rFonts w:asciiTheme="majorHAnsi" w:eastAsia="Times New Roman" w:hAnsiTheme="majorHAnsi" w:cstheme="majorHAnsi"/>
          <w:color w:val="59595B"/>
          <w:szCs w:val="24"/>
        </w:rPr>
        <w:t>T: +44 203 727 1000</w:t>
      </w:r>
    </w:p>
    <w:p w14:paraId="606B7346"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i/>
          <w:iCs/>
          <w:color w:val="59595B"/>
          <w:szCs w:val="24"/>
        </w:rPr>
      </w:pPr>
    </w:p>
    <w:p w14:paraId="15323A4B"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i/>
          <w:iCs/>
          <w:color w:val="59595B"/>
          <w:szCs w:val="24"/>
        </w:rPr>
      </w:pPr>
      <w:r w:rsidRPr="004853FA">
        <w:rPr>
          <w:rFonts w:asciiTheme="majorHAnsi" w:eastAsia="Times New Roman" w:hAnsiTheme="majorHAnsi" w:cstheme="majorHAnsi"/>
          <w:i/>
          <w:iCs/>
          <w:color w:val="59595B"/>
          <w:szCs w:val="24"/>
        </w:rPr>
        <w:t>LifeSpring Life Sciences Communication, Amsterdam, The Netherlands</w:t>
      </w:r>
    </w:p>
    <w:p w14:paraId="42F31E5F"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color w:val="59595B"/>
          <w:szCs w:val="24"/>
          <w:lang w:val="nl-NL"/>
        </w:rPr>
      </w:pPr>
      <w:r w:rsidRPr="004853FA">
        <w:rPr>
          <w:rFonts w:asciiTheme="majorHAnsi" w:eastAsia="Times New Roman" w:hAnsiTheme="majorHAnsi" w:cstheme="majorHAnsi"/>
          <w:color w:val="59595B"/>
          <w:szCs w:val="24"/>
          <w:lang w:val="nl-NL"/>
        </w:rPr>
        <w:t>Leon Melens</w:t>
      </w:r>
    </w:p>
    <w:p w14:paraId="03E0F529" w14:textId="77777777" w:rsidR="004853FA" w:rsidRPr="004853FA" w:rsidRDefault="004853FA" w:rsidP="00624568">
      <w:pPr>
        <w:autoSpaceDE w:val="0"/>
        <w:autoSpaceDN w:val="0"/>
        <w:spacing w:before="120" w:after="120" w:line="240" w:lineRule="auto"/>
        <w:contextualSpacing/>
        <w:rPr>
          <w:rFonts w:asciiTheme="majorHAnsi" w:eastAsia="Times New Roman" w:hAnsiTheme="majorHAnsi" w:cstheme="majorHAnsi"/>
          <w:color w:val="59595B"/>
          <w:szCs w:val="24"/>
          <w:lang w:val="nl-NL"/>
        </w:rPr>
      </w:pPr>
      <w:r w:rsidRPr="004853FA">
        <w:rPr>
          <w:rFonts w:asciiTheme="majorHAnsi" w:eastAsia="Times New Roman" w:hAnsiTheme="majorHAnsi" w:cstheme="majorHAnsi"/>
          <w:color w:val="59595B"/>
          <w:szCs w:val="24"/>
          <w:lang w:val="nl-NL"/>
        </w:rPr>
        <w:t>T: +31 6 53 81 64 27</w:t>
      </w:r>
    </w:p>
    <w:p w14:paraId="300D3AB3" w14:textId="4B787F1D" w:rsidR="007752CC" w:rsidRDefault="004853FA" w:rsidP="00624568">
      <w:pPr>
        <w:autoSpaceDE w:val="0"/>
        <w:autoSpaceDN w:val="0"/>
        <w:spacing w:before="120" w:after="120" w:line="240" w:lineRule="auto"/>
        <w:contextualSpacing/>
        <w:rPr>
          <w:rFonts w:asciiTheme="majorHAnsi" w:eastAsia="Times New Roman" w:hAnsiTheme="majorHAnsi" w:cstheme="majorHAnsi"/>
          <w:color w:val="0563C1" w:themeColor="hyperlink"/>
          <w:szCs w:val="24"/>
          <w:u w:val="single"/>
          <w:lang w:val="nl-NL"/>
        </w:rPr>
      </w:pPr>
      <w:r w:rsidRPr="004853FA">
        <w:rPr>
          <w:rFonts w:asciiTheme="majorHAnsi" w:eastAsia="Times New Roman" w:hAnsiTheme="majorHAnsi" w:cstheme="majorHAnsi"/>
          <w:color w:val="59595B"/>
          <w:szCs w:val="24"/>
          <w:lang w:val="nl-NL"/>
        </w:rPr>
        <w:t xml:space="preserve">E: </w:t>
      </w:r>
      <w:hyperlink r:id="rId9" w:history="1">
        <w:r w:rsidRPr="004853FA">
          <w:rPr>
            <w:rFonts w:asciiTheme="majorHAnsi" w:eastAsia="Times New Roman" w:hAnsiTheme="majorHAnsi" w:cstheme="majorHAnsi"/>
            <w:color w:val="0563C1" w:themeColor="hyperlink"/>
            <w:szCs w:val="24"/>
            <w:u w:val="single"/>
            <w:lang w:val="nl-NL"/>
          </w:rPr>
          <w:t>pharming@lifespring.nl</w:t>
        </w:r>
      </w:hyperlink>
    </w:p>
    <w:p w14:paraId="30F98D3F" w14:textId="77777777" w:rsidR="00D0539E" w:rsidRPr="00F37981" w:rsidRDefault="00D0539E" w:rsidP="00624568">
      <w:pPr>
        <w:autoSpaceDE w:val="0"/>
        <w:autoSpaceDN w:val="0"/>
        <w:spacing w:before="120" w:after="120" w:line="240" w:lineRule="auto"/>
        <w:contextualSpacing/>
        <w:rPr>
          <w:rFonts w:asciiTheme="majorHAnsi" w:eastAsia="Times New Roman" w:hAnsiTheme="majorHAnsi" w:cstheme="majorHAnsi"/>
          <w:color w:val="59595B"/>
          <w:szCs w:val="24"/>
          <w:lang w:val="nl-NL"/>
        </w:rPr>
      </w:pPr>
    </w:p>
    <w:p w14:paraId="70AC7ABB" w14:textId="77777777" w:rsidR="00D0539E" w:rsidRPr="00E939C9" w:rsidRDefault="00D0539E" w:rsidP="00624568">
      <w:pPr>
        <w:autoSpaceDE w:val="0"/>
        <w:autoSpaceDN w:val="0"/>
        <w:spacing w:before="120" w:after="120" w:line="240" w:lineRule="auto"/>
        <w:contextualSpacing/>
        <w:rPr>
          <w:rFonts w:asciiTheme="majorHAnsi" w:eastAsia="Times New Roman" w:hAnsiTheme="majorHAnsi" w:cstheme="majorHAnsi"/>
          <w:b/>
          <w:bCs/>
          <w:color w:val="00679B"/>
          <w:szCs w:val="24"/>
          <w:shd w:val="clear" w:color="auto" w:fill="FFFFFF"/>
        </w:rPr>
      </w:pPr>
      <w:r w:rsidRPr="00E939C9">
        <w:rPr>
          <w:rFonts w:asciiTheme="majorHAnsi" w:eastAsia="Times New Roman" w:hAnsiTheme="majorHAnsi" w:cstheme="majorHAnsi"/>
          <w:b/>
          <w:bCs/>
          <w:color w:val="00679B"/>
          <w:szCs w:val="24"/>
          <w:shd w:val="clear" w:color="auto" w:fill="FFFFFF"/>
        </w:rPr>
        <w:t>References</w:t>
      </w:r>
    </w:p>
    <w:p w14:paraId="23ED57C3" w14:textId="5017E38E" w:rsidR="00D0539E" w:rsidRPr="00E939C9" w:rsidRDefault="00F37981" w:rsidP="00624568">
      <w:pPr>
        <w:pStyle w:val="ListParagraph"/>
        <w:numPr>
          <w:ilvl w:val="0"/>
          <w:numId w:val="4"/>
        </w:numPr>
        <w:autoSpaceDE w:val="0"/>
        <w:autoSpaceDN w:val="0"/>
        <w:spacing w:before="120" w:after="120" w:line="240" w:lineRule="auto"/>
        <w:rPr>
          <w:rFonts w:asciiTheme="majorHAnsi" w:eastAsia="Times New Roman" w:hAnsiTheme="majorHAnsi" w:cstheme="majorHAnsi"/>
          <w:color w:val="59595B"/>
          <w:szCs w:val="24"/>
        </w:rPr>
      </w:pPr>
      <w:r>
        <w:rPr>
          <w:rFonts w:asciiTheme="majorHAnsi" w:eastAsia="Times New Roman" w:hAnsiTheme="majorHAnsi" w:cstheme="majorHAnsi"/>
          <w:color w:val="59595B"/>
          <w:szCs w:val="24"/>
        </w:rPr>
        <w:t xml:space="preserve">RUCONEST® </w:t>
      </w:r>
      <w:r w:rsidR="00D0539E" w:rsidRPr="00E939C9">
        <w:rPr>
          <w:rFonts w:asciiTheme="majorHAnsi" w:eastAsia="Times New Roman" w:hAnsiTheme="majorHAnsi" w:cstheme="majorHAnsi"/>
          <w:color w:val="59595B"/>
          <w:szCs w:val="24"/>
        </w:rPr>
        <w:t xml:space="preserve">Summary of Product Characteristics. Available at: </w:t>
      </w:r>
      <w:hyperlink r:id="rId10" w:anchor="gref" w:history="1">
        <w:r w:rsidR="00E939C9" w:rsidRPr="00E939C9">
          <w:rPr>
            <w:rFonts w:asciiTheme="majorHAnsi" w:hAnsiTheme="majorHAnsi" w:cstheme="majorHAnsi"/>
            <w:color w:val="59595B"/>
          </w:rPr>
          <w:t>https://www.medicines.org.uk/emc/product/8580/smpc#gref</w:t>
        </w:r>
      </w:hyperlink>
      <w:r w:rsidR="00E939C9" w:rsidRPr="00E939C9">
        <w:rPr>
          <w:rFonts w:asciiTheme="majorHAnsi" w:eastAsia="Times New Roman" w:hAnsiTheme="majorHAnsi" w:cstheme="majorHAnsi"/>
          <w:color w:val="59595B"/>
          <w:szCs w:val="24"/>
        </w:rPr>
        <w:t xml:space="preserve"> </w:t>
      </w:r>
    </w:p>
    <w:p w14:paraId="634CA92E" w14:textId="47EB918D" w:rsidR="00D0539E" w:rsidRPr="00E939C9" w:rsidRDefault="00D0539E" w:rsidP="00624568">
      <w:pPr>
        <w:pStyle w:val="ListParagraph"/>
        <w:numPr>
          <w:ilvl w:val="0"/>
          <w:numId w:val="4"/>
        </w:numPr>
        <w:autoSpaceDE w:val="0"/>
        <w:autoSpaceDN w:val="0"/>
        <w:spacing w:before="120" w:after="120" w:line="240" w:lineRule="auto"/>
        <w:rPr>
          <w:rFonts w:asciiTheme="majorHAnsi" w:eastAsia="Times New Roman" w:hAnsiTheme="majorHAnsi" w:cstheme="majorHAnsi"/>
          <w:color w:val="59595B"/>
          <w:szCs w:val="24"/>
        </w:rPr>
      </w:pPr>
      <w:r w:rsidRPr="00E939C9">
        <w:rPr>
          <w:rFonts w:asciiTheme="majorHAnsi" w:eastAsia="Times New Roman" w:hAnsiTheme="majorHAnsi" w:cstheme="majorHAnsi"/>
          <w:color w:val="59595B"/>
          <w:szCs w:val="24"/>
        </w:rPr>
        <w:t xml:space="preserve">Longhurst H, et al. Lancet 2012;379(9814):474-481. </w:t>
      </w:r>
    </w:p>
    <w:p w14:paraId="0F0345A5" w14:textId="629A0598" w:rsidR="00D0539E" w:rsidRPr="00F37981" w:rsidRDefault="00D0539E" w:rsidP="00624568">
      <w:pPr>
        <w:pStyle w:val="ListParagraph"/>
        <w:numPr>
          <w:ilvl w:val="0"/>
          <w:numId w:val="4"/>
        </w:numPr>
        <w:autoSpaceDE w:val="0"/>
        <w:autoSpaceDN w:val="0"/>
        <w:spacing w:before="120" w:after="120" w:line="240" w:lineRule="auto"/>
        <w:rPr>
          <w:rFonts w:asciiTheme="majorHAnsi" w:eastAsia="Times New Roman" w:hAnsiTheme="majorHAnsi" w:cstheme="majorHAnsi"/>
          <w:color w:val="59595B"/>
          <w:szCs w:val="24"/>
          <w:lang w:val="nl-NL"/>
        </w:rPr>
      </w:pPr>
      <w:r w:rsidRPr="00F37981">
        <w:rPr>
          <w:rFonts w:asciiTheme="majorHAnsi" w:eastAsia="Times New Roman" w:hAnsiTheme="majorHAnsi" w:cstheme="majorHAnsi"/>
          <w:color w:val="59595B"/>
          <w:szCs w:val="24"/>
          <w:lang w:val="nl-NL"/>
        </w:rPr>
        <w:t>Zuraw B, et al. J Allergy Clin Immunol 2010;126(4):821-827.</w:t>
      </w:r>
    </w:p>
    <w:p w14:paraId="0B938F0E" w14:textId="098D1BB4" w:rsidR="00D0539E" w:rsidRPr="00F37981" w:rsidRDefault="00D0539E" w:rsidP="00624568">
      <w:pPr>
        <w:pStyle w:val="ListParagraph"/>
        <w:numPr>
          <w:ilvl w:val="0"/>
          <w:numId w:val="4"/>
        </w:numPr>
        <w:autoSpaceDE w:val="0"/>
        <w:autoSpaceDN w:val="0"/>
        <w:spacing w:before="120" w:after="120" w:line="240" w:lineRule="auto"/>
        <w:rPr>
          <w:rFonts w:asciiTheme="majorHAnsi" w:eastAsia="Times New Roman" w:hAnsiTheme="majorHAnsi" w:cstheme="majorHAnsi"/>
          <w:color w:val="59595B"/>
          <w:szCs w:val="24"/>
          <w:lang w:val="nl-NL"/>
        </w:rPr>
      </w:pPr>
      <w:r w:rsidRPr="00F37981">
        <w:rPr>
          <w:rFonts w:asciiTheme="majorHAnsi" w:eastAsia="Times New Roman" w:hAnsiTheme="majorHAnsi" w:cstheme="majorHAnsi"/>
          <w:color w:val="59595B"/>
          <w:szCs w:val="24"/>
          <w:lang w:val="nl-NL"/>
        </w:rPr>
        <w:t xml:space="preserve">Moldovan D, et al. Clin Exp Allergy 2012;42(6):929-935. </w:t>
      </w:r>
    </w:p>
    <w:p w14:paraId="36E3C3D5" w14:textId="22219795" w:rsidR="00D0539E" w:rsidRPr="00F37981" w:rsidRDefault="00D0539E" w:rsidP="00624568">
      <w:pPr>
        <w:pStyle w:val="ListParagraph"/>
        <w:numPr>
          <w:ilvl w:val="0"/>
          <w:numId w:val="4"/>
        </w:numPr>
        <w:autoSpaceDE w:val="0"/>
        <w:autoSpaceDN w:val="0"/>
        <w:spacing w:before="120" w:after="120" w:line="240" w:lineRule="auto"/>
        <w:rPr>
          <w:rFonts w:asciiTheme="majorHAnsi" w:eastAsia="Times New Roman" w:hAnsiTheme="majorHAnsi" w:cstheme="majorHAnsi"/>
          <w:color w:val="59595B"/>
          <w:szCs w:val="24"/>
          <w:lang w:val="nl-NL"/>
        </w:rPr>
      </w:pPr>
      <w:r w:rsidRPr="00F37981">
        <w:rPr>
          <w:rFonts w:asciiTheme="majorHAnsi" w:eastAsia="Times New Roman" w:hAnsiTheme="majorHAnsi" w:cstheme="majorHAnsi"/>
          <w:color w:val="59595B"/>
          <w:szCs w:val="24"/>
          <w:lang w:val="nl-NL"/>
        </w:rPr>
        <w:t>Riedl M, et al. Ann Allergy Asthma Immunol 2013; 112(2):163-169</w:t>
      </w:r>
    </w:p>
    <w:p w14:paraId="5ADCA19D" w14:textId="74F13B48" w:rsidR="00D0539E" w:rsidRPr="00E939C9" w:rsidRDefault="00D0539E" w:rsidP="00624568">
      <w:pPr>
        <w:pStyle w:val="ListParagraph"/>
        <w:numPr>
          <w:ilvl w:val="0"/>
          <w:numId w:val="4"/>
        </w:numPr>
        <w:autoSpaceDE w:val="0"/>
        <w:autoSpaceDN w:val="0"/>
        <w:spacing w:before="120" w:after="120" w:line="240" w:lineRule="auto"/>
        <w:rPr>
          <w:rFonts w:asciiTheme="majorHAnsi" w:eastAsia="Times New Roman" w:hAnsiTheme="majorHAnsi" w:cstheme="majorHAnsi"/>
          <w:color w:val="59595B"/>
          <w:szCs w:val="24"/>
        </w:rPr>
      </w:pPr>
      <w:r w:rsidRPr="00E939C9">
        <w:rPr>
          <w:rFonts w:asciiTheme="majorHAnsi" w:eastAsia="Times New Roman" w:hAnsiTheme="majorHAnsi" w:cstheme="majorHAnsi"/>
          <w:color w:val="59595B"/>
          <w:szCs w:val="24"/>
        </w:rPr>
        <w:t>Li H, et al. J Allergy Clin Immunol Pract 2015;3(3):417-423.</w:t>
      </w:r>
    </w:p>
    <w:p w14:paraId="40F139EB" w14:textId="7AED912A" w:rsidR="009A6F4F" w:rsidRPr="00E939C9" w:rsidRDefault="00D0539E" w:rsidP="00624568">
      <w:pPr>
        <w:pStyle w:val="ListParagraph"/>
        <w:numPr>
          <w:ilvl w:val="0"/>
          <w:numId w:val="4"/>
        </w:numPr>
        <w:autoSpaceDE w:val="0"/>
        <w:autoSpaceDN w:val="0"/>
        <w:spacing w:before="120" w:after="120" w:line="240" w:lineRule="auto"/>
        <w:rPr>
          <w:rFonts w:asciiTheme="majorHAnsi" w:eastAsia="Times New Roman" w:hAnsiTheme="majorHAnsi" w:cstheme="majorHAnsi"/>
          <w:color w:val="59595B"/>
          <w:szCs w:val="24"/>
        </w:rPr>
      </w:pPr>
      <w:r w:rsidRPr="00E939C9">
        <w:rPr>
          <w:rFonts w:asciiTheme="majorHAnsi" w:eastAsia="Times New Roman" w:hAnsiTheme="majorHAnsi" w:cstheme="majorHAnsi"/>
          <w:color w:val="59595B"/>
          <w:szCs w:val="24"/>
        </w:rPr>
        <w:t>Valerieva A, et al. World Allergy Organ J 2021;14(4):100535.</w:t>
      </w:r>
    </w:p>
    <w:sectPr w:rsidR="009A6F4F" w:rsidRPr="00E939C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762A" w14:textId="77777777" w:rsidR="007B0A68" w:rsidRDefault="007B0A68" w:rsidP="00927BF3">
      <w:pPr>
        <w:spacing w:after="0" w:line="240" w:lineRule="auto"/>
      </w:pPr>
      <w:r>
        <w:separator/>
      </w:r>
    </w:p>
  </w:endnote>
  <w:endnote w:type="continuationSeparator" w:id="0">
    <w:p w14:paraId="75B27B26" w14:textId="77777777" w:rsidR="007B0A68" w:rsidRDefault="007B0A68" w:rsidP="0092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8E63" w14:textId="77777777" w:rsidR="007B0A68" w:rsidRDefault="007B0A68" w:rsidP="00927BF3">
      <w:pPr>
        <w:spacing w:after="0" w:line="240" w:lineRule="auto"/>
      </w:pPr>
      <w:r>
        <w:separator/>
      </w:r>
    </w:p>
  </w:footnote>
  <w:footnote w:type="continuationSeparator" w:id="0">
    <w:p w14:paraId="641F50B2" w14:textId="77777777" w:rsidR="007B0A68" w:rsidRDefault="007B0A68" w:rsidP="00927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AEB8" w14:textId="29D6CD9B" w:rsidR="002709C3" w:rsidRDefault="002709C3">
    <w:pPr>
      <w:pStyle w:val="Header"/>
    </w:pPr>
    <w:r>
      <w:rPr>
        <w:noProof/>
      </w:rPr>
      <w:drawing>
        <wp:anchor distT="0" distB="0" distL="114300" distR="114300" simplePos="0" relativeHeight="251659264" behindDoc="1" locked="0" layoutInCell="1" allowOverlap="1" wp14:anchorId="309A7925" wp14:editId="5B91082B">
          <wp:simplePos x="0" y="0"/>
          <wp:positionH relativeFrom="margin">
            <wp:posOffset>3867150</wp:posOffset>
          </wp:positionH>
          <wp:positionV relativeFrom="paragraph">
            <wp:posOffset>-38735</wp:posOffset>
          </wp:positionV>
          <wp:extent cx="1905000" cy="457200"/>
          <wp:effectExtent l="0" t="0" r="0" b="0"/>
          <wp:wrapTight wrapText="bothSides">
            <wp:wrapPolygon edited="0">
              <wp:start x="0" y="0"/>
              <wp:lineTo x="0" y="20700"/>
              <wp:lineTo x="21384" y="20700"/>
              <wp:lineTo x="21384" y="0"/>
              <wp:lineTo x="0" y="0"/>
            </wp:wrapPolygon>
          </wp:wrapTight>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1F6"/>
    <w:multiLevelType w:val="hybridMultilevel"/>
    <w:tmpl w:val="88907906"/>
    <w:lvl w:ilvl="0" w:tplc="57CEE5A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7A6FB4"/>
    <w:multiLevelType w:val="hybridMultilevel"/>
    <w:tmpl w:val="1654FB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73868"/>
    <w:multiLevelType w:val="hybridMultilevel"/>
    <w:tmpl w:val="8010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50A05"/>
    <w:multiLevelType w:val="hybridMultilevel"/>
    <w:tmpl w:val="25127C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74B93"/>
    <w:multiLevelType w:val="hybridMultilevel"/>
    <w:tmpl w:val="F6EC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241EE"/>
    <w:multiLevelType w:val="hybridMultilevel"/>
    <w:tmpl w:val="3EEEB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A8"/>
    <w:rsid w:val="00001282"/>
    <w:rsid w:val="000175E4"/>
    <w:rsid w:val="000258A8"/>
    <w:rsid w:val="000272A4"/>
    <w:rsid w:val="00037F2E"/>
    <w:rsid w:val="00045268"/>
    <w:rsid w:val="000A22A8"/>
    <w:rsid w:val="00112EED"/>
    <w:rsid w:val="001227AA"/>
    <w:rsid w:val="00124B49"/>
    <w:rsid w:val="00134932"/>
    <w:rsid w:val="00154D52"/>
    <w:rsid w:val="00165975"/>
    <w:rsid w:val="00166C69"/>
    <w:rsid w:val="00172710"/>
    <w:rsid w:val="001975F9"/>
    <w:rsid w:val="001B1DE5"/>
    <w:rsid w:val="001B63EB"/>
    <w:rsid w:val="001E15D5"/>
    <w:rsid w:val="00203BD0"/>
    <w:rsid w:val="0022153C"/>
    <w:rsid w:val="00234BC3"/>
    <w:rsid w:val="00267AA5"/>
    <w:rsid w:val="002709C3"/>
    <w:rsid w:val="0028402D"/>
    <w:rsid w:val="00294DC6"/>
    <w:rsid w:val="002B6EC2"/>
    <w:rsid w:val="002E0C0C"/>
    <w:rsid w:val="0030213E"/>
    <w:rsid w:val="00317411"/>
    <w:rsid w:val="0034599C"/>
    <w:rsid w:val="003516DC"/>
    <w:rsid w:val="0039154C"/>
    <w:rsid w:val="003B4FEC"/>
    <w:rsid w:val="00460B6C"/>
    <w:rsid w:val="00460CD3"/>
    <w:rsid w:val="00462967"/>
    <w:rsid w:val="0046328C"/>
    <w:rsid w:val="004749C0"/>
    <w:rsid w:val="004853FA"/>
    <w:rsid w:val="004A20AA"/>
    <w:rsid w:val="004B5918"/>
    <w:rsid w:val="004D46EF"/>
    <w:rsid w:val="00515D74"/>
    <w:rsid w:val="005567C2"/>
    <w:rsid w:val="00585A97"/>
    <w:rsid w:val="005E11DB"/>
    <w:rsid w:val="00616DDD"/>
    <w:rsid w:val="006221C2"/>
    <w:rsid w:val="0062397C"/>
    <w:rsid w:val="00624568"/>
    <w:rsid w:val="006262B4"/>
    <w:rsid w:val="006267F6"/>
    <w:rsid w:val="00656F36"/>
    <w:rsid w:val="00714E59"/>
    <w:rsid w:val="0075348C"/>
    <w:rsid w:val="00754250"/>
    <w:rsid w:val="00760868"/>
    <w:rsid w:val="007647D4"/>
    <w:rsid w:val="007752CC"/>
    <w:rsid w:val="007B0A68"/>
    <w:rsid w:val="007B77EF"/>
    <w:rsid w:val="007D2BAB"/>
    <w:rsid w:val="00873EB8"/>
    <w:rsid w:val="00875797"/>
    <w:rsid w:val="008E41F3"/>
    <w:rsid w:val="00927BF3"/>
    <w:rsid w:val="00930CB1"/>
    <w:rsid w:val="009A4F70"/>
    <w:rsid w:val="009A6F4F"/>
    <w:rsid w:val="00A31530"/>
    <w:rsid w:val="00A32A3B"/>
    <w:rsid w:val="00A33A41"/>
    <w:rsid w:val="00A46FCA"/>
    <w:rsid w:val="00A575F1"/>
    <w:rsid w:val="00A62060"/>
    <w:rsid w:val="00A724B4"/>
    <w:rsid w:val="00AA19D4"/>
    <w:rsid w:val="00AA20DB"/>
    <w:rsid w:val="00AB4A0B"/>
    <w:rsid w:val="00B70EF1"/>
    <w:rsid w:val="00B8466C"/>
    <w:rsid w:val="00B942B2"/>
    <w:rsid w:val="00BD1DF4"/>
    <w:rsid w:val="00BE778A"/>
    <w:rsid w:val="00C117CC"/>
    <w:rsid w:val="00C17924"/>
    <w:rsid w:val="00C7398F"/>
    <w:rsid w:val="00CA1E55"/>
    <w:rsid w:val="00CC09A2"/>
    <w:rsid w:val="00CE1ECA"/>
    <w:rsid w:val="00D04FB6"/>
    <w:rsid w:val="00D0539E"/>
    <w:rsid w:val="00D1031F"/>
    <w:rsid w:val="00D27E94"/>
    <w:rsid w:val="00D35CE6"/>
    <w:rsid w:val="00D4069B"/>
    <w:rsid w:val="00DC3A1F"/>
    <w:rsid w:val="00DD4984"/>
    <w:rsid w:val="00DE2A9B"/>
    <w:rsid w:val="00E2501F"/>
    <w:rsid w:val="00E859AB"/>
    <w:rsid w:val="00E872BA"/>
    <w:rsid w:val="00E939C9"/>
    <w:rsid w:val="00EF6F3A"/>
    <w:rsid w:val="00F37981"/>
    <w:rsid w:val="00F412C0"/>
    <w:rsid w:val="00F7052F"/>
    <w:rsid w:val="00F822AA"/>
    <w:rsid w:val="00FA399D"/>
    <w:rsid w:val="00FC7FA7"/>
    <w:rsid w:val="00FD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C89C"/>
  <w15:chartTrackingRefBased/>
  <w15:docId w15:val="{CB3BF763-FFC6-4104-AC22-0BC1EED5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22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4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49"/>
    <w:rPr>
      <w:rFonts w:ascii="Segoe UI" w:hAnsi="Segoe UI" w:cs="Segoe UI"/>
      <w:sz w:val="18"/>
      <w:szCs w:val="18"/>
    </w:rPr>
  </w:style>
  <w:style w:type="character" w:styleId="Hyperlink">
    <w:name w:val="Hyperlink"/>
    <w:basedOn w:val="DefaultParagraphFont"/>
    <w:uiPriority w:val="99"/>
    <w:unhideWhenUsed/>
    <w:rsid w:val="00AA20DB"/>
    <w:rPr>
      <w:color w:val="0000FF"/>
      <w:u w:val="single"/>
    </w:rPr>
  </w:style>
  <w:style w:type="character" w:styleId="UnresolvedMention">
    <w:name w:val="Unresolved Mention"/>
    <w:basedOn w:val="DefaultParagraphFont"/>
    <w:uiPriority w:val="99"/>
    <w:semiHidden/>
    <w:unhideWhenUsed/>
    <w:rsid w:val="002E0C0C"/>
    <w:rPr>
      <w:color w:val="605E5C"/>
      <w:shd w:val="clear" w:color="auto" w:fill="E1DFDD"/>
    </w:rPr>
  </w:style>
  <w:style w:type="paragraph" w:styleId="Header">
    <w:name w:val="header"/>
    <w:basedOn w:val="Normal"/>
    <w:link w:val="HeaderChar"/>
    <w:uiPriority w:val="99"/>
    <w:unhideWhenUsed/>
    <w:rsid w:val="00927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BF3"/>
  </w:style>
  <w:style w:type="paragraph" w:styleId="Footer">
    <w:name w:val="footer"/>
    <w:basedOn w:val="Normal"/>
    <w:link w:val="FooterChar"/>
    <w:uiPriority w:val="99"/>
    <w:unhideWhenUsed/>
    <w:rsid w:val="00927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BF3"/>
  </w:style>
  <w:style w:type="character" w:styleId="CommentReference">
    <w:name w:val="annotation reference"/>
    <w:basedOn w:val="DefaultParagraphFont"/>
    <w:uiPriority w:val="99"/>
    <w:semiHidden/>
    <w:unhideWhenUsed/>
    <w:rsid w:val="00927BF3"/>
    <w:rPr>
      <w:sz w:val="16"/>
      <w:szCs w:val="16"/>
    </w:rPr>
  </w:style>
  <w:style w:type="paragraph" w:styleId="CommentText">
    <w:name w:val="annotation text"/>
    <w:basedOn w:val="Normal"/>
    <w:link w:val="CommentTextChar"/>
    <w:uiPriority w:val="99"/>
    <w:semiHidden/>
    <w:unhideWhenUsed/>
    <w:rsid w:val="00927BF3"/>
    <w:pPr>
      <w:spacing w:line="240" w:lineRule="auto"/>
    </w:pPr>
    <w:rPr>
      <w:sz w:val="20"/>
      <w:szCs w:val="20"/>
    </w:rPr>
  </w:style>
  <w:style w:type="character" w:customStyle="1" w:styleId="CommentTextChar">
    <w:name w:val="Comment Text Char"/>
    <w:basedOn w:val="DefaultParagraphFont"/>
    <w:link w:val="CommentText"/>
    <w:uiPriority w:val="99"/>
    <w:semiHidden/>
    <w:rsid w:val="00927BF3"/>
    <w:rPr>
      <w:sz w:val="20"/>
      <w:szCs w:val="20"/>
    </w:rPr>
  </w:style>
  <w:style w:type="paragraph" w:styleId="CommentSubject">
    <w:name w:val="annotation subject"/>
    <w:basedOn w:val="CommentText"/>
    <w:next w:val="CommentText"/>
    <w:link w:val="CommentSubjectChar"/>
    <w:uiPriority w:val="99"/>
    <w:semiHidden/>
    <w:unhideWhenUsed/>
    <w:rsid w:val="00927BF3"/>
    <w:rPr>
      <w:b/>
      <w:bCs/>
    </w:rPr>
  </w:style>
  <w:style w:type="character" w:customStyle="1" w:styleId="CommentSubjectChar">
    <w:name w:val="Comment Subject Char"/>
    <w:basedOn w:val="CommentTextChar"/>
    <w:link w:val="CommentSubject"/>
    <w:uiPriority w:val="99"/>
    <w:semiHidden/>
    <w:rsid w:val="00927BF3"/>
    <w:rPr>
      <w:b/>
      <w:bCs/>
      <w:sz w:val="20"/>
      <w:szCs w:val="20"/>
    </w:rPr>
  </w:style>
  <w:style w:type="paragraph" w:styleId="Revision">
    <w:name w:val="Revision"/>
    <w:hidden/>
    <w:uiPriority w:val="99"/>
    <w:semiHidden/>
    <w:rsid w:val="00927BF3"/>
    <w:pPr>
      <w:spacing w:after="0" w:line="240" w:lineRule="auto"/>
    </w:pPr>
  </w:style>
  <w:style w:type="character" w:styleId="Emphasis">
    <w:name w:val="Emphasis"/>
    <w:basedOn w:val="DefaultParagraphFont"/>
    <w:uiPriority w:val="20"/>
    <w:qFormat/>
    <w:rsid w:val="002709C3"/>
    <w:rPr>
      <w:rFonts w:cs="Times New Roman"/>
      <w:b/>
      <w:bCs/>
    </w:rPr>
  </w:style>
  <w:style w:type="paragraph" w:styleId="ListParagraph">
    <w:name w:val="List Paragraph"/>
    <w:basedOn w:val="Normal"/>
    <w:uiPriority w:val="34"/>
    <w:qFormat/>
    <w:rsid w:val="00270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9132">
      <w:bodyDiv w:val="1"/>
      <w:marLeft w:val="0"/>
      <w:marRight w:val="0"/>
      <w:marTop w:val="0"/>
      <w:marBottom w:val="0"/>
      <w:divBdr>
        <w:top w:val="none" w:sz="0" w:space="0" w:color="auto"/>
        <w:left w:val="none" w:sz="0" w:space="0" w:color="auto"/>
        <w:bottom w:val="none" w:sz="0" w:space="0" w:color="auto"/>
        <w:right w:val="none" w:sz="0" w:space="0" w:color="auto"/>
      </w:divBdr>
    </w:div>
    <w:div w:id="697782516">
      <w:bodyDiv w:val="1"/>
      <w:marLeft w:val="0"/>
      <w:marRight w:val="0"/>
      <w:marTop w:val="0"/>
      <w:marBottom w:val="0"/>
      <w:divBdr>
        <w:top w:val="none" w:sz="0" w:space="0" w:color="auto"/>
        <w:left w:val="none" w:sz="0" w:space="0" w:color="auto"/>
        <w:bottom w:val="none" w:sz="0" w:space="0" w:color="auto"/>
        <w:right w:val="none" w:sz="0" w:space="0" w:color="auto"/>
      </w:divBdr>
    </w:div>
    <w:div w:id="993097983">
      <w:bodyDiv w:val="1"/>
      <w:marLeft w:val="0"/>
      <w:marRight w:val="0"/>
      <w:marTop w:val="0"/>
      <w:marBottom w:val="0"/>
      <w:divBdr>
        <w:top w:val="none" w:sz="0" w:space="0" w:color="auto"/>
        <w:left w:val="none" w:sz="0" w:space="0" w:color="auto"/>
        <w:bottom w:val="none" w:sz="0" w:space="0" w:color="auto"/>
        <w:right w:val="none" w:sz="0" w:space="0" w:color="auto"/>
      </w:divBdr>
    </w:div>
    <w:div w:id="12451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pharmi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edicines.org.uk/emc/product/8580/smpc" TargetMode="External"/><Relationship Id="rId4" Type="http://schemas.openxmlformats.org/officeDocument/2006/relationships/settings" Target="settings.xml"/><Relationship Id="rId9" Type="http://schemas.openxmlformats.org/officeDocument/2006/relationships/hyperlink" Target="mailto:pharming@lifesprin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5A79-AB94-4498-91BF-50DFA8F8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Ledger</dc:creator>
  <cp:keywords/>
  <dc:description/>
  <cp:lastModifiedBy>Clivia Lee</cp:lastModifiedBy>
  <cp:revision>2</cp:revision>
  <dcterms:created xsi:type="dcterms:W3CDTF">2021-06-03T21:05:00Z</dcterms:created>
  <dcterms:modified xsi:type="dcterms:W3CDTF">2021-06-03T21:05:00Z</dcterms:modified>
</cp:coreProperties>
</file>