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5354" w14:textId="5F8AD081" w:rsidR="00C82CBF" w:rsidRPr="00C82CBF" w:rsidRDefault="00C82CBF" w:rsidP="00C82CBF">
      <w:pPr>
        <w:spacing w:after="0"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Pharming Group reports financial results for the first half of 2021</w:t>
      </w:r>
      <w:r w:rsidRPr="00C82CBF">
        <w:rPr>
          <w:rFonts w:ascii="Arial" w:eastAsia="Times New Roman" w:hAnsi="Arial" w:cs="Arial"/>
          <w:color w:val="000000"/>
          <w:sz w:val="20"/>
          <w:szCs w:val="20"/>
          <w:lang w:eastAsia="en-GB"/>
        </w:rPr>
        <w:t xml:space="preserve"> </w:t>
      </w:r>
    </w:p>
    <w:p w14:paraId="2737A6F1"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i/>
          <w:iCs/>
          <w:color w:val="000000"/>
          <w:sz w:val="20"/>
          <w:szCs w:val="20"/>
          <w:lang w:eastAsia="en-GB"/>
        </w:rPr>
        <w:t xml:space="preserve">Recovery continued into </w:t>
      </w:r>
      <w:proofErr w:type="spellStart"/>
      <w:r w:rsidRPr="00C82CBF">
        <w:rPr>
          <w:rFonts w:ascii="Arial" w:eastAsia="Times New Roman" w:hAnsi="Arial" w:cs="Arial"/>
          <w:b/>
          <w:bCs/>
          <w:i/>
          <w:iCs/>
          <w:color w:val="000000"/>
          <w:sz w:val="20"/>
          <w:szCs w:val="20"/>
          <w:lang w:eastAsia="en-GB"/>
        </w:rPr>
        <w:t>Q2</w:t>
      </w:r>
      <w:proofErr w:type="spellEnd"/>
      <w:r w:rsidRPr="00C82CBF">
        <w:rPr>
          <w:rFonts w:ascii="Arial" w:eastAsia="Times New Roman" w:hAnsi="Arial" w:cs="Arial"/>
          <w:b/>
          <w:bCs/>
          <w:i/>
          <w:iCs/>
          <w:color w:val="000000"/>
          <w:sz w:val="20"/>
          <w:szCs w:val="20"/>
          <w:lang w:eastAsia="en-GB"/>
        </w:rPr>
        <w:t xml:space="preserve"> 2021 as patient </w:t>
      </w:r>
      <w:proofErr w:type="spellStart"/>
      <w:r w:rsidRPr="00C82CBF">
        <w:rPr>
          <w:rFonts w:ascii="Arial" w:eastAsia="Times New Roman" w:hAnsi="Arial" w:cs="Arial"/>
          <w:b/>
          <w:bCs/>
          <w:i/>
          <w:iCs/>
          <w:color w:val="000000"/>
          <w:sz w:val="20"/>
          <w:szCs w:val="20"/>
          <w:lang w:eastAsia="en-GB"/>
        </w:rPr>
        <w:t>enrollment</w:t>
      </w:r>
      <w:proofErr w:type="spellEnd"/>
      <w:r w:rsidRPr="00C82CBF">
        <w:rPr>
          <w:rFonts w:ascii="Arial" w:eastAsia="Times New Roman" w:hAnsi="Arial" w:cs="Arial"/>
          <w:b/>
          <w:bCs/>
          <w:i/>
          <w:iCs/>
          <w:color w:val="000000"/>
          <w:sz w:val="20"/>
          <w:szCs w:val="20"/>
          <w:lang w:eastAsia="en-GB"/>
        </w:rPr>
        <w:t xml:space="preserve"> and product demand increases </w:t>
      </w:r>
    </w:p>
    <w:p w14:paraId="75305F8A" w14:textId="77777777" w:rsidR="00C82CBF" w:rsidRDefault="00C82CBF" w:rsidP="00C82CBF">
      <w:pPr>
        <w:spacing w:after="0"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LEIDEN, The Netherlands </w:t>
      </w:r>
    </w:p>
    <w:p w14:paraId="0D5C239E" w14:textId="77777777" w:rsidR="00C82CBF" w:rsidRDefault="00C82CBF" w:rsidP="00C82CBF">
      <w:pPr>
        <w:spacing w:after="0" w:line="240" w:lineRule="auto"/>
        <w:rPr>
          <w:rFonts w:ascii="Arial" w:eastAsia="Times New Roman" w:hAnsi="Arial" w:cs="Arial"/>
          <w:color w:val="000000"/>
          <w:sz w:val="20"/>
          <w:szCs w:val="20"/>
          <w:lang w:eastAsia="en-GB"/>
        </w:rPr>
      </w:pPr>
    </w:p>
    <w:p w14:paraId="1D0C34D5" w14:textId="22CF1BB3" w:rsidR="00C82CBF" w:rsidRPr="00C82CBF" w:rsidRDefault="00C82CBF" w:rsidP="00C82CBF">
      <w:pPr>
        <w:spacing w:after="0"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Aug. 5, 2021 </w:t>
      </w:r>
    </w:p>
    <w:p w14:paraId="78539B94"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/PRNewswire/ -- Pharming Group N.V. ("Pharming" or "the Company") (Euronext Amsterdam: PHARM/NASDAQ: PHAR) presents its preliminary (unaudited) financial report for the first six months of 2021 ended June 30, 2021. </w:t>
      </w:r>
    </w:p>
    <w:p w14:paraId="3A84728E" w14:textId="0A6E0C6A" w:rsidR="00C82CBF" w:rsidRPr="00C82CBF" w:rsidRDefault="00C82CBF" w:rsidP="00C82CBF">
      <w:pPr>
        <w:spacing w:after="0" w:line="240" w:lineRule="auto"/>
        <w:rPr>
          <w:rFonts w:ascii="Arial" w:eastAsia="Times New Roman" w:hAnsi="Arial" w:cs="Arial"/>
          <w:color w:val="000000"/>
          <w:sz w:val="20"/>
          <w:szCs w:val="20"/>
          <w:lang w:eastAsia="en-GB"/>
        </w:rPr>
      </w:pPr>
      <w:r w:rsidRPr="00C82CBF">
        <w:rPr>
          <w:rFonts w:ascii="Arial" w:eastAsia="Times New Roman" w:hAnsi="Arial" w:cs="Arial"/>
          <w:noProof/>
          <w:color w:val="000000"/>
          <w:sz w:val="20"/>
          <w:szCs w:val="20"/>
          <w:lang w:eastAsia="en-GB"/>
        </w:rPr>
        <w:drawing>
          <wp:inline distT="0" distB="0" distL="0" distR="0" wp14:anchorId="66EE858D" wp14:editId="651C5176">
            <wp:extent cx="3810000" cy="914400"/>
            <wp:effectExtent l="0" t="0" r="0" b="0"/>
            <wp:docPr id="1" name="Picture 1" descr="Pharming Group N.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ejpg3579left" descr="Pharming Group N.V.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14400"/>
                    </a:xfrm>
                    <a:prstGeom prst="rect">
                      <a:avLst/>
                    </a:prstGeom>
                    <a:noFill/>
                    <a:ln>
                      <a:noFill/>
                    </a:ln>
                  </pic:spPr>
                </pic:pic>
              </a:graphicData>
            </a:graphic>
          </wp:inline>
        </w:drawing>
      </w:r>
    </w:p>
    <w:p w14:paraId="062B79BF" w14:textId="77777777" w:rsidR="00C82CBF" w:rsidRPr="00C82CBF" w:rsidRDefault="00C82CBF" w:rsidP="00C82CBF">
      <w:pPr>
        <w:numPr>
          <w:ilvl w:val="0"/>
          <w:numId w:val="1"/>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 xml:space="preserve">The Company will hold an analyst conference call at 13.00 CET/07.00 ET today. Dial in details can be found on page 7 of this report </w:t>
      </w:r>
    </w:p>
    <w:p w14:paraId="4CEA44CA" w14:textId="77777777" w:rsidR="00C82CBF" w:rsidRPr="00C82CBF" w:rsidRDefault="00C82CBF" w:rsidP="00C82CBF">
      <w:pPr>
        <w:numPr>
          <w:ilvl w:val="0"/>
          <w:numId w:val="1"/>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 xml:space="preserve">The Company will also hold a webinar at </w:t>
      </w:r>
      <w:proofErr w:type="spellStart"/>
      <w:r w:rsidRPr="00C82CBF">
        <w:rPr>
          <w:rFonts w:ascii="Arial" w:eastAsia="Times New Roman" w:hAnsi="Arial" w:cs="Arial"/>
          <w:b/>
          <w:bCs/>
          <w:color w:val="000000"/>
          <w:sz w:val="20"/>
          <w:szCs w:val="20"/>
          <w:lang w:eastAsia="en-GB"/>
        </w:rPr>
        <w:t>19:00CET</w:t>
      </w:r>
      <w:proofErr w:type="spellEnd"/>
      <w:r w:rsidRPr="00C82CBF">
        <w:rPr>
          <w:rFonts w:ascii="Arial" w:eastAsia="Times New Roman" w:hAnsi="Arial" w:cs="Arial"/>
          <w:b/>
          <w:bCs/>
          <w:color w:val="000000"/>
          <w:sz w:val="20"/>
          <w:szCs w:val="20"/>
          <w:lang w:eastAsia="en-GB"/>
        </w:rPr>
        <w:t xml:space="preserve">. Registration details can be found on the Company's website: </w:t>
      </w:r>
      <w:hyperlink r:id="rId6" w:tgtFrame="_blank" w:history="1">
        <w:r w:rsidRPr="00C82CBF">
          <w:rPr>
            <w:rFonts w:ascii="Arial" w:eastAsia="Times New Roman" w:hAnsi="Arial" w:cs="Arial"/>
            <w:b/>
            <w:bCs/>
            <w:color w:val="0000FF"/>
            <w:sz w:val="20"/>
            <w:szCs w:val="20"/>
            <w:u w:val="single"/>
            <w:lang w:eastAsia="en-GB"/>
          </w:rPr>
          <w:t>www.pharming.com</w:t>
        </w:r>
      </w:hyperlink>
    </w:p>
    <w:p w14:paraId="525DE042"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 xml:space="preserve">Financial Summary </w:t>
      </w:r>
    </w:p>
    <w:tbl>
      <w:tblPr>
        <w:tblW w:w="0" w:type="auto"/>
        <w:tblCellMar>
          <w:left w:w="0" w:type="dxa"/>
          <w:right w:w="0" w:type="dxa"/>
        </w:tblCellMar>
        <w:tblLook w:val="04A0" w:firstRow="1" w:lastRow="0" w:firstColumn="1" w:lastColumn="0" w:noHBand="0" w:noVBand="1"/>
      </w:tblPr>
      <w:tblGrid>
        <w:gridCol w:w="3122"/>
        <w:gridCol w:w="845"/>
        <w:gridCol w:w="845"/>
        <w:gridCol w:w="988"/>
      </w:tblGrid>
      <w:tr w:rsidR="00C82CBF" w:rsidRPr="00C82CBF" w14:paraId="32DF2042" w14:textId="77777777" w:rsidTr="00C82CBF">
        <w:tc>
          <w:tcPr>
            <w:tcW w:w="0" w:type="auto"/>
            <w:tcBorders>
              <w:top w:val="single" w:sz="8" w:space="0" w:color="000000"/>
              <w:left w:val="single" w:sz="8" w:space="0" w:color="000000"/>
              <w:bottom w:val="nil"/>
              <w:right w:val="nil"/>
            </w:tcBorders>
            <w:tcMar>
              <w:top w:w="0" w:type="dxa"/>
              <w:left w:w="120" w:type="dxa"/>
              <w:bottom w:w="0" w:type="dxa"/>
              <w:right w:w="120" w:type="dxa"/>
            </w:tcMar>
            <w:vAlign w:val="bottom"/>
            <w:hideMark/>
          </w:tcPr>
          <w:p w14:paraId="76712CE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i/>
                <w:iCs/>
                <w:color w:val="000000"/>
                <w:sz w:val="16"/>
                <w:szCs w:val="16"/>
                <w:lang w:eastAsia="en-GB"/>
              </w:rPr>
              <w:t xml:space="preserve">Amounts in </w:t>
            </w:r>
            <w:proofErr w:type="spellStart"/>
            <w:r w:rsidRPr="00C82CBF">
              <w:rPr>
                <w:rFonts w:ascii="Arial" w:eastAsia="Times New Roman" w:hAnsi="Arial" w:cs="Arial"/>
                <w:i/>
                <w:iCs/>
                <w:color w:val="000000"/>
                <w:sz w:val="16"/>
                <w:szCs w:val="16"/>
                <w:lang w:eastAsia="en-GB"/>
              </w:rPr>
              <w:t>US$m</w:t>
            </w:r>
            <w:proofErr w:type="spellEnd"/>
            <w:r w:rsidRPr="00C82CBF">
              <w:rPr>
                <w:rFonts w:ascii="Arial" w:eastAsia="Times New Roman" w:hAnsi="Arial" w:cs="Arial"/>
                <w:i/>
                <w:iCs/>
                <w:color w:val="000000"/>
                <w:sz w:val="16"/>
                <w:szCs w:val="16"/>
                <w:lang w:eastAsia="en-GB"/>
              </w:rPr>
              <w:t xml:space="preserve"> except per share data</w:t>
            </w:r>
          </w:p>
        </w:tc>
        <w:tc>
          <w:tcPr>
            <w:tcW w:w="0" w:type="auto"/>
            <w:tcBorders>
              <w:top w:val="single" w:sz="8" w:space="0" w:color="000000"/>
              <w:left w:val="single" w:sz="8" w:space="0" w:color="000000"/>
              <w:bottom w:val="nil"/>
              <w:right w:val="nil"/>
            </w:tcBorders>
            <w:tcMar>
              <w:top w:w="0" w:type="dxa"/>
              <w:left w:w="120" w:type="dxa"/>
              <w:bottom w:w="0" w:type="dxa"/>
              <w:right w:w="120" w:type="dxa"/>
            </w:tcMar>
            <w:vAlign w:val="bottom"/>
            <w:hideMark/>
          </w:tcPr>
          <w:p w14:paraId="6ED3729A"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proofErr w:type="spellStart"/>
            <w:r w:rsidRPr="00C82CBF">
              <w:rPr>
                <w:rFonts w:ascii="Arial" w:eastAsia="Times New Roman" w:hAnsi="Arial" w:cs="Arial"/>
                <w:i/>
                <w:iCs/>
                <w:color w:val="000000"/>
                <w:sz w:val="16"/>
                <w:szCs w:val="16"/>
                <w:lang w:eastAsia="en-GB"/>
              </w:rPr>
              <w:t>H1</w:t>
            </w:r>
            <w:proofErr w:type="spellEnd"/>
            <w:r w:rsidRPr="00C82CBF">
              <w:rPr>
                <w:rFonts w:ascii="Arial" w:eastAsia="Times New Roman" w:hAnsi="Arial" w:cs="Arial"/>
                <w:i/>
                <w:iCs/>
                <w:color w:val="000000"/>
                <w:sz w:val="16"/>
                <w:szCs w:val="16"/>
                <w:lang w:eastAsia="en-GB"/>
              </w:rPr>
              <w:t xml:space="preserve"> 2021</w:t>
            </w:r>
          </w:p>
        </w:tc>
        <w:tc>
          <w:tcPr>
            <w:tcW w:w="0" w:type="auto"/>
            <w:tcBorders>
              <w:top w:val="single" w:sz="8" w:space="0" w:color="000000"/>
              <w:left w:val="single" w:sz="8" w:space="0" w:color="000000"/>
              <w:bottom w:val="nil"/>
              <w:right w:val="nil"/>
            </w:tcBorders>
            <w:tcMar>
              <w:top w:w="0" w:type="dxa"/>
              <w:left w:w="120" w:type="dxa"/>
              <w:bottom w:w="0" w:type="dxa"/>
              <w:right w:w="120" w:type="dxa"/>
            </w:tcMar>
            <w:vAlign w:val="bottom"/>
            <w:hideMark/>
          </w:tcPr>
          <w:p w14:paraId="40E06712"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proofErr w:type="spellStart"/>
            <w:r w:rsidRPr="00C82CBF">
              <w:rPr>
                <w:rFonts w:ascii="Arial" w:eastAsia="Times New Roman" w:hAnsi="Arial" w:cs="Arial"/>
                <w:i/>
                <w:iCs/>
                <w:color w:val="000000"/>
                <w:sz w:val="16"/>
                <w:szCs w:val="16"/>
                <w:lang w:eastAsia="en-GB"/>
              </w:rPr>
              <w:t>H1</w:t>
            </w:r>
            <w:proofErr w:type="spellEnd"/>
            <w:r w:rsidRPr="00C82CBF">
              <w:rPr>
                <w:rFonts w:ascii="Arial" w:eastAsia="Times New Roman" w:hAnsi="Arial" w:cs="Arial"/>
                <w:i/>
                <w:iCs/>
                <w:color w:val="000000"/>
                <w:sz w:val="16"/>
                <w:szCs w:val="16"/>
                <w:lang w:eastAsia="en-GB"/>
              </w:rPr>
              <w:t xml:space="preserve"> 2020</w:t>
            </w:r>
          </w:p>
        </w:tc>
        <w:tc>
          <w:tcPr>
            <w:tcW w:w="0" w:type="auto"/>
            <w:tcBorders>
              <w:top w:val="single" w:sz="8" w:space="0" w:color="000000"/>
              <w:left w:val="single" w:sz="8" w:space="0" w:color="000000"/>
              <w:bottom w:val="nil"/>
              <w:right w:val="single" w:sz="8" w:space="0" w:color="000000"/>
            </w:tcBorders>
            <w:tcMar>
              <w:top w:w="0" w:type="dxa"/>
              <w:left w:w="120" w:type="dxa"/>
              <w:bottom w:w="0" w:type="dxa"/>
              <w:right w:w="120" w:type="dxa"/>
            </w:tcMar>
            <w:vAlign w:val="bottom"/>
            <w:hideMark/>
          </w:tcPr>
          <w:p w14:paraId="7BDEF161"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i/>
                <w:iCs/>
                <w:color w:val="000000"/>
                <w:sz w:val="16"/>
                <w:szCs w:val="16"/>
                <w:lang w:eastAsia="en-GB"/>
              </w:rPr>
              <w:t>% Change</w:t>
            </w:r>
          </w:p>
        </w:tc>
      </w:tr>
      <w:tr w:rsidR="00C82CBF" w:rsidRPr="00C82CBF" w14:paraId="55C2A319" w14:textId="77777777" w:rsidTr="00C82CBF">
        <w:tc>
          <w:tcPr>
            <w:tcW w:w="0" w:type="auto"/>
            <w:tcBorders>
              <w:top w:val="nil"/>
              <w:left w:val="single" w:sz="8" w:space="0" w:color="000000"/>
              <w:bottom w:val="single" w:sz="8" w:space="0" w:color="000000"/>
              <w:right w:val="nil"/>
            </w:tcBorders>
            <w:tcMar>
              <w:top w:w="0" w:type="dxa"/>
              <w:left w:w="120" w:type="dxa"/>
              <w:bottom w:w="0" w:type="dxa"/>
              <w:right w:w="240" w:type="dxa"/>
            </w:tcMar>
            <w:vAlign w:val="bottom"/>
            <w:hideMark/>
          </w:tcPr>
          <w:p w14:paraId="34E54DE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240" w:type="dxa"/>
            </w:tcMar>
            <w:vAlign w:val="bottom"/>
            <w:hideMark/>
          </w:tcPr>
          <w:p w14:paraId="5BEB8803"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240" w:type="dxa"/>
            </w:tcMar>
            <w:vAlign w:val="bottom"/>
            <w:hideMark/>
          </w:tcPr>
          <w:p w14:paraId="75CDD226"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240" w:type="dxa"/>
            </w:tcMar>
            <w:vAlign w:val="bottom"/>
            <w:hideMark/>
          </w:tcPr>
          <w:p w14:paraId="7403EDB1"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7427BE4E"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6F7E36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i/>
                <w:iCs/>
                <w:color w:val="000000"/>
                <w:sz w:val="16"/>
                <w:szCs w:val="16"/>
                <w:lang w:eastAsia="en-GB"/>
              </w:rPr>
              <w:t>Income Statement</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0EDBC0C9"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1F7F94BF"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single" w:sz="8" w:space="0" w:color="000000"/>
            </w:tcBorders>
            <w:tcMar>
              <w:top w:w="0" w:type="dxa"/>
              <w:left w:w="120" w:type="dxa"/>
              <w:bottom w:w="0" w:type="dxa"/>
              <w:right w:w="240" w:type="dxa"/>
            </w:tcMar>
            <w:vAlign w:val="bottom"/>
            <w:hideMark/>
          </w:tcPr>
          <w:p w14:paraId="7C7A1FED"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39DFCE2A"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3BCB63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Revenues</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69A81E65"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93.2</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71A2F988"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97.8</w:t>
            </w:r>
          </w:p>
        </w:tc>
        <w:tc>
          <w:tcPr>
            <w:tcW w:w="0" w:type="auto"/>
            <w:tcBorders>
              <w:top w:val="nil"/>
              <w:left w:val="single" w:sz="8" w:space="0" w:color="000000"/>
              <w:bottom w:val="nil"/>
              <w:right w:val="single" w:sz="8" w:space="0" w:color="000000"/>
            </w:tcBorders>
            <w:tcMar>
              <w:top w:w="0" w:type="dxa"/>
              <w:left w:w="120" w:type="dxa"/>
              <w:bottom w:w="0" w:type="dxa"/>
              <w:right w:w="80" w:type="dxa"/>
            </w:tcMar>
            <w:vAlign w:val="bottom"/>
            <w:hideMark/>
          </w:tcPr>
          <w:p w14:paraId="144BC561"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w:t>
            </w:r>
          </w:p>
        </w:tc>
      </w:tr>
      <w:tr w:rsidR="00C82CBF" w:rsidRPr="00C82CBF" w14:paraId="48675CDC"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9F4F66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Gross profit</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259CA7E7"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83.8</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05E21965"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86.9</w:t>
            </w:r>
          </w:p>
        </w:tc>
        <w:tc>
          <w:tcPr>
            <w:tcW w:w="0" w:type="auto"/>
            <w:tcBorders>
              <w:top w:val="nil"/>
              <w:left w:val="single" w:sz="8" w:space="0" w:color="000000"/>
              <w:bottom w:val="nil"/>
              <w:right w:val="single" w:sz="8" w:space="0" w:color="000000"/>
            </w:tcBorders>
            <w:tcMar>
              <w:top w:w="0" w:type="dxa"/>
              <w:left w:w="120" w:type="dxa"/>
              <w:bottom w:w="0" w:type="dxa"/>
              <w:right w:w="80" w:type="dxa"/>
            </w:tcMar>
            <w:vAlign w:val="bottom"/>
            <w:hideMark/>
          </w:tcPr>
          <w:p w14:paraId="4DF4EE50"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w:t>
            </w:r>
          </w:p>
        </w:tc>
      </w:tr>
      <w:tr w:rsidR="00C82CBF" w:rsidRPr="00C82CBF" w14:paraId="6A8F75EE"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062500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Operating profit</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16A593F6"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17.2</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6929EF4D"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35.7</w:t>
            </w:r>
          </w:p>
        </w:tc>
        <w:tc>
          <w:tcPr>
            <w:tcW w:w="0" w:type="auto"/>
            <w:tcBorders>
              <w:top w:val="nil"/>
              <w:left w:val="single" w:sz="8" w:space="0" w:color="000000"/>
              <w:bottom w:val="nil"/>
              <w:right w:val="single" w:sz="8" w:space="0" w:color="000000"/>
            </w:tcBorders>
            <w:tcMar>
              <w:top w:w="0" w:type="dxa"/>
              <w:left w:w="120" w:type="dxa"/>
              <w:bottom w:w="0" w:type="dxa"/>
              <w:right w:w="80" w:type="dxa"/>
            </w:tcMar>
            <w:vAlign w:val="bottom"/>
            <w:hideMark/>
          </w:tcPr>
          <w:p w14:paraId="08CE39E3"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(52)%</w:t>
            </w:r>
          </w:p>
        </w:tc>
      </w:tr>
      <w:tr w:rsidR="00C82CBF" w:rsidRPr="00C82CBF" w14:paraId="04E228E5"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CAC1BB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Profit for the year</w:t>
            </w:r>
          </w:p>
        </w:tc>
        <w:tc>
          <w:tcPr>
            <w:tcW w:w="0" w:type="auto"/>
            <w:tcBorders>
              <w:top w:val="nil"/>
              <w:left w:val="single" w:sz="8" w:space="0" w:color="000000"/>
              <w:bottom w:val="single" w:sz="8" w:space="0" w:color="000000"/>
              <w:right w:val="nil"/>
            </w:tcBorders>
            <w:tcMar>
              <w:top w:w="0" w:type="dxa"/>
              <w:left w:w="120" w:type="dxa"/>
              <w:bottom w:w="0" w:type="dxa"/>
              <w:right w:w="240" w:type="dxa"/>
            </w:tcMar>
            <w:vAlign w:val="bottom"/>
            <w:hideMark/>
          </w:tcPr>
          <w:p w14:paraId="11AFA5FB"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14.4</w:t>
            </w:r>
          </w:p>
        </w:tc>
        <w:tc>
          <w:tcPr>
            <w:tcW w:w="0" w:type="auto"/>
            <w:tcBorders>
              <w:top w:val="nil"/>
              <w:left w:val="single" w:sz="8" w:space="0" w:color="000000"/>
              <w:bottom w:val="single" w:sz="8" w:space="0" w:color="000000"/>
              <w:right w:val="nil"/>
            </w:tcBorders>
            <w:tcMar>
              <w:top w:w="0" w:type="dxa"/>
              <w:left w:w="120" w:type="dxa"/>
              <w:bottom w:w="0" w:type="dxa"/>
              <w:right w:w="240" w:type="dxa"/>
            </w:tcMar>
            <w:vAlign w:val="bottom"/>
            <w:hideMark/>
          </w:tcPr>
          <w:p w14:paraId="1A7F3CA4"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20.3</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80" w:type="dxa"/>
            </w:tcMar>
            <w:vAlign w:val="bottom"/>
            <w:hideMark/>
          </w:tcPr>
          <w:p w14:paraId="1E462ABC"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(29)%</w:t>
            </w:r>
          </w:p>
        </w:tc>
      </w:tr>
      <w:tr w:rsidR="00C82CBF" w:rsidRPr="00C82CBF" w14:paraId="0C09759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3478E5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i/>
                <w:iCs/>
                <w:color w:val="000000"/>
                <w:sz w:val="16"/>
                <w:szCs w:val="16"/>
                <w:lang w:eastAsia="en-GB"/>
              </w:rPr>
              <w:t>Balance Sheet</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1B2B8AF3"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707E57BA"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single" w:sz="8" w:space="0" w:color="000000"/>
            </w:tcBorders>
            <w:tcMar>
              <w:top w:w="0" w:type="dxa"/>
              <w:left w:w="120" w:type="dxa"/>
              <w:bottom w:w="0" w:type="dxa"/>
              <w:right w:w="240" w:type="dxa"/>
            </w:tcMar>
            <w:vAlign w:val="bottom"/>
            <w:hideMark/>
          </w:tcPr>
          <w:p w14:paraId="39F87767"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37DCA472"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1F042F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Cash &amp; marketable securities</w:t>
            </w:r>
          </w:p>
        </w:tc>
        <w:tc>
          <w:tcPr>
            <w:tcW w:w="0" w:type="auto"/>
            <w:tcBorders>
              <w:top w:val="nil"/>
              <w:left w:val="single" w:sz="8" w:space="0" w:color="000000"/>
              <w:bottom w:val="single" w:sz="8" w:space="0" w:color="000000"/>
              <w:right w:val="nil"/>
            </w:tcBorders>
            <w:tcMar>
              <w:top w:w="0" w:type="dxa"/>
              <w:left w:w="120" w:type="dxa"/>
              <w:bottom w:w="0" w:type="dxa"/>
              <w:right w:w="240" w:type="dxa"/>
            </w:tcMar>
            <w:vAlign w:val="bottom"/>
            <w:hideMark/>
          </w:tcPr>
          <w:p w14:paraId="59470C1F"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189.8</w:t>
            </w:r>
          </w:p>
        </w:tc>
        <w:tc>
          <w:tcPr>
            <w:tcW w:w="0" w:type="auto"/>
            <w:tcBorders>
              <w:top w:val="nil"/>
              <w:left w:val="single" w:sz="8" w:space="0" w:color="000000"/>
              <w:bottom w:val="single" w:sz="8" w:space="0" w:color="000000"/>
              <w:right w:val="nil"/>
            </w:tcBorders>
            <w:tcMar>
              <w:top w:w="0" w:type="dxa"/>
              <w:left w:w="120" w:type="dxa"/>
              <w:bottom w:w="0" w:type="dxa"/>
              <w:right w:w="240" w:type="dxa"/>
            </w:tcMar>
            <w:vAlign w:val="bottom"/>
            <w:hideMark/>
          </w:tcPr>
          <w:p w14:paraId="15A8F926"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173.8</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0E6AF243"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w:t>
            </w:r>
          </w:p>
        </w:tc>
      </w:tr>
      <w:tr w:rsidR="00C82CBF" w:rsidRPr="00C82CBF" w14:paraId="06F5162C"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69D746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i/>
                <w:iCs/>
                <w:color w:val="000000"/>
                <w:sz w:val="16"/>
                <w:szCs w:val="16"/>
                <w:lang w:eastAsia="en-GB"/>
              </w:rPr>
              <w:t>Share Information</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0187FFE5"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5970B18E"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single" w:sz="8" w:space="0" w:color="000000"/>
            </w:tcBorders>
            <w:tcMar>
              <w:top w:w="0" w:type="dxa"/>
              <w:left w:w="120" w:type="dxa"/>
              <w:bottom w:w="0" w:type="dxa"/>
              <w:right w:w="240" w:type="dxa"/>
            </w:tcMar>
            <w:vAlign w:val="bottom"/>
            <w:hideMark/>
          </w:tcPr>
          <w:p w14:paraId="53588BB9"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59ED9F8"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36040E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Basic earnings per share (US$)</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1EA75449"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0.022</w:t>
            </w:r>
          </w:p>
        </w:tc>
        <w:tc>
          <w:tcPr>
            <w:tcW w:w="0" w:type="auto"/>
            <w:tcBorders>
              <w:top w:val="nil"/>
              <w:left w:val="single" w:sz="8" w:space="0" w:color="000000"/>
              <w:bottom w:val="nil"/>
              <w:right w:val="nil"/>
            </w:tcBorders>
            <w:tcMar>
              <w:top w:w="0" w:type="dxa"/>
              <w:left w:w="120" w:type="dxa"/>
              <w:bottom w:w="0" w:type="dxa"/>
              <w:right w:w="240" w:type="dxa"/>
            </w:tcMar>
            <w:vAlign w:val="bottom"/>
            <w:hideMark/>
          </w:tcPr>
          <w:p w14:paraId="145930FD"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0.032</w:t>
            </w:r>
          </w:p>
        </w:tc>
        <w:tc>
          <w:tcPr>
            <w:tcW w:w="0" w:type="auto"/>
            <w:tcBorders>
              <w:top w:val="nil"/>
              <w:left w:val="single" w:sz="8" w:space="0" w:color="000000"/>
              <w:bottom w:val="nil"/>
              <w:right w:val="single" w:sz="8" w:space="0" w:color="000000"/>
            </w:tcBorders>
            <w:tcMar>
              <w:top w:w="0" w:type="dxa"/>
              <w:left w:w="120" w:type="dxa"/>
              <w:bottom w:w="0" w:type="dxa"/>
              <w:right w:w="80" w:type="dxa"/>
            </w:tcMar>
            <w:vAlign w:val="bottom"/>
            <w:hideMark/>
          </w:tcPr>
          <w:p w14:paraId="3CB923CA"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(31)%</w:t>
            </w:r>
          </w:p>
        </w:tc>
      </w:tr>
      <w:tr w:rsidR="00C82CBF" w:rsidRPr="00C82CBF" w14:paraId="0E713519"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A1CD3E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Diluted earnings per share (US$)</w:t>
            </w:r>
          </w:p>
        </w:tc>
        <w:tc>
          <w:tcPr>
            <w:tcW w:w="0" w:type="auto"/>
            <w:tcBorders>
              <w:top w:val="nil"/>
              <w:left w:val="single" w:sz="8" w:space="0" w:color="000000"/>
              <w:bottom w:val="single" w:sz="8" w:space="0" w:color="000000"/>
              <w:right w:val="nil"/>
            </w:tcBorders>
            <w:tcMar>
              <w:top w:w="0" w:type="dxa"/>
              <w:left w:w="120" w:type="dxa"/>
              <w:bottom w:w="0" w:type="dxa"/>
              <w:right w:w="240" w:type="dxa"/>
            </w:tcMar>
            <w:vAlign w:val="bottom"/>
            <w:hideMark/>
          </w:tcPr>
          <w:p w14:paraId="1EFA832A"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0.019</w:t>
            </w:r>
          </w:p>
        </w:tc>
        <w:tc>
          <w:tcPr>
            <w:tcW w:w="0" w:type="auto"/>
            <w:tcBorders>
              <w:top w:val="nil"/>
              <w:left w:val="single" w:sz="8" w:space="0" w:color="000000"/>
              <w:bottom w:val="single" w:sz="8" w:space="0" w:color="000000"/>
              <w:right w:val="nil"/>
            </w:tcBorders>
            <w:tcMar>
              <w:top w:w="0" w:type="dxa"/>
              <w:left w:w="120" w:type="dxa"/>
              <w:bottom w:w="0" w:type="dxa"/>
              <w:right w:w="240" w:type="dxa"/>
            </w:tcMar>
            <w:vAlign w:val="bottom"/>
            <w:hideMark/>
          </w:tcPr>
          <w:p w14:paraId="0B869CDB"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0.028</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80" w:type="dxa"/>
            </w:tcMar>
            <w:vAlign w:val="bottom"/>
            <w:hideMark/>
          </w:tcPr>
          <w:p w14:paraId="463C32AF"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(32)%</w:t>
            </w:r>
          </w:p>
        </w:tc>
      </w:tr>
    </w:tbl>
    <w:p w14:paraId="280ECB89"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 xml:space="preserve">Financial highlights </w:t>
      </w:r>
    </w:p>
    <w:p w14:paraId="5AA31D3C" w14:textId="77777777" w:rsidR="00C82CBF" w:rsidRPr="00C82CBF" w:rsidRDefault="00C82CBF" w:rsidP="00C82CBF">
      <w:pPr>
        <w:numPr>
          <w:ilvl w:val="0"/>
          <w:numId w:val="2"/>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Total revenues for the first half of 2021 came to </w:t>
      </w:r>
      <w:proofErr w:type="spellStart"/>
      <w:r w:rsidRPr="00C82CBF">
        <w:rPr>
          <w:rFonts w:ascii="Arial" w:eastAsia="Times New Roman" w:hAnsi="Arial" w:cs="Arial"/>
          <w:color w:val="000000"/>
          <w:sz w:val="20"/>
          <w:szCs w:val="20"/>
          <w:lang w:eastAsia="en-GB"/>
        </w:rPr>
        <w:t>US$93.2</w:t>
      </w:r>
      <w:proofErr w:type="spellEnd"/>
      <w:r w:rsidRPr="00C82CBF">
        <w:rPr>
          <w:rFonts w:ascii="Arial" w:eastAsia="Times New Roman" w:hAnsi="Arial" w:cs="Arial"/>
          <w:color w:val="000000"/>
          <w:sz w:val="20"/>
          <w:szCs w:val="20"/>
          <w:lang w:eastAsia="en-GB"/>
        </w:rPr>
        <w:t xml:space="preserve"> million, a 5% decrease from the first half of 2020 </w:t>
      </w:r>
      <w:proofErr w:type="spellStart"/>
      <w:r w:rsidRPr="00C82CBF">
        <w:rPr>
          <w:rFonts w:ascii="Arial" w:eastAsia="Times New Roman" w:hAnsi="Arial" w:cs="Arial"/>
          <w:color w:val="000000"/>
          <w:sz w:val="20"/>
          <w:szCs w:val="20"/>
          <w:lang w:eastAsia="en-GB"/>
        </w:rPr>
        <w:t>US$97.8</w:t>
      </w:r>
      <w:proofErr w:type="spellEnd"/>
      <w:r w:rsidRPr="00C82CBF">
        <w:rPr>
          <w:rFonts w:ascii="Arial" w:eastAsia="Times New Roman" w:hAnsi="Arial" w:cs="Arial"/>
          <w:color w:val="000000"/>
          <w:sz w:val="20"/>
          <w:szCs w:val="20"/>
          <w:lang w:eastAsia="en-GB"/>
        </w:rPr>
        <w:t xml:space="preserve"> million.  However, revenues in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2021 increased by 15% to </w:t>
      </w:r>
      <w:proofErr w:type="spellStart"/>
      <w:r w:rsidRPr="00C82CBF">
        <w:rPr>
          <w:rFonts w:ascii="Arial" w:eastAsia="Times New Roman" w:hAnsi="Arial" w:cs="Arial"/>
          <w:color w:val="000000"/>
          <w:sz w:val="20"/>
          <w:szCs w:val="20"/>
          <w:lang w:eastAsia="en-GB"/>
        </w:rPr>
        <w:t>US$49.7</w:t>
      </w:r>
      <w:proofErr w:type="spellEnd"/>
      <w:r w:rsidRPr="00C82CBF">
        <w:rPr>
          <w:rFonts w:ascii="Arial" w:eastAsia="Times New Roman" w:hAnsi="Arial" w:cs="Arial"/>
          <w:color w:val="000000"/>
          <w:sz w:val="20"/>
          <w:szCs w:val="20"/>
          <w:lang w:eastAsia="en-GB"/>
        </w:rPr>
        <w:t xml:space="preserve"> million, compared to </w:t>
      </w:r>
      <w:proofErr w:type="spellStart"/>
      <w:r w:rsidRPr="00C82CBF">
        <w:rPr>
          <w:rFonts w:ascii="Arial" w:eastAsia="Times New Roman" w:hAnsi="Arial" w:cs="Arial"/>
          <w:color w:val="000000"/>
          <w:sz w:val="20"/>
          <w:szCs w:val="20"/>
          <w:lang w:eastAsia="en-GB"/>
        </w:rPr>
        <w:t>US$43.4</w:t>
      </w:r>
      <w:proofErr w:type="spellEnd"/>
      <w:r w:rsidRPr="00C82CBF">
        <w:rPr>
          <w:rFonts w:ascii="Arial" w:eastAsia="Times New Roman" w:hAnsi="Arial" w:cs="Arial"/>
          <w:color w:val="000000"/>
          <w:sz w:val="20"/>
          <w:szCs w:val="20"/>
          <w:lang w:eastAsia="en-GB"/>
        </w:rPr>
        <w:t xml:space="preserve"> million in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2020. Revenues in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2021 also increased by 14% compared to </w:t>
      </w:r>
      <w:proofErr w:type="spellStart"/>
      <w:r w:rsidRPr="00C82CBF">
        <w:rPr>
          <w:rFonts w:ascii="Arial" w:eastAsia="Times New Roman" w:hAnsi="Arial" w:cs="Arial"/>
          <w:color w:val="000000"/>
          <w:sz w:val="20"/>
          <w:szCs w:val="20"/>
          <w:lang w:eastAsia="en-GB"/>
        </w:rPr>
        <w:t>US$43.6</w:t>
      </w:r>
      <w:proofErr w:type="spellEnd"/>
      <w:r w:rsidRPr="00C82CBF">
        <w:rPr>
          <w:rFonts w:ascii="Arial" w:eastAsia="Times New Roman" w:hAnsi="Arial" w:cs="Arial"/>
          <w:color w:val="000000"/>
          <w:sz w:val="20"/>
          <w:szCs w:val="20"/>
          <w:lang w:eastAsia="en-GB"/>
        </w:rPr>
        <w:t xml:space="preserve"> million in </w:t>
      </w:r>
      <w:proofErr w:type="spellStart"/>
      <w:r w:rsidRPr="00C82CBF">
        <w:rPr>
          <w:rFonts w:ascii="Arial" w:eastAsia="Times New Roman" w:hAnsi="Arial" w:cs="Arial"/>
          <w:color w:val="000000"/>
          <w:sz w:val="20"/>
          <w:szCs w:val="20"/>
          <w:lang w:eastAsia="en-GB"/>
        </w:rPr>
        <w:t>Q1</w:t>
      </w:r>
      <w:proofErr w:type="spellEnd"/>
      <w:r w:rsidRPr="00C82CBF">
        <w:rPr>
          <w:rFonts w:ascii="Arial" w:eastAsia="Times New Roman" w:hAnsi="Arial" w:cs="Arial"/>
          <w:color w:val="000000"/>
          <w:sz w:val="20"/>
          <w:szCs w:val="20"/>
          <w:lang w:eastAsia="en-GB"/>
        </w:rPr>
        <w:t xml:space="preserve"> 2021. As previously noted in our </w:t>
      </w:r>
      <w:proofErr w:type="spellStart"/>
      <w:r w:rsidRPr="00C82CBF">
        <w:rPr>
          <w:rFonts w:ascii="Arial" w:eastAsia="Times New Roman" w:hAnsi="Arial" w:cs="Arial"/>
          <w:color w:val="000000"/>
          <w:sz w:val="20"/>
          <w:szCs w:val="20"/>
          <w:lang w:eastAsia="en-GB"/>
        </w:rPr>
        <w:t>Q1</w:t>
      </w:r>
      <w:proofErr w:type="spellEnd"/>
      <w:r w:rsidRPr="00C82CBF">
        <w:rPr>
          <w:rFonts w:ascii="Arial" w:eastAsia="Times New Roman" w:hAnsi="Arial" w:cs="Arial"/>
          <w:color w:val="000000"/>
          <w:sz w:val="20"/>
          <w:szCs w:val="20"/>
          <w:lang w:eastAsia="en-GB"/>
        </w:rPr>
        <w:t xml:space="preserve"> 2021 financial release, </w:t>
      </w:r>
      <w:proofErr w:type="spellStart"/>
      <w:r w:rsidRPr="00C82CBF">
        <w:rPr>
          <w:rFonts w:ascii="Arial" w:eastAsia="Times New Roman" w:hAnsi="Arial" w:cs="Arial"/>
          <w:color w:val="000000"/>
          <w:sz w:val="20"/>
          <w:szCs w:val="20"/>
          <w:lang w:eastAsia="en-GB"/>
        </w:rPr>
        <w:t>Q1</w:t>
      </w:r>
      <w:proofErr w:type="spellEnd"/>
      <w:r w:rsidRPr="00C82CBF">
        <w:rPr>
          <w:rFonts w:ascii="Arial" w:eastAsia="Times New Roman" w:hAnsi="Arial" w:cs="Arial"/>
          <w:color w:val="000000"/>
          <w:sz w:val="20"/>
          <w:szCs w:val="20"/>
          <w:lang w:eastAsia="en-GB"/>
        </w:rPr>
        <w:t xml:space="preserve"> 2021 saw the US healthcare economy significantly affected by the second wave of COVID 19 to hit the US. In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2021 doctors' offices reopened and diagnostic and routine patient appointments initiated a recovery across the pharmaceutical sector and for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 xml:space="preserve">® (recombinant human </w:t>
      </w:r>
      <w:proofErr w:type="spellStart"/>
      <w:r w:rsidRPr="00C82CBF">
        <w:rPr>
          <w:rFonts w:ascii="Arial" w:eastAsia="Times New Roman" w:hAnsi="Arial" w:cs="Arial"/>
          <w:color w:val="000000"/>
          <w:sz w:val="20"/>
          <w:szCs w:val="20"/>
          <w:lang w:eastAsia="en-GB"/>
        </w:rPr>
        <w:t>C1</w:t>
      </w:r>
      <w:proofErr w:type="spellEnd"/>
      <w:r w:rsidRPr="00C82CBF">
        <w:rPr>
          <w:rFonts w:ascii="Arial" w:eastAsia="Times New Roman" w:hAnsi="Arial" w:cs="Arial"/>
          <w:color w:val="000000"/>
          <w:sz w:val="20"/>
          <w:szCs w:val="20"/>
          <w:lang w:eastAsia="en-GB"/>
        </w:rPr>
        <w:t xml:space="preserve"> esterase inhibitor, or "</w:t>
      </w:r>
      <w:proofErr w:type="spellStart"/>
      <w:r w:rsidRPr="00C82CBF">
        <w:rPr>
          <w:rFonts w:ascii="Arial" w:eastAsia="Times New Roman" w:hAnsi="Arial" w:cs="Arial"/>
          <w:color w:val="000000"/>
          <w:sz w:val="20"/>
          <w:szCs w:val="20"/>
          <w:lang w:eastAsia="en-GB"/>
        </w:rPr>
        <w:t>rhC1INH</w:t>
      </w:r>
      <w:proofErr w:type="spellEnd"/>
      <w:r w:rsidRPr="00C82CBF">
        <w:rPr>
          <w:rFonts w:ascii="Arial" w:eastAsia="Times New Roman" w:hAnsi="Arial" w:cs="Arial"/>
          <w:color w:val="000000"/>
          <w:sz w:val="20"/>
          <w:szCs w:val="20"/>
          <w:lang w:eastAsia="en-GB"/>
        </w:rPr>
        <w:t xml:space="preserve">") sales. </w:t>
      </w:r>
    </w:p>
    <w:p w14:paraId="3EA5782A" w14:textId="77777777" w:rsidR="00C82CBF" w:rsidRPr="00C82CBF" w:rsidRDefault="00C82CBF" w:rsidP="00C82CBF">
      <w:pPr>
        <w:numPr>
          <w:ilvl w:val="0"/>
          <w:numId w:val="2"/>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The start of the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 xml:space="preserve">® recovery in the US during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2021 was driven by an increase in new patients and product demand. For the first half of 2021 revenue from US sales amounted to </w:t>
      </w:r>
      <w:proofErr w:type="spellStart"/>
      <w:r w:rsidRPr="00C82CBF">
        <w:rPr>
          <w:rFonts w:ascii="Arial" w:eastAsia="Times New Roman" w:hAnsi="Arial" w:cs="Arial"/>
          <w:color w:val="000000"/>
          <w:sz w:val="20"/>
          <w:szCs w:val="20"/>
          <w:lang w:eastAsia="en-GB"/>
        </w:rPr>
        <w:t>US$90.1</w:t>
      </w:r>
      <w:proofErr w:type="spellEnd"/>
      <w:r w:rsidRPr="00C82CBF">
        <w:rPr>
          <w:rFonts w:ascii="Arial" w:eastAsia="Times New Roman" w:hAnsi="Arial" w:cs="Arial"/>
          <w:color w:val="000000"/>
          <w:sz w:val="20"/>
          <w:szCs w:val="20"/>
          <w:lang w:eastAsia="en-GB"/>
        </w:rPr>
        <w:t xml:space="preserve"> million a 4% decrease from </w:t>
      </w:r>
      <w:proofErr w:type="spellStart"/>
      <w:r w:rsidRPr="00C82CBF">
        <w:rPr>
          <w:rFonts w:ascii="Arial" w:eastAsia="Times New Roman" w:hAnsi="Arial" w:cs="Arial"/>
          <w:color w:val="000000"/>
          <w:sz w:val="20"/>
          <w:szCs w:val="20"/>
          <w:lang w:eastAsia="en-GB"/>
        </w:rPr>
        <w:t>US$93.9</w:t>
      </w:r>
      <w:proofErr w:type="spellEnd"/>
      <w:r w:rsidRPr="00C82CBF">
        <w:rPr>
          <w:rFonts w:ascii="Arial" w:eastAsia="Times New Roman" w:hAnsi="Arial" w:cs="Arial"/>
          <w:color w:val="000000"/>
          <w:sz w:val="20"/>
          <w:szCs w:val="20"/>
          <w:lang w:eastAsia="en-GB"/>
        </w:rPr>
        <w:t xml:space="preserve"> million in the first half of 2020. However, US sales revenues in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2021 increased by 16% to </w:t>
      </w:r>
      <w:proofErr w:type="spellStart"/>
      <w:r w:rsidRPr="00C82CBF">
        <w:rPr>
          <w:rFonts w:ascii="Arial" w:eastAsia="Times New Roman" w:hAnsi="Arial" w:cs="Arial"/>
          <w:color w:val="000000"/>
          <w:sz w:val="20"/>
          <w:szCs w:val="20"/>
          <w:lang w:eastAsia="en-GB"/>
        </w:rPr>
        <w:t>US$48.4</w:t>
      </w:r>
      <w:proofErr w:type="spellEnd"/>
      <w:r w:rsidRPr="00C82CBF">
        <w:rPr>
          <w:rFonts w:ascii="Arial" w:eastAsia="Times New Roman" w:hAnsi="Arial" w:cs="Arial"/>
          <w:color w:val="000000"/>
          <w:sz w:val="20"/>
          <w:szCs w:val="20"/>
          <w:lang w:eastAsia="en-GB"/>
        </w:rPr>
        <w:t xml:space="preserve"> million </w:t>
      </w:r>
      <w:proofErr w:type="spellStart"/>
      <w:r w:rsidRPr="00C82CBF">
        <w:rPr>
          <w:rFonts w:ascii="Arial" w:eastAsia="Times New Roman" w:hAnsi="Arial" w:cs="Arial"/>
          <w:color w:val="000000"/>
          <w:sz w:val="20"/>
          <w:szCs w:val="20"/>
          <w:lang w:eastAsia="en-GB"/>
        </w:rPr>
        <w:t>fromUS$41.6</w:t>
      </w:r>
      <w:proofErr w:type="spellEnd"/>
      <w:r w:rsidRPr="00C82CBF">
        <w:rPr>
          <w:rFonts w:ascii="Arial" w:eastAsia="Times New Roman" w:hAnsi="Arial" w:cs="Arial"/>
          <w:color w:val="000000"/>
          <w:sz w:val="20"/>
          <w:szCs w:val="20"/>
          <w:lang w:eastAsia="en-GB"/>
        </w:rPr>
        <w:t xml:space="preserve"> million in </w:t>
      </w:r>
      <w:proofErr w:type="spellStart"/>
      <w:r w:rsidRPr="00C82CBF">
        <w:rPr>
          <w:rFonts w:ascii="Arial" w:eastAsia="Times New Roman" w:hAnsi="Arial" w:cs="Arial"/>
          <w:color w:val="000000"/>
          <w:sz w:val="20"/>
          <w:szCs w:val="20"/>
          <w:lang w:eastAsia="en-GB"/>
        </w:rPr>
        <w:t>Q1</w:t>
      </w:r>
      <w:proofErr w:type="spellEnd"/>
      <w:r w:rsidRPr="00C82CBF">
        <w:rPr>
          <w:rFonts w:ascii="Arial" w:eastAsia="Times New Roman" w:hAnsi="Arial" w:cs="Arial"/>
          <w:color w:val="000000"/>
          <w:sz w:val="20"/>
          <w:szCs w:val="20"/>
          <w:lang w:eastAsia="en-GB"/>
        </w:rPr>
        <w:t xml:space="preserve"> 2021. </w:t>
      </w:r>
    </w:p>
    <w:p w14:paraId="6CFFB647" w14:textId="77777777" w:rsidR="00C82CBF" w:rsidRPr="00C82CBF" w:rsidRDefault="00C82CBF" w:rsidP="00C82CBF">
      <w:pPr>
        <w:numPr>
          <w:ilvl w:val="0"/>
          <w:numId w:val="2"/>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Sales revenues in Europe and Rest of World (</w:t>
      </w:r>
      <w:proofErr w:type="spellStart"/>
      <w:r w:rsidRPr="00C82CBF">
        <w:rPr>
          <w:rFonts w:ascii="Arial" w:eastAsia="Times New Roman" w:hAnsi="Arial" w:cs="Arial"/>
          <w:color w:val="000000"/>
          <w:sz w:val="20"/>
          <w:szCs w:val="20"/>
          <w:lang w:eastAsia="en-GB"/>
        </w:rPr>
        <w:t>RoW</w:t>
      </w:r>
      <w:proofErr w:type="spellEnd"/>
      <w:r w:rsidRPr="00C82CBF">
        <w:rPr>
          <w:rFonts w:ascii="Arial" w:eastAsia="Times New Roman" w:hAnsi="Arial" w:cs="Arial"/>
          <w:color w:val="000000"/>
          <w:sz w:val="20"/>
          <w:szCs w:val="20"/>
          <w:lang w:eastAsia="en-GB"/>
        </w:rPr>
        <w:t xml:space="preserve">) decreased to </w:t>
      </w:r>
      <w:proofErr w:type="spellStart"/>
      <w:r w:rsidRPr="00C82CBF">
        <w:rPr>
          <w:rFonts w:ascii="Arial" w:eastAsia="Times New Roman" w:hAnsi="Arial" w:cs="Arial"/>
          <w:color w:val="000000"/>
          <w:sz w:val="20"/>
          <w:szCs w:val="20"/>
          <w:lang w:eastAsia="en-GB"/>
        </w:rPr>
        <w:t>US$3.2</w:t>
      </w:r>
      <w:proofErr w:type="spellEnd"/>
      <w:r w:rsidRPr="00C82CBF">
        <w:rPr>
          <w:rFonts w:ascii="Arial" w:eastAsia="Times New Roman" w:hAnsi="Arial" w:cs="Arial"/>
          <w:color w:val="000000"/>
          <w:sz w:val="20"/>
          <w:szCs w:val="20"/>
          <w:lang w:eastAsia="en-GB"/>
        </w:rPr>
        <w:t xml:space="preserve"> million in the first half of 2021 (</w:t>
      </w:r>
      <w:proofErr w:type="spellStart"/>
      <w:r w:rsidRPr="00C82CBF">
        <w:rPr>
          <w:rFonts w:ascii="Arial" w:eastAsia="Times New Roman" w:hAnsi="Arial" w:cs="Arial"/>
          <w:color w:val="000000"/>
          <w:sz w:val="20"/>
          <w:szCs w:val="20"/>
          <w:lang w:eastAsia="en-GB"/>
        </w:rPr>
        <w:t>H1</w:t>
      </w:r>
      <w:proofErr w:type="spellEnd"/>
      <w:r w:rsidRPr="00C82CBF">
        <w:rPr>
          <w:rFonts w:ascii="Arial" w:eastAsia="Times New Roman" w:hAnsi="Arial" w:cs="Arial"/>
          <w:color w:val="000000"/>
          <w:sz w:val="20"/>
          <w:szCs w:val="20"/>
          <w:lang w:eastAsia="en-GB"/>
        </w:rPr>
        <w:t xml:space="preserve"> 2020: </w:t>
      </w:r>
      <w:proofErr w:type="spellStart"/>
      <w:r w:rsidRPr="00C82CBF">
        <w:rPr>
          <w:rFonts w:ascii="Arial" w:eastAsia="Times New Roman" w:hAnsi="Arial" w:cs="Arial"/>
          <w:color w:val="000000"/>
          <w:sz w:val="20"/>
          <w:szCs w:val="20"/>
          <w:lang w:eastAsia="en-GB"/>
        </w:rPr>
        <w:t>US$4.0</w:t>
      </w:r>
      <w:proofErr w:type="spellEnd"/>
      <w:r w:rsidRPr="00C82CBF">
        <w:rPr>
          <w:rFonts w:ascii="Arial" w:eastAsia="Times New Roman" w:hAnsi="Arial" w:cs="Arial"/>
          <w:color w:val="000000"/>
          <w:sz w:val="20"/>
          <w:szCs w:val="20"/>
          <w:lang w:eastAsia="en-GB"/>
        </w:rPr>
        <w:t xml:space="preserve"> million) In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2021 revenue from Europe and </w:t>
      </w:r>
      <w:proofErr w:type="spellStart"/>
      <w:r w:rsidRPr="00C82CBF">
        <w:rPr>
          <w:rFonts w:ascii="Arial" w:eastAsia="Times New Roman" w:hAnsi="Arial" w:cs="Arial"/>
          <w:color w:val="000000"/>
          <w:sz w:val="20"/>
          <w:szCs w:val="20"/>
          <w:lang w:eastAsia="en-GB"/>
        </w:rPr>
        <w:t>RoW</w:t>
      </w:r>
      <w:proofErr w:type="spellEnd"/>
      <w:r w:rsidRPr="00C82CBF">
        <w:rPr>
          <w:rFonts w:ascii="Arial" w:eastAsia="Times New Roman" w:hAnsi="Arial" w:cs="Arial"/>
          <w:color w:val="000000"/>
          <w:sz w:val="20"/>
          <w:szCs w:val="20"/>
          <w:lang w:eastAsia="en-GB"/>
        </w:rPr>
        <w:t xml:space="preserve"> sales was </w:t>
      </w:r>
      <w:proofErr w:type="spellStart"/>
      <w:r w:rsidRPr="00C82CBF">
        <w:rPr>
          <w:rFonts w:ascii="Arial" w:eastAsia="Times New Roman" w:hAnsi="Arial" w:cs="Arial"/>
          <w:color w:val="000000"/>
          <w:sz w:val="20"/>
          <w:szCs w:val="20"/>
          <w:lang w:eastAsia="en-GB"/>
        </w:rPr>
        <w:t>US$1.2</w:t>
      </w:r>
      <w:proofErr w:type="spellEnd"/>
      <w:r w:rsidRPr="00C82CBF">
        <w:rPr>
          <w:rFonts w:ascii="Arial" w:eastAsia="Times New Roman" w:hAnsi="Arial" w:cs="Arial"/>
          <w:color w:val="000000"/>
          <w:sz w:val="20"/>
          <w:szCs w:val="20"/>
          <w:lang w:eastAsia="en-GB"/>
        </w:rPr>
        <w:t xml:space="preserve"> million a decrease of 36% on </w:t>
      </w:r>
      <w:proofErr w:type="spellStart"/>
      <w:r w:rsidRPr="00C82CBF">
        <w:rPr>
          <w:rFonts w:ascii="Arial" w:eastAsia="Times New Roman" w:hAnsi="Arial" w:cs="Arial"/>
          <w:color w:val="000000"/>
          <w:sz w:val="20"/>
          <w:szCs w:val="20"/>
          <w:lang w:eastAsia="en-GB"/>
        </w:rPr>
        <w:t>Q1</w:t>
      </w:r>
      <w:proofErr w:type="spellEnd"/>
      <w:r w:rsidRPr="00C82CBF">
        <w:rPr>
          <w:rFonts w:ascii="Arial" w:eastAsia="Times New Roman" w:hAnsi="Arial" w:cs="Arial"/>
          <w:color w:val="000000"/>
          <w:sz w:val="20"/>
          <w:szCs w:val="20"/>
          <w:lang w:eastAsia="en-GB"/>
        </w:rPr>
        <w:t xml:space="preserve"> 2021 $1.96 million, mainly as a result of phasing of ordering. </w:t>
      </w:r>
    </w:p>
    <w:p w14:paraId="2900A586" w14:textId="77777777" w:rsidR="00C82CBF" w:rsidRPr="00C82CBF" w:rsidRDefault="00C82CBF" w:rsidP="00C82CBF">
      <w:pPr>
        <w:numPr>
          <w:ilvl w:val="0"/>
          <w:numId w:val="2"/>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Gross profit for first half year of 2021 amounted to </w:t>
      </w:r>
      <w:proofErr w:type="spellStart"/>
      <w:r w:rsidRPr="00C82CBF">
        <w:rPr>
          <w:rFonts w:ascii="Arial" w:eastAsia="Times New Roman" w:hAnsi="Arial" w:cs="Arial"/>
          <w:color w:val="000000"/>
          <w:sz w:val="20"/>
          <w:szCs w:val="20"/>
          <w:lang w:eastAsia="en-GB"/>
        </w:rPr>
        <w:t>US$83.8</w:t>
      </w:r>
      <w:proofErr w:type="spellEnd"/>
      <w:r w:rsidRPr="00C82CBF">
        <w:rPr>
          <w:rFonts w:ascii="Arial" w:eastAsia="Times New Roman" w:hAnsi="Arial" w:cs="Arial"/>
          <w:color w:val="000000"/>
          <w:sz w:val="20"/>
          <w:szCs w:val="20"/>
          <w:lang w:eastAsia="en-GB"/>
        </w:rPr>
        <w:t xml:space="preserve"> million a decrease of 4% in comparison to </w:t>
      </w:r>
      <w:proofErr w:type="spellStart"/>
      <w:r w:rsidRPr="00C82CBF">
        <w:rPr>
          <w:rFonts w:ascii="Arial" w:eastAsia="Times New Roman" w:hAnsi="Arial" w:cs="Arial"/>
          <w:color w:val="000000"/>
          <w:sz w:val="20"/>
          <w:szCs w:val="20"/>
          <w:lang w:eastAsia="en-GB"/>
        </w:rPr>
        <w:t>H1</w:t>
      </w:r>
      <w:proofErr w:type="spellEnd"/>
      <w:r w:rsidRPr="00C82CBF">
        <w:rPr>
          <w:rFonts w:ascii="Arial" w:eastAsia="Times New Roman" w:hAnsi="Arial" w:cs="Arial"/>
          <w:color w:val="000000"/>
          <w:sz w:val="20"/>
          <w:szCs w:val="20"/>
          <w:lang w:eastAsia="en-GB"/>
        </w:rPr>
        <w:t xml:space="preserve"> 2020 (</w:t>
      </w:r>
      <w:proofErr w:type="spellStart"/>
      <w:r w:rsidRPr="00C82CBF">
        <w:rPr>
          <w:rFonts w:ascii="Arial" w:eastAsia="Times New Roman" w:hAnsi="Arial" w:cs="Arial"/>
          <w:color w:val="000000"/>
          <w:sz w:val="20"/>
          <w:szCs w:val="20"/>
          <w:lang w:eastAsia="en-GB"/>
        </w:rPr>
        <w:t>US$86.9</w:t>
      </w:r>
      <w:proofErr w:type="spellEnd"/>
      <w:r w:rsidRPr="00C82CBF">
        <w:rPr>
          <w:rFonts w:ascii="Arial" w:eastAsia="Times New Roman" w:hAnsi="Arial" w:cs="Arial"/>
          <w:color w:val="000000"/>
          <w:sz w:val="20"/>
          <w:szCs w:val="20"/>
          <w:lang w:eastAsia="en-GB"/>
        </w:rPr>
        <w:t xml:space="preserve"> million). However, gross profit for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2021 increased by </w:t>
      </w:r>
      <w:r w:rsidRPr="00C82CBF">
        <w:rPr>
          <w:rFonts w:ascii="Arial" w:eastAsia="Times New Roman" w:hAnsi="Arial" w:cs="Arial"/>
          <w:color w:val="000000"/>
          <w:sz w:val="20"/>
          <w:szCs w:val="20"/>
          <w:lang w:eastAsia="en-GB"/>
        </w:rPr>
        <w:lastRenderedPageBreak/>
        <w:t xml:space="preserve">17% to </w:t>
      </w:r>
      <w:proofErr w:type="spellStart"/>
      <w:r w:rsidRPr="00C82CBF">
        <w:rPr>
          <w:rFonts w:ascii="Arial" w:eastAsia="Times New Roman" w:hAnsi="Arial" w:cs="Arial"/>
          <w:color w:val="000000"/>
          <w:sz w:val="20"/>
          <w:szCs w:val="20"/>
          <w:lang w:eastAsia="en-GB"/>
        </w:rPr>
        <w:t>US$45.0</w:t>
      </w:r>
      <w:proofErr w:type="spellEnd"/>
      <w:r w:rsidRPr="00C82CBF">
        <w:rPr>
          <w:rFonts w:ascii="Arial" w:eastAsia="Times New Roman" w:hAnsi="Arial" w:cs="Arial"/>
          <w:color w:val="000000"/>
          <w:sz w:val="20"/>
          <w:szCs w:val="20"/>
          <w:lang w:eastAsia="en-GB"/>
        </w:rPr>
        <w:t xml:space="preserve"> million compared to </w:t>
      </w:r>
      <w:proofErr w:type="spellStart"/>
      <w:r w:rsidRPr="00C82CBF">
        <w:rPr>
          <w:rFonts w:ascii="Arial" w:eastAsia="Times New Roman" w:hAnsi="Arial" w:cs="Arial"/>
          <w:color w:val="000000"/>
          <w:sz w:val="20"/>
          <w:szCs w:val="20"/>
          <w:lang w:eastAsia="en-GB"/>
        </w:rPr>
        <w:t>US$38.4</w:t>
      </w:r>
      <w:proofErr w:type="spellEnd"/>
      <w:r w:rsidRPr="00C82CBF">
        <w:rPr>
          <w:rFonts w:ascii="Arial" w:eastAsia="Times New Roman" w:hAnsi="Arial" w:cs="Arial"/>
          <w:color w:val="000000"/>
          <w:sz w:val="20"/>
          <w:szCs w:val="20"/>
          <w:lang w:eastAsia="en-GB"/>
        </w:rPr>
        <w:t xml:space="preserve"> million in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2020 and by 16% compared to </w:t>
      </w:r>
      <w:proofErr w:type="spellStart"/>
      <w:r w:rsidRPr="00C82CBF">
        <w:rPr>
          <w:rFonts w:ascii="Arial" w:eastAsia="Times New Roman" w:hAnsi="Arial" w:cs="Arial"/>
          <w:color w:val="000000"/>
          <w:sz w:val="20"/>
          <w:szCs w:val="20"/>
          <w:lang w:eastAsia="en-GB"/>
        </w:rPr>
        <w:t>Q1</w:t>
      </w:r>
      <w:proofErr w:type="spellEnd"/>
      <w:r w:rsidRPr="00C82CBF">
        <w:rPr>
          <w:rFonts w:ascii="Arial" w:eastAsia="Times New Roman" w:hAnsi="Arial" w:cs="Arial"/>
          <w:color w:val="000000"/>
          <w:sz w:val="20"/>
          <w:szCs w:val="20"/>
          <w:lang w:eastAsia="en-GB"/>
        </w:rPr>
        <w:t xml:space="preserve"> 2021, in line with the increased revenues. </w:t>
      </w:r>
    </w:p>
    <w:p w14:paraId="18DAD688" w14:textId="77777777" w:rsidR="00C82CBF" w:rsidRPr="00C82CBF" w:rsidRDefault="00C82CBF" w:rsidP="00C82CBF">
      <w:pPr>
        <w:numPr>
          <w:ilvl w:val="0"/>
          <w:numId w:val="2"/>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Operating profit for the first half of 2021 amounted to </w:t>
      </w:r>
      <w:proofErr w:type="spellStart"/>
      <w:r w:rsidRPr="00C82CBF">
        <w:rPr>
          <w:rFonts w:ascii="Arial" w:eastAsia="Times New Roman" w:hAnsi="Arial" w:cs="Arial"/>
          <w:color w:val="000000"/>
          <w:sz w:val="20"/>
          <w:szCs w:val="20"/>
          <w:lang w:eastAsia="en-GB"/>
        </w:rPr>
        <w:t>US$17.2</w:t>
      </w:r>
      <w:proofErr w:type="spellEnd"/>
      <w:r w:rsidRPr="00C82CBF">
        <w:rPr>
          <w:rFonts w:ascii="Arial" w:eastAsia="Times New Roman" w:hAnsi="Arial" w:cs="Arial"/>
          <w:color w:val="000000"/>
          <w:sz w:val="20"/>
          <w:szCs w:val="20"/>
          <w:lang w:eastAsia="en-GB"/>
        </w:rPr>
        <w:t xml:space="preserve"> million, a 52% decrease from </w:t>
      </w:r>
      <w:proofErr w:type="spellStart"/>
      <w:r w:rsidRPr="00C82CBF">
        <w:rPr>
          <w:rFonts w:ascii="Arial" w:eastAsia="Times New Roman" w:hAnsi="Arial" w:cs="Arial"/>
          <w:color w:val="000000"/>
          <w:sz w:val="20"/>
          <w:szCs w:val="20"/>
          <w:lang w:eastAsia="en-GB"/>
        </w:rPr>
        <w:t>H1</w:t>
      </w:r>
      <w:proofErr w:type="spellEnd"/>
      <w:r w:rsidRPr="00C82CBF">
        <w:rPr>
          <w:rFonts w:ascii="Arial" w:eastAsia="Times New Roman" w:hAnsi="Arial" w:cs="Arial"/>
          <w:color w:val="000000"/>
          <w:sz w:val="20"/>
          <w:szCs w:val="20"/>
          <w:lang w:eastAsia="en-GB"/>
        </w:rPr>
        <w:t xml:space="preserve"> 2020 (</w:t>
      </w:r>
      <w:proofErr w:type="spellStart"/>
      <w:r w:rsidRPr="00C82CBF">
        <w:rPr>
          <w:rFonts w:ascii="Arial" w:eastAsia="Times New Roman" w:hAnsi="Arial" w:cs="Arial"/>
          <w:color w:val="000000"/>
          <w:sz w:val="20"/>
          <w:szCs w:val="20"/>
          <w:lang w:eastAsia="en-GB"/>
        </w:rPr>
        <w:t>US$35.7</w:t>
      </w:r>
      <w:proofErr w:type="spellEnd"/>
      <w:r w:rsidRPr="00C82CBF">
        <w:rPr>
          <w:rFonts w:ascii="Arial" w:eastAsia="Times New Roman" w:hAnsi="Arial" w:cs="Arial"/>
          <w:color w:val="000000"/>
          <w:sz w:val="20"/>
          <w:szCs w:val="20"/>
          <w:lang w:eastAsia="en-GB"/>
        </w:rPr>
        <w:t xml:space="preserve"> million). Operating profit for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2021 decreased by 23% to </w:t>
      </w:r>
      <w:proofErr w:type="spellStart"/>
      <w:r w:rsidRPr="00C82CBF">
        <w:rPr>
          <w:rFonts w:ascii="Arial" w:eastAsia="Times New Roman" w:hAnsi="Arial" w:cs="Arial"/>
          <w:color w:val="000000"/>
          <w:sz w:val="20"/>
          <w:szCs w:val="20"/>
          <w:lang w:eastAsia="en-GB"/>
        </w:rPr>
        <w:t>US$10.9</w:t>
      </w:r>
      <w:proofErr w:type="spellEnd"/>
      <w:r w:rsidRPr="00C82CBF">
        <w:rPr>
          <w:rFonts w:ascii="Arial" w:eastAsia="Times New Roman" w:hAnsi="Arial" w:cs="Arial"/>
          <w:color w:val="000000"/>
          <w:sz w:val="20"/>
          <w:szCs w:val="20"/>
          <w:lang w:eastAsia="en-GB"/>
        </w:rPr>
        <w:t xml:space="preserve"> million compared to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2020 (</w:t>
      </w:r>
      <w:proofErr w:type="spellStart"/>
      <w:r w:rsidRPr="00C82CBF">
        <w:rPr>
          <w:rFonts w:ascii="Arial" w:eastAsia="Times New Roman" w:hAnsi="Arial" w:cs="Arial"/>
          <w:color w:val="000000"/>
          <w:sz w:val="20"/>
          <w:szCs w:val="20"/>
          <w:lang w:eastAsia="en-GB"/>
        </w:rPr>
        <w:t>US$14.2</w:t>
      </w:r>
      <w:proofErr w:type="spellEnd"/>
      <w:r w:rsidRPr="00C82CBF">
        <w:rPr>
          <w:rFonts w:ascii="Arial" w:eastAsia="Times New Roman" w:hAnsi="Arial" w:cs="Arial"/>
          <w:color w:val="000000"/>
          <w:sz w:val="20"/>
          <w:szCs w:val="20"/>
          <w:lang w:eastAsia="en-GB"/>
        </w:rPr>
        <w:t xml:space="preserve"> million) but increased by 73% compared to </w:t>
      </w:r>
      <w:proofErr w:type="spellStart"/>
      <w:r w:rsidRPr="00C82CBF">
        <w:rPr>
          <w:rFonts w:ascii="Arial" w:eastAsia="Times New Roman" w:hAnsi="Arial" w:cs="Arial"/>
          <w:color w:val="000000"/>
          <w:sz w:val="20"/>
          <w:szCs w:val="20"/>
          <w:lang w:eastAsia="en-GB"/>
        </w:rPr>
        <w:t>Q1</w:t>
      </w:r>
      <w:proofErr w:type="spellEnd"/>
      <w:r w:rsidRPr="00C82CBF">
        <w:rPr>
          <w:rFonts w:ascii="Arial" w:eastAsia="Times New Roman" w:hAnsi="Arial" w:cs="Arial"/>
          <w:color w:val="000000"/>
          <w:sz w:val="20"/>
          <w:szCs w:val="20"/>
          <w:lang w:eastAsia="en-GB"/>
        </w:rPr>
        <w:t xml:space="preserve"> 2021 (</w:t>
      </w:r>
      <w:proofErr w:type="spellStart"/>
      <w:r w:rsidRPr="00C82CBF">
        <w:rPr>
          <w:rFonts w:ascii="Arial" w:eastAsia="Times New Roman" w:hAnsi="Arial" w:cs="Arial"/>
          <w:color w:val="000000"/>
          <w:sz w:val="20"/>
          <w:szCs w:val="20"/>
          <w:lang w:eastAsia="en-GB"/>
        </w:rPr>
        <w:t>US$6.3</w:t>
      </w:r>
      <w:proofErr w:type="spellEnd"/>
      <w:r w:rsidRPr="00C82CBF">
        <w:rPr>
          <w:rFonts w:ascii="Arial" w:eastAsia="Times New Roman" w:hAnsi="Arial" w:cs="Arial"/>
          <w:color w:val="000000"/>
          <w:sz w:val="20"/>
          <w:szCs w:val="20"/>
          <w:lang w:eastAsia="en-GB"/>
        </w:rPr>
        <w:t xml:space="preserve"> million). </w:t>
      </w:r>
    </w:p>
    <w:p w14:paraId="1E64D282" w14:textId="77777777" w:rsidR="00C82CBF" w:rsidRPr="00C82CBF" w:rsidRDefault="00C82CBF" w:rsidP="00C82CBF">
      <w:pPr>
        <w:numPr>
          <w:ilvl w:val="0"/>
          <w:numId w:val="2"/>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Other operating costs increased to </w:t>
      </w:r>
      <w:proofErr w:type="spellStart"/>
      <w:r w:rsidRPr="00C82CBF">
        <w:rPr>
          <w:rFonts w:ascii="Arial" w:eastAsia="Times New Roman" w:hAnsi="Arial" w:cs="Arial"/>
          <w:color w:val="000000"/>
          <w:sz w:val="20"/>
          <w:szCs w:val="20"/>
          <w:lang w:eastAsia="en-GB"/>
        </w:rPr>
        <w:t>US$68.0</w:t>
      </w:r>
      <w:proofErr w:type="spellEnd"/>
      <w:r w:rsidRPr="00C82CBF">
        <w:rPr>
          <w:rFonts w:ascii="Arial" w:eastAsia="Times New Roman" w:hAnsi="Arial" w:cs="Arial"/>
          <w:color w:val="000000"/>
          <w:sz w:val="20"/>
          <w:szCs w:val="20"/>
          <w:lang w:eastAsia="en-GB"/>
        </w:rPr>
        <w:t xml:space="preserve"> million compared to </w:t>
      </w:r>
      <w:proofErr w:type="spellStart"/>
      <w:r w:rsidRPr="00C82CBF">
        <w:rPr>
          <w:rFonts w:ascii="Arial" w:eastAsia="Times New Roman" w:hAnsi="Arial" w:cs="Arial"/>
          <w:color w:val="000000"/>
          <w:sz w:val="20"/>
          <w:szCs w:val="20"/>
          <w:lang w:eastAsia="en-GB"/>
        </w:rPr>
        <w:t>US$51.8</w:t>
      </w:r>
      <w:proofErr w:type="spellEnd"/>
      <w:r w:rsidRPr="00C82CBF">
        <w:rPr>
          <w:rFonts w:ascii="Arial" w:eastAsia="Times New Roman" w:hAnsi="Arial" w:cs="Arial"/>
          <w:color w:val="000000"/>
          <w:sz w:val="20"/>
          <w:szCs w:val="20"/>
          <w:lang w:eastAsia="en-GB"/>
        </w:rPr>
        <w:t xml:space="preserve"> million in the first half year of 2020. The increase was a combination of increased R&amp;D expenditure, investments in launch preparation and manufacturing cost for </w:t>
      </w:r>
      <w:proofErr w:type="spellStart"/>
      <w:r w:rsidRPr="00C82CBF">
        <w:rPr>
          <w:rFonts w:ascii="Arial" w:eastAsia="Times New Roman" w:hAnsi="Arial" w:cs="Arial"/>
          <w:color w:val="000000"/>
          <w:sz w:val="20"/>
          <w:szCs w:val="20"/>
          <w:lang w:eastAsia="en-GB"/>
        </w:rPr>
        <w:t>leniolisib</w:t>
      </w:r>
      <w:proofErr w:type="spellEnd"/>
      <w:r w:rsidRPr="00C82CBF">
        <w:rPr>
          <w:rFonts w:ascii="Arial" w:eastAsia="Times New Roman" w:hAnsi="Arial" w:cs="Arial"/>
          <w:color w:val="000000"/>
          <w:sz w:val="20"/>
          <w:szCs w:val="20"/>
          <w:lang w:eastAsia="en-GB"/>
        </w:rPr>
        <w:t xml:space="preserve">, an increase in employee numbers supporting company growth, a significant increase in cost of insurances, an increase in share-based compensation and increased compliance and control costs. </w:t>
      </w:r>
    </w:p>
    <w:p w14:paraId="1CEC9A6C" w14:textId="77777777" w:rsidR="00C82CBF" w:rsidRPr="00C82CBF" w:rsidRDefault="00C82CBF" w:rsidP="00C82CBF">
      <w:pPr>
        <w:numPr>
          <w:ilvl w:val="0"/>
          <w:numId w:val="2"/>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Net profit for </w:t>
      </w:r>
      <w:proofErr w:type="spellStart"/>
      <w:r w:rsidRPr="00C82CBF">
        <w:rPr>
          <w:rFonts w:ascii="Arial" w:eastAsia="Times New Roman" w:hAnsi="Arial" w:cs="Arial"/>
          <w:color w:val="000000"/>
          <w:sz w:val="20"/>
          <w:szCs w:val="20"/>
          <w:lang w:eastAsia="en-GB"/>
        </w:rPr>
        <w:t>H1</w:t>
      </w:r>
      <w:proofErr w:type="spellEnd"/>
      <w:r w:rsidRPr="00C82CBF">
        <w:rPr>
          <w:rFonts w:ascii="Arial" w:eastAsia="Times New Roman" w:hAnsi="Arial" w:cs="Arial"/>
          <w:color w:val="000000"/>
          <w:sz w:val="20"/>
          <w:szCs w:val="20"/>
          <w:lang w:eastAsia="en-GB"/>
        </w:rPr>
        <w:t xml:space="preserve"> 2021 came to </w:t>
      </w:r>
      <w:proofErr w:type="spellStart"/>
      <w:r w:rsidRPr="00C82CBF">
        <w:rPr>
          <w:rFonts w:ascii="Arial" w:eastAsia="Times New Roman" w:hAnsi="Arial" w:cs="Arial"/>
          <w:color w:val="000000"/>
          <w:sz w:val="20"/>
          <w:szCs w:val="20"/>
          <w:lang w:eastAsia="en-GB"/>
        </w:rPr>
        <w:t>US$14.4</w:t>
      </w:r>
      <w:proofErr w:type="spellEnd"/>
      <w:r w:rsidRPr="00C82CBF">
        <w:rPr>
          <w:rFonts w:ascii="Arial" w:eastAsia="Times New Roman" w:hAnsi="Arial" w:cs="Arial"/>
          <w:color w:val="000000"/>
          <w:sz w:val="20"/>
          <w:szCs w:val="20"/>
          <w:lang w:eastAsia="en-GB"/>
        </w:rPr>
        <w:t xml:space="preserve"> million a 29% decrease in comparison to </w:t>
      </w:r>
      <w:proofErr w:type="spellStart"/>
      <w:r w:rsidRPr="00C82CBF">
        <w:rPr>
          <w:rFonts w:ascii="Arial" w:eastAsia="Times New Roman" w:hAnsi="Arial" w:cs="Arial"/>
          <w:color w:val="000000"/>
          <w:sz w:val="20"/>
          <w:szCs w:val="20"/>
          <w:lang w:eastAsia="en-GB"/>
        </w:rPr>
        <w:t>H1</w:t>
      </w:r>
      <w:proofErr w:type="spellEnd"/>
      <w:r w:rsidRPr="00C82CBF">
        <w:rPr>
          <w:rFonts w:ascii="Arial" w:eastAsia="Times New Roman" w:hAnsi="Arial" w:cs="Arial"/>
          <w:color w:val="000000"/>
          <w:sz w:val="20"/>
          <w:szCs w:val="20"/>
          <w:lang w:eastAsia="en-GB"/>
        </w:rPr>
        <w:t xml:space="preserve"> 2020 (</w:t>
      </w:r>
      <w:proofErr w:type="spellStart"/>
      <w:r w:rsidRPr="00C82CBF">
        <w:rPr>
          <w:rFonts w:ascii="Arial" w:eastAsia="Times New Roman" w:hAnsi="Arial" w:cs="Arial"/>
          <w:color w:val="000000"/>
          <w:sz w:val="20"/>
          <w:szCs w:val="20"/>
          <w:lang w:eastAsia="en-GB"/>
        </w:rPr>
        <w:t>US$20.3</w:t>
      </w:r>
      <w:proofErr w:type="spellEnd"/>
      <w:r w:rsidRPr="00C82CBF">
        <w:rPr>
          <w:rFonts w:ascii="Arial" w:eastAsia="Times New Roman" w:hAnsi="Arial" w:cs="Arial"/>
          <w:color w:val="000000"/>
          <w:sz w:val="20"/>
          <w:szCs w:val="20"/>
          <w:lang w:eastAsia="en-GB"/>
        </w:rPr>
        <w:t xml:space="preserve"> million), as a result of lower operating profit offset by currency results and lower funding costs. </w:t>
      </w:r>
    </w:p>
    <w:p w14:paraId="3BECE8DE" w14:textId="77777777" w:rsidR="00C82CBF" w:rsidRPr="00C82CBF" w:rsidRDefault="00C82CBF" w:rsidP="00C82CBF">
      <w:pPr>
        <w:numPr>
          <w:ilvl w:val="0"/>
          <w:numId w:val="2"/>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Cash and cash equivalents, together with restricted cash decreased from </w:t>
      </w:r>
      <w:proofErr w:type="spellStart"/>
      <w:r w:rsidRPr="00C82CBF">
        <w:rPr>
          <w:rFonts w:ascii="Arial" w:eastAsia="Times New Roman" w:hAnsi="Arial" w:cs="Arial"/>
          <w:color w:val="000000"/>
          <w:sz w:val="20"/>
          <w:szCs w:val="20"/>
          <w:lang w:eastAsia="en-GB"/>
        </w:rPr>
        <w:t>US$206.7</w:t>
      </w:r>
      <w:proofErr w:type="spellEnd"/>
      <w:r w:rsidRPr="00C82CBF">
        <w:rPr>
          <w:rFonts w:ascii="Arial" w:eastAsia="Times New Roman" w:hAnsi="Arial" w:cs="Arial"/>
          <w:color w:val="000000"/>
          <w:sz w:val="20"/>
          <w:szCs w:val="20"/>
          <w:lang w:eastAsia="en-GB"/>
        </w:rPr>
        <w:t xml:space="preserve"> million at the end of 2020 to </w:t>
      </w:r>
      <w:proofErr w:type="spellStart"/>
      <w:r w:rsidRPr="00C82CBF">
        <w:rPr>
          <w:rFonts w:ascii="Arial" w:eastAsia="Times New Roman" w:hAnsi="Arial" w:cs="Arial"/>
          <w:color w:val="000000"/>
          <w:sz w:val="20"/>
          <w:szCs w:val="20"/>
          <w:lang w:eastAsia="en-GB"/>
        </w:rPr>
        <w:t>US$189.8</w:t>
      </w:r>
      <w:proofErr w:type="spellEnd"/>
      <w:r w:rsidRPr="00C82CBF">
        <w:rPr>
          <w:rFonts w:ascii="Arial" w:eastAsia="Times New Roman" w:hAnsi="Arial" w:cs="Arial"/>
          <w:color w:val="000000"/>
          <w:sz w:val="20"/>
          <w:szCs w:val="20"/>
          <w:lang w:eastAsia="en-GB"/>
        </w:rPr>
        <w:t xml:space="preserve"> million at the end of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2021. This was as a result of positive cash flow from operating activities (</w:t>
      </w:r>
      <w:proofErr w:type="spellStart"/>
      <w:r w:rsidRPr="00C82CBF">
        <w:rPr>
          <w:rFonts w:ascii="Arial" w:eastAsia="Times New Roman" w:hAnsi="Arial" w:cs="Arial"/>
          <w:color w:val="000000"/>
          <w:sz w:val="20"/>
          <w:szCs w:val="20"/>
          <w:lang w:eastAsia="en-GB"/>
        </w:rPr>
        <w:t>US$16.4</w:t>
      </w:r>
      <w:proofErr w:type="spellEnd"/>
      <w:r w:rsidRPr="00C82CBF">
        <w:rPr>
          <w:rFonts w:ascii="Arial" w:eastAsia="Times New Roman" w:hAnsi="Arial" w:cs="Arial"/>
          <w:color w:val="000000"/>
          <w:sz w:val="20"/>
          <w:szCs w:val="20"/>
          <w:lang w:eastAsia="en-GB"/>
        </w:rPr>
        <w:t xml:space="preserve"> million) reduced by investments and the payment of the final $25 million milestone payment in </w:t>
      </w:r>
      <w:proofErr w:type="spellStart"/>
      <w:r w:rsidRPr="00C82CBF">
        <w:rPr>
          <w:rFonts w:ascii="Arial" w:eastAsia="Times New Roman" w:hAnsi="Arial" w:cs="Arial"/>
          <w:color w:val="000000"/>
          <w:sz w:val="20"/>
          <w:szCs w:val="20"/>
          <w:lang w:eastAsia="en-GB"/>
        </w:rPr>
        <w:t>Q2</w:t>
      </w:r>
      <w:proofErr w:type="spellEnd"/>
      <w:r w:rsidRPr="00C82CBF">
        <w:rPr>
          <w:rFonts w:ascii="Arial" w:eastAsia="Times New Roman" w:hAnsi="Arial" w:cs="Arial"/>
          <w:color w:val="000000"/>
          <w:sz w:val="20"/>
          <w:szCs w:val="20"/>
          <w:lang w:eastAsia="en-GB"/>
        </w:rPr>
        <w:t xml:space="preserve"> 2021 to Bausch Health Inc. relating to the re-acquisition of the North American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 commercialization rights in 2016.</w:t>
      </w:r>
    </w:p>
    <w:p w14:paraId="0AAE5901"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Operational highlights</w:t>
      </w:r>
    </w:p>
    <w:p w14:paraId="5D99325C" w14:textId="77777777" w:rsidR="00C82CBF" w:rsidRPr="00C82CBF" w:rsidRDefault="00C82CBF" w:rsidP="00C82CBF">
      <w:pPr>
        <w:numPr>
          <w:ilvl w:val="0"/>
          <w:numId w:val="3"/>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Reimbursement of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 agreed with the Spanish Ministry of Health for the treatment of acute hereditary angioedema (</w:t>
      </w:r>
      <w:proofErr w:type="spellStart"/>
      <w:r w:rsidRPr="00C82CBF">
        <w:rPr>
          <w:rFonts w:ascii="Arial" w:eastAsia="Times New Roman" w:hAnsi="Arial" w:cs="Arial"/>
          <w:color w:val="000000"/>
          <w:sz w:val="20"/>
          <w:szCs w:val="20"/>
          <w:lang w:eastAsia="en-GB"/>
        </w:rPr>
        <w:t>HAE</w:t>
      </w:r>
      <w:proofErr w:type="spellEnd"/>
      <w:r w:rsidRPr="00C82CBF">
        <w:rPr>
          <w:rFonts w:ascii="Arial" w:eastAsia="Times New Roman" w:hAnsi="Arial" w:cs="Arial"/>
          <w:color w:val="000000"/>
          <w:sz w:val="20"/>
          <w:szCs w:val="20"/>
          <w:lang w:eastAsia="en-GB"/>
        </w:rPr>
        <w:t xml:space="preserve">) attacks in Spain. </w:t>
      </w:r>
    </w:p>
    <w:p w14:paraId="592DD9B3" w14:textId="77777777" w:rsidR="00C82CBF" w:rsidRPr="00C82CBF" w:rsidRDefault="00C82CBF" w:rsidP="00C82CBF">
      <w:pPr>
        <w:numPr>
          <w:ilvl w:val="0"/>
          <w:numId w:val="3"/>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Announced the successful completion of patient </w:t>
      </w:r>
      <w:proofErr w:type="spellStart"/>
      <w:r w:rsidRPr="00C82CBF">
        <w:rPr>
          <w:rFonts w:ascii="Arial" w:eastAsia="Times New Roman" w:hAnsi="Arial" w:cs="Arial"/>
          <w:color w:val="000000"/>
          <w:sz w:val="20"/>
          <w:szCs w:val="20"/>
          <w:lang w:eastAsia="en-GB"/>
        </w:rPr>
        <w:t>enrollment</w:t>
      </w:r>
      <w:proofErr w:type="spellEnd"/>
      <w:r w:rsidRPr="00C82CBF">
        <w:rPr>
          <w:rFonts w:ascii="Arial" w:eastAsia="Times New Roman" w:hAnsi="Arial" w:cs="Arial"/>
          <w:color w:val="000000"/>
          <w:sz w:val="20"/>
          <w:szCs w:val="20"/>
          <w:lang w:eastAsia="en-GB"/>
        </w:rPr>
        <w:t xml:space="preserve"> in the pivotal Phase 2/3 triple-blind, randomized, placebo-controlled study of </w:t>
      </w:r>
      <w:proofErr w:type="spellStart"/>
      <w:r w:rsidRPr="00C82CBF">
        <w:rPr>
          <w:rFonts w:ascii="Arial" w:eastAsia="Times New Roman" w:hAnsi="Arial" w:cs="Arial"/>
          <w:color w:val="000000"/>
          <w:sz w:val="20"/>
          <w:szCs w:val="20"/>
          <w:lang w:eastAsia="en-GB"/>
        </w:rPr>
        <w:t>leniolisib</w:t>
      </w:r>
      <w:proofErr w:type="spellEnd"/>
      <w:r w:rsidRPr="00C82CBF">
        <w:rPr>
          <w:rFonts w:ascii="Arial" w:eastAsia="Times New Roman" w:hAnsi="Arial" w:cs="Arial"/>
          <w:color w:val="000000"/>
          <w:sz w:val="20"/>
          <w:szCs w:val="20"/>
          <w:lang w:eastAsia="en-GB"/>
        </w:rPr>
        <w:t xml:space="preserve"> for the treatment of activated phosphoinositide 3-kinase delta (</w:t>
      </w:r>
      <w:proofErr w:type="spellStart"/>
      <w:r w:rsidRPr="00C82CBF">
        <w:rPr>
          <w:rFonts w:ascii="Arial" w:eastAsia="Times New Roman" w:hAnsi="Arial" w:cs="Arial"/>
          <w:color w:val="000000"/>
          <w:sz w:val="20"/>
          <w:szCs w:val="20"/>
          <w:lang w:eastAsia="en-GB"/>
        </w:rPr>
        <w:t>PI3Kδ</w:t>
      </w:r>
      <w:proofErr w:type="spellEnd"/>
      <w:r w:rsidRPr="00C82CBF">
        <w:rPr>
          <w:rFonts w:ascii="Arial" w:eastAsia="Times New Roman" w:hAnsi="Arial" w:cs="Arial"/>
          <w:color w:val="000000"/>
          <w:sz w:val="20"/>
          <w:szCs w:val="20"/>
          <w:lang w:eastAsia="en-GB"/>
        </w:rPr>
        <w:t>) syndrome (</w:t>
      </w:r>
      <w:proofErr w:type="spellStart"/>
      <w:r w:rsidRPr="00C82CBF">
        <w:rPr>
          <w:rFonts w:ascii="Arial" w:eastAsia="Times New Roman" w:hAnsi="Arial" w:cs="Arial"/>
          <w:color w:val="000000"/>
          <w:sz w:val="20"/>
          <w:szCs w:val="20"/>
          <w:lang w:eastAsia="en-GB"/>
        </w:rPr>
        <w:t>APDS</w:t>
      </w:r>
      <w:proofErr w:type="spellEnd"/>
      <w:r w:rsidRPr="00C82CBF">
        <w:rPr>
          <w:rFonts w:ascii="Arial" w:eastAsia="Times New Roman" w:hAnsi="Arial" w:cs="Arial"/>
          <w:color w:val="000000"/>
          <w:sz w:val="20"/>
          <w:szCs w:val="20"/>
          <w:lang w:eastAsia="en-GB"/>
        </w:rPr>
        <w:t xml:space="preserve">). The anticipated launch of </w:t>
      </w:r>
      <w:proofErr w:type="spellStart"/>
      <w:r w:rsidRPr="00C82CBF">
        <w:rPr>
          <w:rFonts w:ascii="Arial" w:eastAsia="Times New Roman" w:hAnsi="Arial" w:cs="Arial"/>
          <w:color w:val="000000"/>
          <w:sz w:val="20"/>
          <w:szCs w:val="20"/>
          <w:lang w:eastAsia="en-GB"/>
        </w:rPr>
        <w:t>leniolisib</w:t>
      </w:r>
      <w:proofErr w:type="spellEnd"/>
      <w:r w:rsidRPr="00C82CBF">
        <w:rPr>
          <w:rFonts w:ascii="Arial" w:eastAsia="Times New Roman" w:hAnsi="Arial" w:cs="Arial"/>
          <w:color w:val="000000"/>
          <w:sz w:val="20"/>
          <w:szCs w:val="20"/>
          <w:lang w:eastAsia="en-GB"/>
        </w:rPr>
        <w:t xml:space="preserve"> is in </w:t>
      </w:r>
      <w:proofErr w:type="spellStart"/>
      <w:r w:rsidRPr="00C82CBF">
        <w:rPr>
          <w:rFonts w:ascii="Arial" w:eastAsia="Times New Roman" w:hAnsi="Arial" w:cs="Arial"/>
          <w:color w:val="000000"/>
          <w:sz w:val="20"/>
          <w:szCs w:val="20"/>
          <w:lang w:eastAsia="en-GB"/>
        </w:rPr>
        <w:t>Q4</w:t>
      </w:r>
      <w:proofErr w:type="spellEnd"/>
      <w:r w:rsidRPr="00C82CBF">
        <w:rPr>
          <w:rFonts w:ascii="Arial" w:eastAsia="Times New Roman" w:hAnsi="Arial" w:cs="Arial"/>
          <w:color w:val="000000"/>
          <w:sz w:val="20"/>
          <w:szCs w:val="20"/>
          <w:lang w:eastAsia="en-GB"/>
        </w:rPr>
        <w:t xml:space="preserve"> 2022, subject to regulatory approval. </w:t>
      </w:r>
    </w:p>
    <w:p w14:paraId="4F057F8B" w14:textId="77777777" w:rsidR="00C82CBF" w:rsidRPr="00C82CBF" w:rsidRDefault="00C82CBF" w:rsidP="00C82CBF">
      <w:pPr>
        <w:numPr>
          <w:ilvl w:val="0"/>
          <w:numId w:val="3"/>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Announced the launch of </w:t>
      </w:r>
      <w:proofErr w:type="spellStart"/>
      <w:r w:rsidRPr="00C82CBF">
        <w:rPr>
          <w:rFonts w:ascii="Arial" w:eastAsia="Times New Roman" w:hAnsi="Arial" w:cs="Arial"/>
          <w:color w:val="000000"/>
          <w:sz w:val="20"/>
          <w:szCs w:val="20"/>
          <w:lang w:eastAsia="en-GB"/>
        </w:rPr>
        <w:t>navigateAPDS</w:t>
      </w:r>
      <w:proofErr w:type="spellEnd"/>
      <w:r w:rsidRPr="00C82CBF">
        <w:rPr>
          <w:rFonts w:ascii="Arial" w:eastAsia="Times New Roman" w:hAnsi="Arial" w:cs="Arial"/>
          <w:color w:val="000000"/>
          <w:sz w:val="20"/>
          <w:szCs w:val="20"/>
          <w:lang w:eastAsia="en-GB"/>
        </w:rPr>
        <w:t xml:space="preserve">, a sponsored genetic testing program in collaboration with </w:t>
      </w:r>
      <w:proofErr w:type="spellStart"/>
      <w:r w:rsidRPr="00C82CBF">
        <w:rPr>
          <w:rFonts w:ascii="Arial" w:eastAsia="Times New Roman" w:hAnsi="Arial" w:cs="Arial"/>
          <w:color w:val="000000"/>
          <w:sz w:val="20"/>
          <w:szCs w:val="20"/>
          <w:lang w:eastAsia="en-GB"/>
        </w:rPr>
        <w:t>Invitae</w:t>
      </w:r>
      <w:proofErr w:type="spellEnd"/>
      <w:r w:rsidRPr="00C82CBF">
        <w:rPr>
          <w:rFonts w:ascii="Arial" w:eastAsia="Times New Roman" w:hAnsi="Arial" w:cs="Arial"/>
          <w:color w:val="000000"/>
          <w:sz w:val="20"/>
          <w:szCs w:val="20"/>
          <w:lang w:eastAsia="en-GB"/>
        </w:rPr>
        <w:t xml:space="preserve"> Corporation (NYSE: </w:t>
      </w:r>
      <w:proofErr w:type="spellStart"/>
      <w:r w:rsidRPr="00C82CBF">
        <w:rPr>
          <w:rFonts w:ascii="Arial" w:eastAsia="Times New Roman" w:hAnsi="Arial" w:cs="Arial"/>
          <w:color w:val="000000"/>
          <w:sz w:val="20"/>
          <w:szCs w:val="20"/>
          <w:lang w:eastAsia="en-GB"/>
        </w:rPr>
        <w:t>NVTA</w:t>
      </w:r>
      <w:proofErr w:type="spellEnd"/>
      <w:r w:rsidRPr="00C82CBF">
        <w:rPr>
          <w:rFonts w:ascii="Arial" w:eastAsia="Times New Roman" w:hAnsi="Arial" w:cs="Arial"/>
          <w:color w:val="000000"/>
          <w:sz w:val="20"/>
          <w:szCs w:val="20"/>
          <w:lang w:eastAsia="en-GB"/>
        </w:rPr>
        <w:t xml:space="preserve">) designed to assist clinicians in identifying patients and their family members with activated </w:t>
      </w:r>
      <w:proofErr w:type="spellStart"/>
      <w:r w:rsidRPr="00C82CBF">
        <w:rPr>
          <w:rFonts w:ascii="Arial" w:eastAsia="Times New Roman" w:hAnsi="Arial" w:cs="Arial"/>
          <w:color w:val="000000"/>
          <w:sz w:val="20"/>
          <w:szCs w:val="20"/>
          <w:lang w:eastAsia="en-GB"/>
        </w:rPr>
        <w:t>PI3K</w:t>
      </w:r>
      <w:proofErr w:type="spellEnd"/>
      <w:r w:rsidRPr="00C82CBF">
        <w:rPr>
          <w:rFonts w:ascii="Arial" w:eastAsia="Times New Roman" w:hAnsi="Arial" w:cs="Arial"/>
          <w:color w:val="000000"/>
          <w:sz w:val="20"/>
          <w:szCs w:val="20"/>
          <w:lang w:eastAsia="en-GB"/>
        </w:rPr>
        <w:t xml:space="preserve"> delta syndrome (</w:t>
      </w:r>
      <w:proofErr w:type="spellStart"/>
      <w:r w:rsidRPr="00C82CBF">
        <w:rPr>
          <w:rFonts w:ascii="Arial" w:eastAsia="Times New Roman" w:hAnsi="Arial" w:cs="Arial"/>
          <w:color w:val="000000"/>
          <w:sz w:val="20"/>
          <w:szCs w:val="20"/>
          <w:lang w:eastAsia="en-GB"/>
        </w:rPr>
        <w:t>APDS</w:t>
      </w:r>
      <w:proofErr w:type="spellEnd"/>
      <w:r w:rsidRPr="00C82CBF">
        <w:rPr>
          <w:rFonts w:ascii="Arial" w:eastAsia="Times New Roman" w:hAnsi="Arial" w:cs="Arial"/>
          <w:color w:val="000000"/>
          <w:sz w:val="20"/>
          <w:szCs w:val="20"/>
          <w:lang w:eastAsia="en-GB"/>
        </w:rPr>
        <w:t xml:space="preserve">), which may lead to earlier diagnosis. </w:t>
      </w:r>
    </w:p>
    <w:p w14:paraId="20FAD755" w14:textId="77777777" w:rsidR="00C82CBF" w:rsidRPr="00C82CBF" w:rsidRDefault="00C82CBF" w:rsidP="00C82CBF">
      <w:pPr>
        <w:numPr>
          <w:ilvl w:val="0"/>
          <w:numId w:val="3"/>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The first patient was enrolled in a Phase IIb double-blind, randomized, controlled study to assess the efficacy of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 xml:space="preserve">®, for the prevention of acute kidney injury after non-ST elevation myocardial infarction at the University Hospital Basel, Switzerland. </w:t>
      </w:r>
    </w:p>
    <w:p w14:paraId="52239791" w14:textId="77777777" w:rsidR="00C82CBF" w:rsidRPr="00C82CBF" w:rsidRDefault="00C82CBF" w:rsidP="00C82CBF">
      <w:pPr>
        <w:numPr>
          <w:ilvl w:val="0"/>
          <w:numId w:val="3"/>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Upon nomination by the Board of Directors, the Company's Annual General Meeting of Shareholders that was held on 19 May 2021 appointed Steven </w:t>
      </w:r>
      <w:proofErr w:type="spellStart"/>
      <w:r w:rsidRPr="00C82CBF">
        <w:rPr>
          <w:rFonts w:ascii="Arial" w:eastAsia="Times New Roman" w:hAnsi="Arial" w:cs="Arial"/>
          <w:color w:val="000000"/>
          <w:sz w:val="20"/>
          <w:szCs w:val="20"/>
          <w:lang w:eastAsia="en-GB"/>
        </w:rPr>
        <w:t>Baert</w:t>
      </w:r>
      <w:proofErr w:type="spellEnd"/>
      <w:r w:rsidRPr="00C82CBF">
        <w:rPr>
          <w:rFonts w:ascii="Arial" w:eastAsia="Times New Roman" w:hAnsi="Arial" w:cs="Arial"/>
          <w:color w:val="000000"/>
          <w:sz w:val="20"/>
          <w:szCs w:val="20"/>
          <w:lang w:eastAsia="en-GB"/>
        </w:rPr>
        <w:t xml:space="preserve">, Leon </w:t>
      </w:r>
      <w:proofErr w:type="spellStart"/>
      <w:r w:rsidRPr="00C82CBF">
        <w:rPr>
          <w:rFonts w:ascii="Arial" w:eastAsia="Times New Roman" w:hAnsi="Arial" w:cs="Arial"/>
          <w:color w:val="000000"/>
          <w:sz w:val="20"/>
          <w:szCs w:val="20"/>
          <w:lang w:eastAsia="en-GB"/>
        </w:rPr>
        <w:t>Kruimer</w:t>
      </w:r>
      <w:proofErr w:type="spellEnd"/>
      <w:r w:rsidRPr="00C82CBF">
        <w:rPr>
          <w:rFonts w:ascii="Arial" w:eastAsia="Times New Roman" w:hAnsi="Arial" w:cs="Arial"/>
          <w:color w:val="000000"/>
          <w:sz w:val="20"/>
          <w:szCs w:val="20"/>
          <w:lang w:eastAsia="en-GB"/>
        </w:rPr>
        <w:t xml:space="preserve"> and </w:t>
      </w:r>
      <w:proofErr w:type="spellStart"/>
      <w:r w:rsidRPr="00C82CBF">
        <w:rPr>
          <w:rFonts w:ascii="Arial" w:eastAsia="Times New Roman" w:hAnsi="Arial" w:cs="Arial"/>
          <w:color w:val="000000"/>
          <w:sz w:val="20"/>
          <w:szCs w:val="20"/>
          <w:lang w:eastAsia="en-GB"/>
        </w:rPr>
        <w:t>Jabine</w:t>
      </w:r>
      <w:proofErr w:type="spellEnd"/>
      <w:r w:rsidRPr="00C82CBF">
        <w:rPr>
          <w:rFonts w:ascii="Arial" w:eastAsia="Times New Roman" w:hAnsi="Arial" w:cs="Arial"/>
          <w:color w:val="000000"/>
          <w:sz w:val="20"/>
          <w:szCs w:val="20"/>
          <w:lang w:eastAsia="en-GB"/>
        </w:rPr>
        <w:t xml:space="preserve"> van der </w:t>
      </w:r>
      <w:proofErr w:type="spellStart"/>
      <w:r w:rsidRPr="00C82CBF">
        <w:rPr>
          <w:rFonts w:ascii="Arial" w:eastAsia="Times New Roman" w:hAnsi="Arial" w:cs="Arial"/>
          <w:color w:val="000000"/>
          <w:sz w:val="20"/>
          <w:szCs w:val="20"/>
          <w:lang w:eastAsia="en-GB"/>
        </w:rPr>
        <w:t>Meijs</w:t>
      </w:r>
      <w:proofErr w:type="spellEnd"/>
      <w:r w:rsidRPr="00C82CBF">
        <w:rPr>
          <w:rFonts w:ascii="Arial" w:eastAsia="Times New Roman" w:hAnsi="Arial" w:cs="Arial"/>
          <w:color w:val="000000"/>
          <w:sz w:val="20"/>
          <w:szCs w:val="20"/>
          <w:lang w:eastAsia="en-GB"/>
        </w:rPr>
        <w:t xml:space="preserve"> as Non-Executive Directors to the Board. </w:t>
      </w:r>
    </w:p>
    <w:p w14:paraId="3A7A7EA7" w14:textId="77777777" w:rsidR="00C82CBF" w:rsidRPr="00C82CBF" w:rsidRDefault="00C82CBF" w:rsidP="00C82CBF">
      <w:pPr>
        <w:numPr>
          <w:ilvl w:val="0"/>
          <w:numId w:val="3"/>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Appointed Anurag </w:t>
      </w:r>
      <w:proofErr w:type="spellStart"/>
      <w:r w:rsidRPr="00C82CBF">
        <w:rPr>
          <w:rFonts w:ascii="Arial" w:eastAsia="Times New Roman" w:hAnsi="Arial" w:cs="Arial"/>
          <w:color w:val="000000"/>
          <w:sz w:val="20"/>
          <w:szCs w:val="20"/>
          <w:lang w:eastAsia="en-GB"/>
        </w:rPr>
        <w:t>Relan</w:t>
      </w:r>
      <w:proofErr w:type="spellEnd"/>
      <w:r w:rsidRPr="00C82CBF">
        <w:rPr>
          <w:rFonts w:ascii="Arial" w:eastAsia="Times New Roman" w:hAnsi="Arial" w:cs="Arial"/>
          <w:color w:val="000000"/>
          <w:sz w:val="20"/>
          <w:szCs w:val="20"/>
          <w:lang w:eastAsia="en-GB"/>
        </w:rPr>
        <w:t xml:space="preserve"> as Chief Medical Officer and Robert Friesen as Chief Scientific Officer.</w:t>
      </w:r>
    </w:p>
    <w:p w14:paraId="08599281"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Post-period operational highlights</w:t>
      </w:r>
    </w:p>
    <w:p w14:paraId="6F561D6D" w14:textId="77777777" w:rsidR="00C82CBF" w:rsidRPr="00C82CBF" w:rsidRDefault="00C82CBF" w:rsidP="00C82CBF">
      <w:pPr>
        <w:numPr>
          <w:ilvl w:val="0"/>
          <w:numId w:val="4"/>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Entered into an exclusive license agreement with </w:t>
      </w:r>
      <w:proofErr w:type="spellStart"/>
      <w:r w:rsidRPr="00C82CBF">
        <w:rPr>
          <w:rFonts w:ascii="Arial" w:eastAsia="Times New Roman" w:hAnsi="Arial" w:cs="Arial"/>
          <w:color w:val="000000"/>
          <w:sz w:val="20"/>
          <w:szCs w:val="20"/>
          <w:lang w:eastAsia="en-GB"/>
        </w:rPr>
        <w:t>NewBridge</w:t>
      </w:r>
      <w:proofErr w:type="spellEnd"/>
      <w:r w:rsidRPr="00C82CBF">
        <w:rPr>
          <w:rFonts w:ascii="Arial" w:eastAsia="Times New Roman" w:hAnsi="Arial" w:cs="Arial"/>
          <w:color w:val="000000"/>
          <w:sz w:val="20"/>
          <w:szCs w:val="20"/>
          <w:lang w:eastAsia="en-GB"/>
        </w:rPr>
        <w:t xml:space="preserve"> Pharmaceuticals for the distribution of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 xml:space="preserve">® in the Middle East and North Africa. </w:t>
      </w:r>
    </w:p>
    <w:p w14:paraId="55B3D223" w14:textId="77777777" w:rsidR="00C82CBF" w:rsidRPr="00C82CBF" w:rsidRDefault="00C82CBF" w:rsidP="00C82CBF">
      <w:pPr>
        <w:numPr>
          <w:ilvl w:val="0"/>
          <w:numId w:val="4"/>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Announced a strategic collaboration with Orchard Therapeutics, a global gene therapy leader, to research, develop, manufacture and commercialize </w:t>
      </w:r>
      <w:proofErr w:type="spellStart"/>
      <w:r w:rsidRPr="00C82CBF">
        <w:rPr>
          <w:rFonts w:ascii="Arial" w:eastAsia="Times New Roman" w:hAnsi="Arial" w:cs="Arial"/>
          <w:color w:val="000000"/>
          <w:sz w:val="20"/>
          <w:szCs w:val="20"/>
          <w:lang w:eastAsia="en-GB"/>
        </w:rPr>
        <w:t>OTL</w:t>
      </w:r>
      <w:proofErr w:type="spellEnd"/>
      <w:r w:rsidRPr="00C82CBF">
        <w:rPr>
          <w:rFonts w:ascii="Arial" w:eastAsia="Times New Roman" w:hAnsi="Arial" w:cs="Arial"/>
          <w:color w:val="000000"/>
          <w:sz w:val="20"/>
          <w:szCs w:val="20"/>
          <w:lang w:eastAsia="en-GB"/>
        </w:rPr>
        <w:t xml:space="preserve">-105, a newly disclosed investigational ex-vivo autologous hematopoietic stem cell (HSC) gene therapy for the treatment of </w:t>
      </w:r>
      <w:proofErr w:type="spellStart"/>
      <w:r w:rsidRPr="00C82CBF">
        <w:rPr>
          <w:rFonts w:ascii="Arial" w:eastAsia="Times New Roman" w:hAnsi="Arial" w:cs="Arial"/>
          <w:color w:val="000000"/>
          <w:sz w:val="20"/>
          <w:szCs w:val="20"/>
          <w:lang w:eastAsia="en-GB"/>
        </w:rPr>
        <w:t>HAE</w:t>
      </w:r>
      <w:proofErr w:type="spellEnd"/>
      <w:r w:rsidRPr="00C82CBF">
        <w:rPr>
          <w:rFonts w:ascii="Arial" w:eastAsia="Times New Roman" w:hAnsi="Arial" w:cs="Arial"/>
          <w:color w:val="000000"/>
          <w:sz w:val="20"/>
          <w:szCs w:val="20"/>
          <w:lang w:eastAsia="en-GB"/>
        </w:rPr>
        <w:t xml:space="preserve">. </w:t>
      </w:r>
      <w:proofErr w:type="spellStart"/>
      <w:r w:rsidRPr="00C82CBF">
        <w:rPr>
          <w:rFonts w:ascii="Arial" w:eastAsia="Times New Roman" w:hAnsi="Arial" w:cs="Arial"/>
          <w:color w:val="000000"/>
          <w:sz w:val="20"/>
          <w:szCs w:val="20"/>
          <w:lang w:eastAsia="en-GB"/>
        </w:rPr>
        <w:t>OTL</w:t>
      </w:r>
      <w:proofErr w:type="spellEnd"/>
      <w:r w:rsidRPr="00C82CBF">
        <w:rPr>
          <w:rFonts w:ascii="Arial" w:eastAsia="Times New Roman" w:hAnsi="Arial" w:cs="Arial"/>
          <w:color w:val="000000"/>
          <w:sz w:val="20"/>
          <w:szCs w:val="20"/>
          <w:lang w:eastAsia="en-GB"/>
        </w:rPr>
        <w:t xml:space="preserve">-105 is designed to increase </w:t>
      </w:r>
      <w:proofErr w:type="spellStart"/>
      <w:r w:rsidRPr="00C82CBF">
        <w:rPr>
          <w:rFonts w:ascii="Arial" w:eastAsia="Times New Roman" w:hAnsi="Arial" w:cs="Arial"/>
          <w:color w:val="000000"/>
          <w:sz w:val="20"/>
          <w:szCs w:val="20"/>
          <w:lang w:eastAsia="en-GB"/>
        </w:rPr>
        <w:t>C1</w:t>
      </w:r>
      <w:proofErr w:type="spellEnd"/>
      <w:r w:rsidRPr="00C82CBF">
        <w:rPr>
          <w:rFonts w:ascii="Arial" w:eastAsia="Times New Roman" w:hAnsi="Arial" w:cs="Arial"/>
          <w:color w:val="000000"/>
          <w:sz w:val="20"/>
          <w:szCs w:val="20"/>
          <w:lang w:eastAsia="en-GB"/>
        </w:rPr>
        <w:t xml:space="preserve"> esterase inhibitor (</w:t>
      </w:r>
      <w:proofErr w:type="spellStart"/>
      <w:r w:rsidRPr="00C82CBF">
        <w:rPr>
          <w:rFonts w:ascii="Arial" w:eastAsia="Times New Roman" w:hAnsi="Arial" w:cs="Arial"/>
          <w:color w:val="000000"/>
          <w:sz w:val="20"/>
          <w:szCs w:val="20"/>
          <w:lang w:eastAsia="en-GB"/>
        </w:rPr>
        <w:t>C1INH</w:t>
      </w:r>
      <w:proofErr w:type="spellEnd"/>
      <w:r w:rsidRPr="00C82CBF">
        <w:rPr>
          <w:rFonts w:ascii="Arial" w:eastAsia="Times New Roman" w:hAnsi="Arial" w:cs="Arial"/>
          <w:color w:val="000000"/>
          <w:sz w:val="20"/>
          <w:szCs w:val="20"/>
          <w:lang w:eastAsia="en-GB"/>
        </w:rPr>
        <w:t xml:space="preserve">) in </w:t>
      </w:r>
      <w:proofErr w:type="spellStart"/>
      <w:r w:rsidRPr="00C82CBF">
        <w:rPr>
          <w:rFonts w:ascii="Arial" w:eastAsia="Times New Roman" w:hAnsi="Arial" w:cs="Arial"/>
          <w:color w:val="000000"/>
          <w:sz w:val="20"/>
          <w:szCs w:val="20"/>
          <w:lang w:eastAsia="en-GB"/>
        </w:rPr>
        <w:t>HAE</w:t>
      </w:r>
      <w:proofErr w:type="spellEnd"/>
      <w:r w:rsidRPr="00C82CBF">
        <w:rPr>
          <w:rFonts w:ascii="Arial" w:eastAsia="Times New Roman" w:hAnsi="Arial" w:cs="Arial"/>
          <w:color w:val="000000"/>
          <w:sz w:val="20"/>
          <w:szCs w:val="20"/>
          <w:lang w:eastAsia="en-GB"/>
        </w:rPr>
        <w:t xml:space="preserve"> patient serum to prevent </w:t>
      </w:r>
      <w:proofErr w:type="spellStart"/>
      <w:r w:rsidRPr="00C82CBF">
        <w:rPr>
          <w:rFonts w:ascii="Arial" w:eastAsia="Times New Roman" w:hAnsi="Arial" w:cs="Arial"/>
          <w:color w:val="000000"/>
          <w:sz w:val="20"/>
          <w:szCs w:val="20"/>
          <w:lang w:eastAsia="en-GB"/>
        </w:rPr>
        <w:t>HAE</w:t>
      </w:r>
      <w:proofErr w:type="spellEnd"/>
      <w:r w:rsidRPr="00C82CBF">
        <w:rPr>
          <w:rFonts w:ascii="Arial" w:eastAsia="Times New Roman" w:hAnsi="Arial" w:cs="Arial"/>
          <w:color w:val="000000"/>
          <w:sz w:val="20"/>
          <w:szCs w:val="20"/>
          <w:lang w:eastAsia="en-GB"/>
        </w:rPr>
        <w:t xml:space="preserve"> attacks.</w:t>
      </w:r>
    </w:p>
    <w:p w14:paraId="6E916626"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i/>
          <w:iCs/>
          <w:color w:val="000000"/>
          <w:sz w:val="20"/>
          <w:szCs w:val="20"/>
          <w:lang w:eastAsia="en-GB"/>
        </w:rPr>
        <w:t xml:space="preserve">Chief Executive Officer, </w:t>
      </w:r>
      <w:proofErr w:type="spellStart"/>
      <w:r w:rsidRPr="00C82CBF">
        <w:rPr>
          <w:rFonts w:ascii="Arial" w:eastAsia="Times New Roman" w:hAnsi="Arial" w:cs="Arial"/>
          <w:b/>
          <w:bCs/>
          <w:i/>
          <w:iCs/>
          <w:color w:val="000000"/>
          <w:sz w:val="20"/>
          <w:szCs w:val="20"/>
          <w:lang w:eastAsia="en-GB"/>
        </w:rPr>
        <w:t>Sijmen</w:t>
      </w:r>
      <w:proofErr w:type="spellEnd"/>
      <w:r w:rsidRPr="00C82CBF">
        <w:rPr>
          <w:rFonts w:ascii="Arial" w:eastAsia="Times New Roman" w:hAnsi="Arial" w:cs="Arial"/>
          <w:b/>
          <w:bCs/>
          <w:i/>
          <w:iCs/>
          <w:color w:val="000000"/>
          <w:sz w:val="20"/>
          <w:szCs w:val="20"/>
          <w:lang w:eastAsia="en-GB"/>
        </w:rPr>
        <w:t xml:space="preserve"> de Vries, commented: </w:t>
      </w:r>
    </w:p>
    <w:p w14:paraId="5B08AD0C"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 xml:space="preserve">"As expected, revenue growth during </w:t>
      </w:r>
      <w:proofErr w:type="spellStart"/>
      <w:r w:rsidRPr="00C82CBF">
        <w:rPr>
          <w:rFonts w:ascii="Arial" w:eastAsia="Times New Roman" w:hAnsi="Arial" w:cs="Arial"/>
          <w:i/>
          <w:iCs/>
          <w:color w:val="000000"/>
          <w:sz w:val="20"/>
          <w:szCs w:val="20"/>
          <w:lang w:eastAsia="en-GB"/>
        </w:rPr>
        <w:t>Q2</w:t>
      </w:r>
      <w:proofErr w:type="spellEnd"/>
      <w:r w:rsidRPr="00C82CBF">
        <w:rPr>
          <w:rFonts w:ascii="Arial" w:eastAsia="Times New Roman" w:hAnsi="Arial" w:cs="Arial"/>
          <w:i/>
          <w:iCs/>
          <w:color w:val="000000"/>
          <w:sz w:val="20"/>
          <w:szCs w:val="20"/>
          <w:lang w:eastAsia="en-GB"/>
        </w:rPr>
        <w:t xml:space="preserve"> 2021 has continued to recover, following the impact of COVID-19 on </w:t>
      </w:r>
      <w:proofErr w:type="spellStart"/>
      <w:r w:rsidRPr="00C82CBF">
        <w:rPr>
          <w:rFonts w:ascii="Arial" w:eastAsia="Times New Roman" w:hAnsi="Arial" w:cs="Arial"/>
          <w:i/>
          <w:iCs/>
          <w:color w:val="000000"/>
          <w:sz w:val="20"/>
          <w:szCs w:val="20"/>
          <w:lang w:eastAsia="en-GB"/>
        </w:rPr>
        <w:t>Q1</w:t>
      </w:r>
      <w:proofErr w:type="spellEnd"/>
      <w:r w:rsidRPr="00C82CBF">
        <w:rPr>
          <w:rFonts w:ascii="Arial" w:eastAsia="Times New Roman" w:hAnsi="Arial" w:cs="Arial"/>
          <w:i/>
          <w:iCs/>
          <w:color w:val="000000"/>
          <w:sz w:val="20"/>
          <w:szCs w:val="20"/>
          <w:lang w:eastAsia="en-GB"/>
        </w:rPr>
        <w:t xml:space="preserve"> 2021, as underlying demand and patients benefiting from </w:t>
      </w:r>
      <w:proofErr w:type="spellStart"/>
      <w:r w:rsidRPr="00C82CBF">
        <w:rPr>
          <w:rFonts w:ascii="Arial" w:eastAsia="Times New Roman" w:hAnsi="Arial" w:cs="Arial"/>
          <w:i/>
          <w:iCs/>
          <w:color w:val="000000"/>
          <w:sz w:val="20"/>
          <w:szCs w:val="20"/>
          <w:lang w:eastAsia="en-GB"/>
        </w:rPr>
        <w:t>RUCONEST</w:t>
      </w:r>
      <w:proofErr w:type="spellEnd"/>
      <w:r w:rsidRPr="00C82CBF">
        <w:rPr>
          <w:rFonts w:ascii="Arial" w:eastAsia="Times New Roman" w:hAnsi="Arial" w:cs="Arial"/>
          <w:color w:val="000000"/>
          <w:sz w:val="20"/>
          <w:szCs w:val="20"/>
          <w:lang w:eastAsia="en-GB"/>
        </w:rPr>
        <w:t>®</w:t>
      </w:r>
      <w:r w:rsidRPr="00C82CBF">
        <w:rPr>
          <w:rFonts w:ascii="Arial" w:eastAsia="Times New Roman" w:hAnsi="Arial" w:cs="Arial"/>
          <w:i/>
          <w:iCs/>
          <w:color w:val="000000"/>
          <w:sz w:val="20"/>
          <w:szCs w:val="20"/>
          <w:lang w:eastAsia="en-GB"/>
        </w:rPr>
        <w:t xml:space="preserve"> treatments for their </w:t>
      </w:r>
      <w:proofErr w:type="spellStart"/>
      <w:r w:rsidRPr="00C82CBF">
        <w:rPr>
          <w:rFonts w:ascii="Arial" w:eastAsia="Times New Roman" w:hAnsi="Arial" w:cs="Arial"/>
          <w:i/>
          <w:iCs/>
          <w:color w:val="000000"/>
          <w:sz w:val="20"/>
          <w:szCs w:val="20"/>
          <w:lang w:eastAsia="en-GB"/>
        </w:rPr>
        <w:t>HAE</w:t>
      </w:r>
      <w:proofErr w:type="spellEnd"/>
      <w:r w:rsidRPr="00C82CBF">
        <w:rPr>
          <w:rFonts w:ascii="Arial" w:eastAsia="Times New Roman" w:hAnsi="Arial" w:cs="Arial"/>
          <w:i/>
          <w:iCs/>
          <w:color w:val="000000"/>
          <w:sz w:val="20"/>
          <w:szCs w:val="20"/>
          <w:lang w:eastAsia="en-GB"/>
        </w:rPr>
        <w:t xml:space="preserve"> increases. We are confident this positive trend will continue for the remainder of the year</w:t>
      </w:r>
      <w:r w:rsidRPr="00C82CBF">
        <w:rPr>
          <w:rFonts w:ascii="Arial" w:eastAsia="Times New Roman" w:hAnsi="Arial" w:cs="Arial"/>
          <w:color w:val="000000"/>
          <w:sz w:val="20"/>
          <w:szCs w:val="20"/>
          <w:lang w:eastAsia="en-GB"/>
        </w:rPr>
        <w:t xml:space="preserve"> </w:t>
      </w:r>
      <w:r w:rsidRPr="00C82CBF">
        <w:rPr>
          <w:rFonts w:ascii="Arial" w:eastAsia="Times New Roman" w:hAnsi="Arial" w:cs="Arial"/>
          <w:i/>
          <w:iCs/>
          <w:color w:val="000000"/>
          <w:sz w:val="20"/>
          <w:szCs w:val="20"/>
          <w:lang w:eastAsia="en-GB"/>
        </w:rPr>
        <w:t xml:space="preserve">and, supported by our strong cash position, will enable us to continue our planned investment in R&amp;D and the ongoing preparations for the launch of </w:t>
      </w:r>
      <w:proofErr w:type="spellStart"/>
      <w:r w:rsidRPr="00C82CBF">
        <w:rPr>
          <w:rFonts w:ascii="Arial" w:eastAsia="Times New Roman" w:hAnsi="Arial" w:cs="Arial"/>
          <w:i/>
          <w:iCs/>
          <w:color w:val="000000"/>
          <w:sz w:val="20"/>
          <w:szCs w:val="20"/>
          <w:lang w:eastAsia="en-GB"/>
        </w:rPr>
        <w:t>leniolisib</w:t>
      </w:r>
      <w:proofErr w:type="spellEnd"/>
      <w:r w:rsidRPr="00C82CBF">
        <w:rPr>
          <w:rFonts w:ascii="Arial" w:eastAsia="Times New Roman" w:hAnsi="Arial" w:cs="Arial"/>
          <w:i/>
          <w:iCs/>
          <w:color w:val="000000"/>
          <w:sz w:val="20"/>
          <w:szCs w:val="20"/>
          <w:lang w:eastAsia="en-GB"/>
        </w:rPr>
        <w:t xml:space="preserve">, which, subject to regulatory approval, is on </w:t>
      </w:r>
      <w:r w:rsidRPr="00C82CBF">
        <w:rPr>
          <w:rFonts w:ascii="Arial" w:eastAsia="Times New Roman" w:hAnsi="Arial" w:cs="Arial"/>
          <w:i/>
          <w:iCs/>
          <w:color w:val="000000"/>
          <w:sz w:val="20"/>
          <w:szCs w:val="20"/>
          <w:lang w:eastAsia="en-GB"/>
        </w:rPr>
        <w:lastRenderedPageBreak/>
        <w:t xml:space="preserve">track for the end of 2022 following the completion of patient </w:t>
      </w:r>
      <w:proofErr w:type="spellStart"/>
      <w:r w:rsidRPr="00C82CBF">
        <w:rPr>
          <w:rFonts w:ascii="Arial" w:eastAsia="Times New Roman" w:hAnsi="Arial" w:cs="Arial"/>
          <w:i/>
          <w:iCs/>
          <w:color w:val="000000"/>
          <w:sz w:val="20"/>
          <w:szCs w:val="20"/>
          <w:lang w:eastAsia="en-GB"/>
        </w:rPr>
        <w:t>enrollment</w:t>
      </w:r>
      <w:proofErr w:type="spellEnd"/>
      <w:r w:rsidRPr="00C82CBF">
        <w:rPr>
          <w:rFonts w:ascii="Arial" w:eastAsia="Times New Roman" w:hAnsi="Arial" w:cs="Arial"/>
          <w:i/>
          <w:iCs/>
          <w:color w:val="000000"/>
          <w:sz w:val="20"/>
          <w:szCs w:val="20"/>
          <w:lang w:eastAsia="en-GB"/>
        </w:rPr>
        <w:t xml:space="preserve"> in the potentially registration enabling study in </w:t>
      </w:r>
      <w:proofErr w:type="spellStart"/>
      <w:r w:rsidRPr="00C82CBF">
        <w:rPr>
          <w:rFonts w:ascii="Arial" w:eastAsia="Times New Roman" w:hAnsi="Arial" w:cs="Arial"/>
          <w:i/>
          <w:iCs/>
          <w:color w:val="000000"/>
          <w:sz w:val="20"/>
          <w:szCs w:val="20"/>
          <w:lang w:eastAsia="en-GB"/>
        </w:rPr>
        <w:t>APDS</w:t>
      </w:r>
      <w:proofErr w:type="spellEnd"/>
      <w:r w:rsidRPr="00C82CBF">
        <w:rPr>
          <w:rFonts w:ascii="Arial" w:eastAsia="Times New Roman" w:hAnsi="Arial" w:cs="Arial"/>
          <w:i/>
          <w:iCs/>
          <w:color w:val="000000"/>
          <w:sz w:val="20"/>
          <w:szCs w:val="20"/>
          <w:lang w:eastAsia="en-GB"/>
        </w:rPr>
        <w:t xml:space="preserve">. </w:t>
      </w:r>
    </w:p>
    <w:p w14:paraId="76E39F44"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 xml:space="preserve">In our earlier pipeline, we initiated </w:t>
      </w:r>
      <w:proofErr w:type="spellStart"/>
      <w:r w:rsidRPr="00C82CBF">
        <w:rPr>
          <w:rFonts w:ascii="Arial" w:eastAsia="Times New Roman" w:hAnsi="Arial" w:cs="Arial"/>
          <w:i/>
          <w:iCs/>
          <w:color w:val="000000"/>
          <w:sz w:val="20"/>
          <w:szCs w:val="20"/>
          <w:lang w:eastAsia="en-GB"/>
        </w:rPr>
        <w:t>enrollment</w:t>
      </w:r>
      <w:proofErr w:type="spellEnd"/>
      <w:r w:rsidRPr="00C82CBF">
        <w:rPr>
          <w:rFonts w:ascii="Arial" w:eastAsia="Times New Roman" w:hAnsi="Arial" w:cs="Arial"/>
          <w:i/>
          <w:iCs/>
          <w:color w:val="000000"/>
          <w:sz w:val="20"/>
          <w:szCs w:val="20"/>
          <w:lang w:eastAsia="en-GB"/>
        </w:rPr>
        <w:t xml:space="preserve"> of patients in a multi-</w:t>
      </w:r>
      <w:proofErr w:type="spellStart"/>
      <w:r w:rsidRPr="00C82CBF">
        <w:rPr>
          <w:rFonts w:ascii="Arial" w:eastAsia="Times New Roman" w:hAnsi="Arial" w:cs="Arial"/>
          <w:i/>
          <w:iCs/>
          <w:color w:val="000000"/>
          <w:sz w:val="20"/>
          <w:szCs w:val="20"/>
          <w:lang w:eastAsia="en-GB"/>
        </w:rPr>
        <w:t>center</w:t>
      </w:r>
      <w:proofErr w:type="spellEnd"/>
      <w:r w:rsidRPr="00C82CBF">
        <w:rPr>
          <w:rFonts w:ascii="Arial" w:eastAsia="Times New Roman" w:hAnsi="Arial" w:cs="Arial"/>
          <w:i/>
          <w:iCs/>
          <w:color w:val="000000"/>
          <w:sz w:val="20"/>
          <w:szCs w:val="20"/>
          <w:lang w:eastAsia="en-GB"/>
        </w:rPr>
        <w:t xml:space="preserve"> Phase IIb clinical trial of </w:t>
      </w:r>
      <w:proofErr w:type="spellStart"/>
      <w:r w:rsidRPr="00C82CBF">
        <w:rPr>
          <w:rFonts w:ascii="Arial" w:eastAsia="Times New Roman" w:hAnsi="Arial" w:cs="Arial"/>
          <w:i/>
          <w:iCs/>
          <w:color w:val="000000"/>
          <w:sz w:val="20"/>
          <w:szCs w:val="20"/>
          <w:lang w:eastAsia="en-GB"/>
        </w:rPr>
        <w:t>rhC1INH</w:t>
      </w:r>
      <w:proofErr w:type="spellEnd"/>
      <w:r w:rsidRPr="00C82CBF">
        <w:rPr>
          <w:rFonts w:ascii="Arial" w:eastAsia="Times New Roman" w:hAnsi="Arial" w:cs="Arial"/>
          <w:i/>
          <w:iCs/>
          <w:color w:val="000000"/>
          <w:sz w:val="20"/>
          <w:szCs w:val="20"/>
          <w:lang w:eastAsia="en-GB"/>
        </w:rPr>
        <w:t xml:space="preserve"> for the prevention of acute kidney injury after myocardial infarction. In addition, post period, we delivered on one of our strategic objectives to strengthen our longer-term </w:t>
      </w:r>
      <w:proofErr w:type="spellStart"/>
      <w:r w:rsidRPr="00C82CBF">
        <w:rPr>
          <w:rFonts w:ascii="Arial" w:eastAsia="Times New Roman" w:hAnsi="Arial" w:cs="Arial"/>
          <w:i/>
          <w:iCs/>
          <w:color w:val="000000"/>
          <w:sz w:val="20"/>
          <w:szCs w:val="20"/>
          <w:lang w:eastAsia="en-GB"/>
        </w:rPr>
        <w:t>HAE</w:t>
      </w:r>
      <w:proofErr w:type="spellEnd"/>
      <w:r w:rsidRPr="00C82CBF">
        <w:rPr>
          <w:rFonts w:ascii="Arial" w:eastAsia="Times New Roman" w:hAnsi="Arial" w:cs="Arial"/>
          <w:i/>
          <w:iCs/>
          <w:color w:val="000000"/>
          <w:sz w:val="20"/>
          <w:szCs w:val="20"/>
          <w:lang w:eastAsia="en-GB"/>
        </w:rPr>
        <w:t xml:space="preserve"> pipeline, through a collaboration with Orchard Therapeutics, to develop and commercialize the pre-clinical ex-vivo autologous hematopoietic stem cell therapy product </w:t>
      </w:r>
      <w:proofErr w:type="spellStart"/>
      <w:r w:rsidRPr="00C82CBF">
        <w:rPr>
          <w:rFonts w:ascii="Arial" w:eastAsia="Times New Roman" w:hAnsi="Arial" w:cs="Arial"/>
          <w:i/>
          <w:iCs/>
          <w:color w:val="000000"/>
          <w:sz w:val="20"/>
          <w:szCs w:val="20"/>
          <w:lang w:eastAsia="en-GB"/>
        </w:rPr>
        <w:t>OTL</w:t>
      </w:r>
      <w:proofErr w:type="spellEnd"/>
      <w:r w:rsidRPr="00C82CBF">
        <w:rPr>
          <w:rFonts w:ascii="Arial" w:eastAsia="Times New Roman" w:hAnsi="Arial" w:cs="Arial"/>
          <w:i/>
          <w:iCs/>
          <w:color w:val="000000"/>
          <w:sz w:val="20"/>
          <w:szCs w:val="20"/>
          <w:lang w:eastAsia="en-GB"/>
        </w:rPr>
        <w:t xml:space="preserve">-105, which has the potential to become a curative treatment for </w:t>
      </w:r>
      <w:proofErr w:type="spellStart"/>
      <w:r w:rsidRPr="00C82CBF">
        <w:rPr>
          <w:rFonts w:ascii="Arial" w:eastAsia="Times New Roman" w:hAnsi="Arial" w:cs="Arial"/>
          <w:i/>
          <w:iCs/>
          <w:color w:val="000000"/>
          <w:sz w:val="20"/>
          <w:szCs w:val="20"/>
          <w:lang w:eastAsia="en-GB"/>
        </w:rPr>
        <w:t>HAE</w:t>
      </w:r>
      <w:proofErr w:type="spellEnd"/>
      <w:r w:rsidRPr="00C82CBF">
        <w:rPr>
          <w:rFonts w:ascii="Arial" w:eastAsia="Times New Roman" w:hAnsi="Arial" w:cs="Arial"/>
          <w:i/>
          <w:iCs/>
          <w:color w:val="000000"/>
          <w:sz w:val="20"/>
          <w:szCs w:val="20"/>
          <w:lang w:eastAsia="en-GB"/>
        </w:rPr>
        <w:t xml:space="preserve">. We remain focused on the positive progress against our three-pillar strategy of sales, R&amp;D and acquisitive growth."   </w:t>
      </w:r>
    </w:p>
    <w:p w14:paraId="1561E1DA"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Outlook</w:t>
      </w:r>
    </w:p>
    <w:p w14:paraId="67221C45"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For the remainder of 2021, we expect: </w:t>
      </w:r>
    </w:p>
    <w:p w14:paraId="22A36620" w14:textId="77777777" w:rsidR="00C82CBF" w:rsidRPr="00C82CBF" w:rsidRDefault="00C82CBF" w:rsidP="00C82CBF">
      <w:pPr>
        <w:numPr>
          <w:ilvl w:val="0"/>
          <w:numId w:val="5"/>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Continued increase in revenues from the sales of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 xml:space="preserve">®, as a result of the pharmaceutical market continuing to normalize and return to its pre-COVID 19 state. We will though continue to monitor the situation in all markets and continue to expect some periodic disruptions. </w:t>
      </w:r>
    </w:p>
    <w:p w14:paraId="7191920B" w14:textId="77777777" w:rsidR="00C82CBF" w:rsidRPr="00C82CBF" w:rsidRDefault="00C82CBF" w:rsidP="00C82CBF">
      <w:pPr>
        <w:numPr>
          <w:ilvl w:val="0"/>
          <w:numId w:val="5"/>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Maintenance of positive net earnings during the year. </w:t>
      </w:r>
    </w:p>
    <w:p w14:paraId="789CA794" w14:textId="77777777" w:rsidR="00C82CBF" w:rsidRPr="00C82CBF" w:rsidRDefault="00C82CBF" w:rsidP="00C82CBF">
      <w:pPr>
        <w:numPr>
          <w:ilvl w:val="0"/>
          <w:numId w:val="5"/>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Investments in acquisitions and in-licensing of new development opportunities and assets. </w:t>
      </w:r>
    </w:p>
    <w:p w14:paraId="2CD5D513" w14:textId="77777777" w:rsidR="00C82CBF" w:rsidRPr="00C82CBF" w:rsidRDefault="00C82CBF" w:rsidP="00C82CBF">
      <w:pPr>
        <w:numPr>
          <w:ilvl w:val="0"/>
          <w:numId w:val="5"/>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Continued investment in the expansion of production facilities, both for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 xml:space="preserve">® and </w:t>
      </w:r>
      <w:proofErr w:type="spellStart"/>
      <w:r w:rsidRPr="00C82CBF">
        <w:rPr>
          <w:rFonts w:ascii="Arial" w:eastAsia="Times New Roman" w:hAnsi="Arial" w:cs="Arial"/>
          <w:color w:val="000000"/>
          <w:sz w:val="20"/>
          <w:szCs w:val="20"/>
          <w:lang w:eastAsia="en-GB"/>
        </w:rPr>
        <w:t>leniolisib</w:t>
      </w:r>
      <w:proofErr w:type="spellEnd"/>
      <w:r w:rsidRPr="00C82CBF">
        <w:rPr>
          <w:rFonts w:ascii="Arial" w:eastAsia="Times New Roman" w:hAnsi="Arial" w:cs="Arial"/>
          <w:color w:val="000000"/>
          <w:sz w:val="20"/>
          <w:szCs w:val="20"/>
          <w:lang w:eastAsia="en-GB"/>
        </w:rPr>
        <w:t xml:space="preserve">. </w:t>
      </w:r>
    </w:p>
    <w:p w14:paraId="225BFA91" w14:textId="77777777" w:rsidR="00C82CBF" w:rsidRPr="00C82CBF" w:rsidRDefault="00C82CBF" w:rsidP="00C82CBF">
      <w:pPr>
        <w:numPr>
          <w:ilvl w:val="0"/>
          <w:numId w:val="5"/>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Investment in launch-critical medical affairs and pre-marketing activities for </w:t>
      </w:r>
      <w:proofErr w:type="spellStart"/>
      <w:r w:rsidRPr="00C82CBF">
        <w:rPr>
          <w:rFonts w:ascii="Arial" w:eastAsia="Times New Roman" w:hAnsi="Arial" w:cs="Arial"/>
          <w:color w:val="000000"/>
          <w:sz w:val="20"/>
          <w:szCs w:val="20"/>
          <w:lang w:eastAsia="en-GB"/>
        </w:rPr>
        <w:t>leniolisib</w:t>
      </w:r>
      <w:proofErr w:type="spellEnd"/>
      <w:r w:rsidRPr="00C82CBF">
        <w:rPr>
          <w:rFonts w:ascii="Arial" w:eastAsia="Times New Roman" w:hAnsi="Arial" w:cs="Arial"/>
          <w:color w:val="000000"/>
          <w:sz w:val="20"/>
          <w:szCs w:val="20"/>
          <w:lang w:eastAsia="en-GB"/>
        </w:rPr>
        <w:t xml:space="preserve"> and the registration-enabling study for </w:t>
      </w:r>
      <w:proofErr w:type="spellStart"/>
      <w:r w:rsidRPr="00C82CBF">
        <w:rPr>
          <w:rFonts w:ascii="Arial" w:eastAsia="Times New Roman" w:hAnsi="Arial" w:cs="Arial"/>
          <w:color w:val="000000"/>
          <w:sz w:val="20"/>
          <w:szCs w:val="20"/>
          <w:lang w:eastAsia="en-GB"/>
        </w:rPr>
        <w:t>APDS</w:t>
      </w:r>
      <w:proofErr w:type="spellEnd"/>
      <w:r w:rsidRPr="00C82CBF">
        <w:rPr>
          <w:rFonts w:ascii="Arial" w:eastAsia="Times New Roman" w:hAnsi="Arial" w:cs="Arial"/>
          <w:color w:val="000000"/>
          <w:sz w:val="20"/>
          <w:szCs w:val="20"/>
          <w:lang w:eastAsia="en-GB"/>
        </w:rPr>
        <w:t xml:space="preserve">, as well as our ongoing clinical trials for </w:t>
      </w:r>
      <w:proofErr w:type="spellStart"/>
      <w:r w:rsidRPr="00C82CBF">
        <w:rPr>
          <w:rFonts w:ascii="Arial" w:eastAsia="Times New Roman" w:hAnsi="Arial" w:cs="Arial"/>
          <w:color w:val="000000"/>
          <w:sz w:val="20"/>
          <w:szCs w:val="20"/>
          <w:lang w:eastAsia="en-GB"/>
        </w:rPr>
        <w:t>rhC1INH</w:t>
      </w:r>
      <w:proofErr w:type="spellEnd"/>
      <w:r w:rsidRPr="00C82CBF">
        <w:rPr>
          <w:rFonts w:ascii="Arial" w:eastAsia="Times New Roman" w:hAnsi="Arial" w:cs="Arial"/>
          <w:color w:val="000000"/>
          <w:sz w:val="20"/>
          <w:szCs w:val="20"/>
          <w:lang w:eastAsia="en-GB"/>
        </w:rPr>
        <w:t xml:space="preserve"> and other development activities, including </w:t>
      </w:r>
      <w:proofErr w:type="spellStart"/>
      <w:r w:rsidRPr="00C82CBF">
        <w:rPr>
          <w:rFonts w:ascii="Arial" w:eastAsia="Times New Roman" w:hAnsi="Arial" w:cs="Arial"/>
          <w:color w:val="000000"/>
          <w:sz w:val="20"/>
          <w:szCs w:val="20"/>
          <w:lang w:eastAsia="en-GB"/>
        </w:rPr>
        <w:t>OTL</w:t>
      </w:r>
      <w:proofErr w:type="spellEnd"/>
      <w:r w:rsidRPr="00C82CBF">
        <w:rPr>
          <w:rFonts w:ascii="Arial" w:eastAsia="Times New Roman" w:hAnsi="Arial" w:cs="Arial"/>
          <w:color w:val="000000"/>
          <w:sz w:val="20"/>
          <w:szCs w:val="20"/>
          <w:lang w:eastAsia="en-GB"/>
        </w:rPr>
        <w:t xml:space="preserve">-105. </w:t>
      </w:r>
    </w:p>
    <w:p w14:paraId="3DA85D26"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No further specific financial guidance for 2021 is provided.</w:t>
      </w:r>
    </w:p>
    <w:p w14:paraId="7F0A57CA"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 xml:space="preserve">About Pharming Group N.V. </w:t>
      </w:r>
    </w:p>
    <w:p w14:paraId="4AD6CA2E"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Pharming Group N.V. is a global, commercial stage biopharmaceutical company developing innovative protein replacement therapies and precision medicines for the treatment of rare diseases and unmet medical needs. </w:t>
      </w:r>
    </w:p>
    <w:p w14:paraId="2D1732D5"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The flagship of our portfolio is our recombinant human </w:t>
      </w:r>
      <w:proofErr w:type="spellStart"/>
      <w:r w:rsidRPr="00C82CBF">
        <w:rPr>
          <w:rFonts w:ascii="Arial" w:eastAsia="Times New Roman" w:hAnsi="Arial" w:cs="Arial"/>
          <w:color w:val="000000"/>
          <w:sz w:val="20"/>
          <w:szCs w:val="20"/>
          <w:lang w:eastAsia="en-GB"/>
        </w:rPr>
        <w:t>C1</w:t>
      </w:r>
      <w:proofErr w:type="spellEnd"/>
      <w:r w:rsidRPr="00C82CBF">
        <w:rPr>
          <w:rFonts w:ascii="Arial" w:eastAsia="Times New Roman" w:hAnsi="Arial" w:cs="Arial"/>
          <w:color w:val="000000"/>
          <w:sz w:val="20"/>
          <w:szCs w:val="20"/>
          <w:lang w:eastAsia="en-GB"/>
        </w:rPr>
        <w:t xml:space="preserve"> esterase inhibitor (</w:t>
      </w:r>
      <w:proofErr w:type="spellStart"/>
      <w:r w:rsidRPr="00C82CBF">
        <w:rPr>
          <w:rFonts w:ascii="Arial" w:eastAsia="Times New Roman" w:hAnsi="Arial" w:cs="Arial"/>
          <w:color w:val="000000"/>
          <w:sz w:val="20"/>
          <w:szCs w:val="20"/>
          <w:lang w:eastAsia="en-GB"/>
        </w:rPr>
        <w:t>rhC1INH</w:t>
      </w:r>
      <w:proofErr w:type="spellEnd"/>
      <w:r w:rsidRPr="00C82CBF">
        <w:rPr>
          <w:rFonts w:ascii="Arial" w:eastAsia="Times New Roman" w:hAnsi="Arial" w:cs="Arial"/>
          <w:color w:val="000000"/>
          <w:sz w:val="20"/>
          <w:szCs w:val="20"/>
          <w:lang w:eastAsia="en-GB"/>
        </w:rPr>
        <w:t xml:space="preserve">) franchise. </w:t>
      </w:r>
      <w:proofErr w:type="spellStart"/>
      <w:r w:rsidRPr="00C82CBF">
        <w:rPr>
          <w:rFonts w:ascii="Arial" w:eastAsia="Times New Roman" w:hAnsi="Arial" w:cs="Arial"/>
          <w:color w:val="000000"/>
          <w:sz w:val="20"/>
          <w:szCs w:val="20"/>
          <w:lang w:eastAsia="en-GB"/>
        </w:rPr>
        <w:t>C1INH</w:t>
      </w:r>
      <w:proofErr w:type="spellEnd"/>
      <w:r w:rsidRPr="00C82CBF">
        <w:rPr>
          <w:rFonts w:ascii="Arial" w:eastAsia="Times New Roman" w:hAnsi="Arial" w:cs="Arial"/>
          <w:color w:val="000000"/>
          <w:sz w:val="20"/>
          <w:szCs w:val="20"/>
          <w:lang w:eastAsia="en-GB"/>
        </w:rPr>
        <w:t xml:space="preserve"> is a naturally occurring protein that down regulates the complement and contact cascades in order to control inflammation in affected tissues. </w:t>
      </w:r>
    </w:p>
    <w:p w14:paraId="6E05F356"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Our lead product,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 xml:space="preserve">®, is the first and only plasma-free </w:t>
      </w:r>
      <w:proofErr w:type="spellStart"/>
      <w:r w:rsidRPr="00C82CBF">
        <w:rPr>
          <w:rFonts w:ascii="Arial" w:eastAsia="Times New Roman" w:hAnsi="Arial" w:cs="Arial"/>
          <w:color w:val="000000"/>
          <w:sz w:val="20"/>
          <w:szCs w:val="20"/>
          <w:lang w:eastAsia="en-GB"/>
        </w:rPr>
        <w:t>rhC1INH</w:t>
      </w:r>
      <w:proofErr w:type="spellEnd"/>
      <w:r w:rsidRPr="00C82CBF">
        <w:rPr>
          <w:rFonts w:ascii="Arial" w:eastAsia="Times New Roman" w:hAnsi="Arial" w:cs="Arial"/>
          <w:color w:val="000000"/>
          <w:sz w:val="20"/>
          <w:szCs w:val="20"/>
          <w:lang w:eastAsia="en-GB"/>
        </w:rPr>
        <w:t xml:space="preserve"> protein replacement therapy. It is approved for the treatment of acute hereditary angioedema (</w:t>
      </w:r>
      <w:proofErr w:type="spellStart"/>
      <w:r w:rsidRPr="00C82CBF">
        <w:rPr>
          <w:rFonts w:ascii="Arial" w:eastAsia="Times New Roman" w:hAnsi="Arial" w:cs="Arial"/>
          <w:color w:val="000000"/>
          <w:sz w:val="20"/>
          <w:szCs w:val="20"/>
          <w:lang w:eastAsia="en-GB"/>
        </w:rPr>
        <w:t>HAE</w:t>
      </w:r>
      <w:proofErr w:type="spellEnd"/>
      <w:r w:rsidRPr="00C82CBF">
        <w:rPr>
          <w:rFonts w:ascii="Arial" w:eastAsia="Times New Roman" w:hAnsi="Arial" w:cs="Arial"/>
          <w:color w:val="000000"/>
          <w:sz w:val="20"/>
          <w:szCs w:val="20"/>
          <w:lang w:eastAsia="en-GB"/>
        </w:rPr>
        <w:t xml:space="preserve">) attacks. We are commercializing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 xml:space="preserve">® in the United States, the European Union and the United Kingdom through our own sales and marketing organization, and the rest of the world through our distribution network. </w:t>
      </w:r>
    </w:p>
    <w:p w14:paraId="755521E6"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In addition, we are investigating the clinical efficacy of </w:t>
      </w:r>
      <w:proofErr w:type="spellStart"/>
      <w:r w:rsidRPr="00C82CBF">
        <w:rPr>
          <w:rFonts w:ascii="Arial" w:eastAsia="Times New Roman" w:hAnsi="Arial" w:cs="Arial"/>
          <w:color w:val="000000"/>
          <w:sz w:val="20"/>
          <w:szCs w:val="20"/>
          <w:lang w:eastAsia="en-GB"/>
        </w:rPr>
        <w:t>rhC1INH</w:t>
      </w:r>
      <w:proofErr w:type="spellEnd"/>
      <w:r w:rsidRPr="00C82CBF">
        <w:rPr>
          <w:rFonts w:ascii="Arial" w:eastAsia="Times New Roman" w:hAnsi="Arial" w:cs="Arial"/>
          <w:color w:val="000000"/>
          <w:sz w:val="20"/>
          <w:szCs w:val="20"/>
          <w:lang w:eastAsia="en-GB"/>
        </w:rPr>
        <w:t xml:space="preserve"> in the treatment of further indications, including pre-eclampsia, acute kidney injury and severe pneumonia as a result of COVID-19 infections. </w:t>
      </w:r>
    </w:p>
    <w:p w14:paraId="5E0277E7"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We are also studying our oral precision medicine, </w:t>
      </w:r>
      <w:proofErr w:type="spellStart"/>
      <w:r w:rsidRPr="00C82CBF">
        <w:rPr>
          <w:rFonts w:ascii="Arial" w:eastAsia="Times New Roman" w:hAnsi="Arial" w:cs="Arial"/>
          <w:color w:val="000000"/>
          <w:sz w:val="20"/>
          <w:szCs w:val="20"/>
          <w:lang w:eastAsia="en-GB"/>
        </w:rPr>
        <w:t>leniolisib</w:t>
      </w:r>
      <w:proofErr w:type="spellEnd"/>
      <w:r w:rsidRPr="00C82CBF">
        <w:rPr>
          <w:rFonts w:ascii="Arial" w:eastAsia="Times New Roman" w:hAnsi="Arial" w:cs="Arial"/>
          <w:color w:val="000000"/>
          <w:sz w:val="20"/>
          <w:szCs w:val="20"/>
          <w:lang w:eastAsia="en-GB"/>
        </w:rPr>
        <w:t xml:space="preserve"> (a phosphoinositide 3-kinase delta, or </w:t>
      </w:r>
      <w:proofErr w:type="spellStart"/>
      <w:r w:rsidRPr="00C82CBF">
        <w:rPr>
          <w:rFonts w:ascii="Arial" w:eastAsia="Times New Roman" w:hAnsi="Arial" w:cs="Arial"/>
          <w:color w:val="000000"/>
          <w:sz w:val="20"/>
          <w:szCs w:val="20"/>
          <w:lang w:eastAsia="en-GB"/>
        </w:rPr>
        <w:t>PI3K</w:t>
      </w:r>
      <w:proofErr w:type="spellEnd"/>
      <w:r w:rsidRPr="00C82CBF">
        <w:rPr>
          <w:rFonts w:ascii="Arial" w:eastAsia="Times New Roman" w:hAnsi="Arial" w:cs="Arial"/>
          <w:color w:val="000000"/>
          <w:sz w:val="20"/>
          <w:szCs w:val="20"/>
          <w:lang w:eastAsia="en-GB"/>
        </w:rPr>
        <w:t xml:space="preserve"> delta, inhibitor), for the treatment of activated </w:t>
      </w:r>
      <w:proofErr w:type="spellStart"/>
      <w:r w:rsidRPr="00C82CBF">
        <w:rPr>
          <w:rFonts w:ascii="Arial" w:eastAsia="Times New Roman" w:hAnsi="Arial" w:cs="Arial"/>
          <w:color w:val="000000"/>
          <w:sz w:val="20"/>
          <w:szCs w:val="20"/>
          <w:lang w:eastAsia="en-GB"/>
        </w:rPr>
        <w:t>PI3K</w:t>
      </w:r>
      <w:proofErr w:type="spellEnd"/>
      <w:r w:rsidRPr="00C82CBF">
        <w:rPr>
          <w:rFonts w:ascii="Arial" w:eastAsia="Times New Roman" w:hAnsi="Arial" w:cs="Arial"/>
          <w:color w:val="000000"/>
          <w:sz w:val="20"/>
          <w:szCs w:val="20"/>
          <w:lang w:eastAsia="en-GB"/>
        </w:rPr>
        <w:t xml:space="preserve"> delta syndrome, or </w:t>
      </w:r>
      <w:proofErr w:type="spellStart"/>
      <w:r w:rsidRPr="00C82CBF">
        <w:rPr>
          <w:rFonts w:ascii="Arial" w:eastAsia="Times New Roman" w:hAnsi="Arial" w:cs="Arial"/>
          <w:color w:val="000000"/>
          <w:sz w:val="20"/>
          <w:szCs w:val="20"/>
          <w:lang w:eastAsia="en-GB"/>
        </w:rPr>
        <w:t>APDS</w:t>
      </w:r>
      <w:proofErr w:type="spellEnd"/>
      <w:r w:rsidRPr="00C82CBF">
        <w:rPr>
          <w:rFonts w:ascii="Arial" w:eastAsia="Times New Roman" w:hAnsi="Arial" w:cs="Arial"/>
          <w:color w:val="000000"/>
          <w:sz w:val="20"/>
          <w:szCs w:val="20"/>
          <w:lang w:eastAsia="en-GB"/>
        </w:rPr>
        <w:t xml:space="preserve">, in a registration enabling Phase 2/3 study in the United States and Europe. </w:t>
      </w:r>
    </w:p>
    <w:p w14:paraId="1FBEC2CB"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Furthermore, we are leveraging our transgenic manufacturing technology to develop next-generation protein replacement therapies, most notably for </w:t>
      </w:r>
      <w:proofErr w:type="spellStart"/>
      <w:r w:rsidRPr="00C82CBF">
        <w:rPr>
          <w:rFonts w:ascii="Arial" w:eastAsia="Times New Roman" w:hAnsi="Arial" w:cs="Arial"/>
          <w:color w:val="000000"/>
          <w:sz w:val="20"/>
          <w:szCs w:val="20"/>
          <w:lang w:eastAsia="en-GB"/>
        </w:rPr>
        <w:t>Pompe</w:t>
      </w:r>
      <w:proofErr w:type="spellEnd"/>
      <w:r w:rsidRPr="00C82CBF">
        <w:rPr>
          <w:rFonts w:ascii="Arial" w:eastAsia="Times New Roman" w:hAnsi="Arial" w:cs="Arial"/>
          <w:color w:val="000000"/>
          <w:sz w:val="20"/>
          <w:szCs w:val="20"/>
          <w:lang w:eastAsia="en-GB"/>
        </w:rPr>
        <w:t xml:space="preserve"> disease, which is currently in preclinical development.</w:t>
      </w:r>
    </w:p>
    <w:p w14:paraId="7443B278"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lastRenderedPageBreak/>
        <w:t xml:space="preserve">Forward-looking Statements </w:t>
      </w:r>
    </w:p>
    <w:p w14:paraId="6422A5CB"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203F54DC"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Inside Information</w:t>
      </w:r>
    </w:p>
    <w:p w14:paraId="38A735EB"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This press release relates to the disclosure of information that qualifies, or may have qualified, as inside information within the meaning of Article 7(1) of the EU Market Abuse Regulation.</w:t>
      </w:r>
    </w:p>
    <w:p w14:paraId="01CC427B"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For further public information, contact:</w:t>
      </w:r>
      <w:r w:rsidRPr="00C82CBF">
        <w:rPr>
          <w:rFonts w:ascii="Arial" w:eastAsia="Times New Roman" w:hAnsi="Arial" w:cs="Arial"/>
          <w:b/>
          <w:bCs/>
          <w:color w:val="000000"/>
          <w:sz w:val="20"/>
          <w:szCs w:val="20"/>
          <w:lang w:eastAsia="en-GB"/>
        </w:rPr>
        <w:br/>
      </w:r>
      <w:r w:rsidRPr="00C82CBF">
        <w:rPr>
          <w:rFonts w:ascii="Arial" w:eastAsia="Times New Roman" w:hAnsi="Arial" w:cs="Arial"/>
          <w:i/>
          <w:iCs/>
          <w:color w:val="000000"/>
          <w:sz w:val="20"/>
          <w:szCs w:val="20"/>
          <w:lang w:eastAsia="en-GB"/>
        </w:rPr>
        <w:t>Pharming Group, Leiden, The Netherlands</w:t>
      </w:r>
      <w:r w:rsidRPr="00C82CBF">
        <w:rPr>
          <w:rFonts w:ascii="Arial" w:eastAsia="Times New Roman" w:hAnsi="Arial" w:cs="Arial"/>
          <w:i/>
          <w:iCs/>
          <w:color w:val="000000"/>
          <w:sz w:val="20"/>
          <w:szCs w:val="20"/>
          <w:lang w:eastAsia="en-GB"/>
        </w:rPr>
        <w:br/>
      </w:r>
      <w:proofErr w:type="spellStart"/>
      <w:r w:rsidRPr="00C82CBF">
        <w:rPr>
          <w:rFonts w:ascii="Arial" w:eastAsia="Times New Roman" w:hAnsi="Arial" w:cs="Arial"/>
          <w:color w:val="000000"/>
          <w:sz w:val="20"/>
          <w:szCs w:val="20"/>
          <w:lang w:eastAsia="en-GB"/>
        </w:rPr>
        <w:t>Sijmen</w:t>
      </w:r>
      <w:proofErr w:type="spellEnd"/>
      <w:r w:rsidRPr="00C82CBF">
        <w:rPr>
          <w:rFonts w:ascii="Arial" w:eastAsia="Times New Roman" w:hAnsi="Arial" w:cs="Arial"/>
          <w:color w:val="000000"/>
          <w:sz w:val="20"/>
          <w:szCs w:val="20"/>
          <w:lang w:eastAsia="en-GB"/>
        </w:rPr>
        <w:t xml:space="preserve"> de Vries, CEO: T: +31 71 524 7400</w:t>
      </w:r>
      <w:r w:rsidRPr="00C82CBF">
        <w:rPr>
          <w:rFonts w:ascii="Arial" w:eastAsia="Times New Roman" w:hAnsi="Arial" w:cs="Arial"/>
          <w:color w:val="000000"/>
          <w:sz w:val="20"/>
          <w:szCs w:val="20"/>
          <w:lang w:eastAsia="en-GB"/>
        </w:rPr>
        <w:br/>
        <w:t>Susanne Embleton, Investor Relations Manager: T: +31 71 524 7400 E: investor@pharming.com</w:t>
      </w:r>
    </w:p>
    <w:p w14:paraId="141F0E73"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roofErr w:type="spellStart"/>
      <w:r w:rsidRPr="00C82CBF">
        <w:rPr>
          <w:rFonts w:ascii="Arial" w:eastAsia="Times New Roman" w:hAnsi="Arial" w:cs="Arial"/>
          <w:i/>
          <w:iCs/>
          <w:color w:val="000000"/>
          <w:sz w:val="20"/>
          <w:szCs w:val="20"/>
          <w:lang w:eastAsia="en-GB"/>
        </w:rPr>
        <w:t>FTI</w:t>
      </w:r>
      <w:proofErr w:type="spellEnd"/>
      <w:r w:rsidRPr="00C82CBF">
        <w:rPr>
          <w:rFonts w:ascii="Arial" w:eastAsia="Times New Roman" w:hAnsi="Arial" w:cs="Arial"/>
          <w:i/>
          <w:iCs/>
          <w:color w:val="000000"/>
          <w:sz w:val="20"/>
          <w:szCs w:val="20"/>
          <w:lang w:eastAsia="en-GB"/>
        </w:rPr>
        <w:t xml:space="preserve"> Consulting, London, UK</w:t>
      </w:r>
      <w:r w:rsidRPr="00C82CBF">
        <w:rPr>
          <w:rFonts w:ascii="Arial" w:eastAsia="Times New Roman" w:hAnsi="Arial" w:cs="Arial"/>
          <w:i/>
          <w:iCs/>
          <w:color w:val="000000"/>
          <w:sz w:val="20"/>
          <w:szCs w:val="20"/>
          <w:lang w:eastAsia="en-GB"/>
        </w:rPr>
        <w:br/>
      </w:r>
      <w:r w:rsidRPr="00C82CBF">
        <w:rPr>
          <w:rFonts w:ascii="Arial" w:eastAsia="Times New Roman" w:hAnsi="Arial" w:cs="Arial"/>
          <w:color w:val="000000"/>
          <w:sz w:val="20"/>
          <w:szCs w:val="20"/>
          <w:lang w:eastAsia="en-GB"/>
        </w:rPr>
        <w:t>Victoria Foster Mitchell/Alex Shaw</w:t>
      </w:r>
      <w:r w:rsidRPr="00C82CBF">
        <w:rPr>
          <w:rFonts w:ascii="Arial" w:eastAsia="Times New Roman" w:hAnsi="Arial" w:cs="Arial"/>
          <w:color w:val="000000"/>
          <w:sz w:val="20"/>
          <w:szCs w:val="20"/>
          <w:lang w:eastAsia="en-GB"/>
        </w:rPr>
        <w:br/>
        <w:t>T: +44 203 727 1000</w:t>
      </w:r>
    </w:p>
    <w:p w14:paraId="067A1A3D"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roofErr w:type="spellStart"/>
      <w:r w:rsidRPr="00C82CBF">
        <w:rPr>
          <w:rFonts w:ascii="Arial" w:eastAsia="Times New Roman" w:hAnsi="Arial" w:cs="Arial"/>
          <w:i/>
          <w:iCs/>
          <w:color w:val="000000"/>
          <w:sz w:val="20"/>
          <w:szCs w:val="20"/>
          <w:lang w:eastAsia="en-GB"/>
        </w:rPr>
        <w:t>LifeSpring</w:t>
      </w:r>
      <w:proofErr w:type="spellEnd"/>
      <w:r w:rsidRPr="00C82CBF">
        <w:rPr>
          <w:rFonts w:ascii="Arial" w:eastAsia="Times New Roman" w:hAnsi="Arial" w:cs="Arial"/>
          <w:i/>
          <w:iCs/>
          <w:color w:val="000000"/>
          <w:sz w:val="20"/>
          <w:szCs w:val="20"/>
          <w:lang w:eastAsia="en-GB"/>
        </w:rPr>
        <w:t xml:space="preserve"> Life Sciences Communication, Amsterdam, The Netherlands</w:t>
      </w:r>
      <w:r w:rsidRPr="00C82CBF">
        <w:rPr>
          <w:rFonts w:ascii="Arial" w:eastAsia="Times New Roman" w:hAnsi="Arial" w:cs="Arial"/>
          <w:i/>
          <w:iCs/>
          <w:color w:val="000000"/>
          <w:sz w:val="20"/>
          <w:szCs w:val="20"/>
          <w:lang w:eastAsia="en-GB"/>
        </w:rPr>
        <w:br/>
      </w:r>
      <w:r w:rsidRPr="00C82CBF">
        <w:rPr>
          <w:rFonts w:ascii="Arial" w:eastAsia="Times New Roman" w:hAnsi="Arial" w:cs="Arial"/>
          <w:color w:val="000000"/>
          <w:sz w:val="20"/>
          <w:szCs w:val="20"/>
          <w:lang w:eastAsia="en-GB"/>
        </w:rPr>
        <w:t xml:space="preserve">Leon </w:t>
      </w:r>
      <w:proofErr w:type="spellStart"/>
      <w:r w:rsidRPr="00C82CBF">
        <w:rPr>
          <w:rFonts w:ascii="Arial" w:eastAsia="Times New Roman" w:hAnsi="Arial" w:cs="Arial"/>
          <w:color w:val="000000"/>
          <w:sz w:val="20"/>
          <w:szCs w:val="20"/>
          <w:lang w:eastAsia="en-GB"/>
        </w:rPr>
        <w:t>Melens</w:t>
      </w:r>
      <w:proofErr w:type="spellEnd"/>
      <w:r w:rsidRPr="00C82CBF">
        <w:rPr>
          <w:rFonts w:ascii="Arial" w:eastAsia="Times New Roman" w:hAnsi="Arial" w:cs="Arial"/>
          <w:color w:val="000000"/>
          <w:sz w:val="20"/>
          <w:szCs w:val="20"/>
          <w:lang w:eastAsia="en-GB"/>
        </w:rPr>
        <w:br/>
        <w:t>T: +31 6 53 81 64 27</w:t>
      </w:r>
      <w:r w:rsidRPr="00C82CBF">
        <w:rPr>
          <w:rFonts w:ascii="Arial" w:eastAsia="Times New Roman" w:hAnsi="Arial" w:cs="Arial"/>
          <w:color w:val="000000"/>
          <w:sz w:val="20"/>
          <w:szCs w:val="20"/>
          <w:lang w:eastAsia="en-GB"/>
        </w:rPr>
        <w:br/>
        <w:t xml:space="preserve">E: </w:t>
      </w:r>
      <w:hyperlink r:id="rId7" w:tgtFrame="_blank" w:history="1">
        <w:r w:rsidRPr="00C82CBF">
          <w:rPr>
            <w:rFonts w:ascii="Arial" w:eastAsia="Times New Roman" w:hAnsi="Arial" w:cs="Arial"/>
            <w:color w:val="0000FF"/>
            <w:sz w:val="20"/>
            <w:szCs w:val="20"/>
            <w:u w:val="single"/>
            <w:lang w:eastAsia="en-GB"/>
          </w:rPr>
          <w:t>pharming@lifespring.nl</w:t>
        </w:r>
      </w:hyperlink>
    </w:p>
    <w:p w14:paraId="154D5314"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Conference call dial-in information</w:t>
      </w:r>
      <w:r w:rsidRPr="00C82CBF">
        <w:rPr>
          <w:rFonts w:ascii="Arial" w:eastAsia="Times New Roman" w:hAnsi="Arial" w:cs="Arial"/>
          <w:b/>
          <w:bCs/>
          <w:color w:val="000000"/>
          <w:sz w:val="20"/>
          <w:szCs w:val="20"/>
          <w:lang w:eastAsia="en-GB"/>
        </w:rPr>
        <w:br/>
      </w:r>
      <w:r w:rsidRPr="00C82CBF">
        <w:rPr>
          <w:rFonts w:ascii="Arial" w:eastAsia="Times New Roman" w:hAnsi="Arial" w:cs="Arial"/>
          <w:b/>
          <w:bCs/>
          <w:i/>
          <w:iCs/>
          <w:color w:val="000000"/>
          <w:sz w:val="20"/>
          <w:szCs w:val="20"/>
          <w:lang w:eastAsia="en-GB"/>
        </w:rPr>
        <w:t xml:space="preserve">Thursday August 5, 2021 </w:t>
      </w:r>
      <w:proofErr w:type="spellStart"/>
      <w:r w:rsidRPr="00C82CBF">
        <w:rPr>
          <w:rFonts w:ascii="Arial" w:eastAsia="Times New Roman" w:hAnsi="Arial" w:cs="Arial"/>
          <w:b/>
          <w:bCs/>
          <w:i/>
          <w:iCs/>
          <w:color w:val="000000"/>
          <w:sz w:val="20"/>
          <w:szCs w:val="20"/>
          <w:lang w:eastAsia="en-GB"/>
        </w:rPr>
        <w:t>13:00CET</w:t>
      </w:r>
      <w:proofErr w:type="spellEnd"/>
      <w:r w:rsidRPr="00C82CBF">
        <w:rPr>
          <w:rFonts w:ascii="Arial" w:eastAsia="Times New Roman" w:hAnsi="Arial" w:cs="Arial"/>
          <w:b/>
          <w:bCs/>
          <w:i/>
          <w:iCs/>
          <w:color w:val="000000"/>
          <w:sz w:val="20"/>
          <w:szCs w:val="20"/>
          <w:lang w:eastAsia="en-GB"/>
        </w:rPr>
        <w:t>/</w:t>
      </w:r>
      <w:proofErr w:type="spellStart"/>
      <w:r w:rsidRPr="00C82CBF">
        <w:rPr>
          <w:rFonts w:ascii="Arial" w:eastAsia="Times New Roman" w:hAnsi="Arial" w:cs="Arial"/>
          <w:b/>
          <w:bCs/>
          <w:i/>
          <w:iCs/>
          <w:color w:val="000000"/>
          <w:sz w:val="20"/>
          <w:szCs w:val="20"/>
          <w:lang w:eastAsia="en-GB"/>
        </w:rPr>
        <w:t>07:00ET</w:t>
      </w:r>
      <w:proofErr w:type="spellEnd"/>
      <w:r w:rsidRPr="00C82CBF">
        <w:rPr>
          <w:rFonts w:ascii="Arial" w:eastAsia="Times New Roman" w:hAnsi="Arial" w:cs="Arial"/>
          <w:b/>
          <w:bCs/>
          <w:i/>
          <w:iCs/>
          <w:color w:val="000000"/>
          <w:sz w:val="20"/>
          <w:szCs w:val="20"/>
          <w:lang w:eastAsia="en-GB"/>
        </w:rPr>
        <w:br/>
      </w:r>
      <w:r w:rsidRPr="00C82CBF">
        <w:rPr>
          <w:rFonts w:ascii="Arial" w:eastAsia="Times New Roman" w:hAnsi="Arial" w:cs="Arial"/>
          <w:i/>
          <w:iCs/>
          <w:color w:val="000000"/>
          <w:sz w:val="20"/>
          <w:szCs w:val="20"/>
          <w:lang w:eastAsia="en-GB"/>
        </w:rPr>
        <w:t>Please note, the Company will only take questions from dial-in attendees.</w:t>
      </w:r>
    </w:p>
    <w:p w14:paraId="5278F397"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i/>
          <w:iCs/>
          <w:color w:val="000000"/>
          <w:sz w:val="20"/>
          <w:szCs w:val="20"/>
          <w:lang w:eastAsia="en-GB"/>
        </w:rPr>
        <w:t>Dial-in details:</w:t>
      </w:r>
    </w:p>
    <w:p w14:paraId="0525D315"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Netherlands (Local)        085 888 7233</w:t>
      </w:r>
    </w:p>
    <w:p w14:paraId="171F7D56"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United Kingdom              0800 640 6441</w:t>
      </w:r>
    </w:p>
    <w:p w14:paraId="2E180244"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United Kingdom (Local) 020 3936 2999</w:t>
      </w:r>
    </w:p>
    <w:p w14:paraId="6A1BC31E"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All other locations          +44 20 3936 2999</w:t>
      </w:r>
    </w:p>
    <w:p w14:paraId="46193CA0"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i/>
          <w:iCs/>
          <w:color w:val="000000"/>
          <w:sz w:val="20"/>
          <w:szCs w:val="20"/>
          <w:lang w:eastAsia="en-GB"/>
        </w:rPr>
        <w:t>Access code: 914296</w:t>
      </w:r>
    </w:p>
    <w:p w14:paraId="5137A116"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i/>
          <w:iCs/>
          <w:color w:val="000000"/>
          <w:sz w:val="20"/>
          <w:szCs w:val="20"/>
          <w:lang w:eastAsia="en-GB"/>
        </w:rPr>
        <w:t>Webcast Link:</w:t>
      </w:r>
      <w:r w:rsidRPr="00C82CBF">
        <w:rPr>
          <w:rFonts w:ascii="Arial" w:eastAsia="Times New Roman" w:hAnsi="Arial" w:cs="Arial"/>
          <w:b/>
          <w:bCs/>
          <w:i/>
          <w:iCs/>
          <w:color w:val="000000"/>
          <w:sz w:val="20"/>
          <w:szCs w:val="20"/>
          <w:lang w:eastAsia="en-GB"/>
        </w:rPr>
        <w:br/>
      </w:r>
      <w:hyperlink r:id="rId8" w:tgtFrame="_blank" w:history="1">
        <w:r w:rsidRPr="00C82CBF">
          <w:rPr>
            <w:rFonts w:ascii="Arial" w:eastAsia="Times New Roman" w:hAnsi="Arial" w:cs="Arial"/>
            <w:color w:val="0000FF"/>
            <w:sz w:val="20"/>
            <w:szCs w:val="20"/>
            <w:u w:val="single"/>
            <w:lang w:eastAsia="en-GB"/>
          </w:rPr>
          <w:t>https://webcast.openbriefing.com/pharming-aug21/</w:t>
        </w:r>
      </w:hyperlink>
      <w:r w:rsidRPr="00C82CBF">
        <w:rPr>
          <w:rFonts w:ascii="Arial" w:eastAsia="Times New Roman" w:hAnsi="Arial" w:cs="Arial"/>
          <w:color w:val="000000"/>
          <w:sz w:val="20"/>
          <w:szCs w:val="20"/>
          <w:lang w:eastAsia="en-GB"/>
        </w:rPr>
        <w:t xml:space="preserve"> </w:t>
      </w:r>
    </w:p>
    <w:p w14:paraId="5E2BB676"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lastRenderedPageBreak/>
        <w:t>Pharming Group N.V.</w:t>
      </w:r>
      <w:r w:rsidRPr="00C82CBF">
        <w:rPr>
          <w:rFonts w:ascii="Arial" w:eastAsia="Times New Roman" w:hAnsi="Arial" w:cs="Arial"/>
          <w:b/>
          <w:bCs/>
          <w:color w:val="000000"/>
          <w:sz w:val="20"/>
          <w:szCs w:val="20"/>
          <w:lang w:eastAsia="en-GB"/>
        </w:rPr>
        <w:br/>
        <w:t>Condensed Consolidated Interim Financial Statements in US Dollars (unaudited)</w:t>
      </w:r>
      <w:r w:rsidRPr="00C82CBF">
        <w:rPr>
          <w:rFonts w:ascii="Arial" w:eastAsia="Times New Roman" w:hAnsi="Arial" w:cs="Arial"/>
          <w:b/>
          <w:bCs/>
          <w:color w:val="000000"/>
          <w:sz w:val="20"/>
          <w:szCs w:val="20"/>
          <w:lang w:eastAsia="en-GB"/>
        </w:rPr>
        <w:br/>
      </w:r>
      <w:r w:rsidRPr="00C82CBF">
        <w:rPr>
          <w:rFonts w:ascii="Arial" w:eastAsia="Times New Roman" w:hAnsi="Arial" w:cs="Arial"/>
          <w:color w:val="000000"/>
          <w:sz w:val="20"/>
          <w:szCs w:val="20"/>
          <w:lang w:eastAsia="en-GB"/>
        </w:rPr>
        <w:t>For the period ended 30 June 2021</w:t>
      </w:r>
    </w:p>
    <w:p w14:paraId="4E03B52B" w14:textId="77777777" w:rsidR="00C82CBF" w:rsidRPr="00C82CBF" w:rsidRDefault="00C82CBF" w:rsidP="00C82CBF">
      <w:pPr>
        <w:numPr>
          <w:ilvl w:val="0"/>
          <w:numId w:val="6"/>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Condensed consolidated statement of profit and loss </w:t>
      </w:r>
    </w:p>
    <w:p w14:paraId="7F4A0676" w14:textId="77777777" w:rsidR="00C82CBF" w:rsidRPr="00C82CBF" w:rsidRDefault="00C82CBF" w:rsidP="00C82CBF">
      <w:pPr>
        <w:numPr>
          <w:ilvl w:val="0"/>
          <w:numId w:val="6"/>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Condensed consolidated statement of comprehensive income </w:t>
      </w:r>
    </w:p>
    <w:p w14:paraId="55E6E6E2" w14:textId="77777777" w:rsidR="00C82CBF" w:rsidRPr="00C82CBF" w:rsidRDefault="00C82CBF" w:rsidP="00C82CBF">
      <w:pPr>
        <w:numPr>
          <w:ilvl w:val="0"/>
          <w:numId w:val="6"/>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Condensed consolidated balance sheet </w:t>
      </w:r>
    </w:p>
    <w:p w14:paraId="16345C6C" w14:textId="77777777" w:rsidR="00C82CBF" w:rsidRPr="00C82CBF" w:rsidRDefault="00C82CBF" w:rsidP="00C82CBF">
      <w:pPr>
        <w:numPr>
          <w:ilvl w:val="0"/>
          <w:numId w:val="6"/>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Condensed consolidated statement of changes in equity </w:t>
      </w:r>
    </w:p>
    <w:p w14:paraId="71CA596C" w14:textId="77777777" w:rsidR="00C82CBF" w:rsidRPr="00C82CBF" w:rsidRDefault="00C82CBF" w:rsidP="00C82CBF">
      <w:pPr>
        <w:numPr>
          <w:ilvl w:val="0"/>
          <w:numId w:val="6"/>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Condensed consolidated statement of cash flow</w:t>
      </w:r>
    </w:p>
    <w:p w14:paraId="7AD57B4B"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Appendix: Main condensed consolidated Interim Financial Statements reported in Euros</w:t>
      </w:r>
    </w:p>
    <w:p w14:paraId="6AE7DE36"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(This appendix is not part of the Condensed Consolidated Financial Statements)</w:t>
      </w:r>
    </w:p>
    <w:p w14:paraId="5C44A218" w14:textId="77777777" w:rsidR="00C82CBF" w:rsidRPr="00C82CBF" w:rsidRDefault="00C82CBF" w:rsidP="00C82CBF">
      <w:pPr>
        <w:numPr>
          <w:ilvl w:val="0"/>
          <w:numId w:val="7"/>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Condensed consolidated statement of profit and loss in Euros </w:t>
      </w:r>
    </w:p>
    <w:p w14:paraId="500B62E3" w14:textId="77777777" w:rsidR="00C82CBF" w:rsidRPr="00C82CBF" w:rsidRDefault="00C82CBF" w:rsidP="00C82CBF">
      <w:pPr>
        <w:numPr>
          <w:ilvl w:val="0"/>
          <w:numId w:val="7"/>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Condensed consolidated statement balance sheet in Euros </w:t>
      </w:r>
    </w:p>
    <w:p w14:paraId="5FDD7515" w14:textId="77777777" w:rsidR="00C82CBF" w:rsidRPr="00C82CBF" w:rsidRDefault="00C82CBF" w:rsidP="00C82CBF">
      <w:pPr>
        <w:numPr>
          <w:ilvl w:val="0"/>
          <w:numId w:val="7"/>
        </w:numPr>
        <w:spacing w:before="100" w:beforeAutospacing="1" w:after="100" w:afterAutospacing="1" w:line="240" w:lineRule="auto"/>
        <w:ind w:left="73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Condensed consolidated statement of cash flows in Euros</w:t>
      </w:r>
    </w:p>
    <w:tbl>
      <w:tblPr>
        <w:tblW w:w="0" w:type="auto"/>
        <w:tblCellMar>
          <w:left w:w="0" w:type="dxa"/>
          <w:right w:w="0" w:type="dxa"/>
        </w:tblCellMar>
        <w:tblLook w:val="04A0" w:firstRow="1" w:lastRow="0" w:firstColumn="1" w:lastColumn="0" w:noHBand="0" w:noVBand="1"/>
      </w:tblPr>
      <w:tblGrid>
        <w:gridCol w:w="5378"/>
        <w:gridCol w:w="632"/>
        <w:gridCol w:w="836"/>
        <w:gridCol w:w="325"/>
        <w:gridCol w:w="847"/>
        <w:gridCol w:w="16"/>
      </w:tblGrid>
      <w:tr w:rsidR="00C82CBF" w:rsidRPr="00C82CBF" w14:paraId="2B94603D"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4DE17F9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CONDENSED CONSOLIDATED STATEMENT OF PROFIT AND LOSS</w:t>
            </w:r>
          </w:p>
        </w:tc>
        <w:tc>
          <w:tcPr>
            <w:tcW w:w="0" w:type="auto"/>
            <w:tcBorders>
              <w:top w:val="nil"/>
              <w:left w:val="nil"/>
              <w:bottom w:val="nil"/>
              <w:right w:val="nil"/>
            </w:tcBorders>
            <w:tcMar>
              <w:top w:w="0" w:type="dxa"/>
              <w:left w:w="120" w:type="dxa"/>
              <w:bottom w:w="0" w:type="dxa"/>
              <w:right w:w="160" w:type="dxa"/>
            </w:tcMar>
            <w:vAlign w:val="center"/>
            <w:hideMark/>
          </w:tcPr>
          <w:p w14:paraId="5EE7CED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7DF60C6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6346BB8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70A22374"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763CE13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 the 6-month period ended 30 June</w:t>
            </w:r>
          </w:p>
        </w:tc>
        <w:tc>
          <w:tcPr>
            <w:tcW w:w="0" w:type="auto"/>
            <w:tcBorders>
              <w:top w:val="nil"/>
              <w:left w:val="nil"/>
              <w:bottom w:val="nil"/>
              <w:right w:val="nil"/>
            </w:tcBorders>
            <w:tcMar>
              <w:top w:w="0" w:type="dxa"/>
              <w:left w:w="120" w:type="dxa"/>
              <w:bottom w:w="0" w:type="dxa"/>
              <w:right w:w="160" w:type="dxa"/>
            </w:tcMar>
            <w:vAlign w:val="center"/>
            <w:hideMark/>
          </w:tcPr>
          <w:p w14:paraId="1899121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4358A43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3AA1EA3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6F3A6072" w14:textId="77777777" w:rsidTr="00C82CBF">
        <w:tc>
          <w:tcPr>
            <w:tcW w:w="0" w:type="auto"/>
            <w:tcBorders>
              <w:top w:val="nil"/>
              <w:left w:val="nil"/>
              <w:bottom w:val="nil"/>
              <w:right w:val="nil"/>
            </w:tcBorders>
            <w:tcMar>
              <w:top w:w="0" w:type="dxa"/>
              <w:left w:w="120" w:type="dxa"/>
              <w:bottom w:w="0" w:type="dxa"/>
              <w:right w:w="160" w:type="dxa"/>
            </w:tcMar>
            <w:vAlign w:val="bottom"/>
            <w:hideMark/>
          </w:tcPr>
          <w:p w14:paraId="1737083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center"/>
            <w:hideMark/>
          </w:tcPr>
          <w:p w14:paraId="3541D46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397E71B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42DE8FA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0C47E752" w14:textId="77777777" w:rsidTr="00C82CBF">
        <w:tc>
          <w:tcPr>
            <w:tcW w:w="0" w:type="auto"/>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2D92E0A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 '000</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center"/>
            <w:hideMark/>
          </w:tcPr>
          <w:p w14:paraId="76C0A45A"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notes</w:t>
            </w:r>
          </w:p>
        </w:tc>
        <w:tc>
          <w:tcPr>
            <w:tcW w:w="0" w:type="auto"/>
            <w:gridSpan w:val="2"/>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576E1A6A"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proofErr w:type="spellStart"/>
            <w:r w:rsidRPr="00C82CBF">
              <w:rPr>
                <w:rFonts w:ascii="Arial" w:eastAsia="Times New Roman" w:hAnsi="Arial" w:cs="Arial"/>
                <w:b/>
                <w:bCs/>
                <w:color w:val="000000"/>
                <w:sz w:val="16"/>
                <w:szCs w:val="16"/>
                <w:lang w:eastAsia="en-GB"/>
              </w:rPr>
              <w:t>HY2021</w:t>
            </w:r>
            <w:proofErr w:type="spellEnd"/>
          </w:p>
        </w:tc>
        <w:tc>
          <w:tcPr>
            <w:tcW w:w="0" w:type="auto"/>
            <w:gridSpan w:val="2"/>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35F828F4"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2020</w:t>
            </w:r>
          </w:p>
        </w:tc>
      </w:tr>
      <w:tr w:rsidR="00C82CBF" w:rsidRPr="00C82CBF" w14:paraId="791ED3F6" w14:textId="77777777" w:rsidTr="00C82CBF">
        <w:tc>
          <w:tcPr>
            <w:tcW w:w="0" w:type="auto"/>
            <w:tcBorders>
              <w:top w:val="nil"/>
              <w:left w:val="nil"/>
              <w:bottom w:val="nil"/>
              <w:right w:val="nil"/>
            </w:tcBorders>
            <w:tcMar>
              <w:top w:w="0" w:type="dxa"/>
              <w:left w:w="120" w:type="dxa"/>
              <w:bottom w:w="0" w:type="dxa"/>
              <w:right w:w="160" w:type="dxa"/>
            </w:tcMar>
            <w:vAlign w:val="bottom"/>
            <w:hideMark/>
          </w:tcPr>
          <w:p w14:paraId="3D81DDA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nil"/>
            </w:tcBorders>
            <w:tcMar>
              <w:top w:w="0" w:type="dxa"/>
              <w:left w:w="120" w:type="dxa"/>
              <w:bottom w:w="0" w:type="dxa"/>
              <w:right w:w="160" w:type="dxa"/>
            </w:tcMar>
            <w:vAlign w:val="center"/>
            <w:hideMark/>
          </w:tcPr>
          <w:p w14:paraId="3A201CB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7CFB61C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52E3682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44775CA"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2EB68EF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Revenues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2C9834E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631AC0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93,237</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1AA2426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5DDAD89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97,827</w:t>
            </w:r>
          </w:p>
        </w:tc>
        <w:tc>
          <w:tcPr>
            <w:tcW w:w="0" w:type="auto"/>
            <w:vAlign w:val="center"/>
            <w:hideMark/>
          </w:tcPr>
          <w:p w14:paraId="2FB3EAE7"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B213B65"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647E800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Costs of sales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640173F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6CB91A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(9,487)</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6A9F2D8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77A24B9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(10,885)</w:t>
            </w:r>
          </w:p>
        </w:tc>
        <w:tc>
          <w:tcPr>
            <w:tcW w:w="0" w:type="auto"/>
            <w:vAlign w:val="center"/>
            <w:hideMark/>
          </w:tcPr>
          <w:p w14:paraId="2839C40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4ECC42E"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54F0742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Gross profit</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27A4A33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215F41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83,750</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4F419C9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320903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86,942</w:t>
            </w:r>
          </w:p>
        </w:tc>
        <w:tc>
          <w:tcPr>
            <w:tcW w:w="0" w:type="auto"/>
            <w:vAlign w:val="center"/>
            <w:hideMark/>
          </w:tcPr>
          <w:p w14:paraId="334A5006"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11620EF8"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4A2EF5E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Other income</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069D371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856B3A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1,354</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1137397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EA4EA6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525</w:t>
            </w:r>
          </w:p>
        </w:tc>
        <w:tc>
          <w:tcPr>
            <w:tcW w:w="0" w:type="auto"/>
            <w:vAlign w:val="center"/>
            <w:hideMark/>
          </w:tcPr>
          <w:p w14:paraId="67C1D05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728701E0"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79E4FB8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Research and development</w:t>
            </w:r>
          </w:p>
        </w:tc>
        <w:tc>
          <w:tcPr>
            <w:tcW w:w="0" w:type="auto"/>
            <w:tcBorders>
              <w:top w:val="nil"/>
              <w:left w:val="single" w:sz="8" w:space="0" w:color="000000"/>
              <w:bottom w:val="nil"/>
              <w:right w:val="nil"/>
            </w:tcBorders>
            <w:tcMar>
              <w:top w:w="0" w:type="dxa"/>
              <w:left w:w="120" w:type="dxa"/>
              <w:bottom w:w="0" w:type="dxa"/>
              <w:right w:w="160" w:type="dxa"/>
            </w:tcMar>
            <w:vAlign w:val="center"/>
            <w:hideMark/>
          </w:tcPr>
          <w:p w14:paraId="6091AC0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F806CE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(24,206)</w:t>
            </w:r>
          </w:p>
        </w:tc>
        <w:tc>
          <w:tcPr>
            <w:tcW w:w="0" w:type="auto"/>
            <w:tcBorders>
              <w:top w:val="nil"/>
              <w:left w:val="nil"/>
              <w:bottom w:val="nil"/>
              <w:right w:val="nil"/>
            </w:tcBorders>
            <w:tcMar>
              <w:top w:w="0" w:type="dxa"/>
              <w:left w:w="120" w:type="dxa"/>
              <w:bottom w:w="0" w:type="dxa"/>
              <w:right w:w="160" w:type="dxa"/>
            </w:tcMar>
            <w:vAlign w:val="bottom"/>
            <w:hideMark/>
          </w:tcPr>
          <w:p w14:paraId="0CDF42F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nil"/>
              <w:right w:val="single" w:sz="8" w:space="0" w:color="000000"/>
            </w:tcBorders>
            <w:tcMar>
              <w:top w:w="0" w:type="dxa"/>
              <w:left w:w="120" w:type="dxa"/>
              <w:bottom w:w="0" w:type="dxa"/>
              <w:right w:w="120" w:type="dxa"/>
            </w:tcMar>
            <w:vAlign w:val="bottom"/>
            <w:hideMark/>
          </w:tcPr>
          <w:p w14:paraId="6C18140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(17,658)</w:t>
            </w:r>
          </w:p>
        </w:tc>
        <w:tc>
          <w:tcPr>
            <w:tcW w:w="0" w:type="auto"/>
            <w:vAlign w:val="center"/>
            <w:hideMark/>
          </w:tcPr>
          <w:p w14:paraId="72C45F4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55949934"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405FD04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General and administrative</w:t>
            </w:r>
          </w:p>
        </w:tc>
        <w:tc>
          <w:tcPr>
            <w:tcW w:w="0" w:type="auto"/>
            <w:tcBorders>
              <w:top w:val="nil"/>
              <w:left w:val="single" w:sz="8" w:space="0" w:color="000000"/>
              <w:bottom w:val="nil"/>
              <w:right w:val="nil"/>
            </w:tcBorders>
            <w:tcMar>
              <w:top w:w="0" w:type="dxa"/>
              <w:left w:w="120" w:type="dxa"/>
              <w:bottom w:w="0" w:type="dxa"/>
              <w:right w:w="160" w:type="dxa"/>
            </w:tcMar>
            <w:vAlign w:val="center"/>
            <w:hideMark/>
          </w:tcPr>
          <w:p w14:paraId="36C729C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199E71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(15,060)</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58445C7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nil"/>
              <w:right w:val="single" w:sz="8" w:space="0" w:color="000000"/>
            </w:tcBorders>
            <w:tcMar>
              <w:top w:w="0" w:type="dxa"/>
              <w:left w:w="120" w:type="dxa"/>
              <w:bottom w:w="0" w:type="dxa"/>
              <w:right w:w="120" w:type="dxa"/>
            </w:tcMar>
            <w:vAlign w:val="bottom"/>
            <w:hideMark/>
          </w:tcPr>
          <w:p w14:paraId="519C10A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(9,846)</w:t>
            </w:r>
          </w:p>
        </w:tc>
        <w:tc>
          <w:tcPr>
            <w:tcW w:w="0" w:type="auto"/>
            <w:vAlign w:val="center"/>
            <w:hideMark/>
          </w:tcPr>
          <w:p w14:paraId="6B37C52F"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2E81B6D8"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40C646E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Marketing and sales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119B75D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404BC7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(28,686)</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14BE97F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ED7BE4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(24,283)</w:t>
            </w:r>
          </w:p>
        </w:tc>
        <w:tc>
          <w:tcPr>
            <w:tcW w:w="0" w:type="auto"/>
            <w:vAlign w:val="center"/>
            <w:hideMark/>
          </w:tcPr>
          <w:p w14:paraId="65ACBAA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17BCB9F1"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415040F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Other Operating Costs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3ED8AB3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92DC11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(67,952)</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0B54595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3DF4CA0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(51,787)</w:t>
            </w:r>
          </w:p>
        </w:tc>
        <w:tc>
          <w:tcPr>
            <w:tcW w:w="0" w:type="auto"/>
            <w:vAlign w:val="center"/>
            <w:hideMark/>
          </w:tcPr>
          <w:p w14:paraId="72F763C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D876402"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3E361FC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Operating profit</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3D6EDFB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189BDC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17,152</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7C41977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B5D725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35,680</w:t>
            </w:r>
          </w:p>
        </w:tc>
        <w:tc>
          <w:tcPr>
            <w:tcW w:w="0" w:type="auto"/>
            <w:vAlign w:val="center"/>
            <w:hideMark/>
          </w:tcPr>
          <w:p w14:paraId="4AF8956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779B13F5"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0E147C4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Fair value gain (loss) on revaluation derivatives</w:t>
            </w:r>
          </w:p>
        </w:tc>
        <w:tc>
          <w:tcPr>
            <w:tcW w:w="0" w:type="auto"/>
            <w:tcBorders>
              <w:top w:val="nil"/>
              <w:left w:val="single" w:sz="8" w:space="0" w:color="000000"/>
              <w:bottom w:val="nil"/>
              <w:right w:val="nil"/>
            </w:tcBorders>
            <w:tcMar>
              <w:top w:w="0" w:type="dxa"/>
              <w:left w:w="120" w:type="dxa"/>
              <w:bottom w:w="0" w:type="dxa"/>
              <w:right w:w="160" w:type="dxa"/>
            </w:tcMar>
            <w:vAlign w:val="center"/>
            <w:hideMark/>
          </w:tcPr>
          <w:p w14:paraId="42F0FB6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31E8593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44</w:t>
            </w:r>
          </w:p>
        </w:tc>
        <w:tc>
          <w:tcPr>
            <w:tcW w:w="0" w:type="auto"/>
            <w:tcBorders>
              <w:top w:val="nil"/>
              <w:left w:val="nil"/>
              <w:bottom w:val="nil"/>
              <w:right w:val="nil"/>
            </w:tcBorders>
            <w:tcMar>
              <w:top w:w="0" w:type="dxa"/>
              <w:left w:w="120" w:type="dxa"/>
              <w:bottom w:w="0" w:type="dxa"/>
              <w:right w:w="160" w:type="dxa"/>
            </w:tcMar>
            <w:vAlign w:val="bottom"/>
            <w:hideMark/>
          </w:tcPr>
          <w:p w14:paraId="39B31D1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27700F9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93</w:t>
            </w:r>
          </w:p>
        </w:tc>
        <w:tc>
          <w:tcPr>
            <w:tcW w:w="0" w:type="auto"/>
            <w:vAlign w:val="center"/>
            <w:hideMark/>
          </w:tcPr>
          <w:p w14:paraId="1111EC1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73D0F77C"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1359838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finance income</w:t>
            </w:r>
          </w:p>
        </w:tc>
        <w:tc>
          <w:tcPr>
            <w:tcW w:w="0" w:type="auto"/>
            <w:tcBorders>
              <w:top w:val="nil"/>
              <w:left w:val="single" w:sz="8" w:space="0" w:color="000000"/>
              <w:bottom w:val="nil"/>
              <w:right w:val="nil"/>
            </w:tcBorders>
            <w:tcMar>
              <w:top w:w="0" w:type="dxa"/>
              <w:left w:w="120" w:type="dxa"/>
              <w:bottom w:w="0" w:type="dxa"/>
              <w:right w:w="160" w:type="dxa"/>
            </w:tcMar>
            <w:vAlign w:val="center"/>
            <w:hideMark/>
          </w:tcPr>
          <w:p w14:paraId="6C17D70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69A1844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5,398</w:t>
            </w:r>
          </w:p>
        </w:tc>
        <w:tc>
          <w:tcPr>
            <w:tcW w:w="0" w:type="auto"/>
            <w:tcBorders>
              <w:top w:val="nil"/>
              <w:left w:val="nil"/>
              <w:bottom w:val="nil"/>
              <w:right w:val="nil"/>
            </w:tcBorders>
            <w:tcMar>
              <w:top w:w="0" w:type="dxa"/>
              <w:left w:w="120" w:type="dxa"/>
              <w:bottom w:w="0" w:type="dxa"/>
              <w:right w:w="160" w:type="dxa"/>
            </w:tcMar>
            <w:vAlign w:val="bottom"/>
            <w:hideMark/>
          </w:tcPr>
          <w:p w14:paraId="745C9C7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FEC5B8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1,237</w:t>
            </w:r>
          </w:p>
        </w:tc>
        <w:tc>
          <w:tcPr>
            <w:tcW w:w="0" w:type="auto"/>
            <w:vAlign w:val="center"/>
            <w:hideMark/>
          </w:tcPr>
          <w:p w14:paraId="4980F8A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2C759A4C"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32B34CC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finance expenses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23963EF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5F9A80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(2,958)</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65AFCD6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2468302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(8,252)</w:t>
            </w:r>
          </w:p>
        </w:tc>
        <w:tc>
          <w:tcPr>
            <w:tcW w:w="0" w:type="auto"/>
            <w:vAlign w:val="center"/>
            <w:hideMark/>
          </w:tcPr>
          <w:p w14:paraId="4C0D11ED"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9021C54"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36AD305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Finance gain (cost) net</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2D249EE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0F0ABD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2,484</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5BFDC34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3139690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(6,922)</w:t>
            </w:r>
          </w:p>
        </w:tc>
        <w:tc>
          <w:tcPr>
            <w:tcW w:w="0" w:type="auto"/>
            <w:vAlign w:val="center"/>
            <w:hideMark/>
          </w:tcPr>
          <w:p w14:paraId="027E795A"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0878824A"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105A9E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Share of net profits in associates using the equity method</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0154805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10</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1CBD5F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388</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23DCD24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97AE54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134</w:t>
            </w:r>
          </w:p>
        </w:tc>
        <w:tc>
          <w:tcPr>
            <w:tcW w:w="0" w:type="auto"/>
            <w:vAlign w:val="center"/>
            <w:hideMark/>
          </w:tcPr>
          <w:p w14:paraId="2ABBFA27"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5127167D"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122AF56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Profit before tax</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151428F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1742AF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20,024</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20A188D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00BA00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28,892</w:t>
            </w:r>
          </w:p>
        </w:tc>
        <w:tc>
          <w:tcPr>
            <w:tcW w:w="0" w:type="auto"/>
            <w:vAlign w:val="center"/>
            <w:hideMark/>
          </w:tcPr>
          <w:p w14:paraId="090648E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07556AF1"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6396941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Income tax credit (expense)</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22BB6E8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B8AF6E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(5,672)</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6D2F8E1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46A870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(8,561)</w:t>
            </w:r>
          </w:p>
        </w:tc>
        <w:tc>
          <w:tcPr>
            <w:tcW w:w="0" w:type="auto"/>
            <w:vAlign w:val="center"/>
            <w:hideMark/>
          </w:tcPr>
          <w:p w14:paraId="15CA276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1515341D"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72F4439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Profit for the year</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1FD1DFD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185B2E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14,352</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112CC8F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E269A6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20,331</w:t>
            </w:r>
          </w:p>
        </w:tc>
        <w:tc>
          <w:tcPr>
            <w:tcW w:w="0" w:type="auto"/>
            <w:vAlign w:val="center"/>
            <w:hideMark/>
          </w:tcPr>
          <w:p w14:paraId="29FE1FC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71F8B304"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697CFFD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xml:space="preserve">Basic earnings per share (US$) </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7B6EF97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B657D2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0.022</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2F7F5E7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456F91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0.032</w:t>
            </w:r>
          </w:p>
        </w:tc>
        <w:tc>
          <w:tcPr>
            <w:tcW w:w="0" w:type="auto"/>
            <w:vAlign w:val="center"/>
            <w:hideMark/>
          </w:tcPr>
          <w:p w14:paraId="579E60E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7099D207"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6CF8A1A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xml:space="preserve">Diluted earnings per share (US$) </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center"/>
            <w:hideMark/>
          </w:tcPr>
          <w:p w14:paraId="195D7D0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292196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0.019</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29E6916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D64698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0.028</w:t>
            </w:r>
          </w:p>
        </w:tc>
        <w:tc>
          <w:tcPr>
            <w:tcW w:w="0" w:type="auto"/>
            <w:vAlign w:val="center"/>
            <w:hideMark/>
          </w:tcPr>
          <w:p w14:paraId="6031C685"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bl>
    <w:p w14:paraId="581B3E18"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         </w:t>
      </w:r>
    </w:p>
    <w:p w14:paraId="2829F9C2" w14:textId="77777777" w:rsidR="00C82CBF" w:rsidRPr="00C82CBF" w:rsidRDefault="00C82CBF" w:rsidP="00C82CBF">
      <w:pPr>
        <w:spacing w:after="15" w:line="240" w:lineRule="auto"/>
        <w:rPr>
          <w:rFonts w:ascii="Arial" w:eastAsia="Times New Roman" w:hAnsi="Arial" w:cs="Arial"/>
          <w:color w:val="000000"/>
          <w:sz w:val="20"/>
          <w:szCs w:val="20"/>
          <w:lang w:eastAsia="en-GB"/>
        </w:rPr>
      </w:pPr>
    </w:p>
    <w:tbl>
      <w:tblPr>
        <w:tblW w:w="0" w:type="auto"/>
        <w:tblCellMar>
          <w:left w:w="0" w:type="dxa"/>
          <w:right w:w="0" w:type="dxa"/>
        </w:tblCellMar>
        <w:tblLook w:val="04A0" w:firstRow="1" w:lastRow="0" w:firstColumn="1" w:lastColumn="0" w:noHBand="0" w:noVBand="1"/>
      </w:tblPr>
      <w:tblGrid>
        <w:gridCol w:w="6010"/>
        <w:gridCol w:w="863"/>
        <w:gridCol w:w="845"/>
        <w:gridCol w:w="18"/>
      </w:tblGrid>
      <w:tr w:rsidR="00C82CBF" w:rsidRPr="00C82CBF" w14:paraId="790A1A4A"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6D5F558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CONDENSED CONSOLIDATED STATEMENT OF COMPREHENSIVE INCOME</w:t>
            </w:r>
          </w:p>
        </w:tc>
        <w:tc>
          <w:tcPr>
            <w:tcW w:w="0" w:type="auto"/>
            <w:tcBorders>
              <w:top w:val="nil"/>
              <w:left w:val="nil"/>
              <w:bottom w:val="nil"/>
              <w:right w:val="nil"/>
            </w:tcBorders>
            <w:tcMar>
              <w:top w:w="0" w:type="dxa"/>
              <w:left w:w="120" w:type="dxa"/>
              <w:bottom w:w="0" w:type="dxa"/>
              <w:right w:w="160" w:type="dxa"/>
            </w:tcMar>
            <w:vAlign w:val="bottom"/>
            <w:hideMark/>
          </w:tcPr>
          <w:p w14:paraId="7D61E66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2FD0D1B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9B5358D"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139F8DA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 the 6-month period ended 30 June</w:t>
            </w:r>
          </w:p>
        </w:tc>
        <w:tc>
          <w:tcPr>
            <w:tcW w:w="0" w:type="auto"/>
            <w:tcBorders>
              <w:top w:val="nil"/>
              <w:left w:val="nil"/>
              <w:bottom w:val="nil"/>
              <w:right w:val="nil"/>
            </w:tcBorders>
            <w:tcMar>
              <w:top w:w="0" w:type="dxa"/>
              <w:left w:w="120" w:type="dxa"/>
              <w:bottom w:w="0" w:type="dxa"/>
              <w:right w:w="160" w:type="dxa"/>
            </w:tcMar>
            <w:vAlign w:val="bottom"/>
            <w:hideMark/>
          </w:tcPr>
          <w:p w14:paraId="6B0A3AC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027DA87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70C315B0" w14:textId="77777777" w:rsidTr="00C82CBF">
        <w:tc>
          <w:tcPr>
            <w:tcW w:w="0" w:type="auto"/>
            <w:tcBorders>
              <w:top w:val="nil"/>
              <w:left w:val="nil"/>
              <w:bottom w:val="nil"/>
              <w:right w:val="nil"/>
            </w:tcBorders>
            <w:tcMar>
              <w:top w:w="0" w:type="dxa"/>
              <w:left w:w="120" w:type="dxa"/>
              <w:bottom w:w="0" w:type="dxa"/>
              <w:right w:w="160" w:type="dxa"/>
            </w:tcMar>
            <w:vAlign w:val="bottom"/>
            <w:hideMark/>
          </w:tcPr>
          <w:p w14:paraId="27D424E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1098E27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54342D8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31F2ACA" w14:textId="77777777" w:rsidTr="00C82CBF">
        <w:tc>
          <w:tcPr>
            <w:tcW w:w="0" w:type="auto"/>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072400F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US$ '000</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0B46D41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2021</w:t>
            </w:r>
          </w:p>
        </w:tc>
        <w:tc>
          <w:tcPr>
            <w:tcW w:w="0" w:type="auto"/>
            <w:gridSpan w:val="2"/>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3743123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2020</w:t>
            </w:r>
          </w:p>
        </w:tc>
      </w:tr>
      <w:tr w:rsidR="00C82CBF" w:rsidRPr="00C82CBF" w14:paraId="16C62749"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DB95A8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Profit for the year</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AD3C4E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14,352</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935276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20,331</w:t>
            </w:r>
          </w:p>
        </w:tc>
        <w:tc>
          <w:tcPr>
            <w:tcW w:w="0" w:type="auto"/>
            <w:vAlign w:val="center"/>
            <w:hideMark/>
          </w:tcPr>
          <w:p w14:paraId="4736A78A"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0353C1F"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ADDE04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Currency translation differences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CF2E06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(5,582)</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C98E2D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39</w:t>
            </w:r>
          </w:p>
        </w:tc>
        <w:tc>
          <w:tcPr>
            <w:tcW w:w="0" w:type="auto"/>
            <w:vAlign w:val="center"/>
            <w:hideMark/>
          </w:tcPr>
          <w:p w14:paraId="2042DD6C"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5DE6802"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5503A7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Items that may be subsequently reclassified to profit or loss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1DFD2D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(5,582)</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2A7E29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39</w:t>
            </w:r>
          </w:p>
        </w:tc>
        <w:tc>
          <w:tcPr>
            <w:tcW w:w="0" w:type="auto"/>
            <w:vAlign w:val="center"/>
            <w:hideMark/>
          </w:tcPr>
          <w:p w14:paraId="7DAB761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C0F5D27"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048D94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Other comprehensive income (loss), net of tax</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5C4A71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(5,582)</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44A70C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39</w:t>
            </w:r>
          </w:p>
        </w:tc>
        <w:tc>
          <w:tcPr>
            <w:tcW w:w="0" w:type="auto"/>
            <w:vAlign w:val="center"/>
            <w:hideMark/>
          </w:tcPr>
          <w:p w14:paraId="06D532ED"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899D29E"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4757DB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comprehensive income (loss) for the year</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A6448B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8,770</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4477F8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20,370</w:t>
            </w:r>
          </w:p>
        </w:tc>
        <w:tc>
          <w:tcPr>
            <w:tcW w:w="0" w:type="auto"/>
            <w:vAlign w:val="center"/>
            <w:hideMark/>
          </w:tcPr>
          <w:p w14:paraId="15F379F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bl>
    <w:p w14:paraId="24B3AD51"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0031B67E" w14:textId="3735C42C"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     </w:t>
      </w:r>
    </w:p>
    <w:p w14:paraId="0E32B101"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w:t>
      </w:r>
    </w:p>
    <w:p w14:paraId="49BD33CE" w14:textId="77777777" w:rsidR="00C82CBF" w:rsidRPr="00C82CBF" w:rsidRDefault="00C82CBF" w:rsidP="00C82CBF">
      <w:pPr>
        <w:spacing w:after="15" w:line="240" w:lineRule="auto"/>
        <w:rPr>
          <w:rFonts w:ascii="Arial" w:eastAsia="Times New Roman" w:hAnsi="Arial" w:cs="Arial"/>
          <w:color w:val="000000"/>
          <w:sz w:val="20"/>
          <w:szCs w:val="20"/>
          <w:lang w:eastAsia="en-GB"/>
        </w:rPr>
      </w:pPr>
    </w:p>
    <w:tbl>
      <w:tblPr>
        <w:tblW w:w="0" w:type="auto"/>
        <w:tblCellMar>
          <w:left w:w="0" w:type="dxa"/>
          <w:right w:w="0" w:type="dxa"/>
        </w:tblCellMar>
        <w:tblLook w:val="04A0" w:firstRow="1" w:lastRow="0" w:firstColumn="1" w:lastColumn="0" w:noHBand="0" w:noVBand="1"/>
      </w:tblPr>
      <w:tblGrid>
        <w:gridCol w:w="4294"/>
        <w:gridCol w:w="290"/>
        <w:gridCol w:w="317"/>
        <w:gridCol w:w="350"/>
        <w:gridCol w:w="318"/>
        <w:gridCol w:w="311"/>
        <w:gridCol w:w="310"/>
        <w:gridCol w:w="310"/>
        <w:gridCol w:w="288"/>
        <w:gridCol w:w="286"/>
        <w:gridCol w:w="301"/>
        <w:gridCol w:w="301"/>
        <w:gridCol w:w="342"/>
        <w:gridCol w:w="876"/>
        <w:gridCol w:w="51"/>
        <w:gridCol w:w="50"/>
        <w:gridCol w:w="15"/>
        <w:gridCol w:w="16"/>
      </w:tblGrid>
      <w:tr w:rsidR="00C82CBF" w:rsidRPr="00C82CBF" w14:paraId="3A4ED3F5" w14:textId="77777777" w:rsidTr="00C82CBF">
        <w:trPr>
          <w:gridAfter w:val="2"/>
        </w:trPr>
        <w:tc>
          <w:tcPr>
            <w:tcW w:w="0" w:type="auto"/>
            <w:gridSpan w:val="3"/>
            <w:tcBorders>
              <w:top w:val="nil"/>
              <w:left w:val="nil"/>
              <w:bottom w:val="nil"/>
              <w:right w:val="nil"/>
            </w:tcBorders>
            <w:tcMar>
              <w:top w:w="0" w:type="dxa"/>
              <w:left w:w="120" w:type="dxa"/>
              <w:bottom w:w="0" w:type="dxa"/>
              <w:right w:w="120" w:type="dxa"/>
            </w:tcMar>
            <w:vAlign w:val="bottom"/>
            <w:hideMark/>
          </w:tcPr>
          <w:p w14:paraId="7A792FC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CONDENSED CONSOLIDATED BALANCE SHEET</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162A84F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783CB17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6"/>
            <w:tcBorders>
              <w:top w:val="nil"/>
              <w:left w:val="nil"/>
              <w:bottom w:val="nil"/>
              <w:right w:val="nil"/>
            </w:tcBorders>
            <w:tcMar>
              <w:top w:w="0" w:type="dxa"/>
              <w:left w:w="120" w:type="dxa"/>
              <w:bottom w:w="0" w:type="dxa"/>
              <w:right w:w="160" w:type="dxa"/>
            </w:tcMar>
            <w:vAlign w:val="bottom"/>
            <w:hideMark/>
          </w:tcPr>
          <w:p w14:paraId="4B709D4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63FEBDAB" w14:textId="77777777" w:rsidTr="00C82CBF">
        <w:trPr>
          <w:gridAfter w:val="2"/>
        </w:trPr>
        <w:tc>
          <w:tcPr>
            <w:tcW w:w="0" w:type="auto"/>
            <w:gridSpan w:val="3"/>
            <w:tcBorders>
              <w:top w:val="nil"/>
              <w:left w:val="nil"/>
              <w:bottom w:val="nil"/>
              <w:right w:val="nil"/>
            </w:tcBorders>
            <w:tcMar>
              <w:top w:w="0" w:type="dxa"/>
              <w:left w:w="120" w:type="dxa"/>
              <w:bottom w:w="0" w:type="dxa"/>
              <w:right w:w="120" w:type="dxa"/>
            </w:tcMar>
            <w:vAlign w:val="bottom"/>
            <w:hideMark/>
          </w:tcPr>
          <w:p w14:paraId="7D26410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as at 30 June</w:t>
            </w:r>
          </w:p>
          <w:p w14:paraId="3F9ABB3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2E0DBE1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60427BA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6"/>
            <w:tcBorders>
              <w:top w:val="nil"/>
              <w:left w:val="nil"/>
              <w:bottom w:val="nil"/>
              <w:right w:val="nil"/>
            </w:tcBorders>
            <w:tcMar>
              <w:top w:w="0" w:type="dxa"/>
              <w:left w:w="120" w:type="dxa"/>
              <w:bottom w:w="0" w:type="dxa"/>
              <w:right w:w="160" w:type="dxa"/>
            </w:tcMar>
            <w:vAlign w:val="bottom"/>
            <w:hideMark/>
          </w:tcPr>
          <w:p w14:paraId="718DB25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03DC92BA" w14:textId="77777777" w:rsidTr="00C82CBF">
        <w:trPr>
          <w:gridAfter w:val="2"/>
        </w:trPr>
        <w:tc>
          <w:tcPr>
            <w:tcW w:w="0" w:type="auto"/>
            <w:gridSpan w:val="3"/>
            <w:tcBorders>
              <w:top w:val="nil"/>
              <w:left w:val="nil"/>
              <w:bottom w:val="nil"/>
              <w:right w:val="nil"/>
            </w:tcBorders>
            <w:tcMar>
              <w:top w:w="0" w:type="dxa"/>
              <w:left w:w="120" w:type="dxa"/>
              <w:bottom w:w="0" w:type="dxa"/>
              <w:right w:w="160" w:type="dxa"/>
            </w:tcMar>
            <w:vAlign w:val="bottom"/>
            <w:hideMark/>
          </w:tcPr>
          <w:p w14:paraId="3EBF26D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4642825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008E205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6"/>
            <w:tcBorders>
              <w:top w:val="nil"/>
              <w:left w:val="nil"/>
              <w:bottom w:val="nil"/>
              <w:right w:val="nil"/>
            </w:tcBorders>
            <w:tcMar>
              <w:top w:w="0" w:type="dxa"/>
              <w:left w:w="120" w:type="dxa"/>
              <w:bottom w:w="0" w:type="dxa"/>
              <w:right w:w="160" w:type="dxa"/>
            </w:tcMar>
            <w:vAlign w:val="bottom"/>
            <w:hideMark/>
          </w:tcPr>
          <w:p w14:paraId="677B64F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0C0CB6F9" w14:textId="77777777" w:rsidTr="00C82CBF">
        <w:trPr>
          <w:gridAfter w:val="2"/>
        </w:trPr>
        <w:tc>
          <w:tcPr>
            <w:tcW w:w="0" w:type="auto"/>
            <w:gridSpan w:val="3"/>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3FF59D5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 '000</w:t>
            </w:r>
          </w:p>
        </w:tc>
        <w:tc>
          <w:tcPr>
            <w:tcW w:w="0" w:type="auto"/>
            <w:gridSpan w:val="2"/>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4CA2268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notes</w:t>
            </w:r>
          </w:p>
        </w:tc>
        <w:tc>
          <w:tcPr>
            <w:tcW w:w="0" w:type="auto"/>
            <w:gridSpan w:val="5"/>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03AC5ED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June 30, 2021</w:t>
            </w:r>
          </w:p>
        </w:tc>
        <w:tc>
          <w:tcPr>
            <w:tcW w:w="0" w:type="auto"/>
            <w:gridSpan w:val="6"/>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06BFEDA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31 December 2020</w:t>
            </w:r>
          </w:p>
        </w:tc>
      </w:tr>
      <w:tr w:rsidR="00C82CBF" w:rsidRPr="00C82CBF" w14:paraId="023E5571"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5ED434B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Non-current assets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0DF81F0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02CB771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6"/>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52A4402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1BDD7113"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2C6093C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Intangible assets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101267A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D1F562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91,386</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2638B98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9328C6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94,083</w:t>
            </w:r>
          </w:p>
        </w:tc>
        <w:tc>
          <w:tcPr>
            <w:tcW w:w="0" w:type="auto"/>
            <w:vAlign w:val="center"/>
            <w:hideMark/>
          </w:tcPr>
          <w:p w14:paraId="5341C1E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CB9B83B"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5EAB4C44"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19479DE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Property, plant and equipment</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6B806826"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11</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3828687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15,588</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013CCEB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4D3E7E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12,226</w:t>
            </w:r>
          </w:p>
        </w:tc>
        <w:tc>
          <w:tcPr>
            <w:tcW w:w="0" w:type="auto"/>
            <w:vAlign w:val="center"/>
            <w:hideMark/>
          </w:tcPr>
          <w:p w14:paraId="20744816"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FE37B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07736CEF"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6C99AF6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Right-of-use assets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5EEB94CE"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0EB8834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22,043</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5790BF2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701901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9,427</w:t>
            </w:r>
          </w:p>
        </w:tc>
        <w:tc>
          <w:tcPr>
            <w:tcW w:w="0" w:type="auto"/>
            <w:vAlign w:val="center"/>
            <w:hideMark/>
          </w:tcPr>
          <w:p w14:paraId="420164D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A85BB6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905E1CE"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7226D2B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Deferred tax assets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566F3BD4"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13</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0457237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23,925</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1DF736F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0053D5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31,877</w:t>
            </w:r>
          </w:p>
        </w:tc>
        <w:tc>
          <w:tcPr>
            <w:tcW w:w="0" w:type="auto"/>
            <w:vAlign w:val="center"/>
            <w:hideMark/>
          </w:tcPr>
          <w:p w14:paraId="540ED346"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7CC05C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C16E131"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01B47F1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Investments accounted for using the equity method</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047D6F3A"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10</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B20C8E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7,261</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13C9408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ABD18B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7,118</w:t>
            </w:r>
          </w:p>
        </w:tc>
        <w:tc>
          <w:tcPr>
            <w:tcW w:w="0" w:type="auto"/>
            <w:vAlign w:val="center"/>
            <w:hideMark/>
          </w:tcPr>
          <w:p w14:paraId="3369FBA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3E6E61F"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14CA6EEC"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24C9FBE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Restricted cash</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73D1A45B"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4C9B364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493</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797E78D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3EEC6A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510</w:t>
            </w:r>
          </w:p>
        </w:tc>
        <w:tc>
          <w:tcPr>
            <w:tcW w:w="0" w:type="auto"/>
            <w:vAlign w:val="center"/>
            <w:hideMark/>
          </w:tcPr>
          <w:p w14:paraId="7A47693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09BD1C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61D81F72"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350E01B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non-current assets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75659DB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660E24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160,696</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5DD4B0D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39181D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155,241</w:t>
            </w:r>
          </w:p>
        </w:tc>
        <w:tc>
          <w:tcPr>
            <w:tcW w:w="0" w:type="auto"/>
            <w:vAlign w:val="center"/>
            <w:hideMark/>
          </w:tcPr>
          <w:p w14:paraId="402F35D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E30D13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B172DC1"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3B3B563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Current assets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6E677B3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12EE8A6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6"/>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441604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799CD88E"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0343142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Inventories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3F695AF0"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47D26E3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24,307</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6EDA702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D0E131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21,157</w:t>
            </w:r>
          </w:p>
        </w:tc>
        <w:tc>
          <w:tcPr>
            <w:tcW w:w="0" w:type="auto"/>
            <w:vAlign w:val="center"/>
            <w:hideMark/>
          </w:tcPr>
          <w:p w14:paraId="2FFE26F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42925D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255870D3"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112CB5A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Trade and other receivables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7B426B8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3E236D3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37,550</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70227F5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noWrap/>
            <w:tcMar>
              <w:top w:w="0" w:type="dxa"/>
              <w:left w:w="120" w:type="dxa"/>
              <w:bottom w:w="0" w:type="dxa"/>
              <w:right w:w="160" w:type="dxa"/>
            </w:tcMar>
            <w:vAlign w:val="bottom"/>
            <w:hideMark/>
          </w:tcPr>
          <w:p w14:paraId="767B558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35,902</w:t>
            </w:r>
          </w:p>
        </w:tc>
        <w:tc>
          <w:tcPr>
            <w:tcW w:w="0" w:type="auto"/>
            <w:vAlign w:val="center"/>
            <w:hideMark/>
          </w:tcPr>
          <w:p w14:paraId="748D669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FA4EE57"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40AD77A"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4CED13D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Restricted cash</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3E1DDF2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1B0633F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987</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5804FE1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6"/>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294DDB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995</w:t>
            </w:r>
          </w:p>
        </w:tc>
      </w:tr>
      <w:tr w:rsidR="00C82CBF" w:rsidRPr="00C82CBF" w14:paraId="7F2B26B5"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1EF931E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Cash and cash equivalents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58FCF2F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7B01CB7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188,303</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0EE776F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0CC8AF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205,159</w:t>
            </w:r>
          </w:p>
        </w:tc>
        <w:tc>
          <w:tcPr>
            <w:tcW w:w="0" w:type="auto"/>
            <w:vAlign w:val="center"/>
            <w:hideMark/>
          </w:tcPr>
          <w:p w14:paraId="21FC3BBD"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48C8DDC"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1BAD528C"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3578DC4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current assets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78A7404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435984E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251,147</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5C4CC39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7F7AB9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263,213</w:t>
            </w:r>
          </w:p>
        </w:tc>
        <w:tc>
          <w:tcPr>
            <w:tcW w:w="0" w:type="auto"/>
            <w:vAlign w:val="center"/>
            <w:hideMark/>
          </w:tcPr>
          <w:p w14:paraId="437E2A0D"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A20140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6AD7F358" w14:textId="77777777" w:rsidTr="00C82CBF">
        <w:trPr>
          <w:gridAfter w:val="2"/>
        </w:trPr>
        <w:tc>
          <w:tcPr>
            <w:tcW w:w="0" w:type="auto"/>
            <w:gridSpan w:val="3"/>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63447DF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assets</w:t>
            </w:r>
          </w:p>
        </w:tc>
        <w:tc>
          <w:tcPr>
            <w:tcW w:w="0" w:type="auto"/>
            <w:gridSpan w:val="2"/>
            <w:tcBorders>
              <w:top w:val="single" w:sz="8" w:space="0" w:color="000000"/>
              <w:left w:val="single" w:sz="8" w:space="0" w:color="000000"/>
              <w:bottom w:val="single" w:sz="8" w:space="0" w:color="000000"/>
              <w:right w:val="nil"/>
            </w:tcBorders>
            <w:tcMar>
              <w:top w:w="0" w:type="dxa"/>
              <w:left w:w="120" w:type="dxa"/>
              <w:bottom w:w="0" w:type="dxa"/>
              <w:right w:w="160" w:type="dxa"/>
            </w:tcMar>
            <w:vAlign w:val="bottom"/>
            <w:hideMark/>
          </w:tcPr>
          <w:p w14:paraId="55A0E33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single" w:sz="8" w:space="0" w:color="000000"/>
              <w:left w:val="single" w:sz="8" w:space="0" w:color="000000"/>
              <w:bottom w:val="single" w:sz="8" w:space="0" w:color="000000"/>
              <w:right w:val="nil"/>
            </w:tcBorders>
            <w:tcMar>
              <w:top w:w="0" w:type="dxa"/>
              <w:left w:w="120" w:type="dxa"/>
              <w:bottom w:w="0" w:type="dxa"/>
              <w:right w:w="160" w:type="dxa"/>
            </w:tcMar>
            <w:vAlign w:val="bottom"/>
            <w:hideMark/>
          </w:tcPr>
          <w:p w14:paraId="18398C3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411,843</w:t>
            </w:r>
          </w:p>
        </w:tc>
        <w:tc>
          <w:tcPr>
            <w:tcW w:w="0" w:type="auto"/>
            <w:gridSpan w:val="2"/>
            <w:tcBorders>
              <w:top w:val="single" w:sz="8" w:space="0" w:color="000000"/>
              <w:left w:val="nil"/>
              <w:bottom w:val="single" w:sz="8" w:space="0" w:color="000000"/>
              <w:right w:val="nil"/>
            </w:tcBorders>
            <w:tcMar>
              <w:top w:w="0" w:type="dxa"/>
              <w:left w:w="120" w:type="dxa"/>
              <w:bottom w:w="0" w:type="dxa"/>
              <w:right w:w="160" w:type="dxa"/>
            </w:tcMar>
            <w:vAlign w:val="bottom"/>
            <w:hideMark/>
          </w:tcPr>
          <w:p w14:paraId="72C4447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E843F9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418,453</w:t>
            </w:r>
          </w:p>
        </w:tc>
        <w:tc>
          <w:tcPr>
            <w:tcW w:w="0" w:type="auto"/>
            <w:vAlign w:val="center"/>
            <w:hideMark/>
          </w:tcPr>
          <w:p w14:paraId="62881EC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B10B40C"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0044BDB9"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799F5FA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72250D5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127D98B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6"/>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7757D9A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35C75A3"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682F199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Equity</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71F5258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64AD56F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6"/>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8EE91C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0A74B0E"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2D19B3F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 capital</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4E1A356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E801B2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7,251</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739F1D8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A3CCD3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7,163</w:t>
            </w:r>
          </w:p>
        </w:tc>
        <w:tc>
          <w:tcPr>
            <w:tcW w:w="0" w:type="auto"/>
            <w:vAlign w:val="center"/>
            <w:hideMark/>
          </w:tcPr>
          <w:p w14:paraId="499A671D"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372A817"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5D6D6488"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4CF7239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 premium</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401E1B7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E10B7D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453,014</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4269868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559BCB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444,940</w:t>
            </w:r>
          </w:p>
        </w:tc>
        <w:tc>
          <w:tcPr>
            <w:tcW w:w="0" w:type="auto"/>
            <w:vAlign w:val="center"/>
            <w:hideMark/>
          </w:tcPr>
          <w:p w14:paraId="3EA94E4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02D1AE5"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A34908C"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48B6AF1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Legal reserves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2367ECF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64FB3B0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14,665</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1514D10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AA34CE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19,859</w:t>
            </w:r>
          </w:p>
        </w:tc>
        <w:tc>
          <w:tcPr>
            <w:tcW w:w="0" w:type="auto"/>
            <w:vAlign w:val="center"/>
            <w:hideMark/>
          </w:tcPr>
          <w:p w14:paraId="45C9706A"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BEA651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F031C89"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5D9A345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Accumulated deficit</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7FD77DA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08FCF79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(276,858)</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6BB2459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3125DDB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(288,527)</w:t>
            </w:r>
          </w:p>
        </w:tc>
        <w:tc>
          <w:tcPr>
            <w:tcW w:w="0" w:type="auto"/>
            <w:vAlign w:val="center"/>
            <w:hideMark/>
          </w:tcPr>
          <w:p w14:paraId="14B6D61A"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5404E2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B20C27D"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456AA2F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Shareholders' equity</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26FAA67D"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15</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78D1CB3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198,072</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236D297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DDB734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183,435</w:t>
            </w:r>
          </w:p>
        </w:tc>
        <w:tc>
          <w:tcPr>
            <w:tcW w:w="0" w:type="auto"/>
            <w:vAlign w:val="center"/>
            <w:hideMark/>
          </w:tcPr>
          <w:p w14:paraId="56E2FAA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CB5F26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4698AEA"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42D21F4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Non-current liabilities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1207004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31A14AB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6"/>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3BC933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6297F21"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2003013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Convertible bonds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2E53268D"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16</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46FABB3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145,437</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1BEC746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93AB4A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149,727</w:t>
            </w:r>
          </w:p>
        </w:tc>
        <w:tc>
          <w:tcPr>
            <w:tcW w:w="0" w:type="auto"/>
            <w:vAlign w:val="center"/>
            <w:hideMark/>
          </w:tcPr>
          <w:p w14:paraId="3C31B367"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9BC417F"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0CEA5B40"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20FECE3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Lease liabilities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6A3AA4F1"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66D6A6E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20,328</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53CD3D8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3BEA04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8,230</w:t>
            </w:r>
          </w:p>
        </w:tc>
        <w:tc>
          <w:tcPr>
            <w:tcW w:w="0" w:type="auto"/>
            <w:vAlign w:val="center"/>
            <w:hideMark/>
          </w:tcPr>
          <w:p w14:paraId="43170EF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6A617C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243DBC97"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15BB5DB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financial liabilities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50065F6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1F863E1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189</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7C09E6F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2EEFC1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212</w:t>
            </w:r>
          </w:p>
        </w:tc>
        <w:tc>
          <w:tcPr>
            <w:tcW w:w="0" w:type="auto"/>
            <w:vAlign w:val="center"/>
            <w:hideMark/>
          </w:tcPr>
          <w:p w14:paraId="454A783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4F3B39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5F41F5C6"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6F78B5A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non-current liabilities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04DEE9B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76B8138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165,954</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0ED1EEE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6C7954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158,169</w:t>
            </w:r>
          </w:p>
        </w:tc>
        <w:tc>
          <w:tcPr>
            <w:tcW w:w="0" w:type="auto"/>
            <w:vAlign w:val="center"/>
            <w:hideMark/>
          </w:tcPr>
          <w:p w14:paraId="51B75BFA"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25057B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11D889D1"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007E952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Current liabilities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132D036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40E8B1D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6"/>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9FBF45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157E6E5F"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3B2BC7D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Convertible bonds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199EE77D"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16</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0023727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1,972</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6AEB00B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487633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2,040</w:t>
            </w:r>
          </w:p>
        </w:tc>
        <w:tc>
          <w:tcPr>
            <w:tcW w:w="0" w:type="auto"/>
            <w:vAlign w:val="center"/>
            <w:hideMark/>
          </w:tcPr>
          <w:p w14:paraId="68F7260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C79BE17"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CBF9685"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2E5CE94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Derivative financial liabilities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3D6E66E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4F6E1CB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71</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4E502A7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479E17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181</w:t>
            </w:r>
          </w:p>
        </w:tc>
        <w:tc>
          <w:tcPr>
            <w:tcW w:w="0" w:type="auto"/>
            <w:vAlign w:val="center"/>
            <w:hideMark/>
          </w:tcPr>
          <w:p w14:paraId="02CC2C1D"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DC514E5"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8BFFBCE"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1CFE4A8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Trade and other payables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627CF6B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6F1127F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43,123</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0036062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39678E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47,666</w:t>
            </w:r>
          </w:p>
        </w:tc>
        <w:tc>
          <w:tcPr>
            <w:tcW w:w="0" w:type="auto"/>
            <w:vAlign w:val="center"/>
            <w:hideMark/>
          </w:tcPr>
          <w:p w14:paraId="2EA9305B"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BB0CD4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0439805C"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382BCD9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Lease liabilities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037B568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DB33AC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2,651</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4FE1E36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7DE498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1,962</w:t>
            </w:r>
          </w:p>
        </w:tc>
        <w:tc>
          <w:tcPr>
            <w:tcW w:w="0" w:type="auto"/>
            <w:vAlign w:val="center"/>
            <w:hideMark/>
          </w:tcPr>
          <w:p w14:paraId="15B788BA"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D05026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67445020"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2CFE0E9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financial liabilities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298236B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037989A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68A2CBF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876DB8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25,000</w:t>
            </w:r>
          </w:p>
        </w:tc>
        <w:tc>
          <w:tcPr>
            <w:tcW w:w="0" w:type="auto"/>
            <w:vAlign w:val="center"/>
            <w:hideMark/>
          </w:tcPr>
          <w:p w14:paraId="12D1ABDB"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0BABF2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7397E93E" w14:textId="77777777" w:rsidTr="00C82CBF">
        <w:trPr>
          <w:gridAfter w:val="2"/>
        </w:trPr>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42C2B95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current liabilities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434DE12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1DC464A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47,817</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1255097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359150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76,849</w:t>
            </w:r>
          </w:p>
        </w:tc>
        <w:tc>
          <w:tcPr>
            <w:tcW w:w="0" w:type="auto"/>
            <w:vAlign w:val="center"/>
            <w:hideMark/>
          </w:tcPr>
          <w:p w14:paraId="6B88EF4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F5178E5"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209666D" w14:textId="77777777" w:rsidTr="00C82CBF">
        <w:trPr>
          <w:gridAfter w:val="2"/>
        </w:trPr>
        <w:tc>
          <w:tcPr>
            <w:tcW w:w="0" w:type="auto"/>
            <w:gridSpan w:val="3"/>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25DBD9B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equity and liabilities</w:t>
            </w:r>
          </w:p>
        </w:tc>
        <w:tc>
          <w:tcPr>
            <w:tcW w:w="0" w:type="auto"/>
            <w:gridSpan w:val="2"/>
            <w:tcBorders>
              <w:top w:val="single" w:sz="8" w:space="0" w:color="000000"/>
              <w:left w:val="single" w:sz="8" w:space="0" w:color="000000"/>
              <w:bottom w:val="single" w:sz="8" w:space="0" w:color="000000"/>
              <w:right w:val="nil"/>
            </w:tcBorders>
            <w:tcMar>
              <w:top w:w="0" w:type="dxa"/>
              <w:left w:w="120" w:type="dxa"/>
              <w:bottom w:w="0" w:type="dxa"/>
              <w:right w:w="160" w:type="dxa"/>
            </w:tcMar>
            <w:vAlign w:val="bottom"/>
            <w:hideMark/>
          </w:tcPr>
          <w:p w14:paraId="7E3B6A5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single" w:sz="8" w:space="0" w:color="000000"/>
              <w:left w:val="single" w:sz="8" w:space="0" w:color="000000"/>
              <w:bottom w:val="single" w:sz="8" w:space="0" w:color="000000"/>
              <w:right w:val="nil"/>
            </w:tcBorders>
            <w:tcMar>
              <w:top w:w="0" w:type="dxa"/>
              <w:left w:w="120" w:type="dxa"/>
              <w:bottom w:w="0" w:type="dxa"/>
              <w:right w:w="160" w:type="dxa"/>
            </w:tcMar>
            <w:vAlign w:val="bottom"/>
            <w:hideMark/>
          </w:tcPr>
          <w:p w14:paraId="486B5BE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411,843</w:t>
            </w:r>
          </w:p>
        </w:tc>
        <w:tc>
          <w:tcPr>
            <w:tcW w:w="0" w:type="auto"/>
            <w:gridSpan w:val="2"/>
            <w:tcBorders>
              <w:top w:val="single" w:sz="8" w:space="0" w:color="000000"/>
              <w:left w:val="nil"/>
              <w:bottom w:val="single" w:sz="8" w:space="0" w:color="000000"/>
              <w:right w:val="nil"/>
            </w:tcBorders>
            <w:tcMar>
              <w:top w:w="0" w:type="dxa"/>
              <w:left w:w="120" w:type="dxa"/>
              <w:bottom w:w="0" w:type="dxa"/>
              <w:right w:w="160" w:type="dxa"/>
            </w:tcMar>
            <w:vAlign w:val="bottom"/>
            <w:hideMark/>
          </w:tcPr>
          <w:p w14:paraId="59B2888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12BD54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418,453</w:t>
            </w:r>
          </w:p>
        </w:tc>
        <w:tc>
          <w:tcPr>
            <w:tcW w:w="0" w:type="auto"/>
            <w:vAlign w:val="center"/>
            <w:hideMark/>
          </w:tcPr>
          <w:p w14:paraId="79A17D1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34826E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7785EB5" w14:textId="77777777" w:rsidTr="00C82CBF">
        <w:tc>
          <w:tcPr>
            <w:tcW w:w="0" w:type="auto"/>
            <w:tcBorders>
              <w:top w:val="nil"/>
              <w:left w:val="nil"/>
              <w:bottom w:val="nil"/>
              <w:right w:val="nil"/>
            </w:tcBorders>
            <w:tcMar>
              <w:top w:w="0" w:type="dxa"/>
              <w:left w:w="120" w:type="dxa"/>
              <w:bottom w:w="0" w:type="dxa"/>
              <w:right w:w="160" w:type="dxa"/>
            </w:tcMar>
            <w:vAlign w:val="bottom"/>
            <w:hideMark/>
          </w:tcPr>
          <w:p w14:paraId="7DAB3CC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2D46E48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13B9C0E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7"/>
            <w:tcBorders>
              <w:top w:val="nil"/>
              <w:left w:val="nil"/>
              <w:bottom w:val="nil"/>
              <w:right w:val="nil"/>
            </w:tcBorders>
            <w:tcMar>
              <w:top w:w="0" w:type="dxa"/>
              <w:left w:w="120" w:type="dxa"/>
              <w:bottom w:w="0" w:type="dxa"/>
              <w:right w:w="160" w:type="dxa"/>
            </w:tcMar>
            <w:vAlign w:val="bottom"/>
            <w:hideMark/>
          </w:tcPr>
          <w:p w14:paraId="5828FCD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62EA74E6"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1FD60BBD" w14:textId="1C0CD465" w:rsid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p w14:paraId="333CE39C" w14:textId="41F4A500" w:rsidR="00C82CBF" w:rsidRDefault="00C82CBF" w:rsidP="00C82CBF">
            <w:pPr>
              <w:spacing w:after="0" w:line="240" w:lineRule="auto"/>
              <w:rPr>
                <w:rFonts w:ascii="Arial" w:eastAsia="Times New Roman" w:hAnsi="Arial" w:cs="Arial"/>
                <w:color w:val="000000"/>
                <w:sz w:val="16"/>
                <w:szCs w:val="16"/>
                <w:lang w:eastAsia="en-GB"/>
              </w:rPr>
            </w:pPr>
          </w:p>
          <w:p w14:paraId="616AB5DB" w14:textId="55CF8FFD" w:rsidR="00C82CBF" w:rsidRDefault="00C82CBF" w:rsidP="00C82CBF">
            <w:pPr>
              <w:spacing w:after="0" w:line="240" w:lineRule="auto"/>
              <w:rPr>
                <w:rFonts w:ascii="Arial" w:eastAsia="Times New Roman" w:hAnsi="Arial" w:cs="Arial"/>
                <w:color w:val="000000"/>
                <w:sz w:val="16"/>
                <w:szCs w:val="16"/>
                <w:lang w:eastAsia="en-GB"/>
              </w:rPr>
            </w:pPr>
          </w:p>
          <w:p w14:paraId="16D3B94D" w14:textId="53787106" w:rsidR="00C82CBF" w:rsidRDefault="00C82CBF" w:rsidP="00C82CBF">
            <w:pPr>
              <w:spacing w:after="0" w:line="240" w:lineRule="auto"/>
              <w:rPr>
                <w:rFonts w:ascii="Arial" w:eastAsia="Times New Roman" w:hAnsi="Arial" w:cs="Arial"/>
                <w:color w:val="000000"/>
                <w:sz w:val="16"/>
                <w:szCs w:val="16"/>
                <w:lang w:eastAsia="en-GB"/>
              </w:rPr>
            </w:pPr>
          </w:p>
          <w:p w14:paraId="4E94D9E8" w14:textId="3F78743F" w:rsidR="00C82CBF" w:rsidRDefault="00C82CBF" w:rsidP="00C82CBF">
            <w:pPr>
              <w:spacing w:after="0" w:line="240" w:lineRule="auto"/>
              <w:rPr>
                <w:rFonts w:ascii="Arial" w:eastAsia="Times New Roman" w:hAnsi="Arial" w:cs="Arial"/>
                <w:color w:val="000000"/>
                <w:sz w:val="16"/>
                <w:szCs w:val="16"/>
                <w:lang w:eastAsia="en-GB"/>
              </w:rPr>
            </w:pPr>
          </w:p>
          <w:p w14:paraId="0B105BFF" w14:textId="0DA60794" w:rsidR="00C82CBF" w:rsidRDefault="00C82CBF" w:rsidP="00C82CBF">
            <w:pPr>
              <w:spacing w:after="0" w:line="240" w:lineRule="auto"/>
              <w:rPr>
                <w:rFonts w:ascii="Arial" w:eastAsia="Times New Roman" w:hAnsi="Arial" w:cs="Arial"/>
                <w:color w:val="000000"/>
                <w:sz w:val="16"/>
                <w:szCs w:val="16"/>
                <w:lang w:eastAsia="en-GB"/>
              </w:rPr>
            </w:pPr>
          </w:p>
          <w:p w14:paraId="357D6640" w14:textId="26C8628B" w:rsidR="00C82CBF" w:rsidRDefault="00C82CBF" w:rsidP="00C82CBF">
            <w:pPr>
              <w:spacing w:after="0" w:line="240" w:lineRule="auto"/>
              <w:rPr>
                <w:rFonts w:ascii="Arial" w:eastAsia="Times New Roman" w:hAnsi="Arial" w:cs="Arial"/>
                <w:color w:val="000000"/>
                <w:sz w:val="16"/>
                <w:szCs w:val="16"/>
                <w:lang w:eastAsia="en-GB"/>
              </w:rPr>
            </w:pPr>
          </w:p>
          <w:p w14:paraId="7079384C" w14:textId="7571B896" w:rsidR="00C82CBF" w:rsidRDefault="00C82CBF" w:rsidP="00C82CBF">
            <w:pPr>
              <w:spacing w:after="0" w:line="240" w:lineRule="auto"/>
              <w:rPr>
                <w:rFonts w:ascii="Arial" w:eastAsia="Times New Roman" w:hAnsi="Arial" w:cs="Arial"/>
                <w:color w:val="000000"/>
                <w:sz w:val="16"/>
                <w:szCs w:val="16"/>
                <w:lang w:eastAsia="en-GB"/>
              </w:rPr>
            </w:pPr>
          </w:p>
          <w:p w14:paraId="26C351CC" w14:textId="2E25C9F7" w:rsidR="00C82CBF" w:rsidRDefault="00C82CBF" w:rsidP="00C82CBF">
            <w:pPr>
              <w:spacing w:after="0" w:line="240" w:lineRule="auto"/>
              <w:rPr>
                <w:rFonts w:ascii="Arial" w:eastAsia="Times New Roman" w:hAnsi="Arial" w:cs="Arial"/>
                <w:color w:val="000000"/>
                <w:sz w:val="16"/>
                <w:szCs w:val="16"/>
                <w:lang w:eastAsia="en-GB"/>
              </w:rPr>
            </w:pPr>
          </w:p>
          <w:p w14:paraId="7AC1CDD0" w14:textId="78019088" w:rsidR="00C82CBF" w:rsidRDefault="00C82CBF" w:rsidP="00C82CBF">
            <w:pPr>
              <w:spacing w:after="0" w:line="240" w:lineRule="auto"/>
              <w:rPr>
                <w:rFonts w:ascii="Arial" w:eastAsia="Times New Roman" w:hAnsi="Arial" w:cs="Arial"/>
                <w:color w:val="000000"/>
                <w:sz w:val="16"/>
                <w:szCs w:val="16"/>
                <w:lang w:eastAsia="en-GB"/>
              </w:rPr>
            </w:pPr>
          </w:p>
          <w:p w14:paraId="6F12A7DE" w14:textId="39BED03B" w:rsidR="00C82CBF" w:rsidRDefault="00C82CBF" w:rsidP="00C82CBF">
            <w:pPr>
              <w:spacing w:after="0" w:line="240" w:lineRule="auto"/>
              <w:rPr>
                <w:rFonts w:ascii="Arial" w:eastAsia="Times New Roman" w:hAnsi="Arial" w:cs="Arial"/>
                <w:color w:val="000000"/>
                <w:sz w:val="16"/>
                <w:szCs w:val="16"/>
                <w:lang w:eastAsia="en-GB"/>
              </w:rPr>
            </w:pPr>
          </w:p>
          <w:p w14:paraId="68474684" w14:textId="1169230D" w:rsidR="00C82CBF" w:rsidRDefault="00C82CBF" w:rsidP="00C82CBF">
            <w:pPr>
              <w:spacing w:after="0" w:line="240" w:lineRule="auto"/>
              <w:rPr>
                <w:rFonts w:ascii="Arial" w:eastAsia="Times New Roman" w:hAnsi="Arial" w:cs="Arial"/>
                <w:color w:val="000000"/>
                <w:sz w:val="16"/>
                <w:szCs w:val="16"/>
                <w:lang w:eastAsia="en-GB"/>
              </w:rPr>
            </w:pPr>
          </w:p>
          <w:p w14:paraId="09726F2F" w14:textId="0620202A" w:rsidR="00C82CBF" w:rsidRDefault="00C82CBF" w:rsidP="00C82CBF">
            <w:pPr>
              <w:spacing w:after="0" w:line="240" w:lineRule="auto"/>
              <w:rPr>
                <w:rFonts w:ascii="Arial" w:eastAsia="Times New Roman" w:hAnsi="Arial" w:cs="Arial"/>
                <w:color w:val="000000"/>
                <w:sz w:val="16"/>
                <w:szCs w:val="16"/>
                <w:lang w:eastAsia="en-GB"/>
              </w:rPr>
            </w:pPr>
          </w:p>
          <w:p w14:paraId="197EA6AE" w14:textId="2ACD1643" w:rsidR="00C82CBF" w:rsidRDefault="00C82CBF" w:rsidP="00C82CBF">
            <w:pPr>
              <w:spacing w:after="0" w:line="240" w:lineRule="auto"/>
              <w:rPr>
                <w:rFonts w:ascii="Arial" w:eastAsia="Times New Roman" w:hAnsi="Arial" w:cs="Arial"/>
                <w:color w:val="000000"/>
                <w:sz w:val="16"/>
                <w:szCs w:val="16"/>
                <w:lang w:eastAsia="en-GB"/>
              </w:rPr>
            </w:pPr>
          </w:p>
          <w:p w14:paraId="18DBD2E5" w14:textId="44366AC4" w:rsidR="00C82CBF" w:rsidRDefault="00C82CBF" w:rsidP="00C82CBF">
            <w:pPr>
              <w:spacing w:after="0" w:line="240" w:lineRule="auto"/>
              <w:rPr>
                <w:rFonts w:ascii="Arial" w:eastAsia="Times New Roman" w:hAnsi="Arial" w:cs="Arial"/>
                <w:color w:val="000000"/>
                <w:sz w:val="16"/>
                <w:szCs w:val="16"/>
                <w:lang w:eastAsia="en-GB"/>
              </w:rPr>
            </w:pPr>
          </w:p>
          <w:p w14:paraId="76AAB74B" w14:textId="0E46AD23" w:rsidR="00C82CBF" w:rsidRDefault="00C82CBF" w:rsidP="00C82CBF">
            <w:pPr>
              <w:spacing w:after="0" w:line="240" w:lineRule="auto"/>
              <w:rPr>
                <w:rFonts w:ascii="Arial" w:eastAsia="Times New Roman" w:hAnsi="Arial" w:cs="Arial"/>
                <w:color w:val="000000"/>
                <w:sz w:val="16"/>
                <w:szCs w:val="16"/>
                <w:lang w:eastAsia="en-GB"/>
              </w:rPr>
            </w:pPr>
          </w:p>
          <w:p w14:paraId="486CD8FA" w14:textId="12CCD0AE" w:rsidR="00C82CBF" w:rsidRDefault="00C82CBF" w:rsidP="00C82CBF">
            <w:pPr>
              <w:spacing w:after="0" w:line="240" w:lineRule="auto"/>
              <w:rPr>
                <w:rFonts w:ascii="Arial" w:eastAsia="Times New Roman" w:hAnsi="Arial" w:cs="Arial"/>
                <w:color w:val="000000"/>
                <w:sz w:val="16"/>
                <w:szCs w:val="16"/>
                <w:lang w:eastAsia="en-GB"/>
              </w:rPr>
            </w:pPr>
          </w:p>
          <w:p w14:paraId="566E5F3A" w14:textId="634820DD" w:rsidR="00C82CBF" w:rsidRDefault="00C82CBF" w:rsidP="00C82CBF">
            <w:pPr>
              <w:spacing w:after="0" w:line="240" w:lineRule="auto"/>
              <w:rPr>
                <w:rFonts w:ascii="Arial" w:eastAsia="Times New Roman" w:hAnsi="Arial" w:cs="Arial"/>
                <w:color w:val="000000"/>
                <w:sz w:val="16"/>
                <w:szCs w:val="16"/>
                <w:lang w:eastAsia="en-GB"/>
              </w:rPr>
            </w:pPr>
          </w:p>
          <w:p w14:paraId="6121B498" w14:textId="651A2427" w:rsidR="00C82CBF" w:rsidRDefault="00C82CBF" w:rsidP="00C82CBF">
            <w:pPr>
              <w:spacing w:after="0" w:line="240" w:lineRule="auto"/>
              <w:rPr>
                <w:rFonts w:ascii="Arial" w:eastAsia="Times New Roman" w:hAnsi="Arial" w:cs="Arial"/>
                <w:color w:val="000000"/>
                <w:sz w:val="16"/>
                <w:szCs w:val="16"/>
                <w:lang w:eastAsia="en-GB"/>
              </w:rPr>
            </w:pPr>
          </w:p>
          <w:p w14:paraId="36E9CC74" w14:textId="42554147" w:rsidR="00C82CBF" w:rsidRDefault="00C82CBF" w:rsidP="00C82CBF">
            <w:pPr>
              <w:spacing w:after="0" w:line="240" w:lineRule="auto"/>
              <w:rPr>
                <w:rFonts w:ascii="Arial" w:eastAsia="Times New Roman" w:hAnsi="Arial" w:cs="Arial"/>
                <w:color w:val="000000"/>
                <w:sz w:val="16"/>
                <w:szCs w:val="16"/>
                <w:lang w:eastAsia="en-GB"/>
              </w:rPr>
            </w:pPr>
          </w:p>
          <w:p w14:paraId="5BB6110A" w14:textId="72B89B13" w:rsidR="00C82CBF" w:rsidRDefault="00C82CBF" w:rsidP="00C82CBF">
            <w:pPr>
              <w:spacing w:after="0" w:line="240" w:lineRule="auto"/>
              <w:rPr>
                <w:rFonts w:ascii="Arial" w:eastAsia="Times New Roman" w:hAnsi="Arial" w:cs="Arial"/>
                <w:color w:val="000000"/>
                <w:sz w:val="16"/>
                <w:szCs w:val="16"/>
                <w:lang w:eastAsia="en-GB"/>
              </w:rPr>
            </w:pPr>
          </w:p>
          <w:p w14:paraId="2F221E11" w14:textId="4AE836E2" w:rsidR="00C82CBF" w:rsidRDefault="00C82CBF" w:rsidP="00C82CBF">
            <w:pPr>
              <w:spacing w:after="0" w:line="240" w:lineRule="auto"/>
              <w:rPr>
                <w:rFonts w:ascii="Arial" w:eastAsia="Times New Roman" w:hAnsi="Arial" w:cs="Arial"/>
                <w:color w:val="000000"/>
                <w:sz w:val="16"/>
                <w:szCs w:val="16"/>
                <w:lang w:eastAsia="en-GB"/>
              </w:rPr>
            </w:pPr>
          </w:p>
          <w:p w14:paraId="498E6B98" w14:textId="77C28AD8" w:rsidR="00C82CBF" w:rsidRDefault="00C82CBF" w:rsidP="00C82CBF">
            <w:pPr>
              <w:spacing w:after="0" w:line="240" w:lineRule="auto"/>
              <w:rPr>
                <w:rFonts w:ascii="Arial" w:eastAsia="Times New Roman" w:hAnsi="Arial" w:cs="Arial"/>
                <w:color w:val="000000"/>
                <w:sz w:val="16"/>
                <w:szCs w:val="16"/>
                <w:lang w:eastAsia="en-GB"/>
              </w:rPr>
            </w:pPr>
          </w:p>
          <w:p w14:paraId="7D557E7F" w14:textId="53E2BC0E" w:rsidR="00C82CBF" w:rsidRDefault="00C82CBF" w:rsidP="00C82CBF">
            <w:pPr>
              <w:spacing w:after="0" w:line="240" w:lineRule="auto"/>
              <w:rPr>
                <w:rFonts w:ascii="Arial" w:eastAsia="Times New Roman" w:hAnsi="Arial" w:cs="Arial"/>
                <w:color w:val="000000"/>
                <w:sz w:val="16"/>
                <w:szCs w:val="16"/>
                <w:lang w:eastAsia="en-GB"/>
              </w:rPr>
            </w:pPr>
          </w:p>
          <w:p w14:paraId="3C5550E9" w14:textId="300DBCBC" w:rsidR="00C82CBF" w:rsidRDefault="00C82CBF" w:rsidP="00C82CBF">
            <w:pPr>
              <w:spacing w:after="0" w:line="240" w:lineRule="auto"/>
              <w:rPr>
                <w:rFonts w:ascii="Arial" w:eastAsia="Times New Roman" w:hAnsi="Arial" w:cs="Arial"/>
                <w:color w:val="000000"/>
                <w:sz w:val="16"/>
                <w:szCs w:val="16"/>
                <w:lang w:eastAsia="en-GB"/>
              </w:rPr>
            </w:pPr>
          </w:p>
          <w:p w14:paraId="1A0E33B8" w14:textId="2DE2CEE5" w:rsidR="00C82CBF" w:rsidRDefault="00C82CBF" w:rsidP="00C82CBF">
            <w:pPr>
              <w:spacing w:after="0" w:line="240" w:lineRule="auto"/>
              <w:rPr>
                <w:rFonts w:ascii="Arial" w:eastAsia="Times New Roman" w:hAnsi="Arial" w:cs="Arial"/>
                <w:color w:val="000000"/>
                <w:sz w:val="16"/>
                <w:szCs w:val="16"/>
                <w:lang w:eastAsia="en-GB"/>
              </w:rPr>
            </w:pPr>
          </w:p>
          <w:p w14:paraId="7127F1BE" w14:textId="2471FBF6" w:rsidR="00C82CBF" w:rsidRDefault="00C82CBF" w:rsidP="00C82CBF">
            <w:pPr>
              <w:spacing w:after="0" w:line="240" w:lineRule="auto"/>
              <w:rPr>
                <w:rFonts w:ascii="Arial" w:eastAsia="Times New Roman" w:hAnsi="Arial" w:cs="Arial"/>
                <w:color w:val="000000"/>
                <w:sz w:val="16"/>
                <w:szCs w:val="16"/>
                <w:lang w:eastAsia="en-GB"/>
              </w:rPr>
            </w:pPr>
          </w:p>
          <w:p w14:paraId="43DBE29C" w14:textId="65915722" w:rsidR="00C82CBF" w:rsidRDefault="00C82CBF" w:rsidP="00C82CBF">
            <w:pPr>
              <w:spacing w:after="0" w:line="240" w:lineRule="auto"/>
              <w:rPr>
                <w:rFonts w:ascii="Arial" w:eastAsia="Times New Roman" w:hAnsi="Arial" w:cs="Arial"/>
                <w:color w:val="000000"/>
                <w:sz w:val="16"/>
                <w:szCs w:val="16"/>
                <w:lang w:eastAsia="en-GB"/>
              </w:rPr>
            </w:pPr>
          </w:p>
          <w:p w14:paraId="13C892BD" w14:textId="10B218E8" w:rsidR="00C82CBF" w:rsidRDefault="00C82CBF" w:rsidP="00C82CBF">
            <w:pPr>
              <w:spacing w:after="0" w:line="240" w:lineRule="auto"/>
              <w:rPr>
                <w:rFonts w:ascii="Arial" w:eastAsia="Times New Roman" w:hAnsi="Arial" w:cs="Arial"/>
                <w:color w:val="000000"/>
                <w:sz w:val="16"/>
                <w:szCs w:val="16"/>
                <w:lang w:eastAsia="en-GB"/>
              </w:rPr>
            </w:pPr>
          </w:p>
          <w:p w14:paraId="1B723142" w14:textId="06D87491" w:rsidR="00C82CBF" w:rsidRDefault="00C82CBF" w:rsidP="00C82CBF">
            <w:pPr>
              <w:spacing w:after="0" w:line="240" w:lineRule="auto"/>
              <w:rPr>
                <w:rFonts w:ascii="Arial" w:eastAsia="Times New Roman" w:hAnsi="Arial" w:cs="Arial"/>
                <w:color w:val="000000"/>
                <w:sz w:val="16"/>
                <w:szCs w:val="16"/>
                <w:lang w:eastAsia="en-GB"/>
              </w:rPr>
            </w:pPr>
          </w:p>
          <w:p w14:paraId="38FC8C02" w14:textId="4B93FE72" w:rsidR="00C82CBF" w:rsidRDefault="00C82CBF" w:rsidP="00C82CBF">
            <w:pPr>
              <w:spacing w:after="0" w:line="240" w:lineRule="auto"/>
              <w:rPr>
                <w:rFonts w:ascii="Arial" w:eastAsia="Times New Roman" w:hAnsi="Arial" w:cs="Arial"/>
                <w:color w:val="000000"/>
                <w:sz w:val="16"/>
                <w:szCs w:val="16"/>
                <w:lang w:eastAsia="en-GB"/>
              </w:rPr>
            </w:pPr>
          </w:p>
          <w:p w14:paraId="07952D77" w14:textId="77777777" w:rsidR="00C82CBF" w:rsidRPr="00C82CBF" w:rsidRDefault="00C82CBF" w:rsidP="00C82CBF">
            <w:pPr>
              <w:spacing w:after="0" w:line="240" w:lineRule="auto"/>
              <w:rPr>
                <w:rFonts w:ascii="Arial" w:eastAsia="Times New Roman" w:hAnsi="Arial" w:cs="Arial"/>
                <w:color w:val="000000"/>
                <w:sz w:val="16"/>
                <w:szCs w:val="16"/>
                <w:lang w:eastAsia="en-GB"/>
              </w:rPr>
            </w:pPr>
          </w:p>
          <w:p w14:paraId="718D1E2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lastRenderedPageBreak/>
              <w:t> </w:t>
            </w:r>
          </w:p>
          <w:p w14:paraId="4DCAF63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CONDENSED CONSOLIDATED STATEMENT CHANGES IN EQUITY</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7E5393D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lastRenderedPageBreak/>
              <w:t> </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675B510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7"/>
            <w:tcBorders>
              <w:top w:val="nil"/>
              <w:left w:val="nil"/>
              <w:bottom w:val="nil"/>
              <w:right w:val="nil"/>
            </w:tcBorders>
            <w:tcMar>
              <w:top w:w="0" w:type="dxa"/>
              <w:left w:w="120" w:type="dxa"/>
              <w:bottom w:w="0" w:type="dxa"/>
              <w:right w:w="160" w:type="dxa"/>
            </w:tcMar>
            <w:vAlign w:val="bottom"/>
            <w:hideMark/>
          </w:tcPr>
          <w:p w14:paraId="353F92A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784A3F8D"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5793800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 the period ended 30 June</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50A3A30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30B106A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7"/>
            <w:tcBorders>
              <w:top w:val="nil"/>
              <w:left w:val="nil"/>
              <w:bottom w:val="nil"/>
              <w:right w:val="nil"/>
            </w:tcBorders>
            <w:tcMar>
              <w:top w:w="0" w:type="dxa"/>
              <w:left w:w="120" w:type="dxa"/>
              <w:bottom w:w="0" w:type="dxa"/>
              <w:right w:w="160" w:type="dxa"/>
            </w:tcMar>
            <w:vAlign w:val="bottom"/>
            <w:hideMark/>
          </w:tcPr>
          <w:p w14:paraId="1258EB5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4797250B" w14:textId="77777777" w:rsidTr="00C82CBF">
        <w:tc>
          <w:tcPr>
            <w:tcW w:w="0" w:type="auto"/>
            <w:gridSpan w:val="18"/>
            <w:tcBorders>
              <w:top w:val="nil"/>
              <w:left w:val="nil"/>
              <w:bottom w:val="nil"/>
              <w:right w:val="nil"/>
            </w:tcBorders>
            <w:tcMar>
              <w:top w:w="0" w:type="dxa"/>
              <w:left w:w="120" w:type="dxa"/>
              <w:bottom w:w="0" w:type="dxa"/>
              <w:right w:w="120" w:type="dxa"/>
            </w:tcMar>
            <w:vAlign w:val="bottom"/>
            <w:hideMark/>
          </w:tcPr>
          <w:p w14:paraId="5374EC3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u w:val="single"/>
                <w:lang w:eastAsia="en-GB"/>
              </w:rPr>
              <w:t>Attributable to owners of the parent</w:t>
            </w:r>
          </w:p>
        </w:tc>
      </w:tr>
      <w:tr w:rsidR="00C82CBF" w:rsidRPr="00C82CBF" w14:paraId="1453FE2C" w14:textId="77777777" w:rsidTr="00C82CBF">
        <w:tc>
          <w:tcPr>
            <w:tcW w:w="0" w:type="auto"/>
            <w:gridSpan w:val="2"/>
            <w:tcBorders>
              <w:top w:val="single" w:sz="8" w:space="0" w:color="000000"/>
              <w:left w:val="single" w:sz="8" w:space="0" w:color="000000"/>
              <w:bottom w:val="nil"/>
              <w:right w:val="nil"/>
            </w:tcBorders>
            <w:tcMar>
              <w:top w:w="0" w:type="dxa"/>
              <w:left w:w="120" w:type="dxa"/>
              <w:bottom w:w="0" w:type="dxa"/>
              <w:right w:w="120" w:type="dxa"/>
            </w:tcMar>
            <w:vAlign w:val="bottom"/>
            <w:hideMark/>
          </w:tcPr>
          <w:p w14:paraId="0C74E4C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 '000</w:t>
            </w:r>
          </w:p>
        </w:tc>
        <w:tc>
          <w:tcPr>
            <w:tcW w:w="0" w:type="auto"/>
            <w:gridSpan w:val="2"/>
            <w:tcBorders>
              <w:top w:val="single" w:sz="8" w:space="0" w:color="000000"/>
              <w:left w:val="nil"/>
              <w:bottom w:val="nil"/>
              <w:right w:val="nil"/>
            </w:tcBorders>
            <w:tcMar>
              <w:top w:w="0" w:type="dxa"/>
              <w:left w:w="120" w:type="dxa"/>
              <w:bottom w:w="0" w:type="dxa"/>
              <w:right w:w="120" w:type="dxa"/>
            </w:tcMar>
            <w:vAlign w:val="bottom"/>
            <w:hideMark/>
          </w:tcPr>
          <w:p w14:paraId="7B79483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notes</w:t>
            </w:r>
          </w:p>
        </w:tc>
        <w:tc>
          <w:tcPr>
            <w:tcW w:w="0" w:type="auto"/>
            <w:gridSpan w:val="5"/>
            <w:tcBorders>
              <w:top w:val="single" w:sz="8" w:space="0" w:color="000000"/>
              <w:left w:val="nil"/>
              <w:bottom w:val="nil"/>
              <w:right w:val="nil"/>
            </w:tcBorders>
            <w:tcMar>
              <w:top w:w="0" w:type="dxa"/>
              <w:left w:w="120" w:type="dxa"/>
              <w:bottom w:w="0" w:type="dxa"/>
              <w:right w:w="120" w:type="dxa"/>
            </w:tcMar>
            <w:vAlign w:val="bottom"/>
            <w:hideMark/>
          </w:tcPr>
          <w:p w14:paraId="76D50A7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Number of shares</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(in '000)</w:t>
            </w:r>
          </w:p>
        </w:tc>
        <w:tc>
          <w:tcPr>
            <w:tcW w:w="0" w:type="auto"/>
            <w:gridSpan w:val="4"/>
            <w:tcBorders>
              <w:top w:val="single" w:sz="8" w:space="0" w:color="000000"/>
              <w:left w:val="nil"/>
              <w:bottom w:val="nil"/>
              <w:right w:val="nil"/>
            </w:tcBorders>
            <w:tcMar>
              <w:top w:w="0" w:type="dxa"/>
              <w:left w:w="120" w:type="dxa"/>
              <w:bottom w:w="0" w:type="dxa"/>
              <w:right w:w="120" w:type="dxa"/>
            </w:tcMar>
            <w:vAlign w:val="bottom"/>
            <w:hideMark/>
          </w:tcPr>
          <w:p w14:paraId="6600AF2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Share capital</w:t>
            </w:r>
          </w:p>
        </w:tc>
        <w:tc>
          <w:tcPr>
            <w:tcW w:w="0" w:type="auto"/>
            <w:gridSpan w:val="4"/>
            <w:tcBorders>
              <w:top w:val="single" w:sz="8" w:space="0" w:color="000000"/>
              <w:left w:val="nil"/>
              <w:bottom w:val="nil"/>
              <w:right w:val="single" w:sz="8" w:space="0" w:color="000000"/>
            </w:tcBorders>
            <w:tcMar>
              <w:top w:w="0" w:type="dxa"/>
              <w:left w:w="120" w:type="dxa"/>
              <w:bottom w:w="0" w:type="dxa"/>
              <w:right w:w="120" w:type="dxa"/>
            </w:tcMar>
            <w:vAlign w:val="bottom"/>
            <w:hideMark/>
          </w:tcPr>
          <w:p w14:paraId="434B951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Share premium</w:t>
            </w:r>
          </w:p>
        </w:tc>
        <w:tc>
          <w:tcPr>
            <w:tcW w:w="0" w:type="auto"/>
            <w:vAlign w:val="center"/>
            <w:hideMark/>
          </w:tcPr>
          <w:p w14:paraId="45A2DF0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0D13A79D" w14:textId="77777777" w:rsidTr="00C82CBF">
        <w:tc>
          <w:tcPr>
            <w:tcW w:w="0" w:type="auto"/>
            <w:gridSpan w:val="17"/>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54A888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vAlign w:val="center"/>
            <w:hideMark/>
          </w:tcPr>
          <w:p w14:paraId="47651CE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7EC02ABA" w14:textId="77777777" w:rsidTr="00C82CBF">
        <w:tc>
          <w:tcPr>
            <w:tcW w:w="0" w:type="auto"/>
            <w:gridSpan w:val="2"/>
            <w:tcBorders>
              <w:top w:val="nil"/>
              <w:left w:val="single" w:sz="8" w:space="0" w:color="000000"/>
              <w:bottom w:val="single" w:sz="8" w:space="0" w:color="000000"/>
              <w:right w:val="nil"/>
            </w:tcBorders>
            <w:noWrap/>
            <w:tcMar>
              <w:top w:w="0" w:type="dxa"/>
              <w:left w:w="120" w:type="dxa"/>
              <w:bottom w:w="0" w:type="dxa"/>
              <w:right w:w="120" w:type="dxa"/>
            </w:tcMar>
            <w:vAlign w:val="bottom"/>
            <w:hideMark/>
          </w:tcPr>
          <w:p w14:paraId="4611DAA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1 January 2020 as reported in HY report</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5FDD70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62E7D9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631,323</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094A1C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7,079</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010E672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097BDD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439,887</w:t>
            </w:r>
          </w:p>
        </w:tc>
        <w:tc>
          <w:tcPr>
            <w:tcW w:w="0" w:type="auto"/>
            <w:vAlign w:val="center"/>
            <w:hideMark/>
          </w:tcPr>
          <w:p w14:paraId="785B0BA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7DA87CD"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598B76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65B88581"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2D3412C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Result for the half-year</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41C1948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3A6C651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6B6E55C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nil"/>
              <w:right w:val="nil"/>
            </w:tcBorders>
            <w:tcMar>
              <w:top w:w="0" w:type="dxa"/>
              <w:left w:w="120" w:type="dxa"/>
              <w:bottom w:w="0" w:type="dxa"/>
              <w:right w:w="160" w:type="dxa"/>
            </w:tcMar>
            <w:vAlign w:val="bottom"/>
            <w:hideMark/>
          </w:tcPr>
          <w:p w14:paraId="02DE99C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30BD336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6569589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578CB3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617AF9A"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0389CFAB"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2E6888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comprehensive income (loss) for the half-year</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1111EC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8D7844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EFB520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6A87423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203359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302C530D"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F7AE81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926E0C6"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FB9CE32" w14:textId="77777777" w:rsidTr="00C82CBF">
        <w:tc>
          <w:tcPr>
            <w:tcW w:w="0" w:type="auto"/>
            <w:gridSpan w:val="2"/>
            <w:tcBorders>
              <w:top w:val="nil"/>
              <w:left w:val="single" w:sz="8" w:space="0" w:color="000000"/>
              <w:bottom w:val="single" w:sz="8" w:space="0" w:color="000000"/>
              <w:right w:val="nil"/>
            </w:tcBorders>
            <w:noWrap/>
            <w:tcMar>
              <w:top w:w="0" w:type="dxa"/>
              <w:left w:w="120" w:type="dxa"/>
              <w:bottom w:w="0" w:type="dxa"/>
              <w:right w:w="120" w:type="dxa"/>
            </w:tcMar>
            <w:vAlign w:val="bottom"/>
            <w:hideMark/>
          </w:tcPr>
          <w:p w14:paraId="58F08E6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comprehensive income (loss) for the half-year</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F935FC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3CF34A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F22F9A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2BD13EF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56A1AF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vAlign w:val="center"/>
            <w:hideMark/>
          </w:tcPr>
          <w:p w14:paraId="229A6D2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95918DA"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A1B2DD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29B1853F"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2628262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Legal reserves development expenses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6D4BDB9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1234FA2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156D045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nil"/>
              <w:right w:val="nil"/>
            </w:tcBorders>
            <w:tcMar>
              <w:top w:w="0" w:type="dxa"/>
              <w:left w:w="120" w:type="dxa"/>
              <w:bottom w:w="0" w:type="dxa"/>
              <w:right w:w="160" w:type="dxa"/>
            </w:tcMar>
            <w:vAlign w:val="bottom"/>
            <w:hideMark/>
          </w:tcPr>
          <w:p w14:paraId="124BEEC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613D6C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4222862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180559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35F4A47"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738A5714"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1A519AA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Share-based compensation</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47A7C20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09CC597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7F90336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nil"/>
              <w:right w:val="nil"/>
            </w:tcBorders>
            <w:tcMar>
              <w:top w:w="0" w:type="dxa"/>
              <w:left w:w="120" w:type="dxa"/>
              <w:bottom w:w="0" w:type="dxa"/>
              <w:right w:w="160" w:type="dxa"/>
            </w:tcMar>
            <w:vAlign w:val="bottom"/>
            <w:hideMark/>
          </w:tcPr>
          <w:p w14:paraId="5A10806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461A0F9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70D4BB1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C1B4EA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EA4638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030FA174"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1D3B86D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Bonuses settled in shares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0FB0A13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0625ED9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781954B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nil"/>
              <w:right w:val="nil"/>
            </w:tcBorders>
            <w:tcMar>
              <w:top w:w="0" w:type="dxa"/>
              <w:left w:w="120" w:type="dxa"/>
              <w:bottom w:w="0" w:type="dxa"/>
              <w:right w:w="160" w:type="dxa"/>
            </w:tcMar>
            <w:vAlign w:val="bottom"/>
            <w:hideMark/>
          </w:tcPr>
          <w:p w14:paraId="7ED3983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682742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25ADF83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E185B35"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6FB215"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1322A36E"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09B1A01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Value of conversion rights on convertible bonds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7E57F1C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0EE3DC3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685099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nil"/>
              <w:right w:val="nil"/>
            </w:tcBorders>
            <w:tcMar>
              <w:top w:w="0" w:type="dxa"/>
              <w:left w:w="120" w:type="dxa"/>
              <w:bottom w:w="0" w:type="dxa"/>
              <w:right w:w="160" w:type="dxa"/>
            </w:tcMar>
            <w:vAlign w:val="bottom"/>
            <w:hideMark/>
          </w:tcPr>
          <w:p w14:paraId="48CEDD1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304D4B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2B62032B"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A205E6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6D2E185"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6F87514F"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32E46D0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Shares issued for cash</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00379CF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708E113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2,061</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15364DA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23</w:t>
            </w:r>
          </w:p>
        </w:tc>
        <w:tc>
          <w:tcPr>
            <w:tcW w:w="0" w:type="auto"/>
            <w:tcBorders>
              <w:top w:val="nil"/>
              <w:left w:val="nil"/>
              <w:bottom w:val="nil"/>
              <w:right w:val="nil"/>
            </w:tcBorders>
            <w:tcMar>
              <w:top w:w="0" w:type="dxa"/>
              <w:left w:w="120" w:type="dxa"/>
              <w:bottom w:w="0" w:type="dxa"/>
              <w:right w:w="160" w:type="dxa"/>
            </w:tcMar>
            <w:vAlign w:val="bottom"/>
            <w:hideMark/>
          </w:tcPr>
          <w:p w14:paraId="5F4D16F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B77F1A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1,534</w:t>
            </w:r>
          </w:p>
        </w:tc>
        <w:tc>
          <w:tcPr>
            <w:tcW w:w="0" w:type="auto"/>
            <w:vAlign w:val="center"/>
            <w:hideMark/>
          </w:tcPr>
          <w:p w14:paraId="337D81C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0E8BCC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B9E35EB"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528EE482"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54734D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Warrants exercised/ issued</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07C300B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F0003F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EA4E22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3684368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92C9C6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0F79009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017C31F"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AA54D3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65BC94F6"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EE1204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Options exercised</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DA0F1F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26FF30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4,319</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BCAA93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47</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58CA3E6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1C8E1D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2,626</w:t>
            </w:r>
          </w:p>
        </w:tc>
        <w:tc>
          <w:tcPr>
            <w:tcW w:w="0" w:type="auto"/>
            <w:vAlign w:val="center"/>
            <w:hideMark/>
          </w:tcPr>
          <w:p w14:paraId="728CC89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DF79695"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E588A4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7E48592" w14:textId="77777777" w:rsidTr="00C82CBF">
        <w:tc>
          <w:tcPr>
            <w:tcW w:w="0" w:type="auto"/>
            <w:gridSpan w:val="2"/>
            <w:tcBorders>
              <w:top w:val="nil"/>
              <w:left w:val="single" w:sz="8" w:space="0" w:color="000000"/>
              <w:bottom w:val="single" w:sz="8" w:space="0" w:color="000000"/>
              <w:right w:val="nil"/>
            </w:tcBorders>
            <w:noWrap/>
            <w:tcMar>
              <w:top w:w="0" w:type="dxa"/>
              <w:left w:w="120" w:type="dxa"/>
              <w:bottom w:w="0" w:type="dxa"/>
              <w:right w:w="120" w:type="dxa"/>
            </w:tcMar>
            <w:vAlign w:val="bottom"/>
            <w:hideMark/>
          </w:tcPr>
          <w:p w14:paraId="0EAB87C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 xml:space="preserve">Total transactions with owners, recognized directly in </w:t>
            </w:r>
            <w:r w:rsidRPr="00C82CBF">
              <w:rPr>
                <w:rFonts w:ascii="Arial" w:eastAsia="Times New Roman" w:hAnsi="Arial" w:cs="Arial"/>
                <w:b/>
                <w:bCs/>
                <w:color w:val="000000"/>
                <w:sz w:val="16"/>
                <w:szCs w:val="16"/>
                <w:lang w:eastAsia="en-GB"/>
              </w:rPr>
              <w:br/>
              <w:t>equity</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5855C3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82EE81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6,380</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A8BADB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70</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6B938DF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6B9D95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4,160</w:t>
            </w:r>
          </w:p>
        </w:tc>
        <w:tc>
          <w:tcPr>
            <w:tcW w:w="0" w:type="auto"/>
            <w:vAlign w:val="center"/>
            <w:hideMark/>
          </w:tcPr>
          <w:p w14:paraId="72D43A8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2D5DE9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1C89AB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1F4E18DA"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4E50E4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30 June 2020</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261844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21C3A0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637,703</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FEB458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7,149</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6FD8541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591DF73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444,047</w:t>
            </w:r>
          </w:p>
        </w:tc>
        <w:tc>
          <w:tcPr>
            <w:tcW w:w="0" w:type="auto"/>
            <w:vAlign w:val="center"/>
            <w:hideMark/>
          </w:tcPr>
          <w:p w14:paraId="6DA1567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17DEAA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69F7B6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994BE5F" w14:textId="77777777" w:rsidTr="00C82CBF">
        <w:tc>
          <w:tcPr>
            <w:tcW w:w="0" w:type="auto"/>
            <w:gridSpan w:val="2"/>
            <w:tcBorders>
              <w:top w:val="nil"/>
              <w:left w:val="nil"/>
              <w:bottom w:val="single" w:sz="8" w:space="0" w:color="000000"/>
              <w:right w:val="nil"/>
            </w:tcBorders>
            <w:tcMar>
              <w:top w:w="0" w:type="dxa"/>
              <w:left w:w="120" w:type="dxa"/>
              <w:bottom w:w="0" w:type="dxa"/>
              <w:right w:w="160" w:type="dxa"/>
            </w:tcMar>
            <w:vAlign w:val="bottom"/>
            <w:hideMark/>
          </w:tcPr>
          <w:p w14:paraId="121C356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single" w:sz="8" w:space="0" w:color="000000"/>
              <w:right w:val="nil"/>
            </w:tcBorders>
            <w:tcMar>
              <w:top w:w="0" w:type="dxa"/>
              <w:left w:w="120" w:type="dxa"/>
              <w:bottom w:w="0" w:type="dxa"/>
              <w:right w:w="160" w:type="dxa"/>
            </w:tcMar>
            <w:vAlign w:val="bottom"/>
            <w:hideMark/>
          </w:tcPr>
          <w:p w14:paraId="5F39212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nil"/>
              <w:bottom w:val="single" w:sz="8" w:space="0" w:color="000000"/>
              <w:right w:val="nil"/>
            </w:tcBorders>
            <w:tcMar>
              <w:top w:w="0" w:type="dxa"/>
              <w:left w:w="120" w:type="dxa"/>
              <w:bottom w:w="0" w:type="dxa"/>
              <w:right w:w="160" w:type="dxa"/>
            </w:tcMar>
            <w:vAlign w:val="bottom"/>
            <w:hideMark/>
          </w:tcPr>
          <w:p w14:paraId="2DB8ED1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single" w:sz="8" w:space="0" w:color="000000"/>
              <w:right w:val="nil"/>
            </w:tcBorders>
            <w:tcMar>
              <w:top w:w="0" w:type="dxa"/>
              <w:left w:w="120" w:type="dxa"/>
              <w:bottom w:w="0" w:type="dxa"/>
              <w:right w:w="160" w:type="dxa"/>
            </w:tcMar>
            <w:vAlign w:val="bottom"/>
            <w:hideMark/>
          </w:tcPr>
          <w:p w14:paraId="2A6C801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single" w:sz="8" w:space="0" w:color="000000"/>
              <w:left w:val="nil"/>
              <w:bottom w:val="single" w:sz="8" w:space="0" w:color="000000"/>
              <w:right w:val="single" w:sz="8" w:space="0" w:color="000000"/>
            </w:tcBorders>
            <w:tcMar>
              <w:top w:w="0" w:type="dxa"/>
              <w:left w:w="120" w:type="dxa"/>
              <w:bottom w:w="0" w:type="dxa"/>
              <w:right w:w="160" w:type="dxa"/>
            </w:tcMar>
            <w:vAlign w:val="bottom"/>
            <w:hideMark/>
          </w:tcPr>
          <w:p w14:paraId="1F7AF26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vAlign w:val="center"/>
            <w:hideMark/>
          </w:tcPr>
          <w:p w14:paraId="4AB269E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6426C25"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A580FF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1 January 2021</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F6A2FB5"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7B5019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638,822</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60A67E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7,163</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7840DA4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B032CC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444,940</w:t>
            </w:r>
          </w:p>
        </w:tc>
        <w:tc>
          <w:tcPr>
            <w:tcW w:w="0" w:type="auto"/>
            <w:vAlign w:val="center"/>
            <w:hideMark/>
          </w:tcPr>
          <w:p w14:paraId="73D9139F"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9D2B26C"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313B63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0DFCC56D"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2D3B8D3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Result for the year</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60A4BB7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2AB97BB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8CBABA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nil"/>
              <w:right w:val="nil"/>
            </w:tcBorders>
            <w:tcMar>
              <w:top w:w="0" w:type="dxa"/>
              <w:left w:w="120" w:type="dxa"/>
              <w:bottom w:w="0" w:type="dxa"/>
              <w:right w:w="160" w:type="dxa"/>
            </w:tcMar>
            <w:vAlign w:val="bottom"/>
            <w:hideMark/>
          </w:tcPr>
          <w:p w14:paraId="28857B9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23E319B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5A5F1EE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E3098EC"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96760E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1FF9EAAE"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52E9BD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comprehensive income (loss) for the half-year</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81E997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8F27A2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9459AD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7E51EE1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826D26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746367C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4902DE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A3CF7C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57591EBC"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1ACCBD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comprehensive income (loss) for the half-year</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D14942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9856E7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EEBCFA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57892BC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46063E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vAlign w:val="center"/>
            <w:hideMark/>
          </w:tcPr>
          <w:p w14:paraId="40E5782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E3E29FC"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1DD7186"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2CFAE8C1"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10FCF24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Legal reserves development expenses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52E781C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166AB66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16E3E0E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nil"/>
              <w:right w:val="nil"/>
            </w:tcBorders>
            <w:tcMar>
              <w:top w:w="0" w:type="dxa"/>
              <w:left w:w="120" w:type="dxa"/>
              <w:bottom w:w="0" w:type="dxa"/>
              <w:right w:w="160" w:type="dxa"/>
            </w:tcMar>
            <w:vAlign w:val="bottom"/>
            <w:hideMark/>
          </w:tcPr>
          <w:p w14:paraId="3F38288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6877B3B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5337145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313BCFA"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4569DC"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8784E4A"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30BFF7B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Income Tax expense from excess tax deductions related to Share-based payments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4F8E61B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2447CBE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7167152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nil"/>
              <w:right w:val="nil"/>
            </w:tcBorders>
            <w:tcMar>
              <w:top w:w="0" w:type="dxa"/>
              <w:left w:w="120" w:type="dxa"/>
              <w:bottom w:w="0" w:type="dxa"/>
              <w:right w:w="160" w:type="dxa"/>
            </w:tcMar>
            <w:vAlign w:val="bottom"/>
            <w:hideMark/>
          </w:tcPr>
          <w:p w14:paraId="1AA3025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A9C70D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5EA176F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35CD43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B45311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536D9EC8"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7A60430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Share-based compensation</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59F91F3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452F648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176</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4631AB2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w:t>
            </w:r>
          </w:p>
        </w:tc>
        <w:tc>
          <w:tcPr>
            <w:tcW w:w="0" w:type="auto"/>
            <w:tcBorders>
              <w:top w:val="nil"/>
              <w:left w:val="nil"/>
              <w:bottom w:val="nil"/>
              <w:right w:val="nil"/>
            </w:tcBorders>
            <w:tcMar>
              <w:top w:w="0" w:type="dxa"/>
              <w:left w:w="120" w:type="dxa"/>
              <w:bottom w:w="0" w:type="dxa"/>
              <w:right w:w="160" w:type="dxa"/>
            </w:tcMar>
            <w:vAlign w:val="bottom"/>
            <w:hideMark/>
          </w:tcPr>
          <w:p w14:paraId="7A7FAB8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EE4CC1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264</w:t>
            </w:r>
          </w:p>
        </w:tc>
        <w:tc>
          <w:tcPr>
            <w:tcW w:w="0" w:type="auto"/>
            <w:vAlign w:val="center"/>
            <w:hideMark/>
          </w:tcPr>
          <w:p w14:paraId="7A75504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194FB0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B6DEEC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6F97462F"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2F71523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Bonuses settled in shares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296B257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nil"/>
            </w:tcBorders>
            <w:tcMar>
              <w:top w:w="0" w:type="dxa"/>
              <w:left w:w="120" w:type="dxa"/>
              <w:bottom w:w="0" w:type="dxa"/>
              <w:right w:w="160" w:type="dxa"/>
            </w:tcMar>
            <w:vAlign w:val="bottom"/>
            <w:hideMark/>
          </w:tcPr>
          <w:p w14:paraId="0E888C1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77303A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nil"/>
              <w:right w:val="nil"/>
            </w:tcBorders>
            <w:tcMar>
              <w:top w:w="0" w:type="dxa"/>
              <w:left w:w="120" w:type="dxa"/>
              <w:bottom w:w="0" w:type="dxa"/>
              <w:right w:w="160" w:type="dxa"/>
            </w:tcMar>
            <w:vAlign w:val="bottom"/>
            <w:hideMark/>
          </w:tcPr>
          <w:p w14:paraId="025F16F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5002B7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429131A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729C87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8FBD13F"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578784B2"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96C734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Shares issued for cash</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08F74E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A83F93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3FD6BC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6C1DA51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853225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vAlign w:val="center"/>
            <w:hideMark/>
          </w:tcPr>
          <w:p w14:paraId="385A6736"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F364E2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160BEE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2D7934DD"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4FA7B0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Warrants exercised/ issued</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84E97A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A1BDE6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61</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A2F998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4F221C9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AAFEEC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w:t>
            </w:r>
          </w:p>
        </w:tc>
        <w:tc>
          <w:tcPr>
            <w:tcW w:w="0" w:type="auto"/>
            <w:vAlign w:val="center"/>
            <w:hideMark/>
          </w:tcPr>
          <w:p w14:paraId="7A680FEC"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537C37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751F036"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277F1F6B"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DEDD5A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Options exercised</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82B546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1526F6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7,064</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28896C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85</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1D0D8B1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B9DC4A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7,790</w:t>
            </w:r>
          </w:p>
        </w:tc>
        <w:tc>
          <w:tcPr>
            <w:tcW w:w="0" w:type="auto"/>
            <w:vAlign w:val="center"/>
            <w:hideMark/>
          </w:tcPr>
          <w:p w14:paraId="5E8EFA16"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E1D04A5"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A4801F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41890483"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2E50D6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transactions with owners, recognized directly in equity</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84132B1"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842823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7,301</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A89A67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88</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3DC3BEB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978D8D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8,074</w:t>
            </w:r>
          </w:p>
        </w:tc>
        <w:tc>
          <w:tcPr>
            <w:tcW w:w="0" w:type="auto"/>
            <w:vAlign w:val="center"/>
            <w:hideMark/>
          </w:tcPr>
          <w:p w14:paraId="4C2264F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E88944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8AC356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3C77C9B0"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07EDE7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30 June 2021</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E2A7DDC" w14:textId="77777777" w:rsidR="00C82CBF" w:rsidRPr="00C82CBF" w:rsidRDefault="00C82CBF" w:rsidP="00C82CBF">
            <w:pPr>
              <w:spacing w:after="0" w:line="240" w:lineRule="auto"/>
              <w:jc w:val="center"/>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w:t>
            </w:r>
          </w:p>
        </w:tc>
        <w:tc>
          <w:tcPr>
            <w:tcW w:w="0" w:type="auto"/>
            <w:gridSpan w:val="5"/>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F2B44F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646,123</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A010AE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7,251</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750CE81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B3154F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453,014</w:t>
            </w:r>
          </w:p>
        </w:tc>
        <w:tc>
          <w:tcPr>
            <w:tcW w:w="0" w:type="auto"/>
            <w:vAlign w:val="center"/>
            <w:hideMark/>
          </w:tcPr>
          <w:p w14:paraId="7E96271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1661AC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51F4A7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r w:rsidR="00C82CBF" w:rsidRPr="00C82CBF" w14:paraId="04C3F1B4" w14:textId="77777777" w:rsidTr="00C82CBF">
        <w:tc>
          <w:tcPr>
            <w:tcW w:w="0" w:type="auto"/>
            <w:tcBorders>
              <w:top w:val="nil"/>
              <w:left w:val="nil"/>
              <w:bottom w:val="nil"/>
              <w:right w:val="nil"/>
            </w:tcBorders>
            <w:tcMar>
              <w:top w:w="0" w:type="dxa"/>
              <w:left w:w="120" w:type="dxa"/>
              <w:bottom w:w="0" w:type="dxa"/>
              <w:right w:w="160" w:type="dxa"/>
            </w:tcMar>
            <w:vAlign w:val="bottom"/>
            <w:hideMark/>
          </w:tcPr>
          <w:p w14:paraId="5A812959"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281C0EF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5776756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7682537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00CA04A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6120781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35AB0D6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7E2D021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1FB589D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1274D49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270C9181"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2836C3E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5805433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5CEF67F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77485A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C37914F"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ACE6E65"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C6E0BB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bl>
    <w:p w14:paraId="26305548"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w:t>
      </w:r>
    </w:p>
    <w:p w14:paraId="08DA7CE5"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3A3979BF"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0E1E5269"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51B60CAB"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31B3671E"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52FD3765"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40D6BA4B"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39924048"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5FB0FA98"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152FCCCD"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0BFF26D3"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6C1C3CC9" w14:textId="320B0B8D"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lastRenderedPageBreak/>
        <w:t xml:space="preserve">   </w:t>
      </w:r>
    </w:p>
    <w:tbl>
      <w:tblPr>
        <w:tblW w:w="0" w:type="auto"/>
        <w:tblCellMar>
          <w:left w:w="0" w:type="dxa"/>
          <w:right w:w="0" w:type="dxa"/>
        </w:tblCellMar>
        <w:tblLook w:val="04A0" w:firstRow="1" w:lastRow="0" w:firstColumn="1" w:lastColumn="0" w:noHBand="0" w:noVBand="1"/>
      </w:tblPr>
      <w:tblGrid>
        <w:gridCol w:w="3843"/>
        <w:gridCol w:w="602"/>
        <w:gridCol w:w="296"/>
        <w:gridCol w:w="332"/>
        <w:gridCol w:w="296"/>
        <w:gridCol w:w="296"/>
        <w:gridCol w:w="361"/>
        <w:gridCol w:w="361"/>
        <w:gridCol w:w="361"/>
        <w:gridCol w:w="594"/>
        <w:gridCol w:w="594"/>
        <w:gridCol w:w="512"/>
        <w:gridCol w:w="578"/>
      </w:tblGrid>
      <w:tr w:rsidR="00C82CBF" w:rsidRPr="00C82CBF" w14:paraId="22E6099A" w14:textId="77777777" w:rsidTr="00C82CBF">
        <w:tc>
          <w:tcPr>
            <w:tcW w:w="0" w:type="auto"/>
            <w:gridSpan w:val="3"/>
            <w:tcBorders>
              <w:top w:val="nil"/>
              <w:left w:val="nil"/>
              <w:bottom w:val="nil"/>
              <w:right w:val="nil"/>
            </w:tcBorders>
            <w:tcMar>
              <w:top w:w="0" w:type="dxa"/>
              <w:left w:w="120" w:type="dxa"/>
              <w:bottom w:w="0" w:type="dxa"/>
              <w:right w:w="120" w:type="dxa"/>
            </w:tcMar>
            <w:vAlign w:val="bottom"/>
            <w:hideMark/>
          </w:tcPr>
          <w:p w14:paraId="1254E64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CONDENSED CONSOLIDATED STATEMENT CHANGES IN EQUITY</w:t>
            </w:r>
          </w:p>
        </w:tc>
        <w:tc>
          <w:tcPr>
            <w:tcW w:w="0" w:type="auto"/>
            <w:tcBorders>
              <w:top w:val="nil"/>
              <w:left w:val="nil"/>
              <w:bottom w:val="nil"/>
              <w:right w:val="nil"/>
            </w:tcBorders>
            <w:tcMar>
              <w:top w:w="0" w:type="dxa"/>
              <w:left w:w="120" w:type="dxa"/>
              <w:bottom w:w="0" w:type="dxa"/>
              <w:right w:w="160" w:type="dxa"/>
            </w:tcMar>
            <w:vAlign w:val="bottom"/>
            <w:hideMark/>
          </w:tcPr>
          <w:p w14:paraId="5E1303F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nil"/>
              <w:right w:val="nil"/>
            </w:tcBorders>
            <w:tcMar>
              <w:top w:w="0" w:type="dxa"/>
              <w:left w:w="120" w:type="dxa"/>
              <w:bottom w:w="0" w:type="dxa"/>
              <w:right w:w="160" w:type="dxa"/>
            </w:tcMar>
            <w:vAlign w:val="bottom"/>
            <w:hideMark/>
          </w:tcPr>
          <w:p w14:paraId="1A8CE4B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2A2F183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6BC1111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68B92C5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6B69476" w14:textId="77777777" w:rsidTr="00C82CBF">
        <w:tc>
          <w:tcPr>
            <w:tcW w:w="0" w:type="auto"/>
            <w:gridSpan w:val="3"/>
            <w:tcBorders>
              <w:top w:val="nil"/>
              <w:left w:val="nil"/>
              <w:bottom w:val="nil"/>
              <w:right w:val="nil"/>
            </w:tcBorders>
            <w:tcMar>
              <w:top w:w="0" w:type="dxa"/>
              <w:left w:w="120" w:type="dxa"/>
              <w:bottom w:w="0" w:type="dxa"/>
              <w:right w:w="120" w:type="dxa"/>
            </w:tcMar>
            <w:vAlign w:val="bottom"/>
            <w:hideMark/>
          </w:tcPr>
          <w:p w14:paraId="6E0B1B2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 the period ended 30 June</w:t>
            </w:r>
          </w:p>
        </w:tc>
        <w:tc>
          <w:tcPr>
            <w:tcW w:w="0" w:type="auto"/>
            <w:tcBorders>
              <w:top w:val="nil"/>
              <w:left w:val="nil"/>
              <w:bottom w:val="nil"/>
              <w:right w:val="nil"/>
            </w:tcBorders>
            <w:tcMar>
              <w:top w:w="0" w:type="dxa"/>
              <w:left w:w="120" w:type="dxa"/>
              <w:bottom w:w="0" w:type="dxa"/>
              <w:right w:w="160" w:type="dxa"/>
            </w:tcMar>
            <w:vAlign w:val="bottom"/>
            <w:hideMark/>
          </w:tcPr>
          <w:p w14:paraId="3B1EA36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nil"/>
              <w:right w:val="nil"/>
            </w:tcBorders>
            <w:tcMar>
              <w:top w:w="0" w:type="dxa"/>
              <w:left w:w="120" w:type="dxa"/>
              <w:bottom w:w="0" w:type="dxa"/>
              <w:right w:w="160" w:type="dxa"/>
            </w:tcMar>
            <w:vAlign w:val="bottom"/>
            <w:hideMark/>
          </w:tcPr>
          <w:p w14:paraId="2170863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74D9718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54E50C7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721B91D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485C635C" w14:textId="77777777" w:rsidTr="00C82CBF">
        <w:tc>
          <w:tcPr>
            <w:tcW w:w="0" w:type="auto"/>
            <w:gridSpan w:val="12"/>
            <w:tcBorders>
              <w:top w:val="nil"/>
              <w:left w:val="nil"/>
              <w:bottom w:val="nil"/>
              <w:right w:val="nil"/>
            </w:tcBorders>
            <w:tcMar>
              <w:top w:w="0" w:type="dxa"/>
              <w:left w:w="120" w:type="dxa"/>
              <w:bottom w:w="0" w:type="dxa"/>
              <w:right w:w="120" w:type="dxa"/>
            </w:tcMar>
            <w:vAlign w:val="bottom"/>
            <w:hideMark/>
          </w:tcPr>
          <w:p w14:paraId="456A44E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u w:val="single"/>
                <w:lang w:eastAsia="en-GB"/>
              </w:rPr>
              <w:t>Attributable to owners of the parent</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18E29AE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76CD5F47" w14:textId="77777777" w:rsidTr="00C82CBF">
        <w:tc>
          <w:tcPr>
            <w:tcW w:w="0" w:type="auto"/>
            <w:tcBorders>
              <w:top w:val="single" w:sz="8" w:space="0" w:color="000000"/>
              <w:left w:val="nil"/>
              <w:bottom w:val="nil"/>
              <w:right w:val="nil"/>
            </w:tcBorders>
            <w:tcMar>
              <w:top w:w="0" w:type="dxa"/>
              <w:left w:w="120" w:type="dxa"/>
              <w:bottom w:w="0" w:type="dxa"/>
              <w:right w:w="120" w:type="dxa"/>
            </w:tcMar>
            <w:vAlign w:val="bottom"/>
            <w:hideMark/>
          </w:tcPr>
          <w:p w14:paraId="1B5C8E0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 '000</w:t>
            </w:r>
          </w:p>
        </w:tc>
        <w:tc>
          <w:tcPr>
            <w:tcW w:w="0" w:type="auto"/>
            <w:tcBorders>
              <w:top w:val="single" w:sz="8" w:space="0" w:color="000000"/>
              <w:left w:val="nil"/>
              <w:bottom w:val="nil"/>
              <w:right w:val="nil"/>
            </w:tcBorders>
            <w:tcMar>
              <w:top w:w="0" w:type="dxa"/>
              <w:left w:w="120" w:type="dxa"/>
              <w:bottom w:w="0" w:type="dxa"/>
              <w:right w:w="120" w:type="dxa"/>
            </w:tcMar>
            <w:vAlign w:val="bottom"/>
            <w:hideMark/>
          </w:tcPr>
          <w:p w14:paraId="48C2431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notes</w:t>
            </w:r>
          </w:p>
        </w:tc>
        <w:tc>
          <w:tcPr>
            <w:tcW w:w="0" w:type="auto"/>
            <w:gridSpan w:val="7"/>
            <w:tcBorders>
              <w:top w:val="single" w:sz="8" w:space="0" w:color="000000"/>
              <w:left w:val="nil"/>
              <w:bottom w:val="nil"/>
              <w:right w:val="nil"/>
            </w:tcBorders>
            <w:tcMar>
              <w:top w:w="0" w:type="dxa"/>
              <w:left w:w="120" w:type="dxa"/>
              <w:bottom w:w="0" w:type="dxa"/>
              <w:right w:w="120" w:type="dxa"/>
            </w:tcMar>
            <w:vAlign w:val="bottom"/>
            <w:hideMark/>
          </w:tcPr>
          <w:p w14:paraId="5F94B64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Legal reserves</w:t>
            </w:r>
          </w:p>
        </w:tc>
        <w:tc>
          <w:tcPr>
            <w:tcW w:w="0" w:type="auto"/>
            <w:gridSpan w:val="2"/>
            <w:tcBorders>
              <w:top w:val="single" w:sz="8" w:space="0" w:color="000000"/>
              <w:left w:val="nil"/>
              <w:bottom w:val="nil"/>
              <w:right w:val="nil"/>
            </w:tcBorders>
            <w:tcMar>
              <w:top w:w="0" w:type="dxa"/>
              <w:left w:w="120" w:type="dxa"/>
              <w:bottom w:w="0" w:type="dxa"/>
              <w:right w:w="120" w:type="dxa"/>
            </w:tcMar>
            <w:vAlign w:val="bottom"/>
            <w:hideMark/>
          </w:tcPr>
          <w:p w14:paraId="672285D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Accumulated deficit</w:t>
            </w:r>
          </w:p>
        </w:tc>
        <w:tc>
          <w:tcPr>
            <w:tcW w:w="0" w:type="auto"/>
            <w:gridSpan w:val="2"/>
            <w:tcBorders>
              <w:top w:val="single" w:sz="8" w:space="0" w:color="000000"/>
              <w:left w:val="nil"/>
              <w:bottom w:val="nil"/>
              <w:right w:val="single" w:sz="8" w:space="0" w:color="000000"/>
            </w:tcBorders>
            <w:noWrap/>
            <w:tcMar>
              <w:top w:w="0" w:type="dxa"/>
              <w:left w:w="120" w:type="dxa"/>
              <w:bottom w:w="0" w:type="dxa"/>
              <w:right w:w="120" w:type="dxa"/>
            </w:tcMar>
            <w:vAlign w:val="bottom"/>
            <w:hideMark/>
          </w:tcPr>
          <w:p w14:paraId="3276134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equity</w:t>
            </w:r>
          </w:p>
        </w:tc>
      </w:tr>
      <w:tr w:rsidR="00C82CBF" w:rsidRPr="00C82CBF" w14:paraId="69DCAAEF" w14:textId="77777777" w:rsidTr="00C82CBF">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FCD2F9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3DA8679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nil"/>
              <w:right w:val="nil"/>
            </w:tcBorders>
            <w:tcMar>
              <w:top w:w="0" w:type="dxa"/>
              <w:left w:w="120" w:type="dxa"/>
              <w:bottom w:w="0" w:type="dxa"/>
              <w:right w:w="120" w:type="dxa"/>
            </w:tcMar>
            <w:vAlign w:val="bottom"/>
            <w:hideMark/>
          </w:tcPr>
          <w:p w14:paraId="009ABF4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Capitalized development cost</w:t>
            </w:r>
          </w:p>
        </w:tc>
        <w:tc>
          <w:tcPr>
            <w:tcW w:w="0" w:type="auto"/>
            <w:gridSpan w:val="3"/>
            <w:tcBorders>
              <w:top w:val="nil"/>
              <w:left w:val="nil"/>
              <w:bottom w:val="nil"/>
              <w:right w:val="nil"/>
            </w:tcBorders>
            <w:tcMar>
              <w:top w:w="0" w:type="dxa"/>
              <w:left w:w="120" w:type="dxa"/>
              <w:bottom w:w="0" w:type="dxa"/>
              <w:right w:w="120" w:type="dxa"/>
            </w:tcMar>
            <w:vAlign w:val="bottom"/>
            <w:hideMark/>
          </w:tcPr>
          <w:p w14:paraId="4BA811A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Translation reserve</w:t>
            </w:r>
          </w:p>
        </w:tc>
        <w:tc>
          <w:tcPr>
            <w:tcW w:w="0" w:type="auto"/>
            <w:gridSpan w:val="2"/>
            <w:tcBorders>
              <w:top w:val="nil"/>
              <w:left w:val="nil"/>
              <w:bottom w:val="nil"/>
              <w:right w:val="nil"/>
            </w:tcBorders>
            <w:tcMar>
              <w:top w:w="0" w:type="dxa"/>
              <w:left w:w="120" w:type="dxa"/>
              <w:bottom w:w="0" w:type="dxa"/>
              <w:right w:w="160" w:type="dxa"/>
            </w:tcMar>
            <w:vAlign w:val="bottom"/>
            <w:hideMark/>
          </w:tcPr>
          <w:p w14:paraId="09BB1DB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single" w:sz="8" w:space="0" w:color="000000"/>
              <w:right w:val="single" w:sz="8" w:space="0" w:color="000000"/>
            </w:tcBorders>
            <w:tcMar>
              <w:top w:w="0" w:type="dxa"/>
              <w:left w:w="120" w:type="dxa"/>
              <w:bottom w:w="0" w:type="dxa"/>
              <w:right w:w="160" w:type="dxa"/>
            </w:tcMar>
            <w:vAlign w:val="bottom"/>
            <w:hideMark/>
          </w:tcPr>
          <w:p w14:paraId="6A701B8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7FD83F75" w14:textId="77777777" w:rsidTr="00C82CBF">
        <w:tc>
          <w:tcPr>
            <w:tcW w:w="0" w:type="auto"/>
            <w:tcBorders>
              <w:top w:val="nil"/>
              <w:left w:val="single" w:sz="8" w:space="0" w:color="000000"/>
              <w:bottom w:val="single" w:sz="8" w:space="0" w:color="000000"/>
              <w:right w:val="nil"/>
            </w:tcBorders>
            <w:noWrap/>
            <w:tcMar>
              <w:top w:w="0" w:type="dxa"/>
              <w:left w:w="120" w:type="dxa"/>
              <w:bottom w:w="0" w:type="dxa"/>
              <w:right w:w="120" w:type="dxa"/>
            </w:tcMar>
            <w:vAlign w:val="bottom"/>
            <w:hideMark/>
          </w:tcPr>
          <w:p w14:paraId="5196890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1 January 2020 as reported in HY report</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714F66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A3E24E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4,874</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D1AE7C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(705)</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C3A445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(333,749)</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25C73E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117,387</w:t>
            </w:r>
          </w:p>
        </w:tc>
      </w:tr>
      <w:tr w:rsidR="00C82CBF" w:rsidRPr="00C82CBF" w14:paraId="2C04CDC4"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6076F1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Result for the half-year</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063D2A9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73985C1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3710D74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1C1EEC2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20,331</w:t>
            </w:r>
          </w:p>
        </w:tc>
        <w:tc>
          <w:tcPr>
            <w:tcW w:w="0" w:type="auto"/>
            <w:gridSpan w:val="2"/>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69563A3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20,331</w:t>
            </w:r>
          </w:p>
        </w:tc>
      </w:tr>
      <w:tr w:rsidR="00C82CBF" w:rsidRPr="00C82CBF" w14:paraId="426FC746"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F5693F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comprehensive income (loss) for the half-year</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778758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341985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67EAC8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39</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4ACBBC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1ACEF9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39</w:t>
            </w:r>
          </w:p>
        </w:tc>
      </w:tr>
      <w:tr w:rsidR="00C82CBF" w:rsidRPr="00C82CBF" w14:paraId="4C46AB09" w14:textId="77777777" w:rsidTr="00C82CBF">
        <w:tc>
          <w:tcPr>
            <w:tcW w:w="0" w:type="auto"/>
            <w:tcBorders>
              <w:top w:val="nil"/>
              <w:left w:val="single" w:sz="8" w:space="0" w:color="000000"/>
              <w:bottom w:val="single" w:sz="8" w:space="0" w:color="000000"/>
              <w:right w:val="nil"/>
            </w:tcBorders>
            <w:noWrap/>
            <w:tcMar>
              <w:top w:w="0" w:type="dxa"/>
              <w:left w:w="120" w:type="dxa"/>
              <w:bottom w:w="0" w:type="dxa"/>
              <w:right w:w="120" w:type="dxa"/>
            </w:tcMar>
            <w:vAlign w:val="bottom"/>
            <w:hideMark/>
          </w:tcPr>
          <w:p w14:paraId="553C9F5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comprehensive income (loss) for the half-year</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1B9E7C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3FDC45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961170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39</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CBDBCA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20,331</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5FAA98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20,370</w:t>
            </w:r>
          </w:p>
        </w:tc>
      </w:tr>
      <w:tr w:rsidR="00C82CBF" w:rsidRPr="00C82CBF" w14:paraId="5680089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E1C4FE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Legal reserves development expenses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2F33719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6399B20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62</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1A4FA04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7BC435D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(62)</w:t>
            </w:r>
          </w:p>
        </w:tc>
        <w:tc>
          <w:tcPr>
            <w:tcW w:w="0" w:type="auto"/>
            <w:gridSpan w:val="2"/>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3152F4A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r>
      <w:tr w:rsidR="00C82CBF" w:rsidRPr="00C82CBF" w14:paraId="255E5526"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8D5D6C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Share-based compensation</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0E9E69C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6E4D32C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2A14E8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214DD22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1,530</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184F95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1,530</w:t>
            </w:r>
          </w:p>
        </w:tc>
      </w:tr>
      <w:tr w:rsidR="00C82CBF" w:rsidRPr="00C82CBF" w14:paraId="0A902DE8"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EF564C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Bonuses settled in shares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1727F53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72F63CE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6B8B5D8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5C900EB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D92248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r>
      <w:tr w:rsidR="00C82CBF" w:rsidRPr="00C82CBF" w14:paraId="7C7B87CA"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83DCF1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Value of conversion rights on convertible bonds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563F36F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522D959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39D0FAE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213748F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1,552</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0F6F0A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1,552</w:t>
            </w:r>
          </w:p>
        </w:tc>
      </w:tr>
      <w:tr w:rsidR="00C82CBF" w:rsidRPr="00C82CBF" w14:paraId="77688989"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A154F0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Shares issued for cash</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0E84FF0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1F38A0B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A793E0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784E68D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(1,557)</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317E99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r>
      <w:tr w:rsidR="00C82CBF" w:rsidRPr="00C82CBF" w14:paraId="0F825A3E"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071449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Warrants exercised/ issued</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460CCB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0995D7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6A4A32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513A80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E22938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r>
      <w:tr w:rsidR="00C82CBF" w:rsidRPr="00C82CBF" w14:paraId="568A4AC8"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6CCB8F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Options exercised</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6E1B22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B7C5FC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D7243E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3A4F2F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(558)</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5A0A41C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2,115</w:t>
            </w:r>
          </w:p>
        </w:tc>
      </w:tr>
      <w:tr w:rsidR="00C82CBF" w:rsidRPr="00C82CBF" w14:paraId="16328782"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263AC2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transactions with owners, recognized directly in equity</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4D12C2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7981DB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62</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1B9339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8FC616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905</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5324FF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5,197</w:t>
            </w:r>
          </w:p>
        </w:tc>
      </w:tr>
      <w:tr w:rsidR="00C82CBF" w:rsidRPr="00C82CBF" w14:paraId="774A672F"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B85325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30 June 2020</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FE9CCB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76035E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4,936</w:t>
            </w:r>
          </w:p>
        </w:tc>
        <w:tc>
          <w:tcPr>
            <w:tcW w:w="0" w:type="auto"/>
            <w:gridSpan w:val="3"/>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101484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(666)</w:t>
            </w:r>
          </w:p>
        </w:tc>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93D647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(312,513)</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344F3D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142,954</w:t>
            </w:r>
          </w:p>
        </w:tc>
      </w:tr>
      <w:tr w:rsidR="00C82CBF" w:rsidRPr="00C82CBF" w14:paraId="3CFD5568" w14:textId="77777777" w:rsidTr="00C82CBF">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7C657ED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5CC074B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single" w:sz="8" w:space="0" w:color="000000"/>
              <w:right w:val="nil"/>
            </w:tcBorders>
            <w:tcMar>
              <w:top w:w="0" w:type="dxa"/>
              <w:left w:w="120" w:type="dxa"/>
              <w:bottom w:w="0" w:type="dxa"/>
              <w:right w:w="160" w:type="dxa"/>
            </w:tcMar>
            <w:vAlign w:val="bottom"/>
            <w:hideMark/>
          </w:tcPr>
          <w:p w14:paraId="5E49A21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7"/>
            <w:tcBorders>
              <w:top w:val="single" w:sz="8" w:space="0" w:color="000000"/>
              <w:left w:val="nil"/>
              <w:bottom w:val="single" w:sz="8" w:space="0" w:color="000000"/>
              <w:right w:val="single" w:sz="8" w:space="0" w:color="000000"/>
            </w:tcBorders>
            <w:tcMar>
              <w:top w:w="0" w:type="dxa"/>
              <w:left w:w="120" w:type="dxa"/>
              <w:bottom w:w="0" w:type="dxa"/>
              <w:right w:w="160" w:type="dxa"/>
            </w:tcMar>
            <w:vAlign w:val="bottom"/>
            <w:hideMark/>
          </w:tcPr>
          <w:p w14:paraId="49DCF70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6744236C"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DC2416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1 January 2021</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00542FB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8B644E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5,632</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37E6D8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14,227</w:t>
            </w:r>
          </w:p>
        </w:tc>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43D5FF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(288,527)</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198355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183,435</w:t>
            </w:r>
          </w:p>
        </w:tc>
      </w:tr>
      <w:tr w:rsidR="00C82CBF" w:rsidRPr="00C82CBF" w14:paraId="4F110214"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C0FE2F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Result for the year</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4883EE4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085A23D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051DD27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641FCD2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14,352</w:t>
            </w:r>
          </w:p>
        </w:tc>
        <w:tc>
          <w:tcPr>
            <w:tcW w:w="0" w:type="auto"/>
            <w:gridSpan w:val="2"/>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330E84F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14,352</w:t>
            </w:r>
          </w:p>
        </w:tc>
      </w:tr>
      <w:tr w:rsidR="00C82CBF" w:rsidRPr="00C82CBF" w14:paraId="7BC7539D"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A89922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comprehensive income (loss) for the half-year</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AB7E62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C059B7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E2B207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(5,582)</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078A54F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0E9935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(5,582)</w:t>
            </w:r>
          </w:p>
        </w:tc>
      </w:tr>
      <w:tr w:rsidR="00C82CBF" w:rsidRPr="00C82CBF" w14:paraId="0D8DAA92"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8DF9F6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comprehensive income (loss) for the half-year</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5F3058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7275D4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C32AC8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(5,582)</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F11D6B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14,352</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A67073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8,770</w:t>
            </w:r>
          </w:p>
        </w:tc>
      </w:tr>
      <w:tr w:rsidR="00C82CBF" w:rsidRPr="00C82CBF" w14:paraId="7F4207F4"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ED55CB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Legal reserves development expenses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2A536CE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5D85437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388</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C790D0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2AF4E01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(388)</w:t>
            </w:r>
          </w:p>
        </w:tc>
        <w:tc>
          <w:tcPr>
            <w:tcW w:w="0" w:type="auto"/>
            <w:gridSpan w:val="2"/>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0F45AE7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r>
      <w:tr w:rsidR="00C82CBF" w:rsidRPr="00C82CBF" w14:paraId="60D170B6"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33812D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Income Tax expense from excess tax deductions related to Share-based payments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39380EB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369A1E7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18F586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033E4DF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(1,794)</w:t>
            </w:r>
          </w:p>
        </w:tc>
        <w:tc>
          <w:tcPr>
            <w:tcW w:w="0" w:type="auto"/>
            <w:gridSpan w:val="2"/>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0841D69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(1,794)</w:t>
            </w:r>
          </w:p>
        </w:tc>
      </w:tr>
      <w:tr w:rsidR="00C82CBF" w:rsidRPr="00C82CBF" w14:paraId="429964A1"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DDDE68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Share-based compensation</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24E098B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5750552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3FDF0EA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6B4329C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3,527</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AA6F88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3,793</w:t>
            </w:r>
          </w:p>
        </w:tc>
      </w:tr>
      <w:tr w:rsidR="00C82CBF" w:rsidRPr="00C82CBF" w14:paraId="4C2F92A0"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1B64B8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Bonuses settled in shares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197D62F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7A4AC2D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122CBB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4EEEECB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EFB5D1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r>
      <w:tr w:rsidR="00C82CBF" w:rsidRPr="00C82CBF" w14:paraId="7F1E83AB"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818D85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Shares issued for cash</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C30881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CE2290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0B4C0A3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F30CDB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E521C9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r>
      <w:tr w:rsidR="00C82CBF" w:rsidRPr="00C82CBF" w14:paraId="25F2BC7D"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0AE42A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Warrants exercised/ issued</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83F497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EF1794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0C64A9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229879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E43467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21</w:t>
            </w:r>
          </w:p>
        </w:tc>
      </w:tr>
      <w:tr w:rsidR="00C82CBF" w:rsidRPr="00C82CBF" w14:paraId="795A7AEB"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C35D40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Options exercised</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8153CA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1C5DB8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E833DE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BEAB6C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(4,028)</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6731E3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3,847</w:t>
            </w:r>
          </w:p>
        </w:tc>
      </w:tr>
      <w:tr w:rsidR="00C82CBF" w:rsidRPr="00C82CBF" w14:paraId="7A27FFE0"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F2A74E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transactions with owners, recognized directly in equity</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AD341D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591CE5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388</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5A5B56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12CE31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(2,683)</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20FFB4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5,867</w:t>
            </w:r>
          </w:p>
        </w:tc>
      </w:tr>
      <w:tr w:rsidR="00C82CBF" w:rsidRPr="00C82CBF" w14:paraId="7085E489"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B9024D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30 June 2021</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3E23EA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98B1BF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6,020</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8BD61A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8,645</w:t>
            </w:r>
          </w:p>
        </w:tc>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458D62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(276,858)</w:t>
            </w:r>
          </w:p>
        </w:tc>
        <w:tc>
          <w:tcPr>
            <w:tcW w:w="0" w:type="auto"/>
            <w:gridSpan w:val="2"/>
            <w:tcBorders>
              <w:top w:val="single" w:sz="8" w:space="0" w:color="000000"/>
              <w:left w:val="single" w:sz="8" w:space="0" w:color="000000"/>
              <w:bottom w:val="single" w:sz="8" w:space="0" w:color="000000"/>
              <w:right w:val="single" w:sz="8" w:space="0" w:color="000000"/>
            </w:tcBorders>
            <w:noWrap/>
            <w:tcMar>
              <w:top w:w="0" w:type="dxa"/>
              <w:left w:w="120" w:type="dxa"/>
              <w:bottom w:w="0" w:type="dxa"/>
              <w:right w:w="160" w:type="dxa"/>
            </w:tcMar>
            <w:vAlign w:val="bottom"/>
            <w:hideMark/>
          </w:tcPr>
          <w:p w14:paraId="4F1B973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198,072</w:t>
            </w:r>
          </w:p>
        </w:tc>
      </w:tr>
      <w:tr w:rsidR="00C82CBF" w:rsidRPr="00C82CBF" w14:paraId="0A430842" w14:textId="77777777" w:rsidTr="00C82CBF">
        <w:tc>
          <w:tcPr>
            <w:tcW w:w="0" w:type="auto"/>
            <w:tcBorders>
              <w:top w:val="nil"/>
              <w:left w:val="nil"/>
              <w:bottom w:val="nil"/>
              <w:right w:val="nil"/>
            </w:tcBorders>
            <w:tcMar>
              <w:top w:w="0" w:type="dxa"/>
              <w:left w:w="120" w:type="dxa"/>
              <w:bottom w:w="0" w:type="dxa"/>
              <w:right w:w="160" w:type="dxa"/>
            </w:tcMar>
            <w:vAlign w:val="bottom"/>
            <w:hideMark/>
          </w:tcPr>
          <w:p w14:paraId="5B9D52C1"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3D7CA10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713AB7D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74AB0685"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602619AB"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30B3B0FB"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78994A52"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2BC5346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4777728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4C71D0E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45690829"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696AF498"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4736540B"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bl>
    <w:p w14:paraId="25D087E1"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w:t>
      </w:r>
    </w:p>
    <w:p w14:paraId="3D91DE22"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45821B02"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267026B3"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2ABAE7B1"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30C28E95"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0B05AC60"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2620C74C"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268D81DE"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4BA6AA61" w14:textId="77777777"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48A092C9" w14:textId="1DBBE0AA"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lastRenderedPageBreak/>
        <w:t xml:space="preserve"> </w:t>
      </w:r>
    </w:p>
    <w:p w14:paraId="532BF572" w14:textId="77777777" w:rsidR="00C82CBF" w:rsidRPr="00C82CBF" w:rsidRDefault="00C82CBF" w:rsidP="00C82CBF">
      <w:pPr>
        <w:spacing w:after="15" w:line="240" w:lineRule="auto"/>
        <w:rPr>
          <w:rFonts w:ascii="Arial" w:eastAsia="Times New Roman" w:hAnsi="Arial" w:cs="Arial"/>
          <w:color w:val="000000"/>
          <w:sz w:val="20"/>
          <w:szCs w:val="20"/>
          <w:lang w:eastAsia="en-GB"/>
        </w:rPr>
      </w:pPr>
    </w:p>
    <w:tbl>
      <w:tblPr>
        <w:tblW w:w="0" w:type="auto"/>
        <w:tblCellMar>
          <w:left w:w="0" w:type="dxa"/>
          <w:right w:w="0" w:type="dxa"/>
        </w:tblCellMar>
        <w:tblLook w:val="04A0" w:firstRow="1" w:lastRow="0" w:firstColumn="1" w:lastColumn="0" w:noHBand="0" w:noVBand="1"/>
      </w:tblPr>
      <w:tblGrid>
        <w:gridCol w:w="4996"/>
        <w:gridCol w:w="863"/>
        <w:gridCol w:w="863"/>
      </w:tblGrid>
      <w:tr w:rsidR="00C82CBF" w:rsidRPr="00C82CBF" w14:paraId="03729156"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5873FAB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CONDENSED CONSOLIDATED STATEMENT OF CASH FLOWS</w:t>
            </w:r>
          </w:p>
        </w:tc>
        <w:tc>
          <w:tcPr>
            <w:tcW w:w="0" w:type="auto"/>
            <w:tcBorders>
              <w:top w:val="nil"/>
              <w:left w:val="nil"/>
              <w:bottom w:val="nil"/>
              <w:right w:val="nil"/>
            </w:tcBorders>
            <w:tcMar>
              <w:top w:w="0" w:type="dxa"/>
              <w:left w:w="120" w:type="dxa"/>
              <w:bottom w:w="0" w:type="dxa"/>
              <w:right w:w="160" w:type="dxa"/>
            </w:tcMar>
            <w:vAlign w:val="bottom"/>
            <w:hideMark/>
          </w:tcPr>
          <w:p w14:paraId="74672D2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353D159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7F4A5A56"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5D3E424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 the 6-month period ended 30 June</w:t>
            </w:r>
          </w:p>
        </w:tc>
        <w:tc>
          <w:tcPr>
            <w:tcW w:w="0" w:type="auto"/>
            <w:tcBorders>
              <w:top w:val="nil"/>
              <w:left w:val="nil"/>
              <w:bottom w:val="nil"/>
              <w:right w:val="nil"/>
            </w:tcBorders>
            <w:tcMar>
              <w:top w:w="0" w:type="dxa"/>
              <w:left w:w="120" w:type="dxa"/>
              <w:bottom w:w="0" w:type="dxa"/>
              <w:right w:w="160" w:type="dxa"/>
            </w:tcMar>
            <w:vAlign w:val="bottom"/>
            <w:hideMark/>
          </w:tcPr>
          <w:p w14:paraId="38821DF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72C4B46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6A5A680D" w14:textId="77777777" w:rsidTr="00C82CBF">
        <w:tc>
          <w:tcPr>
            <w:tcW w:w="0" w:type="auto"/>
            <w:tcBorders>
              <w:top w:val="outset" w:sz="6" w:space="0" w:color="auto"/>
              <w:left w:val="outset" w:sz="6" w:space="0" w:color="auto"/>
              <w:bottom w:val="outset" w:sz="6" w:space="0" w:color="auto"/>
              <w:right w:val="nil"/>
            </w:tcBorders>
            <w:tcMar>
              <w:top w:w="0" w:type="dxa"/>
              <w:left w:w="120" w:type="dxa"/>
              <w:bottom w:w="0" w:type="dxa"/>
              <w:right w:w="120" w:type="dxa"/>
            </w:tcMar>
            <w:vAlign w:val="bottom"/>
            <w:hideMark/>
          </w:tcPr>
          <w:p w14:paraId="6278A3F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$'000</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4937AF1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2021</w:t>
            </w:r>
          </w:p>
        </w:tc>
        <w:tc>
          <w:tcPr>
            <w:tcW w:w="0" w:type="auto"/>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78442C0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2020</w:t>
            </w:r>
          </w:p>
        </w:tc>
      </w:tr>
      <w:tr w:rsidR="00C82CBF" w:rsidRPr="00C82CBF" w14:paraId="7F34B945" w14:textId="77777777" w:rsidTr="00C82CBF">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2956B4A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Profit before tax</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E5C72A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20,024</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BA68B2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28,892</w:t>
            </w:r>
          </w:p>
        </w:tc>
      </w:tr>
      <w:tr w:rsidR="00C82CBF" w:rsidRPr="00C82CBF" w14:paraId="52B8BFAD"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4B47A1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i/>
                <w:iCs/>
                <w:color w:val="000000"/>
                <w:sz w:val="16"/>
                <w:szCs w:val="16"/>
                <w:lang w:eastAsia="en-GB"/>
              </w:rPr>
              <w:t>Non-cash adjustments: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3ABB842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6CA1C9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03A7D5C2"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49E275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Depreciation, amortization, impairment</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1258FA9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4,518</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A93657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3,447</w:t>
            </w:r>
          </w:p>
        </w:tc>
      </w:tr>
      <w:tr w:rsidR="00C82CBF" w:rsidRPr="00C82CBF" w14:paraId="4E2D486E"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8C0130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Equity settled share-based payments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5BA692B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3,793</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0573F8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1,536</w:t>
            </w:r>
          </w:p>
        </w:tc>
      </w:tr>
      <w:tr w:rsidR="00C82CBF" w:rsidRPr="00C82CBF" w14:paraId="7D6EFDDF"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A407FC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Fair value gain (loss) on revaluation of derivatives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771AFC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(44)</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3F716CF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(93)</w:t>
            </w:r>
          </w:p>
        </w:tc>
      </w:tr>
      <w:tr w:rsidR="00C82CBF" w:rsidRPr="00C82CBF" w14:paraId="516ABC1D"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60E5DA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finance income</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02BC36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(5,398)</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79F5452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(1,238)</w:t>
            </w:r>
          </w:p>
        </w:tc>
      </w:tr>
      <w:tr w:rsidR="00C82CBF" w:rsidRPr="00C82CBF" w14:paraId="3FB23BA9"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6BF816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xml:space="preserve">Other finance expense </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7BD2F55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2,958</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71C31E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8,252</w:t>
            </w:r>
          </w:p>
        </w:tc>
      </w:tr>
      <w:tr w:rsidR="00C82CBF" w:rsidRPr="00C82CBF" w14:paraId="50B9079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3A7A1B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 of net profits in associates using the equity method</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0F3520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(388)</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519EB60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(134)</w:t>
            </w:r>
          </w:p>
        </w:tc>
      </w:tr>
      <w:tr w:rsidR="00C82CBF" w:rsidRPr="00C82CBF" w14:paraId="715ED1B6"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6564699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5834BCB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229</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7A38D56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(36)</w:t>
            </w:r>
          </w:p>
        </w:tc>
      </w:tr>
      <w:tr w:rsidR="00C82CBF" w:rsidRPr="00C82CBF" w14:paraId="64024646"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DA02D7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Operating cash flows before changes in working capital</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64FD6C9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25,692</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93CFEA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40,626</w:t>
            </w:r>
          </w:p>
        </w:tc>
      </w:tr>
      <w:tr w:rsidR="00C82CBF" w:rsidRPr="00C82CBF" w14:paraId="43D8621D"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64EE41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i/>
                <w:iCs/>
                <w:color w:val="000000"/>
                <w:sz w:val="16"/>
                <w:szCs w:val="16"/>
                <w:lang w:eastAsia="en-GB"/>
              </w:rPr>
              <w:t>Changes in working capital:</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B90249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1CF5DB78"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F38C14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Inventories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F5BE3B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(3,150)</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233AAC6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(1,939)</w:t>
            </w:r>
          </w:p>
        </w:tc>
      </w:tr>
      <w:tr w:rsidR="00C82CBF" w:rsidRPr="00C82CBF" w14:paraId="5B9A98A9"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EF1467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Trade and other receivables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928FBB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(1,649)</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244DE6C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(717)</w:t>
            </w:r>
          </w:p>
        </w:tc>
      </w:tr>
      <w:tr w:rsidR="00C82CBF" w:rsidRPr="00C82CBF" w14:paraId="17BD7A46"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4DF72B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Payables and other current liabilities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B40E93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(4,542)</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43EC94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6,435</w:t>
            </w:r>
          </w:p>
        </w:tc>
      </w:tr>
      <w:tr w:rsidR="00C82CBF" w:rsidRPr="00C82CBF" w14:paraId="41869590"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B08871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Restricted Cash</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7133C8B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24</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6AA7C6E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w:t>
            </w:r>
          </w:p>
        </w:tc>
      </w:tr>
      <w:tr w:rsidR="00C82CBF" w:rsidRPr="00C82CBF" w14:paraId="00172D81"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632482A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changes in working capital</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AB4927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(9,317)</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C62A9C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3,775</w:t>
            </w:r>
          </w:p>
        </w:tc>
      </w:tr>
      <w:tr w:rsidR="00C82CBF" w:rsidRPr="00C82CBF" w14:paraId="216F06EF"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4395FE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Interest received</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8217AB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43</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76E66E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529</w:t>
            </w:r>
          </w:p>
        </w:tc>
      </w:tr>
      <w:tr w:rsidR="00C82CBF" w:rsidRPr="00C82CBF" w14:paraId="4FCAF03B"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B69D63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Income taxes paid</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64AE7B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2A785F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(55)</w:t>
            </w:r>
          </w:p>
        </w:tc>
      </w:tr>
      <w:tr w:rsidR="00C82CBF" w:rsidRPr="00C82CBF" w14:paraId="45761EE4" w14:textId="77777777" w:rsidTr="00C82CBF">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376ED45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31D3C27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23D88BC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3CF56674"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F8BD80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Net cash flows generated from (used in) operating activities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2EAB40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16,418</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51080D5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44,875</w:t>
            </w:r>
          </w:p>
        </w:tc>
      </w:tr>
      <w:tr w:rsidR="00C82CBF" w:rsidRPr="00C82CBF" w14:paraId="26CFFC7D" w14:textId="77777777" w:rsidTr="00C82CBF">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2D68366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1FCB59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4E5D4972"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416009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Capital expenditure for property, plant and equipment</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B211E4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(5,436)</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30948FC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(1,143)</w:t>
            </w:r>
          </w:p>
        </w:tc>
      </w:tr>
      <w:tr w:rsidR="00C82CBF" w:rsidRPr="00C82CBF" w14:paraId="5D56E4EC"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6BD7671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Investment intangible assets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199CA0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(1,206)</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43E9044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(254)</w:t>
            </w:r>
          </w:p>
        </w:tc>
      </w:tr>
      <w:tr w:rsidR="00C82CBF" w:rsidRPr="00C82CBF" w14:paraId="2F026916"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999219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Investment in associate</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2AAF20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314C62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w:t>
            </w:r>
          </w:p>
        </w:tc>
      </w:tr>
      <w:tr w:rsidR="00C82CBF" w:rsidRPr="00C82CBF" w14:paraId="469114DB"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A863D3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Acquisition of license</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AE6769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(1,083)</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660470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(8,767)</w:t>
            </w:r>
          </w:p>
        </w:tc>
      </w:tr>
      <w:tr w:rsidR="00C82CBF" w:rsidRPr="00C82CBF" w14:paraId="6BA5CAEF" w14:textId="77777777" w:rsidTr="00C82CBF">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46D9FC6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single" w:sz="8" w:space="0" w:color="000000"/>
              <w:right w:val="nil"/>
            </w:tcBorders>
            <w:tcMar>
              <w:top w:w="0" w:type="dxa"/>
              <w:left w:w="120" w:type="dxa"/>
              <w:bottom w:w="0" w:type="dxa"/>
              <w:right w:w="160" w:type="dxa"/>
            </w:tcMar>
            <w:vAlign w:val="bottom"/>
            <w:hideMark/>
          </w:tcPr>
          <w:p w14:paraId="33B6173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5643B7DD"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2671BD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Net cash flows used in investing activities</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8A52D5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(7,725)</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3C8B7E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(10,178)</w:t>
            </w:r>
          </w:p>
        </w:tc>
      </w:tr>
      <w:tr w:rsidR="00C82CBF" w:rsidRPr="00C82CBF" w14:paraId="73E72CEB"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EF173C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Repayment on loans and borrowings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0FF4432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28C04A1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(55,117)</w:t>
            </w:r>
          </w:p>
        </w:tc>
      </w:tr>
      <w:tr w:rsidR="00C82CBF" w:rsidRPr="00C82CBF" w14:paraId="507F402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6B3280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Payment on contingent consideration</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213B41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(25,000)</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68EFBF0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(20,025)</w:t>
            </w:r>
          </w:p>
        </w:tc>
      </w:tr>
      <w:tr w:rsidR="00C82CBF" w:rsidRPr="00C82CBF" w14:paraId="5BB47F76"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CCC501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Payment of lease liabilities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5293FE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(1,618)</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1A842CB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(1,548)</w:t>
            </w:r>
          </w:p>
        </w:tc>
      </w:tr>
      <w:tr w:rsidR="00C82CBF" w:rsidRPr="00C82CBF" w14:paraId="491BEEBF"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68AABE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Proceeds of issued convertible bonds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00F2B00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9583CA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135,470</w:t>
            </w:r>
          </w:p>
        </w:tc>
      </w:tr>
      <w:tr w:rsidR="00C82CBF" w:rsidRPr="00C82CBF" w14:paraId="5630B47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FA2E23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Interests on loans and leases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6CC2C3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(2,261)</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51CA3A7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(795)</w:t>
            </w:r>
          </w:p>
        </w:tc>
      </w:tr>
      <w:tr w:rsidR="00C82CBF" w:rsidRPr="00C82CBF" w14:paraId="0C792A8C"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58790D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Proceeds of equity and warrants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CCC8BF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3,867</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E22EA0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2,116</w:t>
            </w:r>
          </w:p>
        </w:tc>
      </w:tr>
      <w:tr w:rsidR="00C82CBF" w:rsidRPr="00C82CBF" w14:paraId="0B14F88F" w14:textId="77777777" w:rsidTr="00C82CBF">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1F61F71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single" w:sz="8" w:space="0" w:color="000000"/>
              <w:right w:val="nil"/>
            </w:tcBorders>
            <w:tcMar>
              <w:top w:w="0" w:type="dxa"/>
              <w:left w:w="120" w:type="dxa"/>
              <w:bottom w:w="0" w:type="dxa"/>
              <w:right w:w="160" w:type="dxa"/>
            </w:tcMar>
            <w:vAlign w:val="bottom"/>
            <w:hideMark/>
          </w:tcPr>
          <w:p w14:paraId="0C50994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79A2EE8B"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E904F8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Net cash flows generated from (used in) financing activities</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147D61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(25,012)</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BEE223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60,101</w:t>
            </w:r>
          </w:p>
        </w:tc>
      </w:tr>
      <w:tr w:rsidR="00C82CBF" w:rsidRPr="00C82CBF" w14:paraId="19A364A1"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AA6399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Increase (decrease) of cash</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5FD244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(16,319)</w:t>
            </w:r>
          </w:p>
        </w:tc>
        <w:tc>
          <w:tcPr>
            <w:tcW w:w="0" w:type="auto"/>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6B64EB4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94,798</w:t>
            </w:r>
          </w:p>
        </w:tc>
      </w:tr>
      <w:tr w:rsidR="00C82CBF" w:rsidRPr="00C82CBF" w14:paraId="2F3F2C17"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C5839F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Exchange rate effects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FB3E15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(537)</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2D98E9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2,062</w:t>
            </w:r>
          </w:p>
        </w:tc>
      </w:tr>
      <w:tr w:rsidR="00C82CBF" w:rsidRPr="00C82CBF" w14:paraId="1AB2CB37"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58B38E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Cash and cash equivalents at 1 January</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913123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205,159</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BAEC47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74,348</w:t>
            </w:r>
          </w:p>
        </w:tc>
      </w:tr>
      <w:tr w:rsidR="00C82CBF" w:rsidRPr="00C82CBF" w14:paraId="4686959E" w14:textId="77777777" w:rsidTr="00C82CBF">
        <w:tc>
          <w:tcPr>
            <w:tcW w:w="0" w:type="auto"/>
            <w:tcBorders>
              <w:top w:val="nil"/>
              <w:left w:val="nil"/>
              <w:bottom w:val="single" w:sz="8" w:space="0" w:color="000000"/>
              <w:right w:val="nil"/>
            </w:tcBorders>
            <w:tcMar>
              <w:top w:w="0" w:type="dxa"/>
              <w:left w:w="120" w:type="dxa"/>
              <w:bottom w:w="0" w:type="dxa"/>
              <w:right w:w="160" w:type="dxa"/>
            </w:tcMar>
            <w:vAlign w:val="bottom"/>
            <w:hideMark/>
          </w:tcPr>
          <w:p w14:paraId="582ABE3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2"/>
            <w:tcBorders>
              <w:top w:val="nil"/>
              <w:left w:val="nil"/>
              <w:bottom w:val="single" w:sz="8" w:space="0" w:color="000000"/>
              <w:right w:val="nil"/>
            </w:tcBorders>
            <w:tcMar>
              <w:top w:w="0" w:type="dxa"/>
              <w:left w:w="120" w:type="dxa"/>
              <w:bottom w:w="0" w:type="dxa"/>
              <w:right w:w="160" w:type="dxa"/>
            </w:tcMar>
            <w:vAlign w:val="bottom"/>
            <w:hideMark/>
          </w:tcPr>
          <w:p w14:paraId="7AD1326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5A5CC04B"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426BB4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cash and cash equivalents at 30 June</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CEB1CF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188,303</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2C3BDF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171,208</w:t>
            </w:r>
          </w:p>
        </w:tc>
      </w:tr>
    </w:tbl>
    <w:p w14:paraId="3349E360"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 xml:space="preserve">Notes to the condensed consolidated financial statements </w:t>
      </w:r>
      <w:r w:rsidRPr="00C82CBF">
        <w:rPr>
          <w:rFonts w:ascii="Arial" w:eastAsia="Times New Roman" w:hAnsi="Arial" w:cs="Arial"/>
          <w:b/>
          <w:bCs/>
          <w:color w:val="000000"/>
          <w:sz w:val="20"/>
          <w:szCs w:val="20"/>
          <w:lang w:eastAsia="en-GB"/>
        </w:rPr>
        <w:br/>
        <w:t>For the period ended 30 June 2021</w:t>
      </w:r>
    </w:p>
    <w:p w14:paraId="34A4A375"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1. </w:t>
      </w:r>
      <w:r w:rsidRPr="00C82CBF">
        <w:rPr>
          <w:rFonts w:ascii="Arial" w:eastAsia="Times New Roman" w:hAnsi="Arial" w:cs="Arial"/>
          <w:i/>
          <w:iCs/>
          <w:color w:val="000000"/>
          <w:sz w:val="20"/>
          <w:szCs w:val="20"/>
          <w:lang w:eastAsia="en-GB"/>
        </w:rPr>
        <w:t>Company information</w:t>
      </w:r>
    </w:p>
    <w:p w14:paraId="2B1F8138"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Pharming Group N.V. is a limited liability public company which is listed on Euronext Amsterdam (PHARM) and on the NASDAQ (PHAR), with its headquarters and registered office located at:</w:t>
      </w:r>
    </w:p>
    <w:p w14:paraId="72AD0048"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roofErr w:type="spellStart"/>
      <w:r w:rsidRPr="00C82CBF">
        <w:rPr>
          <w:rFonts w:ascii="Arial" w:eastAsia="Times New Roman" w:hAnsi="Arial" w:cs="Arial"/>
          <w:color w:val="000000"/>
          <w:sz w:val="20"/>
          <w:szCs w:val="20"/>
          <w:lang w:eastAsia="en-GB"/>
        </w:rPr>
        <w:t>Darwinweg</w:t>
      </w:r>
      <w:proofErr w:type="spellEnd"/>
      <w:r w:rsidRPr="00C82CBF">
        <w:rPr>
          <w:rFonts w:ascii="Arial" w:eastAsia="Times New Roman" w:hAnsi="Arial" w:cs="Arial"/>
          <w:color w:val="000000"/>
          <w:sz w:val="20"/>
          <w:szCs w:val="20"/>
          <w:lang w:eastAsia="en-GB"/>
        </w:rPr>
        <w:t xml:space="preserve"> 24</w:t>
      </w:r>
      <w:r w:rsidRPr="00C82CBF">
        <w:rPr>
          <w:rFonts w:ascii="Arial" w:eastAsia="Times New Roman" w:hAnsi="Arial" w:cs="Arial"/>
          <w:color w:val="000000"/>
          <w:sz w:val="20"/>
          <w:szCs w:val="20"/>
          <w:lang w:eastAsia="en-GB"/>
        </w:rPr>
        <w:br/>
        <w:t>2333 CR Leiden</w:t>
      </w:r>
      <w:r w:rsidRPr="00C82CBF">
        <w:rPr>
          <w:rFonts w:ascii="Arial" w:eastAsia="Times New Roman" w:hAnsi="Arial" w:cs="Arial"/>
          <w:color w:val="000000"/>
          <w:sz w:val="20"/>
          <w:szCs w:val="20"/>
          <w:lang w:eastAsia="en-GB"/>
        </w:rPr>
        <w:br/>
        <w:t>The Netherlands</w:t>
      </w:r>
    </w:p>
    <w:p w14:paraId="71F0BA2C"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2. Basis of preparation</w:t>
      </w:r>
    </w:p>
    <w:p w14:paraId="3B23191B"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The consolidated interim financial statements for the six-month period ended 30 June 2021 have been prepared in accordance with International Financial Reporting Standards (IFRS) and IFRS interpretations committee (IFRS IC) interpretations applicable to companies reporting under IFRS as endorsed by the European Union and valid as of the balance sheet date. The consolidated financial statements have been prepared under the historical cost convention. The condensed interim financial </w:t>
      </w:r>
      <w:r w:rsidRPr="00C82CBF">
        <w:rPr>
          <w:rFonts w:ascii="Arial" w:eastAsia="Times New Roman" w:hAnsi="Arial" w:cs="Arial"/>
          <w:color w:val="000000"/>
          <w:sz w:val="20"/>
          <w:szCs w:val="20"/>
          <w:lang w:eastAsia="en-GB"/>
        </w:rPr>
        <w:lastRenderedPageBreak/>
        <w:t>statements should be read in conjunction with the annual financial statements for the year ended 31 December 2020.</w:t>
      </w:r>
    </w:p>
    <w:p w14:paraId="4C86E2AC"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3. Accounting policies</w:t>
      </w:r>
    </w:p>
    <w:p w14:paraId="6DB2AD5C"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Accounting policies are consistent with those of the financial statements for the year ended 31 December 2020.</w:t>
      </w:r>
    </w:p>
    <w:p w14:paraId="7AB18A32"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4. Estimates and judgements</w:t>
      </w:r>
    </w:p>
    <w:p w14:paraId="080F9009"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preparation of interim financial statements in conformity with IFRS and Book 2 Title 9 of the Dutch Civil Code requires the use of certain critical accounting estimates. It also requires management to exercise its judgement in the process of applying the Company's accounting policies. In preparing these condensed interim financial statements, the significant judgements made by management in applying the Company's accounting policies were the same as those applied to the consolidated financial statements for the year ended 31 December 2020.</w:t>
      </w:r>
    </w:p>
    <w:p w14:paraId="58156416"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5. Going concern</w:t>
      </w:r>
    </w:p>
    <w:p w14:paraId="47AD9062"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In preparing and finishing the interim financial statements the Board of Directors of Pharming have assessed the Company's ability to fund its operations for a period of at least twelve months after the date the interim financial statements are issued. Based upon the assessment on a going concern basis, the Company has concluded that funding of its operations for a period of twelve months, after the date the interim financial statements are issued, is realistic and achievable. Overall, based on the outcome of this assessment, the interim financial statements have been prepared on a going concern basis.</w:t>
      </w:r>
    </w:p>
    <w:p w14:paraId="6888EB1F"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6. Seasonality of operations</w:t>
      </w:r>
    </w:p>
    <w:p w14:paraId="67B0F733"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Seasonality has no material impact on Company's interim financial statements.</w:t>
      </w:r>
    </w:p>
    <w:p w14:paraId="0B0851CC"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7. Segment information</w:t>
      </w:r>
    </w:p>
    <w:p w14:paraId="5936B2A9"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The Board of Directors consider the business from both a product and  geographic perspective. From a product perspective, the Company's business is exclusively related to the recombinant human </w:t>
      </w:r>
      <w:proofErr w:type="spellStart"/>
      <w:r w:rsidRPr="00C82CBF">
        <w:rPr>
          <w:rFonts w:ascii="Arial" w:eastAsia="Times New Roman" w:hAnsi="Arial" w:cs="Arial"/>
          <w:color w:val="000000"/>
          <w:sz w:val="20"/>
          <w:szCs w:val="20"/>
          <w:lang w:eastAsia="en-GB"/>
        </w:rPr>
        <w:t>C1</w:t>
      </w:r>
      <w:proofErr w:type="spellEnd"/>
      <w:r w:rsidRPr="00C82CBF">
        <w:rPr>
          <w:rFonts w:ascii="Arial" w:eastAsia="Times New Roman" w:hAnsi="Arial" w:cs="Arial"/>
          <w:color w:val="000000"/>
          <w:sz w:val="20"/>
          <w:szCs w:val="20"/>
          <w:lang w:eastAsia="en-GB"/>
        </w:rPr>
        <w:t xml:space="preserve"> esterase inhibitor business. From a geographic perspective, the Company is operating in the US, Europe and </w:t>
      </w:r>
      <w:proofErr w:type="spellStart"/>
      <w:r w:rsidRPr="00C82CBF">
        <w:rPr>
          <w:rFonts w:ascii="Arial" w:eastAsia="Times New Roman" w:hAnsi="Arial" w:cs="Arial"/>
          <w:color w:val="000000"/>
          <w:sz w:val="20"/>
          <w:szCs w:val="20"/>
          <w:lang w:eastAsia="en-GB"/>
        </w:rPr>
        <w:t>RoW</w:t>
      </w:r>
      <w:proofErr w:type="spellEnd"/>
      <w:r w:rsidRPr="00C82CBF">
        <w:rPr>
          <w:rFonts w:ascii="Arial" w:eastAsia="Times New Roman" w:hAnsi="Arial" w:cs="Arial"/>
          <w:color w:val="000000"/>
          <w:sz w:val="20"/>
          <w:szCs w:val="20"/>
          <w:lang w:eastAsia="en-GB"/>
        </w:rPr>
        <w:t>. The Board of Directors primarily measures revenues and gross profit to assess the performance of the geographic areas. Operating costs as well as non-current assets are not sub-allocated to the geographic areas.</w:t>
      </w:r>
    </w:p>
    <w:p w14:paraId="2270D609"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Total revenues and gross profit per geographic segment for the period ended 30 June:</w:t>
      </w:r>
    </w:p>
    <w:tbl>
      <w:tblPr>
        <w:tblW w:w="0" w:type="auto"/>
        <w:tblCellMar>
          <w:left w:w="0" w:type="dxa"/>
          <w:right w:w="0" w:type="dxa"/>
        </w:tblCellMar>
        <w:tblLook w:val="04A0" w:firstRow="1" w:lastRow="0" w:firstColumn="1" w:lastColumn="0" w:noHBand="0" w:noVBand="1"/>
      </w:tblPr>
      <w:tblGrid>
        <w:gridCol w:w="1739"/>
        <w:gridCol w:w="863"/>
        <w:gridCol w:w="863"/>
      </w:tblGrid>
      <w:tr w:rsidR="00C82CBF" w:rsidRPr="00C82CBF" w14:paraId="607FB4C7" w14:textId="77777777" w:rsidTr="00C82CBF">
        <w:tc>
          <w:tcPr>
            <w:tcW w:w="0" w:type="auto"/>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5DCFEC8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US$ '000</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0CB238B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2021</w:t>
            </w:r>
          </w:p>
        </w:tc>
        <w:tc>
          <w:tcPr>
            <w:tcW w:w="0" w:type="auto"/>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2C374C8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2020</w:t>
            </w:r>
          </w:p>
        </w:tc>
      </w:tr>
      <w:tr w:rsidR="00C82CBF" w:rsidRPr="00C82CBF" w14:paraId="5EAA6464"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E47190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Revenues: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898CAA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08A28A9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B08600C"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9DA455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US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5A3F65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90,079</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0E2E8DF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93,839</w:t>
            </w:r>
          </w:p>
        </w:tc>
      </w:tr>
      <w:tr w:rsidR="00C82CBF" w:rsidRPr="00C82CBF" w14:paraId="2395FAE4"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B596BB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xml:space="preserve">Europe &amp; </w:t>
            </w:r>
            <w:proofErr w:type="spellStart"/>
            <w:r w:rsidRPr="00C82CBF">
              <w:rPr>
                <w:rFonts w:ascii="Arial" w:eastAsia="Times New Roman" w:hAnsi="Arial" w:cs="Arial"/>
                <w:color w:val="000000"/>
                <w:sz w:val="16"/>
                <w:szCs w:val="16"/>
                <w:lang w:eastAsia="en-GB"/>
              </w:rPr>
              <w:t>RoW</w:t>
            </w:r>
            <w:proofErr w:type="spellEnd"/>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08771D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3,158</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7278E9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3,988</w:t>
            </w:r>
          </w:p>
        </w:tc>
      </w:tr>
      <w:tr w:rsidR="00C82CBF" w:rsidRPr="00C82CBF" w14:paraId="24FABDA4"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BC6D3F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revenues</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5BEB47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93,237</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201D741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97,827</w:t>
            </w:r>
          </w:p>
        </w:tc>
      </w:tr>
      <w:tr w:rsidR="00C82CBF" w:rsidRPr="00C82CBF" w14:paraId="17CA3D34"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24A140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Gross profit:</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EEEDCA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1C94E96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1D796BB9"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49ABD3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US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F5AED0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82,505</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5E4523C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85,102</w:t>
            </w:r>
          </w:p>
        </w:tc>
      </w:tr>
      <w:tr w:rsidR="00C82CBF" w:rsidRPr="00C82CBF" w14:paraId="15C7FF09"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6264C0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xml:space="preserve">Europe &amp; </w:t>
            </w:r>
            <w:proofErr w:type="spellStart"/>
            <w:r w:rsidRPr="00C82CBF">
              <w:rPr>
                <w:rFonts w:ascii="Arial" w:eastAsia="Times New Roman" w:hAnsi="Arial" w:cs="Arial"/>
                <w:color w:val="000000"/>
                <w:sz w:val="16"/>
                <w:szCs w:val="16"/>
                <w:lang w:eastAsia="en-GB"/>
              </w:rPr>
              <w:t>RoW</w:t>
            </w:r>
            <w:proofErr w:type="spellEnd"/>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640A99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1,245</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49B73DB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1,840</w:t>
            </w:r>
          </w:p>
        </w:tc>
      </w:tr>
      <w:tr w:rsidR="00C82CBF" w:rsidRPr="00C82CBF" w14:paraId="123DC461"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48FB66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gross profit</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855D88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83,750</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0615D1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86,942</w:t>
            </w:r>
          </w:p>
        </w:tc>
      </w:tr>
    </w:tbl>
    <w:p w14:paraId="66A38278"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8. Expenses by nature</w:t>
      </w:r>
    </w:p>
    <w:p w14:paraId="29D12F81"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Cost of sales in the first half year of 2021 amounted to </w:t>
      </w:r>
      <w:proofErr w:type="spellStart"/>
      <w:r w:rsidRPr="00C82CBF">
        <w:rPr>
          <w:rFonts w:ascii="Arial" w:eastAsia="Times New Roman" w:hAnsi="Arial" w:cs="Arial"/>
          <w:color w:val="000000"/>
          <w:sz w:val="20"/>
          <w:szCs w:val="20"/>
          <w:lang w:eastAsia="en-GB"/>
        </w:rPr>
        <w:t>US$9.5</w:t>
      </w:r>
      <w:proofErr w:type="spellEnd"/>
      <w:r w:rsidRPr="00C82CBF">
        <w:rPr>
          <w:rFonts w:ascii="Arial" w:eastAsia="Times New Roman" w:hAnsi="Arial" w:cs="Arial"/>
          <w:color w:val="000000"/>
          <w:sz w:val="20"/>
          <w:szCs w:val="20"/>
          <w:lang w:eastAsia="en-GB"/>
        </w:rPr>
        <w:t xml:space="preserve"> million (HY 2020: </w:t>
      </w:r>
      <w:proofErr w:type="spellStart"/>
      <w:r w:rsidRPr="00C82CBF">
        <w:rPr>
          <w:rFonts w:ascii="Arial" w:eastAsia="Times New Roman" w:hAnsi="Arial" w:cs="Arial"/>
          <w:color w:val="000000"/>
          <w:sz w:val="20"/>
          <w:szCs w:val="20"/>
          <w:lang w:eastAsia="en-GB"/>
        </w:rPr>
        <w:t>US$10.9</w:t>
      </w:r>
      <w:proofErr w:type="spellEnd"/>
      <w:r w:rsidRPr="00C82CBF">
        <w:rPr>
          <w:rFonts w:ascii="Arial" w:eastAsia="Times New Roman" w:hAnsi="Arial" w:cs="Arial"/>
          <w:color w:val="000000"/>
          <w:sz w:val="20"/>
          <w:szCs w:val="20"/>
          <w:lang w:eastAsia="en-GB"/>
        </w:rPr>
        <w:t xml:space="preserve"> million) and relate to actual product sales. </w:t>
      </w:r>
    </w:p>
    <w:p w14:paraId="59182FA5"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lastRenderedPageBreak/>
        <w:t xml:space="preserve">Other operating costs increased to </w:t>
      </w:r>
      <w:proofErr w:type="spellStart"/>
      <w:r w:rsidRPr="00C82CBF">
        <w:rPr>
          <w:rFonts w:ascii="Arial" w:eastAsia="Times New Roman" w:hAnsi="Arial" w:cs="Arial"/>
          <w:color w:val="000000"/>
          <w:sz w:val="20"/>
          <w:szCs w:val="20"/>
          <w:lang w:eastAsia="en-GB"/>
        </w:rPr>
        <w:t>US$68.0</w:t>
      </w:r>
      <w:proofErr w:type="spellEnd"/>
      <w:r w:rsidRPr="00C82CBF">
        <w:rPr>
          <w:rFonts w:ascii="Arial" w:eastAsia="Times New Roman" w:hAnsi="Arial" w:cs="Arial"/>
          <w:color w:val="000000"/>
          <w:sz w:val="20"/>
          <w:szCs w:val="20"/>
          <w:lang w:eastAsia="en-GB"/>
        </w:rPr>
        <w:t xml:space="preserve"> million compared to </w:t>
      </w:r>
      <w:proofErr w:type="spellStart"/>
      <w:r w:rsidRPr="00C82CBF">
        <w:rPr>
          <w:rFonts w:ascii="Arial" w:eastAsia="Times New Roman" w:hAnsi="Arial" w:cs="Arial"/>
          <w:color w:val="000000"/>
          <w:sz w:val="20"/>
          <w:szCs w:val="20"/>
          <w:lang w:eastAsia="en-GB"/>
        </w:rPr>
        <w:t>US$51.8</w:t>
      </w:r>
      <w:proofErr w:type="spellEnd"/>
      <w:r w:rsidRPr="00C82CBF">
        <w:rPr>
          <w:rFonts w:ascii="Arial" w:eastAsia="Times New Roman" w:hAnsi="Arial" w:cs="Arial"/>
          <w:color w:val="000000"/>
          <w:sz w:val="20"/>
          <w:szCs w:val="20"/>
          <w:lang w:eastAsia="en-GB"/>
        </w:rPr>
        <w:t xml:space="preserve"> million in the first half year of 2020. The increase was a combination of increased R&amp;D expenditure, launch preparation and manufacturing cost for </w:t>
      </w:r>
      <w:proofErr w:type="spellStart"/>
      <w:r w:rsidRPr="00C82CBF">
        <w:rPr>
          <w:rFonts w:ascii="Arial" w:eastAsia="Times New Roman" w:hAnsi="Arial" w:cs="Arial"/>
          <w:color w:val="000000"/>
          <w:sz w:val="20"/>
          <w:szCs w:val="20"/>
          <w:lang w:eastAsia="en-GB"/>
        </w:rPr>
        <w:t>leniolisib</w:t>
      </w:r>
      <w:proofErr w:type="spellEnd"/>
      <w:r w:rsidRPr="00C82CBF">
        <w:rPr>
          <w:rFonts w:ascii="Arial" w:eastAsia="Times New Roman" w:hAnsi="Arial" w:cs="Arial"/>
          <w:color w:val="000000"/>
          <w:sz w:val="20"/>
          <w:szCs w:val="20"/>
          <w:lang w:eastAsia="en-GB"/>
        </w:rPr>
        <w:t>, an increase in employee numbers supporting company growth (</w:t>
      </w:r>
      <w:proofErr w:type="spellStart"/>
      <w:r w:rsidRPr="00C82CBF">
        <w:rPr>
          <w:rFonts w:ascii="Arial" w:eastAsia="Times New Roman" w:hAnsi="Arial" w:cs="Arial"/>
          <w:color w:val="000000"/>
          <w:sz w:val="20"/>
          <w:szCs w:val="20"/>
          <w:lang w:eastAsia="en-GB"/>
        </w:rPr>
        <w:t>US$6</w:t>
      </w:r>
      <w:proofErr w:type="spellEnd"/>
      <w:r w:rsidRPr="00C82CBF">
        <w:rPr>
          <w:rFonts w:ascii="Arial" w:eastAsia="Times New Roman" w:hAnsi="Arial" w:cs="Arial"/>
          <w:color w:val="000000"/>
          <w:sz w:val="20"/>
          <w:szCs w:val="20"/>
          <w:lang w:eastAsia="en-GB"/>
        </w:rPr>
        <w:t xml:space="preserve"> million), a significant increase in cost of insurances (</w:t>
      </w:r>
      <w:proofErr w:type="spellStart"/>
      <w:r w:rsidRPr="00C82CBF">
        <w:rPr>
          <w:rFonts w:ascii="Arial" w:eastAsia="Times New Roman" w:hAnsi="Arial" w:cs="Arial"/>
          <w:color w:val="000000"/>
          <w:sz w:val="20"/>
          <w:szCs w:val="20"/>
          <w:lang w:eastAsia="en-GB"/>
        </w:rPr>
        <w:t>US$2.8</w:t>
      </w:r>
      <w:proofErr w:type="spellEnd"/>
      <w:r w:rsidRPr="00C82CBF">
        <w:rPr>
          <w:rFonts w:ascii="Arial" w:eastAsia="Times New Roman" w:hAnsi="Arial" w:cs="Arial"/>
          <w:color w:val="000000"/>
          <w:sz w:val="20"/>
          <w:szCs w:val="20"/>
          <w:lang w:eastAsia="en-GB"/>
        </w:rPr>
        <w:t xml:space="preserve"> million), an increase in share-based compensation (</w:t>
      </w:r>
      <w:proofErr w:type="spellStart"/>
      <w:r w:rsidRPr="00C82CBF">
        <w:rPr>
          <w:rFonts w:ascii="Arial" w:eastAsia="Times New Roman" w:hAnsi="Arial" w:cs="Arial"/>
          <w:color w:val="000000"/>
          <w:sz w:val="20"/>
          <w:szCs w:val="20"/>
          <w:lang w:eastAsia="en-GB"/>
        </w:rPr>
        <w:t>US$3</w:t>
      </w:r>
      <w:proofErr w:type="spellEnd"/>
      <w:r w:rsidRPr="00C82CBF">
        <w:rPr>
          <w:rFonts w:ascii="Arial" w:eastAsia="Times New Roman" w:hAnsi="Arial" w:cs="Arial"/>
          <w:color w:val="000000"/>
          <w:sz w:val="20"/>
          <w:szCs w:val="20"/>
          <w:lang w:eastAsia="en-GB"/>
        </w:rPr>
        <w:t xml:space="preserve"> million) and increased compliance and control costs.</w:t>
      </w:r>
    </w:p>
    <w:p w14:paraId="0FE8A73C"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Employee benefits</w:t>
      </w:r>
    </w:p>
    <w:p w14:paraId="6B64578D"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Employee benefits are charged to research and development costs, general and administrative costs or marketing and sales costs based on the nature of the services provided.</w:t>
      </w:r>
    </w:p>
    <w:p w14:paraId="037FA341"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Depreciation and amortization charges</w:t>
      </w:r>
    </w:p>
    <w:tbl>
      <w:tblPr>
        <w:tblW w:w="0" w:type="auto"/>
        <w:tblCellMar>
          <w:left w:w="0" w:type="dxa"/>
          <w:right w:w="0" w:type="dxa"/>
        </w:tblCellMar>
        <w:tblLook w:val="04A0" w:firstRow="1" w:lastRow="0" w:firstColumn="1" w:lastColumn="0" w:noHBand="0" w:noVBand="1"/>
      </w:tblPr>
      <w:tblGrid>
        <w:gridCol w:w="2980"/>
        <w:gridCol w:w="863"/>
        <w:gridCol w:w="863"/>
      </w:tblGrid>
      <w:tr w:rsidR="00C82CBF" w:rsidRPr="00C82CBF" w14:paraId="30920F57"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52A69EC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Depreciation and amortization charges</w:t>
            </w:r>
          </w:p>
          <w:p w14:paraId="5D26DC1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p w14:paraId="36D5377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p w14:paraId="2CBEA2E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287C78B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4A300DE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3657D475" w14:textId="77777777" w:rsidTr="00C82CBF">
        <w:tc>
          <w:tcPr>
            <w:tcW w:w="0" w:type="auto"/>
            <w:tcBorders>
              <w:top w:val="nil"/>
              <w:left w:val="nil"/>
              <w:bottom w:val="nil"/>
              <w:right w:val="nil"/>
            </w:tcBorders>
            <w:tcMar>
              <w:top w:w="0" w:type="dxa"/>
              <w:left w:w="120" w:type="dxa"/>
              <w:bottom w:w="0" w:type="dxa"/>
              <w:right w:w="160" w:type="dxa"/>
            </w:tcMar>
            <w:vAlign w:val="bottom"/>
            <w:hideMark/>
          </w:tcPr>
          <w:p w14:paraId="6E634DD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72AD93F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0812050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1BFDEE1" w14:textId="77777777" w:rsidTr="00C82CBF">
        <w:tc>
          <w:tcPr>
            <w:tcW w:w="0" w:type="auto"/>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627E4A1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US$ '000</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21ED606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2021</w:t>
            </w:r>
          </w:p>
        </w:tc>
        <w:tc>
          <w:tcPr>
            <w:tcW w:w="0" w:type="auto"/>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2A97EF3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2020</w:t>
            </w:r>
          </w:p>
        </w:tc>
      </w:tr>
      <w:tr w:rsidR="00C82CBF" w:rsidRPr="00C82CBF" w14:paraId="29CE129E"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8D61A6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xml:space="preserve">Property, plant and equipment </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8C0CCB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(1,044)</w:t>
            </w:r>
          </w:p>
        </w:tc>
        <w:tc>
          <w:tcPr>
            <w:tcW w:w="0" w:type="auto"/>
            <w:tcBorders>
              <w:top w:val="single" w:sz="8" w:space="0" w:color="000000"/>
              <w:left w:val="single" w:sz="8" w:space="0" w:color="000000"/>
              <w:bottom w:val="nil"/>
              <w:right w:val="single" w:sz="8" w:space="0" w:color="000000"/>
            </w:tcBorders>
            <w:tcMar>
              <w:top w:w="0" w:type="dxa"/>
              <w:left w:w="120" w:type="dxa"/>
              <w:bottom w:w="0" w:type="dxa"/>
              <w:right w:w="120" w:type="dxa"/>
            </w:tcMar>
            <w:vAlign w:val="bottom"/>
            <w:hideMark/>
          </w:tcPr>
          <w:p w14:paraId="077B8C9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(761)</w:t>
            </w:r>
          </w:p>
        </w:tc>
      </w:tr>
      <w:tr w:rsidR="00C82CBF" w:rsidRPr="00C82CBF" w14:paraId="2DD7A576"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61ACF7F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Right-of-use assets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3B26E6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(1,385)</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2F42B99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(710)</w:t>
            </w:r>
          </w:p>
        </w:tc>
      </w:tr>
      <w:tr w:rsidR="00C82CBF" w:rsidRPr="00C82CBF" w14:paraId="5951C753"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4F3692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Intangible assets</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915A30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(2,089)</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E1B532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(1,593)</w:t>
            </w:r>
          </w:p>
        </w:tc>
      </w:tr>
      <w:tr w:rsidR="00C82CBF" w:rsidRPr="00C82CBF" w14:paraId="2F6FBC40"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15891E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DE2CB4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(4,518)</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709C18C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(3,064)</w:t>
            </w:r>
          </w:p>
        </w:tc>
      </w:tr>
    </w:tbl>
    <w:p w14:paraId="6C95A602"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The increase of depreciation charges of property, plant and equipment in 2021 as compared to 2020 stems from new investments, mainly in production assets. </w:t>
      </w:r>
      <w:r w:rsidRPr="00C82CBF">
        <w:rPr>
          <w:rFonts w:ascii="Arial" w:eastAsia="Times New Roman" w:hAnsi="Arial" w:cs="Arial"/>
          <w:color w:val="000000"/>
          <w:sz w:val="20"/>
          <w:szCs w:val="20"/>
          <w:lang w:eastAsia="en-GB"/>
        </w:rPr>
        <w:br/>
        <w:t xml:space="preserve">The depreciation on right-of-use assets relates to leased buildings and cars. At the end of the year 2020 and in </w:t>
      </w:r>
      <w:proofErr w:type="spellStart"/>
      <w:r w:rsidRPr="00C82CBF">
        <w:rPr>
          <w:rFonts w:ascii="Arial" w:eastAsia="Times New Roman" w:hAnsi="Arial" w:cs="Arial"/>
          <w:color w:val="000000"/>
          <w:sz w:val="20"/>
          <w:szCs w:val="20"/>
          <w:lang w:eastAsia="en-GB"/>
        </w:rPr>
        <w:t>Q1</w:t>
      </w:r>
      <w:proofErr w:type="spellEnd"/>
      <w:r w:rsidRPr="00C82CBF">
        <w:rPr>
          <w:rFonts w:ascii="Arial" w:eastAsia="Times New Roman" w:hAnsi="Arial" w:cs="Arial"/>
          <w:color w:val="000000"/>
          <w:sz w:val="20"/>
          <w:szCs w:val="20"/>
          <w:lang w:eastAsia="en-GB"/>
        </w:rPr>
        <w:t xml:space="preserve"> 2021 additions to leased buildings were made to support the growth of Pharming.</w:t>
      </w:r>
      <w:r w:rsidRPr="00C82CBF">
        <w:rPr>
          <w:rFonts w:ascii="Arial" w:eastAsia="Times New Roman" w:hAnsi="Arial" w:cs="Arial"/>
          <w:color w:val="000000"/>
          <w:sz w:val="20"/>
          <w:szCs w:val="20"/>
          <w:lang w:eastAsia="en-GB"/>
        </w:rPr>
        <w:br/>
        <w:t xml:space="preserve">The amortization of the intangible assets mainly relates to the re-acquired US commercialization rights and are allocated to marketing and sales expenses. </w:t>
      </w:r>
    </w:p>
    <w:p w14:paraId="440E94DC"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 xml:space="preserve">9. Financial income (expenses) </w:t>
      </w:r>
    </w:p>
    <w:tbl>
      <w:tblPr>
        <w:tblW w:w="0" w:type="auto"/>
        <w:tblCellMar>
          <w:left w:w="0" w:type="dxa"/>
          <w:right w:w="0" w:type="dxa"/>
        </w:tblCellMar>
        <w:tblLook w:val="04A0" w:firstRow="1" w:lastRow="0" w:firstColumn="1" w:lastColumn="0" w:noHBand="0" w:noVBand="1"/>
      </w:tblPr>
      <w:tblGrid>
        <w:gridCol w:w="3763"/>
        <w:gridCol w:w="863"/>
        <w:gridCol w:w="863"/>
      </w:tblGrid>
      <w:tr w:rsidR="00C82CBF" w:rsidRPr="00C82CBF" w14:paraId="2310C843" w14:textId="77777777" w:rsidTr="00C82CBF">
        <w:tc>
          <w:tcPr>
            <w:tcW w:w="0" w:type="auto"/>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7E7198C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US$ '000</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66FE265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2021</w:t>
            </w:r>
          </w:p>
        </w:tc>
        <w:tc>
          <w:tcPr>
            <w:tcW w:w="0" w:type="auto"/>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3F11A5C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2020</w:t>
            </w:r>
          </w:p>
        </w:tc>
      </w:tr>
      <w:tr w:rsidR="00C82CBF" w:rsidRPr="00C82CBF" w14:paraId="2E382E37"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5DF827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Foreign currency results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7A9BE33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5,355</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967CD3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700</w:t>
            </w:r>
          </w:p>
        </w:tc>
      </w:tr>
      <w:tr w:rsidR="00C82CBF" w:rsidRPr="00C82CBF" w14:paraId="3F33E68C"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C51C42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Interest income</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7DEF3A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43</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F35D4D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537</w:t>
            </w:r>
          </w:p>
        </w:tc>
      </w:tr>
      <w:tr w:rsidR="00C82CBF" w:rsidRPr="00C82CBF" w14:paraId="4343BA8D"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5204E8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Other financial income</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0372017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5,398</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7AFEDD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1,237</w:t>
            </w:r>
          </w:p>
        </w:tc>
      </w:tr>
      <w:tr w:rsidR="00C82CBF" w:rsidRPr="00C82CBF" w14:paraId="2914CEC7"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858999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Foreign currency results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A087AE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525F322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296</w:t>
            </w:r>
          </w:p>
        </w:tc>
      </w:tr>
      <w:tr w:rsidR="00C82CBF" w:rsidRPr="00C82CBF" w14:paraId="3BF57DE1"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E4D676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Interest loans and borrowings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1A83F23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52EF289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(496)</w:t>
            </w:r>
          </w:p>
        </w:tc>
      </w:tr>
      <w:tr w:rsidR="00C82CBF" w:rsidRPr="00C82CBF" w14:paraId="179832A6"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3EAE3B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Settlement fees and expenses on repayment loan</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752F18E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2ADA666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(4,054)</w:t>
            </w:r>
          </w:p>
        </w:tc>
      </w:tr>
      <w:tr w:rsidR="00C82CBF" w:rsidRPr="00C82CBF" w14:paraId="4FDD6200"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4DBD5F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Interest on convertible bonds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0ACE98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(2,667)</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4488D19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(2,147)</w:t>
            </w:r>
          </w:p>
        </w:tc>
      </w:tr>
      <w:tr w:rsidR="00C82CBF" w:rsidRPr="00C82CBF" w14:paraId="705184D8"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B05732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interest expenses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B1FF1F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(479)</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339182B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(422)</w:t>
            </w:r>
          </w:p>
        </w:tc>
      </w:tr>
      <w:tr w:rsidR="00C82CBF" w:rsidRPr="00C82CBF" w14:paraId="0DC1B687"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26239C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Contingent consideration</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0D500D2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253</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5315FE1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(1,343)</w:t>
            </w:r>
          </w:p>
        </w:tc>
      </w:tr>
      <w:tr w:rsidR="00C82CBF" w:rsidRPr="00C82CBF" w14:paraId="09161490"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B841F1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financial expenses</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6A9FBE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(64)</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7232272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(86)</w:t>
            </w:r>
          </w:p>
        </w:tc>
      </w:tr>
      <w:tr w:rsidR="00C82CBF" w:rsidRPr="00C82CBF" w14:paraId="6C3EEBD1"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F1F8DB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Other financial expenses</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88D52B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(2,958)</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10AA31A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(8,252)</w:t>
            </w:r>
          </w:p>
        </w:tc>
      </w:tr>
      <w:tr w:rsidR="00C82CBF" w:rsidRPr="00C82CBF" w14:paraId="4087F4DE" w14:textId="77777777" w:rsidTr="00C82CBF">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4E9943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FE782A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F8C32D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49033827"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AC9C57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other financial income and expenses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9AA01E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2,440</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3A1815A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(7,015)</w:t>
            </w:r>
          </w:p>
        </w:tc>
      </w:tr>
    </w:tbl>
    <w:p w14:paraId="1B8E0883"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Foreign currency results in the EUR functional currency entities, primarily follow from the revaluation of bank balances and the loan which are denominated in foreign currencies, mainly US dollars. The US dollar strengthened over the course of 2021. The indicated settlement fees and expenses on repayment loan HY 2020 relates to the repayment in full of the loan from </w:t>
      </w:r>
      <w:proofErr w:type="spellStart"/>
      <w:r w:rsidRPr="00C82CBF">
        <w:rPr>
          <w:rFonts w:ascii="Arial" w:eastAsia="Times New Roman" w:hAnsi="Arial" w:cs="Arial"/>
          <w:color w:val="000000"/>
          <w:sz w:val="20"/>
          <w:szCs w:val="20"/>
          <w:lang w:eastAsia="en-GB"/>
        </w:rPr>
        <w:t>Orbimed</w:t>
      </w:r>
      <w:proofErr w:type="spellEnd"/>
      <w:r w:rsidRPr="00C82CBF">
        <w:rPr>
          <w:rFonts w:ascii="Arial" w:eastAsia="Times New Roman" w:hAnsi="Arial" w:cs="Arial"/>
          <w:color w:val="000000"/>
          <w:sz w:val="20"/>
          <w:szCs w:val="20"/>
          <w:lang w:eastAsia="en-GB"/>
        </w:rPr>
        <w:t xml:space="preserve"> Advisors. </w:t>
      </w:r>
    </w:p>
    <w:p w14:paraId="32E942FC"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10. Share of net profit in associate using the equity method</w:t>
      </w:r>
    </w:p>
    <w:p w14:paraId="39BB9CA2"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In the Board of Director's judgement, the investment in </w:t>
      </w:r>
      <w:proofErr w:type="spellStart"/>
      <w:r w:rsidRPr="00C82CBF">
        <w:rPr>
          <w:rFonts w:ascii="Arial" w:eastAsia="Times New Roman" w:hAnsi="Arial" w:cs="Arial"/>
          <w:color w:val="000000"/>
          <w:sz w:val="20"/>
          <w:szCs w:val="20"/>
          <w:lang w:eastAsia="en-GB"/>
        </w:rPr>
        <w:t>BioConnection</w:t>
      </w:r>
      <w:proofErr w:type="spellEnd"/>
      <w:r w:rsidRPr="00C82CBF">
        <w:rPr>
          <w:rFonts w:ascii="Arial" w:eastAsia="Times New Roman" w:hAnsi="Arial" w:cs="Arial"/>
          <w:color w:val="000000"/>
          <w:sz w:val="20"/>
          <w:szCs w:val="20"/>
          <w:lang w:eastAsia="en-GB"/>
        </w:rPr>
        <w:t xml:space="preserve"> constitutes an investment in an associated company and is therefore not consolidated, as Pharming has significant influence but does not have control of </w:t>
      </w:r>
      <w:proofErr w:type="spellStart"/>
      <w:r w:rsidRPr="00C82CBF">
        <w:rPr>
          <w:rFonts w:ascii="Arial" w:eastAsia="Times New Roman" w:hAnsi="Arial" w:cs="Arial"/>
          <w:color w:val="000000"/>
          <w:sz w:val="20"/>
          <w:szCs w:val="20"/>
          <w:lang w:eastAsia="en-GB"/>
        </w:rPr>
        <w:t>BioConnection</w:t>
      </w:r>
      <w:proofErr w:type="spellEnd"/>
      <w:r w:rsidRPr="00C82CBF">
        <w:rPr>
          <w:rFonts w:ascii="Arial" w:eastAsia="Times New Roman" w:hAnsi="Arial" w:cs="Arial"/>
          <w:color w:val="000000"/>
          <w:sz w:val="20"/>
          <w:szCs w:val="20"/>
          <w:lang w:eastAsia="en-GB"/>
        </w:rPr>
        <w:t xml:space="preserve"> and is embargoed by a shareholders agreement between the shareholders of </w:t>
      </w:r>
      <w:proofErr w:type="spellStart"/>
      <w:r w:rsidRPr="00C82CBF">
        <w:rPr>
          <w:rFonts w:ascii="Arial" w:eastAsia="Times New Roman" w:hAnsi="Arial" w:cs="Arial"/>
          <w:color w:val="000000"/>
          <w:sz w:val="20"/>
          <w:szCs w:val="20"/>
          <w:lang w:eastAsia="en-GB"/>
        </w:rPr>
        <w:t>BioConnection</w:t>
      </w:r>
      <w:proofErr w:type="spellEnd"/>
      <w:r w:rsidRPr="00C82CBF">
        <w:rPr>
          <w:rFonts w:ascii="Arial" w:eastAsia="Times New Roman" w:hAnsi="Arial" w:cs="Arial"/>
          <w:color w:val="000000"/>
          <w:sz w:val="20"/>
          <w:szCs w:val="20"/>
          <w:lang w:eastAsia="en-GB"/>
        </w:rPr>
        <w:t xml:space="preserve"> from influencing any activity between the two parties which is in any significant way different from the relationship which existed between the two prior to the investment. In addition to its carrying value for the investment, Pharming's risk is limited to the provision of a €3 million corporate guarantee in </w:t>
      </w:r>
      <w:proofErr w:type="spellStart"/>
      <w:r w:rsidRPr="00C82CBF">
        <w:rPr>
          <w:rFonts w:ascii="Arial" w:eastAsia="Times New Roman" w:hAnsi="Arial" w:cs="Arial"/>
          <w:color w:val="000000"/>
          <w:sz w:val="20"/>
          <w:szCs w:val="20"/>
          <w:lang w:eastAsia="en-GB"/>
        </w:rPr>
        <w:t>favor</w:t>
      </w:r>
      <w:proofErr w:type="spellEnd"/>
      <w:r w:rsidRPr="00C82CBF">
        <w:rPr>
          <w:rFonts w:ascii="Arial" w:eastAsia="Times New Roman" w:hAnsi="Arial" w:cs="Arial"/>
          <w:color w:val="000000"/>
          <w:sz w:val="20"/>
          <w:szCs w:val="20"/>
          <w:lang w:eastAsia="en-GB"/>
        </w:rPr>
        <w:t xml:space="preserve"> of ABN </w:t>
      </w:r>
      <w:proofErr w:type="spellStart"/>
      <w:r w:rsidRPr="00C82CBF">
        <w:rPr>
          <w:rFonts w:ascii="Arial" w:eastAsia="Times New Roman" w:hAnsi="Arial" w:cs="Arial"/>
          <w:color w:val="000000"/>
          <w:sz w:val="20"/>
          <w:szCs w:val="20"/>
          <w:lang w:eastAsia="en-GB"/>
        </w:rPr>
        <w:t>AMRO</w:t>
      </w:r>
      <w:proofErr w:type="spellEnd"/>
      <w:r w:rsidRPr="00C82CBF">
        <w:rPr>
          <w:rFonts w:ascii="Arial" w:eastAsia="Times New Roman" w:hAnsi="Arial" w:cs="Arial"/>
          <w:color w:val="000000"/>
          <w:sz w:val="20"/>
          <w:szCs w:val="20"/>
          <w:lang w:eastAsia="en-GB"/>
        </w:rPr>
        <w:t xml:space="preserve"> Bank in the unlikely event that </w:t>
      </w:r>
      <w:proofErr w:type="spellStart"/>
      <w:r w:rsidRPr="00C82CBF">
        <w:rPr>
          <w:rFonts w:ascii="Arial" w:eastAsia="Times New Roman" w:hAnsi="Arial" w:cs="Arial"/>
          <w:color w:val="000000"/>
          <w:sz w:val="20"/>
          <w:szCs w:val="20"/>
          <w:lang w:eastAsia="en-GB"/>
        </w:rPr>
        <w:t>BioConnection</w:t>
      </w:r>
      <w:proofErr w:type="spellEnd"/>
      <w:r w:rsidRPr="00C82CBF">
        <w:rPr>
          <w:rFonts w:ascii="Arial" w:eastAsia="Times New Roman" w:hAnsi="Arial" w:cs="Arial"/>
          <w:color w:val="000000"/>
          <w:sz w:val="20"/>
          <w:szCs w:val="20"/>
          <w:lang w:eastAsia="en-GB"/>
        </w:rPr>
        <w:t xml:space="preserve"> </w:t>
      </w:r>
      <w:r w:rsidRPr="00C82CBF">
        <w:rPr>
          <w:rFonts w:ascii="Arial" w:eastAsia="Times New Roman" w:hAnsi="Arial" w:cs="Arial"/>
          <w:color w:val="000000"/>
          <w:sz w:val="20"/>
          <w:szCs w:val="20"/>
          <w:lang w:eastAsia="en-GB"/>
        </w:rPr>
        <w:lastRenderedPageBreak/>
        <w:t xml:space="preserve">were to default on all its debts and its assets did not meet the outstanding liabilities owing to ABN </w:t>
      </w:r>
      <w:proofErr w:type="spellStart"/>
      <w:r w:rsidRPr="00C82CBF">
        <w:rPr>
          <w:rFonts w:ascii="Arial" w:eastAsia="Times New Roman" w:hAnsi="Arial" w:cs="Arial"/>
          <w:color w:val="000000"/>
          <w:sz w:val="20"/>
          <w:szCs w:val="20"/>
          <w:lang w:eastAsia="en-GB"/>
        </w:rPr>
        <w:t>AMRO</w:t>
      </w:r>
      <w:proofErr w:type="spellEnd"/>
      <w:r w:rsidRPr="00C82CBF">
        <w:rPr>
          <w:rFonts w:ascii="Arial" w:eastAsia="Times New Roman" w:hAnsi="Arial" w:cs="Arial"/>
          <w:color w:val="000000"/>
          <w:sz w:val="20"/>
          <w:szCs w:val="20"/>
          <w:lang w:eastAsia="en-GB"/>
        </w:rPr>
        <w:t xml:space="preserve"> Bank. In the opinion of the Board of Directors, the fact that </w:t>
      </w:r>
      <w:proofErr w:type="spellStart"/>
      <w:r w:rsidRPr="00C82CBF">
        <w:rPr>
          <w:rFonts w:ascii="Arial" w:eastAsia="Times New Roman" w:hAnsi="Arial" w:cs="Arial"/>
          <w:color w:val="000000"/>
          <w:sz w:val="20"/>
          <w:szCs w:val="20"/>
          <w:lang w:eastAsia="en-GB"/>
        </w:rPr>
        <w:t>BioConnection</w:t>
      </w:r>
      <w:proofErr w:type="spellEnd"/>
      <w:r w:rsidRPr="00C82CBF">
        <w:rPr>
          <w:rFonts w:ascii="Arial" w:eastAsia="Times New Roman" w:hAnsi="Arial" w:cs="Arial"/>
          <w:color w:val="000000"/>
          <w:sz w:val="20"/>
          <w:szCs w:val="20"/>
          <w:lang w:eastAsia="en-GB"/>
        </w:rPr>
        <w:t xml:space="preserve"> is a growing profitable company which has met all its obligations as they fell due since inception makes the likelihood of this guarantee ever being used very small. The guarantee is accounted for under IFRS 9 and appears as financial guarantee liabilities in Other financial liabilities.</w:t>
      </w:r>
    </w:p>
    <w:p w14:paraId="6D74B995"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carrying amount of this investment has changed as follows:</w:t>
      </w:r>
    </w:p>
    <w:tbl>
      <w:tblPr>
        <w:tblW w:w="0" w:type="auto"/>
        <w:tblCellMar>
          <w:left w:w="0" w:type="dxa"/>
          <w:right w:w="0" w:type="dxa"/>
        </w:tblCellMar>
        <w:tblLook w:val="04A0" w:firstRow="1" w:lastRow="0" w:firstColumn="1" w:lastColumn="0" w:noHBand="0" w:noVBand="1"/>
      </w:tblPr>
      <w:tblGrid>
        <w:gridCol w:w="2713"/>
        <w:gridCol w:w="836"/>
        <w:gridCol w:w="1237"/>
      </w:tblGrid>
      <w:tr w:rsidR="00C82CBF" w:rsidRPr="00C82CBF" w14:paraId="55BA84FF" w14:textId="77777777" w:rsidTr="00C82CBF">
        <w:tc>
          <w:tcPr>
            <w:tcW w:w="0" w:type="auto"/>
            <w:tcBorders>
              <w:top w:val="single" w:sz="8" w:space="0" w:color="000000"/>
              <w:left w:val="single" w:sz="8" w:space="0" w:color="000000"/>
              <w:bottom w:val="nil"/>
              <w:right w:val="nil"/>
            </w:tcBorders>
            <w:tcMar>
              <w:top w:w="0" w:type="dxa"/>
              <w:left w:w="120" w:type="dxa"/>
              <w:bottom w:w="0" w:type="dxa"/>
              <w:right w:w="120" w:type="dxa"/>
            </w:tcMar>
            <w:vAlign w:val="bottom"/>
            <w:hideMark/>
          </w:tcPr>
          <w:p w14:paraId="320074F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US $ '000</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569376C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30 June</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2021</w:t>
            </w:r>
          </w:p>
        </w:tc>
        <w:tc>
          <w:tcPr>
            <w:tcW w:w="0" w:type="auto"/>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72417F3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 xml:space="preserve">31 December </w:t>
            </w:r>
            <w:r w:rsidRPr="00C82CBF">
              <w:rPr>
                <w:rFonts w:ascii="Arial" w:eastAsia="Times New Roman" w:hAnsi="Arial" w:cs="Arial"/>
                <w:b/>
                <w:bCs/>
                <w:color w:val="000000"/>
                <w:sz w:val="16"/>
                <w:szCs w:val="16"/>
                <w:lang w:eastAsia="en-GB"/>
              </w:rPr>
              <w:br/>
              <w:t>2020</w:t>
            </w:r>
          </w:p>
        </w:tc>
      </w:tr>
      <w:tr w:rsidR="00C82CBF" w:rsidRPr="00C82CBF" w14:paraId="239601A7" w14:textId="77777777" w:rsidTr="00C82CBF">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F8D1C0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1 January</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378256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7,118</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33F045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6,764</w:t>
            </w:r>
          </w:p>
        </w:tc>
      </w:tr>
      <w:tr w:rsidR="00C82CBF" w:rsidRPr="00C82CBF" w14:paraId="1B8E47B4"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CCA362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Amortization of financial guarantee</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48CD99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2A83C0F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(34)</w:t>
            </w:r>
          </w:p>
        </w:tc>
      </w:tr>
      <w:tr w:rsidR="00C82CBF" w:rsidRPr="00C82CBF" w14:paraId="00649407"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C618FE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Profit (loss) for the period</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05DB07D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388</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EC7571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361</w:t>
            </w:r>
          </w:p>
        </w:tc>
      </w:tr>
      <w:tr w:rsidR="00C82CBF" w:rsidRPr="00C82CBF" w14:paraId="7FBC4040"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D8F8A6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Foreign exchange rate movements</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6BCDA7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(228)</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46171CE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27</w:t>
            </w:r>
          </w:p>
        </w:tc>
      </w:tr>
      <w:tr w:rsidR="00C82CBF" w:rsidRPr="00C82CBF" w14:paraId="52AB87B5"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3F9C6E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end of period</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0500B8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7,261</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9D7B0E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7,118</w:t>
            </w:r>
          </w:p>
        </w:tc>
      </w:tr>
    </w:tbl>
    <w:p w14:paraId="1981FE27"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11. Property, plant and equipment</w:t>
      </w:r>
    </w:p>
    <w:p w14:paraId="2AFFD804"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expansion of the property, plant and equipment mainly relates to assets under construction reflecting the expansion of the milk production capacity and the construction of a downstream manufacturing facility.</w:t>
      </w:r>
    </w:p>
    <w:p w14:paraId="340ECD9F"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12. Right-of-use assets and lease liabilities non-current and current</w:t>
      </w:r>
    </w:p>
    <w:p w14:paraId="36F32122"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change in the right of use asset is mainly caused by the addition of a new lease. This represents an increase of $13.5 million. The new lease contract includes an expansion of the site and an extension of historic leases. The term of the new contract is 15 years.</w:t>
      </w:r>
    </w:p>
    <w:p w14:paraId="284ADD0F"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13. Deferred tax assets</w:t>
      </w:r>
    </w:p>
    <w:p w14:paraId="5B0F5BC5"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deferred tax asset decreased mainly due to offsetting the current tax expense with unused tax losses from prior years.</w:t>
      </w:r>
    </w:p>
    <w:p w14:paraId="77406DCE"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14. Inventories</w:t>
      </w:r>
    </w:p>
    <w:p w14:paraId="7DC15E7C"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Inventories include batches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 xml:space="preserve">®, work in progress and skimmed milk available for production of </w:t>
      </w:r>
      <w:proofErr w:type="spellStart"/>
      <w:r w:rsidRPr="00C82CBF">
        <w:rPr>
          <w:rFonts w:ascii="Arial" w:eastAsia="Times New Roman" w:hAnsi="Arial" w:cs="Arial"/>
          <w:color w:val="000000"/>
          <w:sz w:val="20"/>
          <w:szCs w:val="20"/>
          <w:lang w:eastAsia="en-GB"/>
        </w:rPr>
        <w:t>RUCONEST</w:t>
      </w:r>
      <w:proofErr w:type="spellEnd"/>
      <w:r w:rsidRPr="00C82CBF">
        <w:rPr>
          <w:rFonts w:ascii="Arial" w:eastAsia="Times New Roman" w:hAnsi="Arial" w:cs="Arial"/>
          <w:color w:val="000000"/>
          <w:sz w:val="20"/>
          <w:szCs w:val="20"/>
          <w:lang w:eastAsia="en-GB"/>
        </w:rPr>
        <w:t>®.</w:t>
      </w:r>
    </w:p>
    <w:tbl>
      <w:tblPr>
        <w:tblW w:w="0" w:type="auto"/>
        <w:tblCellMar>
          <w:left w:w="0" w:type="dxa"/>
          <w:right w:w="0" w:type="dxa"/>
        </w:tblCellMar>
        <w:tblLook w:val="04A0" w:firstRow="1" w:lastRow="0" w:firstColumn="1" w:lastColumn="0" w:noHBand="0" w:noVBand="1"/>
      </w:tblPr>
      <w:tblGrid>
        <w:gridCol w:w="2099"/>
        <w:gridCol w:w="418"/>
        <w:gridCol w:w="418"/>
        <w:gridCol w:w="619"/>
        <w:gridCol w:w="619"/>
      </w:tblGrid>
      <w:tr w:rsidR="00C82CBF" w:rsidRPr="00C82CBF" w14:paraId="39765E34" w14:textId="77777777" w:rsidTr="00C82CBF">
        <w:tc>
          <w:tcPr>
            <w:tcW w:w="0" w:type="auto"/>
            <w:tcBorders>
              <w:top w:val="single" w:sz="8" w:space="0" w:color="000000"/>
              <w:left w:val="single" w:sz="8" w:space="0" w:color="000000"/>
              <w:bottom w:val="nil"/>
              <w:right w:val="nil"/>
            </w:tcBorders>
            <w:tcMar>
              <w:top w:w="0" w:type="dxa"/>
              <w:left w:w="120" w:type="dxa"/>
              <w:bottom w:w="0" w:type="dxa"/>
              <w:right w:w="120" w:type="dxa"/>
            </w:tcMar>
            <w:vAlign w:val="bottom"/>
            <w:hideMark/>
          </w:tcPr>
          <w:p w14:paraId="7E52B58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US$ '000</w:t>
            </w:r>
          </w:p>
        </w:tc>
        <w:tc>
          <w:tcPr>
            <w:tcW w:w="0" w:type="auto"/>
            <w:gridSpan w:val="2"/>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460BE1D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30 June</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2021</w:t>
            </w:r>
          </w:p>
        </w:tc>
        <w:tc>
          <w:tcPr>
            <w:tcW w:w="0" w:type="auto"/>
            <w:gridSpan w:val="2"/>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50E3426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31 December</w:t>
            </w:r>
            <w:r w:rsidRPr="00C82CBF">
              <w:rPr>
                <w:rFonts w:ascii="Arial" w:eastAsia="Times New Roman" w:hAnsi="Arial" w:cs="Arial"/>
                <w:b/>
                <w:bCs/>
                <w:color w:val="000000"/>
                <w:sz w:val="16"/>
                <w:szCs w:val="16"/>
                <w:lang w:eastAsia="en-GB"/>
              </w:rPr>
              <w:br/>
              <w:t>2020</w:t>
            </w:r>
          </w:p>
        </w:tc>
      </w:tr>
      <w:tr w:rsidR="00C82CBF" w:rsidRPr="00C82CBF" w14:paraId="1955F690"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D08B80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xml:space="preserve">Finished goods </w:t>
            </w:r>
          </w:p>
        </w:tc>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228799F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14,518</w:t>
            </w:r>
          </w:p>
        </w:tc>
        <w:tc>
          <w:tcPr>
            <w:tcW w:w="0" w:type="auto"/>
            <w:gridSpan w:val="2"/>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4729600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12,742</w:t>
            </w:r>
          </w:p>
        </w:tc>
      </w:tr>
      <w:tr w:rsidR="00C82CBF" w:rsidRPr="00C82CBF" w14:paraId="2569A50C"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1E0BC1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xml:space="preserve">Work in progress </w:t>
            </w:r>
          </w:p>
        </w:tc>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759DA18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6,178</w:t>
            </w:r>
          </w:p>
        </w:tc>
        <w:tc>
          <w:tcPr>
            <w:tcW w:w="0" w:type="auto"/>
            <w:gridSpan w:val="2"/>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3B4A1DE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5,668</w:t>
            </w:r>
          </w:p>
        </w:tc>
      </w:tr>
      <w:tr w:rsidR="00C82CBF" w:rsidRPr="00C82CBF" w14:paraId="4A673F6E"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0ED827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Raw materials</w:t>
            </w:r>
          </w:p>
        </w:tc>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2B2150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3,611</w:t>
            </w:r>
          </w:p>
        </w:tc>
        <w:tc>
          <w:tcPr>
            <w:tcW w:w="0" w:type="auto"/>
            <w:gridSpan w:val="2"/>
            <w:tcBorders>
              <w:top w:val="nil"/>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4DD573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2,747</w:t>
            </w:r>
          </w:p>
        </w:tc>
      </w:tr>
      <w:tr w:rsidR="00C82CBF" w:rsidRPr="00C82CBF" w14:paraId="2BA315D6"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5F93B1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end of period</w:t>
            </w:r>
          </w:p>
        </w:tc>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55DFE2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24,307</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31EB518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21,157</w:t>
            </w:r>
          </w:p>
        </w:tc>
      </w:tr>
      <w:tr w:rsidR="00C82CBF" w:rsidRPr="00C82CBF" w14:paraId="6C69AC3D"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2A898743"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tcMar>
              <w:top w:w="0" w:type="dxa"/>
              <w:left w:w="120" w:type="dxa"/>
              <w:bottom w:w="0" w:type="dxa"/>
              <w:right w:w="120" w:type="dxa"/>
            </w:tcMar>
            <w:vAlign w:val="bottom"/>
            <w:hideMark/>
          </w:tcPr>
          <w:p w14:paraId="7916EAFB"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20" w:type="dxa"/>
            </w:tcMar>
            <w:vAlign w:val="bottom"/>
            <w:hideMark/>
          </w:tcPr>
          <w:p w14:paraId="7F41909F"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20" w:type="dxa"/>
            </w:tcMar>
            <w:vAlign w:val="bottom"/>
            <w:hideMark/>
          </w:tcPr>
          <w:p w14:paraId="1156244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20" w:type="dxa"/>
            </w:tcMar>
            <w:vAlign w:val="bottom"/>
            <w:hideMark/>
          </w:tcPr>
          <w:p w14:paraId="30BA0BF6"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r>
    </w:tbl>
    <w:p w14:paraId="2D019221"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Changes in the adjustment to net realizable value:</w:t>
      </w:r>
    </w:p>
    <w:tbl>
      <w:tblPr>
        <w:tblW w:w="0" w:type="auto"/>
        <w:tblCellMar>
          <w:left w:w="0" w:type="dxa"/>
          <w:right w:w="0" w:type="dxa"/>
        </w:tblCellMar>
        <w:tblLook w:val="04A0" w:firstRow="1" w:lastRow="0" w:firstColumn="1" w:lastColumn="0" w:noHBand="0" w:noVBand="1"/>
      </w:tblPr>
      <w:tblGrid>
        <w:gridCol w:w="2713"/>
        <w:gridCol w:w="934"/>
        <w:gridCol w:w="1237"/>
      </w:tblGrid>
      <w:tr w:rsidR="00C82CBF" w:rsidRPr="00C82CBF" w14:paraId="103A1DCC" w14:textId="77777777" w:rsidTr="00C82CBF">
        <w:tc>
          <w:tcPr>
            <w:tcW w:w="0" w:type="auto"/>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304FBA1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US $ '000</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7DA3678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Period to</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30 June</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2021</w:t>
            </w:r>
          </w:p>
        </w:tc>
        <w:tc>
          <w:tcPr>
            <w:tcW w:w="0" w:type="auto"/>
            <w:tcBorders>
              <w:top w:val="single" w:sz="8" w:space="0" w:color="000000"/>
              <w:left w:val="nil"/>
              <w:bottom w:val="nil"/>
              <w:right w:val="single" w:sz="8" w:space="0" w:color="000000"/>
            </w:tcBorders>
            <w:tcMar>
              <w:top w:w="0" w:type="dxa"/>
              <w:left w:w="120" w:type="dxa"/>
              <w:bottom w:w="0" w:type="dxa"/>
              <w:right w:w="120" w:type="dxa"/>
            </w:tcMar>
            <w:vAlign w:val="bottom"/>
            <w:hideMark/>
          </w:tcPr>
          <w:p w14:paraId="00C7E8C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 xml:space="preserve">Period to </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31 December</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2020</w:t>
            </w:r>
          </w:p>
        </w:tc>
      </w:tr>
      <w:tr w:rsidR="00C82CBF" w:rsidRPr="00C82CBF" w14:paraId="7AAA8BD5"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095C61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1 January</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CDE5C4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(646)</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986FD2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(931)</w:t>
            </w:r>
          </w:p>
        </w:tc>
      </w:tr>
      <w:tr w:rsidR="00C82CBF" w:rsidRPr="00C82CBF" w14:paraId="5B3628DC"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BC3579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Addition to impairment</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100568A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-363</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A8D565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-1,450</w:t>
            </w:r>
          </w:p>
        </w:tc>
      </w:tr>
      <w:tr w:rsidR="00C82CBF" w:rsidRPr="00C82CBF" w14:paraId="066DC44D"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7CA774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Release of impairment</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3D4EEC8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21</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7D5F6E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1,192</w:t>
            </w:r>
          </w:p>
        </w:tc>
      </w:tr>
      <w:tr w:rsidR="00C82CBF" w:rsidRPr="00C82CBF" w14:paraId="51DCDB1B"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C10834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Usage of impairment</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60893BA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342</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BC2F92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606</w:t>
            </w:r>
          </w:p>
        </w:tc>
      </w:tr>
      <w:tr w:rsidR="00C82CBF" w:rsidRPr="00C82CBF" w14:paraId="475EBC8A"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0CE6C6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Foreign exchange rate movements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A21A43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7A5313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-63</w:t>
            </w:r>
          </w:p>
        </w:tc>
      </w:tr>
      <w:tr w:rsidR="00C82CBF" w:rsidRPr="00C82CBF" w14:paraId="6922AB7B"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873C9A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end of period</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D0B1AF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(626)</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1E16BB7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(646)</w:t>
            </w:r>
          </w:p>
        </w:tc>
      </w:tr>
    </w:tbl>
    <w:p w14:paraId="7219730F"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The inventory valuation at 30 June 2021 of </w:t>
      </w:r>
      <w:proofErr w:type="spellStart"/>
      <w:r w:rsidRPr="00C82CBF">
        <w:rPr>
          <w:rFonts w:ascii="Arial" w:eastAsia="Times New Roman" w:hAnsi="Arial" w:cs="Arial"/>
          <w:color w:val="000000"/>
          <w:sz w:val="20"/>
          <w:szCs w:val="20"/>
          <w:lang w:eastAsia="en-GB"/>
        </w:rPr>
        <w:t>US$24.3</w:t>
      </w:r>
      <w:proofErr w:type="spellEnd"/>
      <w:r w:rsidRPr="00C82CBF">
        <w:rPr>
          <w:rFonts w:ascii="Arial" w:eastAsia="Times New Roman" w:hAnsi="Arial" w:cs="Arial"/>
          <w:color w:val="000000"/>
          <w:sz w:val="20"/>
          <w:szCs w:val="20"/>
          <w:lang w:eastAsia="en-GB"/>
        </w:rPr>
        <w:t xml:space="preserve"> million is stated net of an impairment of </w:t>
      </w:r>
      <w:proofErr w:type="spellStart"/>
      <w:r w:rsidRPr="00C82CBF">
        <w:rPr>
          <w:rFonts w:ascii="Arial" w:eastAsia="Times New Roman" w:hAnsi="Arial" w:cs="Arial"/>
          <w:color w:val="000000"/>
          <w:sz w:val="20"/>
          <w:szCs w:val="20"/>
          <w:lang w:eastAsia="en-GB"/>
        </w:rPr>
        <w:t>US$0.6</w:t>
      </w:r>
      <w:proofErr w:type="spellEnd"/>
      <w:r w:rsidRPr="00C82CBF">
        <w:rPr>
          <w:rFonts w:ascii="Arial" w:eastAsia="Times New Roman" w:hAnsi="Arial" w:cs="Arial"/>
          <w:color w:val="000000"/>
          <w:sz w:val="20"/>
          <w:szCs w:val="20"/>
          <w:lang w:eastAsia="en-GB"/>
        </w:rPr>
        <w:t xml:space="preserve"> million (2020: </w:t>
      </w:r>
      <w:proofErr w:type="spellStart"/>
      <w:r w:rsidRPr="00C82CBF">
        <w:rPr>
          <w:rFonts w:ascii="Arial" w:eastAsia="Times New Roman" w:hAnsi="Arial" w:cs="Arial"/>
          <w:color w:val="000000"/>
          <w:sz w:val="20"/>
          <w:szCs w:val="20"/>
          <w:lang w:eastAsia="en-GB"/>
        </w:rPr>
        <w:t>US$0.6</w:t>
      </w:r>
      <w:proofErr w:type="spellEnd"/>
      <w:r w:rsidRPr="00C82CBF">
        <w:rPr>
          <w:rFonts w:ascii="Arial" w:eastAsia="Times New Roman" w:hAnsi="Arial" w:cs="Arial"/>
          <w:color w:val="000000"/>
          <w:sz w:val="20"/>
          <w:szCs w:val="20"/>
          <w:lang w:eastAsia="en-GB"/>
        </w:rPr>
        <w:t xml:space="preserve"> million). The impairment includes an impairment for obsolescence and an impairment to write inventories down to their net realizable value. </w:t>
      </w:r>
    </w:p>
    <w:p w14:paraId="555FFD6F"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lastRenderedPageBreak/>
        <w:t xml:space="preserve">Per 30 June 2021 the impairment for obsolescence amounts to </w:t>
      </w:r>
      <w:proofErr w:type="spellStart"/>
      <w:r w:rsidRPr="00C82CBF">
        <w:rPr>
          <w:rFonts w:ascii="Arial" w:eastAsia="Times New Roman" w:hAnsi="Arial" w:cs="Arial"/>
          <w:color w:val="000000"/>
          <w:sz w:val="20"/>
          <w:szCs w:val="20"/>
          <w:lang w:eastAsia="en-GB"/>
        </w:rPr>
        <w:t>US$0.0</w:t>
      </w:r>
      <w:proofErr w:type="spellEnd"/>
      <w:r w:rsidRPr="00C82CBF">
        <w:rPr>
          <w:rFonts w:ascii="Arial" w:eastAsia="Times New Roman" w:hAnsi="Arial" w:cs="Arial"/>
          <w:color w:val="000000"/>
          <w:sz w:val="20"/>
          <w:szCs w:val="20"/>
          <w:lang w:eastAsia="en-GB"/>
        </w:rPr>
        <w:t xml:space="preserve"> million similar to 31 December 2020. </w:t>
      </w:r>
    </w:p>
    <w:p w14:paraId="5E8A763F"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Per 30 June 2021 the impairment to write inventories down to their net realizable value amount to </w:t>
      </w:r>
      <w:proofErr w:type="spellStart"/>
      <w:r w:rsidRPr="00C82CBF">
        <w:rPr>
          <w:rFonts w:ascii="Arial" w:eastAsia="Times New Roman" w:hAnsi="Arial" w:cs="Arial"/>
          <w:color w:val="000000"/>
          <w:sz w:val="20"/>
          <w:szCs w:val="20"/>
          <w:lang w:eastAsia="en-GB"/>
        </w:rPr>
        <w:t>US$0.6</w:t>
      </w:r>
      <w:proofErr w:type="spellEnd"/>
      <w:r w:rsidRPr="00C82CBF">
        <w:rPr>
          <w:rFonts w:ascii="Arial" w:eastAsia="Times New Roman" w:hAnsi="Arial" w:cs="Arial"/>
          <w:color w:val="000000"/>
          <w:sz w:val="20"/>
          <w:szCs w:val="20"/>
          <w:lang w:eastAsia="en-GB"/>
        </w:rPr>
        <w:t xml:space="preserve"> million (2020: </w:t>
      </w:r>
      <w:proofErr w:type="spellStart"/>
      <w:r w:rsidRPr="00C82CBF">
        <w:rPr>
          <w:rFonts w:ascii="Arial" w:eastAsia="Times New Roman" w:hAnsi="Arial" w:cs="Arial"/>
          <w:color w:val="000000"/>
          <w:sz w:val="20"/>
          <w:szCs w:val="20"/>
          <w:lang w:eastAsia="en-GB"/>
        </w:rPr>
        <w:t>US$0.6</w:t>
      </w:r>
      <w:proofErr w:type="spellEnd"/>
      <w:r w:rsidRPr="00C82CBF">
        <w:rPr>
          <w:rFonts w:ascii="Arial" w:eastAsia="Times New Roman" w:hAnsi="Arial" w:cs="Arial"/>
          <w:color w:val="000000"/>
          <w:sz w:val="20"/>
          <w:szCs w:val="20"/>
          <w:lang w:eastAsia="en-GB"/>
        </w:rPr>
        <w:t xml:space="preserve"> million). Inventories are available for use in commercial, preclinical and clinical activities. Estimates have been made with respect to the ultimate use or sale of product, taking into account current and expected sales as well as preclinical and clinical programs. These estimates are reflected in the additions to the impairment. </w:t>
      </w:r>
    </w:p>
    <w:p w14:paraId="00E73073"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The releases to the impairment relate to amendments to the estimates as a result of the fact that actual sales can differ from forecasted sales and the fact that vials allocated to preclinical and clinical programs can be returned to inventory. </w:t>
      </w:r>
    </w:p>
    <w:p w14:paraId="403A4BEC"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costs of vials used in preclinical and clinical programs are presented under the research and development costs.</w:t>
      </w:r>
    </w:p>
    <w:p w14:paraId="177F73A8"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main portion of inventories at 30 June 2021 have expiration dates starting beyond 2022 and are all expected to be sold and/or used before expiration.</w:t>
      </w:r>
    </w:p>
    <w:p w14:paraId="0F84A796"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15. Equity</w:t>
      </w:r>
    </w:p>
    <w:p w14:paraId="6F1DD7C4"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The Company's authorized share capital amounts to €8.8 million and is divided into 880,000,000 ordinary shares with a nominal value of €0.01 each. All 646,123,246 shares outstanding at 30 June 2021 have been fully paid-up. Other reserves include those reserves related to currency translation, share-based compensation expenses and other equity-settled transactions. </w:t>
      </w:r>
      <w:r w:rsidRPr="00C82CBF">
        <w:rPr>
          <w:rFonts w:ascii="Arial" w:eastAsia="Times New Roman" w:hAnsi="Arial" w:cs="Arial"/>
          <w:color w:val="000000"/>
          <w:sz w:val="20"/>
          <w:szCs w:val="20"/>
          <w:lang w:eastAsia="en-GB"/>
        </w:rPr>
        <w:br/>
        <w:t>Please refer to the Condensed Consolidated Statement changes in Equity.</w:t>
      </w:r>
    </w:p>
    <w:p w14:paraId="66EB75D5"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16. Convertible bonds</w:t>
      </w:r>
    </w:p>
    <w:p w14:paraId="7214617D"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On January 21, 2020, the Company issued €125 million aggregate principal amount of 3.00% convertible bonds due 2025.</w:t>
      </w:r>
    </w:p>
    <w:p w14:paraId="12ECF4F2"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convertible bonds comprise of two components. The first component is a financial liability, which represents our contractual obligation to deliver cash or another financial asset for payment of interest and principal, if not converted. The second component is an equity instrument as it represents a written call option granting the holder the right, for a specified period of time, to convert it into a fixed number of the Company's ordinary shares.</w:t>
      </w:r>
    </w:p>
    <w:p w14:paraId="277D9732"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fair value of the consideration in respect of the liability components is measured at the fair value of a similar liability that does not have any associated equity conversion option (IFRS 9 paragraph 5.1.1). This is the liability component's carrying amount at initial recognition.</w:t>
      </w:r>
    </w:p>
    <w:p w14:paraId="181E243F"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equity component will be measured at the residual difference between the nominal value and the fair value of a similar liability that does not have any associated equity conversion option (IAS 32 paragraph 31). The original equity component as recorded at initial recognition amounts to €1.4 million.</w:t>
      </w:r>
    </w:p>
    <w:p w14:paraId="57613883"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Recognition and movements of the convertible bonds were as follows:</w:t>
      </w:r>
    </w:p>
    <w:tbl>
      <w:tblPr>
        <w:tblW w:w="0" w:type="auto"/>
        <w:tblCellMar>
          <w:left w:w="0" w:type="dxa"/>
          <w:right w:w="0" w:type="dxa"/>
        </w:tblCellMar>
        <w:tblLook w:val="04A0" w:firstRow="1" w:lastRow="0" w:firstColumn="1" w:lastColumn="0" w:noHBand="0" w:noVBand="1"/>
      </w:tblPr>
      <w:tblGrid>
        <w:gridCol w:w="2713"/>
        <w:gridCol w:w="934"/>
        <w:gridCol w:w="1237"/>
      </w:tblGrid>
      <w:tr w:rsidR="00C82CBF" w:rsidRPr="00C82CBF" w14:paraId="13C26C84" w14:textId="77777777" w:rsidTr="00C82CBF">
        <w:tc>
          <w:tcPr>
            <w:tcW w:w="0" w:type="auto"/>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47C1D93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US$ '000</w:t>
            </w:r>
          </w:p>
        </w:tc>
        <w:tc>
          <w:tcPr>
            <w:tcW w:w="0" w:type="auto"/>
            <w:tcBorders>
              <w:top w:val="outset" w:sz="6" w:space="0" w:color="auto"/>
              <w:left w:val="nil"/>
              <w:bottom w:val="outset" w:sz="6" w:space="0" w:color="auto"/>
              <w:right w:val="outset" w:sz="6" w:space="0" w:color="auto"/>
            </w:tcBorders>
            <w:tcMar>
              <w:top w:w="0" w:type="dxa"/>
              <w:left w:w="120" w:type="dxa"/>
              <w:bottom w:w="0" w:type="dxa"/>
              <w:right w:w="120" w:type="dxa"/>
            </w:tcMar>
            <w:vAlign w:val="bottom"/>
            <w:hideMark/>
          </w:tcPr>
          <w:p w14:paraId="72B64AA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Period to</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30 June</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2021</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65B9DD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Period to</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31 December</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2020</w:t>
            </w:r>
          </w:p>
        </w:tc>
      </w:tr>
      <w:tr w:rsidR="00C82CBF" w:rsidRPr="00C82CBF" w14:paraId="030E2940"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4C9B4A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Balance at 1 January</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9246D6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151,767</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5867A4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r>
      <w:tr w:rsidR="00C82CBF" w:rsidRPr="00C82CBF" w14:paraId="1D45A59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15130D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Carrying value initial recognition</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32CBE24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2B5A34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138,571</w:t>
            </w:r>
          </w:p>
        </w:tc>
      </w:tr>
      <w:tr w:rsidR="00C82CBF" w:rsidRPr="00C82CBF" w14:paraId="72E0DBC9"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3EDB68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Interest paid (cash flow)</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217FD60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(2,262)</w:t>
            </w:r>
          </w:p>
        </w:tc>
        <w:tc>
          <w:tcPr>
            <w:tcW w:w="0" w:type="auto"/>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40435A0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(2,142)</w:t>
            </w:r>
          </w:p>
        </w:tc>
      </w:tr>
      <w:tr w:rsidR="00C82CBF" w:rsidRPr="00C82CBF" w14:paraId="5EF20AD5"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75C9EC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Amortization transaction cost</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7446D1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71A170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744</w:t>
            </w:r>
          </w:p>
        </w:tc>
      </w:tr>
      <w:tr w:rsidR="00C82CBF" w:rsidRPr="00C82CBF" w14:paraId="5045A91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6967C6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Accrued interest</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56301C6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2,667</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EBEFEE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4,040</w:t>
            </w:r>
          </w:p>
        </w:tc>
      </w:tr>
      <w:tr w:rsidR="00C82CBF" w:rsidRPr="00C82CBF" w14:paraId="5C75163D"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B7430D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Foreign exchange rate movements</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3829A5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(4,763)</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469086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10,554</w:t>
            </w:r>
          </w:p>
        </w:tc>
      </w:tr>
      <w:tr w:rsidR="00C82CBF" w:rsidRPr="00C82CBF" w14:paraId="744D0B3B"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2E2F76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Carrying value at end of period</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83B059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147,409</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B512D8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151,767</w:t>
            </w:r>
          </w:p>
        </w:tc>
      </w:tr>
    </w:tbl>
    <w:p w14:paraId="4AB4B944"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lastRenderedPageBreak/>
        <w:t>17. Earnings per share and diluted shares</w:t>
      </w:r>
    </w:p>
    <w:p w14:paraId="12342FA9"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Basic earnings per share is calculated based on the weighted average number of ordinary shares outstanding during the year. Diluted earnings per share is computed based on the weighted average number of ordinary shares outstanding including the dilutive effect of shares to be issued in the future under certain arrangements such as option plans and warrants issued. For HY 2021 and </w:t>
      </w:r>
      <w:proofErr w:type="spellStart"/>
      <w:r w:rsidRPr="00C82CBF">
        <w:rPr>
          <w:rFonts w:ascii="Arial" w:eastAsia="Times New Roman" w:hAnsi="Arial" w:cs="Arial"/>
          <w:color w:val="000000"/>
          <w:sz w:val="20"/>
          <w:szCs w:val="20"/>
          <w:lang w:eastAsia="en-GB"/>
        </w:rPr>
        <w:t>HY2020</w:t>
      </w:r>
      <w:proofErr w:type="spellEnd"/>
      <w:r w:rsidRPr="00C82CBF">
        <w:rPr>
          <w:rFonts w:ascii="Arial" w:eastAsia="Times New Roman" w:hAnsi="Arial" w:cs="Arial"/>
          <w:color w:val="000000"/>
          <w:sz w:val="20"/>
          <w:szCs w:val="20"/>
          <w:lang w:eastAsia="en-GB"/>
        </w:rPr>
        <w:t>, the basic and diluted profit (loss) per share is:</w:t>
      </w:r>
    </w:p>
    <w:tbl>
      <w:tblPr>
        <w:tblW w:w="0" w:type="auto"/>
        <w:tblCellMar>
          <w:left w:w="0" w:type="dxa"/>
          <w:right w:w="0" w:type="dxa"/>
        </w:tblCellMar>
        <w:tblLook w:val="04A0" w:firstRow="1" w:lastRow="0" w:firstColumn="1" w:lastColumn="0" w:noHBand="0" w:noVBand="1"/>
      </w:tblPr>
      <w:tblGrid>
        <w:gridCol w:w="5331"/>
        <w:gridCol w:w="863"/>
        <w:gridCol w:w="863"/>
      </w:tblGrid>
      <w:tr w:rsidR="00C82CBF" w:rsidRPr="00C82CBF" w14:paraId="443DA1D3" w14:textId="77777777" w:rsidTr="00C82CBF">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7715249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01295F3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single" w:sz="8" w:space="0" w:color="000000"/>
              <w:right w:val="nil"/>
            </w:tcBorders>
            <w:tcMar>
              <w:top w:w="0" w:type="dxa"/>
              <w:left w:w="120" w:type="dxa"/>
              <w:bottom w:w="0" w:type="dxa"/>
              <w:right w:w="120" w:type="dxa"/>
            </w:tcMar>
            <w:vAlign w:val="bottom"/>
            <w:hideMark/>
          </w:tcPr>
          <w:p w14:paraId="2B35A66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6FB444AD" w14:textId="77777777" w:rsidTr="00C82CBF">
        <w:tc>
          <w:tcPr>
            <w:tcW w:w="0" w:type="auto"/>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0B75E9E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459B987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2021</w:t>
            </w:r>
          </w:p>
        </w:tc>
        <w:tc>
          <w:tcPr>
            <w:tcW w:w="0" w:type="auto"/>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7D34DAA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2020</w:t>
            </w:r>
          </w:p>
        </w:tc>
      </w:tr>
      <w:tr w:rsidR="00C82CBF" w:rsidRPr="00C82CBF" w14:paraId="3D3CFFF6"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1BB9A2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Net profit (loss) attributable to equity owners of the parent (in US $ '000)</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515CD5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14,352</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70746B1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20,331</w:t>
            </w:r>
          </w:p>
        </w:tc>
      </w:tr>
      <w:tr w:rsidR="00C82CBF" w:rsidRPr="00C82CBF" w14:paraId="00F8E504"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6834599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Weighted average shares outstanding (in '000)</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B5E75F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641,299</w:t>
            </w:r>
          </w:p>
        </w:tc>
        <w:tc>
          <w:tcPr>
            <w:tcW w:w="0" w:type="auto"/>
            <w:tcBorders>
              <w:top w:val="single" w:sz="8" w:space="0" w:color="000000"/>
              <w:left w:val="single" w:sz="8" w:space="0" w:color="000000"/>
              <w:bottom w:val="nil"/>
              <w:right w:val="single" w:sz="8" w:space="0" w:color="000000"/>
            </w:tcBorders>
            <w:tcMar>
              <w:top w:w="0" w:type="dxa"/>
              <w:left w:w="120" w:type="dxa"/>
              <w:bottom w:w="0" w:type="dxa"/>
              <w:right w:w="120" w:type="dxa"/>
            </w:tcMar>
            <w:vAlign w:val="bottom"/>
            <w:hideMark/>
          </w:tcPr>
          <w:p w14:paraId="31E0325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634,156</w:t>
            </w:r>
          </w:p>
        </w:tc>
      </w:tr>
      <w:tr w:rsidR="00C82CBF" w:rsidRPr="00C82CBF" w14:paraId="4ECC5395"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7768C0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Basic profit (loss) per share (in US $)</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9E64CD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0.022</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231DF1A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0.032</w:t>
            </w:r>
          </w:p>
        </w:tc>
      </w:tr>
      <w:tr w:rsidR="00C82CBF" w:rsidRPr="00C82CBF" w14:paraId="6125EE28"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FAF52A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Weighted average fully-diluted shares outstanding (in '000)</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40263C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762,115</w:t>
            </w:r>
          </w:p>
        </w:tc>
        <w:tc>
          <w:tcPr>
            <w:tcW w:w="0" w:type="auto"/>
            <w:tcBorders>
              <w:top w:val="single" w:sz="8" w:space="0" w:color="000000"/>
              <w:left w:val="single" w:sz="8" w:space="0" w:color="000000"/>
              <w:bottom w:val="nil"/>
              <w:right w:val="single" w:sz="8" w:space="0" w:color="000000"/>
            </w:tcBorders>
            <w:tcMar>
              <w:top w:w="0" w:type="dxa"/>
              <w:left w:w="120" w:type="dxa"/>
              <w:bottom w:w="0" w:type="dxa"/>
              <w:right w:w="120" w:type="dxa"/>
            </w:tcMar>
            <w:vAlign w:val="bottom"/>
            <w:hideMark/>
          </w:tcPr>
          <w:p w14:paraId="7ABA88F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738,277</w:t>
            </w:r>
          </w:p>
        </w:tc>
      </w:tr>
      <w:tr w:rsidR="00C82CBF" w:rsidRPr="00C82CBF" w14:paraId="5EF10D56"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72E60C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Fully-diluted profit per share (in US $)</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944845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0.019</w:t>
            </w:r>
          </w:p>
        </w:tc>
        <w:tc>
          <w:tcPr>
            <w:tcW w:w="0" w:type="auto"/>
            <w:tcBorders>
              <w:top w:val="nil"/>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7496F99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0.028</w:t>
            </w:r>
          </w:p>
        </w:tc>
      </w:tr>
    </w:tbl>
    <w:p w14:paraId="6099782D" w14:textId="77777777" w:rsidR="00C82CBF" w:rsidRPr="00C82CBF" w:rsidRDefault="00C82CBF" w:rsidP="00C82CBF">
      <w:pPr>
        <w:spacing w:before="100" w:beforeAutospacing="1" w:after="100" w:afterAutospacing="1" w:line="240" w:lineRule="auto"/>
        <w:ind w:left="615"/>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Diluted shares</w:t>
      </w:r>
    </w:p>
    <w:p w14:paraId="7AA451AD"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composition of the number of shares and share rights outstanding as well as authorized share capital as per 30 June 2020 is provided in the table below:</w:t>
      </w:r>
    </w:p>
    <w:tbl>
      <w:tblPr>
        <w:tblW w:w="0" w:type="auto"/>
        <w:tblCellMar>
          <w:left w:w="0" w:type="dxa"/>
          <w:right w:w="0" w:type="dxa"/>
        </w:tblCellMar>
        <w:tblLook w:val="04A0" w:firstRow="1" w:lastRow="0" w:firstColumn="1" w:lastColumn="0" w:noHBand="0" w:noVBand="1"/>
      </w:tblPr>
      <w:tblGrid>
        <w:gridCol w:w="2099"/>
        <w:gridCol w:w="1237"/>
        <w:gridCol w:w="1325"/>
        <w:gridCol w:w="908"/>
        <w:gridCol w:w="1237"/>
      </w:tblGrid>
      <w:tr w:rsidR="00C82CBF" w:rsidRPr="00C82CBF" w14:paraId="3511E49F" w14:textId="77777777" w:rsidTr="00C82CBF">
        <w:tc>
          <w:tcPr>
            <w:tcW w:w="0" w:type="auto"/>
            <w:tcBorders>
              <w:top w:val="single" w:sz="8" w:space="0" w:color="000000"/>
              <w:left w:val="single" w:sz="8" w:space="0" w:color="000000"/>
              <w:bottom w:val="nil"/>
              <w:right w:val="nil"/>
            </w:tcBorders>
            <w:tcMar>
              <w:top w:w="0" w:type="dxa"/>
              <w:left w:w="120" w:type="dxa"/>
              <w:bottom w:w="0" w:type="dxa"/>
              <w:right w:w="160" w:type="dxa"/>
            </w:tcMar>
            <w:vAlign w:val="bottom"/>
            <w:hideMark/>
          </w:tcPr>
          <w:p w14:paraId="0CDE594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4914B7C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31 December</w:t>
            </w:r>
          </w:p>
          <w:p w14:paraId="3ADA970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2020</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6EE16DB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Shares issued</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593AF4D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 xml:space="preserve">Shares </w:t>
            </w:r>
            <w:r w:rsidRPr="00C82CBF">
              <w:rPr>
                <w:rFonts w:ascii="Arial" w:eastAsia="Times New Roman" w:hAnsi="Arial" w:cs="Arial"/>
                <w:b/>
                <w:bCs/>
                <w:color w:val="000000"/>
                <w:sz w:val="16"/>
                <w:szCs w:val="16"/>
                <w:lang w:eastAsia="en-GB"/>
              </w:rPr>
              <w:br/>
              <w:t>reserved</w:t>
            </w:r>
          </w:p>
        </w:tc>
        <w:tc>
          <w:tcPr>
            <w:tcW w:w="0" w:type="auto"/>
            <w:tcBorders>
              <w:top w:val="single" w:sz="8" w:space="0" w:color="000000"/>
              <w:left w:val="nil"/>
              <w:bottom w:val="nil"/>
              <w:right w:val="single" w:sz="8" w:space="0" w:color="000000"/>
            </w:tcBorders>
            <w:tcMar>
              <w:top w:w="0" w:type="dxa"/>
              <w:left w:w="120" w:type="dxa"/>
              <w:bottom w:w="0" w:type="dxa"/>
              <w:right w:w="120" w:type="dxa"/>
            </w:tcMar>
            <w:vAlign w:val="bottom"/>
            <w:hideMark/>
          </w:tcPr>
          <w:p w14:paraId="45CF197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30 June 2021</w:t>
            </w:r>
          </w:p>
        </w:tc>
      </w:tr>
      <w:tr w:rsidR="00C82CBF" w:rsidRPr="00C82CBF" w14:paraId="304560D2"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A7C662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Issued shares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6168B1F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638,821,619</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087F9CC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7,301,627</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22AF696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3E6B2A5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646,123,246</w:t>
            </w:r>
          </w:p>
        </w:tc>
      </w:tr>
      <w:tr w:rsidR="00C82CBF" w:rsidRPr="00C82CBF" w14:paraId="33EAFAA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0A017C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Warrants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48BC1B2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148,944</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36BAC6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(60,915)</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04C2769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34D34A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88,029</w:t>
            </w:r>
          </w:p>
        </w:tc>
      </w:tr>
      <w:tr w:rsidR="00C82CBF" w:rsidRPr="00C82CBF" w14:paraId="5559983D"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89E099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Options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41E3DA6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50,106,488</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D3E596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(6,552,813)</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3BF81F1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8CE171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43,553,675</w:t>
            </w:r>
          </w:p>
        </w:tc>
      </w:tr>
      <w:tr w:rsidR="00C82CBF" w:rsidRPr="00C82CBF" w14:paraId="6E10AD17"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69323AC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Convertible bonds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4706676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62,412,622</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5BB96BE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736C569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E423C5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62,412,622</w:t>
            </w:r>
          </w:p>
        </w:tc>
      </w:tr>
      <w:tr w:rsidR="00C82CBF" w:rsidRPr="00C82CBF" w14:paraId="1619648D"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0CD3801" w14:textId="77777777" w:rsidR="00C82CBF" w:rsidRPr="00C82CBF" w:rsidRDefault="00C82CBF" w:rsidP="00C82CBF">
            <w:pPr>
              <w:spacing w:after="0" w:line="240" w:lineRule="auto"/>
              <w:rPr>
                <w:rFonts w:ascii="Arial" w:eastAsia="Times New Roman" w:hAnsi="Arial" w:cs="Arial"/>
                <w:color w:val="000000"/>
                <w:sz w:val="16"/>
                <w:szCs w:val="16"/>
                <w:lang w:eastAsia="en-GB"/>
              </w:rPr>
            </w:pPr>
            <w:proofErr w:type="spellStart"/>
            <w:r w:rsidRPr="00C82CBF">
              <w:rPr>
                <w:rFonts w:ascii="Arial" w:eastAsia="Times New Roman" w:hAnsi="Arial" w:cs="Arial"/>
                <w:color w:val="000000"/>
                <w:sz w:val="16"/>
                <w:szCs w:val="16"/>
                <w:lang w:eastAsia="en-GB"/>
              </w:rPr>
              <w:t>LTIP</w:t>
            </w:r>
            <w:proofErr w:type="spellEnd"/>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BEA408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9,979,208</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4BA3D6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1,439,045</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07D37C4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752948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11,418,253</w:t>
            </w:r>
          </w:p>
        </w:tc>
      </w:tr>
      <w:tr w:rsidR="00C82CBF" w:rsidRPr="00C82CBF" w14:paraId="78F8F639"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73336B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Fully-diluted shares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2C6B48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761,468,881</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0C0801F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2,126,944</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A40750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5D5DFD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763,595,825</w:t>
            </w:r>
          </w:p>
        </w:tc>
      </w:tr>
      <w:tr w:rsidR="00C82CBF" w:rsidRPr="00C82CBF" w14:paraId="24605AE1"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20ACE9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Available for issue</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3A511B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118,531,119</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EA5413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(2,126,944)</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4C2F00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580419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116,404,175</w:t>
            </w:r>
          </w:p>
        </w:tc>
      </w:tr>
      <w:tr w:rsidR="00C82CBF" w:rsidRPr="00C82CBF" w14:paraId="2FC57366"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F8B1F3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Authorized share capital</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73A352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880,000,000</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F16431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4193B2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6FF008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880,000,000</w:t>
            </w:r>
          </w:p>
        </w:tc>
      </w:tr>
    </w:tbl>
    <w:p w14:paraId="44E8D6DD"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i/>
          <w:iCs/>
          <w:color w:val="000000"/>
          <w:sz w:val="20"/>
          <w:szCs w:val="20"/>
          <w:lang w:eastAsia="en-GB"/>
        </w:rPr>
        <w:t>18. Events since the end of the reporting period</w:t>
      </w:r>
    </w:p>
    <w:p w14:paraId="3387A8B7"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The financial effects of the partnership with Orchard Therapeutics are excluded from the June 2021 financials as the partnership agreement was signed after 30 June.</w:t>
      </w:r>
    </w:p>
    <w:p w14:paraId="76603271"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b/>
          <w:bCs/>
          <w:color w:val="000000"/>
          <w:sz w:val="20"/>
          <w:szCs w:val="20"/>
          <w:lang w:eastAsia="en-GB"/>
        </w:rPr>
        <w:t>Appendix: Main Condensed Consolidated Financial Statements reported in Euro's</w:t>
      </w:r>
      <w:r w:rsidRPr="00C82CBF">
        <w:rPr>
          <w:rFonts w:ascii="Arial" w:eastAsia="Times New Roman" w:hAnsi="Arial" w:cs="Arial"/>
          <w:b/>
          <w:bCs/>
          <w:color w:val="000000"/>
          <w:sz w:val="20"/>
          <w:szCs w:val="20"/>
          <w:lang w:eastAsia="en-GB"/>
        </w:rPr>
        <w:br/>
      </w:r>
      <w:r w:rsidRPr="00C82CBF">
        <w:rPr>
          <w:rFonts w:ascii="Arial" w:eastAsia="Times New Roman" w:hAnsi="Arial" w:cs="Arial"/>
          <w:color w:val="000000"/>
          <w:sz w:val="20"/>
          <w:szCs w:val="20"/>
          <w:lang w:eastAsia="en-GB"/>
        </w:rPr>
        <w:t>These statements are not part of the original Interim Financial Statements. The original Interim Financial Statements are reported in US Dollars. In case of differences of interpretation between the Financial Statements in US dollars and the Financial Statements in Euros, the Financial Statements in US Dollars will prevail.</w:t>
      </w:r>
    </w:p>
    <w:tbl>
      <w:tblPr>
        <w:tblW w:w="0" w:type="auto"/>
        <w:tblCellMar>
          <w:left w:w="0" w:type="dxa"/>
          <w:right w:w="0" w:type="dxa"/>
        </w:tblCellMar>
        <w:tblLook w:val="04A0" w:firstRow="1" w:lastRow="0" w:firstColumn="1" w:lastColumn="0" w:noHBand="0" w:noVBand="1"/>
      </w:tblPr>
      <w:tblGrid>
        <w:gridCol w:w="3113"/>
        <w:gridCol w:w="730"/>
      </w:tblGrid>
      <w:tr w:rsidR="00C82CBF" w:rsidRPr="00C82CBF" w14:paraId="7DF60783"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637C219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Exchange rates (</w:t>
            </w:r>
            <w:proofErr w:type="spellStart"/>
            <w:r w:rsidRPr="00C82CBF">
              <w:rPr>
                <w:rFonts w:ascii="Arial" w:eastAsia="Times New Roman" w:hAnsi="Arial" w:cs="Arial"/>
                <w:b/>
                <w:bCs/>
                <w:color w:val="000000"/>
                <w:sz w:val="16"/>
                <w:szCs w:val="16"/>
                <w:lang w:eastAsia="en-GB"/>
              </w:rPr>
              <w:t>USD:EUR</w:t>
            </w:r>
            <w:proofErr w:type="spellEnd"/>
            <w:r w:rsidRPr="00C82CBF">
              <w:rPr>
                <w:rFonts w:ascii="Arial" w:eastAsia="Times New Roman" w:hAnsi="Arial" w:cs="Arial"/>
                <w:b/>
                <w:bCs/>
                <w:color w:val="000000"/>
                <w:sz w:val="16"/>
                <w:szCs w:val="16"/>
                <w:lang w:eastAsia="en-GB"/>
              </w:rPr>
              <w:t>) used:</w:t>
            </w:r>
          </w:p>
        </w:tc>
        <w:tc>
          <w:tcPr>
            <w:tcW w:w="0" w:type="auto"/>
            <w:tcBorders>
              <w:top w:val="nil"/>
              <w:left w:val="nil"/>
              <w:bottom w:val="nil"/>
              <w:right w:val="nil"/>
            </w:tcBorders>
            <w:tcMar>
              <w:top w:w="0" w:type="dxa"/>
              <w:left w:w="120" w:type="dxa"/>
              <w:bottom w:w="0" w:type="dxa"/>
              <w:right w:w="120" w:type="dxa"/>
            </w:tcMar>
            <w:vAlign w:val="bottom"/>
            <w:hideMark/>
          </w:tcPr>
          <w:p w14:paraId="2C20B61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3694A368"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628B1C2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Statement of income YTD 2020</w:t>
            </w:r>
          </w:p>
        </w:tc>
        <w:tc>
          <w:tcPr>
            <w:tcW w:w="0" w:type="auto"/>
            <w:tcBorders>
              <w:top w:val="nil"/>
              <w:left w:val="nil"/>
              <w:bottom w:val="nil"/>
              <w:right w:val="nil"/>
            </w:tcBorders>
            <w:tcMar>
              <w:top w:w="0" w:type="dxa"/>
              <w:left w:w="120" w:type="dxa"/>
              <w:bottom w:w="0" w:type="dxa"/>
              <w:right w:w="120" w:type="dxa"/>
            </w:tcMar>
            <w:vAlign w:val="bottom"/>
            <w:hideMark/>
          </w:tcPr>
          <w:p w14:paraId="0DC4163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1.1042</w:t>
            </w:r>
          </w:p>
        </w:tc>
      </w:tr>
      <w:tr w:rsidR="00C82CBF" w:rsidRPr="00C82CBF" w14:paraId="0806533B"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7F4D907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Statement of income YTD 2021</w:t>
            </w:r>
          </w:p>
        </w:tc>
        <w:tc>
          <w:tcPr>
            <w:tcW w:w="0" w:type="auto"/>
            <w:tcBorders>
              <w:top w:val="nil"/>
              <w:left w:val="nil"/>
              <w:bottom w:val="nil"/>
              <w:right w:val="nil"/>
            </w:tcBorders>
            <w:tcMar>
              <w:top w:w="0" w:type="dxa"/>
              <w:left w:w="120" w:type="dxa"/>
              <w:bottom w:w="0" w:type="dxa"/>
              <w:right w:w="120" w:type="dxa"/>
            </w:tcMar>
            <w:vAlign w:val="bottom"/>
            <w:hideMark/>
          </w:tcPr>
          <w:p w14:paraId="5DAB19B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1.2061</w:t>
            </w:r>
          </w:p>
        </w:tc>
      </w:tr>
      <w:tr w:rsidR="00C82CBF" w:rsidRPr="00C82CBF" w14:paraId="2E093E61"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75B3B86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Balance sheet at June 2020</w:t>
            </w:r>
          </w:p>
        </w:tc>
        <w:tc>
          <w:tcPr>
            <w:tcW w:w="0" w:type="auto"/>
            <w:tcBorders>
              <w:top w:val="nil"/>
              <w:left w:val="nil"/>
              <w:bottom w:val="nil"/>
              <w:right w:val="nil"/>
            </w:tcBorders>
            <w:tcMar>
              <w:top w:w="0" w:type="dxa"/>
              <w:left w:w="120" w:type="dxa"/>
              <w:bottom w:w="0" w:type="dxa"/>
              <w:right w:w="120" w:type="dxa"/>
            </w:tcMar>
            <w:vAlign w:val="bottom"/>
            <w:hideMark/>
          </w:tcPr>
          <w:p w14:paraId="0AB71E1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1.1206</w:t>
            </w:r>
          </w:p>
        </w:tc>
      </w:tr>
      <w:tr w:rsidR="00C82CBF" w:rsidRPr="00C82CBF" w14:paraId="7EC9D2C5"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33AADEA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Balance sheet at December 2020</w:t>
            </w:r>
          </w:p>
        </w:tc>
        <w:tc>
          <w:tcPr>
            <w:tcW w:w="0" w:type="auto"/>
            <w:tcBorders>
              <w:top w:val="nil"/>
              <w:left w:val="nil"/>
              <w:bottom w:val="nil"/>
              <w:right w:val="nil"/>
            </w:tcBorders>
            <w:tcMar>
              <w:top w:w="0" w:type="dxa"/>
              <w:left w:w="120" w:type="dxa"/>
              <w:bottom w:w="0" w:type="dxa"/>
              <w:right w:w="120" w:type="dxa"/>
            </w:tcMar>
            <w:vAlign w:val="bottom"/>
            <w:hideMark/>
          </w:tcPr>
          <w:p w14:paraId="3D2CE7E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1.2280</w:t>
            </w:r>
          </w:p>
        </w:tc>
      </w:tr>
      <w:tr w:rsidR="00C82CBF" w:rsidRPr="00C82CBF" w14:paraId="65D4F865"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1FA7DCC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Balance sheet at June 2021</w:t>
            </w:r>
          </w:p>
        </w:tc>
        <w:tc>
          <w:tcPr>
            <w:tcW w:w="0" w:type="auto"/>
            <w:tcBorders>
              <w:top w:val="nil"/>
              <w:left w:val="nil"/>
              <w:bottom w:val="nil"/>
              <w:right w:val="nil"/>
            </w:tcBorders>
            <w:tcMar>
              <w:top w:w="0" w:type="dxa"/>
              <w:left w:w="120" w:type="dxa"/>
              <w:bottom w:w="0" w:type="dxa"/>
              <w:right w:w="120" w:type="dxa"/>
            </w:tcMar>
            <w:vAlign w:val="bottom"/>
            <w:hideMark/>
          </w:tcPr>
          <w:p w14:paraId="05CEB3D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1.1895</w:t>
            </w:r>
          </w:p>
        </w:tc>
      </w:tr>
      <w:tr w:rsidR="00C82CBF" w:rsidRPr="00C82CBF" w14:paraId="61544B79"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364A1F9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Cash flow YTD 2020</w:t>
            </w:r>
          </w:p>
        </w:tc>
        <w:tc>
          <w:tcPr>
            <w:tcW w:w="0" w:type="auto"/>
            <w:tcBorders>
              <w:top w:val="nil"/>
              <w:left w:val="nil"/>
              <w:bottom w:val="nil"/>
              <w:right w:val="nil"/>
            </w:tcBorders>
            <w:tcMar>
              <w:top w:w="0" w:type="dxa"/>
              <w:left w:w="120" w:type="dxa"/>
              <w:bottom w:w="0" w:type="dxa"/>
              <w:right w:w="120" w:type="dxa"/>
            </w:tcMar>
            <w:vAlign w:val="bottom"/>
            <w:hideMark/>
          </w:tcPr>
          <w:p w14:paraId="54ABE3F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1.1042</w:t>
            </w:r>
          </w:p>
        </w:tc>
      </w:tr>
      <w:tr w:rsidR="00C82CBF" w:rsidRPr="00C82CBF" w14:paraId="5E938523"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79E0404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Cash flow YTD 2021</w:t>
            </w:r>
          </w:p>
        </w:tc>
        <w:tc>
          <w:tcPr>
            <w:tcW w:w="0" w:type="auto"/>
            <w:tcBorders>
              <w:top w:val="nil"/>
              <w:left w:val="nil"/>
              <w:bottom w:val="nil"/>
              <w:right w:val="nil"/>
            </w:tcBorders>
            <w:tcMar>
              <w:top w:w="0" w:type="dxa"/>
              <w:left w:w="120" w:type="dxa"/>
              <w:bottom w:w="0" w:type="dxa"/>
              <w:right w:w="120" w:type="dxa"/>
            </w:tcMar>
            <w:vAlign w:val="bottom"/>
            <w:hideMark/>
          </w:tcPr>
          <w:p w14:paraId="2B0E4C5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1.2061</w:t>
            </w:r>
          </w:p>
        </w:tc>
      </w:tr>
      <w:tr w:rsidR="00C82CBF" w:rsidRPr="00C82CBF" w14:paraId="483D983D"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5C67804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Cash balance as per 1 January 2020</w:t>
            </w:r>
          </w:p>
        </w:tc>
        <w:tc>
          <w:tcPr>
            <w:tcW w:w="0" w:type="auto"/>
            <w:tcBorders>
              <w:top w:val="nil"/>
              <w:left w:val="nil"/>
              <w:bottom w:val="nil"/>
              <w:right w:val="nil"/>
            </w:tcBorders>
            <w:tcMar>
              <w:top w:w="0" w:type="dxa"/>
              <w:left w:w="120" w:type="dxa"/>
              <w:bottom w:w="0" w:type="dxa"/>
              <w:right w:w="120" w:type="dxa"/>
            </w:tcMar>
            <w:vAlign w:val="bottom"/>
            <w:hideMark/>
          </w:tcPr>
          <w:p w14:paraId="09B0371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1.1214</w:t>
            </w:r>
          </w:p>
        </w:tc>
      </w:tr>
      <w:tr w:rsidR="00C82CBF" w:rsidRPr="00C82CBF" w14:paraId="582A2644"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7E0628C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Cash balance as per 31 December 2020</w:t>
            </w:r>
          </w:p>
        </w:tc>
        <w:tc>
          <w:tcPr>
            <w:tcW w:w="0" w:type="auto"/>
            <w:tcBorders>
              <w:top w:val="nil"/>
              <w:left w:val="nil"/>
              <w:bottom w:val="nil"/>
              <w:right w:val="nil"/>
            </w:tcBorders>
            <w:tcMar>
              <w:top w:w="0" w:type="dxa"/>
              <w:left w:w="120" w:type="dxa"/>
              <w:bottom w:w="0" w:type="dxa"/>
              <w:right w:w="120" w:type="dxa"/>
            </w:tcMar>
            <w:vAlign w:val="bottom"/>
            <w:hideMark/>
          </w:tcPr>
          <w:p w14:paraId="4D58866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1.2280</w:t>
            </w:r>
          </w:p>
        </w:tc>
      </w:tr>
      <w:tr w:rsidR="00C82CBF" w:rsidRPr="00C82CBF" w14:paraId="0D0E93E1"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640AE5A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Cash balance as per 1 January 2021</w:t>
            </w:r>
          </w:p>
        </w:tc>
        <w:tc>
          <w:tcPr>
            <w:tcW w:w="0" w:type="auto"/>
            <w:tcBorders>
              <w:top w:val="nil"/>
              <w:left w:val="nil"/>
              <w:bottom w:val="nil"/>
              <w:right w:val="nil"/>
            </w:tcBorders>
            <w:tcMar>
              <w:top w:w="0" w:type="dxa"/>
              <w:left w:w="120" w:type="dxa"/>
              <w:bottom w:w="0" w:type="dxa"/>
              <w:right w:w="120" w:type="dxa"/>
            </w:tcMar>
            <w:vAlign w:val="bottom"/>
            <w:hideMark/>
          </w:tcPr>
          <w:p w14:paraId="1119278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1.2280</w:t>
            </w:r>
          </w:p>
        </w:tc>
      </w:tr>
      <w:tr w:rsidR="00C82CBF" w:rsidRPr="00C82CBF" w14:paraId="69CE3E51"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034BE1C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Cash balance as per 30 June 2021</w:t>
            </w:r>
          </w:p>
        </w:tc>
        <w:tc>
          <w:tcPr>
            <w:tcW w:w="0" w:type="auto"/>
            <w:tcBorders>
              <w:top w:val="nil"/>
              <w:left w:val="nil"/>
              <w:bottom w:val="nil"/>
              <w:right w:val="nil"/>
            </w:tcBorders>
            <w:tcMar>
              <w:top w:w="0" w:type="dxa"/>
              <w:left w:w="120" w:type="dxa"/>
              <w:bottom w:w="0" w:type="dxa"/>
              <w:right w:w="120" w:type="dxa"/>
            </w:tcMar>
            <w:vAlign w:val="bottom"/>
            <w:hideMark/>
          </w:tcPr>
          <w:p w14:paraId="11223EC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1.1895</w:t>
            </w:r>
          </w:p>
        </w:tc>
      </w:tr>
    </w:tbl>
    <w:p w14:paraId="28398FDB" w14:textId="77777777" w:rsidR="00C82CBF" w:rsidRPr="00C82CBF" w:rsidRDefault="00C82CBF" w:rsidP="00C82CBF">
      <w:pPr>
        <w:spacing w:after="0" w:line="240" w:lineRule="auto"/>
        <w:rPr>
          <w:rFonts w:ascii="Arial" w:eastAsia="Times New Roman" w:hAnsi="Arial" w:cs="Arial"/>
          <w:color w:val="000000"/>
          <w:sz w:val="20"/>
          <w:szCs w:val="20"/>
          <w:lang w:eastAsia="en-GB"/>
        </w:rPr>
      </w:pPr>
    </w:p>
    <w:p w14:paraId="435083A6" w14:textId="53E33629"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     </w:t>
      </w:r>
    </w:p>
    <w:p w14:paraId="4EA1A473" w14:textId="2A2EBCA6" w:rsid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p w14:paraId="5E080338"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p>
    <w:tbl>
      <w:tblPr>
        <w:tblW w:w="0" w:type="auto"/>
        <w:tblCellMar>
          <w:left w:w="0" w:type="dxa"/>
          <w:right w:w="0" w:type="dxa"/>
        </w:tblCellMar>
        <w:tblLook w:val="04A0" w:firstRow="1" w:lastRow="0" w:firstColumn="1" w:lastColumn="0" w:noHBand="0" w:noVBand="1"/>
      </w:tblPr>
      <w:tblGrid>
        <w:gridCol w:w="5858"/>
        <w:gridCol w:w="863"/>
        <w:gridCol w:w="863"/>
      </w:tblGrid>
      <w:tr w:rsidR="00C82CBF" w:rsidRPr="00C82CBF" w14:paraId="56546A3E"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02D74EE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lastRenderedPageBreak/>
              <w:t>CONDENSED CONSOLIDATED STATEMENT OF PROFIT AND LOSS - EUR</w:t>
            </w:r>
          </w:p>
        </w:tc>
        <w:tc>
          <w:tcPr>
            <w:tcW w:w="0" w:type="auto"/>
            <w:tcBorders>
              <w:top w:val="nil"/>
              <w:left w:val="nil"/>
              <w:bottom w:val="nil"/>
              <w:right w:val="nil"/>
            </w:tcBorders>
            <w:tcMar>
              <w:top w:w="0" w:type="dxa"/>
              <w:left w:w="120" w:type="dxa"/>
              <w:bottom w:w="0" w:type="dxa"/>
              <w:right w:w="160" w:type="dxa"/>
            </w:tcMar>
            <w:vAlign w:val="bottom"/>
            <w:hideMark/>
          </w:tcPr>
          <w:p w14:paraId="18FA8DF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5F262B3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E3322FA"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7F7CAC2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 the 6-month period ended 30 June</w:t>
            </w:r>
          </w:p>
        </w:tc>
        <w:tc>
          <w:tcPr>
            <w:tcW w:w="0" w:type="auto"/>
            <w:tcBorders>
              <w:top w:val="nil"/>
              <w:left w:val="nil"/>
              <w:bottom w:val="nil"/>
              <w:right w:val="nil"/>
            </w:tcBorders>
            <w:tcMar>
              <w:top w:w="0" w:type="dxa"/>
              <w:left w:w="120" w:type="dxa"/>
              <w:bottom w:w="0" w:type="dxa"/>
              <w:right w:w="160" w:type="dxa"/>
            </w:tcMar>
            <w:vAlign w:val="bottom"/>
            <w:hideMark/>
          </w:tcPr>
          <w:p w14:paraId="6CE4657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1116AE8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3CC18343" w14:textId="77777777" w:rsidTr="00C82CBF">
        <w:tc>
          <w:tcPr>
            <w:tcW w:w="0" w:type="auto"/>
            <w:tcBorders>
              <w:top w:val="nil"/>
              <w:left w:val="nil"/>
              <w:bottom w:val="nil"/>
              <w:right w:val="nil"/>
            </w:tcBorders>
            <w:tcMar>
              <w:top w:w="0" w:type="dxa"/>
              <w:left w:w="120" w:type="dxa"/>
              <w:bottom w:w="0" w:type="dxa"/>
              <w:right w:w="160" w:type="dxa"/>
            </w:tcMar>
            <w:vAlign w:val="bottom"/>
            <w:hideMark/>
          </w:tcPr>
          <w:p w14:paraId="7AD19CC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56791EF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7FA6CAD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105FA068" w14:textId="77777777" w:rsidTr="00C82CBF">
        <w:tc>
          <w:tcPr>
            <w:tcW w:w="0" w:type="auto"/>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66D5684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 '000</w:t>
            </w:r>
          </w:p>
        </w:tc>
        <w:tc>
          <w:tcPr>
            <w:tcW w:w="0" w:type="auto"/>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240F05F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2021</w:t>
            </w:r>
          </w:p>
        </w:tc>
        <w:tc>
          <w:tcPr>
            <w:tcW w:w="0" w:type="auto"/>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6F64FD8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2020</w:t>
            </w:r>
          </w:p>
        </w:tc>
      </w:tr>
      <w:tr w:rsidR="00C82CBF" w:rsidRPr="00C82CBF" w14:paraId="3C0841A2"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F99604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Revenues</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A0EEA2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77,304</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93A48D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88,593</w:t>
            </w:r>
          </w:p>
        </w:tc>
      </w:tr>
      <w:tr w:rsidR="00C82CBF" w:rsidRPr="00C82CBF" w14:paraId="7348F66A"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3CAB72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Costs of sales</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2E1EC3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(7,866)</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0302D5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(9,858)</w:t>
            </w:r>
          </w:p>
        </w:tc>
      </w:tr>
      <w:tr w:rsidR="00C82CBF" w:rsidRPr="00C82CBF" w14:paraId="0947979E"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122321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Gross profit</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7E8D10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69,438</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9A7111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78,735</w:t>
            </w:r>
          </w:p>
        </w:tc>
      </w:tr>
      <w:tr w:rsidR="00C82CBF" w:rsidRPr="00C82CBF" w14:paraId="67C6EE54"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A90505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Other income</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D668EB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1,123</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27EDBE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475</w:t>
            </w:r>
          </w:p>
        </w:tc>
      </w:tr>
      <w:tr w:rsidR="00C82CBF" w:rsidRPr="00C82CBF" w14:paraId="65F69EC9"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5B1FC4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Research and development</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8293CD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(20,070)</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10FCB4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(15,991)</w:t>
            </w:r>
          </w:p>
        </w:tc>
      </w:tr>
      <w:tr w:rsidR="00C82CBF" w:rsidRPr="00C82CBF" w14:paraId="710F1256"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1367B1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General and administrative</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621D9ED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(12,486)</w:t>
            </w:r>
          </w:p>
        </w:tc>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563646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(8,917)</w:t>
            </w:r>
          </w:p>
        </w:tc>
      </w:tr>
      <w:tr w:rsidR="00C82CBF" w:rsidRPr="00C82CBF" w14:paraId="2EC18177"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A3F6E6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Marketing and sales</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E7BDE6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(23,784)</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11005F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(21,991)</w:t>
            </w:r>
          </w:p>
        </w:tc>
      </w:tr>
      <w:tr w:rsidR="00C82CBF" w:rsidRPr="00C82CBF" w14:paraId="6EB61DC1"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090769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Other Operating Costs</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121655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(56,340)</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9391A6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(46,899)</w:t>
            </w:r>
          </w:p>
        </w:tc>
      </w:tr>
      <w:tr w:rsidR="00C82CBF" w:rsidRPr="00C82CBF" w14:paraId="55725BF3"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BA0747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Operating profit</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5A1D78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14,221</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CD5E9A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32,311</w:t>
            </w:r>
          </w:p>
        </w:tc>
      </w:tr>
      <w:tr w:rsidR="00C82CBF" w:rsidRPr="00C82CBF" w14:paraId="4A215DE5"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F3E6BC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Fair value gain (loss) on revaluation derivatives</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38B92D0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36</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33010B7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84</w:t>
            </w:r>
          </w:p>
        </w:tc>
      </w:tr>
      <w:tr w:rsidR="00C82CBF" w:rsidRPr="00C82CBF" w14:paraId="79DB5C6F"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D1C049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finance income</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36E8EBF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4,475</w:t>
            </w:r>
          </w:p>
        </w:tc>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20B2791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1,121</w:t>
            </w:r>
          </w:p>
        </w:tc>
      </w:tr>
      <w:tr w:rsidR="00C82CBF" w:rsidRPr="00C82CBF" w14:paraId="0CC17EBD"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F7617A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finance expenses</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076D30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(2,453)</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989F67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(7,741)</w:t>
            </w:r>
          </w:p>
        </w:tc>
      </w:tr>
      <w:tr w:rsidR="00C82CBF" w:rsidRPr="00C82CBF" w14:paraId="589432FA"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627D90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Finance gain (cost) net</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1BD962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2,058</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1135D0B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(6,536)</w:t>
            </w:r>
          </w:p>
        </w:tc>
      </w:tr>
      <w:tr w:rsidR="00C82CBF" w:rsidRPr="00C82CBF" w14:paraId="05A8453D"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874736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Share of net profits in associates using the equity method</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67BA39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321</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040812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121</w:t>
            </w:r>
          </w:p>
        </w:tc>
      </w:tr>
      <w:tr w:rsidR="00C82CBF" w:rsidRPr="00C82CBF" w14:paraId="31E7DEBB"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374D6E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Profit before tax</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464458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16,602</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5CC83C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25,896</w:t>
            </w:r>
          </w:p>
        </w:tc>
      </w:tr>
      <w:tr w:rsidR="00C82CBF" w:rsidRPr="00C82CBF" w14:paraId="454E7900"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7586E5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Income tax expense</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68D171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(4,703)</w:t>
            </w:r>
          </w:p>
        </w:tc>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DBB4B8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(7,753)</w:t>
            </w:r>
          </w:p>
        </w:tc>
      </w:tr>
      <w:tr w:rsidR="00C82CBF" w:rsidRPr="00C82CBF" w14:paraId="3BA2E3BC"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E84DCE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Profit for the year</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A1C477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11,899</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9EE724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18,143</w:t>
            </w:r>
          </w:p>
        </w:tc>
      </w:tr>
      <w:tr w:rsidR="00C82CBF" w:rsidRPr="00C82CBF" w14:paraId="781CB8A3"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3078A3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xml:space="preserve">Basic earnings per share (€) </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034F82C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0.019</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C58074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0.029</w:t>
            </w:r>
          </w:p>
        </w:tc>
      </w:tr>
      <w:tr w:rsidR="00C82CBF" w:rsidRPr="00C82CBF" w14:paraId="2ED9C439"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00E447B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xml:space="preserve">Fully-diluted earnings per share (€) </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0A107A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0.016</w:t>
            </w:r>
          </w:p>
        </w:tc>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CB09F3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0.025</w:t>
            </w:r>
          </w:p>
        </w:tc>
      </w:tr>
    </w:tbl>
    <w:p w14:paraId="7349891C"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    </w:t>
      </w:r>
    </w:p>
    <w:tbl>
      <w:tblPr>
        <w:tblW w:w="0" w:type="auto"/>
        <w:tblCellMar>
          <w:left w:w="0" w:type="dxa"/>
          <w:right w:w="0" w:type="dxa"/>
        </w:tblCellMar>
        <w:tblLook w:val="04A0" w:firstRow="1" w:lastRow="0" w:firstColumn="1" w:lastColumn="0" w:noHBand="0" w:noVBand="1"/>
      </w:tblPr>
      <w:tblGrid>
        <w:gridCol w:w="5137"/>
        <w:gridCol w:w="339"/>
        <w:gridCol w:w="295"/>
        <w:gridCol w:w="335"/>
        <w:gridCol w:w="328"/>
        <w:gridCol w:w="328"/>
        <w:gridCol w:w="327"/>
        <w:gridCol w:w="327"/>
        <w:gridCol w:w="327"/>
        <w:gridCol w:w="325"/>
      </w:tblGrid>
      <w:tr w:rsidR="00C82CBF" w:rsidRPr="00C82CBF" w14:paraId="1D633587"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671DDF2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CONDENSED CONSOLIDATED BALANCE SHEET - EUR</w:t>
            </w:r>
          </w:p>
        </w:tc>
        <w:tc>
          <w:tcPr>
            <w:tcW w:w="0" w:type="auto"/>
            <w:gridSpan w:val="3"/>
            <w:tcBorders>
              <w:top w:val="nil"/>
              <w:left w:val="nil"/>
              <w:bottom w:val="nil"/>
              <w:right w:val="nil"/>
            </w:tcBorders>
            <w:tcMar>
              <w:top w:w="0" w:type="dxa"/>
              <w:left w:w="120" w:type="dxa"/>
              <w:bottom w:w="0" w:type="dxa"/>
              <w:right w:w="160" w:type="dxa"/>
            </w:tcMar>
            <w:vAlign w:val="bottom"/>
            <w:hideMark/>
          </w:tcPr>
          <w:p w14:paraId="0007795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39C60C9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7DDCDEFB"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26D5D901" w14:textId="77777777" w:rsidTr="00C82CBF">
        <w:tc>
          <w:tcPr>
            <w:tcW w:w="0" w:type="auto"/>
            <w:tcBorders>
              <w:top w:val="nil"/>
              <w:left w:val="nil"/>
              <w:bottom w:val="nil"/>
              <w:right w:val="nil"/>
            </w:tcBorders>
            <w:tcMar>
              <w:top w:w="0" w:type="dxa"/>
              <w:left w:w="120" w:type="dxa"/>
              <w:bottom w:w="0" w:type="dxa"/>
              <w:right w:w="120" w:type="dxa"/>
            </w:tcMar>
            <w:vAlign w:val="bottom"/>
            <w:hideMark/>
          </w:tcPr>
          <w:p w14:paraId="020936B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as at 30 June</w:t>
            </w:r>
          </w:p>
        </w:tc>
        <w:tc>
          <w:tcPr>
            <w:tcW w:w="0" w:type="auto"/>
            <w:gridSpan w:val="3"/>
            <w:tcBorders>
              <w:top w:val="nil"/>
              <w:left w:val="nil"/>
              <w:bottom w:val="nil"/>
              <w:right w:val="nil"/>
            </w:tcBorders>
            <w:tcMar>
              <w:top w:w="0" w:type="dxa"/>
              <w:left w:w="120" w:type="dxa"/>
              <w:bottom w:w="0" w:type="dxa"/>
              <w:right w:w="160" w:type="dxa"/>
            </w:tcMar>
            <w:vAlign w:val="bottom"/>
            <w:hideMark/>
          </w:tcPr>
          <w:p w14:paraId="3684C69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1EC2C2C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30B83BAB"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78979DAD" w14:textId="77777777" w:rsidTr="00C82CBF">
        <w:tc>
          <w:tcPr>
            <w:tcW w:w="0" w:type="auto"/>
            <w:tcBorders>
              <w:top w:val="nil"/>
              <w:left w:val="nil"/>
              <w:bottom w:val="nil"/>
              <w:right w:val="nil"/>
            </w:tcBorders>
            <w:tcMar>
              <w:top w:w="0" w:type="dxa"/>
              <w:left w:w="120" w:type="dxa"/>
              <w:bottom w:w="0" w:type="dxa"/>
              <w:right w:w="160" w:type="dxa"/>
            </w:tcMar>
            <w:vAlign w:val="bottom"/>
            <w:hideMark/>
          </w:tcPr>
          <w:p w14:paraId="74F2B29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nil"/>
              <w:bottom w:val="nil"/>
              <w:right w:val="nil"/>
            </w:tcBorders>
            <w:tcMar>
              <w:top w:w="0" w:type="dxa"/>
              <w:left w:w="120" w:type="dxa"/>
              <w:bottom w:w="0" w:type="dxa"/>
              <w:right w:w="160" w:type="dxa"/>
            </w:tcMar>
            <w:vAlign w:val="bottom"/>
            <w:hideMark/>
          </w:tcPr>
          <w:p w14:paraId="1DB9F95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nil"/>
              <w:bottom w:val="nil"/>
              <w:right w:val="nil"/>
            </w:tcBorders>
            <w:tcMar>
              <w:top w:w="0" w:type="dxa"/>
              <w:left w:w="120" w:type="dxa"/>
              <w:bottom w:w="0" w:type="dxa"/>
              <w:right w:w="160" w:type="dxa"/>
            </w:tcMar>
            <w:vAlign w:val="bottom"/>
            <w:hideMark/>
          </w:tcPr>
          <w:p w14:paraId="029E3D3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0B9F47F1"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773F72AC" w14:textId="77777777" w:rsidTr="00C82CBF">
        <w:tc>
          <w:tcPr>
            <w:tcW w:w="0" w:type="auto"/>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6B88DE5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 '000</w:t>
            </w:r>
          </w:p>
        </w:tc>
        <w:tc>
          <w:tcPr>
            <w:tcW w:w="0" w:type="auto"/>
            <w:gridSpan w:val="3"/>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7CC76F5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30 June</w:t>
            </w:r>
            <w:r w:rsidRPr="00C82CBF">
              <w:rPr>
                <w:rFonts w:ascii="Arial" w:eastAsia="Times New Roman" w:hAnsi="Arial" w:cs="Arial"/>
                <w:color w:val="000000"/>
                <w:sz w:val="16"/>
                <w:szCs w:val="16"/>
                <w:lang w:eastAsia="en-GB"/>
              </w:rPr>
              <w:br/>
            </w:r>
            <w:r w:rsidRPr="00C82CBF">
              <w:rPr>
                <w:rFonts w:ascii="Arial" w:eastAsia="Times New Roman" w:hAnsi="Arial" w:cs="Arial"/>
                <w:b/>
                <w:bCs/>
                <w:color w:val="000000"/>
                <w:sz w:val="16"/>
                <w:szCs w:val="16"/>
                <w:lang w:eastAsia="en-GB"/>
              </w:rPr>
              <w:t>2021</w:t>
            </w:r>
          </w:p>
        </w:tc>
        <w:tc>
          <w:tcPr>
            <w:tcW w:w="0" w:type="auto"/>
            <w:gridSpan w:val="5"/>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0A069F6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31 December 2020</w:t>
            </w:r>
          </w:p>
        </w:tc>
        <w:tc>
          <w:tcPr>
            <w:tcW w:w="0" w:type="auto"/>
            <w:tcBorders>
              <w:top w:val="nil"/>
              <w:left w:val="nil"/>
              <w:bottom w:val="nil"/>
              <w:right w:val="nil"/>
            </w:tcBorders>
            <w:tcMar>
              <w:top w:w="0" w:type="dxa"/>
              <w:left w:w="120" w:type="dxa"/>
              <w:bottom w:w="0" w:type="dxa"/>
              <w:right w:w="160" w:type="dxa"/>
            </w:tcMar>
            <w:vAlign w:val="bottom"/>
            <w:hideMark/>
          </w:tcPr>
          <w:p w14:paraId="3B1D89E2"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44441E2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81F2CF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Non-current assets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3F0BE82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6D5E86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17416ECB"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1D4090A5"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04450DF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Intangible assets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6836849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76,827</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E8A75D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76,615</w:t>
            </w:r>
          </w:p>
        </w:tc>
        <w:tc>
          <w:tcPr>
            <w:tcW w:w="0" w:type="auto"/>
            <w:tcBorders>
              <w:top w:val="nil"/>
              <w:left w:val="nil"/>
              <w:bottom w:val="nil"/>
              <w:right w:val="nil"/>
            </w:tcBorders>
            <w:tcMar>
              <w:top w:w="0" w:type="dxa"/>
              <w:left w:w="120" w:type="dxa"/>
              <w:bottom w:w="0" w:type="dxa"/>
              <w:right w:w="160" w:type="dxa"/>
            </w:tcMar>
            <w:vAlign w:val="bottom"/>
            <w:hideMark/>
          </w:tcPr>
          <w:p w14:paraId="70D7AE24"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150C5151"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0F9BD4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Property, plant and equipment</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17DEC3C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13,104</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80A711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9,956</w:t>
            </w:r>
          </w:p>
        </w:tc>
        <w:tc>
          <w:tcPr>
            <w:tcW w:w="0" w:type="auto"/>
            <w:tcBorders>
              <w:top w:val="nil"/>
              <w:left w:val="nil"/>
              <w:bottom w:val="nil"/>
              <w:right w:val="nil"/>
            </w:tcBorders>
            <w:tcMar>
              <w:top w:w="0" w:type="dxa"/>
              <w:left w:w="120" w:type="dxa"/>
              <w:bottom w:w="0" w:type="dxa"/>
              <w:right w:w="160" w:type="dxa"/>
            </w:tcMar>
            <w:vAlign w:val="bottom"/>
            <w:hideMark/>
          </w:tcPr>
          <w:p w14:paraId="23A1E649"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3FA8C0F9"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4985F4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Right-of-use assets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348AF76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18,531</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241625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7,676</w:t>
            </w:r>
          </w:p>
        </w:tc>
        <w:tc>
          <w:tcPr>
            <w:tcW w:w="0" w:type="auto"/>
            <w:tcBorders>
              <w:top w:val="nil"/>
              <w:left w:val="nil"/>
              <w:bottom w:val="nil"/>
              <w:right w:val="nil"/>
            </w:tcBorders>
            <w:tcMar>
              <w:top w:w="0" w:type="dxa"/>
              <w:left w:w="120" w:type="dxa"/>
              <w:bottom w:w="0" w:type="dxa"/>
              <w:right w:w="160" w:type="dxa"/>
            </w:tcMar>
            <w:vAlign w:val="bottom"/>
            <w:hideMark/>
          </w:tcPr>
          <w:p w14:paraId="3166611F"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0C582DFF"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7FFDAB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Deferred tax assets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3D76522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20,113</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F3B954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25,957</w:t>
            </w:r>
          </w:p>
        </w:tc>
        <w:tc>
          <w:tcPr>
            <w:tcW w:w="0" w:type="auto"/>
            <w:tcBorders>
              <w:top w:val="nil"/>
              <w:left w:val="nil"/>
              <w:bottom w:val="nil"/>
              <w:right w:val="nil"/>
            </w:tcBorders>
            <w:tcMar>
              <w:top w:w="0" w:type="dxa"/>
              <w:left w:w="120" w:type="dxa"/>
              <w:bottom w:w="0" w:type="dxa"/>
              <w:right w:w="160" w:type="dxa"/>
            </w:tcMar>
            <w:vAlign w:val="bottom"/>
            <w:hideMark/>
          </w:tcPr>
          <w:p w14:paraId="2BDB04E9"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5CDEB8E6"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DE950D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Investments accounted for using the equity method</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6ACE898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6,104</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07F59A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5,796</w:t>
            </w:r>
          </w:p>
        </w:tc>
        <w:tc>
          <w:tcPr>
            <w:tcW w:w="0" w:type="auto"/>
            <w:tcBorders>
              <w:top w:val="nil"/>
              <w:left w:val="nil"/>
              <w:bottom w:val="nil"/>
              <w:right w:val="nil"/>
            </w:tcBorders>
            <w:tcMar>
              <w:top w:w="0" w:type="dxa"/>
              <w:left w:w="120" w:type="dxa"/>
              <w:bottom w:w="0" w:type="dxa"/>
              <w:right w:w="160" w:type="dxa"/>
            </w:tcMar>
            <w:vAlign w:val="bottom"/>
            <w:hideMark/>
          </w:tcPr>
          <w:p w14:paraId="009E8847"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60976BEF"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676836B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Restricted cash</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4088DC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415</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7350AE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415</w:t>
            </w:r>
          </w:p>
        </w:tc>
        <w:tc>
          <w:tcPr>
            <w:tcW w:w="0" w:type="auto"/>
            <w:tcBorders>
              <w:top w:val="nil"/>
              <w:left w:val="nil"/>
              <w:bottom w:val="nil"/>
              <w:right w:val="nil"/>
            </w:tcBorders>
            <w:tcMar>
              <w:top w:w="0" w:type="dxa"/>
              <w:left w:w="120" w:type="dxa"/>
              <w:bottom w:w="0" w:type="dxa"/>
              <w:right w:w="160" w:type="dxa"/>
            </w:tcMar>
            <w:vAlign w:val="bottom"/>
            <w:hideMark/>
          </w:tcPr>
          <w:p w14:paraId="48F0FFF0"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1B654998"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C14902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non-current assets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BEC252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135,094</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D5B21D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126,415</w:t>
            </w:r>
          </w:p>
        </w:tc>
        <w:tc>
          <w:tcPr>
            <w:tcW w:w="0" w:type="auto"/>
            <w:tcBorders>
              <w:top w:val="nil"/>
              <w:left w:val="nil"/>
              <w:bottom w:val="nil"/>
              <w:right w:val="nil"/>
            </w:tcBorders>
            <w:tcMar>
              <w:top w:w="0" w:type="dxa"/>
              <w:left w:w="120" w:type="dxa"/>
              <w:bottom w:w="0" w:type="dxa"/>
              <w:right w:w="160" w:type="dxa"/>
            </w:tcMar>
            <w:vAlign w:val="bottom"/>
            <w:hideMark/>
          </w:tcPr>
          <w:p w14:paraId="4C2DFD90"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1965D9EB"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7C4FC4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Current assets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7B0DE74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F6EB2A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34C8E0D3"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2EDCE107"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365C8F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Inventories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2DC69B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20,434</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CD0D9E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17,229</w:t>
            </w:r>
          </w:p>
        </w:tc>
        <w:tc>
          <w:tcPr>
            <w:tcW w:w="0" w:type="auto"/>
            <w:tcBorders>
              <w:top w:val="nil"/>
              <w:left w:val="nil"/>
              <w:bottom w:val="nil"/>
              <w:right w:val="nil"/>
            </w:tcBorders>
            <w:tcMar>
              <w:top w:w="0" w:type="dxa"/>
              <w:left w:w="120" w:type="dxa"/>
              <w:bottom w:w="0" w:type="dxa"/>
              <w:right w:w="160" w:type="dxa"/>
            </w:tcMar>
            <w:vAlign w:val="bottom"/>
            <w:hideMark/>
          </w:tcPr>
          <w:p w14:paraId="7344BB93"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10F5A8D1"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6AB18F4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Trade and other receivables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38D35AE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31,569</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F54542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29,236</w:t>
            </w:r>
          </w:p>
        </w:tc>
        <w:tc>
          <w:tcPr>
            <w:tcW w:w="0" w:type="auto"/>
            <w:tcBorders>
              <w:top w:val="nil"/>
              <w:left w:val="nil"/>
              <w:bottom w:val="nil"/>
              <w:right w:val="nil"/>
            </w:tcBorders>
            <w:tcMar>
              <w:top w:w="0" w:type="dxa"/>
              <w:left w:w="120" w:type="dxa"/>
              <w:bottom w:w="0" w:type="dxa"/>
              <w:right w:w="160" w:type="dxa"/>
            </w:tcMar>
            <w:vAlign w:val="bottom"/>
            <w:hideMark/>
          </w:tcPr>
          <w:p w14:paraId="012C062D"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07DE8831"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B5A23C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Restricted cash</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0C1C7EE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830</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C3E073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810</w:t>
            </w:r>
          </w:p>
        </w:tc>
        <w:tc>
          <w:tcPr>
            <w:tcW w:w="0" w:type="auto"/>
            <w:tcBorders>
              <w:top w:val="nil"/>
              <w:left w:val="nil"/>
              <w:bottom w:val="nil"/>
              <w:right w:val="nil"/>
            </w:tcBorders>
            <w:tcMar>
              <w:top w:w="0" w:type="dxa"/>
              <w:left w:w="120" w:type="dxa"/>
              <w:bottom w:w="0" w:type="dxa"/>
              <w:right w:w="160" w:type="dxa"/>
            </w:tcMar>
            <w:vAlign w:val="bottom"/>
            <w:hideMark/>
          </w:tcPr>
          <w:p w14:paraId="32A89164"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13AC7A8C"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F1B71A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Cash and cash equivalents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AE2FF4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158,304</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5169610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167,068</w:t>
            </w:r>
          </w:p>
        </w:tc>
        <w:tc>
          <w:tcPr>
            <w:tcW w:w="0" w:type="auto"/>
            <w:tcBorders>
              <w:top w:val="nil"/>
              <w:left w:val="nil"/>
              <w:bottom w:val="nil"/>
              <w:right w:val="nil"/>
            </w:tcBorders>
            <w:tcMar>
              <w:top w:w="0" w:type="dxa"/>
              <w:left w:w="120" w:type="dxa"/>
              <w:bottom w:w="0" w:type="dxa"/>
              <w:right w:w="160" w:type="dxa"/>
            </w:tcMar>
            <w:vAlign w:val="bottom"/>
            <w:hideMark/>
          </w:tcPr>
          <w:p w14:paraId="52BC0F86"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2E6133E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AE611C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current assets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474576C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211,137</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EEAAEE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214,343</w:t>
            </w:r>
          </w:p>
        </w:tc>
        <w:tc>
          <w:tcPr>
            <w:tcW w:w="0" w:type="auto"/>
            <w:tcBorders>
              <w:top w:val="nil"/>
              <w:left w:val="nil"/>
              <w:bottom w:val="nil"/>
              <w:right w:val="nil"/>
            </w:tcBorders>
            <w:tcMar>
              <w:top w:w="0" w:type="dxa"/>
              <w:left w:w="120" w:type="dxa"/>
              <w:bottom w:w="0" w:type="dxa"/>
              <w:right w:w="160" w:type="dxa"/>
            </w:tcMar>
            <w:vAlign w:val="bottom"/>
            <w:hideMark/>
          </w:tcPr>
          <w:p w14:paraId="1C456C87"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2DDEA971" w14:textId="77777777" w:rsidTr="00C82CBF">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621051D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71FD4A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B2D218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5D6CB16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13E47028"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217128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assets</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5A2F24B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346,231</w:t>
            </w:r>
          </w:p>
        </w:tc>
        <w:tc>
          <w:tcPr>
            <w:tcW w:w="0" w:type="auto"/>
            <w:gridSpan w:val="5"/>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5D9FEEC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340,758</w:t>
            </w:r>
          </w:p>
        </w:tc>
        <w:tc>
          <w:tcPr>
            <w:tcW w:w="0" w:type="auto"/>
            <w:tcBorders>
              <w:top w:val="nil"/>
              <w:left w:val="nil"/>
              <w:bottom w:val="nil"/>
              <w:right w:val="nil"/>
            </w:tcBorders>
            <w:tcMar>
              <w:top w:w="0" w:type="dxa"/>
              <w:left w:w="120" w:type="dxa"/>
              <w:bottom w:w="0" w:type="dxa"/>
              <w:right w:w="160" w:type="dxa"/>
            </w:tcMar>
            <w:vAlign w:val="bottom"/>
            <w:hideMark/>
          </w:tcPr>
          <w:p w14:paraId="5B98E70B"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0E18937C" w14:textId="77777777" w:rsidTr="00C82CBF">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3DAF7C3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103DCB2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DA6C02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71275C9B"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25ADA54A"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FDEA22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Equity</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7B00D05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946AA8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57099533"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47942CC9"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1AAC09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 capital</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EABC10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6,096</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E19887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6,388</w:t>
            </w:r>
          </w:p>
        </w:tc>
        <w:tc>
          <w:tcPr>
            <w:tcW w:w="0" w:type="auto"/>
            <w:tcBorders>
              <w:top w:val="nil"/>
              <w:left w:val="nil"/>
              <w:bottom w:val="nil"/>
              <w:right w:val="nil"/>
            </w:tcBorders>
            <w:tcMar>
              <w:top w:w="0" w:type="dxa"/>
              <w:left w:w="120" w:type="dxa"/>
              <w:bottom w:w="0" w:type="dxa"/>
              <w:right w:w="160" w:type="dxa"/>
            </w:tcMar>
            <w:vAlign w:val="bottom"/>
            <w:hideMark/>
          </w:tcPr>
          <w:p w14:paraId="3494B297"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1A94DFC4"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1A87045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 premium</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48BF72D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380,856</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3A4D8F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396,799</w:t>
            </w:r>
          </w:p>
        </w:tc>
        <w:tc>
          <w:tcPr>
            <w:tcW w:w="0" w:type="auto"/>
            <w:tcBorders>
              <w:top w:val="nil"/>
              <w:left w:val="nil"/>
              <w:bottom w:val="nil"/>
              <w:right w:val="nil"/>
            </w:tcBorders>
            <w:tcMar>
              <w:top w:w="0" w:type="dxa"/>
              <w:left w:w="120" w:type="dxa"/>
              <w:bottom w:w="0" w:type="dxa"/>
              <w:right w:w="160" w:type="dxa"/>
            </w:tcMar>
            <w:vAlign w:val="bottom"/>
            <w:hideMark/>
          </w:tcPr>
          <w:p w14:paraId="1624BDDF"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30FB1D6A"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C592E2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Legal reserves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644D7B9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12,328</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B8B4AB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4,341</w:t>
            </w:r>
          </w:p>
        </w:tc>
        <w:tc>
          <w:tcPr>
            <w:tcW w:w="0" w:type="auto"/>
            <w:tcBorders>
              <w:top w:val="nil"/>
              <w:left w:val="nil"/>
              <w:bottom w:val="nil"/>
              <w:right w:val="nil"/>
            </w:tcBorders>
            <w:tcMar>
              <w:top w:w="0" w:type="dxa"/>
              <w:left w:w="120" w:type="dxa"/>
              <w:bottom w:w="0" w:type="dxa"/>
              <w:right w:w="160" w:type="dxa"/>
            </w:tcMar>
            <w:vAlign w:val="bottom"/>
            <w:hideMark/>
          </w:tcPr>
          <w:p w14:paraId="79BF0A4D"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747B18D5"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CA445A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Accumulated deficit</w:t>
            </w:r>
          </w:p>
        </w:tc>
        <w:tc>
          <w:tcPr>
            <w:tcW w:w="0" w:type="auto"/>
            <w:gridSpan w:val="3"/>
            <w:tcBorders>
              <w:top w:val="nil"/>
              <w:left w:val="single" w:sz="8" w:space="0" w:color="000000"/>
              <w:bottom w:val="nil"/>
              <w:right w:val="nil"/>
            </w:tcBorders>
            <w:tcMar>
              <w:top w:w="0" w:type="dxa"/>
              <w:left w:w="120" w:type="dxa"/>
              <w:bottom w:w="0" w:type="dxa"/>
              <w:right w:w="120" w:type="dxa"/>
            </w:tcMar>
            <w:vAlign w:val="bottom"/>
            <w:hideMark/>
          </w:tcPr>
          <w:p w14:paraId="3510B87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(232,764)</w:t>
            </w:r>
          </w:p>
        </w:tc>
        <w:tc>
          <w:tcPr>
            <w:tcW w:w="0" w:type="auto"/>
            <w:gridSpan w:val="5"/>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5D825C5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(258,151)</w:t>
            </w:r>
          </w:p>
        </w:tc>
        <w:tc>
          <w:tcPr>
            <w:tcW w:w="0" w:type="auto"/>
            <w:tcBorders>
              <w:top w:val="nil"/>
              <w:left w:val="nil"/>
              <w:bottom w:val="nil"/>
              <w:right w:val="nil"/>
            </w:tcBorders>
            <w:tcMar>
              <w:top w:w="0" w:type="dxa"/>
              <w:left w:w="120" w:type="dxa"/>
              <w:bottom w:w="0" w:type="dxa"/>
              <w:right w:w="160" w:type="dxa"/>
            </w:tcMar>
            <w:vAlign w:val="bottom"/>
            <w:hideMark/>
          </w:tcPr>
          <w:p w14:paraId="6D1C5F26"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6B70629B"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174901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Shareholders' equity</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FC8FE8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166,516</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CD8522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149,377</w:t>
            </w:r>
          </w:p>
        </w:tc>
        <w:tc>
          <w:tcPr>
            <w:tcW w:w="0" w:type="auto"/>
            <w:tcBorders>
              <w:top w:val="nil"/>
              <w:left w:val="nil"/>
              <w:bottom w:val="nil"/>
              <w:right w:val="nil"/>
            </w:tcBorders>
            <w:tcMar>
              <w:top w:w="0" w:type="dxa"/>
              <w:left w:w="120" w:type="dxa"/>
              <w:bottom w:w="0" w:type="dxa"/>
              <w:right w:w="160" w:type="dxa"/>
            </w:tcMar>
            <w:vAlign w:val="bottom"/>
            <w:hideMark/>
          </w:tcPr>
          <w:p w14:paraId="51D4CAAE"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29C736D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183B5A4"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Non-current liabilities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44DC2C9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DA893A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57351082"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532BB292"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5A8F103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Convertible bonds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3D6D3C4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122,267</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2AF7CF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121,927</w:t>
            </w:r>
          </w:p>
        </w:tc>
        <w:tc>
          <w:tcPr>
            <w:tcW w:w="0" w:type="auto"/>
            <w:tcBorders>
              <w:top w:val="nil"/>
              <w:left w:val="nil"/>
              <w:bottom w:val="nil"/>
              <w:right w:val="nil"/>
            </w:tcBorders>
            <w:tcMar>
              <w:top w:w="0" w:type="dxa"/>
              <w:left w:w="120" w:type="dxa"/>
              <w:bottom w:w="0" w:type="dxa"/>
              <w:right w:w="160" w:type="dxa"/>
            </w:tcMar>
            <w:vAlign w:val="bottom"/>
            <w:hideMark/>
          </w:tcPr>
          <w:p w14:paraId="415ACB07"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7B22084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4E6E5B8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Lease liabilities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7AB98D9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17,090</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B792A3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6,702</w:t>
            </w:r>
          </w:p>
        </w:tc>
        <w:tc>
          <w:tcPr>
            <w:tcW w:w="0" w:type="auto"/>
            <w:tcBorders>
              <w:top w:val="nil"/>
              <w:left w:val="nil"/>
              <w:bottom w:val="nil"/>
              <w:right w:val="nil"/>
            </w:tcBorders>
            <w:tcMar>
              <w:top w:w="0" w:type="dxa"/>
              <w:left w:w="120" w:type="dxa"/>
              <w:bottom w:w="0" w:type="dxa"/>
              <w:right w:w="160" w:type="dxa"/>
            </w:tcMar>
            <w:vAlign w:val="bottom"/>
            <w:hideMark/>
          </w:tcPr>
          <w:p w14:paraId="3254D2A6"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1E4FA751"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63A3EA0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financial liabilities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254DEF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159</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CFB535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173</w:t>
            </w:r>
          </w:p>
        </w:tc>
        <w:tc>
          <w:tcPr>
            <w:tcW w:w="0" w:type="auto"/>
            <w:tcBorders>
              <w:top w:val="nil"/>
              <w:left w:val="nil"/>
              <w:bottom w:val="nil"/>
              <w:right w:val="nil"/>
            </w:tcBorders>
            <w:tcMar>
              <w:top w:w="0" w:type="dxa"/>
              <w:left w:w="120" w:type="dxa"/>
              <w:bottom w:w="0" w:type="dxa"/>
              <w:right w:w="160" w:type="dxa"/>
            </w:tcMar>
            <w:vAlign w:val="bottom"/>
            <w:hideMark/>
          </w:tcPr>
          <w:p w14:paraId="40B94317"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14E32227"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0D29FB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non-current liabilities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5B46591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139,516</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4D5B6B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128,802</w:t>
            </w:r>
          </w:p>
        </w:tc>
        <w:tc>
          <w:tcPr>
            <w:tcW w:w="0" w:type="auto"/>
            <w:tcBorders>
              <w:top w:val="nil"/>
              <w:left w:val="nil"/>
              <w:bottom w:val="nil"/>
              <w:right w:val="nil"/>
            </w:tcBorders>
            <w:tcMar>
              <w:top w:w="0" w:type="dxa"/>
              <w:left w:w="120" w:type="dxa"/>
              <w:bottom w:w="0" w:type="dxa"/>
              <w:right w:w="160" w:type="dxa"/>
            </w:tcMar>
            <w:vAlign w:val="bottom"/>
            <w:hideMark/>
          </w:tcPr>
          <w:p w14:paraId="05CFEDD1"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72EDCFAE" w14:textId="77777777" w:rsidTr="00C82CBF">
        <w:tc>
          <w:tcPr>
            <w:tcW w:w="0" w:type="auto"/>
            <w:tcBorders>
              <w:top w:val="nil"/>
              <w:left w:val="single" w:sz="8" w:space="0" w:color="000000"/>
              <w:bottom w:val="nil"/>
              <w:right w:val="nil"/>
            </w:tcBorders>
            <w:tcMar>
              <w:top w:w="0" w:type="dxa"/>
              <w:left w:w="120" w:type="dxa"/>
              <w:bottom w:w="0" w:type="dxa"/>
              <w:right w:w="160" w:type="dxa"/>
            </w:tcMar>
            <w:vAlign w:val="bottom"/>
            <w:hideMark/>
          </w:tcPr>
          <w:p w14:paraId="68A1E09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533254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629F5C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02C5A23E"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4E5A2FA3"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845380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Current liabilities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0283520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2EE256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051D412E"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3D9427E1"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4E25FA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Convertible bonds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B7DBD0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1,657</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1C88FB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1,661</w:t>
            </w:r>
          </w:p>
        </w:tc>
        <w:tc>
          <w:tcPr>
            <w:tcW w:w="0" w:type="auto"/>
            <w:tcBorders>
              <w:top w:val="nil"/>
              <w:left w:val="nil"/>
              <w:bottom w:val="nil"/>
              <w:right w:val="nil"/>
            </w:tcBorders>
            <w:tcMar>
              <w:top w:w="0" w:type="dxa"/>
              <w:left w:w="120" w:type="dxa"/>
              <w:bottom w:w="0" w:type="dxa"/>
              <w:right w:w="160" w:type="dxa"/>
            </w:tcMar>
            <w:vAlign w:val="bottom"/>
            <w:hideMark/>
          </w:tcPr>
          <w:p w14:paraId="563EAD88"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6711DAB4"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7CAA4A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Derivative financial liabilities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341C54B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60</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DE9EE0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147</w:t>
            </w:r>
          </w:p>
        </w:tc>
        <w:tc>
          <w:tcPr>
            <w:tcW w:w="0" w:type="auto"/>
            <w:tcBorders>
              <w:top w:val="nil"/>
              <w:left w:val="nil"/>
              <w:bottom w:val="nil"/>
              <w:right w:val="nil"/>
            </w:tcBorders>
            <w:tcMar>
              <w:top w:w="0" w:type="dxa"/>
              <w:left w:w="120" w:type="dxa"/>
              <w:bottom w:w="0" w:type="dxa"/>
              <w:right w:w="160" w:type="dxa"/>
            </w:tcMar>
            <w:vAlign w:val="bottom"/>
            <w:hideMark/>
          </w:tcPr>
          <w:p w14:paraId="525D79AE"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259C2A49"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33002B1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Trade and other payables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88118C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36,253</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BA119F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38,816</w:t>
            </w:r>
          </w:p>
        </w:tc>
        <w:tc>
          <w:tcPr>
            <w:tcW w:w="0" w:type="auto"/>
            <w:tcBorders>
              <w:top w:val="nil"/>
              <w:left w:val="nil"/>
              <w:bottom w:val="nil"/>
              <w:right w:val="nil"/>
            </w:tcBorders>
            <w:tcMar>
              <w:top w:w="0" w:type="dxa"/>
              <w:left w:w="120" w:type="dxa"/>
              <w:bottom w:w="0" w:type="dxa"/>
              <w:right w:w="160" w:type="dxa"/>
            </w:tcMar>
            <w:vAlign w:val="bottom"/>
            <w:hideMark/>
          </w:tcPr>
          <w:p w14:paraId="6E6EA426"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6CA260D7"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30EFC5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Lease liabilities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20F2D2C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2,229</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E8CA88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1,598</w:t>
            </w:r>
          </w:p>
        </w:tc>
        <w:tc>
          <w:tcPr>
            <w:tcW w:w="0" w:type="auto"/>
            <w:tcBorders>
              <w:top w:val="nil"/>
              <w:left w:val="nil"/>
              <w:bottom w:val="nil"/>
              <w:right w:val="nil"/>
            </w:tcBorders>
            <w:tcMar>
              <w:top w:w="0" w:type="dxa"/>
              <w:left w:w="120" w:type="dxa"/>
              <w:bottom w:w="0" w:type="dxa"/>
              <w:right w:w="160" w:type="dxa"/>
            </w:tcMar>
            <w:vAlign w:val="bottom"/>
            <w:hideMark/>
          </w:tcPr>
          <w:p w14:paraId="15294E02"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08CB1D0B"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2C6A083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financial liabilities</w:t>
            </w:r>
          </w:p>
        </w:tc>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7AC95C2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tcBorders>
              <w:top w:val="nil"/>
              <w:left w:val="nil"/>
              <w:bottom w:val="nil"/>
              <w:right w:val="nil"/>
            </w:tcBorders>
            <w:tcMar>
              <w:top w:w="0" w:type="dxa"/>
              <w:left w:w="120" w:type="dxa"/>
              <w:bottom w:w="0" w:type="dxa"/>
              <w:right w:w="160" w:type="dxa"/>
            </w:tcMar>
            <w:vAlign w:val="bottom"/>
            <w:hideMark/>
          </w:tcPr>
          <w:p w14:paraId="19E2076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F4311B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20,357</w:t>
            </w:r>
          </w:p>
        </w:tc>
        <w:tc>
          <w:tcPr>
            <w:tcW w:w="0" w:type="auto"/>
            <w:tcBorders>
              <w:top w:val="nil"/>
              <w:left w:val="nil"/>
              <w:bottom w:val="nil"/>
              <w:right w:val="nil"/>
            </w:tcBorders>
            <w:tcMar>
              <w:top w:w="0" w:type="dxa"/>
              <w:left w:w="120" w:type="dxa"/>
              <w:bottom w:w="0" w:type="dxa"/>
              <w:right w:w="160" w:type="dxa"/>
            </w:tcMar>
            <w:vAlign w:val="bottom"/>
            <w:hideMark/>
          </w:tcPr>
          <w:p w14:paraId="1B0ACF9B"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496843A8" w14:textId="77777777" w:rsidTr="00C82CBF">
        <w:tc>
          <w:tcPr>
            <w:tcW w:w="0" w:type="auto"/>
            <w:tcBorders>
              <w:top w:val="nil"/>
              <w:left w:val="single" w:sz="8" w:space="0" w:color="000000"/>
              <w:bottom w:val="nil"/>
              <w:right w:val="nil"/>
            </w:tcBorders>
            <w:tcMar>
              <w:top w:w="0" w:type="dxa"/>
              <w:left w:w="120" w:type="dxa"/>
              <w:bottom w:w="0" w:type="dxa"/>
              <w:right w:w="120" w:type="dxa"/>
            </w:tcMar>
            <w:vAlign w:val="bottom"/>
            <w:hideMark/>
          </w:tcPr>
          <w:p w14:paraId="7325D72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current liabilities</w:t>
            </w:r>
          </w:p>
        </w:tc>
        <w:tc>
          <w:tcPr>
            <w:tcW w:w="0" w:type="auto"/>
            <w:gridSpan w:val="3"/>
            <w:tcBorders>
              <w:top w:val="nil"/>
              <w:left w:val="single" w:sz="8" w:space="0" w:color="000000"/>
              <w:bottom w:val="nil"/>
              <w:right w:val="nil"/>
            </w:tcBorders>
            <w:tcMar>
              <w:top w:w="0" w:type="dxa"/>
              <w:left w:w="120" w:type="dxa"/>
              <w:bottom w:w="0" w:type="dxa"/>
              <w:right w:w="160" w:type="dxa"/>
            </w:tcMar>
            <w:vAlign w:val="bottom"/>
            <w:hideMark/>
          </w:tcPr>
          <w:p w14:paraId="0DBC012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40,199</w:t>
            </w:r>
          </w:p>
        </w:tc>
        <w:tc>
          <w:tcPr>
            <w:tcW w:w="0" w:type="auto"/>
            <w:gridSpan w:val="5"/>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0853D7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62,579</w:t>
            </w:r>
          </w:p>
        </w:tc>
        <w:tc>
          <w:tcPr>
            <w:tcW w:w="0" w:type="auto"/>
            <w:tcBorders>
              <w:top w:val="nil"/>
              <w:left w:val="nil"/>
              <w:bottom w:val="nil"/>
              <w:right w:val="nil"/>
            </w:tcBorders>
            <w:tcMar>
              <w:top w:w="0" w:type="dxa"/>
              <w:left w:w="120" w:type="dxa"/>
              <w:bottom w:w="0" w:type="dxa"/>
              <w:right w:w="160" w:type="dxa"/>
            </w:tcMar>
            <w:vAlign w:val="bottom"/>
            <w:hideMark/>
          </w:tcPr>
          <w:p w14:paraId="1293C138"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493DCDEF" w14:textId="77777777" w:rsidTr="00C82CBF">
        <w:tc>
          <w:tcPr>
            <w:tcW w:w="0" w:type="auto"/>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FF85FD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682323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5"/>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BCD6A2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tcBorders>
              <w:top w:val="nil"/>
              <w:left w:val="nil"/>
              <w:bottom w:val="nil"/>
              <w:right w:val="nil"/>
            </w:tcBorders>
            <w:tcMar>
              <w:top w:w="0" w:type="dxa"/>
              <w:left w:w="120" w:type="dxa"/>
              <w:bottom w:w="0" w:type="dxa"/>
              <w:right w:w="160" w:type="dxa"/>
            </w:tcMar>
            <w:vAlign w:val="bottom"/>
            <w:hideMark/>
          </w:tcPr>
          <w:p w14:paraId="526D6162"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6307CA43" w14:textId="77777777" w:rsidTr="00C82CBF">
        <w:tc>
          <w:tcPr>
            <w:tcW w:w="0" w:type="auto"/>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31221C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equity and liabilities</w:t>
            </w:r>
          </w:p>
        </w:tc>
        <w:tc>
          <w:tcPr>
            <w:tcW w:w="0" w:type="auto"/>
            <w:gridSpan w:val="3"/>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9A725A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346,231</w:t>
            </w:r>
          </w:p>
        </w:tc>
        <w:tc>
          <w:tcPr>
            <w:tcW w:w="0" w:type="auto"/>
            <w:gridSpan w:val="5"/>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C5CB81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340,758</w:t>
            </w:r>
          </w:p>
        </w:tc>
        <w:tc>
          <w:tcPr>
            <w:tcW w:w="0" w:type="auto"/>
            <w:tcBorders>
              <w:top w:val="nil"/>
              <w:left w:val="nil"/>
              <w:bottom w:val="nil"/>
              <w:right w:val="nil"/>
            </w:tcBorders>
            <w:tcMar>
              <w:top w:w="0" w:type="dxa"/>
              <w:left w:w="120" w:type="dxa"/>
              <w:bottom w:w="0" w:type="dxa"/>
              <w:right w:w="160" w:type="dxa"/>
            </w:tcMar>
            <w:vAlign w:val="bottom"/>
            <w:hideMark/>
          </w:tcPr>
          <w:p w14:paraId="7C0EE8D9"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r>
      <w:tr w:rsidR="00C82CBF" w:rsidRPr="00C82CBF" w14:paraId="01BF658A" w14:textId="77777777" w:rsidTr="00C82CBF">
        <w:tc>
          <w:tcPr>
            <w:tcW w:w="0" w:type="auto"/>
            <w:gridSpan w:val="2"/>
            <w:tcBorders>
              <w:top w:val="nil"/>
              <w:left w:val="nil"/>
              <w:bottom w:val="nil"/>
              <w:right w:val="nil"/>
            </w:tcBorders>
            <w:tcMar>
              <w:top w:w="0" w:type="dxa"/>
              <w:left w:w="120" w:type="dxa"/>
              <w:bottom w:w="0" w:type="dxa"/>
              <w:right w:w="120" w:type="dxa"/>
            </w:tcMar>
            <w:vAlign w:val="bottom"/>
            <w:hideMark/>
          </w:tcPr>
          <w:p w14:paraId="3CE748E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p w14:paraId="188B8F31" w14:textId="77777777" w:rsidR="00C82CBF" w:rsidRDefault="00C82CBF" w:rsidP="00C82CBF">
            <w:pPr>
              <w:spacing w:after="0" w:line="240" w:lineRule="auto"/>
              <w:rPr>
                <w:rFonts w:ascii="Arial" w:eastAsia="Times New Roman" w:hAnsi="Arial" w:cs="Arial"/>
                <w:b/>
                <w:bCs/>
                <w:color w:val="000000"/>
                <w:sz w:val="16"/>
                <w:szCs w:val="16"/>
                <w:lang w:eastAsia="en-GB"/>
              </w:rPr>
            </w:pPr>
          </w:p>
          <w:p w14:paraId="6BFF2641" w14:textId="77777777" w:rsidR="00C82CBF" w:rsidRDefault="00C82CBF" w:rsidP="00C82CBF">
            <w:pPr>
              <w:spacing w:after="0" w:line="240" w:lineRule="auto"/>
              <w:rPr>
                <w:rFonts w:ascii="Arial" w:eastAsia="Times New Roman" w:hAnsi="Arial" w:cs="Arial"/>
                <w:b/>
                <w:bCs/>
                <w:color w:val="000000"/>
                <w:sz w:val="16"/>
                <w:szCs w:val="16"/>
                <w:lang w:eastAsia="en-GB"/>
              </w:rPr>
            </w:pPr>
          </w:p>
          <w:p w14:paraId="0FE39FBB" w14:textId="3D010A91"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lastRenderedPageBreak/>
              <w:t>CONDENSED CONSOLIDATED STATEMENT OF CASH FLOWS - EUR</w:t>
            </w:r>
          </w:p>
        </w:tc>
        <w:tc>
          <w:tcPr>
            <w:tcW w:w="0" w:type="auto"/>
            <w:gridSpan w:val="4"/>
            <w:tcBorders>
              <w:top w:val="nil"/>
              <w:left w:val="nil"/>
              <w:bottom w:val="nil"/>
              <w:right w:val="nil"/>
            </w:tcBorders>
            <w:tcMar>
              <w:top w:w="0" w:type="dxa"/>
              <w:left w:w="120" w:type="dxa"/>
              <w:bottom w:w="0" w:type="dxa"/>
              <w:right w:w="160" w:type="dxa"/>
            </w:tcMar>
            <w:vAlign w:val="bottom"/>
            <w:hideMark/>
          </w:tcPr>
          <w:p w14:paraId="2A73810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lastRenderedPageBreak/>
              <w:t> </w:t>
            </w:r>
          </w:p>
        </w:tc>
        <w:tc>
          <w:tcPr>
            <w:tcW w:w="0" w:type="auto"/>
            <w:gridSpan w:val="4"/>
            <w:tcBorders>
              <w:top w:val="nil"/>
              <w:left w:val="nil"/>
              <w:bottom w:val="nil"/>
              <w:right w:val="nil"/>
            </w:tcBorders>
            <w:tcMar>
              <w:top w:w="0" w:type="dxa"/>
              <w:left w:w="120" w:type="dxa"/>
              <w:bottom w:w="0" w:type="dxa"/>
              <w:right w:w="160" w:type="dxa"/>
            </w:tcMar>
            <w:vAlign w:val="bottom"/>
            <w:hideMark/>
          </w:tcPr>
          <w:p w14:paraId="2C2AD1C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47358073" w14:textId="77777777" w:rsidTr="00C82CBF">
        <w:tc>
          <w:tcPr>
            <w:tcW w:w="0" w:type="auto"/>
            <w:gridSpan w:val="2"/>
            <w:tcBorders>
              <w:top w:val="nil"/>
              <w:left w:val="nil"/>
              <w:bottom w:val="nil"/>
              <w:right w:val="nil"/>
            </w:tcBorders>
            <w:tcMar>
              <w:top w:w="0" w:type="dxa"/>
              <w:left w:w="120" w:type="dxa"/>
              <w:bottom w:w="0" w:type="dxa"/>
              <w:right w:w="120" w:type="dxa"/>
            </w:tcMar>
            <w:vAlign w:val="bottom"/>
            <w:hideMark/>
          </w:tcPr>
          <w:p w14:paraId="26A71E3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For the 6-month period ended 30 June</w:t>
            </w:r>
          </w:p>
        </w:tc>
        <w:tc>
          <w:tcPr>
            <w:tcW w:w="0" w:type="auto"/>
            <w:gridSpan w:val="4"/>
            <w:tcBorders>
              <w:top w:val="nil"/>
              <w:left w:val="nil"/>
              <w:bottom w:val="nil"/>
              <w:right w:val="nil"/>
            </w:tcBorders>
            <w:tcMar>
              <w:top w:w="0" w:type="dxa"/>
              <w:left w:w="120" w:type="dxa"/>
              <w:bottom w:w="0" w:type="dxa"/>
              <w:right w:w="160" w:type="dxa"/>
            </w:tcMar>
            <w:vAlign w:val="bottom"/>
            <w:hideMark/>
          </w:tcPr>
          <w:p w14:paraId="743F484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nil"/>
              <w:right w:val="nil"/>
            </w:tcBorders>
            <w:tcMar>
              <w:top w:w="0" w:type="dxa"/>
              <w:left w:w="120" w:type="dxa"/>
              <w:bottom w:w="0" w:type="dxa"/>
              <w:right w:w="160" w:type="dxa"/>
            </w:tcMar>
            <w:vAlign w:val="bottom"/>
            <w:hideMark/>
          </w:tcPr>
          <w:p w14:paraId="3AC5896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A239EEF" w14:textId="77777777" w:rsidTr="00C82CBF">
        <w:tc>
          <w:tcPr>
            <w:tcW w:w="0" w:type="auto"/>
            <w:gridSpan w:val="2"/>
            <w:tcBorders>
              <w:top w:val="nil"/>
              <w:left w:val="nil"/>
              <w:bottom w:val="nil"/>
              <w:right w:val="nil"/>
            </w:tcBorders>
            <w:tcMar>
              <w:top w:w="0" w:type="dxa"/>
              <w:left w:w="120" w:type="dxa"/>
              <w:bottom w:w="0" w:type="dxa"/>
              <w:right w:w="160" w:type="dxa"/>
            </w:tcMar>
            <w:vAlign w:val="bottom"/>
            <w:hideMark/>
          </w:tcPr>
          <w:p w14:paraId="6A8D868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nil"/>
              <w:right w:val="nil"/>
            </w:tcBorders>
            <w:tcMar>
              <w:top w:w="0" w:type="dxa"/>
              <w:left w:w="120" w:type="dxa"/>
              <w:bottom w:w="0" w:type="dxa"/>
              <w:right w:w="160" w:type="dxa"/>
            </w:tcMar>
            <w:vAlign w:val="bottom"/>
            <w:hideMark/>
          </w:tcPr>
          <w:p w14:paraId="526FDA1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nil"/>
              <w:right w:val="nil"/>
            </w:tcBorders>
            <w:tcMar>
              <w:top w:w="0" w:type="dxa"/>
              <w:left w:w="120" w:type="dxa"/>
              <w:bottom w:w="0" w:type="dxa"/>
              <w:right w:w="160" w:type="dxa"/>
            </w:tcMar>
            <w:vAlign w:val="bottom"/>
            <w:hideMark/>
          </w:tcPr>
          <w:p w14:paraId="280D87E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766A6FD2" w14:textId="77777777" w:rsidTr="00C82CBF">
        <w:tc>
          <w:tcPr>
            <w:tcW w:w="0" w:type="auto"/>
            <w:gridSpan w:val="2"/>
            <w:tcBorders>
              <w:top w:val="single" w:sz="8" w:space="0" w:color="000000"/>
              <w:left w:val="single" w:sz="8" w:space="0" w:color="000000"/>
              <w:bottom w:val="single" w:sz="8" w:space="0" w:color="000000"/>
              <w:right w:val="nil"/>
            </w:tcBorders>
            <w:tcMar>
              <w:top w:w="0" w:type="dxa"/>
              <w:left w:w="120" w:type="dxa"/>
              <w:bottom w:w="0" w:type="dxa"/>
              <w:right w:w="120" w:type="dxa"/>
            </w:tcMar>
            <w:vAlign w:val="bottom"/>
            <w:hideMark/>
          </w:tcPr>
          <w:p w14:paraId="3394ED8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Amounts in €'000</w:t>
            </w:r>
          </w:p>
        </w:tc>
        <w:tc>
          <w:tcPr>
            <w:tcW w:w="0" w:type="auto"/>
            <w:gridSpan w:val="4"/>
            <w:tcBorders>
              <w:top w:val="single" w:sz="8" w:space="0" w:color="000000"/>
              <w:left w:val="nil"/>
              <w:bottom w:val="single" w:sz="8" w:space="0" w:color="000000"/>
              <w:right w:val="nil"/>
            </w:tcBorders>
            <w:tcMar>
              <w:top w:w="0" w:type="dxa"/>
              <w:left w:w="120" w:type="dxa"/>
              <w:bottom w:w="0" w:type="dxa"/>
              <w:right w:w="120" w:type="dxa"/>
            </w:tcMar>
            <w:vAlign w:val="bottom"/>
            <w:hideMark/>
          </w:tcPr>
          <w:p w14:paraId="7368F81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2021</w:t>
            </w:r>
          </w:p>
        </w:tc>
        <w:tc>
          <w:tcPr>
            <w:tcW w:w="0" w:type="auto"/>
            <w:gridSpan w:val="4"/>
            <w:tcBorders>
              <w:top w:val="single" w:sz="8" w:space="0" w:color="000000"/>
              <w:left w:val="nil"/>
              <w:bottom w:val="single" w:sz="8" w:space="0" w:color="000000"/>
              <w:right w:val="single" w:sz="8" w:space="0" w:color="000000"/>
            </w:tcBorders>
            <w:tcMar>
              <w:top w:w="0" w:type="dxa"/>
              <w:left w:w="120" w:type="dxa"/>
              <w:bottom w:w="0" w:type="dxa"/>
              <w:right w:w="120" w:type="dxa"/>
            </w:tcMar>
            <w:vAlign w:val="bottom"/>
            <w:hideMark/>
          </w:tcPr>
          <w:p w14:paraId="1D0225A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HY 2020</w:t>
            </w:r>
          </w:p>
        </w:tc>
      </w:tr>
      <w:tr w:rsidR="00C82CBF" w:rsidRPr="00C82CBF" w14:paraId="7D26E824"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C50BF6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Profit before tax</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70CCA76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16,602</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763F803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25,896</w:t>
            </w:r>
          </w:p>
        </w:tc>
      </w:tr>
      <w:tr w:rsidR="00C82CBF" w:rsidRPr="00C82CBF" w14:paraId="1A4454CD"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58A49A6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i/>
                <w:iCs/>
                <w:color w:val="000000"/>
                <w:sz w:val="16"/>
                <w:szCs w:val="16"/>
                <w:lang w:eastAsia="en-GB"/>
              </w:rPr>
              <w:t>Non-cash adjustments:</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3DC4157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67965D5"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349223D8"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4A760DB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Depreciation, amortization, impairment</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2DF83B9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3,745</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713904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3,122</w:t>
            </w:r>
          </w:p>
        </w:tc>
      </w:tr>
      <w:tr w:rsidR="00C82CBF" w:rsidRPr="00C82CBF" w14:paraId="267803F7"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6575F69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Equity settled share based payments</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79814ED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3,146</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70B9E44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1,391</w:t>
            </w:r>
          </w:p>
        </w:tc>
      </w:tr>
      <w:tr w:rsidR="00C82CBF" w:rsidRPr="00C82CBF" w14:paraId="6174B45E"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653CD1C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Fair value gain (loss) on revaluation of derivatives</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694992B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(36)</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468E703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(84)</w:t>
            </w:r>
          </w:p>
        </w:tc>
      </w:tr>
      <w:tr w:rsidR="00C82CBF" w:rsidRPr="00C82CBF" w14:paraId="15FFDF24"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55385CA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 finance income</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6E48539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(4,475)</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67BB42D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(1,121)</w:t>
            </w:r>
          </w:p>
        </w:tc>
      </w:tr>
      <w:tr w:rsidR="00C82CBF" w:rsidRPr="00C82CBF" w14:paraId="46B5569C"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142021E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xml:space="preserve">Other finance expense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2FC23D4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2,453</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49B52E1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7,741</w:t>
            </w:r>
          </w:p>
        </w:tc>
      </w:tr>
      <w:tr w:rsidR="00C82CBF" w:rsidRPr="00C82CBF" w14:paraId="5A47AC84"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35C871FE"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Share of net profits in associates using the equity method</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65C9F68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(321)</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1002E63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(121)</w:t>
            </w:r>
          </w:p>
        </w:tc>
      </w:tr>
      <w:tr w:rsidR="00C82CBF" w:rsidRPr="00C82CBF" w14:paraId="5ABEB8FE"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0AB2358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Other</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71BCFD6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190</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7A52EF9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(33)</w:t>
            </w:r>
          </w:p>
        </w:tc>
      </w:tr>
      <w:tr w:rsidR="00C82CBF" w:rsidRPr="00C82CBF" w14:paraId="1D3563A0"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61CBBE3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Operating cash flows before changes in working capital</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604D2AE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21,304</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0B74DC5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36,791</w:t>
            </w:r>
          </w:p>
        </w:tc>
      </w:tr>
      <w:tr w:rsidR="00C82CBF" w:rsidRPr="00C82CBF" w14:paraId="34DEECC9"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243BB43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i/>
                <w:iCs/>
                <w:color w:val="000000"/>
                <w:sz w:val="16"/>
                <w:szCs w:val="16"/>
                <w:lang w:eastAsia="en-GB"/>
              </w:rPr>
              <w:t>Changes in working capital:</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217C5EB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B4A850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E5CB40C"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672EA32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Inventories</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0336CC1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(2,611)</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68415B6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(1,756)</w:t>
            </w:r>
          </w:p>
        </w:tc>
      </w:tr>
      <w:tr w:rsidR="00C82CBF" w:rsidRPr="00C82CBF" w14:paraId="26A5ABDA"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3574063A"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Trade and other receivables</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3F1FBF0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(1,367)</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3FF149B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(649)</w:t>
            </w:r>
          </w:p>
        </w:tc>
      </w:tr>
      <w:tr w:rsidR="00C82CBF" w:rsidRPr="00C82CBF" w14:paraId="45DBF3AA"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3CBE90C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Payables and other current liabilities</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75C5002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(3,766)</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1A4AF0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5,828</w:t>
            </w:r>
          </w:p>
        </w:tc>
      </w:tr>
      <w:tr w:rsidR="00C82CBF" w:rsidRPr="00C82CBF" w14:paraId="44F5CFE8"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221FA33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Restricted Cash</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32C54262"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5490756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w:t>
            </w:r>
          </w:p>
        </w:tc>
      </w:tr>
      <w:tr w:rsidR="00C82CBF" w:rsidRPr="00C82CBF" w14:paraId="6CC7C11C"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2535D40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changes in working capital</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1D147EE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(7,724)</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3654C2F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3,419</w:t>
            </w:r>
          </w:p>
        </w:tc>
      </w:tr>
      <w:tr w:rsidR="00C82CBF" w:rsidRPr="00C82CBF" w14:paraId="555311BB" w14:textId="77777777" w:rsidTr="00C82CBF">
        <w:tc>
          <w:tcPr>
            <w:tcW w:w="0" w:type="auto"/>
            <w:gridSpan w:val="2"/>
            <w:tcBorders>
              <w:top w:val="nil"/>
              <w:left w:val="single" w:sz="8" w:space="0" w:color="000000"/>
              <w:bottom w:val="nil"/>
              <w:right w:val="nil"/>
            </w:tcBorders>
            <w:tcMar>
              <w:top w:w="0" w:type="dxa"/>
              <w:left w:w="120" w:type="dxa"/>
              <w:bottom w:w="0" w:type="dxa"/>
              <w:right w:w="160" w:type="dxa"/>
            </w:tcMar>
            <w:vAlign w:val="bottom"/>
            <w:hideMark/>
          </w:tcPr>
          <w:p w14:paraId="4648516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5F67843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2147AA0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5F30ED62"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6EDC137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Interest received</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0BE2AE1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35</w:t>
            </w:r>
          </w:p>
        </w:tc>
        <w:tc>
          <w:tcPr>
            <w:tcW w:w="0" w:type="auto"/>
            <w:gridSpan w:val="4"/>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123D92A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479</w:t>
            </w:r>
          </w:p>
        </w:tc>
      </w:tr>
      <w:tr w:rsidR="00C82CBF" w:rsidRPr="00C82CBF" w14:paraId="53C7B4B6"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30FB013"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Income taxes paid</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BE2C33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0566CCB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(50)</w:t>
            </w:r>
          </w:p>
        </w:tc>
      </w:tr>
      <w:tr w:rsidR="00C82CBF" w:rsidRPr="00C82CBF" w14:paraId="4BFE4FC1" w14:textId="77777777" w:rsidTr="00C82CBF">
        <w:tc>
          <w:tcPr>
            <w:tcW w:w="0" w:type="auto"/>
            <w:gridSpan w:val="2"/>
            <w:tcBorders>
              <w:top w:val="nil"/>
              <w:left w:val="nil"/>
              <w:bottom w:val="single" w:sz="8" w:space="0" w:color="000000"/>
              <w:right w:val="nil"/>
            </w:tcBorders>
            <w:tcMar>
              <w:top w:w="0" w:type="dxa"/>
              <w:left w:w="120" w:type="dxa"/>
              <w:bottom w:w="0" w:type="dxa"/>
              <w:right w:w="160" w:type="dxa"/>
            </w:tcMar>
            <w:vAlign w:val="bottom"/>
            <w:hideMark/>
          </w:tcPr>
          <w:p w14:paraId="2F6C811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single" w:sz="8" w:space="0" w:color="000000"/>
              <w:right w:val="nil"/>
            </w:tcBorders>
            <w:tcMar>
              <w:top w:w="0" w:type="dxa"/>
              <w:left w:w="120" w:type="dxa"/>
              <w:bottom w:w="0" w:type="dxa"/>
              <w:right w:w="160" w:type="dxa"/>
            </w:tcMar>
            <w:vAlign w:val="bottom"/>
            <w:hideMark/>
          </w:tcPr>
          <w:p w14:paraId="70A1E49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single" w:sz="8" w:space="0" w:color="000000"/>
              <w:right w:val="nil"/>
            </w:tcBorders>
            <w:tcMar>
              <w:top w:w="0" w:type="dxa"/>
              <w:left w:w="120" w:type="dxa"/>
              <w:bottom w:w="0" w:type="dxa"/>
              <w:right w:w="160" w:type="dxa"/>
            </w:tcMar>
            <w:vAlign w:val="bottom"/>
            <w:hideMark/>
          </w:tcPr>
          <w:p w14:paraId="0DCB516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545FA7AA"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646849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Net cash flows generated from (used in) operating activities</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0A58864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13,615</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0123C59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40,639</w:t>
            </w:r>
          </w:p>
        </w:tc>
      </w:tr>
      <w:tr w:rsidR="00C82CBF" w:rsidRPr="00C82CBF" w14:paraId="7E07848C"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74B009F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Capital expenditure for property, plant and equipment</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207BFD1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(4,507)</w:t>
            </w:r>
          </w:p>
        </w:tc>
        <w:tc>
          <w:tcPr>
            <w:tcW w:w="0" w:type="auto"/>
            <w:gridSpan w:val="4"/>
            <w:tcBorders>
              <w:top w:val="single" w:sz="8" w:space="0" w:color="000000"/>
              <w:left w:val="single" w:sz="8" w:space="0" w:color="000000"/>
              <w:bottom w:val="nil"/>
              <w:right w:val="single" w:sz="8" w:space="0" w:color="000000"/>
            </w:tcBorders>
            <w:tcMar>
              <w:top w:w="0" w:type="dxa"/>
              <w:left w:w="120" w:type="dxa"/>
              <w:bottom w:w="0" w:type="dxa"/>
              <w:right w:w="120" w:type="dxa"/>
            </w:tcMar>
            <w:vAlign w:val="bottom"/>
            <w:hideMark/>
          </w:tcPr>
          <w:p w14:paraId="4FA813A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(1,035)</w:t>
            </w:r>
          </w:p>
        </w:tc>
      </w:tr>
      <w:tr w:rsidR="00C82CBF" w:rsidRPr="00C82CBF" w14:paraId="60D3833C"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0174F19D"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Investment intangible assets</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7E65C62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(1,000)</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2170009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(230)</w:t>
            </w:r>
          </w:p>
        </w:tc>
      </w:tr>
      <w:tr w:rsidR="00C82CBF" w:rsidRPr="00C82CBF" w14:paraId="16390016"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D5E819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Investment in associate</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1D9E742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4"/>
            <w:tcBorders>
              <w:top w:val="nil"/>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62DB6831"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(13)</w:t>
            </w:r>
          </w:p>
        </w:tc>
      </w:tr>
      <w:tr w:rsidR="00C82CBF" w:rsidRPr="00C82CBF" w14:paraId="51D17352"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3C50F2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Acquisition of license</w:t>
            </w:r>
          </w:p>
        </w:tc>
        <w:tc>
          <w:tcPr>
            <w:tcW w:w="0" w:type="auto"/>
            <w:gridSpan w:val="4"/>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59E2353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(898)</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56212D3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(7,939)</w:t>
            </w:r>
          </w:p>
        </w:tc>
      </w:tr>
      <w:tr w:rsidR="00C82CBF" w:rsidRPr="00C82CBF" w14:paraId="4FBE370C" w14:textId="77777777" w:rsidTr="00C82CBF">
        <w:tc>
          <w:tcPr>
            <w:tcW w:w="0" w:type="auto"/>
            <w:gridSpan w:val="2"/>
            <w:tcBorders>
              <w:top w:val="nil"/>
              <w:left w:val="nil"/>
              <w:bottom w:val="single" w:sz="8" w:space="0" w:color="000000"/>
              <w:right w:val="nil"/>
            </w:tcBorders>
            <w:tcMar>
              <w:top w:w="0" w:type="dxa"/>
              <w:left w:w="120" w:type="dxa"/>
              <w:bottom w:w="0" w:type="dxa"/>
              <w:right w:w="160" w:type="dxa"/>
            </w:tcMar>
            <w:vAlign w:val="bottom"/>
            <w:hideMark/>
          </w:tcPr>
          <w:p w14:paraId="6B41FBC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single" w:sz="8" w:space="0" w:color="000000"/>
              <w:right w:val="nil"/>
            </w:tcBorders>
            <w:tcMar>
              <w:top w:w="0" w:type="dxa"/>
              <w:left w:w="120" w:type="dxa"/>
              <w:bottom w:w="0" w:type="dxa"/>
              <w:right w:w="160" w:type="dxa"/>
            </w:tcMar>
            <w:vAlign w:val="bottom"/>
            <w:hideMark/>
          </w:tcPr>
          <w:p w14:paraId="5D65368B"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single" w:sz="8" w:space="0" w:color="000000"/>
              <w:right w:val="nil"/>
            </w:tcBorders>
            <w:tcMar>
              <w:top w:w="0" w:type="dxa"/>
              <w:left w:w="120" w:type="dxa"/>
              <w:bottom w:w="0" w:type="dxa"/>
              <w:right w:w="160" w:type="dxa"/>
            </w:tcMar>
            <w:vAlign w:val="bottom"/>
            <w:hideMark/>
          </w:tcPr>
          <w:p w14:paraId="0EEA5B5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04AC0DEA"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F52B48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Net cash flows used in investing activities</w:t>
            </w:r>
          </w:p>
        </w:tc>
        <w:tc>
          <w:tcPr>
            <w:tcW w:w="0" w:type="auto"/>
            <w:gridSpan w:val="4"/>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2E491D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(6,405)</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bottom"/>
            <w:hideMark/>
          </w:tcPr>
          <w:p w14:paraId="05BB7CB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(9,217)</w:t>
            </w:r>
          </w:p>
        </w:tc>
      </w:tr>
      <w:tr w:rsidR="00C82CBF" w:rsidRPr="00C82CBF" w14:paraId="45C269D3"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579E7B8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Repayment on loans and borrowings</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75F6131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4"/>
            <w:tcBorders>
              <w:top w:val="single" w:sz="8" w:space="0" w:color="000000"/>
              <w:left w:val="single" w:sz="8" w:space="0" w:color="000000"/>
              <w:bottom w:val="nil"/>
              <w:right w:val="single" w:sz="8" w:space="0" w:color="000000"/>
            </w:tcBorders>
            <w:tcMar>
              <w:top w:w="0" w:type="dxa"/>
              <w:left w:w="120" w:type="dxa"/>
              <w:bottom w:w="0" w:type="dxa"/>
              <w:right w:w="120" w:type="dxa"/>
            </w:tcMar>
            <w:vAlign w:val="bottom"/>
            <w:hideMark/>
          </w:tcPr>
          <w:p w14:paraId="7C46DE1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(49,914)</w:t>
            </w:r>
          </w:p>
        </w:tc>
      </w:tr>
      <w:tr w:rsidR="00C82CBF" w:rsidRPr="00C82CBF" w14:paraId="76FF5425"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4E62A54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Payment on contingent consideration</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396BAEF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(20,728)</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73253F6E"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(18,135)</w:t>
            </w:r>
          </w:p>
        </w:tc>
      </w:tr>
      <w:tr w:rsidR="00C82CBF" w:rsidRPr="00C82CBF" w14:paraId="1045A4A3"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3C4C12F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Payment of lease liabilities</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4D7F78F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(1,342)</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2E51B97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(1,402)</w:t>
            </w:r>
          </w:p>
        </w:tc>
      </w:tr>
      <w:tr w:rsidR="00C82CBF" w:rsidRPr="00C82CBF" w14:paraId="6647D9B6"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5AC9CBD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Proceeds of issued convertible bonds</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0A9DF40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68A6E90F"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122,682</w:t>
            </w:r>
          </w:p>
        </w:tc>
      </w:tr>
      <w:tr w:rsidR="00C82CBF" w:rsidRPr="00C82CBF" w14:paraId="56AD3809"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6D77FF38"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Interests on loans and leases</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2F86FAF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(1,875)</w:t>
            </w:r>
          </w:p>
        </w:tc>
        <w:tc>
          <w:tcPr>
            <w:tcW w:w="0" w:type="auto"/>
            <w:gridSpan w:val="4"/>
            <w:tcBorders>
              <w:top w:val="nil"/>
              <w:left w:val="single" w:sz="8" w:space="0" w:color="000000"/>
              <w:bottom w:val="nil"/>
              <w:right w:val="single" w:sz="8" w:space="0" w:color="000000"/>
            </w:tcBorders>
            <w:tcMar>
              <w:top w:w="0" w:type="dxa"/>
              <w:left w:w="120" w:type="dxa"/>
              <w:bottom w:w="0" w:type="dxa"/>
              <w:right w:w="120" w:type="dxa"/>
            </w:tcMar>
            <w:vAlign w:val="bottom"/>
            <w:hideMark/>
          </w:tcPr>
          <w:p w14:paraId="68566D5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(720)</w:t>
            </w:r>
          </w:p>
        </w:tc>
      </w:tr>
      <w:tr w:rsidR="00C82CBF" w:rsidRPr="00C82CBF" w14:paraId="04A8ADE1"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E4B8929"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Proceeds of equity and warrants</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42D9C63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3,206</w:t>
            </w:r>
          </w:p>
        </w:tc>
        <w:tc>
          <w:tcPr>
            <w:tcW w:w="0" w:type="auto"/>
            <w:gridSpan w:val="4"/>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3795B0B4"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1,916</w:t>
            </w:r>
          </w:p>
        </w:tc>
      </w:tr>
      <w:tr w:rsidR="00C82CBF" w:rsidRPr="00C82CBF" w14:paraId="0078AAB5" w14:textId="77777777" w:rsidTr="00C82CBF">
        <w:tc>
          <w:tcPr>
            <w:tcW w:w="0" w:type="auto"/>
            <w:gridSpan w:val="2"/>
            <w:tcBorders>
              <w:top w:val="nil"/>
              <w:left w:val="nil"/>
              <w:bottom w:val="single" w:sz="8" w:space="0" w:color="000000"/>
              <w:right w:val="nil"/>
            </w:tcBorders>
            <w:tcMar>
              <w:top w:w="0" w:type="dxa"/>
              <w:left w:w="120" w:type="dxa"/>
              <w:bottom w:w="0" w:type="dxa"/>
              <w:right w:w="160" w:type="dxa"/>
            </w:tcMar>
            <w:vAlign w:val="bottom"/>
            <w:hideMark/>
          </w:tcPr>
          <w:p w14:paraId="562344F6"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single" w:sz="8" w:space="0" w:color="000000"/>
              <w:right w:val="nil"/>
            </w:tcBorders>
            <w:tcMar>
              <w:top w:w="0" w:type="dxa"/>
              <w:left w:w="120" w:type="dxa"/>
              <w:bottom w:w="0" w:type="dxa"/>
              <w:right w:w="160" w:type="dxa"/>
            </w:tcMar>
            <w:vAlign w:val="bottom"/>
            <w:hideMark/>
          </w:tcPr>
          <w:p w14:paraId="2219825C"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single" w:sz="8" w:space="0" w:color="000000"/>
              <w:right w:val="nil"/>
            </w:tcBorders>
            <w:tcMar>
              <w:top w:w="0" w:type="dxa"/>
              <w:left w:w="120" w:type="dxa"/>
              <w:bottom w:w="0" w:type="dxa"/>
              <w:right w:w="160" w:type="dxa"/>
            </w:tcMar>
            <w:vAlign w:val="bottom"/>
            <w:hideMark/>
          </w:tcPr>
          <w:p w14:paraId="47AAD9F7"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7B7BC4D"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30398A4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Net cash flows generated from (used in) financing activities</w:t>
            </w:r>
          </w:p>
        </w:tc>
        <w:tc>
          <w:tcPr>
            <w:tcW w:w="0" w:type="auto"/>
            <w:gridSpan w:val="4"/>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2A7B1CFD"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(20,739)</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5013EEA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54,427</w:t>
            </w:r>
          </w:p>
        </w:tc>
      </w:tr>
      <w:tr w:rsidR="00C82CBF" w:rsidRPr="00C82CBF" w14:paraId="7CF0F782"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4EBF8B2C"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Increase (decrease) of cash</w:t>
            </w:r>
          </w:p>
        </w:tc>
        <w:tc>
          <w:tcPr>
            <w:tcW w:w="0" w:type="auto"/>
            <w:gridSpan w:val="4"/>
            <w:tcBorders>
              <w:top w:val="nil"/>
              <w:left w:val="single" w:sz="8" w:space="0" w:color="000000"/>
              <w:bottom w:val="nil"/>
              <w:right w:val="nil"/>
            </w:tcBorders>
            <w:tcMar>
              <w:top w:w="0" w:type="dxa"/>
              <w:left w:w="120" w:type="dxa"/>
              <w:bottom w:w="0" w:type="dxa"/>
              <w:right w:w="120" w:type="dxa"/>
            </w:tcMar>
            <w:vAlign w:val="bottom"/>
            <w:hideMark/>
          </w:tcPr>
          <w:p w14:paraId="254AEF7A"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(13,529)</w:t>
            </w:r>
          </w:p>
        </w:tc>
        <w:tc>
          <w:tcPr>
            <w:tcW w:w="0" w:type="auto"/>
            <w:gridSpan w:val="4"/>
            <w:tcBorders>
              <w:top w:val="single" w:sz="8" w:space="0" w:color="000000"/>
              <w:left w:val="single" w:sz="8" w:space="0" w:color="000000"/>
              <w:bottom w:val="nil"/>
              <w:right w:val="single" w:sz="8" w:space="0" w:color="000000"/>
            </w:tcBorders>
            <w:tcMar>
              <w:top w:w="0" w:type="dxa"/>
              <w:left w:w="120" w:type="dxa"/>
              <w:bottom w:w="0" w:type="dxa"/>
              <w:right w:w="160" w:type="dxa"/>
            </w:tcMar>
            <w:vAlign w:val="bottom"/>
            <w:hideMark/>
          </w:tcPr>
          <w:p w14:paraId="46D1E2A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85,849</w:t>
            </w:r>
          </w:p>
        </w:tc>
      </w:tr>
      <w:tr w:rsidR="00C82CBF" w:rsidRPr="00C82CBF" w14:paraId="2A864DDB" w14:textId="77777777" w:rsidTr="00C82CBF">
        <w:tc>
          <w:tcPr>
            <w:tcW w:w="0" w:type="auto"/>
            <w:gridSpan w:val="2"/>
            <w:tcBorders>
              <w:top w:val="nil"/>
              <w:left w:val="single" w:sz="8" w:space="0" w:color="000000"/>
              <w:bottom w:val="nil"/>
              <w:right w:val="nil"/>
            </w:tcBorders>
            <w:tcMar>
              <w:top w:w="0" w:type="dxa"/>
              <w:left w:w="120" w:type="dxa"/>
              <w:bottom w:w="0" w:type="dxa"/>
              <w:right w:w="120" w:type="dxa"/>
            </w:tcMar>
            <w:vAlign w:val="bottom"/>
            <w:hideMark/>
          </w:tcPr>
          <w:p w14:paraId="43542412"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Exchange rate effects</w:t>
            </w:r>
          </w:p>
        </w:tc>
        <w:tc>
          <w:tcPr>
            <w:tcW w:w="0" w:type="auto"/>
            <w:gridSpan w:val="4"/>
            <w:tcBorders>
              <w:top w:val="nil"/>
              <w:left w:val="single" w:sz="8" w:space="0" w:color="000000"/>
              <w:bottom w:val="nil"/>
              <w:right w:val="nil"/>
            </w:tcBorders>
            <w:tcMar>
              <w:top w:w="0" w:type="dxa"/>
              <w:left w:w="120" w:type="dxa"/>
              <w:bottom w:w="0" w:type="dxa"/>
              <w:right w:w="160" w:type="dxa"/>
            </w:tcMar>
            <w:vAlign w:val="bottom"/>
            <w:hideMark/>
          </w:tcPr>
          <w:p w14:paraId="0DF8AB79"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4,765</w:t>
            </w:r>
          </w:p>
        </w:tc>
        <w:tc>
          <w:tcPr>
            <w:tcW w:w="0" w:type="auto"/>
            <w:gridSpan w:val="4"/>
            <w:tcBorders>
              <w:top w:val="nil"/>
              <w:left w:val="single" w:sz="8" w:space="0" w:color="000000"/>
              <w:bottom w:val="nil"/>
              <w:right w:val="single" w:sz="8" w:space="0" w:color="000000"/>
            </w:tcBorders>
            <w:tcMar>
              <w:top w:w="0" w:type="dxa"/>
              <w:left w:w="120" w:type="dxa"/>
              <w:bottom w:w="0" w:type="dxa"/>
              <w:right w:w="160" w:type="dxa"/>
            </w:tcMar>
            <w:vAlign w:val="bottom"/>
            <w:hideMark/>
          </w:tcPr>
          <w:p w14:paraId="17D6E7C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634</w:t>
            </w:r>
          </w:p>
        </w:tc>
      </w:tr>
      <w:tr w:rsidR="00C82CBF" w:rsidRPr="00C82CBF" w14:paraId="51D07873"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7D658380"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Cash and cash equivalents at 1 January</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3A72C780"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167,068</w:t>
            </w:r>
          </w:p>
        </w:tc>
        <w:tc>
          <w:tcPr>
            <w:tcW w:w="0" w:type="auto"/>
            <w:gridSpan w:val="4"/>
            <w:tcBorders>
              <w:top w:val="nil"/>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605C5908"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66,299</w:t>
            </w:r>
          </w:p>
        </w:tc>
      </w:tr>
      <w:tr w:rsidR="00C82CBF" w:rsidRPr="00C82CBF" w14:paraId="1A86DD71" w14:textId="77777777" w:rsidTr="00C82CBF">
        <w:tc>
          <w:tcPr>
            <w:tcW w:w="0" w:type="auto"/>
            <w:gridSpan w:val="2"/>
            <w:tcBorders>
              <w:top w:val="nil"/>
              <w:left w:val="nil"/>
              <w:bottom w:val="single" w:sz="8" w:space="0" w:color="000000"/>
              <w:right w:val="nil"/>
            </w:tcBorders>
            <w:tcMar>
              <w:top w:w="0" w:type="dxa"/>
              <w:left w:w="120" w:type="dxa"/>
              <w:bottom w:w="0" w:type="dxa"/>
              <w:right w:w="160" w:type="dxa"/>
            </w:tcMar>
            <w:vAlign w:val="bottom"/>
            <w:hideMark/>
          </w:tcPr>
          <w:p w14:paraId="45A9A6DF"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single" w:sz="8" w:space="0" w:color="000000"/>
              <w:right w:val="nil"/>
            </w:tcBorders>
            <w:tcMar>
              <w:top w:w="0" w:type="dxa"/>
              <w:left w:w="120" w:type="dxa"/>
              <w:bottom w:w="0" w:type="dxa"/>
              <w:right w:w="160" w:type="dxa"/>
            </w:tcMar>
            <w:vAlign w:val="bottom"/>
            <w:hideMark/>
          </w:tcPr>
          <w:p w14:paraId="1873A3B6"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c>
          <w:tcPr>
            <w:tcW w:w="0" w:type="auto"/>
            <w:gridSpan w:val="4"/>
            <w:tcBorders>
              <w:top w:val="nil"/>
              <w:left w:val="nil"/>
              <w:bottom w:val="single" w:sz="8" w:space="0" w:color="000000"/>
              <w:right w:val="nil"/>
            </w:tcBorders>
            <w:tcMar>
              <w:top w:w="0" w:type="dxa"/>
              <w:left w:w="120" w:type="dxa"/>
              <w:bottom w:w="0" w:type="dxa"/>
              <w:right w:w="160" w:type="dxa"/>
            </w:tcMar>
            <w:vAlign w:val="bottom"/>
            <w:hideMark/>
          </w:tcPr>
          <w:p w14:paraId="275C49C5"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r w:rsidR="00C82CBF" w:rsidRPr="00C82CBF" w14:paraId="26EC624A" w14:textId="77777777" w:rsidTr="00C82CBF">
        <w:tc>
          <w:tcPr>
            <w:tcW w:w="0" w:type="auto"/>
            <w:gridSpan w:val="2"/>
            <w:tcBorders>
              <w:top w:val="nil"/>
              <w:left w:val="single" w:sz="8" w:space="0" w:color="000000"/>
              <w:bottom w:val="single" w:sz="8" w:space="0" w:color="000000"/>
              <w:right w:val="nil"/>
            </w:tcBorders>
            <w:tcMar>
              <w:top w:w="0" w:type="dxa"/>
              <w:left w:w="120" w:type="dxa"/>
              <w:bottom w:w="0" w:type="dxa"/>
              <w:right w:w="120" w:type="dxa"/>
            </w:tcMar>
            <w:vAlign w:val="bottom"/>
            <w:hideMark/>
          </w:tcPr>
          <w:p w14:paraId="42E9E77B"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Total cash and cash equivalents at 30 June</w:t>
            </w:r>
          </w:p>
        </w:tc>
        <w:tc>
          <w:tcPr>
            <w:tcW w:w="0" w:type="auto"/>
            <w:gridSpan w:val="4"/>
            <w:tcBorders>
              <w:top w:val="nil"/>
              <w:left w:val="single" w:sz="8" w:space="0" w:color="000000"/>
              <w:bottom w:val="single" w:sz="8" w:space="0" w:color="000000"/>
              <w:right w:val="nil"/>
            </w:tcBorders>
            <w:tcMar>
              <w:top w:w="0" w:type="dxa"/>
              <w:left w:w="120" w:type="dxa"/>
              <w:bottom w:w="0" w:type="dxa"/>
              <w:right w:w="160" w:type="dxa"/>
            </w:tcMar>
            <w:vAlign w:val="bottom"/>
            <w:hideMark/>
          </w:tcPr>
          <w:p w14:paraId="226232B3"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158,304</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20" w:type="dxa"/>
              <w:bottom w:w="0" w:type="dxa"/>
              <w:right w:w="160" w:type="dxa"/>
            </w:tcMar>
            <w:vAlign w:val="bottom"/>
            <w:hideMark/>
          </w:tcPr>
          <w:p w14:paraId="2C3FCEC7" w14:textId="77777777" w:rsidR="00C82CBF" w:rsidRPr="00C82CBF" w:rsidRDefault="00C82CBF" w:rsidP="00C82CBF">
            <w:pPr>
              <w:spacing w:after="0" w:line="240" w:lineRule="auto"/>
              <w:jc w:val="right"/>
              <w:rPr>
                <w:rFonts w:ascii="Arial" w:eastAsia="Times New Roman" w:hAnsi="Arial" w:cs="Arial"/>
                <w:color w:val="000000"/>
                <w:sz w:val="16"/>
                <w:szCs w:val="16"/>
                <w:lang w:eastAsia="en-GB"/>
              </w:rPr>
            </w:pPr>
            <w:r w:rsidRPr="00C82CBF">
              <w:rPr>
                <w:rFonts w:ascii="Arial" w:eastAsia="Times New Roman" w:hAnsi="Arial" w:cs="Arial"/>
                <w:b/>
                <w:bCs/>
                <w:color w:val="000000"/>
                <w:sz w:val="16"/>
                <w:szCs w:val="16"/>
                <w:lang w:eastAsia="en-GB"/>
              </w:rPr>
              <w:t>152,782</w:t>
            </w:r>
          </w:p>
        </w:tc>
      </w:tr>
      <w:tr w:rsidR="00C82CBF" w:rsidRPr="00C82CBF" w14:paraId="17597B97" w14:textId="77777777" w:rsidTr="00C82CBF">
        <w:tc>
          <w:tcPr>
            <w:tcW w:w="0" w:type="auto"/>
            <w:tcBorders>
              <w:top w:val="nil"/>
              <w:left w:val="nil"/>
              <w:bottom w:val="nil"/>
              <w:right w:val="nil"/>
            </w:tcBorders>
            <w:tcMar>
              <w:top w:w="0" w:type="dxa"/>
              <w:left w:w="120" w:type="dxa"/>
              <w:bottom w:w="0" w:type="dxa"/>
              <w:right w:w="160" w:type="dxa"/>
            </w:tcMar>
            <w:vAlign w:val="bottom"/>
            <w:hideMark/>
          </w:tcPr>
          <w:p w14:paraId="55837AFC" w14:textId="77777777" w:rsidR="00C82CBF" w:rsidRPr="00C82CBF" w:rsidRDefault="00C82CBF" w:rsidP="00C82CBF">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3012080A"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3ECB3017"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1400AEA3"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7938533E"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00DE5BED"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6D7943E0"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602DCBBB"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57EDA4C4" w14:textId="77777777" w:rsidR="00C82CBF" w:rsidRPr="00C82CBF" w:rsidRDefault="00C82CBF" w:rsidP="00C82C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0" w:type="dxa"/>
              <w:left w:w="120" w:type="dxa"/>
              <w:bottom w:w="0" w:type="dxa"/>
              <w:right w:w="160" w:type="dxa"/>
            </w:tcMar>
            <w:vAlign w:val="bottom"/>
            <w:hideMark/>
          </w:tcPr>
          <w:p w14:paraId="52D6D941" w14:textId="77777777" w:rsidR="00C82CBF" w:rsidRPr="00C82CBF" w:rsidRDefault="00C82CBF" w:rsidP="00C82CBF">
            <w:pPr>
              <w:spacing w:after="0" w:line="240" w:lineRule="auto"/>
              <w:rPr>
                <w:rFonts w:ascii="Arial" w:eastAsia="Times New Roman" w:hAnsi="Arial" w:cs="Arial"/>
                <w:color w:val="000000"/>
                <w:sz w:val="16"/>
                <w:szCs w:val="16"/>
                <w:lang w:eastAsia="en-GB"/>
              </w:rPr>
            </w:pPr>
            <w:r w:rsidRPr="00C82CBF">
              <w:rPr>
                <w:rFonts w:ascii="Arial" w:eastAsia="Times New Roman" w:hAnsi="Arial" w:cs="Arial"/>
                <w:color w:val="000000"/>
                <w:sz w:val="16"/>
                <w:szCs w:val="16"/>
                <w:lang w:eastAsia="en-GB"/>
              </w:rPr>
              <w:t> </w:t>
            </w:r>
          </w:p>
        </w:tc>
      </w:tr>
    </w:tbl>
    <w:p w14:paraId="5EE715B0" w14:textId="77777777" w:rsidR="00C82CBF" w:rsidRPr="00C82CBF" w:rsidRDefault="00C82CBF" w:rsidP="00C82CBF">
      <w:pPr>
        <w:spacing w:before="100" w:beforeAutospacing="1" w:after="100" w:afterAutospacing="1" w:line="240" w:lineRule="auto"/>
        <w:rPr>
          <w:rFonts w:ascii="Arial" w:eastAsia="Times New Roman" w:hAnsi="Arial" w:cs="Arial"/>
          <w:color w:val="000000"/>
          <w:sz w:val="20"/>
          <w:szCs w:val="20"/>
          <w:lang w:eastAsia="en-GB"/>
        </w:rPr>
      </w:pPr>
      <w:r w:rsidRPr="00C82CBF">
        <w:rPr>
          <w:rFonts w:ascii="Arial" w:eastAsia="Times New Roman" w:hAnsi="Arial" w:cs="Arial"/>
          <w:color w:val="000000"/>
          <w:sz w:val="20"/>
          <w:szCs w:val="20"/>
          <w:lang w:eastAsia="en-GB"/>
        </w:rPr>
        <w:t xml:space="preserve">Logo - </w:t>
      </w:r>
      <w:hyperlink r:id="rId9" w:tgtFrame="_blank" w:history="1">
        <w:r w:rsidRPr="00C82CBF">
          <w:rPr>
            <w:rFonts w:ascii="Arial" w:eastAsia="Times New Roman" w:hAnsi="Arial" w:cs="Arial"/>
            <w:color w:val="0000FF"/>
            <w:sz w:val="20"/>
            <w:szCs w:val="20"/>
            <w:u w:val="single"/>
            <w:lang w:eastAsia="en-GB"/>
          </w:rPr>
          <w:t>https://mma.prnewswire.com/media/1454235/Pharming_Group_NV_Logo.jpg</w:t>
        </w:r>
      </w:hyperlink>
      <w:r w:rsidRPr="00C82CBF">
        <w:rPr>
          <w:rFonts w:ascii="Arial" w:eastAsia="Times New Roman" w:hAnsi="Arial" w:cs="Arial"/>
          <w:color w:val="000000"/>
          <w:sz w:val="20"/>
          <w:szCs w:val="20"/>
          <w:lang w:eastAsia="en-GB"/>
        </w:rPr>
        <w:t xml:space="preserve"> </w:t>
      </w:r>
    </w:p>
    <w:p w14:paraId="53420C51" w14:textId="77777777" w:rsidR="00C82CBF" w:rsidRDefault="00C82CBF" w:rsidP="00C82CBF">
      <w:pPr>
        <w:spacing w:before="100" w:beforeAutospacing="1" w:after="100" w:afterAutospacing="1" w:line="240" w:lineRule="auto"/>
        <w:rPr>
          <w:rFonts w:ascii="Arial" w:eastAsia="Times New Roman" w:hAnsi="Arial" w:cs="Arial"/>
          <w:b/>
          <w:bCs/>
          <w:color w:val="000000"/>
          <w:sz w:val="20"/>
          <w:szCs w:val="20"/>
          <w:lang w:eastAsia="en-GB"/>
        </w:rPr>
      </w:pPr>
    </w:p>
    <w:p w14:paraId="2822B27C" w14:textId="27DF500D" w:rsidR="006D138A" w:rsidRPr="00C82CBF" w:rsidRDefault="00C82CBF" w:rsidP="00C82CBF">
      <w:pPr>
        <w:spacing w:before="100" w:beforeAutospacing="1" w:after="100" w:afterAutospacing="1" w:line="240" w:lineRule="auto"/>
      </w:pPr>
      <w:r w:rsidRPr="00C82CBF">
        <w:rPr>
          <w:rFonts w:ascii="Arial" w:eastAsia="Times New Roman" w:hAnsi="Arial" w:cs="Arial"/>
          <w:color w:val="000000"/>
          <w:sz w:val="20"/>
          <w:szCs w:val="20"/>
          <w:lang w:eastAsia="en-GB"/>
        </w:rPr>
        <w:t>  </w:t>
      </w:r>
    </w:p>
    <w:sectPr w:rsidR="006D138A" w:rsidRPr="00C82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3CFB"/>
    <w:multiLevelType w:val="multilevel"/>
    <w:tmpl w:val="6C7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F01C50"/>
    <w:multiLevelType w:val="multilevel"/>
    <w:tmpl w:val="D254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CC534A"/>
    <w:multiLevelType w:val="multilevel"/>
    <w:tmpl w:val="2C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522B40"/>
    <w:multiLevelType w:val="multilevel"/>
    <w:tmpl w:val="E360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D87D79"/>
    <w:multiLevelType w:val="multilevel"/>
    <w:tmpl w:val="AF02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4B6BBC"/>
    <w:multiLevelType w:val="multilevel"/>
    <w:tmpl w:val="8D5A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DF6F1B"/>
    <w:multiLevelType w:val="multilevel"/>
    <w:tmpl w:val="51C0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BF"/>
    <w:rsid w:val="0000130A"/>
    <w:rsid w:val="0000275C"/>
    <w:rsid w:val="00003175"/>
    <w:rsid w:val="00005A14"/>
    <w:rsid w:val="000061BD"/>
    <w:rsid w:val="00007B21"/>
    <w:rsid w:val="0001089F"/>
    <w:rsid w:val="000122AE"/>
    <w:rsid w:val="00013409"/>
    <w:rsid w:val="000136F6"/>
    <w:rsid w:val="000232F9"/>
    <w:rsid w:val="000255AC"/>
    <w:rsid w:val="00027702"/>
    <w:rsid w:val="000329D2"/>
    <w:rsid w:val="0003305F"/>
    <w:rsid w:val="00033D5D"/>
    <w:rsid w:val="000342BB"/>
    <w:rsid w:val="00035FC5"/>
    <w:rsid w:val="0004039B"/>
    <w:rsid w:val="00041117"/>
    <w:rsid w:val="00043083"/>
    <w:rsid w:val="00043722"/>
    <w:rsid w:val="00043F47"/>
    <w:rsid w:val="00043FD4"/>
    <w:rsid w:val="00046CA6"/>
    <w:rsid w:val="00047002"/>
    <w:rsid w:val="00054288"/>
    <w:rsid w:val="000567F5"/>
    <w:rsid w:val="00064B1E"/>
    <w:rsid w:val="00067B3B"/>
    <w:rsid w:val="00067C1E"/>
    <w:rsid w:val="000702D4"/>
    <w:rsid w:val="000711D4"/>
    <w:rsid w:val="00071AA9"/>
    <w:rsid w:val="00072DD9"/>
    <w:rsid w:val="00073324"/>
    <w:rsid w:val="00073A23"/>
    <w:rsid w:val="00075CCC"/>
    <w:rsid w:val="000832AF"/>
    <w:rsid w:val="000836C5"/>
    <w:rsid w:val="00085BFE"/>
    <w:rsid w:val="00086F3A"/>
    <w:rsid w:val="00095E3D"/>
    <w:rsid w:val="000A0487"/>
    <w:rsid w:val="000A0A23"/>
    <w:rsid w:val="000A31ED"/>
    <w:rsid w:val="000A3E23"/>
    <w:rsid w:val="000A6637"/>
    <w:rsid w:val="000B0476"/>
    <w:rsid w:val="000B3F81"/>
    <w:rsid w:val="000B4205"/>
    <w:rsid w:val="000B4D47"/>
    <w:rsid w:val="000B6206"/>
    <w:rsid w:val="000C0700"/>
    <w:rsid w:val="000C5C5B"/>
    <w:rsid w:val="000C67C6"/>
    <w:rsid w:val="000C74AE"/>
    <w:rsid w:val="000D444E"/>
    <w:rsid w:val="000D65D0"/>
    <w:rsid w:val="000D6A04"/>
    <w:rsid w:val="000E2A1C"/>
    <w:rsid w:val="000E4DF1"/>
    <w:rsid w:val="000F1C15"/>
    <w:rsid w:val="000F228F"/>
    <w:rsid w:val="000F3ACC"/>
    <w:rsid w:val="000F45DB"/>
    <w:rsid w:val="000F4993"/>
    <w:rsid w:val="000F57FF"/>
    <w:rsid w:val="0010008F"/>
    <w:rsid w:val="001002CB"/>
    <w:rsid w:val="00103FB5"/>
    <w:rsid w:val="00104F5C"/>
    <w:rsid w:val="001055F5"/>
    <w:rsid w:val="0011043A"/>
    <w:rsid w:val="00111A73"/>
    <w:rsid w:val="00113FF8"/>
    <w:rsid w:val="00114BCA"/>
    <w:rsid w:val="00117A2B"/>
    <w:rsid w:val="00122F4E"/>
    <w:rsid w:val="0012335A"/>
    <w:rsid w:val="00123571"/>
    <w:rsid w:val="00123962"/>
    <w:rsid w:val="001246C4"/>
    <w:rsid w:val="00125503"/>
    <w:rsid w:val="00127579"/>
    <w:rsid w:val="00127FDD"/>
    <w:rsid w:val="001307BC"/>
    <w:rsid w:val="001319AD"/>
    <w:rsid w:val="0013404F"/>
    <w:rsid w:val="00135C7D"/>
    <w:rsid w:val="00135E0A"/>
    <w:rsid w:val="001375DA"/>
    <w:rsid w:val="00137C68"/>
    <w:rsid w:val="001434C0"/>
    <w:rsid w:val="0014363D"/>
    <w:rsid w:val="00143710"/>
    <w:rsid w:val="001514FD"/>
    <w:rsid w:val="001556CA"/>
    <w:rsid w:val="00155E36"/>
    <w:rsid w:val="00156890"/>
    <w:rsid w:val="00160276"/>
    <w:rsid w:val="00161C7E"/>
    <w:rsid w:val="00161F76"/>
    <w:rsid w:val="00163622"/>
    <w:rsid w:val="0016396E"/>
    <w:rsid w:val="00164292"/>
    <w:rsid w:val="00164392"/>
    <w:rsid w:val="001672BF"/>
    <w:rsid w:val="001703D1"/>
    <w:rsid w:val="0017120D"/>
    <w:rsid w:val="001722E5"/>
    <w:rsid w:val="00175B5F"/>
    <w:rsid w:val="00177A53"/>
    <w:rsid w:val="0018042D"/>
    <w:rsid w:val="00181506"/>
    <w:rsid w:val="0018341F"/>
    <w:rsid w:val="00187CED"/>
    <w:rsid w:val="00190CDB"/>
    <w:rsid w:val="001923CA"/>
    <w:rsid w:val="00194926"/>
    <w:rsid w:val="001974DD"/>
    <w:rsid w:val="001A2011"/>
    <w:rsid w:val="001A21EF"/>
    <w:rsid w:val="001A7647"/>
    <w:rsid w:val="001A7CB8"/>
    <w:rsid w:val="001B18B1"/>
    <w:rsid w:val="001B3FB5"/>
    <w:rsid w:val="001B4C78"/>
    <w:rsid w:val="001C0964"/>
    <w:rsid w:val="001C1789"/>
    <w:rsid w:val="001C358E"/>
    <w:rsid w:val="001C380A"/>
    <w:rsid w:val="001C4E2F"/>
    <w:rsid w:val="001C5AD1"/>
    <w:rsid w:val="001D0274"/>
    <w:rsid w:val="001D042C"/>
    <w:rsid w:val="001D0F33"/>
    <w:rsid w:val="001D4C47"/>
    <w:rsid w:val="001D61F1"/>
    <w:rsid w:val="001E2859"/>
    <w:rsid w:val="001E4272"/>
    <w:rsid w:val="001E4A10"/>
    <w:rsid w:val="001E6E21"/>
    <w:rsid w:val="001F158E"/>
    <w:rsid w:val="001F1B91"/>
    <w:rsid w:val="001F2FA7"/>
    <w:rsid w:val="001F3D9C"/>
    <w:rsid w:val="001F4AB1"/>
    <w:rsid w:val="00201A49"/>
    <w:rsid w:val="00203E62"/>
    <w:rsid w:val="0020737C"/>
    <w:rsid w:val="00207EB7"/>
    <w:rsid w:val="002102EA"/>
    <w:rsid w:val="00211D30"/>
    <w:rsid w:val="00212177"/>
    <w:rsid w:val="00217BC4"/>
    <w:rsid w:val="00223AD2"/>
    <w:rsid w:val="00226E74"/>
    <w:rsid w:val="0022733E"/>
    <w:rsid w:val="00227A32"/>
    <w:rsid w:val="002304F8"/>
    <w:rsid w:val="0023224A"/>
    <w:rsid w:val="002334B4"/>
    <w:rsid w:val="00233E37"/>
    <w:rsid w:val="002341C1"/>
    <w:rsid w:val="002349A4"/>
    <w:rsid w:val="00236BD1"/>
    <w:rsid w:val="00240246"/>
    <w:rsid w:val="0024212D"/>
    <w:rsid w:val="00242C7E"/>
    <w:rsid w:val="002449CE"/>
    <w:rsid w:val="00245058"/>
    <w:rsid w:val="00250BC6"/>
    <w:rsid w:val="00250CDD"/>
    <w:rsid w:val="00251DC8"/>
    <w:rsid w:val="002530D3"/>
    <w:rsid w:val="002540F7"/>
    <w:rsid w:val="00254714"/>
    <w:rsid w:val="002617DE"/>
    <w:rsid w:val="002627EC"/>
    <w:rsid w:val="00262CA6"/>
    <w:rsid w:val="00264335"/>
    <w:rsid w:val="00264543"/>
    <w:rsid w:val="00266CB5"/>
    <w:rsid w:val="002744BA"/>
    <w:rsid w:val="002752F7"/>
    <w:rsid w:val="00275787"/>
    <w:rsid w:val="00276A97"/>
    <w:rsid w:val="00277018"/>
    <w:rsid w:val="00284425"/>
    <w:rsid w:val="00285DF7"/>
    <w:rsid w:val="002877B4"/>
    <w:rsid w:val="00291B1C"/>
    <w:rsid w:val="002957C1"/>
    <w:rsid w:val="00296125"/>
    <w:rsid w:val="00296B89"/>
    <w:rsid w:val="00296CE8"/>
    <w:rsid w:val="00297A56"/>
    <w:rsid w:val="002A012D"/>
    <w:rsid w:val="002A3EAB"/>
    <w:rsid w:val="002A615F"/>
    <w:rsid w:val="002B1FCD"/>
    <w:rsid w:val="002B2458"/>
    <w:rsid w:val="002B2886"/>
    <w:rsid w:val="002B36E9"/>
    <w:rsid w:val="002B3912"/>
    <w:rsid w:val="002B5A81"/>
    <w:rsid w:val="002B7391"/>
    <w:rsid w:val="002C0389"/>
    <w:rsid w:val="002C108A"/>
    <w:rsid w:val="002C1292"/>
    <w:rsid w:val="002C2B4F"/>
    <w:rsid w:val="002C75AC"/>
    <w:rsid w:val="002C77E8"/>
    <w:rsid w:val="002D1107"/>
    <w:rsid w:val="002D2336"/>
    <w:rsid w:val="002D3C4E"/>
    <w:rsid w:val="002D5D3D"/>
    <w:rsid w:val="002E410D"/>
    <w:rsid w:val="002E4516"/>
    <w:rsid w:val="002E4D8E"/>
    <w:rsid w:val="002F4215"/>
    <w:rsid w:val="002F741F"/>
    <w:rsid w:val="00302386"/>
    <w:rsid w:val="00302C8A"/>
    <w:rsid w:val="00306A98"/>
    <w:rsid w:val="00307406"/>
    <w:rsid w:val="00307F55"/>
    <w:rsid w:val="00311554"/>
    <w:rsid w:val="0031193A"/>
    <w:rsid w:val="00311A74"/>
    <w:rsid w:val="00312217"/>
    <w:rsid w:val="00312406"/>
    <w:rsid w:val="0031428A"/>
    <w:rsid w:val="00315A27"/>
    <w:rsid w:val="00315B20"/>
    <w:rsid w:val="00324D42"/>
    <w:rsid w:val="00325348"/>
    <w:rsid w:val="003267EE"/>
    <w:rsid w:val="00330466"/>
    <w:rsid w:val="00334474"/>
    <w:rsid w:val="00337D43"/>
    <w:rsid w:val="00341C05"/>
    <w:rsid w:val="00341E64"/>
    <w:rsid w:val="0034298A"/>
    <w:rsid w:val="00344D1D"/>
    <w:rsid w:val="00345D76"/>
    <w:rsid w:val="00347E35"/>
    <w:rsid w:val="0035174E"/>
    <w:rsid w:val="00351A28"/>
    <w:rsid w:val="00351D35"/>
    <w:rsid w:val="00353D40"/>
    <w:rsid w:val="00356F20"/>
    <w:rsid w:val="00360A3A"/>
    <w:rsid w:val="00360CD3"/>
    <w:rsid w:val="00360DA6"/>
    <w:rsid w:val="00361662"/>
    <w:rsid w:val="00363B92"/>
    <w:rsid w:val="003646E5"/>
    <w:rsid w:val="003732D0"/>
    <w:rsid w:val="003760E2"/>
    <w:rsid w:val="00376100"/>
    <w:rsid w:val="0037628F"/>
    <w:rsid w:val="003779DB"/>
    <w:rsid w:val="00377BEA"/>
    <w:rsid w:val="003809E2"/>
    <w:rsid w:val="00382860"/>
    <w:rsid w:val="00384C2C"/>
    <w:rsid w:val="00386CE5"/>
    <w:rsid w:val="0039139A"/>
    <w:rsid w:val="00391457"/>
    <w:rsid w:val="003A067A"/>
    <w:rsid w:val="003A280C"/>
    <w:rsid w:val="003A3E8F"/>
    <w:rsid w:val="003A49EF"/>
    <w:rsid w:val="003A5D39"/>
    <w:rsid w:val="003B178A"/>
    <w:rsid w:val="003B4830"/>
    <w:rsid w:val="003B732F"/>
    <w:rsid w:val="003B7CB7"/>
    <w:rsid w:val="003C2BEF"/>
    <w:rsid w:val="003C37A5"/>
    <w:rsid w:val="003C43DC"/>
    <w:rsid w:val="003C48B2"/>
    <w:rsid w:val="003C5360"/>
    <w:rsid w:val="003C6624"/>
    <w:rsid w:val="003C686E"/>
    <w:rsid w:val="003C6B18"/>
    <w:rsid w:val="003D1C07"/>
    <w:rsid w:val="003D38DC"/>
    <w:rsid w:val="003D43C5"/>
    <w:rsid w:val="003D552F"/>
    <w:rsid w:val="003D59A5"/>
    <w:rsid w:val="003D7D1F"/>
    <w:rsid w:val="003D7DA4"/>
    <w:rsid w:val="003E0112"/>
    <w:rsid w:val="003E1C75"/>
    <w:rsid w:val="003E3D13"/>
    <w:rsid w:val="003E5ACD"/>
    <w:rsid w:val="003E789E"/>
    <w:rsid w:val="003F1814"/>
    <w:rsid w:val="003F1B38"/>
    <w:rsid w:val="003F6C14"/>
    <w:rsid w:val="00410EBB"/>
    <w:rsid w:val="0041108A"/>
    <w:rsid w:val="00412B6B"/>
    <w:rsid w:val="0042290E"/>
    <w:rsid w:val="004336CC"/>
    <w:rsid w:val="004340F5"/>
    <w:rsid w:val="00441BFB"/>
    <w:rsid w:val="004429F9"/>
    <w:rsid w:val="004438DC"/>
    <w:rsid w:val="004455EC"/>
    <w:rsid w:val="0045158D"/>
    <w:rsid w:val="00454DE9"/>
    <w:rsid w:val="00454F62"/>
    <w:rsid w:val="00455010"/>
    <w:rsid w:val="004578FB"/>
    <w:rsid w:val="00460536"/>
    <w:rsid w:val="00462281"/>
    <w:rsid w:val="0046527F"/>
    <w:rsid w:val="00470765"/>
    <w:rsid w:val="00471BEC"/>
    <w:rsid w:val="0047553B"/>
    <w:rsid w:val="004766AB"/>
    <w:rsid w:val="004826F3"/>
    <w:rsid w:val="004850E9"/>
    <w:rsid w:val="0048555D"/>
    <w:rsid w:val="00485F13"/>
    <w:rsid w:val="004865E2"/>
    <w:rsid w:val="00487A74"/>
    <w:rsid w:val="00491877"/>
    <w:rsid w:val="00493706"/>
    <w:rsid w:val="004A07C0"/>
    <w:rsid w:val="004A0DF7"/>
    <w:rsid w:val="004A4CA2"/>
    <w:rsid w:val="004A6DD5"/>
    <w:rsid w:val="004B15B3"/>
    <w:rsid w:val="004B1B07"/>
    <w:rsid w:val="004B1FB4"/>
    <w:rsid w:val="004B73A7"/>
    <w:rsid w:val="004C0A17"/>
    <w:rsid w:val="004C0DEB"/>
    <w:rsid w:val="004C4C5D"/>
    <w:rsid w:val="004C55F2"/>
    <w:rsid w:val="004D646D"/>
    <w:rsid w:val="004D7E68"/>
    <w:rsid w:val="004E5A27"/>
    <w:rsid w:val="004E71C0"/>
    <w:rsid w:val="004E7911"/>
    <w:rsid w:val="004F0F36"/>
    <w:rsid w:val="004F16C7"/>
    <w:rsid w:val="004F1B66"/>
    <w:rsid w:val="004F4C20"/>
    <w:rsid w:val="004F5328"/>
    <w:rsid w:val="00505282"/>
    <w:rsid w:val="0050728B"/>
    <w:rsid w:val="00510196"/>
    <w:rsid w:val="005107C4"/>
    <w:rsid w:val="00511974"/>
    <w:rsid w:val="00512B12"/>
    <w:rsid w:val="005154A3"/>
    <w:rsid w:val="00515653"/>
    <w:rsid w:val="00530079"/>
    <w:rsid w:val="00531317"/>
    <w:rsid w:val="00532428"/>
    <w:rsid w:val="00532877"/>
    <w:rsid w:val="0053384D"/>
    <w:rsid w:val="005345DC"/>
    <w:rsid w:val="0053726F"/>
    <w:rsid w:val="00540EDB"/>
    <w:rsid w:val="00546D96"/>
    <w:rsid w:val="00550E08"/>
    <w:rsid w:val="00552180"/>
    <w:rsid w:val="00552A1B"/>
    <w:rsid w:val="00553B28"/>
    <w:rsid w:val="0055524C"/>
    <w:rsid w:val="00561A3B"/>
    <w:rsid w:val="00564ADE"/>
    <w:rsid w:val="005666AE"/>
    <w:rsid w:val="005676EF"/>
    <w:rsid w:val="00572072"/>
    <w:rsid w:val="00574ED0"/>
    <w:rsid w:val="005753FE"/>
    <w:rsid w:val="00575486"/>
    <w:rsid w:val="0057561F"/>
    <w:rsid w:val="005766E9"/>
    <w:rsid w:val="00576723"/>
    <w:rsid w:val="005837AD"/>
    <w:rsid w:val="0058547E"/>
    <w:rsid w:val="00586865"/>
    <w:rsid w:val="00593EC9"/>
    <w:rsid w:val="00596042"/>
    <w:rsid w:val="005962C2"/>
    <w:rsid w:val="005A0532"/>
    <w:rsid w:val="005A38FF"/>
    <w:rsid w:val="005A4AEC"/>
    <w:rsid w:val="005A5434"/>
    <w:rsid w:val="005A6129"/>
    <w:rsid w:val="005A63A6"/>
    <w:rsid w:val="005A766F"/>
    <w:rsid w:val="005B04A0"/>
    <w:rsid w:val="005B161F"/>
    <w:rsid w:val="005B2207"/>
    <w:rsid w:val="005B28D6"/>
    <w:rsid w:val="005B4F6D"/>
    <w:rsid w:val="005B506D"/>
    <w:rsid w:val="005B5555"/>
    <w:rsid w:val="005B7D12"/>
    <w:rsid w:val="005C2777"/>
    <w:rsid w:val="005C5B69"/>
    <w:rsid w:val="005D2DAE"/>
    <w:rsid w:val="005D3260"/>
    <w:rsid w:val="005D55D9"/>
    <w:rsid w:val="005E1833"/>
    <w:rsid w:val="005E57AF"/>
    <w:rsid w:val="005E6A72"/>
    <w:rsid w:val="005F16D9"/>
    <w:rsid w:val="005F4FB1"/>
    <w:rsid w:val="00600027"/>
    <w:rsid w:val="0060187B"/>
    <w:rsid w:val="0060566F"/>
    <w:rsid w:val="00605717"/>
    <w:rsid w:val="006065CA"/>
    <w:rsid w:val="00610EE7"/>
    <w:rsid w:val="006118E9"/>
    <w:rsid w:val="00611D0A"/>
    <w:rsid w:val="0061512F"/>
    <w:rsid w:val="00616072"/>
    <w:rsid w:val="00617A49"/>
    <w:rsid w:val="00621458"/>
    <w:rsid w:val="00622567"/>
    <w:rsid w:val="006264E7"/>
    <w:rsid w:val="00626C42"/>
    <w:rsid w:val="0062717C"/>
    <w:rsid w:val="006315A9"/>
    <w:rsid w:val="00631C03"/>
    <w:rsid w:val="00633E14"/>
    <w:rsid w:val="0063460C"/>
    <w:rsid w:val="00641197"/>
    <w:rsid w:val="0064191B"/>
    <w:rsid w:val="006427DA"/>
    <w:rsid w:val="00643516"/>
    <w:rsid w:val="00644A5F"/>
    <w:rsid w:val="00647A1C"/>
    <w:rsid w:val="00647FA2"/>
    <w:rsid w:val="0065205C"/>
    <w:rsid w:val="00652D16"/>
    <w:rsid w:val="00656057"/>
    <w:rsid w:val="00656B2B"/>
    <w:rsid w:val="00660506"/>
    <w:rsid w:val="00663065"/>
    <w:rsid w:val="00670A8C"/>
    <w:rsid w:val="006726D4"/>
    <w:rsid w:val="00672E9D"/>
    <w:rsid w:val="006747D7"/>
    <w:rsid w:val="00674DFD"/>
    <w:rsid w:val="0067502D"/>
    <w:rsid w:val="00675D5B"/>
    <w:rsid w:val="00676834"/>
    <w:rsid w:val="006773F6"/>
    <w:rsid w:val="006845B0"/>
    <w:rsid w:val="00684941"/>
    <w:rsid w:val="00684B22"/>
    <w:rsid w:val="00684BD0"/>
    <w:rsid w:val="00686487"/>
    <w:rsid w:val="00687530"/>
    <w:rsid w:val="006903D1"/>
    <w:rsid w:val="00692CCB"/>
    <w:rsid w:val="00693480"/>
    <w:rsid w:val="006943CF"/>
    <w:rsid w:val="006A330D"/>
    <w:rsid w:val="006A75F7"/>
    <w:rsid w:val="006A7B6B"/>
    <w:rsid w:val="006B03F0"/>
    <w:rsid w:val="006B3437"/>
    <w:rsid w:val="006B35B8"/>
    <w:rsid w:val="006B3EE3"/>
    <w:rsid w:val="006B4AD5"/>
    <w:rsid w:val="006B7A18"/>
    <w:rsid w:val="006C63F8"/>
    <w:rsid w:val="006C6965"/>
    <w:rsid w:val="006C70B1"/>
    <w:rsid w:val="006D0628"/>
    <w:rsid w:val="006D11B5"/>
    <w:rsid w:val="006D138A"/>
    <w:rsid w:val="006D3B22"/>
    <w:rsid w:val="006D628D"/>
    <w:rsid w:val="006D76CE"/>
    <w:rsid w:val="006D7A96"/>
    <w:rsid w:val="006E0248"/>
    <w:rsid w:val="006E0581"/>
    <w:rsid w:val="006E05BE"/>
    <w:rsid w:val="006E3CA2"/>
    <w:rsid w:val="006E49D7"/>
    <w:rsid w:val="006E4BB0"/>
    <w:rsid w:val="006E7DD1"/>
    <w:rsid w:val="006F076C"/>
    <w:rsid w:val="006F0B9E"/>
    <w:rsid w:val="006F1995"/>
    <w:rsid w:val="006F19C1"/>
    <w:rsid w:val="006F1BDA"/>
    <w:rsid w:val="006F2D27"/>
    <w:rsid w:val="006F6CE2"/>
    <w:rsid w:val="00701568"/>
    <w:rsid w:val="0070212D"/>
    <w:rsid w:val="0070712E"/>
    <w:rsid w:val="007105FC"/>
    <w:rsid w:val="0071249D"/>
    <w:rsid w:val="007145BB"/>
    <w:rsid w:val="00720492"/>
    <w:rsid w:val="007211D3"/>
    <w:rsid w:val="00721665"/>
    <w:rsid w:val="00725AB1"/>
    <w:rsid w:val="00727E8C"/>
    <w:rsid w:val="00731B9C"/>
    <w:rsid w:val="00732926"/>
    <w:rsid w:val="007347DB"/>
    <w:rsid w:val="00734F3C"/>
    <w:rsid w:val="007352F6"/>
    <w:rsid w:val="007369E6"/>
    <w:rsid w:val="0073743C"/>
    <w:rsid w:val="00742AFB"/>
    <w:rsid w:val="007448F6"/>
    <w:rsid w:val="00745BA2"/>
    <w:rsid w:val="0075080F"/>
    <w:rsid w:val="00751281"/>
    <w:rsid w:val="00752C4D"/>
    <w:rsid w:val="0075772B"/>
    <w:rsid w:val="00761184"/>
    <w:rsid w:val="00761DB7"/>
    <w:rsid w:val="00763E09"/>
    <w:rsid w:val="00765E76"/>
    <w:rsid w:val="00765EA1"/>
    <w:rsid w:val="00767356"/>
    <w:rsid w:val="00767C1D"/>
    <w:rsid w:val="00770245"/>
    <w:rsid w:val="00773572"/>
    <w:rsid w:val="007741AE"/>
    <w:rsid w:val="007746F8"/>
    <w:rsid w:val="00774B59"/>
    <w:rsid w:val="007768D6"/>
    <w:rsid w:val="007835AD"/>
    <w:rsid w:val="007840B6"/>
    <w:rsid w:val="00784329"/>
    <w:rsid w:val="0078482B"/>
    <w:rsid w:val="007873B6"/>
    <w:rsid w:val="007906EC"/>
    <w:rsid w:val="007A5C75"/>
    <w:rsid w:val="007A6F56"/>
    <w:rsid w:val="007A73DF"/>
    <w:rsid w:val="007B16E1"/>
    <w:rsid w:val="007B200E"/>
    <w:rsid w:val="007B2891"/>
    <w:rsid w:val="007B3143"/>
    <w:rsid w:val="007B3E73"/>
    <w:rsid w:val="007C0C99"/>
    <w:rsid w:val="007C3C0A"/>
    <w:rsid w:val="007C4300"/>
    <w:rsid w:val="007C4618"/>
    <w:rsid w:val="007D0826"/>
    <w:rsid w:val="007D1900"/>
    <w:rsid w:val="007D3FFE"/>
    <w:rsid w:val="007D5AC8"/>
    <w:rsid w:val="007D6857"/>
    <w:rsid w:val="007D7CF0"/>
    <w:rsid w:val="007E19D6"/>
    <w:rsid w:val="007E4EA2"/>
    <w:rsid w:val="007E5C3C"/>
    <w:rsid w:val="007E638C"/>
    <w:rsid w:val="007E6B78"/>
    <w:rsid w:val="007F10EC"/>
    <w:rsid w:val="007F1885"/>
    <w:rsid w:val="007F2966"/>
    <w:rsid w:val="007F310F"/>
    <w:rsid w:val="007F38E5"/>
    <w:rsid w:val="007F3C94"/>
    <w:rsid w:val="007F4516"/>
    <w:rsid w:val="007F4BCF"/>
    <w:rsid w:val="008002D6"/>
    <w:rsid w:val="00803CEA"/>
    <w:rsid w:val="00805556"/>
    <w:rsid w:val="00807D95"/>
    <w:rsid w:val="008117B5"/>
    <w:rsid w:val="0081226A"/>
    <w:rsid w:val="00812320"/>
    <w:rsid w:val="00813AFB"/>
    <w:rsid w:val="00817608"/>
    <w:rsid w:val="0081794E"/>
    <w:rsid w:val="008207C1"/>
    <w:rsid w:val="00821F37"/>
    <w:rsid w:val="00827755"/>
    <w:rsid w:val="00833E69"/>
    <w:rsid w:val="0083455A"/>
    <w:rsid w:val="00840156"/>
    <w:rsid w:val="00840158"/>
    <w:rsid w:val="008415E0"/>
    <w:rsid w:val="00842B55"/>
    <w:rsid w:val="00845A73"/>
    <w:rsid w:val="00850AE1"/>
    <w:rsid w:val="0085290A"/>
    <w:rsid w:val="00853ABD"/>
    <w:rsid w:val="008552C1"/>
    <w:rsid w:val="00855CED"/>
    <w:rsid w:val="00860296"/>
    <w:rsid w:val="008610FA"/>
    <w:rsid w:val="00862E99"/>
    <w:rsid w:val="008637C8"/>
    <w:rsid w:val="00864BFC"/>
    <w:rsid w:val="00865064"/>
    <w:rsid w:val="00866A42"/>
    <w:rsid w:val="00867A80"/>
    <w:rsid w:val="00867D8E"/>
    <w:rsid w:val="0087010B"/>
    <w:rsid w:val="00870CF6"/>
    <w:rsid w:val="00874471"/>
    <w:rsid w:val="008756DC"/>
    <w:rsid w:val="00876AB1"/>
    <w:rsid w:val="00877376"/>
    <w:rsid w:val="00877485"/>
    <w:rsid w:val="00880C71"/>
    <w:rsid w:val="00881154"/>
    <w:rsid w:val="008832CA"/>
    <w:rsid w:val="00885A91"/>
    <w:rsid w:val="00885AE5"/>
    <w:rsid w:val="00887FE6"/>
    <w:rsid w:val="008907C7"/>
    <w:rsid w:val="00893DDC"/>
    <w:rsid w:val="00896331"/>
    <w:rsid w:val="008A4370"/>
    <w:rsid w:val="008B511B"/>
    <w:rsid w:val="008B6473"/>
    <w:rsid w:val="008B73E6"/>
    <w:rsid w:val="008C10A6"/>
    <w:rsid w:val="008C2AB2"/>
    <w:rsid w:val="008C354A"/>
    <w:rsid w:val="008C3BEE"/>
    <w:rsid w:val="008C4364"/>
    <w:rsid w:val="008C7D2A"/>
    <w:rsid w:val="008C7DF1"/>
    <w:rsid w:val="008D0B00"/>
    <w:rsid w:val="008D2127"/>
    <w:rsid w:val="008D3522"/>
    <w:rsid w:val="008D57FE"/>
    <w:rsid w:val="008D7801"/>
    <w:rsid w:val="008E3981"/>
    <w:rsid w:val="008E5848"/>
    <w:rsid w:val="008E5CA3"/>
    <w:rsid w:val="008F0642"/>
    <w:rsid w:val="008F23E7"/>
    <w:rsid w:val="008F2944"/>
    <w:rsid w:val="008F2AB7"/>
    <w:rsid w:val="008F337B"/>
    <w:rsid w:val="008F5A8B"/>
    <w:rsid w:val="008F6F92"/>
    <w:rsid w:val="00900A06"/>
    <w:rsid w:val="00901C63"/>
    <w:rsid w:val="00904F8C"/>
    <w:rsid w:val="00910B57"/>
    <w:rsid w:val="009126DA"/>
    <w:rsid w:val="00914FAB"/>
    <w:rsid w:val="0091607F"/>
    <w:rsid w:val="00920BA3"/>
    <w:rsid w:val="00923660"/>
    <w:rsid w:val="00926011"/>
    <w:rsid w:val="009304DF"/>
    <w:rsid w:val="00932902"/>
    <w:rsid w:val="00944BD5"/>
    <w:rsid w:val="00944D29"/>
    <w:rsid w:val="009475D0"/>
    <w:rsid w:val="00950E1A"/>
    <w:rsid w:val="00953841"/>
    <w:rsid w:val="009543CB"/>
    <w:rsid w:val="00956255"/>
    <w:rsid w:val="00963248"/>
    <w:rsid w:val="0096434C"/>
    <w:rsid w:val="00964D74"/>
    <w:rsid w:val="00966C39"/>
    <w:rsid w:val="009672E9"/>
    <w:rsid w:val="009707CE"/>
    <w:rsid w:val="00971581"/>
    <w:rsid w:val="009747C7"/>
    <w:rsid w:val="00980B57"/>
    <w:rsid w:val="00980C5E"/>
    <w:rsid w:val="00982ABA"/>
    <w:rsid w:val="00983E8C"/>
    <w:rsid w:val="00990060"/>
    <w:rsid w:val="00990F7D"/>
    <w:rsid w:val="0099200E"/>
    <w:rsid w:val="00992917"/>
    <w:rsid w:val="009A16E2"/>
    <w:rsid w:val="009A398A"/>
    <w:rsid w:val="009A42CC"/>
    <w:rsid w:val="009B25CB"/>
    <w:rsid w:val="009B3A55"/>
    <w:rsid w:val="009B7472"/>
    <w:rsid w:val="009B752C"/>
    <w:rsid w:val="009C29C9"/>
    <w:rsid w:val="009C3021"/>
    <w:rsid w:val="009C45C3"/>
    <w:rsid w:val="009C47F1"/>
    <w:rsid w:val="009D0FF1"/>
    <w:rsid w:val="009D320B"/>
    <w:rsid w:val="009E120B"/>
    <w:rsid w:val="009E2389"/>
    <w:rsid w:val="009E3998"/>
    <w:rsid w:val="009E4A36"/>
    <w:rsid w:val="009E53C5"/>
    <w:rsid w:val="009E728D"/>
    <w:rsid w:val="009F0D34"/>
    <w:rsid w:val="009F23CD"/>
    <w:rsid w:val="009F51FA"/>
    <w:rsid w:val="009F5541"/>
    <w:rsid w:val="00A048F0"/>
    <w:rsid w:val="00A07ACC"/>
    <w:rsid w:val="00A07E6E"/>
    <w:rsid w:val="00A10123"/>
    <w:rsid w:val="00A11CDB"/>
    <w:rsid w:val="00A14B7D"/>
    <w:rsid w:val="00A14BE1"/>
    <w:rsid w:val="00A15FE2"/>
    <w:rsid w:val="00A21859"/>
    <w:rsid w:val="00A2784B"/>
    <w:rsid w:val="00A3170A"/>
    <w:rsid w:val="00A348DC"/>
    <w:rsid w:val="00A35AD6"/>
    <w:rsid w:val="00A3788C"/>
    <w:rsid w:val="00A408D4"/>
    <w:rsid w:val="00A40F68"/>
    <w:rsid w:val="00A421C6"/>
    <w:rsid w:val="00A42F1F"/>
    <w:rsid w:val="00A4359A"/>
    <w:rsid w:val="00A44B57"/>
    <w:rsid w:val="00A44E56"/>
    <w:rsid w:val="00A44ECC"/>
    <w:rsid w:val="00A46561"/>
    <w:rsid w:val="00A52C74"/>
    <w:rsid w:val="00A52CEF"/>
    <w:rsid w:val="00A57DE5"/>
    <w:rsid w:val="00A615F5"/>
    <w:rsid w:val="00A63DD7"/>
    <w:rsid w:val="00A64A0A"/>
    <w:rsid w:val="00A66DCC"/>
    <w:rsid w:val="00A704A3"/>
    <w:rsid w:val="00A72AA6"/>
    <w:rsid w:val="00A74218"/>
    <w:rsid w:val="00A74EF2"/>
    <w:rsid w:val="00A75D06"/>
    <w:rsid w:val="00A77D1F"/>
    <w:rsid w:val="00A809CB"/>
    <w:rsid w:val="00A830A1"/>
    <w:rsid w:val="00A83BFC"/>
    <w:rsid w:val="00A84B4E"/>
    <w:rsid w:val="00A851F3"/>
    <w:rsid w:val="00A85B23"/>
    <w:rsid w:val="00A85D50"/>
    <w:rsid w:val="00A879B5"/>
    <w:rsid w:val="00A94499"/>
    <w:rsid w:val="00A95AFE"/>
    <w:rsid w:val="00AA01D8"/>
    <w:rsid w:val="00AA1A65"/>
    <w:rsid w:val="00AB0A42"/>
    <w:rsid w:val="00AB0A9C"/>
    <w:rsid w:val="00AB1D8C"/>
    <w:rsid w:val="00AB45D4"/>
    <w:rsid w:val="00AB4A44"/>
    <w:rsid w:val="00AB6B60"/>
    <w:rsid w:val="00AC381D"/>
    <w:rsid w:val="00AC3B81"/>
    <w:rsid w:val="00AC497A"/>
    <w:rsid w:val="00AC638A"/>
    <w:rsid w:val="00AC64FB"/>
    <w:rsid w:val="00AC67B4"/>
    <w:rsid w:val="00AC7046"/>
    <w:rsid w:val="00AD3E0B"/>
    <w:rsid w:val="00AD7293"/>
    <w:rsid w:val="00AE0FDF"/>
    <w:rsid w:val="00AE12C0"/>
    <w:rsid w:val="00AE1399"/>
    <w:rsid w:val="00AE25B2"/>
    <w:rsid w:val="00AE783D"/>
    <w:rsid w:val="00AF0F44"/>
    <w:rsid w:val="00AF17FA"/>
    <w:rsid w:val="00AF3281"/>
    <w:rsid w:val="00AF4FBD"/>
    <w:rsid w:val="00AF5082"/>
    <w:rsid w:val="00B02281"/>
    <w:rsid w:val="00B023BD"/>
    <w:rsid w:val="00B02903"/>
    <w:rsid w:val="00B029BA"/>
    <w:rsid w:val="00B043F5"/>
    <w:rsid w:val="00B05396"/>
    <w:rsid w:val="00B066D5"/>
    <w:rsid w:val="00B11115"/>
    <w:rsid w:val="00B13225"/>
    <w:rsid w:val="00B13E94"/>
    <w:rsid w:val="00B208A9"/>
    <w:rsid w:val="00B23754"/>
    <w:rsid w:val="00B25149"/>
    <w:rsid w:val="00B307BD"/>
    <w:rsid w:val="00B3164B"/>
    <w:rsid w:val="00B36964"/>
    <w:rsid w:val="00B36B45"/>
    <w:rsid w:val="00B43332"/>
    <w:rsid w:val="00B438C5"/>
    <w:rsid w:val="00B43DB8"/>
    <w:rsid w:val="00B4556C"/>
    <w:rsid w:val="00B5075B"/>
    <w:rsid w:val="00B538B3"/>
    <w:rsid w:val="00B60DB0"/>
    <w:rsid w:val="00B6306F"/>
    <w:rsid w:val="00B645AE"/>
    <w:rsid w:val="00B661FD"/>
    <w:rsid w:val="00B6783F"/>
    <w:rsid w:val="00B71439"/>
    <w:rsid w:val="00B80AA2"/>
    <w:rsid w:val="00B80C11"/>
    <w:rsid w:val="00B80DE0"/>
    <w:rsid w:val="00B8434A"/>
    <w:rsid w:val="00B900DB"/>
    <w:rsid w:val="00B92903"/>
    <w:rsid w:val="00B93952"/>
    <w:rsid w:val="00B94127"/>
    <w:rsid w:val="00B97721"/>
    <w:rsid w:val="00BA2301"/>
    <w:rsid w:val="00BA411F"/>
    <w:rsid w:val="00BA4AFA"/>
    <w:rsid w:val="00BA4D50"/>
    <w:rsid w:val="00BA57A0"/>
    <w:rsid w:val="00BA6609"/>
    <w:rsid w:val="00BB1353"/>
    <w:rsid w:val="00BB2C67"/>
    <w:rsid w:val="00BB4430"/>
    <w:rsid w:val="00BB5FC4"/>
    <w:rsid w:val="00BC0C31"/>
    <w:rsid w:val="00BC17FC"/>
    <w:rsid w:val="00BC57C4"/>
    <w:rsid w:val="00BC6693"/>
    <w:rsid w:val="00BD0775"/>
    <w:rsid w:val="00BD5391"/>
    <w:rsid w:val="00BD62D6"/>
    <w:rsid w:val="00BD7BE4"/>
    <w:rsid w:val="00BE0285"/>
    <w:rsid w:val="00BE1D6B"/>
    <w:rsid w:val="00BE496A"/>
    <w:rsid w:val="00BE56B0"/>
    <w:rsid w:val="00BE63F8"/>
    <w:rsid w:val="00BE68C3"/>
    <w:rsid w:val="00BE70FF"/>
    <w:rsid w:val="00BE7BDB"/>
    <w:rsid w:val="00BF05A3"/>
    <w:rsid w:val="00BF2014"/>
    <w:rsid w:val="00BF22C1"/>
    <w:rsid w:val="00BF3D3B"/>
    <w:rsid w:val="00BF47CC"/>
    <w:rsid w:val="00BF51FE"/>
    <w:rsid w:val="00BF6B90"/>
    <w:rsid w:val="00BF711C"/>
    <w:rsid w:val="00C0080B"/>
    <w:rsid w:val="00C025EF"/>
    <w:rsid w:val="00C02FD0"/>
    <w:rsid w:val="00C04C8D"/>
    <w:rsid w:val="00C054B3"/>
    <w:rsid w:val="00C06FD3"/>
    <w:rsid w:val="00C07AA6"/>
    <w:rsid w:val="00C13C91"/>
    <w:rsid w:val="00C14936"/>
    <w:rsid w:val="00C165AF"/>
    <w:rsid w:val="00C179FD"/>
    <w:rsid w:val="00C22E8B"/>
    <w:rsid w:val="00C2338D"/>
    <w:rsid w:val="00C24341"/>
    <w:rsid w:val="00C27038"/>
    <w:rsid w:val="00C27B4D"/>
    <w:rsid w:val="00C31024"/>
    <w:rsid w:val="00C3234D"/>
    <w:rsid w:val="00C32FFA"/>
    <w:rsid w:val="00C34B6D"/>
    <w:rsid w:val="00C3676F"/>
    <w:rsid w:val="00C37362"/>
    <w:rsid w:val="00C44D3D"/>
    <w:rsid w:val="00C45C2D"/>
    <w:rsid w:val="00C4717B"/>
    <w:rsid w:val="00C47326"/>
    <w:rsid w:val="00C505A0"/>
    <w:rsid w:val="00C50EA6"/>
    <w:rsid w:val="00C54FA9"/>
    <w:rsid w:val="00C607DC"/>
    <w:rsid w:val="00C61DF3"/>
    <w:rsid w:val="00C623DC"/>
    <w:rsid w:val="00C6268B"/>
    <w:rsid w:val="00C63C4B"/>
    <w:rsid w:val="00C63E13"/>
    <w:rsid w:val="00C64A71"/>
    <w:rsid w:val="00C7074F"/>
    <w:rsid w:val="00C710DC"/>
    <w:rsid w:val="00C710F4"/>
    <w:rsid w:val="00C72870"/>
    <w:rsid w:val="00C72AA2"/>
    <w:rsid w:val="00C74363"/>
    <w:rsid w:val="00C8088E"/>
    <w:rsid w:val="00C821E5"/>
    <w:rsid w:val="00C8254C"/>
    <w:rsid w:val="00C827DC"/>
    <w:rsid w:val="00C82CBF"/>
    <w:rsid w:val="00C84808"/>
    <w:rsid w:val="00C861E5"/>
    <w:rsid w:val="00C86F1E"/>
    <w:rsid w:val="00C916B6"/>
    <w:rsid w:val="00C9263F"/>
    <w:rsid w:val="00C956E8"/>
    <w:rsid w:val="00C95D43"/>
    <w:rsid w:val="00C96432"/>
    <w:rsid w:val="00C9726B"/>
    <w:rsid w:val="00CA0B97"/>
    <w:rsid w:val="00CA2BAB"/>
    <w:rsid w:val="00CA3D4B"/>
    <w:rsid w:val="00CA416E"/>
    <w:rsid w:val="00CA4988"/>
    <w:rsid w:val="00CB09E6"/>
    <w:rsid w:val="00CB1D68"/>
    <w:rsid w:val="00CB4B42"/>
    <w:rsid w:val="00CB4FA5"/>
    <w:rsid w:val="00CB5B8A"/>
    <w:rsid w:val="00CB72B3"/>
    <w:rsid w:val="00CC396A"/>
    <w:rsid w:val="00CC3F6F"/>
    <w:rsid w:val="00CD0795"/>
    <w:rsid w:val="00CD1A69"/>
    <w:rsid w:val="00CD1E00"/>
    <w:rsid w:val="00CD5D9E"/>
    <w:rsid w:val="00CE2838"/>
    <w:rsid w:val="00CE494A"/>
    <w:rsid w:val="00CE4F74"/>
    <w:rsid w:val="00CE545B"/>
    <w:rsid w:val="00CE6D5C"/>
    <w:rsid w:val="00CF19D7"/>
    <w:rsid w:val="00CF1AFC"/>
    <w:rsid w:val="00CF2458"/>
    <w:rsid w:val="00D0320F"/>
    <w:rsid w:val="00D04A1A"/>
    <w:rsid w:val="00D04B2C"/>
    <w:rsid w:val="00D0578E"/>
    <w:rsid w:val="00D16374"/>
    <w:rsid w:val="00D16533"/>
    <w:rsid w:val="00D17DF6"/>
    <w:rsid w:val="00D211EE"/>
    <w:rsid w:val="00D23016"/>
    <w:rsid w:val="00D23B80"/>
    <w:rsid w:val="00D24FF1"/>
    <w:rsid w:val="00D259E3"/>
    <w:rsid w:val="00D2712E"/>
    <w:rsid w:val="00D342CC"/>
    <w:rsid w:val="00D40A57"/>
    <w:rsid w:val="00D414BD"/>
    <w:rsid w:val="00D416B0"/>
    <w:rsid w:val="00D4412A"/>
    <w:rsid w:val="00D451B4"/>
    <w:rsid w:val="00D4648A"/>
    <w:rsid w:val="00D47CF9"/>
    <w:rsid w:val="00D47F05"/>
    <w:rsid w:val="00D516FB"/>
    <w:rsid w:val="00D518D5"/>
    <w:rsid w:val="00D520D7"/>
    <w:rsid w:val="00D52DD4"/>
    <w:rsid w:val="00D55140"/>
    <w:rsid w:val="00D608C9"/>
    <w:rsid w:val="00D616F7"/>
    <w:rsid w:val="00D75BD1"/>
    <w:rsid w:val="00D763C2"/>
    <w:rsid w:val="00D770E9"/>
    <w:rsid w:val="00D83E01"/>
    <w:rsid w:val="00D85774"/>
    <w:rsid w:val="00D85F07"/>
    <w:rsid w:val="00D91806"/>
    <w:rsid w:val="00D971C0"/>
    <w:rsid w:val="00D975D4"/>
    <w:rsid w:val="00D9798D"/>
    <w:rsid w:val="00DA38ED"/>
    <w:rsid w:val="00DA4C18"/>
    <w:rsid w:val="00DA546E"/>
    <w:rsid w:val="00DB47DC"/>
    <w:rsid w:val="00DB5D08"/>
    <w:rsid w:val="00DB6894"/>
    <w:rsid w:val="00DB7735"/>
    <w:rsid w:val="00DC0EFA"/>
    <w:rsid w:val="00DC22BB"/>
    <w:rsid w:val="00DC4ACA"/>
    <w:rsid w:val="00DC7583"/>
    <w:rsid w:val="00DC7942"/>
    <w:rsid w:val="00DD45F4"/>
    <w:rsid w:val="00DD761F"/>
    <w:rsid w:val="00DD76DE"/>
    <w:rsid w:val="00DD7F56"/>
    <w:rsid w:val="00DE116B"/>
    <w:rsid w:val="00DE1416"/>
    <w:rsid w:val="00DE3A92"/>
    <w:rsid w:val="00DE438F"/>
    <w:rsid w:val="00DE453A"/>
    <w:rsid w:val="00DF2548"/>
    <w:rsid w:val="00DF2DA9"/>
    <w:rsid w:val="00DF3940"/>
    <w:rsid w:val="00E002BC"/>
    <w:rsid w:val="00E01E68"/>
    <w:rsid w:val="00E12BB8"/>
    <w:rsid w:val="00E12FC9"/>
    <w:rsid w:val="00E14C34"/>
    <w:rsid w:val="00E15D97"/>
    <w:rsid w:val="00E16A14"/>
    <w:rsid w:val="00E20D01"/>
    <w:rsid w:val="00E22299"/>
    <w:rsid w:val="00E26B68"/>
    <w:rsid w:val="00E2700D"/>
    <w:rsid w:val="00E30283"/>
    <w:rsid w:val="00E321A9"/>
    <w:rsid w:val="00E35077"/>
    <w:rsid w:val="00E356BA"/>
    <w:rsid w:val="00E36C3E"/>
    <w:rsid w:val="00E42290"/>
    <w:rsid w:val="00E43EA7"/>
    <w:rsid w:val="00E46074"/>
    <w:rsid w:val="00E46264"/>
    <w:rsid w:val="00E476C5"/>
    <w:rsid w:val="00E56C0A"/>
    <w:rsid w:val="00E56EEC"/>
    <w:rsid w:val="00E57692"/>
    <w:rsid w:val="00E6128E"/>
    <w:rsid w:val="00E61DCC"/>
    <w:rsid w:val="00E624A3"/>
    <w:rsid w:val="00E63585"/>
    <w:rsid w:val="00E63FE2"/>
    <w:rsid w:val="00E655FB"/>
    <w:rsid w:val="00E65FFF"/>
    <w:rsid w:val="00E771F3"/>
    <w:rsid w:val="00E82DE3"/>
    <w:rsid w:val="00E83138"/>
    <w:rsid w:val="00E878C3"/>
    <w:rsid w:val="00E905CE"/>
    <w:rsid w:val="00EA0764"/>
    <w:rsid w:val="00EA4095"/>
    <w:rsid w:val="00EA5B0E"/>
    <w:rsid w:val="00EA696D"/>
    <w:rsid w:val="00EB1DDB"/>
    <w:rsid w:val="00EB213C"/>
    <w:rsid w:val="00EB4C77"/>
    <w:rsid w:val="00EB7432"/>
    <w:rsid w:val="00EC0352"/>
    <w:rsid w:val="00EC11DB"/>
    <w:rsid w:val="00EC1A04"/>
    <w:rsid w:val="00EC5AE7"/>
    <w:rsid w:val="00EC60E0"/>
    <w:rsid w:val="00EC6707"/>
    <w:rsid w:val="00ED7358"/>
    <w:rsid w:val="00EE0B28"/>
    <w:rsid w:val="00EE11D5"/>
    <w:rsid w:val="00EE27D2"/>
    <w:rsid w:val="00EE339E"/>
    <w:rsid w:val="00EE52D8"/>
    <w:rsid w:val="00EE702B"/>
    <w:rsid w:val="00EE7868"/>
    <w:rsid w:val="00EF06F3"/>
    <w:rsid w:val="00EF1A97"/>
    <w:rsid w:val="00EF3C87"/>
    <w:rsid w:val="00EF696F"/>
    <w:rsid w:val="00EF7C3F"/>
    <w:rsid w:val="00F01C12"/>
    <w:rsid w:val="00F0213B"/>
    <w:rsid w:val="00F03E2D"/>
    <w:rsid w:val="00F06392"/>
    <w:rsid w:val="00F07ADA"/>
    <w:rsid w:val="00F11798"/>
    <w:rsid w:val="00F12557"/>
    <w:rsid w:val="00F13E37"/>
    <w:rsid w:val="00F162CE"/>
    <w:rsid w:val="00F1664C"/>
    <w:rsid w:val="00F169EA"/>
    <w:rsid w:val="00F16D2E"/>
    <w:rsid w:val="00F17B87"/>
    <w:rsid w:val="00F23FB5"/>
    <w:rsid w:val="00F2554E"/>
    <w:rsid w:val="00F25CB0"/>
    <w:rsid w:val="00F272F9"/>
    <w:rsid w:val="00F27F0F"/>
    <w:rsid w:val="00F30889"/>
    <w:rsid w:val="00F316F2"/>
    <w:rsid w:val="00F32007"/>
    <w:rsid w:val="00F35A71"/>
    <w:rsid w:val="00F40A05"/>
    <w:rsid w:val="00F44851"/>
    <w:rsid w:val="00F44929"/>
    <w:rsid w:val="00F50717"/>
    <w:rsid w:val="00F52B12"/>
    <w:rsid w:val="00F55761"/>
    <w:rsid w:val="00F56369"/>
    <w:rsid w:val="00F607EB"/>
    <w:rsid w:val="00F61BD2"/>
    <w:rsid w:val="00F648A0"/>
    <w:rsid w:val="00F6509E"/>
    <w:rsid w:val="00F6535A"/>
    <w:rsid w:val="00F66009"/>
    <w:rsid w:val="00F668FB"/>
    <w:rsid w:val="00F7058E"/>
    <w:rsid w:val="00F72CED"/>
    <w:rsid w:val="00F73208"/>
    <w:rsid w:val="00F74265"/>
    <w:rsid w:val="00F7509E"/>
    <w:rsid w:val="00F75210"/>
    <w:rsid w:val="00F81C55"/>
    <w:rsid w:val="00F90B32"/>
    <w:rsid w:val="00F93554"/>
    <w:rsid w:val="00F93DE7"/>
    <w:rsid w:val="00FA0086"/>
    <w:rsid w:val="00FA3095"/>
    <w:rsid w:val="00FA4DFD"/>
    <w:rsid w:val="00FA542B"/>
    <w:rsid w:val="00FA6F66"/>
    <w:rsid w:val="00FB3CB8"/>
    <w:rsid w:val="00FC2480"/>
    <w:rsid w:val="00FC278E"/>
    <w:rsid w:val="00FC3CC7"/>
    <w:rsid w:val="00FC4616"/>
    <w:rsid w:val="00FC6AD7"/>
    <w:rsid w:val="00FC7E87"/>
    <w:rsid w:val="00FD158F"/>
    <w:rsid w:val="00FD2220"/>
    <w:rsid w:val="00FD2356"/>
    <w:rsid w:val="00FD31D8"/>
    <w:rsid w:val="00FD597D"/>
    <w:rsid w:val="00FD73A5"/>
    <w:rsid w:val="00FE0EFB"/>
    <w:rsid w:val="00FE49DC"/>
    <w:rsid w:val="00FE6226"/>
    <w:rsid w:val="00FE6413"/>
    <w:rsid w:val="00FF074F"/>
    <w:rsid w:val="00FF2F0F"/>
    <w:rsid w:val="00FF47D0"/>
    <w:rsid w:val="00FF5F11"/>
    <w:rsid w:val="00FF6AD8"/>
    <w:rsid w:val="00FF7C8B"/>
    <w:rsid w:val="00FF7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710F"/>
  <w15:chartTrackingRefBased/>
  <w15:docId w15:val="{CF29A55D-7900-495E-B2CA-A1AEC309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2C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2CB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2C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82CB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C82CBF"/>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C82CBF"/>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CB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2CB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2CB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82CBF"/>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C82CBF"/>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C82CBF"/>
    <w:rPr>
      <w:rFonts w:ascii="Times New Roman" w:eastAsia="Times New Roman" w:hAnsi="Times New Roman" w:cs="Times New Roman"/>
      <w:b/>
      <w:bCs/>
      <w:sz w:val="15"/>
      <w:szCs w:val="15"/>
      <w:lang w:eastAsia="en-GB"/>
    </w:rPr>
  </w:style>
  <w:style w:type="character" w:styleId="Hyperlink">
    <w:name w:val="Hyperlink"/>
    <w:basedOn w:val="DefaultParagraphFont"/>
    <w:uiPriority w:val="99"/>
    <w:semiHidden/>
    <w:unhideWhenUsed/>
    <w:rsid w:val="00C82CBF"/>
    <w:rPr>
      <w:color w:val="0000FF"/>
      <w:u w:val="single"/>
    </w:rPr>
  </w:style>
  <w:style w:type="character" w:styleId="FollowedHyperlink">
    <w:name w:val="FollowedHyperlink"/>
    <w:basedOn w:val="DefaultParagraphFont"/>
    <w:uiPriority w:val="99"/>
    <w:semiHidden/>
    <w:unhideWhenUsed/>
    <w:rsid w:val="00C82CBF"/>
    <w:rPr>
      <w:color w:val="0000FF"/>
      <w:u w:val="single"/>
    </w:rPr>
  </w:style>
  <w:style w:type="paragraph" w:styleId="HTMLAddress">
    <w:name w:val="HTML Address"/>
    <w:basedOn w:val="Normal"/>
    <w:link w:val="HTMLAddressChar"/>
    <w:uiPriority w:val="99"/>
    <w:semiHidden/>
    <w:unhideWhenUsed/>
    <w:rsid w:val="00C82CBF"/>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C82CBF"/>
    <w:rPr>
      <w:rFonts w:ascii="Times New Roman" w:eastAsia="Times New Roman" w:hAnsi="Times New Roman" w:cs="Times New Roman"/>
      <w:i/>
      <w:iCs/>
      <w:sz w:val="24"/>
      <w:szCs w:val="24"/>
      <w:lang w:eastAsia="en-GB"/>
    </w:rPr>
  </w:style>
  <w:style w:type="paragraph" w:styleId="HTMLPreformatted">
    <w:name w:val="HTML Preformatted"/>
    <w:basedOn w:val="Normal"/>
    <w:link w:val="HTMLPreformattedChar"/>
    <w:uiPriority w:val="99"/>
    <w:semiHidden/>
    <w:unhideWhenUsed/>
    <w:rsid w:val="00C82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semiHidden/>
    <w:rsid w:val="00C82CBF"/>
    <w:rPr>
      <w:rFonts w:ascii="Courier New" w:eastAsia="Times New Roman" w:hAnsi="Courier New" w:cs="Courier New"/>
      <w:color w:val="000000"/>
      <w:sz w:val="20"/>
      <w:szCs w:val="20"/>
      <w:lang w:eastAsia="en-GB"/>
    </w:rPr>
  </w:style>
  <w:style w:type="paragraph" w:customStyle="1" w:styleId="msonormal0">
    <w:name w:val="msonormal"/>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styleId="NormalWeb">
    <w:name w:val="Normal (Web)"/>
    <w:basedOn w:val="Normal"/>
    <w:uiPriority w:val="99"/>
    <w:semiHidden/>
    <w:unhideWhenUsed/>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ewsp">
    <w:name w:val="prnews_p"/>
    <w:basedOn w:val="Normal"/>
    <w:rsid w:val="00C82CBF"/>
    <w:pPr>
      <w:spacing w:after="0" w:line="240" w:lineRule="auto"/>
    </w:pPr>
    <w:rPr>
      <w:rFonts w:ascii="Arial" w:eastAsia="Times New Roman" w:hAnsi="Arial" w:cs="Arial"/>
      <w:color w:val="000000"/>
      <w:sz w:val="16"/>
      <w:szCs w:val="16"/>
      <w:lang w:eastAsia="en-GB"/>
    </w:rPr>
  </w:style>
  <w:style w:type="paragraph" w:customStyle="1" w:styleId="ewebeditorstyle">
    <w:name w:val="ewebeditor__style"/>
    <w:basedOn w:val="Normal"/>
    <w:rsid w:val="00C82CBF"/>
    <w:pPr>
      <w:pBdr>
        <w:top w:val="dotted" w:sz="6" w:space="0" w:color="0000FF"/>
        <w:left w:val="dotted" w:sz="6" w:space="0" w:color="0000FF"/>
        <w:bottom w:val="dotted" w:sz="6" w:space="0" w:color="0000FF"/>
        <w:right w:val="dotted" w:sz="6" w:space="0" w:color="0000FF"/>
      </w:pBdr>
      <w:spacing w:before="100" w:beforeAutospacing="1" w:after="100" w:afterAutospacing="1" w:line="240" w:lineRule="auto"/>
      <w:textAlignment w:val="center"/>
    </w:pPr>
    <w:rPr>
      <w:rFonts w:ascii="Arial" w:eastAsia="Times New Roman" w:hAnsi="Arial" w:cs="Arial"/>
      <w:color w:val="000000"/>
      <w:sz w:val="20"/>
      <w:szCs w:val="20"/>
      <w:lang w:eastAsia="en-GB"/>
    </w:rPr>
  </w:style>
  <w:style w:type="paragraph" w:customStyle="1" w:styleId="ewebeditorflash">
    <w:name w:val="ewebeditor__flash"/>
    <w:basedOn w:val="Normal"/>
    <w:rsid w:val="00C82CBF"/>
    <w:pPr>
      <w:pBdr>
        <w:top w:val="single" w:sz="6" w:space="0" w:color="A9A9A9"/>
        <w:left w:val="single" w:sz="6" w:space="0" w:color="A9A9A9"/>
        <w:bottom w:val="single" w:sz="6" w:space="0" w:color="A9A9A9"/>
        <w:right w:val="single" w:sz="6" w:space="0" w:color="A9A9A9"/>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ewebeditorunknownobject">
    <w:name w:val="ewebeditor__unknownobject"/>
    <w:basedOn w:val="Normal"/>
    <w:rsid w:val="00C82CBF"/>
    <w:pPr>
      <w:pBdr>
        <w:top w:val="single" w:sz="6" w:space="0" w:color="A9A9A9"/>
        <w:left w:val="single" w:sz="6" w:space="0" w:color="A9A9A9"/>
        <w:bottom w:val="single" w:sz="6" w:space="0" w:color="A9A9A9"/>
        <w:right w:val="single" w:sz="6" w:space="0" w:color="A9A9A9"/>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ewebeditormediaplayer6">
    <w:name w:val="ewebeditor__mediaplayer6"/>
    <w:basedOn w:val="Normal"/>
    <w:rsid w:val="00C82CBF"/>
    <w:pPr>
      <w:pBdr>
        <w:top w:val="single" w:sz="6" w:space="0" w:color="A9A9A9"/>
        <w:left w:val="single" w:sz="6" w:space="0" w:color="A9A9A9"/>
        <w:bottom w:val="single" w:sz="6" w:space="0" w:color="A9A9A9"/>
        <w:right w:val="single" w:sz="6" w:space="0" w:color="A9A9A9"/>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ewebeditormediaplayer7">
    <w:name w:val="ewebeditor__mediaplayer7"/>
    <w:basedOn w:val="Normal"/>
    <w:rsid w:val="00C82CBF"/>
    <w:pPr>
      <w:pBdr>
        <w:top w:val="single" w:sz="6" w:space="0" w:color="A9A9A9"/>
        <w:left w:val="single" w:sz="6" w:space="0" w:color="A9A9A9"/>
        <w:bottom w:val="single" w:sz="6" w:space="0" w:color="A9A9A9"/>
        <w:right w:val="single" w:sz="6" w:space="0" w:color="A9A9A9"/>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ewebeditorflv">
    <w:name w:val="ewebeditor__flv"/>
    <w:basedOn w:val="Normal"/>
    <w:rsid w:val="00C82CBF"/>
    <w:pPr>
      <w:pBdr>
        <w:top w:val="single" w:sz="6" w:space="0" w:color="A9A9A9"/>
        <w:left w:val="single" w:sz="6" w:space="0" w:color="A9A9A9"/>
        <w:bottom w:val="single" w:sz="6" w:space="0" w:color="A9A9A9"/>
        <w:right w:val="single" w:sz="6" w:space="0" w:color="A9A9A9"/>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ewebeditorrealplayer">
    <w:name w:val="ewebeditor__realplayer"/>
    <w:basedOn w:val="Normal"/>
    <w:rsid w:val="00C82CBF"/>
    <w:pPr>
      <w:pBdr>
        <w:top w:val="single" w:sz="6" w:space="0" w:color="A9A9A9"/>
        <w:left w:val="single" w:sz="6" w:space="0" w:color="A9A9A9"/>
        <w:bottom w:val="single" w:sz="6" w:space="0" w:color="A9A9A9"/>
        <w:right w:val="single" w:sz="6" w:space="0" w:color="A9A9A9"/>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ewebeditorquicktime">
    <w:name w:val="ewebeditor__quicktime"/>
    <w:basedOn w:val="Normal"/>
    <w:rsid w:val="00C82CBF"/>
    <w:pPr>
      <w:pBdr>
        <w:top w:val="single" w:sz="6" w:space="0" w:color="A9A9A9"/>
        <w:left w:val="single" w:sz="6" w:space="0" w:color="A9A9A9"/>
        <w:bottom w:val="single" w:sz="6" w:space="0" w:color="A9A9A9"/>
        <w:right w:val="single" w:sz="6" w:space="0" w:color="A9A9A9"/>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ewebeditorjwplayer">
    <w:name w:val="ewebeditor__jwplayer"/>
    <w:basedOn w:val="Normal"/>
    <w:rsid w:val="00C82CBF"/>
    <w:pPr>
      <w:pBdr>
        <w:top w:val="single" w:sz="6" w:space="0" w:color="A9A9A9"/>
        <w:left w:val="single" w:sz="6" w:space="0" w:color="A9A9A9"/>
        <w:bottom w:val="single" w:sz="6" w:space="0" w:color="A9A9A9"/>
        <w:right w:val="single" w:sz="6" w:space="0" w:color="A9A9A9"/>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ewebeditoryoutube">
    <w:name w:val="ewebeditor__youtube"/>
    <w:basedOn w:val="Normal"/>
    <w:rsid w:val="00C82CBF"/>
    <w:pPr>
      <w:pBdr>
        <w:top w:val="single" w:sz="6" w:space="0" w:color="A9A9A9"/>
        <w:left w:val="single" w:sz="6" w:space="0" w:color="A9A9A9"/>
        <w:bottom w:val="single" w:sz="6" w:space="0" w:color="A9A9A9"/>
        <w:right w:val="single" w:sz="6" w:space="0" w:color="A9A9A9"/>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ewebeditoranchor">
    <w:name w:val="ewebeditor__anchor"/>
    <w:basedOn w:val="Normal"/>
    <w:rsid w:val="00C82CBF"/>
    <w:pPr>
      <w:pBdr>
        <w:top w:val="dotted" w:sz="6" w:space="0" w:color="0000FF"/>
        <w:left w:val="dotted" w:sz="6" w:space="0" w:color="0000FF"/>
        <w:bottom w:val="dotted" w:sz="6" w:space="0" w:color="0000FF"/>
        <w:right w:val="dotted" w:sz="6" w:space="0" w:color="0000FF"/>
      </w:pBdr>
      <w:spacing w:before="100" w:beforeAutospacing="1" w:after="100" w:afterAutospacing="1" w:line="240" w:lineRule="auto"/>
      <w:textAlignment w:val="center"/>
    </w:pPr>
    <w:rPr>
      <w:rFonts w:ascii="Arial" w:eastAsia="Times New Roman" w:hAnsi="Arial" w:cs="Arial"/>
      <w:color w:val="000000"/>
      <w:sz w:val="20"/>
      <w:szCs w:val="20"/>
      <w:lang w:eastAsia="en-GB"/>
    </w:rPr>
  </w:style>
  <w:style w:type="paragraph" w:customStyle="1" w:styleId="ewebeditoranchorc">
    <w:name w:val="ewebeditor__anchorc"/>
    <w:basedOn w:val="Normal"/>
    <w:rsid w:val="00C82CBF"/>
    <w:pPr>
      <w:pBdr>
        <w:top w:val="dotted" w:sz="6" w:space="0" w:color="0000FF"/>
        <w:left w:val="dotted" w:sz="6" w:space="14" w:color="0000FF"/>
        <w:bottom w:val="dotted" w:sz="6" w:space="0" w:color="0000FF"/>
        <w:right w:val="dotted" w:sz="6" w:space="0" w:color="0000FF"/>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ewebeditorpagination">
    <w:name w:val="ewebeditor__pagination"/>
    <w:basedOn w:val="Normal"/>
    <w:rsid w:val="00C82CBF"/>
    <w:pPr>
      <w:pBdr>
        <w:top w:val="dotted" w:sz="6" w:space="0" w:color="999999"/>
        <w:bottom w:val="dotted" w:sz="6" w:space="0" w:color="999999"/>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ewebeditorinputhidden">
    <w:name w:val="ewebeditor__inputhidden"/>
    <w:basedOn w:val="Normal"/>
    <w:rsid w:val="00C82CBF"/>
    <w:pPr>
      <w:spacing w:before="100" w:beforeAutospacing="1" w:after="100" w:afterAutospacing="1" w:line="240" w:lineRule="auto"/>
      <w:textAlignment w:val="bottom"/>
    </w:pPr>
    <w:rPr>
      <w:rFonts w:ascii="Arial" w:eastAsia="Times New Roman" w:hAnsi="Arial" w:cs="Arial"/>
      <w:color w:val="000000"/>
      <w:sz w:val="20"/>
      <w:szCs w:val="20"/>
      <w:lang w:eastAsia="en-GB"/>
    </w:rPr>
  </w:style>
  <w:style w:type="paragraph" w:customStyle="1" w:styleId="prntbls">
    <w:name w:val="prntbls"/>
    <w:basedOn w:val="Normal"/>
    <w:rsid w:val="00C82CB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tbld">
    <w:name w:val="prntbld"/>
    <w:basedOn w:val="Normal"/>
    <w:rsid w:val="00C82CBF"/>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tblns">
    <w:name w:val="prntblns"/>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120">
    <w:name w:val="prnpl12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110">
    <w:name w:val="prnpl11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100">
    <w:name w:val="prnpl10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90">
    <w:name w:val="prnpl9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80">
    <w:name w:val="prnpl8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70">
    <w:name w:val="prnpl7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60">
    <w:name w:val="prnpl6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50">
    <w:name w:val="prnpl5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40">
    <w:name w:val="prnpl4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30">
    <w:name w:val="prnpl3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20">
    <w:name w:val="prnpl2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14">
    <w:name w:val="prnpl14"/>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10">
    <w:name w:val="prnpl1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8">
    <w:name w:val="prnpl8"/>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6">
    <w:name w:val="prnpl6"/>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4">
    <w:name w:val="prnpl4"/>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l2">
    <w:name w:val="prnpl2"/>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r12">
    <w:name w:val="prnpr12"/>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r10">
    <w:name w:val="prnpr1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r8">
    <w:name w:val="prnpr8"/>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r6">
    <w:name w:val="prnpr6"/>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r4">
    <w:name w:val="prnpr4"/>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b12">
    <w:name w:val="prnpb12"/>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b10">
    <w:name w:val="prnpb10"/>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b8">
    <w:name w:val="prnpb8"/>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b6">
    <w:name w:val="prnpb6"/>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b4">
    <w:name w:val="prnpb4"/>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pb2">
    <w:name w:val="prnpb2"/>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ind2">
    <w:name w:val="prnind2"/>
    <w:basedOn w:val="Normal"/>
    <w:rsid w:val="00C82CBF"/>
    <w:pPr>
      <w:spacing w:before="100" w:beforeAutospacing="1" w:after="100" w:afterAutospacing="1" w:line="240" w:lineRule="auto"/>
      <w:ind w:firstLine="30"/>
    </w:pPr>
    <w:rPr>
      <w:rFonts w:ascii="Arial" w:eastAsia="Times New Roman" w:hAnsi="Arial" w:cs="Arial"/>
      <w:color w:val="000000"/>
      <w:sz w:val="20"/>
      <w:szCs w:val="20"/>
      <w:lang w:eastAsia="en-GB"/>
    </w:rPr>
  </w:style>
  <w:style w:type="paragraph" w:customStyle="1" w:styleId="prnind4">
    <w:name w:val="prnind4"/>
    <w:basedOn w:val="Normal"/>
    <w:rsid w:val="00C82CBF"/>
    <w:pPr>
      <w:spacing w:before="100" w:beforeAutospacing="1" w:after="100" w:afterAutospacing="1" w:line="240" w:lineRule="auto"/>
      <w:ind w:firstLine="60"/>
    </w:pPr>
    <w:rPr>
      <w:rFonts w:ascii="Arial" w:eastAsia="Times New Roman" w:hAnsi="Arial" w:cs="Arial"/>
      <w:color w:val="000000"/>
      <w:sz w:val="20"/>
      <w:szCs w:val="20"/>
      <w:lang w:eastAsia="en-GB"/>
    </w:rPr>
  </w:style>
  <w:style w:type="paragraph" w:customStyle="1" w:styleId="prnind6">
    <w:name w:val="prnind6"/>
    <w:basedOn w:val="Normal"/>
    <w:rsid w:val="00C82CBF"/>
    <w:pPr>
      <w:spacing w:before="100" w:beforeAutospacing="1" w:after="100" w:afterAutospacing="1" w:line="240" w:lineRule="auto"/>
      <w:ind w:firstLine="90"/>
    </w:pPr>
    <w:rPr>
      <w:rFonts w:ascii="Arial" w:eastAsia="Times New Roman" w:hAnsi="Arial" w:cs="Arial"/>
      <w:color w:val="000000"/>
      <w:sz w:val="20"/>
      <w:szCs w:val="20"/>
      <w:lang w:eastAsia="en-GB"/>
    </w:rPr>
  </w:style>
  <w:style w:type="paragraph" w:customStyle="1" w:styleId="prnind8">
    <w:name w:val="prnind8"/>
    <w:basedOn w:val="Normal"/>
    <w:rsid w:val="00C82CBF"/>
    <w:pPr>
      <w:spacing w:before="100" w:beforeAutospacing="1" w:after="100" w:afterAutospacing="1" w:line="240" w:lineRule="auto"/>
      <w:ind w:firstLine="120"/>
    </w:pPr>
    <w:rPr>
      <w:rFonts w:ascii="Arial" w:eastAsia="Times New Roman" w:hAnsi="Arial" w:cs="Arial"/>
      <w:color w:val="000000"/>
      <w:sz w:val="20"/>
      <w:szCs w:val="20"/>
      <w:lang w:eastAsia="en-GB"/>
    </w:rPr>
  </w:style>
  <w:style w:type="paragraph" w:customStyle="1" w:styleId="prnind10">
    <w:name w:val="prnind10"/>
    <w:basedOn w:val="Normal"/>
    <w:rsid w:val="00C82CBF"/>
    <w:pPr>
      <w:spacing w:before="100" w:beforeAutospacing="1" w:after="100" w:afterAutospacing="1" w:line="240" w:lineRule="auto"/>
      <w:ind w:firstLine="150"/>
    </w:pPr>
    <w:rPr>
      <w:rFonts w:ascii="Arial" w:eastAsia="Times New Roman" w:hAnsi="Arial" w:cs="Arial"/>
      <w:color w:val="000000"/>
      <w:sz w:val="20"/>
      <w:szCs w:val="20"/>
      <w:lang w:eastAsia="en-GB"/>
    </w:rPr>
  </w:style>
  <w:style w:type="paragraph" w:customStyle="1" w:styleId="prnind20">
    <w:name w:val="prnind20"/>
    <w:basedOn w:val="Normal"/>
    <w:rsid w:val="00C82CBF"/>
    <w:pPr>
      <w:spacing w:before="100" w:beforeAutospacing="1" w:after="100" w:afterAutospacing="1" w:line="240" w:lineRule="auto"/>
      <w:ind w:firstLine="300"/>
    </w:pPr>
    <w:rPr>
      <w:rFonts w:ascii="Arial" w:eastAsia="Times New Roman" w:hAnsi="Arial" w:cs="Arial"/>
      <w:color w:val="000000"/>
      <w:sz w:val="20"/>
      <w:szCs w:val="20"/>
      <w:lang w:eastAsia="en-GB"/>
    </w:rPr>
  </w:style>
  <w:style w:type="paragraph" w:customStyle="1" w:styleId="prnind30">
    <w:name w:val="prnind30"/>
    <w:basedOn w:val="Normal"/>
    <w:rsid w:val="00C82CBF"/>
    <w:pPr>
      <w:spacing w:before="100" w:beforeAutospacing="1" w:after="100" w:afterAutospacing="1" w:line="240" w:lineRule="auto"/>
      <w:ind w:firstLine="450"/>
    </w:pPr>
    <w:rPr>
      <w:rFonts w:ascii="Arial" w:eastAsia="Times New Roman" w:hAnsi="Arial" w:cs="Arial"/>
      <w:color w:val="000000"/>
      <w:sz w:val="20"/>
      <w:szCs w:val="20"/>
      <w:lang w:eastAsia="en-GB"/>
    </w:rPr>
  </w:style>
  <w:style w:type="paragraph" w:customStyle="1" w:styleId="prnind40">
    <w:name w:val="prnind40"/>
    <w:basedOn w:val="Normal"/>
    <w:rsid w:val="00C82CBF"/>
    <w:pPr>
      <w:spacing w:before="100" w:beforeAutospacing="1" w:after="100" w:afterAutospacing="1" w:line="240" w:lineRule="auto"/>
      <w:ind w:firstLine="600"/>
    </w:pPr>
    <w:rPr>
      <w:rFonts w:ascii="Arial" w:eastAsia="Times New Roman" w:hAnsi="Arial" w:cs="Arial"/>
      <w:color w:val="000000"/>
      <w:sz w:val="20"/>
      <w:szCs w:val="20"/>
      <w:lang w:eastAsia="en-GB"/>
    </w:rPr>
  </w:style>
  <w:style w:type="paragraph" w:customStyle="1" w:styleId="prnind50">
    <w:name w:val="prnind50"/>
    <w:basedOn w:val="Normal"/>
    <w:rsid w:val="00C82CBF"/>
    <w:pPr>
      <w:spacing w:before="100" w:beforeAutospacing="1" w:after="100" w:afterAutospacing="1" w:line="240" w:lineRule="auto"/>
      <w:ind w:firstLine="750"/>
    </w:pPr>
    <w:rPr>
      <w:rFonts w:ascii="Arial" w:eastAsia="Times New Roman" w:hAnsi="Arial" w:cs="Arial"/>
      <w:color w:val="000000"/>
      <w:sz w:val="20"/>
      <w:szCs w:val="20"/>
      <w:lang w:eastAsia="en-GB"/>
    </w:rPr>
  </w:style>
  <w:style w:type="paragraph" w:customStyle="1" w:styleId="prnind60">
    <w:name w:val="prnind60"/>
    <w:basedOn w:val="Normal"/>
    <w:rsid w:val="00C82CBF"/>
    <w:pPr>
      <w:spacing w:before="100" w:beforeAutospacing="1" w:after="100" w:afterAutospacing="1" w:line="240" w:lineRule="auto"/>
      <w:ind w:firstLine="900"/>
    </w:pPr>
    <w:rPr>
      <w:rFonts w:ascii="Arial" w:eastAsia="Times New Roman" w:hAnsi="Arial" w:cs="Arial"/>
      <w:color w:val="000000"/>
      <w:sz w:val="20"/>
      <w:szCs w:val="20"/>
      <w:lang w:eastAsia="en-GB"/>
    </w:rPr>
  </w:style>
  <w:style w:type="paragraph" w:customStyle="1" w:styleId="prnind70">
    <w:name w:val="prnind70"/>
    <w:basedOn w:val="Normal"/>
    <w:rsid w:val="00C82CBF"/>
    <w:pPr>
      <w:spacing w:before="100" w:beforeAutospacing="1" w:after="100" w:afterAutospacing="1" w:line="240" w:lineRule="auto"/>
      <w:ind w:firstLine="1050"/>
    </w:pPr>
    <w:rPr>
      <w:rFonts w:ascii="Arial" w:eastAsia="Times New Roman" w:hAnsi="Arial" w:cs="Arial"/>
      <w:color w:val="000000"/>
      <w:sz w:val="20"/>
      <w:szCs w:val="20"/>
      <w:lang w:eastAsia="en-GB"/>
    </w:rPr>
  </w:style>
  <w:style w:type="paragraph" w:customStyle="1" w:styleId="prnind80">
    <w:name w:val="prnind80"/>
    <w:basedOn w:val="Normal"/>
    <w:rsid w:val="00C82CBF"/>
    <w:pPr>
      <w:spacing w:before="100" w:beforeAutospacing="1" w:after="100" w:afterAutospacing="1" w:line="240" w:lineRule="auto"/>
      <w:ind w:firstLine="1200"/>
    </w:pPr>
    <w:rPr>
      <w:rFonts w:ascii="Arial" w:eastAsia="Times New Roman" w:hAnsi="Arial" w:cs="Arial"/>
      <w:color w:val="000000"/>
      <w:sz w:val="20"/>
      <w:szCs w:val="20"/>
      <w:lang w:eastAsia="en-GB"/>
    </w:rPr>
  </w:style>
  <w:style w:type="paragraph" w:customStyle="1" w:styleId="prnind90">
    <w:name w:val="prnind90"/>
    <w:basedOn w:val="Normal"/>
    <w:rsid w:val="00C82CBF"/>
    <w:pPr>
      <w:spacing w:before="100" w:beforeAutospacing="1" w:after="100" w:afterAutospacing="1" w:line="240" w:lineRule="auto"/>
      <w:ind w:firstLine="1350"/>
    </w:pPr>
    <w:rPr>
      <w:rFonts w:ascii="Arial" w:eastAsia="Times New Roman" w:hAnsi="Arial" w:cs="Arial"/>
      <w:color w:val="000000"/>
      <w:sz w:val="20"/>
      <w:szCs w:val="20"/>
      <w:lang w:eastAsia="en-GB"/>
    </w:rPr>
  </w:style>
  <w:style w:type="paragraph" w:customStyle="1" w:styleId="prnind100">
    <w:name w:val="prnind100"/>
    <w:basedOn w:val="Normal"/>
    <w:rsid w:val="00C82CBF"/>
    <w:pPr>
      <w:spacing w:before="100" w:beforeAutospacing="1" w:after="100" w:afterAutospacing="1" w:line="240" w:lineRule="auto"/>
      <w:ind w:firstLine="1500"/>
    </w:pPr>
    <w:rPr>
      <w:rFonts w:ascii="Arial" w:eastAsia="Times New Roman" w:hAnsi="Arial" w:cs="Arial"/>
      <w:color w:val="000000"/>
      <w:sz w:val="20"/>
      <w:szCs w:val="20"/>
      <w:lang w:eastAsia="en-GB"/>
    </w:rPr>
  </w:style>
  <w:style w:type="paragraph" w:customStyle="1" w:styleId="prnind110">
    <w:name w:val="prnind110"/>
    <w:basedOn w:val="Normal"/>
    <w:rsid w:val="00C82CBF"/>
    <w:pPr>
      <w:spacing w:before="100" w:beforeAutospacing="1" w:after="100" w:afterAutospacing="1" w:line="240" w:lineRule="auto"/>
      <w:ind w:firstLine="1650"/>
    </w:pPr>
    <w:rPr>
      <w:rFonts w:ascii="Arial" w:eastAsia="Times New Roman" w:hAnsi="Arial" w:cs="Arial"/>
      <w:color w:val="000000"/>
      <w:sz w:val="20"/>
      <w:szCs w:val="20"/>
      <w:lang w:eastAsia="en-GB"/>
    </w:rPr>
  </w:style>
  <w:style w:type="paragraph" w:customStyle="1" w:styleId="prnind120">
    <w:name w:val="prnind120"/>
    <w:basedOn w:val="Normal"/>
    <w:rsid w:val="00C82CBF"/>
    <w:pPr>
      <w:spacing w:before="100" w:beforeAutospacing="1" w:after="100" w:afterAutospacing="1" w:line="240" w:lineRule="auto"/>
      <w:ind w:firstLine="1800"/>
    </w:pPr>
    <w:rPr>
      <w:rFonts w:ascii="Arial" w:eastAsia="Times New Roman" w:hAnsi="Arial" w:cs="Arial"/>
      <w:color w:val="000000"/>
      <w:sz w:val="20"/>
      <w:szCs w:val="20"/>
      <w:lang w:eastAsia="en-GB"/>
    </w:rPr>
  </w:style>
  <w:style w:type="paragraph" w:customStyle="1" w:styleId="prntar">
    <w:name w:val="prntar"/>
    <w:basedOn w:val="Normal"/>
    <w:rsid w:val="00C82CBF"/>
    <w:pPr>
      <w:spacing w:before="100" w:beforeAutospacing="1" w:after="100" w:afterAutospacing="1" w:line="240" w:lineRule="auto"/>
      <w:jc w:val="right"/>
    </w:pPr>
    <w:rPr>
      <w:rFonts w:ascii="Arial" w:eastAsia="Times New Roman" w:hAnsi="Arial" w:cs="Arial"/>
      <w:color w:val="000000"/>
      <w:sz w:val="20"/>
      <w:szCs w:val="20"/>
      <w:lang w:eastAsia="en-GB"/>
    </w:rPr>
  </w:style>
  <w:style w:type="paragraph" w:customStyle="1" w:styleId="prntal">
    <w:name w:val="prntal"/>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tac">
    <w:name w:val="prntac"/>
    <w:basedOn w:val="Normal"/>
    <w:rsid w:val="00C82CBF"/>
    <w:pPr>
      <w:spacing w:before="100" w:beforeAutospacing="1" w:after="100" w:afterAutospacing="1" w:line="240" w:lineRule="auto"/>
      <w:jc w:val="center"/>
    </w:pPr>
    <w:rPr>
      <w:rFonts w:ascii="Arial" w:eastAsia="Times New Roman" w:hAnsi="Arial" w:cs="Arial"/>
      <w:color w:val="000000"/>
      <w:sz w:val="20"/>
      <w:szCs w:val="20"/>
      <w:lang w:eastAsia="en-GB"/>
    </w:rPr>
  </w:style>
  <w:style w:type="paragraph" w:customStyle="1" w:styleId="prntaj">
    <w:name w:val="prntaj"/>
    <w:basedOn w:val="Normal"/>
    <w:rsid w:val="00C82CBF"/>
    <w:pPr>
      <w:spacing w:before="100" w:beforeAutospacing="1" w:after="100" w:afterAutospacing="1" w:line="240" w:lineRule="auto"/>
      <w:jc w:val="both"/>
    </w:pPr>
    <w:rPr>
      <w:rFonts w:ascii="Arial" w:eastAsia="Times New Roman" w:hAnsi="Arial" w:cs="Arial"/>
      <w:color w:val="000000"/>
      <w:sz w:val="20"/>
      <w:szCs w:val="20"/>
      <w:lang w:eastAsia="en-GB"/>
    </w:rPr>
  </w:style>
  <w:style w:type="paragraph" w:customStyle="1" w:styleId="prnvat">
    <w:name w:val="prnvat"/>
    <w:basedOn w:val="Normal"/>
    <w:rsid w:val="00C82CBF"/>
    <w:pPr>
      <w:spacing w:before="100" w:beforeAutospacing="1" w:after="100" w:afterAutospacing="1" w:line="240" w:lineRule="auto"/>
      <w:textAlignment w:val="top"/>
    </w:pPr>
    <w:rPr>
      <w:rFonts w:ascii="Arial" w:eastAsia="Times New Roman" w:hAnsi="Arial" w:cs="Arial"/>
      <w:color w:val="000000"/>
      <w:sz w:val="20"/>
      <w:szCs w:val="20"/>
      <w:lang w:eastAsia="en-GB"/>
    </w:rPr>
  </w:style>
  <w:style w:type="paragraph" w:customStyle="1" w:styleId="prnvab">
    <w:name w:val="prnvab"/>
    <w:basedOn w:val="Normal"/>
    <w:rsid w:val="00C82CBF"/>
    <w:pPr>
      <w:spacing w:before="100" w:beforeAutospacing="1" w:after="100" w:afterAutospacing="1" w:line="240" w:lineRule="auto"/>
      <w:textAlignment w:val="bottom"/>
    </w:pPr>
    <w:rPr>
      <w:rFonts w:ascii="Arial" w:eastAsia="Times New Roman" w:hAnsi="Arial" w:cs="Arial"/>
      <w:color w:val="000000"/>
      <w:sz w:val="20"/>
      <w:szCs w:val="20"/>
      <w:lang w:eastAsia="en-GB"/>
    </w:rPr>
  </w:style>
  <w:style w:type="paragraph" w:customStyle="1" w:styleId="prnvam">
    <w:name w:val="prnvam"/>
    <w:basedOn w:val="Normal"/>
    <w:rsid w:val="00C82CBF"/>
    <w:pPr>
      <w:spacing w:before="100" w:beforeAutospacing="1" w:after="100" w:afterAutospacing="1" w:line="240" w:lineRule="auto"/>
      <w:textAlignment w:val="center"/>
    </w:pPr>
    <w:rPr>
      <w:rFonts w:ascii="Arial" w:eastAsia="Times New Roman" w:hAnsi="Arial" w:cs="Arial"/>
      <w:color w:val="000000"/>
      <w:sz w:val="20"/>
      <w:szCs w:val="20"/>
      <w:lang w:eastAsia="en-GB"/>
    </w:rPr>
  </w:style>
  <w:style w:type="paragraph" w:customStyle="1" w:styleId="prnbrs">
    <w:name w:val="prnbrs"/>
    <w:basedOn w:val="Normal"/>
    <w:rsid w:val="00C82CBF"/>
    <w:pPr>
      <w:pBdr>
        <w:right w:val="single" w:sz="8" w:space="0" w:color="000000"/>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brd">
    <w:name w:val="prnbrd"/>
    <w:basedOn w:val="Normal"/>
    <w:rsid w:val="00C82CBF"/>
    <w:pPr>
      <w:pBdr>
        <w:right w:val="double" w:sz="6" w:space="0" w:color="000000"/>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bls">
    <w:name w:val="prnbls"/>
    <w:basedOn w:val="Normal"/>
    <w:rsid w:val="00C82CBF"/>
    <w:pPr>
      <w:pBdr>
        <w:left w:val="single" w:sz="8" w:space="0" w:color="000000"/>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bld">
    <w:name w:val="prnbld"/>
    <w:basedOn w:val="Normal"/>
    <w:rsid w:val="00C82CBF"/>
    <w:pPr>
      <w:pBdr>
        <w:left w:val="double" w:sz="6" w:space="0" w:color="000000"/>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bbs">
    <w:name w:val="prnbbs"/>
    <w:basedOn w:val="Normal"/>
    <w:rsid w:val="00C82CBF"/>
    <w:pPr>
      <w:pBdr>
        <w:bottom w:val="single" w:sz="8" w:space="0" w:color="000000"/>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bbd">
    <w:name w:val="prnbbd"/>
    <w:basedOn w:val="Normal"/>
    <w:rsid w:val="00C82CBF"/>
    <w:pPr>
      <w:pBdr>
        <w:bottom w:val="double" w:sz="6" w:space="0" w:color="000000"/>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bts">
    <w:name w:val="prnbts"/>
    <w:basedOn w:val="Normal"/>
    <w:rsid w:val="00C82CBF"/>
    <w:pPr>
      <w:pBdr>
        <w:top w:val="single" w:sz="8" w:space="0" w:color="000000"/>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btd">
    <w:name w:val="prnbtd"/>
    <w:basedOn w:val="Normal"/>
    <w:rsid w:val="00C82CBF"/>
    <w:pPr>
      <w:pBdr>
        <w:top w:val="double" w:sz="6" w:space="0" w:color="000000"/>
      </w:pBd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bl1">
    <w:name w:val="prnbl1"/>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br1">
    <w:name w:val="prnbr1"/>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bb1">
    <w:name w:val="prnbb1"/>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bt1">
    <w:name w:val="prnbt1"/>
    <w:basedOn w:val="Normal"/>
    <w:rsid w:val="00C82CBF"/>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prnml2">
    <w:name w:val="prnml2"/>
    <w:basedOn w:val="Normal"/>
    <w:rsid w:val="00C82CBF"/>
    <w:pPr>
      <w:spacing w:before="100" w:beforeAutospacing="1" w:after="100" w:afterAutospacing="1" w:line="240" w:lineRule="auto"/>
      <w:ind w:left="30"/>
    </w:pPr>
    <w:rPr>
      <w:rFonts w:ascii="Arial" w:eastAsia="Times New Roman" w:hAnsi="Arial" w:cs="Arial"/>
      <w:color w:val="000000"/>
      <w:sz w:val="20"/>
      <w:szCs w:val="20"/>
      <w:lang w:eastAsia="en-GB"/>
    </w:rPr>
  </w:style>
  <w:style w:type="paragraph" w:customStyle="1" w:styleId="prnml4">
    <w:name w:val="prnml4"/>
    <w:basedOn w:val="Normal"/>
    <w:rsid w:val="00C82CBF"/>
    <w:pPr>
      <w:spacing w:before="100" w:beforeAutospacing="1" w:after="100" w:afterAutospacing="1" w:line="240" w:lineRule="auto"/>
      <w:ind w:left="60"/>
    </w:pPr>
    <w:rPr>
      <w:rFonts w:ascii="Arial" w:eastAsia="Times New Roman" w:hAnsi="Arial" w:cs="Arial"/>
      <w:color w:val="000000"/>
      <w:sz w:val="20"/>
      <w:szCs w:val="20"/>
      <w:lang w:eastAsia="en-GB"/>
    </w:rPr>
  </w:style>
  <w:style w:type="paragraph" w:customStyle="1" w:styleId="prnml6">
    <w:name w:val="prnml6"/>
    <w:basedOn w:val="Normal"/>
    <w:rsid w:val="00C82CBF"/>
    <w:pPr>
      <w:spacing w:before="100" w:beforeAutospacing="1" w:after="100" w:afterAutospacing="1" w:line="240" w:lineRule="auto"/>
      <w:ind w:left="90"/>
    </w:pPr>
    <w:rPr>
      <w:rFonts w:ascii="Arial" w:eastAsia="Times New Roman" w:hAnsi="Arial" w:cs="Arial"/>
      <w:color w:val="000000"/>
      <w:sz w:val="20"/>
      <w:szCs w:val="20"/>
      <w:lang w:eastAsia="en-GB"/>
    </w:rPr>
  </w:style>
  <w:style w:type="paragraph" w:customStyle="1" w:styleId="prnml8">
    <w:name w:val="prnml8"/>
    <w:basedOn w:val="Normal"/>
    <w:rsid w:val="00C82CBF"/>
    <w:pPr>
      <w:spacing w:before="100" w:beforeAutospacing="1" w:after="100" w:afterAutospacing="1" w:line="240" w:lineRule="auto"/>
      <w:ind w:left="120"/>
    </w:pPr>
    <w:rPr>
      <w:rFonts w:ascii="Arial" w:eastAsia="Times New Roman" w:hAnsi="Arial" w:cs="Arial"/>
      <w:color w:val="000000"/>
      <w:sz w:val="20"/>
      <w:szCs w:val="20"/>
      <w:lang w:eastAsia="en-GB"/>
    </w:rPr>
  </w:style>
  <w:style w:type="paragraph" w:customStyle="1" w:styleId="prnml10">
    <w:name w:val="prnml10"/>
    <w:basedOn w:val="Normal"/>
    <w:rsid w:val="00C82CBF"/>
    <w:pPr>
      <w:spacing w:before="100" w:beforeAutospacing="1" w:after="100" w:afterAutospacing="1" w:line="240" w:lineRule="auto"/>
      <w:ind w:left="150"/>
    </w:pPr>
    <w:rPr>
      <w:rFonts w:ascii="Arial" w:eastAsia="Times New Roman" w:hAnsi="Arial" w:cs="Arial"/>
      <w:color w:val="000000"/>
      <w:sz w:val="20"/>
      <w:szCs w:val="20"/>
      <w:lang w:eastAsia="en-GB"/>
    </w:rPr>
  </w:style>
  <w:style w:type="paragraph" w:customStyle="1" w:styleId="prnml20">
    <w:name w:val="prnml20"/>
    <w:basedOn w:val="Normal"/>
    <w:rsid w:val="00C82CBF"/>
    <w:pPr>
      <w:spacing w:before="100" w:beforeAutospacing="1" w:after="100" w:afterAutospacing="1" w:line="240" w:lineRule="auto"/>
      <w:ind w:left="300"/>
    </w:pPr>
    <w:rPr>
      <w:rFonts w:ascii="Arial" w:eastAsia="Times New Roman" w:hAnsi="Arial" w:cs="Arial"/>
      <w:color w:val="000000"/>
      <w:sz w:val="20"/>
      <w:szCs w:val="20"/>
      <w:lang w:eastAsia="en-GB"/>
    </w:rPr>
  </w:style>
  <w:style w:type="paragraph" w:customStyle="1" w:styleId="prnml30">
    <w:name w:val="prnml30"/>
    <w:basedOn w:val="Normal"/>
    <w:rsid w:val="00C82CBF"/>
    <w:pPr>
      <w:spacing w:before="100" w:beforeAutospacing="1" w:after="100" w:afterAutospacing="1" w:line="240" w:lineRule="auto"/>
      <w:ind w:left="450"/>
    </w:pPr>
    <w:rPr>
      <w:rFonts w:ascii="Arial" w:eastAsia="Times New Roman" w:hAnsi="Arial" w:cs="Arial"/>
      <w:color w:val="000000"/>
      <w:sz w:val="20"/>
      <w:szCs w:val="20"/>
      <w:lang w:eastAsia="en-GB"/>
    </w:rPr>
  </w:style>
  <w:style w:type="paragraph" w:customStyle="1" w:styleId="prnml40">
    <w:name w:val="prnml40"/>
    <w:basedOn w:val="Normal"/>
    <w:rsid w:val="00C82CBF"/>
    <w:pPr>
      <w:spacing w:before="100" w:beforeAutospacing="1" w:after="100" w:afterAutospacing="1" w:line="240" w:lineRule="auto"/>
      <w:ind w:left="600"/>
    </w:pPr>
    <w:rPr>
      <w:rFonts w:ascii="Arial" w:eastAsia="Times New Roman" w:hAnsi="Arial" w:cs="Arial"/>
      <w:color w:val="000000"/>
      <w:sz w:val="20"/>
      <w:szCs w:val="20"/>
      <w:lang w:eastAsia="en-GB"/>
    </w:rPr>
  </w:style>
  <w:style w:type="paragraph" w:customStyle="1" w:styleId="prnml50">
    <w:name w:val="prnml50"/>
    <w:basedOn w:val="Normal"/>
    <w:rsid w:val="00C82CBF"/>
    <w:pPr>
      <w:spacing w:before="100" w:beforeAutospacing="1" w:after="100" w:afterAutospacing="1" w:line="240" w:lineRule="auto"/>
      <w:ind w:left="750"/>
    </w:pPr>
    <w:rPr>
      <w:rFonts w:ascii="Arial" w:eastAsia="Times New Roman" w:hAnsi="Arial" w:cs="Arial"/>
      <w:color w:val="000000"/>
      <w:sz w:val="20"/>
      <w:szCs w:val="20"/>
      <w:lang w:eastAsia="en-GB"/>
    </w:rPr>
  </w:style>
  <w:style w:type="paragraph" w:customStyle="1" w:styleId="prnml60">
    <w:name w:val="prnml60"/>
    <w:basedOn w:val="Normal"/>
    <w:rsid w:val="00C82CBF"/>
    <w:pPr>
      <w:spacing w:before="100" w:beforeAutospacing="1" w:after="100" w:afterAutospacing="1" w:line="240" w:lineRule="auto"/>
      <w:ind w:left="900"/>
    </w:pPr>
    <w:rPr>
      <w:rFonts w:ascii="Arial" w:eastAsia="Times New Roman" w:hAnsi="Arial" w:cs="Arial"/>
      <w:color w:val="000000"/>
      <w:sz w:val="20"/>
      <w:szCs w:val="20"/>
      <w:lang w:eastAsia="en-GB"/>
    </w:rPr>
  </w:style>
  <w:style w:type="paragraph" w:customStyle="1" w:styleId="prnml70">
    <w:name w:val="prnml70"/>
    <w:basedOn w:val="Normal"/>
    <w:rsid w:val="00C82CBF"/>
    <w:pPr>
      <w:spacing w:before="100" w:beforeAutospacing="1" w:after="100" w:afterAutospacing="1" w:line="240" w:lineRule="auto"/>
      <w:ind w:left="1050"/>
    </w:pPr>
    <w:rPr>
      <w:rFonts w:ascii="Arial" w:eastAsia="Times New Roman" w:hAnsi="Arial" w:cs="Arial"/>
      <w:color w:val="000000"/>
      <w:sz w:val="20"/>
      <w:szCs w:val="20"/>
      <w:lang w:eastAsia="en-GB"/>
    </w:rPr>
  </w:style>
  <w:style w:type="paragraph" w:customStyle="1" w:styleId="prnml80">
    <w:name w:val="prnml80"/>
    <w:basedOn w:val="Normal"/>
    <w:rsid w:val="00C82CBF"/>
    <w:pPr>
      <w:spacing w:before="100" w:beforeAutospacing="1" w:after="100" w:afterAutospacing="1" w:line="240" w:lineRule="auto"/>
      <w:ind w:left="1200"/>
    </w:pPr>
    <w:rPr>
      <w:rFonts w:ascii="Arial" w:eastAsia="Times New Roman" w:hAnsi="Arial" w:cs="Arial"/>
      <w:color w:val="000000"/>
      <w:sz w:val="20"/>
      <w:szCs w:val="20"/>
      <w:lang w:eastAsia="en-GB"/>
    </w:rPr>
  </w:style>
  <w:style w:type="paragraph" w:customStyle="1" w:styleId="prnml90">
    <w:name w:val="prnml90"/>
    <w:basedOn w:val="Normal"/>
    <w:rsid w:val="00C82CBF"/>
    <w:pPr>
      <w:spacing w:before="100" w:beforeAutospacing="1" w:after="100" w:afterAutospacing="1" w:line="240" w:lineRule="auto"/>
      <w:ind w:left="1350"/>
    </w:pPr>
    <w:rPr>
      <w:rFonts w:ascii="Arial" w:eastAsia="Times New Roman" w:hAnsi="Arial" w:cs="Arial"/>
      <w:color w:val="000000"/>
      <w:sz w:val="20"/>
      <w:szCs w:val="20"/>
      <w:lang w:eastAsia="en-GB"/>
    </w:rPr>
  </w:style>
  <w:style w:type="paragraph" w:customStyle="1" w:styleId="prnml100">
    <w:name w:val="prnml100"/>
    <w:basedOn w:val="Normal"/>
    <w:rsid w:val="00C82CBF"/>
    <w:pPr>
      <w:spacing w:before="100" w:beforeAutospacing="1" w:after="100" w:afterAutospacing="1" w:line="240" w:lineRule="auto"/>
      <w:ind w:left="1500"/>
    </w:pPr>
    <w:rPr>
      <w:rFonts w:ascii="Arial" w:eastAsia="Times New Roman" w:hAnsi="Arial" w:cs="Arial"/>
      <w:color w:val="000000"/>
      <w:sz w:val="20"/>
      <w:szCs w:val="20"/>
      <w:lang w:eastAsia="en-GB"/>
    </w:rPr>
  </w:style>
  <w:style w:type="paragraph" w:customStyle="1" w:styleId="prnml110">
    <w:name w:val="prnml110"/>
    <w:basedOn w:val="Normal"/>
    <w:rsid w:val="00C82CBF"/>
    <w:pPr>
      <w:spacing w:before="100" w:beforeAutospacing="1" w:after="100" w:afterAutospacing="1" w:line="240" w:lineRule="auto"/>
      <w:ind w:left="1650"/>
    </w:pPr>
    <w:rPr>
      <w:rFonts w:ascii="Arial" w:eastAsia="Times New Roman" w:hAnsi="Arial" w:cs="Arial"/>
      <w:color w:val="000000"/>
      <w:sz w:val="20"/>
      <w:szCs w:val="20"/>
      <w:lang w:eastAsia="en-GB"/>
    </w:rPr>
  </w:style>
  <w:style w:type="paragraph" w:customStyle="1" w:styleId="prnml120">
    <w:name w:val="prnml120"/>
    <w:basedOn w:val="Normal"/>
    <w:rsid w:val="00C82CBF"/>
    <w:pPr>
      <w:spacing w:before="100" w:beforeAutospacing="1" w:after="100" w:afterAutospacing="1" w:line="240" w:lineRule="auto"/>
      <w:ind w:left="1800"/>
    </w:pPr>
    <w:rPr>
      <w:rFonts w:ascii="Arial" w:eastAsia="Times New Roman" w:hAnsi="Arial" w:cs="Arial"/>
      <w:color w:val="000000"/>
      <w:sz w:val="20"/>
      <w:szCs w:val="20"/>
      <w:lang w:eastAsia="en-GB"/>
    </w:rPr>
  </w:style>
  <w:style w:type="paragraph" w:customStyle="1" w:styleId="prnmr2">
    <w:name w:val="prnmr2"/>
    <w:basedOn w:val="Normal"/>
    <w:rsid w:val="00C82CBF"/>
    <w:pPr>
      <w:spacing w:before="100" w:beforeAutospacing="1" w:after="100" w:afterAutospacing="1" w:line="240" w:lineRule="auto"/>
      <w:ind w:right="30"/>
    </w:pPr>
    <w:rPr>
      <w:rFonts w:ascii="Arial" w:eastAsia="Times New Roman" w:hAnsi="Arial" w:cs="Arial"/>
      <w:color w:val="000000"/>
      <w:sz w:val="20"/>
      <w:szCs w:val="20"/>
      <w:lang w:eastAsia="en-GB"/>
    </w:rPr>
  </w:style>
  <w:style w:type="paragraph" w:customStyle="1" w:styleId="prnmr4">
    <w:name w:val="prnmr4"/>
    <w:basedOn w:val="Normal"/>
    <w:rsid w:val="00C82CBF"/>
    <w:pPr>
      <w:spacing w:before="100" w:beforeAutospacing="1" w:after="100" w:afterAutospacing="1" w:line="240" w:lineRule="auto"/>
      <w:ind w:right="60"/>
    </w:pPr>
    <w:rPr>
      <w:rFonts w:ascii="Arial" w:eastAsia="Times New Roman" w:hAnsi="Arial" w:cs="Arial"/>
      <w:color w:val="000000"/>
      <w:sz w:val="20"/>
      <w:szCs w:val="20"/>
      <w:lang w:eastAsia="en-GB"/>
    </w:rPr>
  </w:style>
  <w:style w:type="paragraph" w:customStyle="1" w:styleId="prnmr6">
    <w:name w:val="prnmr6"/>
    <w:basedOn w:val="Normal"/>
    <w:rsid w:val="00C82CBF"/>
    <w:pPr>
      <w:spacing w:before="100" w:beforeAutospacing="1" w:after="100" w:afterAutospacing="1" w:line="240" w:lineRule="auto"/>
      <w:ind w:right="90"/>
    </w:pPr>
    <w:rPr>
      <w:rFonts w:ascii="Arial" w:eastAsia="Times New Roman" w:hAnsi="Arial" w:cs="Arial"/>
      <w:color w:val="000000"/>
      <w:sz w:val="20"/>
      <w:szCs w:val="20"/>
      <w:lang w:eastAsia="en-GB"/>
    </w:rPr>
  </w:style>
  <w:style w:type="paragraph" w:customStyle="1" w:styleId="prnmr8">
    <w:name w:val="prnmr8"/>
    <w:basedOn w:val="Normal"/>
    <w:rsid w:val="00C82CBF"/>
    <w:pPr>
      <w:spacing w:before="100" w:beforeAutospacing="1" w:after="100" w:afterAutospacing="1" w:line="240" w:lineRule="auto"/>
      <w:ind w:right="120"/>
    </w:pPr>
    <w:rPr>
      <w:rFonts w:ascii="Arial" w:eastAsia="Times New Roman" w:hAnsi="Arial" w:cs="Arial"/>
      <w:color w:val="000000"/>
      <w:sz w:val="20"/>
      <w:szCs w:val="20"/>
      <w:lang w:eastAsia="en-GB"/>
    </w:rPr>
  </w:style>
  <w:style w:type="paragraph" w:customStyle="1" w:styleId="prnmr10">
    <w:name w:val="prnmr10"/>
    <w:basedOn w:val="Normal"/>
    <w:rsid w:val="00C82CBF"/>
    <w:pPr>
      <w:spacing w:before="100" w:beforeAutospacing="1" w:after="100" w:afterAutospacing="1" w:line="240" w:lineRule="auto"/>
      <w:ind w:right="150"/>
    </w:pPr>
    <w:rPr>
      <w:rFonts w:ascii="Arial" w:eastAsia="Times New Roman" w:hAnsi="Arial" w:cs="Arial"/>
      <w:color w:val="000000"/>
      <w:sz w:val="20"/>
      <w:szCs w:val="20"/>
      <w:lang w:eastAsia="en-GB"/>
    </w:rPr>
  </w:style>
  <w:style w:type="paragraph" w:customStyle="1" w:styleId="prnmr20">
    <w:name w:val="prnmr20"/>
    <w:basedOn w:val="Normal"/>
    <w:rsid w:val="00C82CBF"/>
    <w:pPr>
      <w:spacing w:before="100" w:beforeAutospacing="1" w:after="100" w:afterAutospacing="1" w:line="240" w:lineRule="auto"/>
      <w:ind w:right="300"/>
    </w:pPr>
    <w:rPr>
      <w:rFonts w:ascii="Arial" w:eastAsia="Times New Roman" w:hAnsi="Arial" w:cs="Arial"/>
      <w:color w:val="000000"/>
      <w:sz w:val="20"/>
      <w:szCs w:val="20"/>
      <w:lang w:eastAsia="en-GB"/>
    </w:rPr>
  </w:style>
  <w:style w:type="paragraph" w:customStyle="1" w:styleId="prnmr30">
    <w:name w:val="prnmr30"/>
    <w:basedOn w:val="Normal"/>
    <w:rsid w:val="00C82CBF"/>
    <w:pPr>
      <w:spacing w:before="100" w:beforeAutospacing="1" w:after="100" w:afterAutospacing="1" w:line="240" w:lineRule="auto"/>
      <w:ind w:right="450"/>
    </w:pPr>
    <w:rPr>
      <w:rFonts w:ascii="Arial" w:eastAsia="Times New Roman" w:hAnsi="Arial" w:cs="Arial"/>
      <w:color w:val="000000"/>
      <w:sz w:val="20"/>
      <w:szCs w:val="20"/>
      <w:lang w:eastAsia="en-GB"/>
    </w:rPr>
  </w:style>
  <w:style w:type="paragraph" w:customStyle="1" w:styleId="prnmr40">
    <w:name w:val="prnmr40"/>
    <w:basedOn w:val="Normal"/>
    <w:rsid w:val="00C82CBF"/>
    <w:pPr>
      <w:spacing w:before="100" w:beforeAutospacing="1" w:after="100" w:afterAutospacing="1" w:line="240" w:lineRule="auto"/>
      <w:ind w:right="600"/>
    </w:pPr>
    <w:rPr>
      <w:rFonts w:ascii="Arial" w:eastAsia="Times New Roman" w:hAnsi="Arial" w:cs="Arial"/>
      <w:color w:val="000000"/>
      <w:sz w:val="20"/>
      <w:szCs w:val="20"/>
      <w:lang w:eastAsia="en-GB"/>
    </w:rPr>
  </w:style>
  <w:style w:type="paragraph" w:customStyle="1" w:styleId="prnmr50">
    <w:name w:val="prnmr50"/>
    <w:basedOn w:val="Normal"/>
    <w:rsid w:val="00C82CBF"/>
    <w:pPr>
      <w:spacing w:before="100" w:beforeAutospacing="1" w:after="100" w:afterAutospacing="1" w:line="240" w:lineRule="auto"/>
      <w:ind w:right="750"/>
    </w:pPr>
    <w:rPr>
      <w:rFonts w:ascii="Arial" w:eastAsia="Times New Roman" w:hAnsi="Arial" w:cs="Arial"/>
      <w:color w:val="000000"/>
      <w:sz w:val="20"/>
      <w:szCs w:val="20"/>
      <w:lang w:eastAsia="en-GB"/>
    </w:rPr>
  </w:style>
  <w:style w:type="paragraph" w:customStyle="1" w:styleId="prnmr60">
    <w:name w:val="prnmr60"/>
    <w:basedOn w:val="Normal"/>
    <w:rsid w:val="00C82CBF"/>
    <w:pPr>
      <w:spacing w:before="100" w:beforeAutospacing="1" w:after="100" w:afterAutospacing="1" w:line="240" w:lineRule="auto"/>
      <w:ind w:right="900"/>
    </w:pPr>
    <w:rPr>
      <w:rFonts w:ascii="Arial" w:eastAsia="Times New Roman" w:hAnsi="Arial" w:cs="Arial"/>
      <w:color w:val="000000"/>
      <w:sz w:val="20"/>
      <w:szCs w:val="20"/>
      <w:lang w:eastAsia="en-GB"/>
    </w:rPr>
  </w:style>
  <w:style w:type="paragraph" w:customStyle="1" w:styleId="prnmr70">
    <w:name w:val="prnmr70"/>
    <w:basedOn w:val="Normal"/>
    <w:rsid w:val="00C82CBF"/>
    <w:pPr>
      <w:spacing w:before="100" w:beforeAutospacing="1" w:after="100" w:afterAutospacing="1" w:line="240" w:lineRule="auto"/>
      <w:ind w:right="1050"/>
    </w:pPr>
    <w:rPr>
      <w:rFonts w:ascii="Arial" w:eastAsia="Times New Roman" w:hAnsi="Arial" w:cs="Arial"/>
      <w:color w:val="000000"/>
      <w:sz w:val="20"/>
      <w:szCs w:val="20"/>
      <w:lang w:eastAsia="en-GB"/>
    </w:rPr>
  </w:style>
  <w:style w:type="paragraph" w:customStyle="1" w:styleId="prnmr80">
    <w:name w:val="prnmr80"/>
    <w:basedOn w:val="Normal"/>
    <w:rsid w:val="00C82CBF"/>
    <w:pPr>
      <w:spacing w:before="100" w:beforeAutospacing="1" w:after="100" w:afterAutospacing="1" w:line="240" w:lineRule="auto"/>
      <w:ind w:right="1200"/>
    </w:pPr>
    <w:rPr>
      <w:rFonts w:ascii="Arial" w:eastAsia="Times New Roman" w:hAnsi="Arial" w:cs="Arial"/>
      <w:color w:val="000000"/>
      <w:sz w:val="20"/>
      <w:szCs w:val="20"/>
      <w:lang w:eastAsia="en-GB"/>
    </w:rPr>
  </w:style>
  <w:style w:type="paragraph" w:customStyle="1" w:styleId="prnmr90">
    <w:name w:val="prnmr90"/>
    <w:basedOn w:val="Normal"/>
    <w:rsid w:val="00C82CBF"/>
    <w:pPr>
      <w:spacing w:before="100" w:beforeAutospacing="1" w:after="100" w:afterAutospacing="1" w:line="240" w:lineRule="auto"/>
      <w:ind w:right="1350"/>
    </w:pPr>
    <w:rPr>
      <w:rFonts w:ascii="Arial" w:eastAsia="Times New Roman" w:hAnsi="Arial" w:cs="Arial"/>
      <w:color w:val="000000"/>
      <w:sz w:val="20"/>
      <w:szCs w:val="20"/>
      <w:lang w:eastAsia="en-GB"/>
    </w:rPr>
  </w:style>
  <w:style w:type="paragraph" w:customStyle="1" w:styleId="prnmr100">
    <w:name w:val="prnmr100"/>
    <w:basedOn w:val="Normal"/>
    <w:rsid w:val="00C82CBF"/>
    <w:pPr>
      <w:spacing w:before="100" w:beforeAutospacing="1" w:after="100" w:afterAutospacing="1" w:line="240" w:lineRule="auto"/>
      <w:ind w:right="1500"/>
    </w:pPr>
    <w:rPr>
      <w:rFonts w:ascii="Arial" w:eastAsia="Times New Roman" w:hAnsi="Arial" w:cs="Arial"/>
      <w:color w:val="000000"/>
      <w:sz w:val="20"/>
      <w:szCs w:val="20"/>
      <w:lang w:eastAsia="en-GB"/>
    </w:rPr>
  </w:style>
  <w:style w:type="paragraph" w:customStyle="1" w:styleId="prnmr110">
    <w:name w:val="prnmr110"/>
    <w:basedOn w:val="Normal"/>
    <w:rsid w:val="00C82CBF"/>
    <w:pPr>
      <w:spacing w:before="100" w:beforeAutospacing="1" w:after="100" w:afterAutospacing="1" w:line="240" w:lineRule="auto"/>
      <w:ind w:right="1650"/>
    </w:pPr>
    <w:rPr>
      <w:rFonts w:ascii="Arial" w:eastAsia="Times New Roman" w:hAnsi="Arial" w:cs="Arial"/>
      <w:color w:val="000000"/>
      <w:sz w:val="20"/>
      <w:szCs w:val="20"/>
      <w:lang w:eastAsia="en-GB"/>
    </w:rPr>
  </w:style>
  <w:style w:type="paragraph" w:customStyle="1" w:styleId="prnmr120">
    <w:name w:val="prnmr120"/>
    <w:basedOn w:val="Normal"/>
    <w:rsid w:val="00C82CBF"/>
    <w:pPr>
      <w:spacing w:before="100" w:beforeAutospacing="1" w:after="100" w:afterAutospacing="1" w:line="240" w:lineRule="auto"/>
      <w:ind w:right="1800"/>
    </w:pPr>
    <w:rPr>
      <w:rFonts w:ascii="Arial" w:eastAsia="Times New Roman" w:hAnsi="Arial" w:cs="Arial"/>
      <w:color w:val="000000"/>
      <w:sz w:val="20"/>
      <w:szCs w:val="20"/>
      <w:lang w:eastAsia="en-GB"/>
    </w:rPr>
  </w:style>
  <w:style w:type="character" w:customStyle="1" w:styleId="prnewsspan">
    <w:name w:val="prnews_span"/>
    <w:basedOn w:val="DefaultParagraphFont"/>
    <w:rsid w:val="00C82CBF"/>
    <w:rPr>
      <w:rFonts w:ascii="Arial" w:hAnsi="Arial" w:cs="Arial" w:hint="default"/>
      <w:color w:val="000000"/>
      <w:sz w:val="16"/>
      <w:szCs w:val="16"/>
    </w:rPr>
  </w:style>
  <w:style w:type="paragraph" w:customStyle="1" w:styleId="prnewsli">
    <w:name w:val="prnews_li"/>
    <w:basedOn w:val="Normal"/>
    <w:rsid w:val="00C82CBF"/>
    <w:pPr>
      <w:spacing w:before="100" w:beforeAutospacing="1" w:after="100" w:afterAutospacing="1" w:line="240" w:lineRule="auto"/>
    </w:pPr>
    <w:rPr>
      <w:rFonts w:ascii="Arial" w:eastAsia="Times New Roman" w:hAnsi="Arial" w:cs="Arial"/>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58991">
      <w:bodyDiv w:val="1"/>
      <w:marLeft w:val="15"/>
      <w:marRight w:val="15"/>
      <w:marTop w:val="15"/>
      <w:marBottom w:val="15"/>
      <w:divBdr>
        <w:top w:val="none" w:sz="0" w:space="0" w:color="auto"/>
        <w:left w:val="none" w:sz="0" w:space="0" w:color="auto"/>
        <w:bottom w:val="none" w:sz="0" w:space="0" w:color="auto"/>
        <w:right w:val="none" w:sz="0" w:space="0" w:color="auto"/>
      </w:divBdr>
      <w:divsChild>
        <w:div w:id="700516181">
          <w:marLeft w:val="0"/>
          <w:marRight w:val="0"/>
          <w:marTop w:val="0"/>
          <w:marBottom w:val="0"/>
          <w:divBdr>
            <w:top w:val="none" w:sz="0" w:space="0" w:color="auto"/>
            <w:left w:val="none" w:sz="0" w:space="0" w:color="auto"/>
            <w:bottom w:val="none" w:sz="0" w:space="0" w:color="auto"/>
            <w:right w:val="none" w:sz="0" w:space="0" w:color="auto"/>
          </w:divBdr>
        </w:div>
        <w:div w:id="1221476602">
          <w:marLeft w:val="0"/>
          <w:marRight w:val="0"/>
          <w:marTop w:val="0"/>
          <w:marBottom w:val="0"/>
          <w:divBdr>
            <w:top w:val="none" w:sz="0" w:space="0" w:color="auto"/>
            <w:left w:val="none" w:sz="0" w:space="0" w:color="auto"/>
            <w:bottom w:val="none" w:sz="0" w:space="0" w:color="auto"/>
            <w:right w:val="none" w:sz="0" w:space="0" w:color="auto"/>
          </w:divBdr>
        </w:div>
        <w:div w:id="394940663">
          <w:marLeft w:val="0"/>
          <w:marRight w:val="0"/>
          <w:marTop w:val="0"/>
          <w:marBottom w:val="0"/>
          <w:divBdr>
            <w:top w:val="none" w:sz="0" w:space="0" w:color="auto"/>
            <w:left w:val="none" w:sz="0" w:space="0" w:color="auto"/>
            <w:bottom w:val="none" w:sz="0" w:space="0" w:color="auto"/>
            <w:right w:val="none" w:sz="0" w:space="0" w:color="auto"/>
          </w:divBdr>
        </w:div>
        <w:div w:id="2134322137">
          <w:marLeft w:val="0"/>
          <w:marRight w:val="0"/>
          <w:marTop w:val="0"/>
          <w:marBottom w:val="0"/>
          <w:divBdr>
            <w:top w:val="none" w:sz="0" w:space="0" w:color="auto"/>
            <w:left w:val="none" w:sz="0" w:space="0" w:color="auto"/>
            <w:bottom w:val="none" w:sz="0" w:space="0" w:color="auto"/>
            <w:right w:val="none" w:sz="0" w:space="0" w:color="auto"/>
          </w:divBdr>
        </w:div>
        <w:div w:id="419375746">
          <w:marLeft w:val="0"/>
          <w:marRight w:val="0"/>
          <w:marTop w:val="0"/>
          <w:marBottom w:val="0"/>
          <w:divBdr>
            <w:top w:val="none" w:sz="0" w:space="0" w:color="auto"/>
            <w:left w:val="none" w:sz="0" w:space="0" w:color="auto"/>
            <w:bottom w:val="none" w:sz="0" w:space="0" w:color="auto"/>
            <w:right w:val="none" w:sz="0" w:space="0" w:color="auto"/>
          </w:divBdr>
        </w:div>
        <w:div w:id="113988907">
          <w:marLeft w:val="0"/>
          <w:marRight w:val="0"/>
          <w:marTop w:val="0"/>
          <w:marBottom w:val="0"/>
          <w:divBdr>
            <w:top w:val="none" w:sz="0" w:space="0" w:color="auto"/>
            <w:left w:val="none" w:sz="0" w:space="0" w:color="auto"/>
            <w:bottom w:val="none" w:sz="0" w:space="0" w:color="auto"/>
            <w:right w:val="none" w:sz="0" w:space="0" w:color="auto"/>
          </w:divBdr>
        </w:div>
        <w:div w:id="1857183627">
          <w:marLeft w:val="0"/>
          <w:marRight w:val="0"/>
          <w:marTop w:val="0"/>
          <w:marBottom w:val="0"/>
          <w:divBdr>
            <w:top w:val="none" w:sz="0" w:space="0" w:color="auto"/>
            <w:left w:val="none" w:sz="0" w:space="0" w:color="auto"/>
            <w:bottom w:val="none" w:sz="0" w:space="0" w:color="auto"/>
            <w:right w:val="none" w:sz="0" w:space="0" w:color="auto"/>
          </w:divBdr>
        </w:div>
        <w:div w:id="104622079">
          <w:marLeft w:val="0"/>
          <w:marRight w:val="0"/>
          <w:marTop w:val="0"/>
          <w:marBottom w:val="0"/>
          <w:divBdr>
            <w:top w:val="none" w:sz="0" w:space="0" w:color="auto"/>
            <w:left w:val="none" w:sz="0" w:space="0" w:color="auto"/>
            <w:bottom w:val="none" w:sz="0" w:space="0" w:color="auto"/>
            <w:right w:val="none" w:sz="0" w:space="0" w:color="auto"/>
          </w:divBdr>
        </w:div>
        <w:div w:id="794064336">
          <w:marLeft w:val="0"/>
          <w:marRight w:val="0"/>
          <w:marTop w:val="0"/>
          <w:marBottom w:val="0"/>
          <w:divBdr>
            <w:top w:val="none" w:sz="0" w:space="0" w:color="auto"/>
            <w:left w:val="none" w:sz="0" w:space="0" w:color="auto"/>
            <w:bottom w:val="none" w:sz="0" w:space="0" w:color="auto"/>
            <w:right w:val="none" w:sz="0" w:space="0" w:color="auto"/>
          </w:divBdr>
        </w:div>
        <w:div w:id="1767530292">
          <w:marLeft w:val="0"/>
          <w:marRight w:val="0"/>
          <w:marTop w:val="0"/>
          <w:marBottom w:val="0"/>
          <w:divBdr>
            <w:top w:val="none" w:sz="0" w:space="0" w:color="auto"/>
            <w:left w:val="none" w:sz="0" w:space="0" w:color="auto"/>
            <w:bottom w:val="none" w:sz="0" w:space="0" w:color="auto"/>
            <w:right w:val="none" w:sz="0" w:space="0" w:color="auto"/>
          </w:divBdr>
        </w:div>
        <w:div w:id="1445929252">
          <w:marLeft w:val="0"/>
          <w:marRight w:val="0"/>
          <w:marTop w:val="0"/>
          <w:marBottom w:val="0"/>
          <w:divBdr>
            <w:top w:val="none" w:sz="0" w:space="0" w:color="auto"/>
            <w:left w:val="none" w:sz="0" w:space="0" w:color="auto"/>
            <w:bottom w:val="none" w:sz="0" w:space="0" w:color="auto"/>
            <w:right w:val="none" w:sz="0" w:space="0" w:color="auto"/>
          </w:divBdr>
        </w:div>
        <w:div w:id="1573345293">
          <w:marLeft w:val="0"/>
          <w:marRight w:val="0"/>
          <w:marTop w:val="0"/>
          <w:marBottom w:val="0"/>
          <w:divBdr>
            <w:top w:val="none" w:sz="0" w:space="0" w:color="auto"/>
            <w:left w:val="none" w:sz="0" w:space="0" w:color="auto"/>
            <w:bottom w:val="none" w:sz="0" w:space="0" w:color="auto"/>
            <w:right w:val="none" w:sz="0" w:space="0" w:color="auto"/>
          </w:divBdr>
        </w:div>
        <w:div w:id="1129859029">
          <w:marLeft w:val="0"/>
          <w:marRight w:val="0"/>
          <w:marTop w:val="0"/>
          <w:marBottom w:val="0"/>
          <w:divBdr>
            <w:top w:val="none" w:sz="0" w:space="0" w:color="auto"/>
            <w:left w:val="none" w:sz="0" w:space="0" w:color="auto"/>
            <w:bottom w:val="none" w:sz="0" w:space="0" w:color="auto"/>
            <w:right w:val="none" w:sz="0" w:space="0" w:color="auto"/>
          </w:divBdr>
        </w:div>
        <w:div w:id="551622170">
          <w:marLeft w:val="0"/>
          <w:marRight w:val="0"/>
          <w:marTop w:val="0"/>
          <w:marBottom w:val="0"/>
          <w:divBdr>
            <w:top w:val="none" w:sz="0" w:space="0" w:color="auto"/>
            <w:left w:val="none" w:sz="0" w:space="0" w:color="auto"/>
            <w:bottom w:val="none" w:sz="0" w:space="0" w:color="auto"/>
            <w:right w:val="none" w:sz="0" w:space="0" w:color="auto"/>
          </w:divBdr>
        </w:div>
        <w:div w:id="899562497">
          <w:marLeft w:val="0"/>
          <w:marRight w:val="0"/>
          <w:marTop w:val="0"/>
          <w:marBottom w:val="0"/>
          <w:divBdr>
            <w:top w:val="none" w:sz="0" w:space="0" w:color="auto"/>
            <w:left w:val="none" w:sz="0" w:space="0" w:color="auto"/>
            <w:bottom w:val="none" w:sz="0" w:space="0" w:color="auto"/>
            <w:right w:val="none" w:sz="0" w:space="0" w:color="auto"/>
          </w:divBdr>
        </w:div>
        <w:div w:id="1461921071">
          <w:marLeft w:val="0"/>
          <w:marRight w:val="0"/>
          <w:marTop w:val="0"/>
          <w:marBottom w:val="0"/>
          <w:divBdr>
            <w:top w:val="none" w:sz="0" w:space="0" w:color="auto"/>
            <w:left w:val="none" w:sz="0" w:space="0" w:color="auto"/>
            <w:bottom w:val="none" w:sz="0" w:space="0" w:color="auto"/>
            <w:right w:val="none" w:sz="0" w:space="0" w:color="auto"/>
          </w:divBdr>
        </w:div>
        <w:div w:id="776020864">
          <w:marLeft w:val="0"/>
          <w:marRight w:val="0"/>
          <w:marTop w:val="0"/>
          <w:marBottom w:val="0"/>
          <w:divBdr>
            <w:top w:val="none" w:sz="0" w:space="0" w:color="auto"/>
            <w:left w:val="none" w:sz="0" w:space="0" w:color="auto"/>
            <w:bottom w:val="none" w:sz="0" w:space="0" w:color="auto"/>
            <w:right w:val="none" w:sz="0" w:space="0" w:color="auto"/>
          </w:divBdr>
        </w:div>
        <w:div w:id="947202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cast.openbriefing.com/pharming-aug21/" TargetMode="External"/><Relationship Id="rId3" Type="http://schemas.openxmlformats.org/officeDocument/2006/relationships/settings" Target="settings.xml"/><Relationship Id="rId7" Type="http://schemas.openxmlformats.org/officeDocument/2006/relationships/hyperlink" Target="mailto:pharming@lifespri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arming.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ma.prnewswire.com/media/1454235/Pharming_Group_NV_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6022</Words>
  <Characters>34327</Characters>
  <Application>Microsoft Office Word</Application>
  <DocSecurity>0</DocSecurity>
  <Lines>286</Lines>
  <Paragraphs>80</Paragraphs>
  <ScaleCrop>false</ScaleCrop>
  <Company/>
  <LinksUpToDate>false</LinksUpToDate>
  <CharactersWithSpaces>40269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 DSilva</dc:creator>
  <cp:keywords/>
  <dc:description/>
  <cp:lastModifiedBy>Ashwin DSilva</cp:lastModifiedBy>
  <cp:revision>2</cp:revision>
  <dcterms:created xsi:type="dcterms:W3CDTF">2021-08-05T05:11:00Z</dcterms:created>
  <dcterms:modified xsi:type="dcterms:W3CDTF">2021-08-05T05:15:00Z</dcterms:modified>
</cp:coreProperties>
</file>