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371DA" w14:textId="77777777" w:rsidR="005A6660" w:rsidRPr="005A6660" w:rsidRDefault="005A6660" w:rsidP="005A6660">
      <w:pPr>
        <w:spacing w:before="100" w:beforeAutospacing="1" w:after="100" w:afterAutospacing="1" w:line="240" w:lineRule="auto"/>
        <w:jc w:val="center"/>
        <w:rPr>
          <w:rFonts w:ascii="Arial" w:eastAsia="Times New Roman" w:hAnsi="Arial" w:cs="Arial"/>
          <w:color w:val="000000"/>
          <w:sz w:val="20"/>
          <w:szCs w:val="20"/>
        </w:rPr>
      </w:pPr>
      <w:r w:rsidRPr="005A6660">
        <w:rPr>
          <w:rFonts w:ascii="Arial" w:eastAsia="Times New Roman" w:hAnsi="Arial" w:cs="Arial"/>
          <w:b/>
          <w:bCs/>
          <w:color w:val="000000"/>
          <w:sz w:val="20"/>
          <w:szCs w:val="20"/>
        </w:rPr>
        <w:br/>
        <w:t>Pharming Group reports financial results for full year 2021</w:t>
      </w:r>
    </w:p>
    <w:p w14:paraId="5F136659" w14:textId="77777777" w:rsidR="005A6660" w:rsidRPr="005A6660" w:rsidRDefault="005A6660" w:rsidP="005A6660">
      <w:pPr>
        <w:spacing w:before="100" w:beforeAutospacing="1" w:after="100" w:afterAutospacing="1" w:line="240" w:lineRule="auto"/>
        <w:jc w:val="center"/>
        <w:rPr>
          <w:rFonts w:ascii="Arial" w:eastAsia="Times New Roman" w:hAnsi="Arial" w:cs="Arial"/>
          <w:color w:val="000000"/>
          <w:sz w:val="20"/>
          <w:szCs w:val="20"/>
        </w:rPr>
      </w:pPr>
      <w:r w:rsidRPr="005A6660">
        <w:rPr>
          <w:rFonts w:ascii="Arial" w:eastAsia="Times New Roman" w:hAnsi="Arial" w:cs="Arial"/>
          <w:b/>
          <w:bCs/>
          <w:i/>
          <w:iCs/>
          <w:color w:val="000000"/>
          <w:sz w:val="20"/>
          <w:szCs w:val="20"/>
        </w:rPr>
        <w:t>Patient enrollment and product demand driving revenue recovery throughout 2021 following Q1 2021 Covid-19 impact</w:t>
      </w:r>
    </w:p>
    <w:p w14:paraId="064A6058" w14:textId="77777777" w:rsidR="005A6660" w:rsidRPr="005A6660" w:rsidRDefault="005A6660" w:rsidP="005A6660">
      <w:pPr>
        <w:spacing w:before="100" w:beforeAutospacing="1" w:after="100" w:afterAutospacing="1" w:line="240" w:lineRule="auto"/>
        <w:jc w:val="center"/>
        <w:rPr>
          <w:rFonts w:ascii="Arial" w:eastAsia="Times New Roman" w:hAnsi="Arial" w:cs="Arial"/>
          <w:color w:val="000000"/>
          <w:sz w:val="20"/>
          <w:szCs w:val="20"/>
        </w:rPr>
      </w:pPr>
      <w:r w:rsidRPr="005A6660">
        <w:rPr>
          <w:rFonts w:ascii="Arial" w:eastAsia="Times New Roman" w:hAnsi="Arial" w:cs="Arial"/>
          <w:b/>
          <w:bCs/>
          <w:i/>
          <w:iCs/>
          <w:color w:val="000000"/>
          <w:sz w:val="20"/>
          <w:szCs w:val="20"/>
        </w:rPr>
        <w:t>Quarterly US revenues continue to recover and increased 3% in Q4 to US$52.4 million, bringing total US annual sales to US$193.4 million, a 5% decrease compared to the previous year</w:t>
      </w:r>
    </w:p>
    <w:p w14:paraId="6E5EC025" w14:textId="77777777" w:rsidR="005A6660" w:rsidRPr="005A6660" w:rsidRDefault="005A6660" w:rsidP="005A6660">
      <w:pPr>
        <w:spacing w:before="100" w:beforeAutospacing="1" w:after="100" w:afterAutospacing="1" w:line="240" w:lineRule="auto"/>
        <w:jc w:val="center"/>
        <w:rPr>
          <w:rFonts w:ascii="Arial" w:eastAsia="Times New Roman" w:hAnsi="Arial" w:cs="Arial"/>
          <w:color w:val="000000"/>
          <w:sz w:val="20"/>
          <w:szCs w:val="20"/>
        </w:rPr>
      </w:pPr>
      <w:r w:rsidRPr="005A6660">
        <w:rPr>
          <w:rFonts w:ascii="Arial" w:eastAsia="Times New Roman" w:hAnsi="Arial" w:cs="Arial"/>
          <w:b/>
          <w:bCs/>
          <w:i/>
          <w:iCs/>
          <w:color w:val="000000"/>
          <w:sz w:val="20"/>
          <w:szCs w:val="20"/>
        </w:rPr>
        <w:t>Operating profit impacted by upfront payment for in-licensing of OTL-105, investments in company growth, and one-off impairment costs</w:t>
      </w:r>
    </w:p>
    <w:p w14:paraId="43FE43C7" w14:textId="77777777" w:rsidR="005A6660" w:rsidRPr="005A6660" w:rsidRDefault="005A6660" w:rsidP="005A6660">
      <w:pPr>
        <w:spacing w:before="100" w:beforeAutospacing="1" w:after="100" w:afterAutospacing="1" w:line="240" w:lineRule="auto"/>
        <w:jc w:val="center"/>
        <w:rPr>
          <w:rFonts w:ascii="Arial" w:eastAsia="Times New Roman" w:hAnsi="Arial" w:cs="Arial"/>
          <w:color w:val="000000"/>
          <w:sz w:val="20"/>
          <w:szCs w:val="20"/>
        </w:rPr>
      </w:pPr>
      <w:r w:rsidRPr="005A6660">
        <w:rPr>
          <w:rFonts w:ascii="Arial" w:eastAsia="Times New Roman" w:hAnsi="Arial" w:cs="Arial"/>
          <w:b/>
          <w:bCs/>
          <w:i/>
          <w:iCs/>
          <w:color w:val="000000"/>
          <w:sz w:val="20"/>
          <w:szCs w:val="20"/>
        </w:rPr>
        <w:t xml:space="preserve">Strong cash flow from operations enabling investment in pipeline to support long-term growth, including launch of </w:t>
      </w:r>
      <w:proofErr w:type="spellStart"/>
      <w:r w:rsidRPr="005A6660">
        <w:rPr>
          <w:rFonts w:ascii="Arial" w:eastAsia="Times New Roman" w:hAnsi="Arial" w:cs="Arial"/>
          <w:b/>
          <w:bCs/>
          <w:i/>
          <w:iCs/>
          <w:color w:val="000000"/>
          <w:sz w:val="20"/>
          <w:szCs w:val="20"/>
        </w:rPr>
        <w:t>leniolisib</w:t>
      </w:r>
      <w:proofErr w:type="spellEnd"/>
      <w:r w:rsidRPr="005A6660">
        <w:rPr>
          <w:rFonts w:ascii="Arial" w:eastAsia="Times New Roman" w:hAnsi="Arial" w:cs="Arial"/>
          <w:b/>
          <w:bCs/>
          <w:i/>
          <w:iCs/>
          <w:color w:val="000000"/>
          <w:sz w:val="20"/>
          <w:szCs w:val="20"/>
        </w:rPr>
        <w:t xml:space="preserve"> expected from Q1 2023 following positive pivotal data</w:t>
      </w:r>
    </w:p>
    <w:p w14:paraId="0C7AF859"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LEIDEN, The Netherlands, March 17, 2022 /PRNewswire/ -- Pharming Group N.V. ("Pharming" or "the Company") (Euronext Amsterdam: PHARM/NASDAQ: PHAR) presents its preliminary (unaudited) financial report for the full year ended December 31, 2021.</w:t>
      </w:r>
    </w:p>
    <w:p w14:paraId="649613A5" w14:textId="77777777" w:rsidR="005A6660" w:rsidRPr="005A6660" w:rsidRDefault="005A6660" w:rsidP="005A6660">
      <w:pPr>
        <w:numPr>
          <w:ilvl w:val="0"/>
          <w:numId w:val="1"/>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b/>
          <w:bCs/>
          <w:color w:val="000000"/>
          <w:sz w:val="20"/>
          <w:szCs w:val="20"/>
        </w:rPr>
        <w:t>The Company will hold an analyst conference call at 14:00 CET/08.00 ET today. Dial in details can be found on page 6 of this report.</w:t>
      </w:r>
    </w:p>
    <w:p w14:paraId="6C7C8C50" w14:textId="77777777" w:rsidR="005A6660" w:rsidRPr="005A6660" w:rsidRDefault="005A6660" w:rsidP="005A6660">
      <w:pPr>
        <w:numPr>
          <w:ilvl w:val="0"/>
          <w:numId w:val="1"/>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b/>
          <w:bCs/>
          <w:color w:val="000000"/>
          <w:sz w:val="20"/>
          <w:szCs w:val="20"/>
        </w:rPr>
        <w:t>The Company will also hold a webinar at 19:00 CET/13:00ET on March 24, 2022 to review the year in more detail. Registration details can be found on the Company's website: www.pharming.com.</w:t>
      </w:r>
    </w:p>
    <w:p w14:paraId="011FBE12"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proofErr w:type="spellStart"/>
      <w:r w:rsidRPr="005A6660">
        <w:rPr>
          <w:rFonts w:ascii="Arial" w:eastAsia="Times New Roman" w:hAnsi="Arial" w:cs="Arial"/>
          <w:b/>
          <w:bCs/>
          <w:i/>
          <w:iCs/>
          <w:color w:val="000000"/>
          <w:sz w:val="20"/>
          <w:szCs w:val="20"/>
        </w:rPr>
        <w:t>Sijmen</w:t>
      </w:r>
      <w:proofErr w:type="spellEnd"/>
      <w:r w:rsidRPr="005A6660">
        <w:rPr>
          <w:rFonts w:ascii="Arial" w:eastAsia="Times New Roman" w:hAnsi="Arial" w:cs="Arial"/>
          <w:b/>
          <w:bCs/>
          <w:i/>
          <w:iCs/>
          <w:color w:val="000000"/>
          <w:sz w:val="20"/>
          <w:szCs w:val="20"/>
        </w:rPr>
        <w:t xml:space="preserve"> de Vries, Chief Executive Officer, commented:</w:t>
      </w:r>
    </w:p>
    <w:p w14:paraId="39CB6652"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i/>
          <w:iCs/>
          <w:color w:val="000000"/>
          <w:sz w:val="20"/>
          <w:szCs w:val="20"/>
        </w:rPr>
        <w:t xml:space="preserve">"2021 marked the beginning of an important period in Pharming's development. The strength of our commercial business, which we continued to build on during the year through the reimbursement of RUCONEST® in new markets and expanding the reach of the product through new licensing agreements, has enabled us to increase our investment in long-term growth to achieve a number of additional strategic goals. In particular, our in-licensing and subsequent investment in </w:t>
      </w:r>
      <w:proofErr w:type="spellStart"/>
      <w:r w:rsidRPr="005A6660">
        <w:rPr>
          <w:rFonts w:ascii="Arial" w:eastAsia="Times New Roman" w:hAnsi="Arial" w:cs="Arial"/>
          <w:i/>
          <w:iCs/>
          <w:color w:val="000000"/>
          <w:sz w:val="20"/>
          <w:szCs w:val="20"/>
        </w:rPr>
        <w:t>leniolisib</w:t>
      </w:r>
      <w:proofErr w:type="spellEnd"/>
      <w:r w:rsidRPr="005A6660">
        <w:rPr>
          <w:rFonts w:ascii="Arial" w:eastAsia="Times New Roman" w:hAnsi="Arial" w:cs="Arial"/>
          <w:i/>
          <w:iCs/>
          <w:color w:val="000000"/>
          <w:sz w:val="20"/>
          <w:szCs w:val="20"/>
        </w:rPr>
        <w:t>, which was recently validated following positive headline data in a pivotal study in patients with activated phosphoinositide 3-kinase delta syndrome. As a result, we are increasing our investment in launch preparations for the product, which we expect in the US and Europe from Q1 2023 onwards, depending on regulatory approvals".</w:t>
      </w:r>
    </w:p>
    <w:p w14:paraId="4B2130F4"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i/>
          <w:iCs/>
          <w:color w:val="000000"/>
          <w:sz w:val="20"/>
          <w:szCs w:val="20"/>
        </w:rPr>
        <w:t>"In addition, we were able to make an upfront payment for an investigational gene therapy for the potentially curative treatment of hereditary angioedema (HAE), OTL-105. This product leverages our significant in-house expertise in HAE as we remain focused on driving research and development of specialist products through our existing business and through further in-licensing and acquisition opportunities".</w:t>
      </w:r>
    </w:p>
    <w:p w14:paraId="535FEBCA"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i/>
          <w:iCs/>
          <w:color w:val="000000"/>
          <w:sz w:val="20"/>
          <w:szCs w:val="20"/>
        </w:rPr>
        <w:t xml:space="preserve">"With the additions to the executive team and Board made during the year, we look forward to strengthening Pharming's position as a global fully integrated biotech company focused on the treatment of rare and </w:t>
      </w:r>
      <w:proofErr w:type="spellStart"/>
      <w:r w:rsidRPr="005A6660">
        <w:rPr>
          <w:rFonts w:ascii="Arial" w:eastAsia="Times New Roman" w:hAnsi="Arial" w:cs="Arial"/>
          <w:i/>
          <w:iCs/>
          <w:color w:val="000000"/>
          <w:sz w:val="20"/>
          <w:szCs w:val="20"/>
        </w:rPr>
        <w:t>ultra rare</w:t>
      </w:r>
      <w:proofErr w:type="spellEnd"/>
      <w:r w:rsidRPr="005A6660">
        <w:rPr>
          <w:rFonts w:ascii="Arial" w:eastAsia="Times New Roman" w:hAnsi="Arial" w:cs="Arial"/>
          <w:i/>
          <w:iCs/>
          <w:color w:val="000000"/>
          <w:sz w:val="20"/>
          <w:szCs w:val="20"/>
        </w:rPr>
        <w:t xml:space="preserve"> diseases with unmet medical needs."</w:t>
      </w:r>
    </w:p>
    <w:p w14:paraId="21E5747C"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Operational highlights</w:t>
      </w:r>
    </w:p>
    <w:p w14:paraId="7AB27330"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Commercial - RUCONEST</w:t>
      </w:r>
      <w:r w:rsidRPr="005A6660">
        <w:rPr>
          <w:rFonts w:ascii="Arial" w:eastAsia="Times New Roman" w:hAnsi="Arial" w:cs="Arial"/>
          <w:color w:val="000000"/>
          <w:sz w:val="20"/>
          <w:szCs w:val="20"/>
        </w:rPr>
        <w:t>®</w:t>
      </w:r>
    </w:p>
    <w:p w14:paraId="2AF9F6D8" w14:textId="77777777" w:rsidR="005A6660" w:rsidRPr="005A6660" w:rsidRDefault="005A6660" w:rsidP="005A6660">
      <w:pPr>
        <w:numPr>
          <w:ilvl w:val="0"/>
          <w:numId w:val="2"/>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lastRenderedPageBreak/>
        <w:t>Reimbursement of RUCONEST® (recombinant human C1 esterase inhibitor, or "rhC1INH") agreed with the Spanish Ministry of Health for the treatment of acute hereditary angioedema (HAE) attacks in Spain.</w:t>
      </w:r>
    </w:p>
    <w:p w14:paraId="527F806E" w14:textId="77777777" w:rsidR="005A6660" w:rsidRPr="005A6660" w:rsidRDefault="005A6660" w:rsidP="005A6660">
      <w:pPr>
        <w:numPr>
          <w:ilvl w:val="0"/>
          <w:numId w:val="2"/>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Exclusive license agreement signed with </w:t>
      </w:r>
      <w:proofErr w:type="spellStart"/>
      <w:r w:rsidRPr="005A6660">
        <w:rPr>
          <w:rFonts w:ascii="Arial" w:eastAsia="Times New Roman" w:hAnsi="Arial" w:cs="Arial"/>
          <w:color w:val="000000"/>
          <w:sz w:val="20"/>
          <w:szCs w:val="20"/>
        </w:rPr>
        <w:t>NewBridge</w:t>
      </w:r>
      <w:proofErr w:type="spellEnd"/>
      <w:r w:rsidRPr="005A6660">
        <w:rPr>
          <w:rFonts w:ascii="Arial" w:eastAsia="Times New Roman" w:hAnsi="Arial" w:cs="Arial"/>
          <w:color w:val="000000"/>
          <w:sz w:val="20"/>
          <w:szCs w:val="20"/>
        </w:rPr>
        <w:t xml:space="preserve"> Pharmaceuticals for the distribution of RUCONEST® in the Middle East and North Africa.</w:t>
      </w:r>
    </w:p>
    <w:p w14:paraId="006ECC23" w14:textId="77777777" w:rsidR="005A6660" w:rsidRPr="005A6660" w:rsidRDefault="005A6660" w:rsidP="005A6660">
      <w:pPr>
        <w:numPr>
          <w:ilvl w:val="0"/>
          <w:numId w:val="2"/>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Renewed strategic manufacturing partnership with Sanofi. Extended five-year contract, with options for extension, ensures the continuation of the downstream processing in the production of RUCONEST®. Capital expenditure savings of US$40 million expected due to termination of development of Pharming's own downstream production capacity.</w:t>
      </w:r>
    </w:p>
    <w:p w14:paraId="359A1BD4"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 xml:space="preserve">Late stage pipeline - </w:t>
      </w:r>
      <w:proofErr w:type="spellStart"/>
      <w:r w:rsidRPr="005A6660">
        <w:rPr>
          <w:rFonts w:ascii="Arial" w:eastAsia="Times New Roman" w:hAnsi="Arial" w:cs="Arial"/>
          <w:b/>
          <w:bCs/>
          <w:color w:val="000000"/>
          <w:sz w:val="20"/>
          <w:szCs w:val="20"/>
        </w:rPr>
        <w:t>leniolisib</w:t>
      </w:r>
      <w:proofErr w:type="spellEnd"/>
    </w:p>
    <w:p w14:paraId="742A67EF" w14:textId="77777777" w:rsidR="005A6660" w:rsidRPr="005A6660" w:rsidRDefault="005A6660" w:rsidP="005A6660">
      <w:pPr>
        <w:numPr>
          <w:ilvl w:val="0"/>
          <w:numId w:val="3"/>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Following successful completion of patient enrollment in the pivotal Phase II/III study of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for the treatment of activated phosphoinositide 3-kinase delta (PI3Kδ) syndrome (APDS) in June 2021, post-period end, reported positive top-line data, with the study meeting both co-primary endpoints and demonstrating clinical efficacy of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over placebo.</w:t>
      </w:r>
    </w:p>
    <w:p w14:paraId="19E231EA" w14:textId="77777777" w:rsidR="005A6660" w:rsidRPr="005A6660" w:rsidRDefault="005A6660" w:rsidP="005A6660">
      <w:pPr>
        <w:numPr>
          <w:ilvl w:val="0"/>
          <w:numId w:val="3"/>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Global regulatory filings for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are planned to begin in Q2 2022. Continued significant investment in launch preparation for the product, which is expected from Q1 2023 onwards, dependent on regulatory approval.</w:t>
      </w:r>
    </w:p>
    <w:p w14:paraId="15A19BAD" w14:textId="77777777" w:rsidR="005A6660" w:rsidRPr="005A6660" w:rsidRDefault="005A6660" w:rsidP="005A6660">
      <w:pPr>
        <w:numPr>
          <w:ilvl w:val="0"/>
          <w:numId w:val="3"/>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Launch of </w:t>
      </w:r>
      <w:proofErr w:type="spellStart"/>
      <w:r w:rsidRPr="005A6660">
        <w:rPr>
          <w:rFonts w:ascii="Arial" w:eastAsia="Times New Roman" w:hAnsi="Arial" w:cs="Arial"/>
          <w:color w:val="000000"/>
          <w:sz w:val="20"/>
          <w:szCs w:val="20"/>
        </w:rPr>
        <w:t>navigateAPDS</w:t>
      </w:r>
      <w:proofErr w:type="spellEnd"/>
      <w:r w:rsidRPr="005A6660">
        <w:rPr>
          <w:rFonts w:ascii="Arial" w:eastAsia="Times New Roman" w:hAnsi="Arial" w:cs="Arial"/>
          <w:color w:val="000000"/>
          <w:sz w:val="20"/>
          <w:szCs w:val="20"/>
        </w:rPr>
        <w:t xml:space="preserve">, a sponsored genetic testing program in collaboration with </w:t>
      </w:r>
      <w:proofErr w:type="spellStart"/>
      <w:r w:rsidRPr="005A6660">
        <w:rPr>
          <w:rFonts w:ascii="Arial" w:eastAsia="Times New Roman" w:hAnsi="Arial" w:cs="Arial"/>
          <w:color w:val="000000"/>
          <w:sz w:val="20"/>
          <w:szCs w:val="20"/>
        </w:rPr>
        <w:t>Invitae</w:t>
      </w:r>
      <w:proofErr w:type="spellEnd"/>
      <w:r w:rsidRPr="005A6660">
        <w:rPr>
          <w:rFonts w:ascii="Arial" w:eastAsia="Times New Roman" w:hAnsi="Arial" w:cs="Arial"/>
          <w:color w:val="000000"/>
          <w:sz w:val="20"/>
          <w:szCs w:val="20"/>
        </w:rPr>
        <w:t xml:space="preserve"> Corporation, designed to assist clinicians in identifying patients and their family members with APDS, which may lead to earlier diagnosis.</w:t>
      </w:r>
    </w:p>
    <w:p w14:paraId="73DE0221" w14:textId="77777777" w:rsidR="005A6660" w:rsidRPr="005A6660" w:rsidRDefault="005A6660" w:rsidP="005A6660">
      <w:pPr>
        <w:numPr>
          <w:ilvl w:val="0"/>
          <w:numId w:val="3"/>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Post period end, received a positive decision from the European Medicines Agency (EMA) on the </w:t>
      </w:r>
      <w:proofErr w:type="spellStart"/>
      <w:r w:rsidRPr="005A6660">
        <w:rPr>
          <w:rFonts w:ascii="Arial" w:eastAsia="Times New Roman" w:hAnsi="Arial" w:cs="Arial"/>
          <w:color w:val="000000"/>
          <w:sz w:val="20"/>
          <w:szCs w:val="20"/>
        </w:rPr>
        <w:t>Paediatric</w:t>
      </w:r>
      <w:proofErr w:type="spellEnd"/>
      <w:r w:rsidRPr="005A6660">
        <w:rPr>
          <w:rFonts w:ascii="Arial" w:eastAsia="Times New Roman" w:hAnsi="Arial" w:cs="Arial"/>
          <w:color w:val="000000"/>
          <w:sz w:val="20"/>
          <w:szCs w:val="20"/>
        </w:rPr>
        <w:t xml:space="preserve"> Investigation Plan (PIP) for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as a treatment for APDS in children, which provide a regulatory pathway to market authorization in Europe.</w:t>
      </w:r>
    </w:p>
    <w:p w14:paraId="2704945E"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Earlier stage pipeline - OTL-105 and rhC1INH</w:t>
      </w:r>
    </w:p>
    <w:p w14:paraId="75BC8EAC" w14:textId="77777777" w:rsidR="005A6660" w:rsidRPr="005A6660" w:rsidRDefault="005A6660" w:rsidP="005A6660">
      <w:pPr>
        <w:numPr>
          <w:ilvl w:val="0"/>
          <w:numId w:val="4"/>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Strategic collaboration with Orchard Therapeutics, a global gene therapy leader, to research, develop, manufacture and commercialize OTL-105, an investigational ex-vivo autologous hematopoietic stem cell (HSC) gene therapy for the treatment of HAE.</w:t>
      </w:r>
    </w:p>
    <w:p w14:paraId="5DBA42FC" w14:textId="77777777" w:rsidR="005A6660" w:rsidRPr="005A6660" w:rsidRDefault="005A6660" w:rsidP="005A6660">
      <w:pPr>
        <w:numPr>
          <w:ilvl w:val="0"/>
          <w:numId w:val="4"/>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First patient enrolled in Phase IIb study assessing the efficacy of rhC1INH for the prevention of acute kidney injury after non-ST elevation myocardial infarction.</w:t>
      </w:r>
    </w:p>
    <w:p w14:paraId="4DA8A9F8"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Corporate - Executive and Board appointments</w:t>
      </w:r>
    </w:p>
    <w:p w14:paraId="5A8D6290" w14:textId="77777777" w:rsidR="005A6660" w:rsidRPr="005A6660" w:rsidRDefault="005A6660" w:rsidP="005A6660">
      <w:pPr>
        <w:numPr>
          <w:ilvl w:val="0"/>
          <w:numId w:val="5"/>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Appointment of Anurag </w:t>
      </w:r>
      <w:proofErr w:type="spellStart"/>
      <w:r w:rsidRPr="005A6660">
        <w:rPr>
          <w:rFonts w:ascii="Arial" w:eastAsia="Times New Roman" w:hAnsi="Arial" w:cs="Arial"/>
          <w:color w:val="000000"/>
          <w:sz w:val="20"/>
          <w:szCs w:val="20"/>
        </w:rPr>
        <w:t>Relan</w:t>
      </w:r>
      <w:proofErr w:type="spellEnd"/>
      <w:r w:rsidRPr="005A6660">
        <w:rPr>
          <w:rFonts w:ascii="Arial" w:eastAsia="Times New Roman" w:hAnsi="Arial" w:cs="Arial"/>
          <w:color w:val="000000"/>
          <w:sz w:val="20"/>
          <w:szCs w:val="20"/>
        </w:rPr>
        <w:t xml:space="preserve"> as Chief Medical Officer, Robert Friesen as Chief Scientific Officer and Ruud van </w:t>
      </w:r>
      <w:proofErr w:type="spellStart"/>
      <w:r w:rsidRPr="005A6660">
        <w:rPr>
          <w:rFonts w:ascii="Arial" w:eastAsia="Times New Roman" w:hAnsi="Arial" w:cs="Arial"/>
          <w:color w:val="000000"/>
          <w:sz w:val="20"/>
          <w:szCs w:val="20"/>
        </w:rPr>
        <w:t>Outersterp</w:t>
      </w:r>
      <w:proofErr w:type="spellEnd"/>
      <w:r w:rsidRPr="005A6660">
        <w:rPr>
          <w:rFonts w:ascii="Arial" w:eastAsia="Times New Roman" w:hAnsi="Arial" w:cs="Arial"/>
          <w:color w:val="000000"/>
          <w:sz w:val="20"/>
          <w:szCs w:val="20"/>
        </w:rPr>
        <w:t xml:space="preserve"> as Chief Ethics and Compliance Officer.</w:t>
      </w:r>
    </w:p>
    <w:p w14:paraId="7D0B157C" w14:textId="77777777" w:rsidR="005A6660" w:rsidRPr="005A6660" w:rsidRDefault="005A6660" w:rsidP="005A6660">
      <w:pPr>
        <w:numPr>
          <w:ilvl w:val="0"/>
          <w:numId w:val="5"/>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Appointment of Steven </w:t>
      </w:r>
      <w:proofErr w:type="spellStart"/>
      <w:r w:rsidRPr="005A6660">
        <w:rPr>
          <w:rFonts w:ascii="Arial" w:eastAsia="Times New Roman" w:hAnsi="Arial" w:cs="Arial"/>
          <w:color w:val="000000"/>
          <w:sz w:val="20"/>
          <w:szCs w:val="20"/>
        </w:rPr>
        <w:t>Baert</w:t>
      </w:r>
      <w:proofErr w:type="spellEnd"/>
      <w:r w:rsidRPr="005A6660">
        <w:rPr>
          <w:rFonts w:ascii="Arial" w:eastAsia="Times New Roman" w:hAnsi="Arial" w:cs="Arial"/>
          <w:color w:val="000000"/>
          <w:sz w:val="20"/>
          <w:szCs w:val="20"/>
        </w:rPr>
        <w:t xml:space="preserve">, Leon </w:t>
      </w:r>
      <w:proofErr w:type="spellStart"/>
      <w:r w:rsidRPr="005A6660">
        <w:rPr>
          <w:rFonts w:ascii="Arial" w:eastAsia="Times New Roman" w:hAnsi="Arial" w:cs="Arial"/>
          <w:color w:val="000000"/>
          <w:sz w:val="20"/>
          <w:szCs w:val="20"/>
        </w:rPr>
        <w:t>Kruimer</w:t>
      </w:r>
      <w:proofErr w:type="spellEnd"/>
      <w:r w:rsidRPr="005A6660">
        <w:rPr>
          <w:rFonts w:ascii="Arial" w:eastAsia="Times New Roman" w:hAnsi="Arial" w:cs="Arial"/>
          <w:color w:val="000000"/>
          <w:sz w:val="20"/>
          <w:szCs w:val="20"/>
        </w:rPr>
        <w:t xml:space="preserve"> and </w:t>
      </w:r>
      <w:proofErr w:type="spellStart"/>
      <w:r w:rsidRPr="005A6660">
        <w:rPr>
          <w:rFonts w:ascii="Arial" w:eastAsia="Times New Roman" w:hAnsi="Arial" w:cs="Arial"/>
          <w:color w:val="000000"/>
          <w:sz w:val="20"/>
          <w:szCs w:val="20"/>
        </w:rPr>
        <w:t>Jabine</w:t>
      </w:r>
      <w:proofErr w:type="spellEnd"/>
      <w:r w:rsidRPr="005A6660">
        <w:rPr>
          <w:rFonts w:ascii="Arial" w:eastAsia="Times New Roman" w:hAnsi="Arial" w:cs="Arial"/>
          <w:color w:val="000000"/>
          <w:sz w:val="20"/>
          <w:szCs w:val="20"/>
        </w:rPr>
        <w:t xml:space="preserve"> van der </w:t>
      </w:r>
      <w:proofErr w:type="spellStart"/>
      <w:r w:rsidRPr="005A6660">
        <w:rPr>
          <w:rFonts w:ascii="Arial" w:eastAsia="Times New Roman" w:hAnsi="Arial" w:cs="Arial"/>
          <w:color w:val="000000"/>
          <w:sz w:val="20"/>
          <w:szCs w:val="20"/>
        </w:rPr>
        <w:t>Meijs</w:t>
      </w:r>
      <w:proofErr w:type="spellEnd"/>
      <w:r w:rsidRPr="005A6660">
        <w:rPr>
          <w:rFonts w:ascii="Arial" w:eastAsia="Times New Roman" w:hAnsi="Arial" w:cs="Arial"/>
          <w:color w:val="000000"/>
          <w:sz w:val="20"/>
          <w:szCs w:val="20"/>
        </w:rPr>
        <w:t xml:space="preserve"> as Non-Executive Directors.</w:t>
      </w:r>
    </w:p>
    <w:p w14:paraId="2D443AD2"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Financial Summary</w:t>
      </w:r>
    </w:p>
    <w:tbl>
      <w:tblPr>
        <w:tblW w:w="0" w:type="auto"/>
        <w:jc w:val="center"/>
        <w:tblCellMar>
          <w:left w:w="0" w:type="dxa"/>
          <w:right w:w="0" w:type="dxa"/>
        </w:tblCellMar>
        <w:tblLook w:val="04A0" w:firstRow="1" w:lastRow="0" w:firstColumn="1" w:lastColumn="0" w:noHBand="0" w:noVBand="1"/>
      </w:tblPr>
      <w:tblGrid>
        <w:gridCol w:w="3180"/>
        <w:gridCol w:w="576"/>
        <w:gridCol w:w="576"/>
        <w:gridCol w:w="886"/>
      </w:tblGrid>
      <w:tr w:rsidR="005A6660" w:rsidRPr="005A6660" w14:paraId="3D371F8D" w14:textId="77777777" w:rsidTr="005A6660">
        <w:trPr>
          <w:jc w:val="center"/>
        </w:trPr>
        <w:tc>
          <w:tcPr>
            <w:tcW w:w="0" w:type="auto"/>
            <w:tcBorders>
              <w:top w:val="single" w:sz="4" w:space="0" w:color="000000"/>
              <w:left w:val="single" w:sz="4" w:space="0" w:color="000000"/>
              <w:bottom w:val="single" w:sz="4" w:space="0" w:color="000000"/>
              <w:right w:val="nil"/>
            </w:tcBorders>
            <w:tcMar>
              <w:top w:w="0" w:type="dxa"/>
              <w:left w:w="40" w:type="dxa"/>
              <w:bottom w:w="0" w:type="dxa"/>
              <w:right w:w="15" w:type="dxa"/>
            </w:tcMar>
            <w:vAlign w:val="center"/>
            <w:hideMark/>
          </w:tcPr>
          <w:p w14:paraId="2D915F0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 xml:space="preserve">Amounts in </w:t>
            </w:r>
            <w:proofErr w:type="spellStart"/>
            <w:r w:rsidRPr="005A6660">
              <w:rPr>
                <w:rFonts w:ascii="Arial" w:eastAsia="Times New Roman" w:hAnsi="Arial" w:cs="Arial"/>
                <w:b/>
                <w:bCs/>
                <w:color w:val="000000"/>
                <w:sz w:val="16"/>
                <w:szCs w:val="16"/>
              </w:rPr>
              <w:t>US$m</w:t>
            </w:r>
            <w:proofErr w:type="spellEnd"/>
            <w:r w:rsidRPr="005A6660">
              <w:rPr>
                <w:rFonts w:ascii="Arial" w:eastAsia="Times New Roman" w:hAnsi="Arial" w:cs="Arial"/>
                <w:b/>
                <w:bCs/>
                <w:color w:val="000000"/>
                <w:sz w:val="16"/>
                <w:szCs w:val="16"/>
              </w:rPr>
              <w:t xml:space="preserve"> except per share data</w:t>
            </w:r>
          </w:p>
        </w:tc>
        <w:tc>
          <w:tcPr>
            <w:tcW w:w="0" w:type="auto"/>
            <w:tcBorders>
              <w:top w:val="single" w:sz="4" w:space="0" w:color="000000"/>
              <w:left w:val="single" w:sz="4" w:space="0" w:color="000000"/>
              <w:bottom w:val="single" w:sz="4" w:space="0" w:color="000000"/>
              <w:right w:val="nil"/>
            </w:tcBorders>
            <w:tcMar>
              <w:top w:w="0" w:type="dxa"/>
              <w:left w:w="40" w:type="dxa"/>
              <w:bottom w:w="0" w:type="dxa"/>
              <w:right w:w="135" w:type="dxa"/>
            </w:tcMar>
            <w:vAlign w:val="bottom"/>
            <w:hideMark/>
          </w:tcPr>
          <w:p w14:paraId="3CF7A074" w14:textId="77777777" w:rsidR="005A6660" w:rsidRPr="005A6660" w:rsidRDefault="005A6660" w:rsidP="005A6660">
            <w:pPr>
              <w:spacing w:after="0" w:line="240" w:lineRule="auto"/>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2021</w:t>
            </w:r>
          </w:p>
        </w:tc>
        <w:tc>
          <w:tcPr>
            <w:tcW w:w="0" w:type="auto"/>
            <w:tcBorders>
              <w:top w:val="single" w:sz="4" w:space="0" w:color="000000"/>
              <w:left w:val="single" w:sz="4" w:space="0" w:color="000000"/>
              <w:bottom w:val="single" w:sz="4" w:space="0" w:color="000000"/>
              <w:right w:val="nil"/>
            </w:tcBorders>
            <w:tcMar>
              <w:top w:w="0" w:type="dxa"/>
              <w:left w:w="40" w:type="dxa"/>
              <w:bottom w:w="0" w:type="dxa"/>
              <w:right w:w="135" w:type="dxa"/>
            </w:tcMar>
            <w:vAlign w:val="bottom"/>
            <w:hideMark/>
          </w:tcPr>
          <w:p w14:paraId="02D36739" w14:textId="77777777" w:rsidR="005A6660" w:rsidRPr="005A6660" w:rsidRDefault="005A6660" w:rsidP="005A6660">
            <w:pPr>
              <w:spacing w:after="0" w:line="240" w:lineRule="auto"/>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15" w:type="dxa"/>
            </w:tcMar>
            <w:vAlign w:val="center"/>
            <w:hideMark/>
          </w:tcPr>
          <w:p w14:paraId="032BAA76" w14:textId="77777777" w:rsidR="005A6660" w:rsidRPr="005A6660" w:rsidRDefault="005A6660" w:rsidP="005A6660">
            <w:pPr>
              <w:spacing w:after="0" w:line="240" w:lineRule="auto"/>
              <w:ind w:left="57"/>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 Change</w:t>
            </w:r>
          </w:p>
        </w:tc>
      </w:tr>
      <w:tr w:rsidR="005A6660" w:rsidRPr="005A6660" w14:paraId="04326A40"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6C234EB"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Income Statement</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6374DF41"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15A5B02F"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35" w:type="dxa"/>
            </w:tcMar>
            <w:vAlign w:val="bottom"/>
            <w:hideMark/>
          </w:tcPr>
          <w:p w14:paraId="1064C050"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10F188B3"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D22BAA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Revenues</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58600C6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198.9</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77C8ED4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212.2</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30" w:type="dxa"/>
            </w:tcMar>
            <w:vAlign w:val="bottom"/>
            <w:hideMark/>
          </w:tcPr>
          <w:p w14:paraId="72430A5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(6)%</w:t>
            </w:r>
          </w:p>
        </w:tc>
      </w:tr>
      <w:tr w:rsidR="005A6660" w:rsidRPr="005A6660" w14:paraId="60473711"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D15F8B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Gross profit</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6EF28AF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177.7</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69C94E4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188.6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30" w:type="dxa"/>
            </w:tcMar>
            <w:vAlign w:val="bottom"/>
            <w:hideMark/>
          </w:tcPr>
          <w:p w14:paraId="6ACD47C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(6)%</w:t>
            </w:r>
          </w:p>
        </w:tc>
      </w:tr>
      <w:tr w:rsidR="005A6660" w:rsidRPr="005A6660" w14:paraId="4897A258"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718739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Operating profit</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7017880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13.6</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51CB41E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76.3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30" w:type="dxa"/>
            </w:tcMar>
            <w:vAlign w:val="bottom"/>
            <w:hideMark/>
          </w:tcPr>
          <w:p w14:paraId="7DABF30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(82)%</w:t>
            </w:r>
          </w:p>
        </w:tc>
      </w:tr>
      <w:tr w:rsidR="005A6660" w:rsidRPr="005A6660" w14:paraId="255BBD9E"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C3BF06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Profit for the year</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2282382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16.0</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78B0BB2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37.7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30" w:type="dxa"/>
            </w:tcMar>
            <w:vAlign w:val="bottom"/>
            <w:hideMark/>
          </w:tcPr>
          <w:p w14:paraId="2F09C87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(58)%</w:t>
            </w:r>
          </w:p>
        </w:tc>
      </w:tr>
      <w:tr w:rsidR="005A6660" w:rsidRPr="005A6660" w14:paraId="51EE885A"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B86281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Balance Sheet</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74BC13ED"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6E555FAF"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35" w:type="dxa"/>
            </w:tcMar>
            <w:vAlign w:val="bottom"/>
            <w:hideMark/>
          </w:tcPr>
          <w:p w14:paraId="5C44AEB0"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14774D8D"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6F1CC8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Cash &amp; marketable securities</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4540E74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193.0</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65F4A4F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206.7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30" w:type="dxa"/>
            </w:tcMar>
            <w:vAlign w:val="bottom"/>
            <w:hideMark/>
          </w:tcPr>
          <w:p w14:paraId="756A923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(7)%</w:t>
            </w:r>
          </w:p>
        </w:tc>
      </w:tr>
      <w:tr w:rsidR="005A6660" w:rsidRPr="005A6660" w14:paraId="31BCC136"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FE6D57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Share Information</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15991041"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2C113A0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35" w:type="dxa"/>
            </w:tcMar>
            <w:vAlign w:val="bottom"/>
            <w:hideMark/>
          </w:tcPr>
          <w:p w14:paraId="2BECAD2F"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752F1E85"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14D05F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Basic earnings per share (US$)</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72EB9EC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0.025</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54378A1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0.058</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30" w:type="dxa"/>
            </w:tcMar>
            <w:vAlign w:val="bottom"/>
            <w:hideMark/>
          </w:tcPr>
          <w:p w14:paraId="71B984F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(57)%</w:t>
            </w:r>
          </w:p>
        </w:tc>
      </w:tr>
      <w:tr w:rsidR="005A6660" w:rsidRPr="005A6660" w14:paraId="41A3B007"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BB2BB0B"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Diluted earnings per share (US$)</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02BE700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0.023</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5EDCD75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0.055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30" w:type="dxa"/>
            </w:tcMar>
            <w:vAlign w:val="bottom"/>
            <w:hideMark/>
          </w:tcPr>
          <w:p w14:paraId="593E2F2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(58)%</w:t>
            </w:r>
          </w:p>
        </w:tc>
      </w:tr>
    </w:tbl>
    <w:p w14:paraId="3FA4D39C"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lastRenderedPageBreak/>
        <w:t>Financial highlights</w:t>
      </w:r>
    </w:p>
    <w:p w14:paraId="3156E40F" w14:textId="77777777" w:rsidR="005A6660" w:rsidRPr="005A6660" w:rsidRDefault="005A6660" w:rsidP="005A6660">
      <w:pPr>
        <w:numPr>
          <w:ilvl w:val="0"/>
          <w:numId w:val="6"/>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Total revenues decreased by 6% to US$198.9 million, mainly due to lower sales of RUCONEST® in the US market. US sales decreased by 5% (US$193.4 million in 2021 compared to US$202.7 million in 2020), following the impact of COVID-19 on the US healthcare economy in Q4 2020 and Q1 2021, in addition to the phasing of ordering from our customers, as previously noted in the Company's Q1 2021, H1 2021 and Q3 2021 financial reports.</w:t>
      </w:r>
    </w:p>
    <w:p w14:paraId="6D77EBDD" w14:textId="77777777" w:rsidR="005A6660" w:rsidRPr="005A6660" w:rsidRDefault="005A6660" w:rsidP="005A6660">
      <w:pPr>
        <w:numPr>
          <w:ilvl w:val="0"/>
          <w:numId w:val="6"/>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Revenues in Europe decreased to US$4.9 million in 2021 (from US$8.2 million in 2020),  mainly caused by phasing of ordering, as stated in the Company's Q1 2021, H1 2021 and Q3 2021 financial reports. Rest of World revenue (excluding Europe) decreased to US$0.5 million (from US$1.3 million in 2020).</w:t>
      </w:r>
    </w:p>
    <w:p w14:paraId="2CA06403" w14:textId="77777777" w:rsidR="005A6660" w:rsidRPr="005A6660" w:rsidRDefault="005A6660" w:rsidP="005A6660">
      <w:pPr>
        <w:numPr>
          <w:ilvl w:val="0"/>
          <w:numId w:val="6"/>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Gross profit  was US$177.7 million, a 6% decrease in comparison to the year 2020 (US$188.6 million), which is in line with the decrease in revenues.</w:t>
      </w:r>
    </w:p>
    <w:p w14:paraId="2029A221" w14:textId="77777777" w:rsidR="005A6660" w:rsidRPr="005A6660" w:rsidRDefault="005A6660" w:rsidP="005A6660">
      <w:pPr>
        <w:numPr>
          <w:ilvl w:val="0"/>
          <w:numId w:val="6"/>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Operating profit of US$36.9 million, before US$23.3 million of one-off costs, relating to investment in the pipeline of US$13.1 million to in-license OTL-105 from Orchard Therapeutics and impairment losses on tangible and intangible assets (US$10.2 million) as result of strategic decisions. Operating profit after one-off costs are US$13.6 million. We continued significant investment in Pharming's long-term growth including increased R&amp;D expenditure, increased pre-launch marketing preparations and manufacturing cost for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(US$11.6 million), and increased employee numbers to support growth (US$8.2 million). Insurance costs increased due to the Nasdaq listing (US$5.5 million).</w:t>
      </w:r>
    </w:p>
    <w:p w14:paraId="783D9A0F" w14:textId="77777777" w:rsidR="005A6660" w:rsidRPr="005A6660" w:rsidRDefault="005A6660" w:rsidP="005A6660">
      <w:pPr>
        <w:numPr>
          <w:ilvl w:val="0"/>
          <w:numId w:val="6"/>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Net profit was US$16.0 million, a 58% decrease compared to the year 2020 (US$37.7 million), due to a significant increase in operating expenses. This was offset by favorable foreign currency effects (US$14.9 million).</w:t>
      </w:r>
    </w:p>
    <w:p w14:paraId="6E4C3BFD" w14:textId="77777777" w:rsidR="005A6660" w:rsidRPr="005A6660" w:rsidRDefault="005A6660" w:rsidP="005A6660">
      <w:pPr>
        <w:numPr>
          <w:ilvl w:val="0"/>
          <w:numId w:val="6"/>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Cash and cash equivalents, together with restricted cash, decreased from US$206.7 million at the end of 2020 to US$193.0 million at the end 2021, due to positive cash flows from operating activities of US$37.8 million post the US$13.1 million one-off payment to Orchard Therapeutics. These are offset by negative  cash flows from investments and financing activities, totaling US$49.3 million. This figure includes the payment of the final US$25.0 million milestone to Bausch Health Inc. in relation to the re-acquisition of the North American RUCONEST® commercialization rights in 2016.</w:t>
      </w:r>
    </w:p>
    <w:p w14:paraId="7DA65390" w14:textId="77777777" w:rsidR="005A6660" w:rsidRPr="005A6660" w:rsidRDefault="005A6660" w:rsidP="005A6660">
      <w:pPr>
        <w:numPr>
          <w:ilvl w:val="0"/>
          <w:numId w:val="6"/>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As of 1 January 2021, the Company changed its presentation currency from Euro to US dollar.</w:t>
      </w:r>
    </w:p>
    <w:p w14:paraId="70E0C8D9"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About Pharming Group N.V.</w:t>
      </w:r>
    </w:p>
    <w:p w14:paraId="7A8631AD"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Pharming Group N.V. is a global, commercial stage biopharmaceutical company developing innovative protein replacement therapies and precision medicines for the treatment of rare diseases and unmet medical needs.</w:t>
      </w:r>
    </w:p>
    <w:p w14:paraId="092CBC00"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The flagship of our portfolio is our recombinant human C1 esterase inhibitor (rhC1INH) franchise. C1INH is a naturally occurring protein that down regulates the complement and contact cascades in order to control inflammation in affected tissues.</w:t>
      </w:r>
    </w:p>
    <w:p w14:paraId="1435131C"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Our lead product, RUCONEST®, is the first and only plasma-free rhC1INH protein replacement therapy. It is approved for the treatment of acute hereditary angioedema (HAE) attacks. We are commercializing RUCONEST® in the United States, the European Union and the United Kingdom through our own sales and marketing organization, and the rest of the world through our distribution network.</w:t>
      </w:r>
    </w:p>
    <w:p w14:paraId="532ADB1C"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In addition, we are investigating the clinical efficacy of rhC1INH in the treatment of further indications, including pre-eclampsia, acute kidney injury and severe pneumonia as a result of COVID-19 infections.</w:t>
      </w:r>
    </w:p>
    <w:p w14:paraId="2E249505"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We are also studying our oral precision medicine,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(a phosphoinositide 3-kinase delta, or PI3K delta, inhibitor), for the treatment of activated PI3K delta syndrome, or APDS. World-wide rights for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were licensed from Novartis AG in 2019.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met both of its primary end points in a </w:t>
      </w:r>
      <w:r w:rsidRPr="005A6660">
        <w:rPr>
          <w:rFonts w:ascii="Arial" w:eastAsia="Times New Roman" w:hAnsi="Arial" w:cs="Arial"/>
          <w:color w:val="000000"/>
          <w:sz w:val="20"/>
          <w:szCs w:val="20"/>
        </w:rPr>
        <w:lastRenderedPageBreak/>
        <w:t xml:space="preserve">registration enabling Phase 2/3 study in the United States and Europe. We are targeting global regulatory filings for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from Q2 2022 onwards.</w:t>
      </w:r>
    </w:p>
    <w:p w14:paraId="4C759E1B"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Additionally, we entered into a strategic collaboration with Orchard Therapeutics to research, develop, manufacture and commercialize OTL-105, a newly disclosed investigational ex-vivo autologous hematopoietic stem cell (HSC) gene therapy for the treatment of HAE.</w:t>
      </w:r>
    </w:p>
    <w:p w14:paraId="573F61FA"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Furthermore, we are leveraging our transgenic manufacturing technology to develop next-generation protein replacement therapies, most notably for </w:t>
      </w:r>
      <w:proofErr w:type="spellStart"/>
      <w:r w:rsidRPr="005A6660">
        <w:rPr>
          <w:rFonts w:ascii="Arial" w:eastAsia="Times New Roman" w:hAnsi="Arial" w:cs="Arial"/>
          <w:color w:val="000000"/>
          <w:sz w:val="20"/>
          <w:szCs w:val="20"/>
        </w:rPr>
        <w:t>Pompe</w:t>
      </w:r>
      <w:proofErr w:type="spellEnd"/>
      <w:r w:rsidRPr="005A6660">
        <w:rPr>
          <w:rFonts w:ascii="Arial" w:eastAsia="Times New Roman" w:hAnsi="Arial" w:cs="Arial"/>
          <w:color w:val="000000"/>
          <w:sz w:val="20"/>
          <w:szCs w:val="20"/>
        </w:rPr>
        <w:t xml:space="preserve"> disease, which is currently in preclinical development.</w:t>
      </w:r>
    </w:p>
    <w:p w14:paraId="359E8A70"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Risk profile</w:t>
      </w:r>
    </w:p>
    <w:p w14:paraId="1E31C3A1"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We continue to closely monitor and manage the key risks and opportunities, and will respond appropriately to any emerging risk. We will issue a full overview of our risk profile in our Annual report 2021 to be published on April 6th, 2022.</w:t>
      </w:r>
    </w:p>
    <w:p w14:paraId="762AC244"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Related party transactions</w:t>
      </w:r>
    </w:p>
    <w:p w14:paraId="616B8F2E"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There are no material changes in the nature, scope, and (relative) scale in this reporting period compared to last year.</w:t>
      </w:r>
    </w:p>
    <w:p w14:paraId="7660C7E0"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Auditor's involvement</w:t>
      </w:r>
    </w:p>
    <w:p w14:paraId="79E0D95A"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The Condensed Consolidated Interim Financial Statements have not been audited by the Company's statutory auditor.</w:t>
      </w:r>
    </w:p>
    <w:p w14:paraId="41FF5100"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Forward-looking Statements</w:t>
      </w:r>
    </w:p>
    <w:p w14:paraId="7AD337DA"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i/>
          <w:iCs/>
          <w:color w:val="000000"/>
          <w:sz w:val="20"/>
          <w:szCs w:val="20"/>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2020 Annual Report and the Annual Report on Form 20-F for the year ended December 31, 2020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141291A5"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Inside Information</w:t>
      </w:r>
    </w:p>
    <w:p w14:paraId="276A2CB4"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i/>
          <w:iCs/>
          <w:color w:val="000000"/>
          <w:sz w:val="20"/>
          <w:szCs w:val="20"/>
        </w:rPr>
        <w:t>This press release relates to the disclosure of information that qualifies, or may have qualified, as inside information within the meaning of Article 7(1) of the EU Market Abuse Regulation.</w:t>
      </w:r>
    </w:p>
    <w:p w14:paraId="2F41ACFD"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For further public information, contact:</w:t>
      </w:r>
    </w:p>
    <w:p w14:paraId="05963736"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i/>
          <w:iCs/>
          <w:color w:val="000000"/>
          <w:sz w:val="20"/>
          <w:szCs w:val="20"/>
        </w:rPr>
        <w:t>Pharming Group, Leiden, The Netherlands</w:t>
      </w:r>
    </w:p>
    <w:p w14:paraId="6ED0C92A"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proofErr w:type="spellStart"/>
      <w:r w:rsidRPr="005A6660">
        <w:rPr>
          <w:rFonts w:ascii="Arial" w:eastAsia="Times New Roman" w:hAnsi="Arial" w:cs="Arial"/>
          <w:color w:val="000000"/>
          <w:sz w:val="20"/>
          <w:szCs w:val="20"/>
        </w:rPr>
        <w:lastRenderedPageBreak/>
        <w:t>Sijmen</w:t>
      </w:r>
      <w:proofErr w:type="spellEnd"/>
      <w:r w:rsidRPr="005A6660">
        <w:rPr>
          <w:rFonts w:ascii="Arial" w:eastAsia="Times New Roman" w:hAnsi="Arial" w:cs="Arial"/>
          <w:color w:val="000000"/>
          <w:sz w:val="20"/>
          <w:szCs w:val="20"/>
        </w:rPr>
        <w:t xml:space="preserve"> de Vries, CEO: T: +31 71 524 7400</w:t>
      </w:r>
    </w:p>
    <w:p w14:paraId="5AC23316"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Susanne </w:t>
      </w:r>
      <w:proofErr w:type="spellStart"/>
      <w:r w:rsidRPr="005A6660">
        <w:rPr>
          <w:rFonts w:ascii="Arial" w:eastAsia="Times New Roman" w:hAnsi="Arial" w:cs="Arial"/>
          <w:color w:val="000000"/>
          <w:sz w:val="20"/>
          <w:szCs w:val="20"/>
        </w:rPr>
        <w:t>Embleton</w:t>
      </w:r>
      <w:proofErr w:type="spellEnd"/>
      <w:r w:rsidRPr="005A6660">
        <w:rPr>
          <w:rFonts w:ascii="Arial" w:eastAsia="Times New Roman" w:hAnsi="Arial" w:cs="Arial"/>
          <w:color w:val="000000"/>
          <w:sz w:val="20"/>
          <w:szCs w:val="20"/>
        </w:rPr>
        <w:t>, Investor Relations Manager: T: +31 71 524 7400 E: investor@pharming.com</w:t>
      </w:r>
    </w:p>
    <w:p w14:paraId="672EC34F"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i/>
          <w:iCs/>
          <w:color w:val="000000"/>
          <w:sz w:val="20"/>
          <w:szCs w:val="20"/>
        </w:rPr>
        <w:t>FTI Consulting, London, UK</w:t>
      </w:r>
    </w:p>
    <w:p w14:paraId="08079242"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Victoria Foster Mitchell/Alex Shaw</w:t>
      </w:r>
    </w:p>
    <w:p w14:paraId="25829850"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T: +44 203 727 1000</w:t>
      </w:r>
    </w:p>
    <w:p w14:paraId="1E1A0098"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i/>
          <w:iCs/>
          <w:color w:val="000000"/>
          <w:sz w:val="20"/>
          <w:szCs w:val="20"/>
        </w:rPr>
        <w:t>FTI Consulting, USA</w:t>
      </w:r>
    </w:p>
    <w:p w14:paraId="66957E4A"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Jim Polson</w:t>
      </w:r>
    </w:p>
    <w:p w14:paraId="101ACA22"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T: +1 (312) 553-6730</w:t>
      </w:r>
    </w:p>
    <w:p w14:paraId="6EC92762"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proofErr w:type="spellStart"/>
      <w:r w:rsidRPr="005A6660">
        <w:rPr>
          <w:rFonts w:ascii="Arial" w:eastAsia="Times New Roman" w:hAnsi="Arial" w:cs="Arial"/>
          <w:i/>
          <w:iCs/>
          <w:color w:val="000000"/>
          <w:sz w:val="20"/>
          <w:szCs w:val="20"/>
        </w:rPr>
        <w:t>LifeSpring</w:t>
      </w:r>
      <w:proofErr w:type="spellEnd"/>
      <w:r w:rsidRPr="005A6660">
        <w:rPr>
          <w:rFonts w:ascii="Arial" w:eastAsia="Times New Roman" w:hAnsi="Arial" w:cs="Arial"/>
          <w:i/>
          <w:iCs/>
          <w:color w:val="000000"/>
          <w:sz w:val="20"/>
          <w:szCs w:val="20"/>
        </w:rPr>
        <w:t xml:space="preserve"> Life Sciences Communication, Amsterdam, The Netherlands</w:t>
      </w:r>
    </w:p>
    <w:p w14:paraId="35F8BACF"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Leon </w:t>
      </w:r>
      <w:proofErr w:type="spellStart"/>
      <w:r w:rsidRPr="005A6660">
        <w:rPr>
          <w:rFonts w:ascii="Arial" w:eastAsia="Times New Roman" w:hAnsi="Arial" w:cs="Arial"/>
          <w:color w:val="000000"/>
          <w:sz w:val="20"/>
          <w:szCs w:val="20"/>
        </w:rPr>
        <w:t>Melens</w:t>
      </w:r>
      <w:proofErr w:type="spellEnd"/>
    </w:p>
    <w:p w14:paraId="222379BB"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T: +31 6 53 81 64 27</w:t>
      </w:r>
    </w:p>
    <w:p w14:paraId="4601CF4E"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E: pharming@lifespring.nl</w:t>
      </w:r>
    </w:p>
    <w:p w14:paraId="4E7AAB0B"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53009851"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Conference call dial-in information</w:t>
      </w:r>
    </w:p>
    <w:p w14:paraId="58E034AA"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i/>
          <w:iCs/>
          <w:color w:val="000000"/>
          <w:sz w:val="20"/>
          <w:szCs w:val="20"/>
        </w:rPr>
        <w:t>Thursday March, 17, 2022 14:00CET/09:00ET </w:t>
      </w:r>
    </w:p>
    <w:p w14:paraId="2C514469"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i/>
          <w:iCs/>
          <w:color w:val="000000"/>
          <w:sz w:val="20"/>
          <w:szCs w:val="20"/>
        </w:rPr>
        <w:t>Please note, the Company will only take questions from dial-in attendees.</w:t>
      </w:r>
    </w:p>
    <w:p w14:paraId="44BA4424"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38D4E44F"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i/>
          <w:iCs/>
          <w:color w:val="000000"/>
          <w:sz w:val="20"/>
          <w:szCs w:val="20"/>
        </w:rPr>
        <w:t>Dial-in details:</w:t>
      </w:r>
    </w:p>
    <w:p w14:paraId="5A476C43"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Netherlands (Local)        085 888 7233 </w:t>
      </w:r>
    </w:p>
    <w:p w14:paraId="01111DB6"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United Kingdom              0800 640 6441 </w:t>
      </w:r>
    </w:p>
    <w:p w14:paraId="08AD7AA7"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United Kingdom (Local) 020 3936 2999 </w:t>
      </w:r>
    </w:p>
    <w:p w14:paraId="0247209B"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United States (Local)      1 646 664 1960</w:t>
      </w:r>
    </w:p>
    <w:p w14:paraId="7DBA814E"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All other locations             +44 20 3936 2999</w:t>
      </w:r>
    </w:p>
    <w:p w14:paraId="76FF8F39"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Access code: 847189</w:t>
      </w:r>
    </w:p>
    <w:p w14:paraId="45267D03"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7096A6F1"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i/>
          <w:iCs/>
          <w:color w:val="000000"/>
          <w:sz w:val="20"/>
          <w:szCs w:val="20"/>
        </w:rPr>
        <w:lastRenderedPageBreak/>
        <w:t>Conference call webcast Link:</w:t>
      </w:r>
    </w:p>
    <w:p w14:paraId="5E8F56FF"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https://webcast.openbriefing.com/pharming-fy21/</w:t>
      </w:r>
    </w:p>
    <w:p w14:paraId="3C0960C2"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4ED1D070"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Chief Executive Officer's Review</w:t>
      </w:r>
    </w:p>
    <w:p w14:paraId="623629FC"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i/>
          <w:iCs/>
          <w:color w:val="000000"/>
          <w:sz w:val="20"/>
          <w:szCs w:val="20"/>
        </w:rPr>
        <w:t>Building on strong foundations and investing to support sustainable long-term growth</w:t>
      </w:r>
    </w:p>
    <w:p w14:paraId="52F58575"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Following several years of increasing profitability, during 2021 we undertook a number of strategic steps to support long-term growth, including significant investment to expand our commercial business and pipeline. These investments were possible due to the continuing strong sales performance of our lead product, RUCONEST®, for the treatment of acute hereditary angioedema (HAE).</w:t>
      </w:r>
    </w:p>
    <w:p w14:paraId="300DBC56"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In line with our strategy, we have continued to expand the global reach of patients benefiting from RUCONEST®, with increasing patient enrollment and product demand, despite increasing competition and the impact of COVID-19 in early 2021 on sales and marketing activities, and patient hospitals visits. In terms of our global commercial footprint for RUCONEST®, we entered Spain and secured a distribution agreement with </w:t>
      </w:r>
      <w:proofErr w:type="spellStart"/>
      <w:r w:rsidRPr="005A6660">
        <w:rPr>
          <w:rFonts w:ascii="Arial" w:eastAsia="Times New Roman" w:hAnsi="Arial" w:cs="Arial"/>
          <w:color w:val="000000"/>
          <w:sz w:val="20"/>
          <w:szCs w:val="20"/>
        </w:rPr>
        <w:t>NewBridge</w:t>
      </w:r>
      <w:proofErr w:type="spellEnd"/>
      <w:r w:rsidRPr="005A6660">
        <w:rPr>
          <w:rFonts w:ascii="Arial" w:eastAsia="Times New Roman" w:hAnsi="Arial" w:cs="Arial"/>
          <w:color w:val="000000"/>
          <w:sz w:val="20"/>
          <w:szCs w:val="20"/>
        </w:rPr>
        <w:t xml:space="preserve"> Pharmaceuticals for several North-African and Middle-Eastern territories. Lastly, due to the strong sales performance of RUCONEST®, we were able to pay a final US$25 million installment to Bausch Health as agreed as part of the re-acquisition of US commercial rights to the product in 2016.  With a continued need for safe and reliable acute treatment options for HAE, despite an increase in prophylactic treatment options, we remain confident in the ongoing demand for RUCONEST®.</w:t>
      </w:r>
    </w:p>
    <w:p w14:paraId="19FEF920"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Importantly, we have focused on the development of our late-stage asset,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which we in-licensed from Novartis in 2019. Following the successful completion of patient enrollment in the pivotal Phase II/III study of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for the treatment of activated phosphoinositide 3-kinase delta (PI3Kδ) syndrome (APDS) in June 2021, we focused on increasing our investment in launch preparations for the product. This included entering into a collaboration with </w:t>
      </w:r>
      <w:proofErr w:type="spellStart"/>
      <w:r w:rsidRPr="005A6660">
        <w:rPr>
          <w:rFonts w:ascii="Arial" w:eastAsia="Times New Roman" w:hAnsi="Arial" w:cs="Arial"/>
          <w:color w:val="000000"/>
          <w:sz w:val="20"/>
          <w:szCs w:val="20"/>
        </w:rPr>
        <w:t>Invitae</w:t>
      </w:r>
      <w:proofErr w:type="spellEnd"/>
      <w:r w:rsidRPr="005A6660">
        <w:rPr>
          <w:rFonts w:ascii="Arial" w:eastAsia="Times New Roman" w:hAnsi="Arial" w:cs="Arial"/>
          <w:color w:val="000000"/>
          <w:sz w:val="20"/>
          <w:szCs w:val="20"/>
        </w:rPr>
        <w:t xml:space="preserve"> Corporation (NYSE: NVTA, "</w:t>
      </w:r>
      <w:proofErr w:type="spellStart"/>
      <w:r w:rsidRPr="005A6660">
        <w:rPr>
          <w:rFonts w:ascii="Arial" w:eastAsia="Times New Roman" w:hAnsi="Arial" w:cs="Arial"/>
          <w:color w:val="000000"/>
          <w:sz w:val="20"/>
          <w:szCs w:val="20"/>
        </w:rPr>
        <w:t>Invitae</w:t>
      </w:r>
      <w:proofErr w:type="spellEnd"/>
      <w:r w:rsidRPr="005A6660">
        <w:rPr>
          <w:rFonts w:ascii="Arial" w:eastAsia="Times New Roman" w:hAnsi="Arial" w:cs="Arial"/>
          <w:color w:val="000000"/>
          <w:sz w:val="20"/>
          <w:szCs w:val="20"/>
        </w:rPr>
        <w:t xml:space="preserve">"), a leading medical genetics company, to launch a sponsored genetic testing program, </w:t>
      </w:r>
      <w:proofErr w:type="spellStart"/>
      <w:r w:rsidRPr="005A6660">
        <w:rPr>
          <w:rFonts w:ascii="Arial" w:eastAsia="Times New Roman" w:hAnsi="Arial" w:cs="Arial"/>
          <w:color w:val="000000"/>
          <w:sz w:val="20"/>
          <w:szCs w:val="20"/>
        </w:rPr>
        <w:t>navigateAPDS</w:t>
      </w:r>
      <w:proofErr w:type="spellEnd"/>
      <w:r w:rsidRPr="005A6660">
        <w:rPr>
          <w:rFonts w:ascii="Arial" w:eastAsia="Times New Roman" w:hAnsi="Arial" w:cs="Arial"/>
          <w:color w:val="000000"/>
          <w:sz w:val="20"/>
          <w:szCs w:val="20"/>
        </w:rPr>
        <w:t>, designed to assist clinicians in identifying patients and their family members with APDS. The program offers eligible patients suffering from primary immunodeficiency diseases free-of-charge genetic testing to confirm an APDS diagnosis, which may lead to earlier diagnosis.</w:t>
      </w:r>
    </w:p>
    <w:p w14:paraId="65A7F7D8"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Our investment in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was validated in January 2022 with the publication of positive top-line data from the pivotal trial, which met both co-primary endpoints and demonstrated the clinical efficacy of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over placebo. We now plan to begin to submit global regulatory filings for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to the US Food and Drug Administration, the European Medicines Agency and the UK Medicines and Healthcare products Regulatory Agency starting in Q2 2022. Further clinical work will be undertaken in pediatric populations and a registration-enabling study for Japan to grow the potential market for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We also expect continued significant investment in launch preparation for the product, which is anticipated from Q1 2023 onwards, dependent on regulatory approval. Importantly, given the small specialist prescribing base, we are able to leverage our existing commercial infrastructure for RUCONEST® in HAE for the commercialization of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in APDS. We look forward to diversifying our commercial portfolio with the launch of our second product.</w:t>
      </w:r>
    </w:p>
    <w:p w14:paraId="77DC14A6"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Also in line with our strategy to leverage our in-house expertise, we signed a strategic collaboration with Orchard Therapeutics, a global gene therapy leader, to research, develop, manufacture and commercialize OTL-105, a newly disclosed investigational ex-vivo autologous hematopoietic stem cell (HSC) gene therapy for the treatment of hereditary angioedema (HAE). This partnership reinforces our long standing commitment to HAE patients and treating physicians to provide a potential cure for the disease.</w:t>
      </w:r>
    </w:p>
    <w:p w14:paraId="511115D2"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lastRenderedPageBreak/>
        <w:t>Also as part of the diversification of our asset base, we refocused efforts away from several internal early-stage projects, including the building of our own Drug Substance Processing plant for RUCONEST®, as we were able to continue our manufacturing contract with Sanofi for another five years, with options for further extensions. These decisions meant that we impaired past investments for an amount of US$5.4 million, but will be saving planned capital expenditures of well over US$40 million going forward.</w:t>
      </w:r>
    </w:p>
    <w:p w14:paraId="177EFA53"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Lastly, we have invested in our compliance and internal control systems and saw increased insurance costs. The Company believes that this increase, necessitated by Pharming's additional Nasdaq listing, is likely to be offset by the benefits of expanded access to capital that this US listing provides.  We have therefore entered 2022 on a solid footing, which will allow us to make further investments as we prepare for our next stage of growth, including our continued strategy for licensing or acquiring additional late-stage assets for unmet medical needs in rare or ultra-rare diseases to further accelerate our growth trajectory. This is supported by a strong balance sheet and bolstered by US$40 million in saved capital expenditures and access to US capital markets.</w:t>
      </w:r>
    </w:p>
    <w:p w14:paraId="7D55FE3E"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i/>
          <w:iCs/>
          <w:color w:val="000000"/>
          <w:sz w:val="20"/>
          <w:szCs w:val="20"/>
        </w:rPr>
        <w:t>Impact of COVID-19</w:t>
      </w:r>
    </w:p>
    <w:p w14:paraId="67078449"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In 2021 there was no impact on the upscaling or continued production of RUCONEST® and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and no impact on the availability or distribution of RUCONEST® to HAE patients as a result of the pandemic, which has continued into 2022.  Throughout the year, we continued to comply with international guidance and requirements across our operations to prioritize the health and safety of our employees. Over the course of the year we experienced impacts on our sales and marketing activities, delay in clinical development across our existing pipeline, and supply chain disruptions for manufacturing consumables.</w:t>
      </w:r>
    </w:p>
    <w:p w14:paraId="266AD6C9"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i/>
          <w:iCs/>
          <w:color w:val="000000"/>
          <w:sz w:val="20"/>
          <w:szCs w:val="20"/>
        </w:rPr>
        <w:t>Organizational changes to support future growth</w:t>
      </w:r>
    </w:p>
    <w:p w14:paraId="6BBEB6EE"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2021 marked a transformational year for our Executive Committee and Board of Directors.  Anurag </w:t>
      </w:r>
      <w:proofErr w:type="spellStart"/>
      <w:r w:rsidRPr="005A6660">
        <w:rPr>
          <w:rFonts w:ascii="Arial" w:eastAsia="Times New Roman" w:hAnsi="Arial" w:cs="Arial"/>
          <w:color w:val="000000"/>
          <w:sz w:val="20"/>
          <w:szCs w:val="20"/>
        </w:rPr>
        <w:t>Relan</w:t>
      </w:r>
      <w:proofErr w:type="spellEnd"/>
      <w:r w:rsidRPr="005A6660">
        <w:rPr>
          <w:rFonts w:ascii="Arial" w:eastAsia="Times New Roman" w:hAnsi="Arial" w:cs="Arial"/>
          <w:color w:val="000000"/>
          <w:sz w:val="20"/>
          <w:szCs w:val="20"/>
        </w:rPr>
        <w:t xml:space="preserve"> became Chief Medical Officer following the departure of Bruno </w:t>
      </w:r>
      <w:proofErr w:type="spellStart"/>
      <w:r w:rsidRPr="005A6660">
        <w:rPr>
          <w:rFonts w:ascii="Arial" w:eastAsia="Times New Roman" w:hAnsi="Arial" w:cs="Arial"/>
          <w:color w:val="000000"/>
          <w:sz w:val="20"/>
          <w:szCs w:val="20"/>
        </w:rPr>
        <w:t>Giannetti</w:t>
      </w:r>
      <w:proofErr w:type="spellEnd"/>
      <w:r w:rsidRPr="005A6660">
        <w:rPr>
          <w:rFonts w:ascii="Arial" w:eastAsia="Times New Roman" w:hAnsi="Arial" w:cs="Arial"/>
          <w:color w:val="000000"/>
          <w:sz w:val="20"/>
          <w:szCs w:val="20"/>
        </w:rPr>
        <w:t xml:space="preserve">, Robert Friesen was hired as Chief Science Officer, and Ruud van </w:t>
      </w:r>
      <w:proofErr w:type="spellStart"/>
      <w:r w:rsidRPr="005A6660">
        <w:rPr>
          <w:rFonts w:ascii="Arial" w:eastAsia="Times New Roman" w:hAnsi="Arial" w:cs="Arial"/>
          <w:color w:val="000000"/>
          <w:sz w:val="20"/>
          <w:szCs w:val="20"/>
        </w:rPr>
        <w:t>Outersterp</w:t>
      </w:r>
      <w:proofErr w:type="spellEnd"/>
      <w:r w:rsidRPr="005A6660">
        <w:rPr>
          <w:rFonts w:ascii="Arial" w:eastAsia="Times New Roman" w:hAnsi="Arial" w:cs="Arial"/>
          <w:color w:val="000000"/>
          <w:sz w:val="20"/>
          <w:szCs w:val="20"/>
        </w:rPr>
        <w:t xml:space="preserve"> became Chief Ethics and Compliance Officer following the departure of Anne-Marie de Groot. Upon nomination by the Board of Directors, Steven </w:t>
      </w:r>
      <w:proofErr w:type="spellStart"/>
      <w:r w:rsidRPr="005A6660">
        <w:rPr>
          <w:rFonts w:ascii="Arial" w:eastAsia="Times New Roman" w:hAnsi="Arial" w:cs="Arial"/>
          <w:color w:val="000000"/>
          <w:sz w:val="20"/>
          <w:szCs w:val="20"/>
        </w:rPr>
        <w:t>Baert</w:t>
      </w:r>
      <w:proofErr w:type="spellEnd"/>
      <w:r w:rsidRPr="005A6660">
        <w:rPr>
          <w:rFonts w:ascii="Arial" w:eastAsia="Times New Roman" w:hAnsi="Arial" w:cs="Arial"/>
          <w:color w:val="000000"/>
          <w:sz w:val="20"/>
          <w:szCs w:val="20"/>
        </w:rPr>
        <w:t xml:space="preserve">, Leon </w:t>
      </w:r>
      <w:proofErr w:type="spellStart"/>
      <w:r w:rsidRPr="005A6660">
        <w:rPr>
          <w:rFonts w:ascii="Arial" w:eastAsia="Times New Roman" w:hAnsi="Arial" w:cs="Arial"/>
          <w:color w:val="000000"/>
          <w:sz w:val="20"/>
          <w:szCs w:val="20"/>
        </w:rPr>
        <w:t>Kruimer</w:t>
      </w:r>
      <w:proofErr w:type="spellEnd"/>
      <w:r w:rsidRPr="005A6660">
        <w:rPr>
          <w:rFonts w:ascii="Arial" w:eastAsia="Times New Roman" w:hAnsi="Arial" w:cs="Arial"/>
          <w:color w:val="000000"/>
          <w:sz w:val="20"/>
          <w:szCs w:val="20"/>
        </w:rPr>
        <w:t xml:space="preserve">, and </w:t>
      </w:r>
      <w:proofErr w:type="spellStart"/>
      <w:r w:rsidRPr="005A6660">
        <w:rPr>
          <w:rFonts w:ascii="Arial" w:eastAsia="Times New Roman" w:hAnsi="Arial" w:cs="Arial"/>
          <w:color w:val="000000"/>
          <w:sz w:val="20"/>
          <w:szCs w:val="20"/>
        </w:rPr>
        <w:t>Jabine</w:t>
      </w:r>
      <w:proofErr w:type="spellEnd"/>
      <w:r w:rsidRPr="005A6660">
        <w:rPr>
          <w:rFonts w:ascii="Arial" w:eastAsia="Times New Roman" w:hAnsi="Arial" w:cs="Arial"/>
          <w:color w:val="000000"/>
          <w:sz w:val="20"/>
          <w:szCs w:val="20"/>
        </w:rPr>
        <w:t xml:space="preserve"> van der </w:t>
      </w:r>
      <w:proofErr w:type="spellStart"/>
      <w:r w:rsidRPr="005A6660">
        <w:rPr>
          <w:rFonts w:ascii="Arial" w:eastAsia="Times New Roman" w:hAnsi="Arial" w:cs="Arial"/>
          <w:color w:val="000000"/>
          <w:sz w:val="20"/>
          <w:szCs w:val="20"/>
        </w:rPr>
        <w:t>Meijs</w:t>
      </w:r>
      <w:proofErr w:type="spellEnd"/>
      <w:r w:rsidRPr="005A6660">
        <w:rPr>
          <w:rFonts w:ascii="Arial" w:eastAsia="Times New Roman" w:hAnsi="Arial" w:cs="Arial"/>
          <w:color w:val="000000"/>
          <w:sz w:val="20"/>
          <w:szCs w:val="20"/>
        </w:rPr>
        <w:t xml:space="preserve"> were appointed Non-Executive Directors to the Board at the Company's Annual General Meeting of Shareholders in May of 2021.</w:t>
      </w:r>
    </w:p>
    <w:p w14:paraId="0E7CC778"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In addition to these Executive and Board appointments, we have recruited a number of experienced new colleagues across the business during the year, to expand our existing capabilities to support future growth. Pharming's headcount (FTE) at the end of 2021 was 300, an increase of 71 compared to the end of 2020.</w:t>
      </w:r>
    </w:p>
    <w:p w14:paraId="63FCF592"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These changes come at an important time in the Company's evolution as we build a sustainable business and create long-term value for all our stakeholders.</w:t>
      </w:r>
    </w:p>
    <w:p w14:paraId="7A65DDF8"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Financial Review</w:t>
      </w:r>
    </w:p>
    <w:tbl>
      <w:tblPr>
        <w:tblW w:w="0" w:type="auto"/>
        <w:jc w:val="center"/>
        <w:tblCellMar>
          <w:left w:w="0" w:type="dxa"/>
          <w:right w:w="0" w:type="dxa"/>
        </w:tblCellMar>
        <w:tblLook w:val="04A0" w:firstRow="1" w:lastRow="0" w:firstColumn="1" w:lastColumn="0" w:noHBand="0" w:noVBand="1"/>
      </w:tblPr>
      <w:tblGrid>
        <w:gridCol w:w="3180"/>
        <w:gridCol w:w="576"/>
        <w:gridCol w:w="576"/>
        <w:gridCol w:w="886"/>
      </w:tblGrid>
      <w:tr w:rsidR="005A6660" w:rsidRPr="005A6660" w14:paraId="687F5B03" w14:textId="77777777" w:rsidTr="005A6660">
        <w:trPr>
          <w:jc w:val="center"/>
        </w:trPr>
        <w:tc>
          <w:tcPr>
            <w:tcW w:w="0" w:type="auto"/>
            <w:tcBorders>
              <w:top w:val="single" w:sz="4" w:space="0" w:color="000000"/>
              <w:left w:val="single" w:sz="4" w:space="0" w:color="000000"/>
              <w:bottom w:val="single" w:sz="4" w:space="0" w:color="000000"/>
              <w:right w:val="nil"/>
            </w:tcBorders>
            <w:tcMar>
              <w:top w:w="0" w:type="dxa"/>
              <w:left w:w="40" w:type="dxa"/>
              <w:bottom w:w="0" w:type="dxa"/>
              <w:right w:w="15" w:type="dxa"/>
            </w:tcMar>
            <w:vAlign w:val="center"/>
            <w:hideMark/>
          </w:tcPr>
          <w:p w14:paraId="31015D91"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 xml:space="preserve">Amounts in </w:t>
            </w:r>
            <w:proofErr w:type="spellStart"/>
            <w:r w:rsidRPr="005A6660">
              <w:rPr>
                <w:rFonts w:ascii="Arial" w:eastAsia="Times New Roman" w:hAnsi="Arial" w:cs="Arial"/>
                <w:b/>
                <w:bCs/>
                <w:color w:val="000000"/>
                <w:sz w:val="16"/>
                <w:szCs w:val="16"/>
              </w:rPr>
              <w:t>US$m</w:t>
            </w:r>
            <w:proofErr w:type="spellEnd"/>
            <w:r w:rsidRPr="005A6660">
              <w:rPr>
                <w:rFonts w:ascii="Arial" w:eastAsia="Times New Roman" w:hAnsi="Arial" w:cs="Arial"/>
                <w:b/>
                <w:bCs/>
                <w:color w:val="000000"/>
                <w:sz w:val="16"/>
                <w:szCs w:val="16"/>
              </w:rPr>
              <w:t xml:space="preserve"> except per share data</w:t>
            </w:r>
          </w:p>
        </w:tc>
        <w:tc>
          <w:tcPr>
            <w:tcW w:w="0" w:type="auto"/>
            <w:tcBorders>
              <w:top w:val="single" w:sz="4" w:space="0" w:color="000000"/>
              <w:left w:val="single" w:sz="4" w:space="0" w:color="000000"/>
              <w:bottom w:val="single" w:sz="4" w:space="0" w:color="000000"/>
              <w:right w:val="nil"/>
            </w:tcBorders>
            <w:tcMar>
              <w:top w:w="0" w:type="dxa"/>
              <w:left w:w="40" w:type="dxa"/>
              <w:bottom w:w="0" w:type="dxa"/>
              <w:right w:w="135" w:type="dxa"/>
            </w:tcMar>
            <w:vAlign w:val="bottom"/>
            <w:hideMark/>
          </w:tcPr>
          <w:p w14:paraId="1C6F61DD" w14:textId="77777777" w:rsidR="005A6660" w:rsidRPr="005A6660" w:rsidRDefault="005A6660" w:rsidP="005A6660">
            <w:pPr>
              <w:spacing w:after="0" w:line="240" w:lineRule="auto"/>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2021</w:t>
            </w:r>
          </w:p>
        </w:tc>
        <w:tc>
          <w:tcPr>
            <w:tcW w:w="0" w:type="auto"/>
            <w:tcBorders>
              <w:top w:val="single" w:sz="4" w:space="0" w:color="000000"/>
              <w:left w:val="single" w:sz="4" w:space="0" w:color="000000"/>
              <w:bottom w:val="single" w:sz="4" w:space="0" w:color="000000"/>
              <w:right w:val="nil"/>
            </w:tcBorders>
            <w:tcMar>
              <w:top w:w="0" w:type="dxa"/>
              <w:left w:w="40" w:type="dxa"/>
              <w:bottom w:w="0" w:type="dxa"/>
              <w:right w:w="135" w:type="dxa"/>
            </w:tcMar>
            <w:vAlign w:val="bottom"/>
            <w:hideMark/>
          </w:tcPr>
          <w:p w14:paraId="780A1B1F" w14:textId="77777777" w:rsidR="005A6660" w:rsidRPr="005A6660" w:rsidRDefault="005A6660" w:rsidP="005A6660">
            <w:pPr>
              <w:spacing w:after="0" w:line="240" w:lineRule="auto"/>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15" w:type="dxa"/>
            </w:tcMar>
            <w:vAlign w:val="center"/>
            <w:hideMark/>
          </w:tcPr>
          <w:p w14:paraId="36BF6B2C" w14:textId="77777777" w:rsidR="005A6660" w:rsidRPr="005A6660" w:rsidRDefault="005A6660" w:rsidP="005A6660">
            <w:pPr>
              <w:spacing w:after="0" w:line="240" w:lineRule="auto"/>
              <w:ind w:left="57"/>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 Change</w:t>
            </w:r>
          </w:p>
        </w:tc>
      </w:tr>
      <w:tr w:rsidR="005A6660" w:rsidRPr="005A6660" w14:paraId="0198B184"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8D36EB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Income Statement</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624C0AA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1A424360"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35" w:type="dxa"/>
            </w:tcMar>
            <w:vAlign w:val="bottom"/>
            <w:hideMark/>
          </w:tcPr>
          <w:p w14:paraId="7B1F7A03"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71E8D0C7"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9DEC22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Revenues</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51CA807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198.9</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60B06DE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212.2</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30" w:type="dxa"/>
            </w:tcMar>
            <w:vAlign w:val="bottom"/>
            <w:hideMark/>
          </w:tcPr>
          <w:p w14:paraId="6B7490E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(6)%</w:t>
            </w:r>
          </w:p>
        </w:tc>
      </w:tr>
      <w:tr w:rsidR="005A6660" w:rsidRPr="005A6660" w14:paraId="5FAD13F7"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B9E45B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Gross profit</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51E5A58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177.7</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720CAF7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188.6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30" w:type="dxa"/>
            </w:tcMar>
            <w:vAlign w:val="bottom"/>
            <w:hideMark/>
          </w:tcPr>
          <w:p w14:paraId="6BB37C1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(6)%</w:t>
            </w:r>
          </w:p>
        </w:tc>
      </w:tr>
      <w:tr w:rsidR="005A6660" w:rsidRPr="005A6660" w14:paraId="6458FE12"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DE3C3D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Operating profit</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75DC280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13.6</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19F78A9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76.3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30" w:type="dxa"/>
            </w:tcMar>
            <w:vAlign w:val="bottom"/>
            <w:hideMark/>
          </w:tcPr>
          <w:p w14:paraId="488D008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(82)%</w:t>
            </w:r>
          </w:p>
        </w:tc>
      </w:tr>
      <w:tr w:rsidR="005A6660" w:rsidRPr="005A6660" w14:paraId="2950C35E"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517F4F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Profit for the year</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431EA92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16.0</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0A4C718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37.7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30" w:type="dxa"/>
            </w:tcMar>
            <w:vAlign w:val="bottom"/>
            <w:hideMark/>
          </w:tcPr>
          <w:p w14:paraId="31ABDD2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(58)%</w:t>
            </w:r>
          </w:p>
        </w:tc>
      </w:tr>
      <w:tr w:rsidR="005A6660" w:rsidRPr="005A6660" w14:paraId="3245696C"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A63B39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Balance Sheet</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7DED2B13"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0E9A70D7"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35" w:type="dxa"/>
            </w:tcMar>
            <w:vAlign w:val="bottom"/>
            <w:hideMark/>
          </w:tcPr>
          <w:p w14:paraId="55E7A22D"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1D65578A"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BEA1C3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Cash &amp; marketable securities</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4F4A3F5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193.0</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6E6D4ED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206.7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30" w:type="dxa"/>
            </w:tcMar>
            <w:vAlign w:val="bottom"/>
            <w:hideMark/>
          </w:tcPr>
          <w:p w14:paraId="727569B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(7)%</w:t>
            </w:r>
          </w:p>
        </w:tc>
      </w:tr>
      <w:tr w:rsidR="005A6660" w:rsidRPr="005A6660" w14:paraId="2FF85FFD"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3DC1CAD"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Share Information</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3E4506FE"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792A188F"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35" w:type="dxa"/>
            </w:tcMar>
            <w:vAlign w:val="bottom"/>
            <w:hideMark/>
          </w:tcPr>
          <w:p w14:paraId="5EFD216E"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3DB32853"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6873D6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Basic earnings per share (US$)</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6D4AB59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0.025</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6625254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0.058</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30" w:type="dxa"/>
            </w:tcMar>
            <w:vAlign w:val="bottom"/>
            <w:hideMark/>
          </w:tcPr>
          <w:p w14:paraId="3A14740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(57)%</w:t>
            </w:r>
          </w:p>
        </w:tc>
      </w:tr>
      <w:tr w:rsidR="005A6660" w:rsidRPr="005A6660" w14:paraId="681B0926" w14:textId="77777777" w:rsidTr="005A6660">
        <w:trPr>
          <w:jc w:val="center"/>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D1EC97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lastRenderedPageBreak/>
              <w:t>Diluted earnings per share (US$)</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41231DB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0.023</w:t>
            </w:r>
          </w:p>
        </w:tc>
        <w:tc>
          <w:tcPr>
            <w:tcW w:w="0" w:type="auto"/>
            <w:tcBorders>
              <w:top w:val="nil"/>
              <w:left w:val="single" w:sz="4" w:space="0" w:color="000000"/>
              <w:bottom w:val="single" w:sz="4" w:space="0" w:color="000000"/>
              <w:right w:val="nil"/>
            </w:tcBorders>
            <w:tcMar>
              <w:top w:w="0" w:type="dxa"/>
              <w:left w:w="40" w:type="dxa"/>
              <w:bottom w:w="0" w:type="dxa"/>
              <w:right w:w="135" w:type="dxa"/>
            </w:tcMar>
            <w:vAlign w:val="bottom"/>
            <w:hideMark/>
          </w:tcPr>
          <w:p w14:paraId="7B36CBC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0.055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30" w:type="dxa"/>
            </w:tcMar>
            <w:vAlign w:val="bottom"/>
            <w:hideMark/>
          </w:tcPr>
          <w:p w14:paraId="00340E7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(58)%</w:t>
            </w:r>
          </w:p>
        </w:tc>
      </w:tr>
    </w:tbl>
    <w:p w14:paraId="703AD98F"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1CB93A9D"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In 2021, Pharming's revenues decreased by 6% to US$198.9 million and operating profit decreased by 82% to US$13.6 million. Net profit decreased by 58% to US$16.0 million. This section will further elaborate on Pharming's financial performance in 2021.</w:t>
      </w:r>
    </w:p>
    <w:p w14:paraId="090A4FA9"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Revenues and Gross Profit</w:t>
      </w:r>
    </w:p>
    <w:p w14:paraId="6B9EC9D4"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The decrease in revenues was primarily a result of lower sales of RUCONEST® in the US market (US$193.4 million in 2021 compared to US$202.7 million in 2020). In the US, there was a surge in COVID-19 cases at the end of 2020 and into 2021, which led to some patients pre-filling of RUCONEST® prescriptions in Q4 2020. It also resulted in the temporary closure of the majority of physician offices, causing a reduction in routine and diagnostic patient visits and a slowdown of annual renewals of prescriptions. The combination of these factors led to lower prescription refill rates by patients still using their additional RUCONEST® stock from Q4 2020 and a reduction in new patient enrollments in the first part of Q1 2021. During the remainder of the year, these trends were reversed, with a significant increase in new patient enrollments.</w:t>
      </w:r>
    </w:p>
    <w:p w14:paraId="45B1B623"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Revenues in Europe decreased to US$4.9 million in 2021 (from US$8.2 million in 2020). This decrease was mainly caused by phasing of ordering. Pharming continues to build its EU commercial infrastructure and expand into new territories. Revenue in Rest of the World (excluding Europe) decreased to US$0.5 million (from US$1.3 million in 2020).</w:t>
      </w:r>
    </w:p>
    <w:p w14:paraId="4DA53AC0"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Cost of sales decreased by 10% from US$23.5 million in 2020 to US$21.1 million in 2021. Costs of sales related to product sales in 2021 amounted to US$19.1 million (2020: US$23.5 million). The remainder of costs in 2021 (US$2.0 million) stems from impairment charges on inventory designated for commercial activities. No such impairment charges were applicable for 2020.</w:t>
      </w:r>
    </w:p>
    <w:p w14:paraId="56CBB004"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Gross profit decreased US$10.9 million, or 6%, from US$188.6 million for the year ended 31 December 2020 to US$177.7 million for the year ended 31 December 2021. The main reasons for this decrease were the reduction in  sales in the US and EU and accompanying decrease in cost of sales.</w:t>
      </w:r>
    </w:p>
    <w:p w14:paraId="5F2C623E"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Other Operating Costs and Operating Profit</w:t>
      </w:r>
    </w:p>
    <w:p w14:paraId="44C1C7BB"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Other operating costs increased to US$166.8 million for the year ended 31 December 2021 from US$114.2 million for the year ended 31 December 2020. This cost increase of US$52.6 million caused operating profit for the year 2021 to decrease by 82% to US$13.6 million, from US$76.3 million in 2020.</w:t>
      </w:r>
    </w:p>
    <w:p w14:paraId="5918174A"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The costs for 2021 increased mainly due to investments in Pharming's long term growth. Key elements are significant investments in the pipeline, including one-off costs of the upfront payment of US$13.1 million to in-license OTL-105 from Orchard Therapeutics and pre-launch marketing preparations and manufacturing costs for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(US$11.6 million). The organization was enhanced to support growth, so employee numbers increased (US$8.2 million). Insurance costs increased due to the Nasdaq listing (US$5.5 million).</w:t>
      </w:r>
    </w:p>
    <w:p w14:paraId="0C42613B"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In addition, impairment losses on tangible and intangible assets were realized: US$5.4 million from the cancelled downstream production plant and US$4.8 million related to the cancelled development of RUCONEST® in a more convenient form for patients. </w:t>
      </w:r>
    </w:p>
    <w:p w14:paraId="6998C4C3"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Financial income and expenses</w:t>
      </w:r>
    </w:p>
    <w:p w14:paraId="24C14CC0"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lastRenderedPageBreak/>
        <w:t>Other finance income increased by US$14.2 million, from US$0.7 million for the year ended 31 December 2020 to US$14.9 million for the year ended 31 December 2021. This increase was primarily due to the significant increase in the US dollar versus the Euro during 2021. Significant favorable currency effects (US$14.8 million) were incurred on the cash balances in US dollars.</w:t>
      </w:r>
    </w:p>
    <w:p w14:paraId="26AA2869"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Other finance expenses decreased by US$27.1 million, from US$33.3 million for the year ended 31 December 2020 to US$6.2 million for the year ended 31 December 2021. This decrease was primarily due to the significant increase in the exchange rate of the US dollar versus the Euro during 2021, as mentioned in finance income. Furthermore, in 2020 settlement fees and expenses of US$4.3 million were paid back and extinguished the loan from </w:t>
      </w:r>
      <w:proofErr w:type="spellStart"/>
      <w:r w:rsidRPr="005A6660">
        <w:rPr>
          <w:rFonts w:ascii="Arial" w:eastAsia="Times New Roman" w:hAnsi="Arial" w:cs="Arial"/>
          <w:color w:val="000000"/>
          <w:sz w:val="20"/>
          <w:szCs w:val="20"/>
        </w:rPr>
        <w:t>Orbimed</w:t>
      </w:r>
      <w:proofErr w:type="spellEnd"/>
      <w:r w:rsidRPr="005A6660">
        <w:rPr>
          <w:rFonts w:ascii="Arial" w:eastAsia="Times New Roman" w:hAnsi="Arial" w:cs="Arial"/>
          <w:color w:val="000000"/>
          <w:sz w:val="20"/>
          <w:szCs w:val="20"/>
        </w:rPr>
        <w:t xml:space="preserve"> Advisors completely. In 2021, no settlement fees were paid. Finally, the final milestone of the contingent consideration which formed part of the re-acquisition transaction for North American commercial rights for RUCONEST® was triggered in Q4 2020, with the relating finance expenses of US$3.7 million. No such expenses are applicable for 2021.</w:t>
      </w:r>
    </w:p>
    <w:p w14:paraId="68DD02A2"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Income tax expense</w:t>
      </w:r>
    </w:p>
    <w:p w14:paraId="01BAED6D"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Income tax expense increased US$0.8 million from US$6.3 million for the year ended 31 December 2020 to US$7.1 million for the year ended 31 December 2021, despite a lower profit before tax for the year 2021 compared to 2020. The increase is caused by increased foreign tax rate differential (US$1.4 million), increased changes in non-taxable income (US$1.7 million), increased changes in statutory applicable tax rate affecting the deferred tax expense (US$2.3 million) and other smaller differences (US$0.7 million). These increases are offset by a lower taxable income (US$5.3 million).</w:t>
      </w:r>
    </w:p>
    <w:p w14:paraId="7B3329A3"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Profit for the year</w:t>
      </w:r>
    </w:p>
    <w:p w14:paraId="74D15783"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Total net profit in 2021 of US$16.0 million represented a decrease of 58% over 2020 (US$37.7 million). The decrease is mainly caused by an increase in operating costs, due to company growth, investments in Pharming's product pipeline  and impairment charges on the cancelled downstream production facility. These increased costs are partly offset by favorable currency exchange effects.</w:t>
      </w:r>
    </w:p>
    <w:p w14:paraId="1E1732C1"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Intangible assets</w:t>
      </w:r>
    </w:p>
    <w:p w14:paraId="7B02DAD2"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In 2021, intangible assets decreased by US$10.2 million from US$94.1 million in 2020 to US$83.8 million in 2021. The decrease is caused by regular amortization (US$4.1 million), impairment charges (US$5.1 million) and foreign currency effects (US$7.1 million), partly offset by investments in assets (US$6.0 million).</w:t>
      </w:r>
    </w:p>
    <w:p w14:paraId="379199C8"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i/>
          <w:iCs/>
          <w:color w:val="000000"/>
          <w:sz w:val="20"/>
          <w:szCs w:val="20"/>
        </w:rPr>
        <w:t>Amortization</w:t>
      </w:r>
    </w:p>
    <w:p w14:paraId="67C57248"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This relates to regular amortization of the re-acquired rights related to the acquisition of all North American commercialization rights from Bausch Health in 2016 and the acquisition of all European commercialization and distribution rights from Swedish Orphan International AB ("</w:t>
      </w:r>
      <w:proofErr w:type="spellStart"/>
      <w:r w:rsidRPr="005A6660">
        <w:rPr>
          <w:rFonts w:ascii="Arial" w:eastAsia="Times New Roman" w:hAnsi="Arial" w:cs="Arial"/>
          <w:color w:val="000000"/>
          <w:sz w:val="20"/>
          <w:szCs w:val="20"/>
        </w:rPr>
        <w:t>Sobi</w:t>
      </w:r>
      <w:proofErr w:type="spellEnd"/>
      <w:r w:rsidRPr="005A6660">
        <w:rPr>
          <w:rFonts w:ascii="Arial" w:eastAsia="Times New Roman" w:hAnsi="Arial" w:cs="Arial"/>
          <w:color w:val="000000"/>
          <w:sz w:val="20"/>
          <w:szCs w:val="20"/>
        </w:rPr>
        <w:t>") in 2020. Amortization is charged based on the economic lifetime of the intangible asset. The economic lifetime of the North American commercialization rights from Bausch Health is 20 years, where the economic lifetime of the European commercialization and distribution rights from Swedish Orphan International AB is 12 years. This estimate did not change compared to previous year.</w:t>
      </w:r>
    </w:p>
    <w:p w14:paraId="1CBE3230"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i/>
          <w:iCs/>
          <w:color w:val="000000"/>
          <w:sz w:val="20"/>
          <w:szCs w:val="20"/>
        </w:rPr>
        <w:t>Impairment charges</w:t>
      </w:r>
    </w:p>
    <w:p w14:paraId="479822D8"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In 2018, the Company started to modify the current product RUCONEST® for more convenient forms of administration for use by the patient. This was expected to have resulted in better variants of the existing product.  A total amount of US$4.6 million for the new variant prioritized version has been recognized as an internally generated intangible asset as at 31 December 2019. In 2020, the Company incurred  </w:t>
      </w:r>
      <w:r w:rsidRPr="005A6660">
        <w:rPr>
          <w:rFonts w:ascii="Arial" w:eastAsia="Times New Roman" w:hAnsi="Arial" w:cs="Arial"/>
          <w:color w:val="000000"/>
          <w:sz w:val="20"/>
          <w:szCs w:val="20"/>
        </w:rPr>
        <w:lastRenderedPageBreak/>
        <w:t>development costs of US$0.2 million, while in 2021 no costs were incurred given a re-prioritization of the effort invested in the Company's pipeline assets. The cost of the asset has been fully impaired in 2021 as the development program of the variant has been hibernated, resulting in an impairment charge of US$4.8 million.</w:t>
      </w:r>
    </w:p>
    <w:p w14:paraId="327D9648"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In 2014, the Company acquired assets from Transgenic Rabbit Models SASU, for a total amount of US$0.5 million, which was recognized as intangible assets related to development costs of two new product leads: alpha-glucosidase for </w:t>
      </w:r>
      <w:proofErr w:type="spellStart"/>
      <w:r w:rsidRPr="005A6660">
        <w:rPr>
          <w:rFonts w:ascii="Arial" w:eastAsia="Times New Roman" w:hAnsi="Arial" w:cs="Arial"/>
          <w:color w:val="000000"/>
          <w:sz w:val="20"/>
          <w:szCs w:val="20"/>
        </w:rPr>
        <w:t>Pompe</w:t>
      </w:r>
      <w:proofErr w:type="spellEnd"/>
      <w:r w:rsidRPr="005A6660">
        <w:rPr>
          <w:rFonts w:ascii="Arial" w:eastAsia="Times New Roman" w:hAnsi="Arial" w:cs="Arial"/>
          <w:color w:val="000000"/>
          <w:sz w:val="20"/>
          <w:szCs w:val="20"/>
        </w:rPr>
        <w:t xml:space="preserve"> disease and alpha-galactosidase for Fabry's disease. Given a re-prioritization of the effort invested in the Company's pipeline asset, the board of directors decided to fully impair the asset relating to alpha-galactosidase for Fabry's disease, resulting in an impairment charge of US$0.3 million.</w:t>
      </w:r>
    </w:p>
    <w:p w14:paraId="16FB0B85"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i/>
          <w:iCs/>
          <w:color w:val="000000"/>
          <w:sz w:val="20"/>
          <w:szCs w:val="20"/>
        </w:rPr>
        <w:t>Investments</w:t>
      </w:r>
    </w:p>
    <w:p w14:paraId="37F5AC1B"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Investments in intangible assets relate to software and the Novartis license.</w:t>
      </w:r>
    </w:p>
    <w:p w14:paraId="66D869E3"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Assets acquired related to software (US$3.4 million) mainly relate to the implementation of Pharming's new ERP system SAP S/4HANA. The new ERP system was implemented and operational as of January 1st, 2022 and hence no amortization charges are applicable for 2021.</w:t>
      </w:r>
    </w:p>
    <w:p w14:paraId="176320C1"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In 2021, the Company paid US$2.6 million to Novartis for additional development. In August 2019, Pharming entered into a development collaboration and license agreement with Novartis to develop and commercialize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a small molecule phosphoinositide 3-kinase delta (P13Kδ) inhibitor being developed by Novartis to treat patients with Activated Phosphoinositide 3-kinase Delta Syndrome ("APDS"). The asset is not subject to amortization during 2021. Amortization will start when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is approved for commercialization.</w:t>
      </w:r>
    </w:p>
    <w:p w14:paraId="50EC462F"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Property, plant and equipment</w:t>
      </w:r>
    </w:p>
    <w:p w14:paraId="134D4A26"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Property, plant and equipment increased from US$12.2 million for the year ended 31 December 2020 to US$13.2 million for the year ended 31 December 2021. In 2021, the Company had capital expenditures of US$10.7 million (2020: US$4.7 million), mainly related to new production facilities and machinery and equipment. As a result of our renewed strategic manufacturing partnership with long-term manufacturing partner Sanofi S.A., and following careful consideration, specifically regarding recently significantly increased fit-out costs, the Company decided to have the construction of the new building completed, but no longer pursue the realization of its own downstream production capacity at Pivot Park in Oss. Pharming will continue to use the building under construction for alternative purposes. This decision resulted in an impairment of capitalized fit-out costs in assets under construction of US$5.4 million. Of this amount, a total US$4.4 million is part of investments in 2021. The remainder of the increase is partly offset by regular depreciation (US$3.2 million) and foreign currency effects US$0.9 million.</w:t>
      </w:r>
    </w:p>
    <w:p w14:paraId="17225BD0"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Right-of-use assets</w:t>
      </w:r>
    </w:p>
    <w:p w14:paraId="1C290365"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The right of use assets increased by US$10.5 million to US$19.9 million per the year ended 31 December 2021 (2020: US$9.4 million). Investments (US$14.2 million) in 2021 primarily relate to new lease contracts for our operational facilities in the Netherlands. These investments are partly offset by regular depreciation (US$2.8 million) and foreign currency effects (US$0.9 million).</w:t>
      </w:r>
    </w:p>
    <w:p w14:paraId="6C740272"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Inventories</w:t>
      </w:r>
    </w:p>
    <w:p w14:paraId="398EB791"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Inventories increased from US$21.2 million for the year ended 31 December, 2020 to US$27.3 million for the year ended 31 December 2021, largely due to an increase in work in progress inventory anticipating sales growth.</w:t>
      </w:r>
    </w:p>
    <w:p w14:paraId="3324FBBC"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lastRenderedPageBreak/>
        <w:t>Cash and cash equivalents</w:t>
      </w:r>
    </w:p>
    <w:p w14:paraId="2CDA2EC5"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Cash and cash equivalents, together with restricted cash decreased to US$193.0 million at the </w:t>
      </w:r>
      <w:proofErr w:type="spellStart"/>
      <w:r w:rsidRPr="005A6660">
        <w:rPr>
          <w:rFonts w:ascii="Arial" w:eastAsia="Times New Roman" w:hAnsi="Arial" w:cs="Arial"/>
          <w:color w:val="000000"/>
          <w:sz w:val="20"/>
          <w:szCs w:val="20"/>
        </w:rPr>
        <w:t>year end</w:t>
      </w:r>
      <w:proofErr w:type="spellEnd"/>
      <w:r w:rsidRPr="005A6660">
        <w:rPr>
          <w:rFonts w:ascii="Arial" w:eastAsia="Times New Roman" w:hAnsi="Arial" w:cs="Arial"/>
          <w:color w:val="000000"/>
          <w:sz w:val="20"/>
          <w:szCs w:val="20"/>
        </w:rPr>
        <w:t xml:space="preserve"> 2021, compared with US$206.7 million for the year ended 31 December 2020. This was as a result of positive cash flows from operating activities of US$37.8 million remaining after the US$13.1 million one- off payment to Orchard Therapeutics and reduced by investments and negative financing cash flows totaling US$49.3 million. These US$49.3 million include investments in production facilities and the payment of the final US$25.0 million milestone to Bausch Health Inc. in Q2 2021 in relation to the re-acquisition of the North American RUCONEST® commercialization rights in 2016.</w:t>
      </w:r>
    </w:p>
    <w:p w14:paraId="4940FC61"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Equity</w:t>
      </w:r>
    </w:p>
    <w:p w14:paraId="5D1EF3A5"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The equity position increased by US$9.5 million  from US$183.4 million for the year ended 31 December 2020 to US$192.9 million for the year ended 31 December 2021, mainly due to the changes in the net result achieved by Pharming (US$16.0 million) and transactions recognized directly in equity, relating to share based compensation and exercised options (US$10.6 million), partly offset by other comprehensive income relating to currency translation reserve US$15.1 million and fair value changes on investments designated as fair value with changes through other comprehensive income US$2.3 million.</w:t>
      </w:r>
    </w:p>
    <w:p w14:paraId="0775FC0D"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Convertible bond</w:t>
      </w:r>
    </w:p>
    <w:p w14:paraId="545342E8"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The convertible bond value has decreased by US$10.9 million to US$140.9 million at the </w:t>
      </w:r>
      <w:proofErr w:type="spellStart"/>
      <w:r w:rsidRPr="005A6660">
        <w:rPr>
          <w:rFonts w:ascii="Arial" w:eastAsia="Times New Roman" w:hAnsi="Arial" w:cs="Arial"/>
          <w:color w:val="000000"/>
          <w:sz w:val="20"/>
          <w:szCs w:val="20"/>
        </w:rPr>
        <w:t>year end</w:t>
      </w:r>
      <w:proofErr w:type="spellEnd"/>
      <w:r w:rsidRPr="005A6660">
        <w:rPr>
          <w:rFonts w:ascii="Arial" w:eastAsia="Times New Roman" w:hAnsi="Arial" w:cs="Arial"/>
          <w:color w:val="000000"/>
          <w:sz w:val="20"/>
          <w:szCs w:val="20"/>
        </w:rPr>
        <w:t xml:space="preserve"> 2021, coming from US$151.8 million as per 31 December 2020. This is mainly caused by foreign currency effects of US$11.7 million, which is partly offset by amortization of transactions costs (US$0.8 million). During 2021, a total of US$4.4 million of interest was paid.</w:t>
      </w:r>
    </w:p>
    <w:p w14:paraId="193AA35D"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Lease liabilities</w:t>
      </w:r>
    </w:p>
    <w:p w14:paraId="7999DB88"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Lease liabilities increased by US$10.7 million from US$10.2 million as per 31 December 2020 to US$20.9 million per 31 December 2021. The increase is mainly due to new lease contracts for our operational facilities in the Netherlands (US$14.1 million), partly offset by monthly or quarterly lease payments (US$3.2 million). The remainder relates to regular accrued interest expenses and foreign exchange effects.</w:t>
      </w:r>
    </w:p>
    <w:p w14:paraId="1E87EBD1"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Other financial liabilities</w:t>
      </w:r>
    </w:p>
    <w:p w14:paraId="5F6E6AB2"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Other financial liabilities decreased by US$25.0 million during 2021, which is caused by the full repayment of the final US$25.0 million milestone to Bausch Health Inc. in Q2 2021 in relation to the re-acquisition of the North American RUCONEST® commercialization rights in 2016 (contingent consideration).</w:t>
      </w:r>
    </w:p>
    <w:p w14:paraId="2A000A3A"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5E952B8F"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Outlook</w:t>
      </w:r>
    </w:p>
    <w:p w14:paraId="1BB4FAA6"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For 2022, the Company anticipates:</w:t>
      </w:r>
    </w:p>
    <w:p w14:paraId="090062C9" w14:textId="77777777" w:rsidR="005A6660" w:rsidRPr="005A6660" w:rsidRDefault="005A6660" w:rsidP="005A6660">
      <w:pPr>
        <w:numPr>
          <w:ilvl w:val="0"/>
          <w:numId w:val="7"/>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A return to single digit growth in Group revenues from RUCONEST® sales, driven by the US and expanded EU operations, subject to the progression of the COVID-19 pandemic. Quarterly fluctuations in revenues are expected.</w:t>
      </w:r>
    </w:p>
    <w:p w14:paraId="6EDA8080" w14:textId="77777777" w:rsidR="005A6660" w:rsidRPr="005A6660" w:rsidRDefault="005A6660" w:rsidP="005A6660">
      <w:pPr>
        <w:numPr>
          <w:ilvl w:val="0"/>
          <w:numId w:val="7"/>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 xml:space="preserve">The submission of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regulatory filings to FDA and EMA, with commercial launch expected from early Q1 2023 onwards, subject to regulatory approvals.</w:t>
      </w:r>
    </w:p>
    <w:p w14:paraId="4F809347" w14:textId="77777777" w:rsidR="005A6660" w:rsidRPr="005A6660" w:rsidRDefault="005A6660" w:rsidP="005A6660">
      <w:pPr>
        <w:numPr>
          <w:ilvl w:val="0"/>
          <w:numId w:val="7"/>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lastRenderedPageBreak/>
        <w:t xml:space="preserve">The company will invest in this new product opportunity to accelerate future growth. Investments in launch preparations and focused clinical development for </w:t>
      </w:r>
      <w:proofErr w:type="spellStart"/>
      <w:r w:rsidRPr="005A6660">
        <w:rPr>
          <w:rFonts w:ascii="Arial" w:eastAsia="Times New Roman" w:hAnsi="Arial" w:cs="Arial"/>
          <w:color w:val="000000"/>
          <w:sz w:val="20"/>
          <w:szCs w:val="20"/>
        </w:rPr>
        <w:t>leniolisib</w:t>
      </w:r>
      <w:proofErr w:type="spellEnd"/>
      <w:r w:rsidRPr="005A6660">
        <w:rPr>
          <w:rFonts w:ascii="Arial" w:eastAsia="Times New Roman" w:hAnsi="Arial" w:cs="Arial"/>
          <w:color w:val="000000"/>
          <w:sz w:val="20"/>
          <w:szCs w:val="20"/>
        </w:rPr>
        <w:t xml:space="preserve"> will significantly increase and will significantly impact profit. With continued cash flow from RUCONEST® to fund these investments, no additional financing to support the current business is expected.</w:t>
      </w:r>
    </w:p>
    <w:p w14:paraId="129EF079" w14:textId="77777777" w:rsidR="005A6660" w:rsidRPr="005A6660" w:rsidRDefault="005A6660" w:rsidP="005A6660">
      <w:pPr>
        <w:numPr>
          <w:ilvl w:val="0"/>
          <w:numId w:val="7"/>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Focused investment in potential acquisitions and in-licensing of new late-stage development opportunities and assets in rare and ultra-rare diseases. Financing, if required, would come via a combination of our strong balance sheet and access to capital markets. </w:t>
      </w:r>
    </w:p>
    <w:p w14:paraId="767C1816" w14:textId="77777777" w:rsidR="005A6660" w:rsidRPr="005A6660" w:rsidRDefault="005A6660" w:rsidP="005A6660">
      <w:pPr>
        <w:numPr>
          <w:ilvl w:val="0"/>
          <w:numId w:val="7"/>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Continued focus on our strategic development, ensuring Pharming's growth through developed assets and a potentially expanded pipeline of in-licensed products to provide further life-saving therapies for patients with unmet medical needs and increase returns for our shareholders.</w:t>
      </w:r>
    </w:p>
    <w:p w14:paraId="11B504CC" w14:textId="77777777" w:rsidR="005A6660" w:rsidRPr="005A6660" w:rsidRDefault="005A6660" w:rsidP="005A6660">
      <w:pPr>
        <w:numPr>
          <w:ilvl w:val="0"/>
          <w:numId w:val="7"/>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Continued close monitoring of the ongoing COVID-19 pandemic and the potential impact on the business.</w:t>
      </w:r>
    </w:p>
    <w:p w14:paraId="6885C2E0"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No further specific financial guidance for 2022 is provided.</w:t>
      </w:r>
    </w:p>
    <w:p w14:paraId="6E91F120"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Pharming Group N.V.</w:t>
      </w:r>
    </w:p>
    <w:p w14:paraId="6FDC4C16"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Condensed Consolidated Financial Statements in US Dollars (unaudited)</w:t>
      </w:r>
    </w:p>
    <w:p w14:paraId="715FE4BF"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For the year ended 31 December 2021</w:t>
      </w:r>
    </w:p>
    <w:p w14:paraId="06D75DDD" w14:textId="77777777" w:rsidR="005A6660" w:rsidRPr="005A6660" w:rsidRDefault="005A6660" w:rsidP="005A6660">
      <w:pPr>
        <w:numPr>
          <w:ilvl w:val="0"/>
          <w:numId w:val="8"/>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Condensed consolidated statement of profit and loss</w:t>
      </w:r>
    </w:p>
    <w:p w14:paraId="0F389F1C" w14:textId="77777777" w:rsidR="005A6660" w:rsidRPr="005A6660" w:rsidRDefault="005A6660" w:rsidP="005A6660">
      <w:pPr>
        <w:numPr>
          <w:ilvl w:val="0"/>
          <w:numId w:val="8"/>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Condensed consolidated statement of comprehensive income</w:t>
      </w:r>
    </w:p>
    <w:p w14:paraId="0A3CB504" w14:textId="77777777" w:rsidR="005A6660" w:rsidRPr="005A6660" w:rsidRDefault="005A6660" w:rsidP="005A6660">
      <w:pPr>
        <w:numPr>
          <w:ilvl w:val="0"/>
          <w:numId w:val="8"/>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Condensed consolidated balance sheet</w:t>
      </w:r>
    </w:p>
    <w:p w14:paraId="55F904A3" w14:textId="77777777" w:rsidR="005A6660" w:rsidRPr="005A6660" w:rsidRDefault="005A6660" w:rsidP="005A6660">
      <w:pPr>
        <w:numPr>
          <w:ilvl w:val="0"/>
          <w:numId w:val="8"/>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Condensed consolidated statement of cash flow</w:t>
      </w:r>
    </w:p>
    <w:p w14:paraId="4D33C52B"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Appendix: Main condensed consolidated Financial Statements reported in Euros (unaudited)</w:t>
      </w:r>
    </w:p>
    <w:p w14:paraId="561FE84C"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(This appendix is not part of the Condensed Consolidated Financial Statements)</w:t>
      </w:r>
    </w:p>
    <w:p w14:paraId="211F981C" w14:textId="77777777" w:rsidR="005A6660" w:rsidRPr="005A6660" w:rsidRDefault="005A6660" w:rsidP="005A6660">
      <w:pPr>
        <w:numPr>
          <w:ilvl w:val="0"/>
          <w:numId w:val="9"/>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Condensed consolidated statement of profit and loss in Euros</w:t>
      </w:r>
    </w:p>
    <w:p w14:paraId="541B1E3F" w14:textId="77777777" w:rsidR="005A6660" w:rsidRPr="005A6660" w:rsidRDefault="005A6660" w:rsidP="005A6660">
      <w:pPr>
        <w:numPr>
          <w:ilvl w:val="0"/>
          <w:numId w:val="9"/>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Condensed consolidated statement balance sheet in Euros</w:t>
      </w:r>
    </w:p>
    <w:p w14:paraId="2F6439F1" w14:textId="77777777" w:rsidR="005A6660" w:rsidRPr="005A6660" w:rsidRDefault="005A6660" w:rsidP="005A6660">
      <w:pPr>
        <w:numPr>
          <w:ilvl w:val="0"/>
          <w:numId w:val="9"/>
        </w:numPr>
        <w:spacing w:before="100" w:beforeAutospacing="1" w:after="100" w:afterAutospacing="1" w:line="240" w:lineRule="auto"/>
        <w:ind w:left="920"/>
        <w:rPr>
          <w:rFonts w:ascii="Arial" w:eastAsia="Times New Roman" w:hAnsi="Arial" w:cs="Arial"/>
          <w:color w:val="000000"/>
          <w:sz w:val="20"/>
          <w:szCs w:val="20"/>
        </w:rPr>
      </w:pPr>
      <w:r w:rsidRPr="005A6660">
        <w:rPr>
          <w:rFonts w:ascii="Arial" w:eastAsia="Times New Roman" w:hAnsi="Arial" w:cs="Arial"/>
          <w:color w:val="000000"/>
          <w:sz w:val="20"/>
          <w:szCs w:val="20"/>
        </w:rPr>
        <w:t>Condensed consolidated statement of cash flows in Euros</w:t>
      </w:r>
    </w:p>
    <w:p w14:paraId="330FB156"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5250"/>
        <w:gridCol w:w="740"/>
        <w:gridCol w:w="740"/>
      </w:tblGrid>
      <w:tr w:rsidR="005A6660" w:rsidRPr="005A6660" w14:paraId="7276AE90"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7C130176"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CONDENSED CONSOLIDATED STATEMENT OF PROFIT AND LOSS</w:t>
            </w:r>
          </w:p>
        </w:tc>
        <w:tc>
          <w:tcPr>
            <w:tcW w:w="0" w:type="auto"/>
            <w:tcBorders>
              <w:top w:val="nil"/>
              <w:left w:val="nil"/>
              <w:bottom w:val="nil"/>
              <w:right w:val="nil"/>
            </w:tcBorders>
            <w:tcMar>
              <w:top w:w="0" w:type="dxa"/>
              <w:left w:w="40" w:type="dxa"/>
              <w:bottom w:w="0" w:type="dxa"/>
              <w:right w:w="60" w:type="dxa"/>
            </w:tcMar>
            <w:vAlign w:val="bottom"/>
            <w:hideMark/>
          </w:tcPr>
          <w:p w14:paraId="002C082D"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60" w:type="dxa"/>
            </w:tcMar>
            <w:vAlign w:val="bottom"/>
            <w:hideMark/>
          </w:tcPr>
          <w:p w14:paraId="34426703"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46FAA1B3"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4E13B5A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For the year ended 31 December</w:t>
            </w:r>
          </w:p>
        </w:tc>
        <w:tc>
          <w:tcPr>
            <w:tcW w:w="0" w:type="auto"/>
            <w:tcBorders>
              <w:top w:val="nil"/>
              <w:left w:val="nil"/>
              <w:bottom w:val="nil"/>
              <w:right w:val="nil"/>
            </w:tcBorders>
            <w:tcMar>
              <w:top w:w="0" w:type="dxa"/>
              <w:left w:w="40" w:type="dxa"/>
              <w:bottom w:w="0" w:type="dxa"/>
              <w:right w:w="60" w:type="dxa"/>
            </w:tcMar>
            <w:vAlign w:val="bottom"/>
            <w:hideMark/>
          </w:tcPr>
          <w:p w14:paraId="652DDFA7"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60" w:type="dxa"/>
            </w:tcMar>
            <w:vAlign w:val="bottom"/>
            <w:hideMark/>
          </w:tcPr>
          <w:p w14:paraId="2BE9E4C8"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3B1D7DC4" w14:textId="77777777" w:rsidTr="005A6660">
        <w:tc>
          <w:tcPr>
            <w:tcW w:w="0" w:type="auto"/>
            <w:tcBorders>
              <w:top w:val="nil"/>
              <w:left w:val="nil"/>
              <w:bottom w:val="single" w:sz="4" w:space="0" w:color="000000"/>
              <w:right w:val="nil"/>
            </w:tcBorders>
            <w:tcMar>
              <w:top w:w="0" w:type="dxa"/>
              <w:left w:w="40" w:type="dxa"/>
              <w:bottom w:w="0" w:type="dxa"/>
              <w:right w:w="60" w:type="dxa"/>
            </w:tcMar>
            <w:vAlign w:val="bottom"/>
            <w:hideMark/>
          </w:tcPr>
          <w:p w14:paraId="181A3017"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4" w:space="0" w:color="000000"/>
              <w:right w:val="nil"/>
            </w:tcBorders>
            <w:tcMar>
              <w:top w:w="0" w:type="dxa"/>
              <w:left w:w="40" w:type="dxa"/>
              <w:bottom w:w="0" w:type="dxa"/>
              <w:right w:w="60" w:type="dxa"/>
            </w:tcMar>
            <w:vAlign w:val="bottom"/>
            <w:hideMark/>
          </w:tcPr>
          <w:p w14:paraId="3FB39096"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4" w:space="0" w:color="000000"/>
              <w:right w:val="nil"/>
            </w:tcBorders>
            <w:tcMar>
              <w:top w:w="0" w:type="dxa"/>
              <w:left w:w="40" w:type="dxa"/>
              <w:bottom w:w="0" w:type="dxa"/>
              <w:right w:w="60" w:type="dxa"/>
            </w:tcMar>
            <w:vAlign w:val="bottom"/>
            <w:hideMark/>
          </w:tcPr>
          <w:p w14:paraId="66BEA71A"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3A190F1B" w14:textId="77777777" w:rsidTr="005A6660">
        <w:tc>
          <w:tcPr>
            <w:tcW w:w="0" w:type="auto"/>
            <w:tcBorders>
              <w:top w:val="nil"/>
              <w:left w:val="nil"/>
              <w:bottom w:val="single" w:sz="4" w:space="0" w:color="000000"/>
              <w:right w:val="nil"/>
            </w:tcBorders>
            <w:tcMar>
              <w:top w:w="0" w:type="dxa"/>
              <w:left w:w="40" w:type="dxa"/>
              <w:bottom w:w="0" w:type="dxa"/>
              <w:right w:w="15" w:type="dxa"/>
            </w:tcMar>
            <w:vAlign w:val="center"/>
            <w:hideMark/>
          </w:tcPr>
          <w:p w14:paraId="756EA290"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Amounts in US$ '000</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05F70C4" w14:textId="77777777" w:rsidR="005A6660" w:rsidRPr="005A6660" w:rsidRDefault="005A6660" w:rsidP="005A6660">
            <w:pPr>
              <w:spacing w:after="0" w:line="240" w:lineRule="auto"/>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2021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875CBD2" w14:textId="77777777" w:rsidR="005A6660" w:rsidRPr="005A6660" w:rsidRDefault="005A6660" w:rsidP="005A6660">
            <w:pPr>
              <w:spacing w:after="0" w:line="240" w:lineRule="auto"/>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2020</w:t>
            </w:r>
          </w:p>
        </w:tc>
      </w:tr>
      <w:tr w:rsidR="005A6660" w:rsidRPr="005A6660" w14:paraId="3E5E9A6B"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E655426"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Revenues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05A31B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198,871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F32E3E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212,174</w:t>
            </w:r>
          </w:p>
        </w:tc>
      </w:tr>
      <w:tr w:rsidR="005A6660" w:rsidRPr="005A6660" w14:paraId="10BBAB87"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E56D1DD"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Costs of sales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3BDE0B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(21,142)</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566235E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(23,539)</w:t>
            </w:r>
          </w:p>
        </w:tc>
      </w:tr>
      <w:tr w:rsidR="005A6660" w:rsidRPr="005A6660" w14:paraId="7600F6A0"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AB0192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Gross profit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0C104F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177,729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27E7785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188,635</w:t>
            </w:r>
          </w:p>
        </w:tc>
      </w:tr>
      <w:tr w:rsidR="005A6660" w:rsidRPr="005A6660" w14:paraId="6D17DB2D"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E02417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Other income</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796A7C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2,620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49AF81E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1,829</w:t>
            </w:r>
          </w:p>
        </w:tc>
      </w:tr>
      <w:tr w:rsidR="005A6660" w:rsidRPr="005A6660" w14:paraId="2FDFD30F"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740402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Research and development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6E9630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(70,369)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42897F2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(38,519)</w:t>
            </w:r>
          </w:p>
        </w:tc>
      </w:tr>
      <w:tr w:rsidR="005A6660" w:rsidRPr="005A6660" w14:paraId="69AF23E2"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8B0C2C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General and administrative</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02C844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(36,974)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76DBCF5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(24,085)</w:t>
            </w:r>
          </w:p>
        </w:tc>
      </w:tr>
      <w:tr w:rsidR="005A6660" w:rsidRPr="005A6660" w14:paraId="485FD29F"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F00941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Marketing and sales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543EA51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(59,445)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024FBF0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(51,604)</w:t>
            </w:r>
          </w:p>
        </w:tc>
      </w:tr>
      <w:tr w:rsidR="005A6660" w:rsidRPr="005A6660" w14:paraId="36523248"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F1FF34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Other Operating Costs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27C3FF1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(166,788)</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251F216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(114,208)</w:t>
            </w:r>
          </w:p>
        </w:tc>
      </w:tr>
      <w:tr w:rsidR="005A6660" w:rsidRPr="005A6660" w14:paraId="544D44EB"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A5FCC4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Operating profit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82C644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13,561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A10099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76,256</w:t>
            </w:r>
          </w:p>
        </w:tc>
      </w:tr>
      <w:tr w:rsidR="005A6660" w:rsidRPr="005A6660" w14:paraId="5FC18B4B"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359BB78"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Fair value gain (loss) on revaluation derivatives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479CB1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114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1F717C7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69</w:t>
            </w:r>
          </w:p>
        </w:tc>
      </w:tr>
      <w:tr w:rsidR="005A6660" w:rsidRPr="005A6660" w14:paraId="673334D4"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F09ABD1"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Other finance income</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111362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14,906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1C57967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715</w:t>
            </w:r>
          </w:p>
        </w:tc>
      </w:tr>
      <w:tr w:rsidR="005A6660" w:rsidRPr="005A6660" w14:paraId="73CC2AE8"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27EA9AB"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Other finance expenses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03FDA3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(6,196)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CA43D2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(33,308)</w:t>
            </w:r>
          </w:p>
        </w:tc>
      </w:tr>
      <w:tr w:rsidR="005A6660" w:rsidRPr="005A6660" w14:paraId="5FCC4EB4"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A9709C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Finance result, net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F5F0F1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8,824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4CD3435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(32,524)</w:t>
            </w:r>
          </w:p>
        </w:tc>
      </w:tr>
      <w:tr w:rsidR="005A6660" w:rsidRPr="005A6660" w14:paraId="4780B54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BF43C4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Share of net profits in associates using the equity method</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3B8AD4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694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EDB8B6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362</w:t>
            </w:r>
          </w:p>
        </w:tc>
      </w:tr>
      <w:tr w:rsidR="005A6660" w:rsidRPr="005A6660" w14:paraId="2E56F720"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FB664B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Profit before tax</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343969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23,079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2F57A0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44,094</w:t>
            </w:r>
          </w:p>
        </w:tc>
      </w:tr>
      <w:tr w:rsidR="005A6660" w:rsidRPr="005A6660" w14:paraId="61C0308F"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95340EB"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lastRenderedPageBreak/>
              <w:t>Income tax expense</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69EE5D5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(7,082)</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7880015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(6,348)</w:t>
            </w:r>
          </w:p>
        </w:tc>
      </w:tr>
      <w:tr w:rsidR="005A6660" w:rsidRPr="005A6660" w14:paraId="4590BFBF"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513C29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Profit for the year</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21C7F7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15,997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1A518CB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37,746</w:t>
            </w:r>
          </w:p>
        </w:tc>
      </w:tr>
      <w:tr w:rsidR="005A6660" w:rsidRPr="005A6660" w14:paraId="669B0A26"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D18DCC0"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Basic earnings per share (US$)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DD98DD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0.025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3E232DA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0.058</w:t>
            </w:r>
          </w:p>
        </w:tc>
      </w:tr>
      <w:tr w:rsidR="005A6660" w:rsidRPr="005A6660" w14:paraId="1D5DDEA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4E153A1"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Diluted earnings per share (US$)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352430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0.023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5E2EAF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0.055</w:t>
            </w:r>
          </w:p>
        </w:tc>
      </w:tr>
    </w:tbl>
    <w:p w14:paraId="35327D90"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6D07C431"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5882"/>
        <w:gridCol w:w="651"/>
        <w:gridCol w:w="590"/>
      </w:tblGrid>
      <w:tr w:rsidR="005A6660" w:rsidRPr="005A6660" w14:paraId="4CFD3812"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5DFE858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CONDENSED CONSOLIDATED STATEMENT OF COMPREHENSIVE INCOME</w:t>
            </w:r>
          </w:p>
        </w:tc>
        <w:tc>
          <w:tcPr>
            <w:tcW w:w="0" w:type="auto"/>
            <w:tcBorders>
              <w:top w:val="nil"/>
              <w:left w:val="nil"/>
              <w:bottom w:val="nil"/>
              <w:right w:val="nil"/>
            </w:tcBorders>
            <w:tcMar>
              <w:top w:w="0" w:type="dxa"/>
              <w:left w:w="40" w:type="dxa"/>
              <w:bottom w:w="0" w:type="dxa"/>
              <w:right w:w="60" w:type="dxa"/>
            </w:tcMar>
            <w:vAlign w:val="bottom"/>
            <w:hideMark/>
          </w:tcPr>
          <w:p w14:paraId="08569F3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60" w:type="dxa"/>
            </w:tcMar>
            <w:vAlign w:val="bottom"/>
            <w:hideMark/>
          </w:tcPr>
          <w:p w14:paraId="7E2783EE"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0DA2F189"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295CF90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For the year ended 31 December</w:t>
            </w:r>
          </w:p>
        </w:tc>
        <w:tc>
          <w:tcPr>
            <w:tcW w:w="0" w:type="auto"/>
            <w:tcBorders>
              <w:top w:val="nil"/>
              <w:left w:val="nil"/>
              <w:bottom w:val="nil"/>
              <w:right w:val="nil"/>
            </w:tcBorders>
            <w:tcMar>
              <w:top w:w="0" w:type="dxa"/>
              <w:left w:w="40" w:type="dxa"/>
              <w:bottom w:w="0" w:type="dxa"/>
              <w:right w:w="60" w:type="dxa"/>
            </w:tcMar>
            <w:vAlign w:val="bottom"/>
            <w:hideMark/>
          </w:tcPr>
          <w:p w14:paraId="6ECB8B37"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60" w:type="dxa"/>
            </w:tcMar>
            <w:vAlign w:val="bottom"/>
            <w:hideMark/>
          </w:tcPr>
          <w:p w14:paraId="11A8A3D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16101E83" w14:textId="77777777" w:rsidTr="005A6660">
        <w:tc>
          <w:tcPr>
            <w:tcW w:w="0" w:type="auto"/>
            <w:tcBorders>
              <w:top w:val="nil"/>
              <w:left w:val="nil"/>
              <w:bottom w:val="single" w:sz="4" w:space="0" w:color="000000"/>
              <w:right w:val="nil"/>
            </w:tcBorders>
            <w:tcMar>
              <w:top w:w="0" w:type="dxa"/>
              <w:left w:w="40" w:type="dxa"/>
              <w:bottom w:w="0" w:type="dxa"/>
              <w:right w:w="60" w:type="dxa"/>
            </w:tcMar>
            <w:vAlign w:val="bottom"/>
            <w:hideMark/>
          </w:tcPr>
          <w:p w14:paraId="3F18DA9A"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4" w:space="0" w:color="000000"/>
              <w:right w:val="nil"/>
            </w:tcBorders>
            <w:tcMar>
              <w:top w:w="0" w:type="dxa"/>
              <w:left w:w="40" w:type="dxa"/>
              <w:bottom w:w="0" w:type="dxa"/>
              <w:right w:w="60" w:type="dxa"/>
            </w:tcMar>
            <w:vAlign w:val="bottom"/>
            <w:hideMark/>
          </w:tcPr>
          <w:p w14:paraId="37872AE0"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4" w:space="0" w:color="000000"/>
              <w:right w:val="nil"/>
            </w:tcBorders>
            <w:tcMar>
              <w:top w:w="0" w:type="dxa"/>
              <w:left w:w="40" w:type="dxa"/>
              <w:bottom w:w="0" w:type="dxa"/>
              <w:right w:w="60" w:type="dxa"/>
            </w:tcMar>
            <w:vAlign w:val="bottom"/>
            <w:hideMark/>
          </w:tcPr>
          <w:p w14:paraId="5784A08D"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394489BC"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36F408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Amounts in US$ '000</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E0BA368" w14:textId="77777777" w:rsidR="005A6660" w:rsidRPr="005A6660" w:rsidRDefault="005A6660" w:rsidP="005A6660">
            <w:pPr>
              <w:spacing w:after="0" w:line="240" w:lineRule="auto"/>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2021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F88AC3D" w14:textId="77777777" w:rsidR="005A6660" w:rsidRPr="005A6660" w:rsidRDefault="005A6660" w:rsidP="005A6660">
            <w:pPr>
              <w:spacing w:after="0" w:line="240" w:lineRule="auto"/>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2020</w:t>
            </w:r>
          </w:p>
        </w:tc>
      </w:tr>
      <w:tr w:rsidR="005A6660" w:rsidRPr="005A6660" w14:paraId="218EE464"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564C89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Profit for the year</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67013C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15.997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24B3D21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37.746</w:t>
            </w:r>
          </w:p>
        </w:tc>
      </w:tr>
      <w:tr w:rsidR="005A6660" w:rsidRPr="005A6660" w14:paraId="6A4FC3E2"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1DCA0BB"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Currency translation differences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80ED59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(14.802)</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3C24C96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14.956</w:t>
            </w:r>
          </w:p>
        </w:tc>
      </w:tr>
      <w:tr w:rsidR="005A6660" w:rsidRPr="005A6660" w14:paraId="4127D8E8"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11AA49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Fair value remeasurement investments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6293FD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(2.283)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37833F8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r>
      <w:tr w:rsidR="005A6660" w:rsidRPr="005A6660" w14:paraId="416C7CF4"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0B91A18"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Items that may be subsequently reclassified to profit or loss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82ACE1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(17.085)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2D30BA6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14.956</w:t>
            </w:r>
          </w:p>
        </w:tc>
      </w:tr>
      <w:tr w:rsidR="005A6660" w:rsidRPr="005A6660" w14:paraId="07B43BBF"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A026D8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Other comprehensive income (loss), net of tax</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A320DB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(17.085)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D46298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14.956</w:t>
            </w:r>
          </w:p>
        </w:tc>
      </w:tr>
      <w:tr w:rsidR="005A6660" w:rsidRPr="005A6660" w14:paraId="79E95BF5"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864D33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comprehensive income for the year</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3F08EEF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(1,088)</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4C3E30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52.702</w:t>
            </w:r>
          </w:p>
        </w:tc>
      </w:tr>
    </w:tbl>
    <w:p w14:paraId="0879ACBC"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3EE45CF9"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4337"/>
        <w:gridCol w:w="740"/>
        <w:gridCol w:w="740"/>
      </w:tblGrid>
      <w:tr w:rsidR="005A6660" w:rsidRPr="005A6660" w14:paraId="2F7D5B40"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59CF8A88"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CONDENSED CONSOLIDATED BALANCE SHEET</w:t>
            </w:r>
          </w:p>
        </w:tc>
        <w:tc>
          <w:tcPr>
            <w:tcW w:w="0" w:type="auto"/>
            <w:tcBorders>
              <w:top w:val="nil"/>
              <w:left w:val="nil"/>
              <w:bottom w:val="nil"/>
              <w:right w:val="nil"/>
            </w:tcBorders>
            <w:tcMar>
              <w:top w:w="0" w:type="dxa"/>
              <w:left w:w="40" w:type="dxa"/>
              <w:bottom w:w="0" w:type="dxa"/>
              <w:right w:w="60" w:type="dxa"/>
            </w:tcMar>
            <w:vAlign w:val="bottom"/>
            <w:hideMark/>
          </w:tcPr>
          <w:p w14:paraId="0A026797"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60" w:type="dxa"/>
            </w:tcMar>
            <w:vAlign w:val="bottom"/>
            <w:hideMark/>
          </w:tcPr>
          <w:p w14:paraId="194CB9B7"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10BEC897" w14:textId="77777777" w:rsidTr="005A6660">
        <w:tc>
          <w:tcPr>
            <w:tcW w:w="0" w:type="auto"/>
            <w:tcBorders>
              <w:top w:val="nil"/>
              <w:left w:val="nil"/>
              <w:bottom w:val="single" w:sz="4" w:space="0" w:color="000000"/>
              <w:right w:val="nil"/>
            </w:tcBorders>
            <w:tcMar>
              <w:top w:w="0" w:type="dxa"/>
              <w:left w:w="40" w:type="dxa"/>
              <w:bottom w:w="0" w:type="dxa"/>
              <w:right w:w="15" w:type="dxa"/>
            </w:tcMar>
            <w:vAlign w:val="center"/>
            <w:hideMark/>
          </w:tcPr>
          <w:p w14:paraId="772281C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As at 31 December</w:t>
            </w:r>
          </w:p>
        </w:tc>
        <w:tc>
          <w:tcPr>
            <w:tcW w:w="0" w:type="auto"/>
            <w:tcBorders>
              <w:top w:val="nil"/>
              <w:left w:val="nil"/>
              <w:bottom w:val="single" w:sz="4" w:space="0" w:color="000000"/>
              <w:right w:val="nil"/>
            </w:tcBorders>
            <w:tcMar>
              <w:top w:w="0" w:type="dxa"/>
              <w:left w:w="40" w:type="dxa"/>
              <w:bottom w:w="0" w:type="dxa"/>
              <w:right w:w="60" w:type="dxa"/>
            </w:tcMar>
            <w:vAlign w:val="bottom"/>
            <w:hideMark/>
          </w:tcPr>
          <w:p w14:paraId="01DAE10F"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4" w:space="0" w:color="000000"/>
              <w:right w:val="nil"/>
            </w:tcBorders>
            <w:tcMar>
              <w:top w:w="0" w:type="dxa"/>
              <w:left w:w="40" w:type="dxa"/>
              <w:bottom w:w="0" w:type="dxa"/>
              <w:right w:w="60" w:type="dxa"/>
            </w:tcMar>
            <w:vAlign w:val="bottom"/>
            <w:hideMark/>
          </w:tcPr>
          <w:p w14:paraId="44F89D7E"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7B1ED9C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221FCD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Amounts in US$ '000</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CEE39A5" w14:textId="77777777" w:rsidR="005A6660" w:rsidRPr="005A6660" w:rsidRDefault="005A6660" w:rsidP="005A6660">
            <w:pPr>
              <w:spacing w:after="0" w:line="240" w:lineRule="auto"/>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2021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0A2651DA" w14:textId="77777777" w:rsidR="005A6660" w:rsidRPr="005A6660" w:rsidRDefault="005A6660" w:rsidP="005A6660">
            <w:pPr>
              <w:spacing w:after="0" w:line="240" w:lineRule="auto"/>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2020</w:t>
            </w:r>
          </w:p>
        </w:tc>
      </w:tr>
      <w:tr w:rsidR="005A6660" w:rsidRPr="005A6660" w14:paraId="2E95C746"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994BED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Non-current assets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A6A3685"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27BA3BD3"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55703DE5"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30A960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Intangible assets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82B77D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83.834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06A079E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94.083</w:t>
            </w:r>
          </w:p>
        </w:tc>
      </w:tr>
      <w:tr w:rsidR="005A6660" w:rsidRPr="005A6660" w14:paraId="0667ADC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E036AE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Property, plant and equipment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428412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13.222</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475797C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12.226</w:t>
            </w:r>
          </w:p>
        </w:tc>
      </w:tr>
      <w:tr w:rsidR="005A6660" w:rsidRPr="005A6660" w14:paraId="0E133E5A"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281788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Right-of-use assets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BF92AA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19.943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30E64C8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9.427</w:t>
            </w:r>
          </w:p>
        </w:tc>
      </w:tr>
      <w:tr w:rsidR="005A6660" w:rsidRPr="005A6660" w14:paraId="4235FDDF"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34BAB9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Long-term prepayments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90339E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194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BD0BED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r>
      <w:tr w:rsidR="005A6660" w:rsidRPr="005A6660" w14:paraId="1A07C523"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C591DAB"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Deferred tax assets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1D3F1C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21.216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AF026A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31.877</w:t>
            </w:r>
          </w:p>
        </w:tc>
      </w:tr>
      <w:tr w:rsidR="005A6660" w:rsidRPr="005A6660" w14:paraId="0E1A7679"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7229BEB"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Investment accounted for using the equity method</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5C455C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7.201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181C3B4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7.118</w:t>
            </w:r>
          </w:p>
        </w:tc>
      </w:tr>
      <w:tr w:rsidR="005A6660" w:rsidRPr="005A6660" w14:paraId="39F5F80D"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83FC07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Investments in equity instruments designated as at FVTOCI</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0C7A47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1.449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5FE5B0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r>
      <w:tr w:rsidR="005A6660" w:rsidRPr="005A6660" w14:paraId="59494F89"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C39D7AD"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Restricted cash</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213D03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812</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0D282CB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510</w:t>
            </w:r>
          </w:p>
        </w:tc>
      </w:tr>
      <w:tr w:rsidR="005A6660" w:rsidRPr="005A6660" w14:paraId="41B5EE30"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C7D24C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non-current assets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7F95A6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147.871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40E3FE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155.241</w:t>
            </w:r>
          </w:p>
        </w:tc>
      </w:tr>
      <w:tr w:rsidR="005A6660" w:rsidRPr="005A6660" w14:paraId="09956F69"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B7F718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Current assets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333AD9F"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0989B94"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43EED76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4DFBF2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Inventories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6B5E56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27.310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1B2DB7B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21.157</w:t>
            </w:r>
          </w:p>
        </w:tc>
      </w:tr>
      <w:tr w:rsidR="005A6660" w:rsidRPr="005A6660" w14:paraId="570922FC"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CC97888"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Trade and other receivables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821E08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29.983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6AEB2A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35.901</w:t>
            </w:r>
          </w:p>
        </w:tc>
      </w:tr>
      <w:tr w:rsidR="005A6660" w:rsidRPr="005A6660" w14:paraId="0FD7B4D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49007B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Restricted cash</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485067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227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2E550CC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995</w:t>
            </w:r>
          </w:p>
        </w:tc>
      </w:tr>
      <w:tr w:rsidR="005A6660" w:rsidRPr="005A6660" w14:paraId="75911E2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14061D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Cash and cash equivalents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DF6132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191.924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44992C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205.159</w:t>
            </w:r>
          </w:p>
        </w:tc>
      </w:tr>
      <w:tr w:rsidR="005A6660" w:rsidRPr="005A6660" w14:paraId="269D368E"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B3DD48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current assets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E0EC7F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249.444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4819F37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263.212</w:t>
            </w:r>
          </w:p>
        </w:tc>
      </w:tr>
      <w:tr w:rsidR="005A6660" w:rsidRPr="005A6660" w14:paraId="02A7FE1D"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842ACC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assets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0EACA7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397.315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3A6653C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418.453</w:t>
            </w:r>
          </w:p>
        </w:tc>
      </w:tr>
      <w:tr w:rsidR="005A6660" w:rsidRPr="005A6660" w14:paraId="4595DFB6"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1CC60B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Equity</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8A6756B"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44F351C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0F350B17"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1B4204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Share capital</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646675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7.282</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25F6FC2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7.165</w:t>
            </w:r>
          </w:p>
        </w:tc>
      </w:tr>
      <w:tr w:rsidR="005A6660" w:rsidRPr="005A6660" w14:paraId="5DCC60C6"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0F72270"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Share premium</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3F0D53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453.190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92F7C9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445.066</w:t>
            </w:r>
          </w:p>
        </w:tc>
      </w:tr>
      <w:tr w:rsidR="005A6660" w:rsidRPr="005A6660" w14:paraId="0FE94B62"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4A963E6"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Legal reserves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16A2B7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2.172</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11128E4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19.859</w:t>
            </w:r>
          </w:p>
        </w:tc>
      </w:tr>
      <w:tr w:rsidR="005A6660" w:rsidRPr="005A6660" w14:paraId="1D356E7E"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3FD9F4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Accumulated deficit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33D54FB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(269.727)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196044A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(288.655)</w:t>
            </w:r>
          </w:p>
        </w:tc>
      </w:tr>
      <w:tr w:rsidR="005A6660" w:rsidRPr="005A6660" w14:paraId="577EA6E4"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5DC8C60"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Shareholders' equity</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90205F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192.917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DAC567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183.435</w:t>
            </w:r>
          </w:p>
        </w:tc>
      </w:tr>
      <w:tr w:rsidR="005A6660" w:rsidRPr="005A6660" w14:paraId="4D37CBB4"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0D55C8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Non-current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44CAABA"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0C3E4DB5"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1C8DA407"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08EA60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Convertible bonds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B8390F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139.007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15D1F7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149.727</w:t>
            </w:r>
          </w:p>
        </w:tc>
      </w:tr>
      <w:tr w:rsidR="005A6660" w:rsidRPr="005A6660" w14:paraId="24D1E6A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0DA5B3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Lease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3EA091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18.456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46AEB4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8.230</w:t>
            </w:r>
          </w:p>
        </w:tc>
      </w:tr>
      <w:tr w:rsidR="005A6660" w:rsidRPr="005A6660" w14:paraId="37482D0A"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389796B"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Other financial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C03C9E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165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8664A9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212</w:t>
            </w:r>
          </w:p>
        </w:tc>
      </w:tr>
      <w:tr w:rsidR="005A6660" w:rsidRPr="005A6660" w14:paraId="075C8B57"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6F4BC96"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non-current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5F3AC2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157.628</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0020DA1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158.169</w:t>
            </w:r>
          </w:p>
        </w:tc>
      </w:tr>
      <w:tr w:rsidR="005A6660" w:rsidRPr="005A6660" w14:paraId="28E0F6BC"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45A454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Current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62161C6"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19B0A61A"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66EB4C3A"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966421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Convertible bonds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3035F1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1.879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36438F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2.040</w:t>
            </w:r>
          </w:p>
        </w:tc>
      </w:tr>
      <w:tr w:rsidR="005A6660" w:rsidRPr="005A6660" w14:paraId="5D8EE655"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BD832E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Derivative financial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025759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181E4D7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181</w:t>
            </w:r>
          </w:p>
        </w:tc>
      </w:tr>
      <w:tr w:rsidR="005A6660" w:rsidRPr="005A6660" w14:paraId="26C5DF08"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E2740B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lastRenderedPageBreak/>
              <w:t>Trade and other payables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2EB882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42.472</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30D2EC7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47.666</w:t>
            </w:r>
          </w:p>
        </w:tc>
      </w:tr>
      <w:tr w:rsidR="005A6660" w:rsidRPr="005A6660" w14:paraId="546199BD"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009F4ED"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Lease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905D25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2.419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1F63D7F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1.962</w:t>
            </w:r>
          </w:p>
        </w:tc>
      </w:tr>
      <w:tr w:rsidR="005A6660" w:rsidRPr="005A6660" w14:paraId="4433969A"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F53D488"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Other financial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E0D3C5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2CD00A9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25.000</w:t>
            </w:r>
          </w:p>
        </w:tc>
      </w:tr>
      <w:tr w:rsidR="005A6660" w:rsidRPr="005A6660" w14:paraId="1E131F60"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A2577ED"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current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A767AB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46.770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0E4F94F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76.849</w:t>
            </w:r>
          </w:p>
        </w:tc>
      </w:tr>
      <w:tr w:rsidR="005A6660" w:rsidRPr="005A6660" w14:paraId="50B07970"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EA7769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equity and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97CB0E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397.315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1F9C77E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418.453</w:t>
            </w:r>
          </w:p>
        </w:tc>
      </w:tr>
    </w:tbl>
    <w:p w14:paraId="1D2F9116"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44DDB2D6"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5171"/>
        <w:gridCol w:w="61"/>
        <w:gridCol w:w="61"/>
        <w:gridCol w:w="61"/>
      </w:tblGrid>
      <w:tr w:rsidR="005A6660" w:rsidRPr="005A6660" w14:paraId="24C0F726"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08229E4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CONDENSED CONSOLIDATED STATEMENT CHANGES IN EQUITY</w:t>
            </w:r>
          </w:p>
        </w:tc>
        <w:tc>
          <w:tcPr>
            <w:tcW w:w="0" w:type="auto"/>
            <w:tcBorders>
              <w:top w:val="nil"/>
              <w:left w:val="nil"/>
              <w:bottom w:val="nil"/>
              <w:right w:val="nil"/>
            </w:tcBorders>
            <w:tcMar>
              <w:top w:w="0" w:type="dxa"/>
              <w:left w:w="40" w:type="dxa"/>
              <w:bottom w:w="0" w:type="dxa"/>
              <w:right w:w="15" w:type="dxa"/>
            </w:tcMar>
            <w:vAlign w:val="center"/>
            <w:hideMark/>
          </w:tcPr>
          <w:p w14:paraId="331EB7CD" w14:textId="77777777" w:rsidR="005A6660" w:rsidRPr="005A6660" w:rsidRDefault="005A6660" w:rsidP="005A6660">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center"/>
            <w:hideMark/>
          </w:tcPr>
          <w:p w14:paraId="3C7DFB2E" w14:textId="77777777" w:rsidR="005A6660" w:rsidRPr="005A6660" w:rsidRDefault="005A6660" w:rsidP="005A6660">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center"/>
            <w:hideMark/>
          </w:tcPr>
          <w:p w14:paraId="4819E708" w14:textId="77777777" w:rsidR="005A6660" w:rsidRPr="005A6660" w:rsidRDefault="005A6660" w:rsidP="005A6660">
            <w:pPr>
              <w:spacing w:after="0" w:line="240" w:lineRule="auto"/>
              <w:rPr>
                <w:rFonts w:ascii="Times New Roman" w:eastAsia="Times New Roman" w:hAnsi="Times New Roman" w:cs="Times New Roman"/>
                <w:sz w:val="24"/>
                <w:szCs w:val="24"/>
              </w:rPr>
            </w:pPr>
          </w:p>
        </w:tc>
      </w:tr>
      <w:tr w:rsidR="005A6660" w:rsidRPr="005A6660" w14:paraId="39917D94"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19D62D1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For the period ended 31 December</w:t>
            </w:r>
          </w:p>
        </w:tc>
        <w:tc>
          <w:tcPr>
            <w:tcW w:w="0" w:type="auto"/>
            <w:tcBorders>
              <w:top w:val="nil"/>
              <w:left w:val="nil"/>
              <w:bottom w:val="nil"/>
              <w:right w:val="nil"/>
            </w:tcBorders>
            <w:tcMar>
              <w:top w:w="0" w:type="dxa"/>
              <w:left w:w="40" w:type="dxa"/>
              <w:bottom w:w="0" w:type="dxa"/>
              <w:right w:w="15" w:type="dxa"/>
            </w:tcMar>
            <w:vAlign w:val="center"/>
            <w:hideMark/>
          </w:tcPr>
          <w:p w14:paraId="488CC5B7" w14:textId="77777777" w:rsidR="005A6660" w:rsidRPr="005A6660" w:rsidRDefault="005A6660" w:rsidP="005A6660">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center"/>
            <w:hideMark/>
          </w:tcPr>
          <w:p w14:paraId="5B89C8B5" w14:textId="77777777" w:rsidR="005A6660" w:rsidRPr="005A6660" w:rsidRDefault="005A6660" w:rsidP="005A6660">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center"/>
            <w:hideMark/>
          </w:tcPr>
          <w:p w14:paraId="4FE5AFAE" w14:textId="77777777" w:rsidR="005A6660" w:rsidRPr="005A6660" w:rsidRDefault="005A6660" w:rsidP="005A6660">
            <w:pPr>
              <w:spacing w:after="0" w:line="240" w:lineRule="auto"/>
              <w:rPr>
                <w:rFonts w:ascii="Times New Roman" w:eastAsia="Times New Roman" w:hAnsi="Times New Roman" w:cs="Times New Roman"/>
                <w:sz w:val="24"/>
                <w:szCs w:val="24"/>
              </w:rPr>
            </w:pPr>
          </w:p>
        </w:tc>
      </w:tr>
      <w:tr w:rsidR="005A6660" w:rsidRPr="005A6660" w14:paraId="083B09B1" w14:textId="77777777" w:rsidTr="005A6660">
        <w:tc>
          <w:tcPr>
            <w:tcW w:w="0" w:type="auto"/>
            <w:gridSpan w:val="4"/>
            <w:tcBorders>
              <w:top w:val="nil"/>
              <w:left w:val="nil"/>
              <w:bottom w:val="nil"/>
              <w:right w:val="nil"/>
            </w:tcBorders>
            <w:tcMar>
              <w:top w:w="0" w:type="dxa"/>
              <w:left w:w="40" w:type="dxa"/>
              <w:bottom w:w="0" w:type="dxa"/>
              <w:right w:w="15" w:type="dxa"/>
            </w:tcMar>
            <w:vAlign w:val="center"/>
            <w:hideMark/>
          </w:tcPr>
          <w:p w14:paraId="1D8B68A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Attributable to owners of the parent</w:t>
            </w:r>
          </w:p>
        </w:tc>
      </w:tr>
    </w:tbl>
    <w:p w14:paraId="5BEF8D29"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5573"/>
        <w:gridCol w:w="1437"/>
        <w:gridCol w:w="1086"/>
        <w:gridCol w:w="1254"/>
      </w:tblGrid>
      <w:tr w:rsidR="005A6660" w:rsidRPr="005A6660" w14:paraId="5A22A545" w14:textId="77777777" w:rsidTr="005A6660">
        <w:tc>
          <w:tcPr>
            <w:tcW w:w="0" w:type="auto"/>
            <w:tcBorders>
              <w:top w:val="single" w:sz="4" w:space="0" w:color="000000"/>
              <w:left w:val="single" w:sz="4" w:space="0" w:color="000000"/>
              <w:bottom w:val="nil"/>
              <w:right w:val="nil"/>
            </w:tcBorders>
            <w:tcMar>
              <w:top w:w="0" w:type="dxa"/>
              <w:left w:w="40" w:type="dxa"/>
              <w:bottom w:w="0" w:type="dxa"/>
              <w:right w:w="15" w:type="dxa"/>
            </w:tcMar>
            <w:vAlign w:val="center"/>
            <w:hideMark/>
          </w:tcPr>
          <w:p w14:paraId="1007512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Amounts in $ '000</w:t>
            </w:r>
          </w:p>
        </w:tc>
        <w:tc>
          <w:tcPr>
            <w:tcW w:w="0" w:type="auto"/>
            <w:tcBorders>
              <w:top w:val="single" w:sz="4" w:space="0" w:color="000000"/>
              <w:left w:val="nil"/>
              <w:bottom w:val="nil"/>
              <w:right w:val="nil"/>
            </w:tcBorders>
            <w:tcMar>
              <w:top w:w="0" w:type="dxa"/>
              <w:left w:w="40" w:type="dxa"/>
              <w:bottom w:w="0" w:type="dxa"/>
              <w:right w:w="15" w:type="dxa"/>
            </w:tcMar>
            <w:vAlign w:val="center"/>
            <w:hideMark/>
          </w:tcPr>
          <w:p w14:paraId="03C06D22" w14:textId="77777777" w:rsidR="005A6660" w:rsidRPr="005A6660" w:rsidRDefault="005A6660" w:rsidP="005A6660">
            <w:pPr>
              <w:spacing w:after="0" w:line="240" w:lineRule="auto"/>
              <w:ind w:left="57"/>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Number of shares</w:t>
            </w:r>
            <w:r w:rsidRPr="005A6660">
              <w:rPr>
                <w:rFonts w:ascii="Arial" w:eastAsia="Times New Roman" w:hAnsi="Arial" w:cs="Arial"/>
                <w:color w:val="000000"/>
                <w:sz w:val="16"/>
                <w:szCs w:val="16"/>
              </w:rPr>
              <w:br/>
            </w:r>
            <w:r w:rsidRPr="005A6660">
              <w:rPr>
                <w:rFonts w:ascii="Arial" w:eastAsia="Times New Roman" w:hAnsi="Arial" w:cs="Arial"/>
                <w:b/>
                <w:bCs/>
                <w:color w:val="000000"/>
                <w:sz w:val="16"/>
                <w:szCs w:val="16"/>
              </w:rPr>
              <w:t>(in '000)</w:t>
            </w:r>
          </w:p>
        </w:tc>
        <w:tc>
          <w:tcPr>
            <w:tcW w:w="0" w:type="auto"/>
            <w:tcBorders>
              <w:top w:val="single" w:sz="4" w:space="0" w:color="000000"/>
              <w:left w:val="nil"/>
              <w:bottom w:val="nil"/>
              <w:right w:val="nil"/>
            </w:tcBorders>
            <w:tcMar>
              <w:top w:w="0" w:type="dxa"/>
              <w:left w:w="40" w:type="dxa"/>
              <w:bottom w:w="0" w:type="dxa"/>
              <w:right w:w="15" w:type="dxa"/>
            </w:tcMar>
            <w:vAlign w:val="center"/>
            <w:hideMark/>
          </w:tcPr>
          <w:p w14:paraId="0827546C" w14:textId="77777777" w:rsidR="005A6660" w:rsidRPr="005A6660" w:rsidRDefault="005A6660" w:rsidP="005A6660">
            <w:pPr>
              <w:spacing w:after="0" w:line="240" w:lineRule="auto"/>
              <w:ind w:left="57"/>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Share capital</w:t>
            </w:r>
          </w:p>
        </w:tc>
        <w:tc>
          <w:tcPr>
            <w:tcW w:w="0" w:type="auto"/>
            <w:tcBorders>
              <w:top w:val="single" w:sz="4" w:space="0" w:color="000000"/>
              <w:left w:val="nil"/>
              <w:bottom w:val="nil"/>
              <w:right w:val="single" w:sz="4" w:space="0" w:color="000000"/>
            </w:tcBorders>
            <w:tcMar>
              <w:top w:w="0" w:type="dxa"/>
              <w:left w:w="40" w:type="dxa"/>
              <w:bottom w:w="0" w:type="dxa"/>
              <w:right w:w="15" w:type="dxa"/>
            </w:tcMar>
            <w:vAlign w:val="center"/>
            <w:hideMark/>
          </w:tcPr>
          <w:p w14:paraId="67DE6702" w14:textId="77777777" w:rsidR="005A6660" w:rsidRPr="005A6660" w:rsidRDefault="005A6660" w:rsidP="005A6660">
            <w:pPr>
              <w:spacing w:after="0" w:line="240" w:lineRule="auto"/>
              <w:ind w:left="57"/>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Share premium</w:t>
            </w:r>
          </w:p>
        </w:tc>
      </w:tr>
      <w:tr w:rsidR="005A6660" w:rsidRPr="005A6660" w14:paraId="54DFF0A3"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E2B3755"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4" w:space="0" w:color="000000"/>
              <w:right w:val="nil"/>
            </w:tcBorders>
            <w:tcMar>
              <w:top w:w="0" w:type="dxa"/>
              <w:left w:w="40" w:type="dxa"/>
              <w:bottom w:w="0" w:type="dxa"/>
              <w:right w:w="15" w:type="dxa"/>
            </w:tcMar>
            <w:vAlign w:val="bottom"/>
            <w:hideMark/>
          </w:tcPr>
          <w:p w14:paraId="5AF6ADF7"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4" w:space="0" w:color="000000"/>
              <w:right w:val="nil"/>
            </w:tcBorders>
            <w:tcMar>
              <w:top w:w="0" w:type="dxa"/>
              <w:left w:w="40" w:type="dxa"/>
              <w:bottom w:w="0" w:type="dxa"/>
              <w:right w:w="15" w:type="dxa"/>
            </w:tcMar>
            <w:vAlign w:val="bottom"/>
            <w:hideMark/>
          </w:tcPr>
          <w:p w14:paraId="447CC0C3"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4" w:space="0" w:color="000000"/>
              <w:right w:val="single" w:sz="4" w:space="0" w:color="000000"/>
            </w:tcBorders>
            <w:tcMar>
              <w:top w:w="0" w:type="dxa"/>
              <w:left w:w="40" w:type="dxa"/>
              <w:bottom w:w="0" w:type="dxa"/>
              <w:right w:w="15" w:type="dxa"/>
            </w:tcMar>
            <w:vAlign w:val="bottom"/>
            <w:hideMark/>
          </w:tcPr>
          <w:p w14:paraId="00FBBF20"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78720218"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E1F7808"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Balance at January 1, 2020</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84C8F8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631,323</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C2B89A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7,079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2D4CDAC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439,887</w:t>
            </w:r>
          </w:p>
        </w:tc>
      </w:tr>
      <w:tr w:rsidR="005A6660" w:rsidRPr="005A6660" w14:paraId="6159A5FB"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8C751F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Profit for the year</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219F9B3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313435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150AFB5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r>
      <w:tr w:rsidR="005A6660" w:rsidRPr="005A6660" w14:paraId="2F44A1AF"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741697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Other comprehensive income  (loss) for the year</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33771D6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BAF838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1754E79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r>
      <w:tr w:rsidR="005A6660" w:rsidRPr="005A6660" w14:paraId="0190897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6FB81A6"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comprehensive income (loss) for the year</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29A9BDA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6FDDB5B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2791059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w:t>
            </w:r>
          </w:p>
        </w:tc>
      </w:tr>
      <w:tr w:rsidR="005A6660" w:rsidRPr="005A6660" w14:paraId="14E609EE"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0F552C6"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Legal reserves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E753B8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279F8A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4C452D4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r>
      <w:tr w:rsidR="005A6660" w:rsidRPr="005A6660" w14:paraId="1D799C96"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817B7D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Income tax benefit from excess tax deductions related to share-based payments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20F49EC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637C12C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29EA52D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r>
      <w:tr w:rsidR="005A6660" w:rsidRPr="005A6660" w14:paraId="73433C80"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D78F816"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Share-based compensation</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4D25CC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153E10A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09112EF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r>
      <w:tr w:rsidR="005A6660" w:rsidRPr="005A6660" w14:paraId="60A183C6"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574EFF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Bonuses settled in shares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22278F8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34</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62BB21E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4010D3F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51</w:t>
            </w:r>
          </w:p>
        </w:tc>
      </w:tr>
      <w:tr w:rsidR="005A6660" w:rsidRPr="005A6660" w14:paraId="211C1382"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F492E3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Shares issued for cash/ conversion of bonds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257F451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1E8AF51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53E8B2B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r>
      <w:tr w:rsidR="005A6660" w:rsidRPr="005A6660" w14:paraId="7E2A73A2"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D25289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Warrants exercised/ issued</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2592CB7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60</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B94B7A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3563B3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89</w:t>
            </w:r>
          </w:p>
        </w:tc>
      </w:tr>
      <w:tr w:rsidR="005A6660" w:rsidRPr="005A6660" w14:paraId="7ACEB5C6"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DA3191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Options exercised / LTIP shares issued</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35058DE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7,404</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3121798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85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C40537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5,039</w:t>
            </w:r>
          </w:p>
        </w:tc>
      </w:tr>
      <w:tr w:rsidR="005A6660" w:rsidRPr="005A6660" w14:paraId="256B0733"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72059F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transactions with owners, recognized directly in equity</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5F27A43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7,498</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ED3526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86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5C0E233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5,179</w:t>
            </w:r>
          </w:p>
        </w:tc>
      </w:tr>
      <w:tr w:rsidR="005A6660" w:rsidRPr="005A6660" w14:paraId="22463A5F"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5FFE4C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Balance at December 31, 2020</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14F96BE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638,821</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3FAE730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7,165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227FF77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445,066</w:t>
            </w:r>
          </w:p>
        </w:tc>
      </w:tr>
      <w:tr w:rsidR="005A6660" w:rsidRPr="005A6660" w14:paraId="60883955"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B3A1EA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Profit for the year</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FB8070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51F351B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7E92CB2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r>
      <w:tr w:rsidR="005A6660" w:rsidRPr="005A6660" w14:paraId="1F39DC60"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50C6B7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Other comprehensive income (loss) for the year</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28846CA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B4A39F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99F4C2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r>
      <w:tr w:rsidR="005A6660" w:rsidRPr="005A6660" w14:paraId="39073718"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9C7FEA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comprehensive income (loss) for the year</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58822EB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154692E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4F7E3D6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w:t>
            </w:r>
          </w:p>
        </w:tc>
      </w:tr>
      <w:tr w:rsidR="005A6660" w:rsidRPr="005A6660" w14:paraId="4078C754"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4D96BE8"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Legal reserves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40D9B7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19120B8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45232E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r>
      <w:tr w:rsidR="005A6660" w:rsidRPr="005A6660" w14:paraId="162072E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483A67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Income tax benefit from excess tax deductions related to share-based payments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99567C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3BC6EE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1EF773C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r>
      <w:tr w:rsidR="005A6660" w:rsidRPr="005A6660" w14:paraId="061D1959"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5E3EB51"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Share-based compensation</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3C76A8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544D95E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3F7BA95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r>
      <w:tr w:rsidR="005A6660" w:rsidRPr="005A6660" w14:paraId="73EB65B3"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562268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Bonuses settled in shares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16CCF8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6632B2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257AD28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r>
      <w:tr w:rsidR="005A6660" w:rsidRPr="005A6660" w14:paraId="2732DCFF"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8A96A0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Shares issued for cash/ conversion of bonds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6548A7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450085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3D5CABA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r>
      <w:tr w:rsidR="005A6660" w:rsidRPr="005A6660" w14:paraId="077187E0"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554F19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Warrants exercised</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6C5D8C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61</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6F18E08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286A0C9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80</w:t>
            </w:r>
          </w:p>
        </w:tc>
      </w:tr>
      <w:tr w:rsidR="005A6660" w:rsidRPr="005A6660" w14:paraId="762B7E37"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976446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Options exercised / LTIP shares issued</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392A63A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9,867</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2A3DE7C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116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23F12BD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8,044</w:t>
            </w:r>
          </w:p>
        </w:tc>
      </w:tr>
      <w:tr w:rsidR="005A6660" w:rsidRPr="005A6660" w14:paraId="0B63275A"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D95FD2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transactions with owners, recognized directly in equity</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E1D1CF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9,928</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3DED870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117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5C60DF4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8,124</w:t>
            </w:r>
          </w:p>
        </w:tc>
      </w:tr>
      <w:tr w:rsidR="005A6660" w:rsidRPr="005A6660" w14:paraId="6B785997"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5E958C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Balance at December 31, 2021</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13FF7CC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648,749</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B63621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7,282</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3EB61CB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453,190</w:t>
            </w:r>
          </w:p>
        </w:tc>
      </w:tr>
    </w:tbl>
    <w:p w14:paraId="0311F024"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62365956"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5A0E244A"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5171"/>
        <w:gridCol w:w="61"/>
        <w:gridCol w:w="61"/>
        <w:gridCol w:w="61"/>
        <w:gridCol w:w="61"/>
      </w:tblGrid>
      <w:tr w:rsidR="005A6660" w:rsidRPr="005A6660" w14:paraId="316DCE50"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6B9318E0"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CONDENSED CONSOLIDATED STATEMENT CHANGES IN EQUITY</w:t>
            </w:r>
          </w:p>
        </w:tc>
        <w:tc>
          <w:tcPr>
            <w:tcW w:w="0" w:type="auto"/>
            <w:tcBorders>
              <w:top w:val="nil"/>
              <w:left w:val="nil"/>
              <w:bottom w:val="nil"/>
              <w:right w:val="nil"/>
            </w:tcBorders>
            <w:tcMar>
              <w:top w:w="0" w:type="dxa"/>
              <w:left w:w="40" w:type="dxa"/>
              <w:bottom w:w="0" w:type="dxa"/>
              <w:right w:w="15" w:type="dxa"/>
            </w:tcMar>
            <w:vAlign w:val="center"/>
            <w:hideMark/>
          </w:tcPr>
          <w:p w14:paraId="052E3C18" w14:textId="77777777" w:rsidR="005A6660" w:rsidRPr="005A6660" w:rsidRDefault="005A6660" w:rsidP="005A6660">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center"/>
            <w:hideMark/>
          </w:tcPr>
          <w:p w14:paraId="59C41BCA" w14:textId="77777777" w:rsidR="005A6660" w:rsidRPr="005A6660" w:rsidRDefault="005A6660" w:rsidP="005A6660">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center"/>
            <w:hideMark/>
          </w:tcPr>
          <w:p w14:paraId="536B01A1" w14:textId="77777777" w:rsidR="005A6660" w:rsidRPr="005A6660" w:rsidRDefault="005A6660" w:rsidP="005A6660">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center"/>
            <w:hideMark/>
          </w:tcPr>
          <w:p w14:paraId="4B2A50E2" w14:textId="77777777" w:rsidR="005A6660" w:rsidRPr="005A6660" w:rsidRDefault="005A6660" w:rsidP="005A6660">
            <w:pPr>
              <w:spacing w:after="0" w:line="240" w:lineRule="auto"/>
              <w:rPr>
                <w:rFonts w:ascii="Times New Roman" w:eastAsia="Times New Roman" w:hAnsi="Times New Roman" w:cs="Times New Roman"/>
                <w:sz w:val="24"/>
                <w:szCs w:val="24"/>
              </w:rPr>
            </w:pPr>
          </w:p>
        </w:tc>
      </w:tr>
      <w:tr w:rsidR="005A6660" w:rsidRPr="005A6660" w14:paraId="7C182BE8"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5C908F3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For the period ended 31 December</w:t>
            </w:r>
          </w:p>
        </w:tc>
        <w:tc>
          <w:tcPr>
            <w:tcW w:w="0" w:type="auto"/>
            <w:tcBorders>
              <w:top w:val="nil"/>
              <w:left w:val="nil"/>
              <w:bottom w:val="nil"/>
              <w:right w:val="nil"/>
            </w:tcBorders>
            <w:tcMar>
              <w:top w:w="0" w:type="dxa"/>
              <w:left w:w="40" w:type="dxa"/>
              <w:bottom w:w="0" w:type="dxa"/>
              <w:right w:w="15" w:type="dxa"/>
            </w:tcMar>
            <w:vAlign w:val="center"/>
            <w:hideMark/>
          </w:tcPr>
          <w:p w14:paraId="30D39ECE" w14:textId="77777777" w:rsidR="005A6660" w:rsidRPr="005A6660" w:rsidRDefault="005A6660" w:rsidP="005A6660">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center"/>
            <w:hideMark/>
          </w:tcPr>
          <w:p w14:paraId="41800C8B" w14:textId="77777777" w:rsidR="005A6660" w:rsidRPr="005A6660" w:rsidRDefault="005A6660" w:rsidP="005A6660">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center"/>
            <w:hideMark/>
          </w:tcPr>
          <w:p w14:paraId="686E03D0" w14:textId="77777777" w:rsidR="005A6660" w:rsidRPr="005A6660" w:rsidRDefault="005A6660" w:rsidP="005A6660">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center"/>
            <w:hideMark/>
          </w:tcPr>
          <w:p w14:paraId="5F95422A" w14:textId="77777777" w:rsidR="005A6660" w:rsidRPr="005A6660" w:rsidRDefault="005A6660" w:rsidP="005A6660">
            <w:pPr>
              <w:spacing w:after="0" w:line="240" w:lineRule="auto"/>
              <w:rPr>
                <w:rFonts w:ascii="Times New Roman" w:eastAsia="Times New Roman" w:hAnsi="Times New Roman" w:cs="Times New Roman"/>
                <w:sz w:val="24"/>
                <w:szCs w:val="24"/>
              </w:rPr>
            </w:pPr>
          </w:p>
        </w:tc>
      </w:tr>
      <w:tr w:rsidR="005A6660" w:rsidRPr="005A6660" w14:paraId="6D6A27E1" w14:textId="77777777" w:rsidTr="005A6660">
        <w:tc>
          <w:tcPr>
            <w:tcW w:w="0" w:type="auto"/>
            <w:gridSpan w:val="5"/>
            <w:tcBorders>
              <w:top w:val="nil"/>
              <w:left w:val="nil"/>
              <w:bottom w:val="nil"/>
              <w:right w:val="nil"/>
            </w:tcBorders>
            <w:tcMar>
              <w:top w:w="0" w:type="dxa"/>
              <w:left w:w="40" w:type="dxa"/>
              <w:bottom w:w="0" w:type="dxa"/>
              <w:right w:w="15" w:type="dxa"/>
            </w:tcMar>
            <w:vAlign w:val="center"/>
            <w:hideMark/>
          </w:tcPr>
          <w:p w14:paraId="46595DA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Attributable to owners of the parent</w:t>
            </w:r>
          </w:p>
        </w:tc>
      </w:tr>
    </w:tbl>
    <w:p w14:paraId="1C88D1A2"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4193"/>
        <w:gridCol w:w="1073"/>
        <w:gridCol w:w="1099"/>
        <w:gridCol w:w="975"/>
        <w:gridCol w:w="1117"/>
        <w:gridCol w:w="893"/>
      </w:tblGrid>
      <w:tr w:rsidR="005A6660" w:rsidRPr="005A6660" w14:paraId="6B46AABA" w14:textId="77777777" w:rsidTr="005A6660">
        <w:tc>
          <w:tcPr>
            <w:tcW w:w="0" w:type="auto"/>
            <w:tcBorders>
              <w:top w:val="single" w:sz="4" w:space="0" w:color="000000"/>
              <w:left w:val="single" w:sz="4" w:space="0" w:color="000000"/>
              <w:bottom w:val="nil"/>
              <w:right w:val="nil"/>
            </w:tcBorders>
            <w:tcMar>
              <w:top w:w="0" w:type="dxa"/>
              <w:left w:w="40" w:type="dxa"/>
              <w:bottom w:w="0" w:type="dxa"/>
              <w:right w:w="15" w:type="dxa"/>
            </w:tcMar>
            <w:vAlign w:val="center"/>
            <w:hideMark/>
          </w:tcPr>
          <w:p w14:paraId="47DF071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lastRenderedPageBreak/>
              <w:t>Amounts in $ '000</w:t>
            </w:r>
          </w:p>
        </w:tc>
        <w:tc>
          <w:tcPr>
            <w:tcW w:w="0" w:type="auto"/>
            <w:gridSpan w:val="3"/>
            <w:tcBorders>
              <w:top w:val="single" w:sz="4" w:space="0" w:color="000000"/>
              <w:left w:val="nil"/>
              <w:bottom w:val="nil"/>
              <w:right w:val="nil"/>
            </w:tcBorders>
            <w:tcMar>
              <w:top w:w="0" w:type="dxa"/>
              <w:left w:w="40" w:type="dxa"/>
              <w:bottom w:w="0" w:type="dxa"/>
              <w:right w:w="15" w:type="dxa"/>
            </w:tcMar>
            <w:vAlign w:val="center"/>
            <w:hideMark/>
          </w:tcPr>
          <w:p w14:paraId="52201C5A" w14:textId="77777777" w:rsidR="005A6660" w:rsidRPr="005A6660" w:rsidRDefault="005A6660" w:rsidP="005A6660">
            <w:pPr>
              <w:spacing w:after="0" w:line="240" w:lineRule="auto"/>
              <w:ind w:left="57"/>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Legal reserves</w:t>
            </w:r>
          </w:p>
        </w:tc>
        <w:tc>
          <w:tcPr>
            <w:tcW w:w="0" w:type="auto"/>
            <w:tcBorders>
              <w:top w:val="single" w:sz="4" w:space="0" w:color="000000"/>
              <w:left w:val="nil"/>
              <w:bottom w:val="nil"/>
              <w:right w:val="nil"/>
            </w:tcBorders>
            <w:tcMar>
              <w:top w:w="0" w:type="dxa"/>
              <w:left w:w="40" w:type="dxa"/>
              <w:bottom w:w="0" w:type="dxa"/>
              <w:right w:w="15" w:type="dxa"/>
            </w:tcMar>
            <w:vAlign w:val="center"/>
            <w:hideMark/>
          </w:tcPr>
          <w:p w14:paraId="34EC9378" w14:textId="77777777" w:rsidR="005A6660" w:rsidRPr="005A6660" w:rsidRDefault="005A6660" w:rsidP="005A6660">
            <w:pPr>
              <w:spacing w:after="0" w:line="240" w:lineRule="auto"/>
              <w:ind w:left="57"/>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Accumulated</w:t>
            </w:r>
            <w:r w:rsidRPr="005A6660">
              <w:rPr>
                <w:rFonts w:ascii="Arial" w:eastAsia="Times New Roman" w:hAnsi="Arial" w:cs="Arial"/>
                <w:b/>
                <w:bCs/>
                <w:color w:val="000000"/>
                <w:sz w:val="16"/>
                <w:szCs w:val="16"/>
              </w:rPr>
              <w:br/>
              <w:t>deficit</w:t>
            </w:r>
          </w:p>
        </w:tc>
        <w:tc>
          <w:tcPr>
            <w:tcW w:w="0" w:type="auto"/>
            <w:tcBorders>
              <w:top w:val="single" w:sz="4" w:space="0" w:color="000000"/>
              <w:left w:val="nil"/>
              <w:bottom w:val="nil"/>
              <w:right w:val="single" w:sz="4" w:space="0" w:color="000000"/>
            </w:tcBorders>
            <w:tcMar>
              <w:top w:w="0" w:type="dxa"/>
              <w:left w:w="40" w:type="dxa"/>
              <w:bottom w:w="0" w:type="dxa"/>
              <w:right w:w="15" w:type="dxa"/>
            </w:tcMar>
            <w:vAlign w:val="center"/>
            <w:hideMark/>
          </w:tcPr>
          <w:p w14:paraId="72E23636" w14:textId="77777777" w:rsidR="005A6660" w:rsidRPr="005A6660" w:rsidRDefault="005A6660" w:rsidP="005A6660">
            <w:pPr>
              <w:spacing w:after="0" w:line="240" w:lineRule="auto"/>
              <w:ind w:left="57"/>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Total equity</w:t>
            </w:r>
          </w:p>
        </w:tc>
      </w:tr>
      <w:tr w:rsidR="005A6660" w:rsidRPr="005A6660" w14:paraId="6243F012" w14:textId="77777777" w:rsidTr="005A6660">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1109E2E"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4" w:space="0" w:color="000000"/>
              <w:right w:val="nil"/>
            </w:tcBorders>
            <w:tcMar>
              <w:top w:w="0" w:type="dxa"/>
              <w:left w:w="40" w:type="dxa"/>
              <w:bottom w:w="0" w:type="dxa"/>
              <w:right w:w="15" w:type="dxa"/>
            </w:tcMar>
            <w:vAlign w:val="center"/>
            <w:hideMark/>
          </w:tcPr>
          <w:p w14:paraId="459100E2" w14:textId="77777777" w:rsidR="005A6660" w:rsidRPr="005A6660" w:rsidRDefault="005A6660" w:rsidP="005A6660">
            <w:pPr>
              <w:spacing w:after="0" w:line="240" w:lineRule="auto"/>
              <w:ind w:left="57"/>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Reserve</w:t>
            </w:r>
            <w:r w:rsidRPr="005A6660">
              <w:rPr>
                <w:rFonts w:ascii="Arial" w:eastAsia="Times New Roman" w:hAnsi="Arial" w:cs="Arial"/>
                <w:b/>
                <w:bCs/>
                <w:color w:val="000000"/>
                <w:sz w:val="16"/>
                <w:szCs w:val="16"/>
              </w:rPr>
              <w:br/>
              <w:t>participating</w:t>
            </w:r>
            <w:r w:rsidRPr="005A6660">
              <w:rPr>
                <w:rFonts w:ascii="Arial" w:eastAsia="Times New Roman" w:hAnsi="Arial" w:cs="Arial"/>
                <w:b/>
                <w:bCs/>
                <w:color w:val="000000"/>
                <w:sz w:val="16"/>
                <w:szCs w:val="16"/>
              </w:rPr>
              <w:br/>
              <w:t>interest</w:t>
            </w:r>
          </w:p>
        </w:tc>
        <w:tc>
          <w:tcPr>
            <w:tcW w:w="0" w:type="auto"/>
            <w:tcBorders>
              <w:top w:val="nil"/>
              <w:left w:val="nil"/>
              <w:bottom w:val="single" w:sz="4" w:space="0" w:color="000000"/>
              <w:right w:val="nil"/>
            </w:tcBorders>
            <w:tcMar>
              <w:top w:w="0" w:type="dxa"/>
              <w:left w:w="40" w:type="dxa"/>
              <w:bottom w:w="0" w:type="dxa"/>
              <w:right w:w="15" w:type="dxa"/>
            </w:tcMar>
            <w:vAlign w:val="center"/>
            <w:hideMark/>
          </w:tcPr>
          <w:p w14:paraId="66DBC474" w14:textId="77777777" w:rsidR="005A6660" w:rsidRPr="005A6660" w:rsidRDefault="005A6660" w:rsidP="005A6660">
            <w:pPr>
              <w:spacing w:after="0" w:line="240" w:lineRule="auto"/>
              <w:ind w:left="57"/>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Capitalized</w:t>
            </w:r>
            <w:r w:rsidRPr="005A6660">
              <w:rPr>
                <w:rFonts w:ascii="Arial" w:eastAsia="Times New Roman" w:hAnsi="Arial" w:cs="Arial"/>
                <w:b/>
                <w:bCs/>
                <w:color w:val="000000"/>
                <w:sz w:val="16"/>
                <w:szCs w:val="16"/>
              </w:rPr>
              <w:br/>
              <w:t>development</w:t>
            </w:r>
            <w:r w:rsidRPr="005A6660">
              <w:rPr>
                <w:rFonts w:ascii="Arial" w:eastAsia="Times New Roman" w:hAnsi="Arial" w:cs="Arial"/>
                <w:b/>
                <w:bCs/>
                <w:color w:val="000000"/>
                <w:sz w:val="16"/>
                <w:szCs w:val="16"/>
              </w:rPr>
              <w:br/>
              <w:t>cost</w:t>
            </w:r>
          </w:p>
        </w:tc>
        <w:tc>
          <w:tcPr>
            <w:tcW w:w="0" w:type="auto"/>
            <w:tcBorders>
              <w:top w:val="nil"/>
              <w:left w:val="nil"/>
              <w:bottom w:val="single" w:sz="4" w:space="0" w:color="000000"/>
              <w:right w:val="nil"/>
            </w:tcBorders>
            <w:tcMar>
              <w:top w:w="0" w:type="dxa"/>
              <w:left w:w="40" w:type="dxa"/>
              <w:bottom w:w="0" w:type="dxa"/>
              <w:right w:w="15" w:type="dxa"/>
            </w:tcMar>
            <w:vAlign w:val="center"/>
            <w:hideMark/>
          </w:tcPr>
          <w:p w14:paraId="180C74A1" w14:textId="77777777" w:rsidR="005A6660" w:rsidRPr="005A6660" w:rsidRDefault="005A6660" w:rsidP="005A6660">
            <w:pPr>
              <w:spacing w:after="0" w:line="240" w:lineRule="auto"/>
              <w:ind w:left="57"/>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Translation</w:t>
            </w:r>
            <w:r w:rsidRPr="005A6660">
              <w:rPr>
                <w:rFonts w:ascii="Arial" w:eastAsia="Times New Roman" w:hAnsi="Arial" w:cs="Arial"/>
                <w:b/>
                <w:bCs/>
                <w:color w:val="000000"/>
                <w:sz w:val="16"/>
                <w:szCs w:val="16"/>
              </w:rPr>
              <w:br/>
              <w:t>reserve</w:t>
            </w:r>
          </w:p>
        </w:tc>
        <w:tc>
          <w:tcPr>
            <w:tcW w:w="0" w:type="auto"/>
            <w:tcBorders>
              <w:top w:val="nil"/>
              <w:left w:val="nil"/>
              <w:bottom w:val="single" w:sz="4" w:space="0" w:color="000000"/>
              <w:right w:val="nil"/>
            </w:tcBorders>
            <w:tcMar>
              <w:top w:w="0" w:type="dxa"/>
              <w:left w:w="40" w:type="dxa"/>
              <w:bottom w:w="0" w:type="dxa"/>
              <w:right w:w="60" w:type="dxa"/>
            </w:tcMar>
            <w:vAlign w:val="bottom"/>
            <w:hideMark/>
          </w:tcPr>
          <w:p w14:paraId="30E2F9D7"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4" w:space="0" w:color="000000"/>
              <w:right w:val="single" w:sz="4" w:space="0" w:color="000000"/>
            </w:tcBorders>
            <w:tcMar>
              <w:top w:w="0" w:type="dxa"/>
              <w:left w:w="40" w:type="dxa"/>
              <w:bottom w:w="0" w:type="dxa"/>
              <w:right w:w="60" w:type="dxa"/>
            </w:tcMar>
            <w:vAlign w:val="bottom"/>
            <w:hideMark/>
          </w:tcPr>
          <w:p w14:paraId="0E976D2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7080082A"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35DE07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Balance at January 1, 2020</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37A289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073715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4,875</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7CFB33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(705)</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61BA0B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(333,749)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2CF28FB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117,387</w:t>
            </w:r>
          </w:p>
        </w:tc>
      </w:tr>
      <w:tr w:rsidR="005A6660" w:rsidRPr="005A6660" w14:paraId="306A4EA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AC6254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Profit for the year</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E91C02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884A50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3BAEA3B"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4B8D59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37,746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21E6DAF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37,746</w:t>
            </w:r>
          </w:p>
        </w:tc>
      </w:tr>
      <w:tr w:rsidR="005A6660" w:rsidRPr="005A6660" w14:paraId="6EAB87C7"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95752B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Other comprehensive income  (loss) for the year</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60D740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D29DF7A"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A6F337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14,956</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7166F0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2ADBFF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14,956</w:t>
            </w:r>
          </w:p>
        </w:tc>
      </w:tr>
      <w:tr w:rsidR="005A6660" w:rsidRPr="005A6660" w14:paraId="5BA19D7B"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584DDF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comprehensive income (loss) for the year</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543621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51793C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48E123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14,956</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95C98C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37,746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05EB06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52,702</w:t>
            </w:r>
          </w:p>
        </w:tc>
      </w:tr>
      <w:tr w:rsidR="005A6660" w:rsidRPr="005A6660" w14:paraId="74B233F5"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223578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Legal reserves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0E1490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622</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DBA945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110</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9D9937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AFA201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(732)</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38AD8AC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w:t>
            </w:r>
          </w:p>
        </w:tc>
      </w:tr>
      <w:tr w:rsidR="005A6660" w:rsidRPr="005A6660" w14:paraId="1560A91F"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380304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Income tax benefit from excess tax deductions related to share-based payments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7C8A10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6D775C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2CDDEA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EE4AA6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2,361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256B030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2,361</w:t>
            </w:r>
          </w:p>
        </w:tc>
      </w:tr>
      <w:tr w:rsidR="005A6660" w:rsidRPr="005A6660" w14:paraId="25596846"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844C1D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Share-based compensation</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0CDE63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605CF4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7ECD37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378864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6,537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1C4C8D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6,537</w:t>
            </w:r>
          </w:p>
        </w:tc>
      </w:tr>
      <w:tr w:rsidR="005A6660" w:rsidRPr="005A6660" w14:paraId="3804963B"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20217A0"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Bonuses settled in shares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55138E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801DA3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A1CCB4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DAEC96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570EB6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51</w:t>
            </w:r>
          </w:p>
        </w:tc>
      </w:tr>
      <w:tr w:rsidR="005A6660" w:rsidRPr="005A6660" w14:paraId="6EE9167C"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30422E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Shares issued for cash/ conversion of bonds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0BC177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ADC18D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8B3268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BD9410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1,605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18A0E11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1,605</w:t>
            </w:r>
          </w:p>
        </w:tc>
      </w:tr>
      <w:tr w:rsidR="005A6660" w:rsidRPr="005A6660" w14:paraId="7B3AEFB0"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F10840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Warrants exercised/ issued</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7A64A2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178726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4C9629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CD6E7E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1B8C94F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90</w:t>
            </w:r>
          </w:p>
        </w:tc>
      </w:tr>
      <w:tr w:rsidR="005A6660" w:rsidRPr="005A6660" w14:paraId="7452E4EF"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F0A22B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Options exercised / LTIP shares issued</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2E33A1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237B21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DB7BEE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3D234D4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(2,422)</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0E5880D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2,702</w:t>
            </w:r>
          </w:p>
        </w:tc>
      </w:tr>
      <w:tr w:rsidR="005A6660" w:rsidRPr="005A6660" w14:paraId="2DD867B8"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B258D3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transactions with owners, recognized directly in equity</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AA6B86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622</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8FDA10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110</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516B62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356A34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7,349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DC29B9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13,346</w:t>
            </w:r>
          </w:p>
        </w:tc>
      </w:tr>
      <w:tr w:rsidR="005A6660" w:rsidRPr="005A6660" w14:paraId="6F053DD5"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20FD296"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Balance at December 31, 2020</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40EAF0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622</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25DF7B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4,985</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9F4DC3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14,251</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1B1987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(288,654)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1533606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183,435</w:t>
            </w:r>
          </w:p>
        </w:tc>
      </w:tr>
      <w:tr w:rsidR="005A6660" w:rsidRPr="005A6660" w14:paraId="2F1143C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72207F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Profit for the year</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F997F9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EC1191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0ECD25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84E098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15,997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44D15E0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15,997</w:t>
            </w:r>
          </w:p>
        </w:tc>
      </w:tr>
      <w:tr w:rsidR="005A6660" w:rsidRPr="005A6660" w14:paraId="0A6B7D7E"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4611DB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Other comprehensive income (loss) for the year</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CBD4D0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5408F5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270</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8C88E6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(15,072)</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10B879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(2,283)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725D900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(17,085)</w:t>
            </w:r>
          </w:p>
        </w:tc>
      </w:tr>
      <w:tr w:rsidR="005A6660" w:rsidRPr="005A6660" w14:paraId="6032A390"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8BA048B"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comprehensive income (loss) for the year</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34D240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16D2BF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270</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43B83F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(15,072)</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A422BE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13,714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579A942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(1,088)</w:t>
            </w:r>
          </w:p>
        </w:tc>
      </w:tr>
      <w:tr w:rsidR="005A6660" w:rsidRPr="005A6660" w14:paraId="68B92AD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1B9ADC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Legal reserves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B4C2BF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1,938</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543F94E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(4,823)</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640F4A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4F793F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2,885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48F48C5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w:t>
            </w:r>
          </w:p>
        </w:tc>
      </w:tr>
      <w:tr w:rsidR="005A6660" w:rsidRPr="005A6660" w14:paraId="19EB069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2AC70C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Income tax benefit from excess tax deductions related to share-based payments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C6EC4B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07CFB6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5C5088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52E56E7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(1,853)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46CBF7B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(1,853)</w:t>
            </w:r>
          </w:p>
        </w:tc>
      </w:tr>
      <w:tr w:rsidR="005A6660" w:rsidRPr="005A6660" w14:paraId="5781803B"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867AF68"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Share-based compensation</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CC1149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640406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9F344A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49C711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9,056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30AC27D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9,056</w:t>
            </w:r>
          </w:p>
        </w:tc>
      </w:tr>
      <w:tr w:rsidR="005A6660" w:rsidRPr="005A6660" w14:paraId="77EE109B"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E212D7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Bonuses settled in shares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9D982B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877D26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7CFE7C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DFB8AC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6077A5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w:t>
            </w:r>
          </w:p>
        </w:tc>
      </w:tr>
      <w:tr w:rsidR="005A6660" w:rsidRPr="005A6660" w14:paraId="3DE8F6FE"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3000DD0"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Shares issued for cash/ conversion of bonds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41E8FA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37997C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AC111F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BDB656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4ACD37F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w:t>
            </w:r>
          </w:p>
        </w:tc>
      </w:tr>
      <w:tr w:rsidR="005A6660" w:rsidRPr="005A6660" w14:paraId="7EBB3E29"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D58363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Warrants exercised</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C24511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848B8C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8E56BB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461C82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6498D3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81</w:t>
            </w:r>
          </w:p>
        </w:tc>
      </w:tr>
      <w:tr w:rsidR="005A6660" w:rsidRPr="005A6660" w14:paraId="5B30055D"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04C9A4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Options exercised / LTIP shares issued</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5C8CCC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36590F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A76376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1439548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(4,875)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66D53A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3,285</w:t>
            </w:r>
          </w:p>
        </w:tc>
      </w:tr>
      <w:tr w:rsidR="005A6660" w:rsidRPr="005A6660" w14:paraId="49A630B3"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C4AA1D1"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transactions with owners, recognized directly in equity</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62EB16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1,938</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3857CA0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(4,823)</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AED543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DC3AEC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5,213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713B22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10,569</w:t>
            </w:r>
          </w:p>
        </w:tc>
      </w:tr>
      <w:tr w:rsidR="005A6660" w:rsidRPr="005A6660" w14:paraId="0FAD8A0B"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7A7153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Balance at December 31, 2021</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FE60F8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2,560</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7EDEC5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432</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6D90474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(821)</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530A624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(269,727)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06A0E2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192,916</w:t>
            </w:r>
          </w:p>
        </w:tc>
      </w:tr>
    </w:tbl>
    <w:p w14:paraId="0F95915B"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77F5FCDD"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5819"/>
        <w:gridCol w:w="679"/>
        <w:gridCol w:w="679"/>
        <w:gridCol w:w="106"/>
      </w:tblGrid>
      <w:tr w:rsidR="005A6660" w:rsidRPr="005A6660" w14:paraId="1E92E45E" w14:textId="77777777" w:rsidTr="005A6660">
        <w:trPr>
          <w:trHeight w:val="285"/>
        </w:trPr>
        <w:tc>
          <w:tcPr>
            <w:tcW w:w="0" w:type="auto"/>
            <w:tcBorders>
              <w:top w:val="nil"/>
              <w:left w:val="nil"/>
              <w:bottom w:val="nil"/>
              <w:right w:val="nil"/>
            </w:tcBorders>
            <w:tcMar>
              <w:top w:w="0" w:type="dxa"/>
              <w:left w:w="40" w:type="dxa"/>
              <w:bottom w:w="0" w:type="dxa"/>
              <w:right w:w="15" w:type="dxa"/>
            </w:tcMar>
            <w:vAlign w:val="center"/>
            <w:hideMark/>
          </w:tcPr>
          <w:p w14:paraId="32F29BF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CONDENSED CONSOLIDATED STATEMENT OF CASH FLOWS in US Dollar</w:t>
            </w:r>
          </w:p>
        </w:tc>
        <w:tc>
          <w:tcPr>
            <w:tcW w:w="0" w:type="auto"/>
            <w:tcBorders>
              <w:top w:val="nil"/>
              <w:left w:val="nil"/>
              <w:bottom w:val="nil"/>
              <w:right w:val="nil"/>
            </w:tcBorders>
            <w:tcMar>
              <w:top w:w="0" w:type="dxa"/>
              <w:left w:w="40" w:type="dxa"/>
              <w:bottom w:w="0" w:type="dxa"/>
              <w:right w:w="60" w:type="dxa"/>
            </w:tcMar>
            <w:vAlign w:val="bottom"/>
            <w:hideMark/>
          </w:tcPr>
          <w:p w14:paraId="2055A840"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60" w:type="dxa"/>
            </w:tcMar>
            <w:vAlign w:val="bottom"/>
            <w:hideMark/>
          </w:tcPr>
          <w:p w14:paraId="1124531B"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60" w:type="dxa"/>
            </w:tcMar>
            <w:vAlign w:val="bottom"/>
            <w:hideMark/>
          </w:tcPr>
          <w:p w14:paraId="3994DA99"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15C0C8BF" w14:textId="77777777" w:rsidTr="005A6660">
        <w:trPr>
          <w:trHeight w:val="285"/>
        </w:trPr>
        <w:tc>
          <w:tcPr>
            <w:tcW w:w="0" w:type="auto"/>
            <w:tcBorders>
              <w:top w:val="nil"/>
              <w:left w:val="nil"/>
              <w:bottom w:val="nil"/>
              <w:right w:val="nil"/>
            </w:tcBorders>
            <w:tcMar>
              <w:top w:w="0" w:type="dxa"/>
              <w:left w:w="40" w:type="dxa"/>
              <w:bottom w:w="0" w:type="dxa"/>
              <w:right w:w="15" w:type="dxa"/>
            </w:tcMar>
            <w:vAlign w:val="center"/>
            <w:hideMark/>
          </w:tcPr>
          <w:p w14:paraId="044FBA40"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For the year ended 31 December</w:t>
            </w:r>
          </w:p>
        </w:tc>
        <w:tc>
          <w:tcPr>
            <w:tcW w:w="0" w:type="auto"/>
            <w:tcBorders>
              <w:top w:val="nil"/>
              <w:left w:val="nil"/>
              <w:bottom w:val="nil"/>
              <w:right w:val="nil"/>
            </w:tcBorders>
            <w:tcMar>
              <w:top w:w="0" w:type="dxa"/>
              <w:left w:w="40" w:type="dxa"/>
              <w:bottom w:w="0" w:type="dxa"/>
              <w:right w:w="60" w:type="dxa"/>
            </w:tcMar>
            <w:vAlign w:val="bottom"/>
            <w:hideMark/>
          </w:tcPr>
          <w:p w14:paraId="01A8E366"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60" w:type="dxa"/>
            </w:tcMar>
            <w:vAlign w:val="bottom"/>
            <w:hideMark/>
          </w:tcPr>
          <w:p w14:paraId="472871BB"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60" w:type="dxa"/>
            </w:tcMar>
            <w:vAlign w:val="bottom"/>
            <w:hideMark/>
          </w:tcPr>
          <w:p w14:paraId="759FFD2E"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00D014D6" w14:textId="77777777" w:rsidTr="005A6660">
        <w:trPr>
          <w:trHeight w:val="105"/>
        </w:trPr>
        <w:tc>
          <w:tcPr>
            <w:tcW w:w="0" w:type="auto"/>
            <w:vMerge w:val="restart"/>
            <w:tcBorders>
              <w:top w:val="nil"/>
              <w:left w:val="nil"/>
              <w:bottom w:val="single" w:sz="4" w:space="0" w:color="000000"/>
              <w:right w:val="nil"/>
            </w:tcBorders>
            <w:tcMar>
              <w:top w:w="0" w:type="dxa"/>
              <w:left w:w="40" w:type="dxa"/>
              <w:bottom w:w="0" w:type="dxa"/>
              <w:right w:w="15" w:type="dxa"/>
            </w:tcMar>
            <w:vAlign w:val="center"/>
            <w:hideMark/>
          </w:tcPr>
          <w:p w14:paraId="1FE204C1"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Amounts in $'000</w:t>
            </w:r>
          </w:p>
        </w:tc>
        <w:tc>
          <w:tcPr>
            <w:tcW w:w="0" w:type="auto"/>
            <w:vMerge w:val="restart"/>
            <w:tcBorders>
              <w:top w:val="nil"/>
              <w:left w:val="nil"/>
              <w:bottom w:val="single" w:sz="4" w:space="0" w:color="000000"/>
              <w:right w:val="nil"/>
            </w:tcBorders>
            <w:tcMar>
              <w:top w:w="0" w:type="dxa"/>
              <w:left w:w="40" w:type="dxa"/>
              <w:bottom w:w="0" w:type="dxa"/>
              <w:right w:w="60" w:type="dxa"/>
            </w:tcMar>
            <w:vAlign w:val="bottom"/>
            <w:hideMark/>
          </w:tcPr>
          <w:p w14:paraId="3CDD30E3" w14:textId="77777777" w:rsidR="005A6660" w:rsidRPr="005A6660" w:rsidRDefault="005A6660" w:rsidP="005A6660">
            <w:pPr>
              <w:spacing w:after="0" w:line="240" w:lineRule="auto"/>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2021</w:t>
            </w:r>
          </w:p>
        </w:tc>
        <w:tc>
          <w:tcPr>
            <w:tcW w:w="0" w:type="auto"/>
            <w:vMerge w:val="restart"/>
            <w:tcBorders>
              <w:top w:val="nil"/>
              <w:left w:val="nil"/>
              <w:bottom w:val="single" w:sz="4" w:space="0" w:color="000000"/>
              <w:right w:val="nil"/>
            </w:tcBorders>
            <w:tcMar>
              <w:top w:w="0" w:type="dxa"/>
              <w:left w:w="40" w:type="dxa"/>
              <w:bottom w:w="0" w:type="dxa"/>
              <w:right w:w="60" w:type="dxa"/>
            </w:tcMar>
            <w:vAlign w:val="bottom"/>
            <w:hideMark/>
          </w:tcPr>
          <w:p w14:paraId="0CA946F7" w14:textId="77777777" w:rsidR="005A6660" w:rsidRPr="005A6660" w:rsidRDefault="005A6660" w:rsidP="005A6660">
            <w:pPr>
              <w:spacing w:after="0" w:line="240" w:lineRule="auto"/>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2020</w:t>
            </w:r>
          </w:p>
        </w:tc>
        <w:tc>
          <w:tcPr>
            <w:tcW w:w="0" w:type="auto"/>
            <w:tcBorders>
              <w:top w:val="nil"/>
              <w:left w:val="nil"/>
              <w:bottom w:val="nil"/>
              <w:right w:val="nil"/>
            </w:tcBorders>
            <w:tcMar>
              <w:top w:w="0" w:type="dxa"/>
              <w:left w:w="40" w:type="dxa"/>
              <w:bottom w:w="0" w:type="dxa"/>
              <w:right w:w="60" w:type="dxa"/>
            </w:tcMar>
            <w:vAlign w:val="bottom"/>
            <w:hideMark/>
          </w:tcPr>
          <w:p w14:paraId="551424AE"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7412C29C" w14:textId="77777777" w:rsidTr="005A6660">
        <w:trPr>
          <w:trHeight w:val="195"/>
        </w:trPr>
        <w:tc>
          <w:tcPr>
            <w:tcW w:w="0" w:type="auto"/>
            <w:vMerge/>
            <w:tcBorders>
              <w:top w:val="nil"/>
              <w:left w:val="nil"/>
              <w:bottom w:val="single" w:sz="4" w:space="0" w:color="000000"/>
              <w:right w:val="nil"/>
            </w:tcBorders>
            <w:vAlign w:val="center"/>
            <w:hideMark/>
          </w:tcPr>
          <w:p w14:paraId="49BBFF41" w14:textId="77777777" w:rsidR="005A6660" w:rsidRPr="005A6660" w:rsidRDefault="005A6660" w:rsidP="005A6660">
            <w:pPr>
              <w:spacing w:after="0" w:line="240" w:lineRule="auto"/>
              <w:rPr>
                <w:rFonts w:ascii="Arial" w:eastAsia="Times New Roman" w:hAnsi="Arial" w:cs="Arial"/>
                <w:color w:val="000000"/>
                <w:sz w:val="16"/>
                <w:szCs w:val="16"/>
              </w:rPr>
            </w:pPr>
          </w:p>
        </w:tc>
        <w:tc>
          <w:tcPr>
            <w:tcW w:w="0" w:type="auto"/>
            <w:vMerge/>
            <w:tcBorders>
              <w:top w:val="nil"/>
              <w:left w:val="nil"/>
              <w:bottom w:val="single" w:sz="4" w:space="0" w:color="000000"/>
              <w:right w:val="nil"/>
            </w:tcBorders>
            <w:vAlign w:val="center"/>
            <w:hideMark/>
          </w:tcPr>
          <w:p w14:paraId="4C3C2C37" w14:textId="77777777" w:rsidR="005A6660" w:rsidRPr="005A6660" w:rsidRDefault="005A6660" w:rsidP="005A6660">
            <w:pPr>
              <w:spacing w:after="0" w:line="240" w:lineRule="auto"/>
              <w:rPr>
                <w:rFonts w:ascii="Arial" w:eastAsia="Times New Roman" w:hAnsi="Arial" w:cs="Arial"/>
                <w:color w:val="000000"/>
                <w:sz w:val="16"/>
                <w:szCs w:val="16"/>
              </w:rPr>
            </w:pPr>
          </w:p>
        </w:tc>
        <w:tc>
          <w:tcPr>
            <w:tcW w:w="0" w:type="auto"/>
            <w:vMerge/>
            <w:tcBorders>
              <w:top w:val="nil"/>
              <w:left w:val="nil"/>
              <w:bottom w:val="single" w:sz="4" w:space="0" w:color="000000"/>
              <w:right w:val="nil"/>
            </w:tcBorders>
            <w:vAlign w:val="center"/>
            <w:hideMark/>
          </w:tcPr>
          <w:p w14:paraId="3B7929D9" w14:textId="77777777" w:rsidR="005A6660" w:rsidRPr="005A6660" w:rsidRDefault="005A6660" w:rsidP="005A6660">
            <w:pPr>
              <w:spacing w:after="0" w:line="240" w:lineRule="auto"/>
              <w:rPr>
                <w:rFonts w:ascii="Arial" w:eastAsia="Times New Roman" w:hAnsi="Arial" w:cs="Arial"/>
                <w:color w:val="000000"/>
                <w:sz w:val="16"/>
                <w:szCs w:val="16"/>
              </w:rPr>
            </w:pPr>
          </w:p>
        </w:tc>
        <w:tc>
          <w:tcPr>
            <w:tcW w:w="0" w:type="auto"/>
            <w:tcBorders>
              <w:top w:val="nil"/>
              <w:left w:val="nil"/>
              <w:bottom w:val="nil"/>
              <w:right w:val="nil"/>
            </w:tcBorders>
            <w:tcMar>
              <w:top w:w="0" w:type="dxa"/>
              <w:left w:w="40" w:type="dxa"/>
              <w:bottom w:w="0" w:type="dxa"/>
              <w:right w:w="60" w:type="dxa"/>
            </w:tcMar>
            <w:vAlign w:val="bottom"/>
            <w:hideMark/>
          </w:tcPr>
          <w:p w14:paraId="32474AF1"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5D95D36E"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EC0CA5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Profit before tax</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51E51C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23.079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47341CA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44.094</w:t>
            </w:r>
          </w:p>
        </w:tc>
        <w:tc>
          <w:tcPr>
            <w:tcW w:w="0" w:type="auto"/>
            <w:tcBorders>
              <w:top w:val="nil"/>
              <w:left w:val="nil"/>
              <w:bottom w:val="nil"/>
              <w:right w:val="nil"/>
            </w:tcBorders>
            <w:tcMar>
              <w:top w:w="0" w:type="dxa"/>
              <w:left w:w="40" w:type="dxa"/>
              <w:bottom w:w="0" w:type="dxa"/>
              <w:right w:w="60" w:type="dxa"/>
            </w:tcMar>
            <w:vAlign w:val="bottom"/>
            <w:hideMark/>
          </w:tcPr>
          <w:p w14:paraId="353C18F2"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0FD87A96"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7DD02CB"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i/>
                <w:iCs/>
                <w:color w:val="000000"/>
                <w:sz w:val="16"/>
                <w:szCs w:val="16"/>
              </w:rPr>
              <w:t>Non-cash adjustments: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4C10BC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0CEE7A16"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60" w:type="dxa"/>
            </w:tcMar>
            <w:vAlign w:val="bottom"/>
            <w:hideMark/>
          </w:tcPr>
          <w:p w14:paraId="33CE63D4"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09A7ACA5"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EE3734D"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Depreciation, amortization, impairment of non-current assets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6CB549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19.610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17A372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8.314</w:t>
            </w:r>
          </w:p>
        </w:tc>
        <w:tc>
          <w:tcPr>
            <w:tcW w:w="0" w:type="auto"/>
            <w:tcBorders>
              <w:top w:val="nil"/>
              <w:left w:val="nil"/>
              <w:bottom w:val="nil"/>
              <w:right w:val="nil"/>
            </w:tcBorders>
            <w:tcMar>
              <w:top w:w="0" w:type="dxa"/>
              <w:left w:w="40" w:type="dxa"/>
              <w:bottom w:w="0" w:type="dxa"/>
              <w:right w:w="60" w:type="dxa"/>
            </w:tcMar>
            <w:vAlign w:val="bottom"/>
            <w:hideMark/>
          </w:tcPr>
          <w:p w14:paraId="78A2691E"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53A067FE"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096FC7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Equity settled share based payments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B5F9EB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9.056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E57E11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6.537</w:t>
            </w:r>
          </w:p>
        </w:tc>
        <w:tc>
          <w:tcPr>
            <w:tcW w:w="0" w:type="auto"/>
            <w:tcBorders>
              <w:top w:val="nil"/>
              <w:left w:val="nil"/>
              <w:bottom w:val="nil"/>
              <w:right w:val="nil"/>
            </w:tcBorders>
            <w:tcMar>
              <w:top w:w="0" w:type="dxa"/>
              <w:left w:w="40" w:type="dxa"/>
              <w:bottom w:w="0" w:type="dxa"/>
              <w:right w:w="60" w:type="dxa"/>
            </w:tcMar>
            <w:vAlign w:val="bottom"/>
            <w:hideMark/>
          </w:tcPr>
          <w:p w14:paraId="6C6401A7"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DFF1CEB"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BC24CB8"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Fair value gain (loss) loss on revaluation of derivatives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80619B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(114)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1D1475E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(69)</w:t>
            </w:r>
          </w:p>
        </w:tc>
        <w:tc>
          <w:tcPr>
            <w:tcW w:w="0" w:type="auto"/>
            <w:tcBorders>
              <w:top w:val="nil"/>
              <w:left w:val="nil"/>
              <w:bottom w:val="nil"/>
              <w:right w:val="nil"/>
            </w:tcBorders>
            <w:tcMar>
              <w:top w:w="0" w:type="dxa"/>
              <w:left w:w="40" w:type="dxa"/>
              <w:bottom w:w="0" w:type="dxa"/>
              <w:right w:w="60" w:type="dxa"/>
            </w:tcMar>
            <w:vAlign w:val="bottom"/>
            <w:hideMark/>
          </w:tcPr>
          <w:p w14:paraId="34FB7688"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4C7846B1"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F05313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Other finance income</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53E26F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(14.906)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C6A4BC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(713)</w:t>
            </w:r>
          </w:p>
        </w:tc>
        <w:tc>
          <w:tcPr>
            <w:tcW w:w="0" w:type="auto"/>
            <w:tcBorders>
              <w:top w:val="nil"/>
              <w:left w:val="nil"/>
              <w:bottom w:val="nil"/>
              <w:right w:val="nil"/>
            </w:tcBorders>
            <w:tcMar>
              <w:top w:w="0" w:type="dxa"/>
              <w:left w:w="40" w:type="dxa"/>
              <w:bottom w:w="0" w:type="dxa"/>
              <w:right w:w="60" w:type="dxa"/>
            </w:tcMar>
            <w:vAlign w:val="bottom"/>
            <w:hideMark/>
          </w:tcPr>
          <w:p w14:paraId="44E97D4A"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9F27F0A"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D3CC0B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Other finance expenses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EBA83E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6.196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3462F0B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33.308</w:t>
            </w:r>
          </w:p>
        </w:tc>
        <w:tc>
          <w:tcPr>
            <w:tcW w:w="0" w:type="auto"/>
            <w:tcBorders>
              <w:top w:val="nil"/>
              <w:left w:val="nil"/>
              <w:bottom w:val="nil"/>
              <w:right w:val="nil"/>
            </w:tcBorders>
            <w:tcMar>
              <w:top w:w="0" w:type="dxa"/>
              <w:left w:w="40" w:type="dxa"/>
              <w:bottom w:w="0" w:type="dxa"/>
              <w:right w:w="60" w:type="dxa"/>
            </w:tcMar>
            <w:vAlign w:val="bottom"/>
            <w:hideMark/>
          </w:tcPr>
          <w:p w14:paraId="52B94E02"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17106329"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700741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Share of net profits in associates using the equity method</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7720E1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(694)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7D94491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(362)</w:t>
            </w:r>
          </w:p>
        </w:tc>
        <w:tc>
          <w:tcPr>
            <w:tcW w:w="0" w:type="auto"/>
            <w:tcBorders>
              <w:top w:val="nil"/>
              <w:left w:val="nil"/>
              <w:bottom w:val="nil"/>
              <w:right w:val="nil"/>
            </w:tcBorders>
            <w:tcMar>
              <w:top w:w="0" w:type="dxa"/>
              <w:left w:w="40" w:type="dxa"/>
              <w:bottom w:w="0" w:type="dxa"/>
              <w:right w:w="60" w:type="dxa"/>
            </w:tcMar>
            <w:vAlign w:val="bottom"/>
            <w:hideMark/>
          </w:tcPr>
          <w:p w14:paraId="3CC61B41"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680C7E82"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AB8C780"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Other</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DCA6EC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524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A0812F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(1.624)</w:t>
            </w:r>
          </w:p>
        </w:tc>
        <w:tc>
          <w:tcPr>
            <w:tcW w:w="0" w:type="auto"/>
            <w:tcBorders>
              <w:top w:val="nil"/>
              <w:left w:val="nil"/>
              <w:bottom w:val="nil"/>
              <w:right w:val="nil"/>
            </w:tcBorders>
            <w:tcMar>
              <w:top w:w="0" w:type="dxa"/>
              <w:left w:w="40" w:type="dxa"/>
              <w:bottom w:w="0" w:type="dxa"/>
              <w:right w:w="60" w:type="dxa"/>
            </w:tcMar>
            <w:vAlign w:val="bottom"/>
            <w:hideMark/>
          </w:tcPr>
          <w:p w14:paraId="52CB9B2A"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67AA2024"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25E42C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Operating cash flows before changes in working capital</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534A84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42.751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4029944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89.485</w:t>
            </w:r>
          </w:p>
        </w:tc>
        <w:tc>
          <w:tcPr>
            <w:tcW w:w="0" w:type="auto"/>
            <w:tcBorders>
              <w:top w:val="nil"/>
              <w:left w:val="nil"/>
              <w:bottom w:val="nil"/>
              <w:right w:val="nil"/>
            </w:tcBorders>
            <w:tcMar>
              <w:top w:w="0" w:type="dxa"/>
              <w:left w:w="40" w:type="dxa"/>
              <w:bottom w:w="0" w:type="dxa"/>
              <w:right w:w="60" w:type="dxa"/>
            </w:tcMar>
            <w:vAlign w:val="bottom"/>
            <w:hideMark/>
          </w:tcPr>
          <w:p w14:paraId="162A1667"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72ABF804"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4A0042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i/>
                <w:iCs/>
                <w:color w:val="000000"/>
                <w:sz w:val="16"/>
                <w:szCs w:val="16"/>
              </w:rPr>
              <w:t>Changes in working capital:</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9CC4EC6"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DF6A60B"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60" w:type="dxa"/>
            </w:tcMar>
            <w:vAlign w:val="bottom"/>
            <w:hideMark/>
          </w:tcPr>
          <w:p w14:paraId="7A4CE2F6"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63EE182D"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A56AD0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Inventories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A3813C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(6.153)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545C4C6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(4.934)</w:t>
            </w:r>
          </w:p>
        </w:tc>
        <w:tc>
          <w:tcPr>
            <w:tcW w:w="0" w:type="auto"/>
            <w:tcBorders>
              <w:top w:val="nil"/>
              <w:left w:val="nil"/>
              <w:bottom w:val="nil"/>
              <w:right w:val="nil"/>
            </w:tcBorders>
            <w:tcMar>
              <w:top w:w="0" w:type="dxa"/>
              <w:left w:w="40" w:type="dxa"/>
              <w:bottom w:w="0" w:type="dxa"/>
              <w:right w:w="60" w:type="dxa"/>
            </w:tcMar>
            <w:vAlign w:val="bottom"/>
            <w:hideMark/>
          </w:tcPr>
          <w:p w14:paraId="73ECF133"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3289E2C5"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02270DB"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lastRenderedPageBreak/>
              <w:t>Trade and other receivables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4505AB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5.918</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19B54AE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(7.040)</w:t>
            </w:r>
          </w:p>
        </w:tc>
        <w:tc>
          <w:tcPr>
            <w:tcW w:w="0" w:type="auto"/>
            <w:tcBorders>
              <w:top w:val="nil"/>
              <w:left w:val="nil"/>
              <w:bottom w:val="nil"/>
              <w:right w:val="nil"/>
            </w:tcBorders>
            <w:tcMar>
              <w:top w:w="0" w:type="dxa"/>
              <w:left w:w="40" w:type="dxa"/>
              <w:bottom w:w="0" w:type="dxa"/>
              <w:right w:w="60" w:type="dxa"/>
            </w:tcMar>
            <w:vAlign w:val="bottom"/>
            <w:hideMark/>
          </w:tcPr>
          <w:p w14:paraId="5B06E4F1"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52AA549"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ECD64A6"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Payables and other current liabilities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589B204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(5.193)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23213E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7.019</w:t>
            </w:r>
          </w:p>
        </w:tc>
        <w:tc>
          <w:tcPr>
            <w:tcW w:w="0" w:type="auto"/>
            <w:tcBorders>
              <w:top w:val="nil"/>
              <w:left w:val="nil"/>
              <w:bottom w:val="nil"/>
              <w:right w:val="nil"/>
            </w:tcBorders>
            <w:tcMar>
              <w:top w:w="0" w:type="dxa"/>
              <w:left w:w="40" w:type="dxa"/>
              <w:bottom w:w="0" w:type="dxa"/>
              <w:right w:w="60" w:type="dxa"/>
            </w:tcMar>
            <w:vAlign w:val="bottom"/>
            <w:hideMark/>
          </w:tcPr>
          <w:p w14:paraId="6631F255"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2823396"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013A56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Restricted cash</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CBD4FF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467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45B2623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1.039</w:t>
            </w:r>
          </w:p>
        </w:tc>
        <w:tc>
          <w:tcPr>
            <w:tcW w:w="0" w:type="auto"/>
            <w:tcBorders>
              <w:top w:val="nil"/>
              <w:left w:val="nil"/>
              <w:bottom w:val="nil"/>
              <w:right w:val="nil"/>
            </w:tcBorders>
            <w:tcMar>
              <w:top w:w="0" w:type="dxa"/>
              <w:left w:w="40" w:type="dxa"/>
              <w:bottom w:w="0" w:type="dxa"/>
              <w:right w:w="60" w:type="dxa"/>
            </w:tcMar>
            <w:vAlign w:val="bottom"/>
            <w:hideMark/>
          </w:tcPr>
          <w:p w14:paraId="676ED8DB"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5BBB600F"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801B5C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Total changes in working capital</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4A7FE5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(4.961)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BD5487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(3.916)</w:t>
            </w:r>
          </w:p>
        </w:tc>
        <w:tc>
          <w:tcPr>
            <w:tcW w:w="0" w:type="auto"/>
            <w:tcBorders>
              <w:top w:val="nil"/>
              <w:left w:val="nil"/>
              <w:bottom w:val="nil"/>
              <w:right w:val="nil"/>
            </w:tcBorders>
            <w:tcMar>
              <w:top w:w="0" w:type="dxa"/>
              <w:left w:w="40" w:type="dxa"/>
              <w:bottom w:w="0" w:type="dxa"/>
              <w:right w:w="60" w:type="dxa"/>
            </w:tcMar>
            <w:vAlign w:val="bottom"/>
            <w:hideMark/>
          </w:tcPr>
          <w:p w14:paraId="7049D69E"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2AC425B"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E61189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Interest received</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DF9E77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732D04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715</w:t>
            </w:r>
          </w:p>
        </w:tc>
        <w:tc>
          <w:tcPr>
            <w:tcW w:w="0" w:type="auto"/>
            <w:tcBorders>
              <w:top w:val="nil"/>
              <w:left w:val="nil"/>
              <w:bottom w:val="nil"/>
              <w:right w:val="nil"/>
            </w:tcBorders>
            <w:tcMar>
              <w:top w:w="0" w:type="dxa"/>
              <w:left w:w="40" w:type="dxa"/>
              <w:bottom w:w="0" w:type="dxa"/>
              <w:right w:w="60" w:type="dxa"/>
            </w:tcMar>
            <w:vAlign w:val="bottom"/>
            <w:hideMark/>
          </w:tcPr>
          <w:p w14:paraId="236CDECE"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6C0DE824"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57A5568"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Income taxes paid</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12B410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736AD05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(2.658)</w:t>
            </w:r>
          </w:p>
        </w:tc>
        <w:tc>
          <w:tcPr>
            <w:tcW w:w="0" w:type="auto"/>
            <w:tcBorders>
              <w:top w:val="nil"/>
              <w:left w:val="nil"/>
              <w:bottom w:val="nil"/>
              <w:right w:val="nil"/>
            </w:tcBorders>
            <w:tcMar>
              <w:top w:w="0" w:type="dxa"/>
              <w:left w:w="40" w:type="dxa"/>
              <w:bottom w:w="0" w:type="dxa"/>
              <w:right w:w="60" w:type="dxa"/>
            </w:tcMar>
            <w:vAlign w:val="bottom"/>
            <w:hideMark/>
          </w:tcPr>
          <w:p w14:paraId="63C73374"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7DE47743"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C8FA8B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Net cash flows generated from (used in) operating activities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E481CD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37.843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0F8846E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83.626</w:t>
            </w:r>
          </w:p>
        </w:tc>
        <w:tc>
          <w:tcPr>
            <w:tcW w:w="0" w:type="auto"/>
            <w:tcBorders>
              <w:top w:val="nil"/>
              <w:left w:val="nil"/>
              <w:bottom w:val="nil"/>
              <w:right w:val="nil"/>
            </w:tcBorders>
            <w:tcMar>
              <w:top w:w="0" w:type="dxa"/>
              <w:left w:w="40" w:type="dxa"/>
              <w:bottom w:w="0" w:type="dxa"/>
              <w:right w:w="60" w:type="dxa"/>
            </w:tcMar>
            <w:vAlign w:val="bottom"/>
            <w:hideMark/>
          </w:tcPr>
          <w:p w14:paraId="7A147549"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699797EC" w14:textId="77777777" w:rsidTr="005A6660">
        <w:trPr>
          <w:trHeight w:val="105"/>
        </w:trPr>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0C04E62"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C8BE7F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0E4F74F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60" w:type="dxa"/>
            </w:tcMar>
            <w:vAlign w:val="bottom"/>
            <w:hideMark/>
          </w:tcPr>
          <w:p w14:paraId="19479123"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D30F772"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7AC190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Capital expenditure for property, plant and equipment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204897F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(10.739)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1BFA3BE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(4.657)</w:t>
            </w:r>
          </w:p>
        </w:tc>
        <w:tc>
          <w:tcPr>
            <w:tcW w:w="0" w:type="auto"/>
            <w:tcBorders>
              <w:top w:val="nil"/>
              <w:left w:val="nil"/>
              <w:bottom w:val="nil"/>
              <w:right w:val="nil"/>
            </w:tcBorders>
            <w:tcMar>
              <w:top w:w="0" w:type="dxa"/>
              <w:left w:w="40" w:type="dxa"/>
              <w:bottom w:w="0" w:type="dxa"/>
              <w:right w:w="60" w:type="dxa"/>
            </w:tcMar>
            <w:vAlign w:val="bottom"/>
            <w:hideMark/>
          </w:tcPr>
          <w:p w14:paraId="69D861E8"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49925F57"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A91950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Investment intangible assets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E0FD5E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(3.447)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508D27D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(9.060)</w:t>
            </w:r>
          </w:p>
        </w:tc>
        <w:tc>
          <w:tcPr>
            <w:tcW w:w="0" w:type="auto"/>
            <w:tcBorders>
              <w:top w:val="nil"/>
              <w:left w:val="nil"/>
              <w:bottom w:val="nil"/>
              <w:right w:val="nil"/>
            </w:tcBorders>
            <w:tcMar>
              <w:top w:w="0" w:type="dxa"/>
              <w:left w:w="40" w:type="dxa"/>
              <w:bottom w:w="0" w:type="dxa"/>
              <w:right w:w="60" w:type="dxa"/>
            </w:tcMar>
            <w:vAlign w:val="bottom"/>
            <w:hideMark/>
          </w:tcPr>
          <w:p w14:paraId="523EAD7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6AE7E3D1"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F6058A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Investment associate</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E360CE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7A990A7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(329)</w:t>
            </w:r>
          </w:p>
        </w:tc>
        <w:tc>
          <w:tcPr>
            <w:tcW w:w="0" w:type="auto"/>
            <w:tcBorders>
              <w:top w:val="nil"/>
              <w:left w:val="nil"/>
              <w:bottom w:val="nil"/>
              <w:right w:val="nil"/>
            </w:tcBorders>
            <w:tcMar>
              <w:top w:w="0" w:type="dxa"/>
              <w:left w:w="40" w:type="dxa"/>
              <w:bottom w:w="0" w:type="dxa"/>
              <w:right w:w="60" w:type="dxa"/>
            </w:tcMar>
            <w:vAlign w:val="bottom"/>
            <w:hideMark/>
          </w:tcPr>
          <w:p w14:paraId="5C34A697"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08EA1601"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D1BB78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Investment in equity instruments designated as at FVTOCI</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B5C470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(4.589)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E1EA07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c>
          <w:tcPr>
            <w:tcW w:w="0" w:type="auto"/>
            <w:tcBorders>
              <w:top w:val="nil"/>
              <w:left w:val="nil"/>
              <w:bottom w:val="nil"/>
              <w:right w:val="nil"/>
            </w:tcBorders>
            <w:tcMar>
              <w:top w:w="0" w:type="dxa"/>
              <w:left w:w="40" w:type="dxa"/>
              <w:bottom w:w="0" w:type="dxa"/>
              <w:right w:w="60" w:type="dxa"/>
            </w:tcMar>
            <w:vAlign w:val="bottom"/>
            <w:hideMark/>
          </w:tcPr>
          <w:p w14:paraId="27FF5199"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57E7B0F9"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75AD96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Acquisition of license</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1353821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(2.530)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05B16F6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(1.583)</w:t>
            </w:r>
          </w:p>
        </w:tc>
        <w:tc>
          <w:tcPr>
            <w:tcW w:w="0" w:type="auto"/>
            <w:tcBorders>
              <w:top w:val="nil"/>
              <w:left w:val="nil"/>
              <w:bottom w:val="nil"/>
              <w:right w:val="nil"/>
            </w:tcBorders>
            <w:tcMar>
              <w:top w:w="0" w:type="dxa"/>
              <w:left w:w="40" w:type="dxa"/>
              <w:bottom w:w="0" w:type="dxa"/>
              <w:right w:w="60" w:type="dxa"/>
            </w:tcMar>
            <w:vAlign w:val="bottom"/>
            <w:hideMark/>
          </w:tcPr>
          <w:p w14:paraId="030AFF10"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5FF0BEC7"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E7D281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Net cash flows used in investing activities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5277A67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(21.305)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533AE2C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(15.629)</w:t>
            </w:r>
          </w:p>
        </w:tc>
        <w:tc>
          <w:tcPr>
            <w:tcW w:w="0" w:type="auto"/>
            <w:tcBorders>
              <w:top w:val="nil"/>
              <w:left w:val="nil"/>
              <w:bottom w:val="nil"/>
              <w:right w:val="nil"/>
            </w:tcBorders>
            <w:tcMar>
              <w:top w:w="0" w:type="dxa"/>
              <w:left w:w="40" w:type="dxa"/>
              <w:bottom w:w="0" w:type="dxa"/>
              <w:right w:w="60" w:type="dxa"/>
            </w:tcMar>
            <w:vAlign w:val="bottom"/>
            <w:hideMark/>
          </w:tcPr>
          <w:p w14:paraId="151BA0B3"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7787841D" w14:textId="77777777" w:rsidTr="005A6660">
        <w:trPr>
          <w:trHeight w:val="105"/>
        </w:trPr>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1D3CAA2"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51189B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2CDDC5D1"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60" w:type="dxa"/>
            </w:tcMar>
            <w:vAlign w:val="bottom"/>
            <w:hideMark/>
          </w:tcPr>
          <w:p w14:paraId="52FAB891"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5844FEF0"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4E44CE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Repayment on loans and borrowings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566802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284F09E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(57.231)</w:t>
            </w:r>
          </w:p>
        </w:tc>
        <w:tc>
          <w:tcPr>
            <w:tcW w:w="0" w:type="auto"/>
            <w:tcBorders>
              <w:top w:val="nil"/>
              <w:left w:val="nil"/>
              <w:bottom w:val="nil"/>
              <w:right w:val="nil"/>
            </w:tcBorders>
            <w:tcMar>
              <w:top w:w="0" w:type="dxa"/>
              <w:left w:w="40" w:type="dxa"/>
              <w:bottom w:w="0" w:type="dxa"/>
              <w:right w:w="60" w:type="dxa"/>
            </w:tcMar>
            <w:vAlign w:val="bottom"/>
            <w:hideMark/>
          </w:tcPr>
          <w:p w14:paraId="7B3C6D96"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1B601252"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9F5294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Payment on contingent consideration</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D3E99A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(25.000)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599B9B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(20.722)</w:t>
            </w:r>
          </w:p>
        </w:tc>
        <w:tc>
          <w:tcPr>
            <w:tcW w:w="0" w:type="auto"/>
            <w:tcBorders>
              <w:top w:val="nil"/>
              <w:left w:val="nil"/>
              <w:bottom w:val="nil"/>
              <w:right w:val="nil"/>
            </w:tcBorders>
            <w:tcMar>
              <w:top w:w="0" w:type="dxa"/>
              <w:left w:w="40" w:type="dxa"/>
              <w:bottom w:w="0" w:type="dxa"/>
              <w:right w:w="60" w:type="dxa"/>
            </w:tcMar>
            <w:vAlign w:val="bottom"/>
            <w:hideMark/>
          </w:tcPr>
          <w:p w14:paraId="55759849"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6A975F3F"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FAB998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Payment of lease liabilities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52E6DD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(3.217)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137E29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(2.186)</w:t>
            </w:r>
          </w:p>
        </w:tc>
        <w:tc>
          <w:tcPr>
            <w:tcW w:w="0" w:type="auto"/>
            <w:tcBorders>
              <w:top w:val="nil"/>
              <w:left w:val="nil"/>
              <w:bottom w:val="nil"/>
              <w:right w:val="nil"/>
            </w:tcBorders>
            <w:tcMar>
              <w:top w:w="0" w:type="dxa"/>
              <w:left w:w="40" w:type="dxa"/>
              <w:bottom w:w="0" w:type="dxa"/>
              <w:right w:w="60" w:type="dxa"/>
            </w:tcMar>
            <w:vAlign w:val="bottom"/>
            <w:hideMark/>
          </w:tcPr>
          <w:p w14:paraId="37FC7167"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019AA4E2"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C2DE421"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Proceeds of issued convertible bond</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795A39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2B1133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142.825</w:t>
            </w:r>
          </w:p>
        </w:tc>
        <w:tc>
          <w:tcPr>
            <w:tcW w:w="0" w:type="auto"/>
            <w:tcBorders>
              <w:top w:val="nil"/>
              <w:left w:val="nil"/>
              <w:bottom w:val="nil"/>
              <w:right w:val="nil"/>
            </w:tcBorders>
            <w:tcMar>
              <w:top w:w="0" w:type="dxa"/>
              <w:left w:w="40" w:type="dxa"/>
              <w:bottom w:w="0" w:type="dxa"/>
              <w:right w:w="60" w:type="dxa"/>
            </w:tcMar>
            <w:vAlign w:val="bottom"/>
            <w:hideMark/>
          </w:tcPr>
          <w:p w14:paraId="3E3B3CD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01088DD"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4B4273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Transaction costs related to issued convertible bond</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E51AD9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0E7D772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(2.649)</w:t>
            </w:r>
          </w:p>
        </w:tc>
        <w:tc>
          <w:tcPr>
            <w:tcW w:w="0" w:type="auto"/>
            <w:tcBorders>
              <w:top w:val="nil"/>
              <w:left w:val="nil"/>
              <w:bottom w:val="nil"/>
              <w:right w:val="nil"/>
            </w:tcBorders>
            <w:tcMar>
              <w:top w:w="0" w:type="dxa"/>
              <w:left w:w="40" w:type="dxa"/>
              <w:bottom w:w="0" w:type="dxa"/>
              <w:right w:w="60" w:type="dxa"/>
            </w:tcMar>
            <w:vAlign w:val="bottom"/>
            <w:hideMark/>
          </w:tcPr>
          <w:p w14:paraId="7E51B819"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317B934D"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55F463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Interests on loans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2314EA0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(4.448)</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746387D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(2.142)</w:t>
            </w:r>
          </w:p>
        </w:tc>
        <w:tc>
          <w:tcPr>
            <w:tcW w:w="0" w:type="auto"/>
            <w:tcBorders>
              <w:top w:val="nil"/>
              <w:left w:val="nil"/>
              <w:bottom w:val="nil"/>
              <w:right w:val="nil"/>
            </w:tcBorders>
            <w:tcMar>
              <w:top w:w="0" w:type="dxa"/>
              <w:left w:w="40" w:type="dxa"/>
              <w:bottom w:w="0" w:type="dxa"/>
              <w:right w:w="60" w:type="dxa"/>
            </w:tcMar>
            <w:vAlign w:val="bottom"/>
            <w:hideMark/>
          </w:tcPr>
          <w:p w14:paraId="295EB612"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4023D783"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CCEC4BD"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Proceeds of equity and warrants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35E89B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4.718</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CD5D91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2.791</w:t>
            </w:r>
          </w:p>
        </w:tc>
        <w:tc>
          <w:tcPr>
            <w:tcW w:w="0" w:type="auto"/>
            <w:tcBorders>
              <w:top w:val="nil"/>
              <w:left w:val="nil"/>
              <w:bottom w:val="nil"/>
              <w:right w:val="nil"/>
            </w:tcBorders>
            <w:tcMar>
              <w:top w:w="0" w:type="dxa"/>
              <w:left w:w="40" w:type="dxa"/>
              <w:bottom w:w="0" w:type="dxa"/>
              <w:right w:w="60" w:type="dxa"/>
            </w:tcMar>
            <w:vAlign w:val="bottom"/>
            <w:hideMark/>
          </w:tcPr>
          <w:p w14:paraId="62F7311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CF6D6A8"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A0F9C5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Net cash flows generated from (used in) financing activities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3EDE16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(27.947)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7ED8C9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60.686</w:t>
            </w:r>
          </w:p>
        </w:tc>
        <w:tc>
          <w:tcPr>
            <w:tcW w:w="0" w:type="auto"/>
            <w:tcBorders>
              <w:top w:val="nil"/>
              <w:left w:val="nil"/>
              <w:bottom w:val="nil"/>
              <w:right w:val="nil"/>
            </w:tcBorders>
            <w:tcMar>
              <w:top w:w="0" w:type="dxa"/>
              <w:left w:w="40" w:type="dxa"/>
              <w:bottom w:w="0" w:type="dxa"/>
              <w:right w:w="60" w:type="dxa"/>
            </w:tcMar>
            <w:vAlign w:val="bottom"/>
            <w:hideMark/>
          </w:tcPr>
          <w:p w14:paraId="4F37DBC4"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11A3219" w14:textId="77777777" w:rsidTr="005A6660">
        <w:trPr>
          <w:trHeight w:val="105"/>
        </w:trPr>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495A674"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C1F6530"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B79D35A"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60" w:type="dxa"/>
            </w:tcMar>
            <w:vAlign w:val="bottom"/>
            <w:hideMark/>
          </w:tcPr>
          <w:p w14:paraId="3BAE19A2"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1E2F1A5C"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5009F2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Increase (decrease) of cash</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3E7871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(11.409)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436865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128.683</w:t>
            </w:r>
          </w:p>
        </w:tc>
        <w:tc>
          <w:tcPr>
            <w:tcW w:w="0" w:type="auto"/>
            <w:tcBorders>
              <w:top w:val="nil"/>
              <w:left w:val="nil"/>
              <w:bottom w:val="nil"/>
              <w:right w:val="nil"/>
            </w:tcBorders>
            <w:tcMar>
              <w:top w:w="0" w:type="dxa"/>
              <w:left w:w="40" w:type="dxa"/>
              <w:bottom w:w="0" w:type="dxa"/>
              <w:right w:w="60" w:type="dxa"/>
            </w:tcMar>
            <w:vAlign w:val="bottom"/>
            <w:hideMark/>
          </w:tcPr>
          <w:p w14:paraId="1ACBF97E"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5FD1A323" w14:textId="77777777" w:rsidTr="005A6660">
        <w:trPr>
          <w:trHeight w:val="285"/>
        </w:trPr>
        <w:tc>
          <w:tcPr>
            <w:tcW w:w="0" w:type="auto"/>
            <w:tcBorders>
              <w:top w:val="nil"/>
              <w:left w:val="single" w:sz="4" w:space="0" w:color="000000"/>
              <w:bottom w:val="nil"/>
              <w:right w:val="nil"/>
            </w:tcBorders>
            <w:tcMar>
              <w:top w:w="0" w:type="dxa"/>
              <w:left w:w="40" w:type="dxa"/>
              <w:bottom w:w="0" w:type="dxa"/>
              <w:right w:w="15" w:type="dxa"/>
            </w:tcMar>
            <w:vAlign w:val="center"/>
            <w:hideMark/>
          </w:tcPr>
          <w:p w14:paraId="10130F1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Exchange rate effects</w:t>
            </w:r>
          </w:p>
        </w:tc>
        <w:tc>
          <w:tcPr>
            <w:tcW w:w="0" w:type="auto"/>
            <w:tcBorders>
              <w:top w:val="nil"/>
              <w:left w:val="single" w:sz="4" w:space="0" w:color="000000"/>
              <w:bottom w:val="nil"/>
              <w:right w:val="nil"/>
            </w:tcBorders>
            <w:tcMar>
              <w:top w:w="0" w:type="dxa"/>
              <w:left w:w="40" w:type="dxa"/>
              <w:bottom w:w="0" w:type="dxa"/>
              <w:right w:w="15" w:type="dxa"/>
            </w:tcMar>
            <w:vAlign w:val="bottom"/>
            <w:hideMark/>
          </w:tcPr>
          <w:p w14:paraId="4637C79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(1.826)</w:t>
            </w:r>
          </w:p>
        </w:tc>
        <w:tc>
          <w:tcPr>
            <w:tcW w:w="0" w:type="auto"/>
            <w:tcBorders>
              <w:top w:val="nil"/>
              <w:left w:val="single" w:sz="4" w:space="0" w:color="000000"/>
              <w:bottom w:val="nil"/>
              <w:right w:val="single" w:sz="4" w:space="0" w:color="000000"/>
            </w:tcBorders>
            <w:tcMar>
              <w:top w:w="0" w:type="dxa"/>
              <w:left w:w="40" w:type="dxa"/>
              <w:bottom w:w="0" w:type="dxa"/>
              <w:right w:w="60" w:type="dxa"/>
            </w:tcMar>
            <w:vAlign w:val="bottom"/>
            <w:hideMark/>
          </w:tcPr>
          <w:p w14:paraId="64F1CA7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2.128</w:t>
            </w:r>
          </w:p>
        </w:tc>
        <w:tc>
          <w:tcPr>
            <w:tcW w:w="0" w:type="auto"/>
            <w:tcBorders>
              <w:top w:val="nil"/>
              <w:left w:val="nil"/>
              <w:bottom w:val="nil"/>
              <w:right w:val="nil"/>
            </w:tcBorders>
            <w:tcMar>
              <w:top w:w="0" w:type="dxa"/>
              <w:left w:w="40" w:type="dxa"/>
              <w:bottom w:w="0" w:type="dxa"/>
              <w:right w:w="60" w:type="dxa"/>
            </w:tcMar>
            <w:vAlign w:val="bottom"/>
            <w:hideMark/>
          </w:tcPr>
          <w:p w14:paraId="2AF04D49"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6C8FF69" w14:textId="77777777" w:rsidTr="005A6660">
        <w:trPr>
          <w:trHeight w:val="285"/>
        </w:trPr>
        <w:tc>
          <w:tcPr>
            <w:tcW w:w="0" w:type="auto"/>
            <w:tcBorders>
              <w:top w:val="single" w:sz="4" w:space="0" w:color="000000"/>
              <w:left w:val="single" w:sz="4" w:space="0" w:color="000000"/>
              <w:bottom w:val="single" w:sz="4" w:space="0" w:color="000000"/>
              <w:right w:val="nil"/>
            </w:tcBorders>
            <w:tcMar>
              <w:top w:w="0" w:type="dxa"/>
              <w:left w:w="40" w:type="dxa"/>
              <w:bottom w:w="0" w:type="dxa"/>
              <w:right w:w="15" w:type="dxa"/>
            </w:tcMar>
            <w:vAlign w:val="center"/>
            <w:hideMark/>
          </w:tcPr>
          <w:p w14:paraId="086C69B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Cash and cash equivalents at 1 January</w:t>
            </w:r>
          </w:p>
        </w:tc>
        <w:tc>
          <w:tcPr>
            <w:tcW w:w="0" w:type="auto"/>
            <w:tcBorders>
              <w:top w:val="single" w:sz="4" w:space="0" w:color="000000"/>
              <w:left w:val="single" w:sz="4" w:space="0" w:color="000000"/>
              <w:bottom w:val="single" w:sz="4" w:space="0" w:color="000000"/>
              <w:right w:val="nil"/>
            </w:tcBorders>
            <w:tcMar>
              <w:top w:w="0" w:type="dxa"/>
              <w:left w:w="40" w:type="dxa"/>
              <w:bottom w:w="0" w:type="dxa"/>
              <w:right w:w="60" w:type="dxa"/>
            </w:tcMar>
            <w:vAlign w:val="bottom"/>
            <w:hideMark/>
          </w:tcPr>
          <w:p w14:paraId="421FFF2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205.159</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08B353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74.348</w:t>
            </w:r>
          </w:p>
        </w:tc>
        <w:tc>
          <w:tcPr>
            <w:tcW w:w="0" w:type="auto"/>
            <w:tcBorders>
              <w:top w:val="nil"/>
              <w:left w:val="nil"/>
              <w:bottom w:val="nil"/>
              <w:right w:val="nil"/>
            </w:tcBorders>
            <w:tcMar>
              <w:top w:w="0" w:type="dxa"/>
              <w:left w:w="40" w:type="dxa"/>
              <w:bottom w:w="0" w:type="dxa"/>
              <w:right w:w="60" w:type="dxa"/>
            </w:tcMar>
            <w:vAlign w:val="bottom"/>
            <w:hideMark/>
          </w:tcPr>
          <w:p w14:paraId="57851023"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307D3EEE" w14:textId="77777777" w:rsidTr="005A6660">
        <w:trPr>
          <w:trHeight w:val="105"/>
        </w:trPr>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7FB19D1"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71A2305"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0BE4437"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60" w:type="dxa"/>
            </w:tcMar>
            <w:vAlign w:val="bottom"/>
            <w:hideMark/>
          </w:tcPr>
          <w:p w14:paraId="2E4BE42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444681F4" w14:textId="77777777" w:rsidTr="005A6660">
        <w:trPr>
          <w:trHeight w:val="28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FE40D3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cash and cash equivalents at December 31</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ADC189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191.924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8A89E1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205.159</w:t>
            </w:r>
          </w:p>
        </w:tc>
        <w:tc>
          <w:tcPr>
            <w:tcW w:w="0" w:type="auto"/>
            <w:tcBorders>
              <w:top w:val="nil"/>
              <w:left w:val="nil"/>
              <w:bottom w:val="nil"/>
              <w:right w:val="nil"/>
            </w:tcBorders>
            <w:tcMar>
              <w:top w:w="0" w:type="dxa"/>
              <w:left w:w="40" w:type="dxa"/>
              <w:bottom w:w="0" w:type="dxa"/>
              <w:right w:w="60" w:type="dxa"/>
            </w:tcMar>
            <w:vAlign w:val="bottom"/>
            <w:hideMark/>
          </w:tcPr>
          <w:p w14:paraId="27C4CF04"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bl>
    <w:p w14:paraId="5FF43BA4"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37A0DFCA"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b/>
          <w:bCs/>
          <w:color w:val="000000"/>
          <w:sz w:val="20"/>
          <w:szCs w:val="20"/>
        </w:rPr>
        <w:t>Appendix: Main Condensed Consolidated Financial Statements reported in Euro's </w:t>
      </w:r>
      <w:r w:rsidRPr="005A6660">
        <w:rPr>
          <w:rFonts w:ascii="Arial" w:eastAsia="Times New Roman" w:hAnsi="Arial" w:cs="Arial"/>
          <w:b/>
          <w:bCs/>
          <w:color w:val="000000"/>
          <w:sz w:val="20"/>
          <w:szCs w:val="20"/>
        </w:rPr>
        <w:br/>
      </w:r>
      <w:r w:rsidRPr="005A6660">
        <w:rPr>
          <w:rFonts w:ascii="Arial" w:eastAsia="Times New Roman" w:hAnsi="Arial" w:cs="Arial"/>
          <w:color w:val="000000"/>
          <w:sz w:val="20"/>
          <w:szCs w:val="20"/>
        </w:rPr>
        <w:t>These statements are not part of the original Interim Financial Statements. The original Interim Financial Statements are reported in US Dollars. In case of differences of interpretation between the Financial Statements in US dollars and the Financial Statements in Euros, the Financial Statements in US Dollars will prevail.</w:t>
      </w:r>
    </w:p>
    <w:p w14:paraId="31B620B9"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2985"/>
        <w:gridCol w:w="545"/>
      </w:tblGrid>
      <w:tr w:rsidR="005A6660" w:rsidRPr="005A6660" w14:paraId="387D2AA9"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331238F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Exchange rates (USD:EUR) used:</w:t>
            </w:r>
          </w:p>
        </w:tc>
        <w:tc>
          <w:tcPr>
            <w:tcW w:w="0" w:type="auto"/>
            <w:tcBorders>
              <w:top w:val="nil"/>
              <w:left w:val="nil"/>
              <w:bottom w:val="nil"/>
              <w:right w:val="nil"/>
            </w:tcBorders>
            <w:tcMar>
              <w:top w:w="0" w:type="dxa"/>
              <w:left w:w="40" w:type="dxa"/>
              <w:bottom w:w="0" w:type="dxa"/>
              <w:right w:w="15" w:type="dxa"/>
            </w:tcMar>
            <w:vAlign w:val="bottom"/>
            <w:hideMark/>
          </w:tcPr>
          <w:p w14:paraId="5D203AD0"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1868ACBA"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34DA5ADB"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Statement of income 2020</w:t>
            </w:r>
          </w:p>
        </w:tc>
        <w:tc>
          <w:tcPr>
            <w:tcW w:w="0" w:type="auto"/>
            <w:tcBorders>
              <w:top w:val="nil"/>
              <w:left w:val="nil"/>
              <w:bottom w:val="nil"/>
              <w:right w:val="nil"/>
            </w:tcBorders>
            <w:tcMar>
              <w:top w:w="0" w:type="dxa"/>
              <w:left w:w="40" w:type="dxa"/>
              <w:bottom w:w="0" w:type="dxa"/>
              <w:right w:w="15" w:type="dxa"/>
            </w:tcMar>
            <w:vAlign w:val="bottom"/>
            <w:hideMark/>
          </w:tcPr>
          <w:p w14:paraId="37DC45A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1.1426</w:t>
            </w:r>
          </w:p>
        </w:tc>
      </w:tr>
      <w:tr w:rsidR="005A6660" w:rsidRPr="005A6660" w14:paraId="1F65E901"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02B710A0"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Statement of income 2021</w:t>
            </w:r>
          </w:p>
        </w:tc>
        <w:tc>
          <w:tcPr>
            <w:tcW w:w="0" w:type="auto"/>
            <w:tcBorders>
              <w:top w:val="nil"/>
              <w:left w:val="nil"/>
              <w:bottom w:val="nil"/>
              <w:right w:val="nil"/>
            </w:tcBorders>
            <w:tcMar>
              <w:top w:w="0" w:type="dxa"/>
              <w:left w:w="40" w:type="dxa"/>
              <w:bottom w:w="0" w:type="dxa"/>
              <w:right w:w="15" w:type="dxa"/>
            </w:tcMar>
            <w:vAlign w:val="bottom"/>
            <w:hideMark/>
          </w:tcPr>
          <w:p w14:paraId="44056E5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1.1860</w:t>
            </w:r>
          </w:p>
        </w:tc>
      </w:tr>
      <w:tr w:rsidR="005A6660" w:rsidRPr="005A6660" w14:paraId="44DE2C95"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23A8921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Balance sheet at December 2020</w:t>
            </w:r>
          </w:p>
        </w:tc>
        <w:tc>
          <w:tcPr>
            <w:tcW w:w="0" w:type="auto"/>
            <w:tcBorders>
              <w:top w:val="nil"/>
              <w:left w:val="nil"/>
              <w:bottom w:val="nil"/>
              <w:right w:val="nil"/>
            </w:tcBorders>
            <w:tcMar>
              <w:top w:w="0" w:type="dxa"/>
              <w:left w:w="40" w:type="dxa"/>
              <w:bottom w:w="0" w:type="dxa"/>
              <w:right w:w="15" w:type="dxa"/>
            </w:tcMar>
            <w:vAlign w:val="bottom"/>
            <w:hideMark/>
          </w:tcPr>
          <w:p w14:paraId="14F98E8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1.2280</w:t>
            </w:r>
          </w:p>
        </w:tc>
      </w:tr>
      <w:tr w:rsidR="005A6660" w:rsidRPr="005A6660" w14:paraId="194A7101"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1A6131E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Balance sheet at December 2021</w:t>
            </w:r>
          </w:p>
        </w:tc>
        <w:tc>
          <w:tcPr>
            <w:tcW w:w="0" w:type="auto"/>
            <w:tcBorders>
              <w:top w:val="nil"/>
              <w:left w:val="nil"/>
              <w:bottom w:val="nil"/>
              <w:right w:val="nil"/>
            </w:tcBorders>
            <w:tcMar>
              <w:top w:w="0" w:type="dxa"/>
              <w:left w:w="40" w:type="dxa"/>
              <w:bottom w:w="0" w:type="dxa"/>
              <w:right w:w="15" w:type="dxa"/>
            </w:tcMar>
            <w:vAlign w:val="bottom"/>
            <w:hideMark/>
          </w:tcPr>
          <w:p w14:paraId="1DC4930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1.1334</w:t>
            </w:r>
          </w:p>
        </w:tc>
      </w:tr>
      <w:tr w:rsidR="005A6660" w:rsidRPr="005A6660" w14:paraId="1D09A3AF"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57DE02F0"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Cash flow 2020</w:t>
            </w:r>
          </w:p>
        </w:tc>
        <w:tc>
          <w:tcPr>
            <w:tcW w:w="0" w:type="auto"/>
            <w:tcBorders>
              <w:top w:val="nil"/>
              <w:left w:val="nil"/>
              <w:bottom w:val="nil"/>
              <w:right w:val="nil"/>
            </w:tcBorders>
            <w:tcMar>
              <w:top w:w="0" w:type="dxa"/>
              <w:left w:w="40" w:type="dxa"/>
              <w:bottom w:w="0" w:type="dxa"/>
              <w:right w:w="15" w:type="dxa"/>
            </w:tcMar>
            <w:vAlign w:val="bottom"/>
            <w:hideMark/>
          </w:tcPr>
          <w:p w14:paraId="7B23874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1.1426</w:t>
            </w:r>
          </w:p>
        </w:tc>
      </w:tr>
      <w:tr w:rsidR="005A6660" w:rsidRPr="005A6660" w14:paraId="363E8FF7"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15D931D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Cash flow 2021</w:t>
            </w:r>
          </w:p>
        </w:tc>
        <w:tc>
          <w:tcPr>
            <w:tcW w:w="0" w:type="auto"/>
            <w:tcBorders>
              <w:top w:val="nil"/>
              <w:left w:val="nil"/>
              <w:bottom w:val="nil"/>
              <w:right w:val="nil"/>
            </w:tcBorders>
            <w:tcMar>
              <w:top w:w="0" w:type="dxa"/>
              <w:left w:w="40" w:type="dxa"/>
              <w:bottom w:w="0" w:type="dxa"/>
              <w:right w:w="15" w:type="dxa"/>
            </w:tcMar>
            <w:vAlign w:val="bottom"/>
            <w:hideMark/>
          </w:tcPr>
          <w:p w14:paraId="4859C09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1.1860</w:t>
            </w:r>
          </w:p>
        </w:tc>
      </w:tr>
      <w:tr w:rsidR="005A6660" w:rsidRPr="005A6660" w14:paraId="6531F7D3"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1925BD2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Cash balance as per 1 January 2020</w:t>
            </w:r>
          </w:p>
        </w:tc>
        <w:tc>
          <w:tcPr>
            <w:tcW w:w="0" w:type="auto"/>
            <w:tcBorders>
              <w:top w:val="nil"/>
              <w:left w:val="nil"/>
              <w:bottom w:val="nil"/>
              <w:right w:val="nil"/>
            </w:tcBorders>
            <w:tcMar>
              <w:top w:w="0" w:type="dxa"/>
              <w:left w:w="40" w:type="dxa"/>
              <w:bottom w:w="0" w:type="dxa"/>
              <w:right w:w="15" w:type="dxa"/>
            </w:tcMar>
            <w:vAlign w:val="bottom"/>
            <w:hideMark/>
          </w:tcPr>
          <w:p w14:paraId="57D6C43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1.1214</w:t>
            </w:r>
          </w:p>
        </w:tc>
      </w:tr>
      <w:tr w:rsidR="005A6660" w:rsidRPr="005A6660" w14:paraId="004F9368"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48FD39E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lastRenderedPageBreak/>
              <w:t>Cash balance as per 31 December 2020</w:t>
            </w:r>
          </w:p>
        </w:tc>
        <w:tc>
          <w:tcPr>
            <w:tcW w:w="0" w:type="auto"/>
            <w:tcBorders>
              <w:top w:val="nil"/>
              <w:left w:val="nil"/>
              <w:bottom w:val="nil"/>
              <w:right w:val="nil"/>
            </w:tcBorders>
            <w:tcMar>
              <w:top w:w="0" w:type="dxa"/>
              <w:left w:w="40" w:type="dxa"/>
              <w:bottom w:w="0" w:type="dxa"/>
              <w:right w:w="15" w:type="dxa"/>
            </w:tcMar>
            <w:vAlign w:val="bottom"/>
            <w:hideMark/>
          </w:tcPr>
          <w:p w14:paraId="35A46F5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1.2280</w:t>
            </w:r>
          </w:p>
        </w:tc>
      </w:tr>
      <w:tr w:rsidR="005A6660" w:rsidRPr="005A6660" w14:paraId="3193B0FC"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07D69E81"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Cash balance as per 1 January 2021</w:t>
            </w:r>
          </w:p>
        </w:tc>
        <w:tc>
          <w:tcPr>
            <w:tcW w:w="0" w:type="auto"/>
            <w:tcBorders>
              <w:top w:val="nil"/>
              <w:left w:val="nil"/>
              <w:bottom w:val="nil"/>
              <w:right w:val="nil"/>
            </w:tcBorders>
            <w:tcMar>
              <w:top w:w="0" w:type="dxa"/>
              <w:left w:w="40" w:type="dxa"/>
              <w:bottom w:w="0" w:type="dxa"/>
              <w:right w:w="15" w:type="dxa"/>
            </w:tcMar>
            <w:vAlign w:val="bottom"/>
            <w:hideMark/>
          </w:tcPr>
          <w:p w14:paraId="4F8B644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1.2280</w:t>
            </w:r>
          </w:p>
        </w:tc>
      </w:tr>
      <w:tr w:rsidR="005A6660" w:rsidRPr="005A6660" w14:paraId="5035DE7A"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09F987F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Cash balance as per 31 December 2021</w:t>
            </w:r>
          </w:p>
        </w:tc>
        <w:tc>
          <w:tcPr>
            <w:tcW w:w="0" w:type="auto"/>
            <w:tcBorders>
              <w:top w:val="nil"/>
              <w:left w:val="nil"/>
              <w:bottom w:val="nil"/>
              <w:right w:val="nil"/>
            </w:tcBorders>
            <w:tcMar>
              <w:top w:w="0" w:type="dxa"/>
              <w:left w:w="40" w:type="dxa"/>
              <w:bottom w:w="0" w:type="dxa"/>
              <w:right w:w="15" w:type="dxa"/>
            </w:tcMar>
            <w:vAlign w:val="bottom"/>
            <w:hideMark/>
          </w:tcPr>
          <w:p w14:paraId="44E2E9F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1.1334</w:t>
            </w:r>
          </w:p>
        </w:tc>
      </w:tr>
    </w:tbl>
    <w:p w14:paraId="3DA4C7EF"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7596FEF4"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5730"/>
        <w:gridCol w:w="740"/>
        <w:gridCol w:w="679"/>
      </w:tblGrid>
      <w:tr w:rsidR="005A6660" w:rsidRPr="005A6660" w14:paraId="6A1F6A05"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3CBFBC6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CONDENSED CONSOLIDATED STATEMENT OF PROFIT AND LOSS - EUR</w:t>
            </w:r>
          </w:p>
        </w:tc>
        <w:tc>
          <w:tcPr>
            <w:tcW w:w="0" w:type="auto"/>
            <w:tcBorders>
              <w:top w:val="nil"/>
              <w:left w:val="nil"/>
              <w:bottom w:val="nil"/>
              <w:right w:val="nil"/>
            </w:tcBorders>
            <w:tcMar>
              <w:top w:w="0" w:type="dxa"/>
              <w:left w:w="40" w:type="dxa"/>
              <w:bottom w:w="0" w:type="dxa"/>
              <w:right w:w="60" w:type="dxa"/>
            </w:tcMar>
            <w:vAlign w:val="bottom"/>
            <w:hideMark/>
          </w:tcPr>
          <w:p w14:paraId="22AB3BF2"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60" w:type="dxa"/>
            </w:tcMar>
            <w:vAlign w:val="bottom"/>
            <w:hideMark/>
          </w:tcPr>
          <w:p w14:paraId="1E2770CF"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02858395"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52334431"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For the year ended 31 December</w:t>
            </w:r>
          </w:p>
        </w:tc>
        <w:tc>
          <w:tcPr>
            <w:tcW w:w="0" w:type="auto"/>
            <w:tcBorders>
              <w:top w:val="nil"/>
              <w:left w:val="nil"/>
              <w:bottom w:val="nil"/>
              <w:right w:val="nil"/>
            </w:tcBorders>
            <w:tcMar>
              <w:top w:w="0" w:type="dxa"/>
              <w:left w:w="40" w:type="dxa"/>
              <w:bottom w:w="0" w:type="dxa"/>
              <w:right w:w="60" w:type="dxa"/>
            </w:tcMar>
            <w:vAlign w:val="bottom"/>
            <w:hideMark/>
          </w:tcPr>
          <w:p w14:paraId="13CBE7BE"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60" w:type="dxa"/>
            </w:tcMar>
            <w:vAlign w:val="bottom"/>
            <w:hideMark/>
          </w:tcPr>
          <w:p w14:paraId="108612A2"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3D3D31F5" w14:textId="77777777" w:rsidTr="005A6660">
        <w:tc>
          <w:tcPr>
            <w:tcW w:w="0" w:type="auto"/>
            <w:tcBorders>
              <w:top w:val="nil"/>
              <w:left w:val="nil"/>
              <w:bottom w:val="single" w:sz="4" w:space="0" w:color="000000"/>
              <w:right w:val="nil"/>
            </w:tcBorders>
            <w:tcMar>
              <w:top w:w="0" w:type="dxa"/>
              <w:left w:w="40" w:type="dxa"/>
              <w:bottom w:w="0" w:type="dxa"/>
              <w:right w:w="60" w:type="dxa"/>
            </w:tcMar>
            <w:vAlign w:val="bottom"/>
            <w:hideMark/>
          </w:tcPr>
          <w:p w14:paraId="57159D7B"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4" w:space="0" w:color="000000"/>
              <w:right w:val="nil"/>
            </w:tcBorders>
            <w:tcMar>
              <w:top w:w="0" w:type="dxa"/>
              <w:left w:w="40" w:type="dxa"/>
              <w:bottom w:w="0" w:type="dxa"/>
              <w:right w:w="60" w:type="dxa"/>
            </w:tcMar>
            <w:vAlign w:val="bottom"/>
            <w:hideMark/>
          </w:tcPr>
          <w:p w14:paraId="734753EB"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4" w:space="0" w:color="000000"/>
              <w:right w:val="nil"/>
            </w:tcBorders>
            <w:tcMar>
              <w:top w:w="0" w:type="dxa"/>
              <w:left w:w="40" w:type="dxa"/>
              <w:bottom w:w="0" w:type="dxa"/>
              <w:right w:w="60" w:type="dxa"/>
            </w:tcMar>
            <w:vAlign w:val="bottom"/>
            <w:hideMark/>
          </w:tcPr>
          <w:p w14:paraId="126B6638"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3E82D6CB"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FB2660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Amounts in € '000</w:t>
            </w:r>
          </w:p>
        </w:tc>
        <w:tc>
          <w:tcPr>
            <w:tcW w:w="0" w:type="auto"/>
            <w:tcBorders>
              <w:top w:val="nil"/>
              <w:left w:val="nil"/>
              <w:bottom w:val="single" w:sz="4" w:space="0" w:color="000000"/>
              <w:right w:val="nil"/>
            </w:tcBorders>
            <w:tcMar>
              <w:top w:w="0" w:type="dxa"/>
              <w:left w:w="40" w:type="dxa"/>
              <w:bottom w:w="0" w:type="dxa"/>
              <w:right w:w="60" w:type="dxa"/>
            </w:tcMar>
            <w:vAlign w:val="bottom"/>
            <w:hideMark/>
          </w:tcPr>
          <w:p w14:paraId="2A004B0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2021</w:t>
            </w:r>
          </w:p>
        </w:tc>
        <w:tc>
          <w:tcPr>
            <w:tcW w:w="0" w:type="auto"/>
            <w:tcBorders>
              <w:top w:val="nil"/>
              <w:left w:val="nil"/>
              <w:bottom w:val="single" w:sz="4" w:space="0" w:color="000000"/>
              <w:right w:val="single" w:sz="4" w:space="0" w:color="000000"/>
            </w:tcBorders>
            <w:tcMar>
              <w:top w:w="0" w:type="dxa"/>
              <w:left w:w="40" w:type="dxa"/>
              <w:bottom w:w="0" w:type="dxa"/>
              <w:right w:w="60" w:type="dxa"/>
            </w:tcMar>
            <w:vAlign w:val="bottom"/>
            <w:hideMark/>
          </w:tcPr>
          <w:p w14:paraId="684BC99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2020</w:t>
            </w:r>
          </w:p>
        </w:tc>
      </w:tr>
      <w:tr w:rsidR="005A6660" w:rsidRPr="005A6660" w14:paraId="509A6BA6"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C76F12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Revenues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A0E42F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167.682</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02C5A8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185.694</w:t>
            </w:r>
          </w:p>
        </w:tc>
      </w:tr>
      <w:tr w:rsidR="005A6660" w:rsidRPr="005A6660" w14:paraId="39BE97A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F20A16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Costs of sales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31DC23E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(17.826)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5599BE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(20.601)</w:t>
            </w:r>
          </w:p>
        </w:tc>
      </w:tr>
      <w:tr w:rsidR="005A6660" w:rsidRPr="005A6660" w14:paraId="271B75FC"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FCBC37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Gross profit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717A7F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149.856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1939DD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165.093</w:t>
            </w:r>
          </w:p>
        </w:tc>
      </w:tr>
      <w:tr w:rsidR="005A6660" w:rsidRPr="005A6660" w14:paraId="71EAD598"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38A0A7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Other income</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1BFF00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2.210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B6878A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1.601</w:t>
            </w:r>
          </w:p>
        </w:tc>
      </w:tr>
      <w:tr w:rsidR="005A6660" w:rsidRPr="005A6660" w14:paraId="26BA9548"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9112A8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Research and development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299055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(59.333)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436F7A7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(33.712)</w:t>
            </w:r>
          </w:p>
        </w:tc>
      </w:tr>
      <w:tr w:rsidR="005A6660" w:rsidRPr="005A6660" w14:paraId="1B21AA85"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EFDB868"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General and administrative</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698520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(31.175)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5C8FFE7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(21.079)</w:t>
            </w:r>
          </w:p>
        </w:tc>
      </w:tr>
      <w:tr w:rsidR="005A6660" w:rsidRPr="005A6660" w14:paraId="08C84BFD"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59765E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Marketing and sales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C2CB0C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(50.123)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9875B5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(45.164)</w:t>
            </w:r>
          </w:p>
        </w:tc>
      </w:tr>
      <w:tr w:rsidR="005A6660" w:rsidRPr="005A6660" w14:paraId="662A71B7"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717D68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Other Operating Costs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388E5DB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(140.631)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48AE6A2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(99.955)</w:t>
            </w:r>
          </w:p>
        </w:tc>
      </w:tr>
      <w:tr w:rsidR="005A6660" w:rsidRPr="005A6660" w14:paraId="79A11E86"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55971B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Operating profit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36D4DF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11.434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235471D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66.739</w:t>
            </w:r>
          </w:p>
        </w:tc>
      </w:tr>
      <w:tr w:rsidR="005A6660" w:rsidRPr="005A6660" w14:paraId="1F1CF9CE"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51CE27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Fair value gain (loss) on revaluation derivatives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0286C0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96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19C469D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60</w:t>
            </w:r>
          </w:p>
        </w:tc>
      </w:tr>
      <w:tr w:rsidR="005A6660" w:rsidRPr="005A6660" w14:paraId="2EDB0B2B"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5A81D1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Other finance income</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D71D41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12.568</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2E2B8D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626</w:t>
            </w:r>
          </w:p>
        </w:tc>
      </w:tr>
      <w:tr w:rsidR="005A6660" w:rsidRPr="005A6660" w14:paraId="65CC0797"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448476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Other finance expenses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3E787D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(5.225)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4532C0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(29.151)</w:t>
            </w:r>
          </w:p>
        </w:tc>
      </w:tr>
      <w:tr w:rsidR="005A6660" w:rsidRPr="005A6660" w14:paraId="3E56013D"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F4C14E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Finance cost net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4CAD51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7.440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745D676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(28.465)</w:t>
            </w:r>
          </w:p>
        </w:tc>
      </w:tr>
      <w:tr w:rsidR="005A6660" w:rsidRPr="005A6660" w14:paraId="04A9029B"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47A5B01"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Share of net profits in associates using the equity method</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501E0A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585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1414FFE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317</w:t>
            </w:r>
          </w:p>
        </w:tc>
      </w:tr>
      <w:tr w:rsidR="005A6660" w:rsidRPr="005A6660" w14:paraId="7A0EA467"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2D599B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Profit before tax</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776340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19.459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4CB5EB3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38.591</w:t>
            </w:r>
          </w:p>
        </w:tc>
      </w:tr>
      <w:tr w:rsidR="005A6660" w:rsidRPr="005A6660" w14:paraId="4881643E"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EC5FF6D"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Income tax expense</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2CE4C3C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(5.971)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5F367DB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(5.556)</w:t>
            </w:r>
          </w:p>
        </w:tc>
      </w:tr>
      <w:tr w:rsidR="005A6660" w:rsidRPr="005A6660" w14:paraId="517376E9"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6EF700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Profit for the year</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AAA47D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13.488</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0191CD0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33.035</w:t>
            </w:r>
          </w:p>
        </w:tc>
      </w:tr>
      <w:tr w:rsidR="005A6660" w:rsidRPr="005A6660" w14:paraId="61830ED7"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5A59BA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Basic earnings per share (€)</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D51B7F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0.021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30AD46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0.051</w:t>
            </w:r>
          </w:p>
        </w:tc>
      </w:tr>
      <w:tr w:rsidR="005A6660" w:rsidRPr="005A6660" w14:paraId="787F2547"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BDD3A60"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Fully-diluted earnings per share (€)</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11560C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0.019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C2E54F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0.048</w:t>
            </w:r>
          </w:p>
        </w:tc>
      </w:tr>
    </w:tbl>
    <w:p w14:paraId="40C61DE9"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0B765D12"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4344"/>
        <w:gridCol w:w="740"/>
        <w:gridCol w:w="740"/>
      </w:tblGrid>
      <w:tr w:rsidR="005A6660" w:rsidRPr="005A6660" w14:paraId="054571B0" w14:textId="77777777" w:rsidTr="005A6660">
        <w:tc>
          <w:tcPr>
            <w:tcW w:w="0" w:type="auto"/>
            <w:tcBorders>
              <w:top w:val="nil"/>
              <w:left w:val="nil"/>
              <w:bottom w:val="nil"/>
              <w:right w:val="nil"/>
            </w:tcBorders>
            <w:tcMar>
              <w:top w:w="0" w:type="dxa"/>
              <w:left w:w="40" w:type="dxa"/>
              <w:bottom w:w="0" w:type="dxa"/>
              <w:right w:w="15" w:type="dxa"/>
            </w:tcMar>
            <w:vAlign w:val="center"/>
            <w:hideMark/>
          </w:tcPr>
          <w:p w14:paraId="56DD44D1"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CONDENSED CONSOLIDATED BALANCE SHEET - EUR</w:t>
            </w:r>
          </w:p>
        </w:tc>
        <w:tc>
          <w:tcPr>
            <w:tcW w:w="0" w:type="auto"/>
            <w:tcBorders>
              <w:top w:val="nil"/>
              <w:left w:val="nil"/>
              <w:bottom w:val="nil"/>
              <w:right w:val="nil"/>
            </w:tcBorders>
            <w:tcMar>
              <w:top w:w="0" w:type="dxa"/>
              <w:left w:w="40" w:type="dxa"/>
              <w:bottom w:w="0" w:type="dxa"/>
              <w:right w:w="60" w:type="dxa"/>
            </w:tcMar>
            <w:vAlign w:val="bottom"/>
            <w:hideMark/>
          </w:tcPr>
          <w:p w14:paraId="01A5F87F"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60" w:type="dxa"/>
            </w:tcMar>
            <w:vAlign w:val="bottom"/>
            <w:hideMark/>
          </w:tcPr>
          <w:p w14:paraId="573AC932"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D04C475" w14:textId="77777777" w:rsidTr="005A6660">
        <w:tc>
          <w:tcPr>
            <w:tcW w:w="0" w:type="auto"/>
            <w:tcBorders>
              <w:top w:val="nil"/>
              <w:left w:val="nil"/>
              <w:bottom w:val="single" w:sz="4" w:space="0" w:color="000000"/>
              <w:right w:val="nil"/>
            </w:tcBorders>
            <w:tcMar>
              <w:top w:w="0" w:type="dxa"/>
              <w:left w:w="40" w:type="dxa"/>
              <w:bottom w:w="0" w:type="dxa"/>
              <w:right w:w="15" w:type="dxa"/>
            </w:tcMar>
            <w:vAlign w:val="center"/>
            <w:hideMark/>
          </w:tcPr>
          <w:p w14:paraId="542728C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As at 31 December</w:t>
            </w:r>
          </w:p>
        </w:tc>
        <w:tc>
          <w:tcPr>
            <w:tcW w:w="0" w:type="auto"/>
            <w:tcBorders>
              <w:top w:val="nil"/>
              <w:left w:val="nil"/>
              <w:bottom w:val="single" w:sz="4" w:space="0" w:color="000000"/>
              <w:right w:val="nil"/>
            </w:tcBorders>
            <w:tcMar>
              <w:top w:w="0" w:type="dxa"/>
              <w:left w:w="40" w:type="dxa"/>
              <w:bottom w:w="0" w:type="dxa"/>
              <w:right w:w="60" w:type="dxa"/>
            </w:tcMar>
            <w:vAlign w:val="bottom"/>
            <w:hideMark/>
          </w:tcPr>
          <w:p w14:paraId="7D5545B1"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4" w:space="0" w:color="000000"/>
              <w:right w:val="nil"/>
            </w:tcBorders>
            <w:tcMar>
              <w:top w:w="0" w:type="dxa"/>
              <w:left w:w="40" w:type="dxa"/>
              <w:bottom w:w="0" w:type="dxa"/>
              <w:right w:w="60" w:type="dxa"/>
            </w:tcMar>
            <w:vAlign w:val="bottom"/>
            <w:hideMark/>
          </w:tcPr>
          <w:p w14:paraId="4B5F95DB"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60A30ADB"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AF18470"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Amounts in € '000</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E727E8E" w14:textId="77777777" w:rsidR="005A6660" w:rsidRPr="005A6660" w:rsidRDefault="005A6660" w:rsidP="005A6660">
            <w:pPr>
              <w:spacing w:after="0" w:line="240" w:lineRule="auto"/>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2021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96DB419" w14:textId="77777777" w:rsidR="005A6660" w:rsidRPr="005A6660" w:rsidRDefault="005A6660" w:rsidP="005A6660">
            <w:pPr>
              <w:spacing w:after="0" w:line="240" w:lineRule="auto"/>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2020</w:t>
            </w:r>
          </w:p>
        </w:tc>
      </w:tr>
      <w:tr w:rsidR="005A6660" w:rsidRPr="005A6660" w14:paraId="1D843A28"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9E4635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Non-current assets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9C44DD5"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AEAD1E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0011A9EE"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4B7C7E6"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Intangible assets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97CCBA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73.967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39E6EE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76.615</w:t>
            </w:r>
          </w:p>
        </w:tc>
      </w:tr>
      <w:tr w:rsidR="005A6660" w:rsidRPr="005A6660" w14:paraId="4786ADD9"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0B0B54D"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Property, plant and equipment</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6281A6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11.666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B8990D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9.956</w:t>
            </w:r>
          </w:p>
        </w:tc>
      </w:tr>
      <w:tr w:rsidR="005A6660" w:rsidRPr="005A6660" w14:paraId="3826DC10"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4C82F9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Right-of-use assets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ED6211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17.596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7C192B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7.676</w:t>
            </w:r>
          </w:p>
        </w:tc>
      </w:tr>
      <w:tr w:rsidR="005A6660" w:rsidRPr="005A6660" w14:paraId="0EEDDED3"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5D51A4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Long-term prepayments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B5D955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171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037275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r>
      <w:tr w:rsidR="005A6660" w:rsidRPr="005A6660" w14:paraId="693094F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689F56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Deferred tax assets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599605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18.719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810D7B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25.957</w:t>
            </w:r>
          </w:p>
        </w:tc>
      </w:tr>
      <w:tr w:rsidR="005A6660" w:rsidRPr="005A6660" w14:paraId="521F65E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7CEDF5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Investments accounted for using the equity method</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65B7EE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6.353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1F210DE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5.796</w:t>
            </w:r>
          </w:p>
        </w:tc>
      </w:tr>
      <w:tr w:rsidR="005A6660" w:rsidRPr="005A6660" w14:paraId="3D1DA3C6"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9945876"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Investment in equity instruments designated as at FVTOCI</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B1253A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2.434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3920DF2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r>
      <w:tr w:rsidR="005A6660" w:rsidRPr="005A6660" w14:paraId="56276476"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520BD2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Restricted cash</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405029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716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0F41460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415</w:t>
            </w:r>
          </w:p>
        </w:tc>
      </w:tr>
      <w:tr w:rsidR="005A6660" w:rsidRPr="005A6660" w14:paraId="36AED52F"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045E360"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non-current assets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430B1E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130.467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B26484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126.415</w:t>
            </w:r>
          </w:p>
        </w:tc>
      </w:tr>
      <w:tr w:rsidR="005A6660" w:rsidRPr="005A6660" w14:paraId="2206919D"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C353161"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Current assets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FB4571D"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47EDD8F"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431B0AAC"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10D05A1"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Inventories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B9DEA4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24.096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143151C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17.229</w:t>
            </w:r>
          </w:p>
        </w:tc>
      </w:tr>
      <w:tr w:rsidR="005A6660" w:rsidRPr="005A6660" w14:paraId="368E233E"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F7537FB"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Trade and other receivables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EF18DA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26.454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23D4D22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29.236</w:t>
            </w:r>
          </w:p>
        </w:tc>
      </w:tr>
      <w:tr w:rsidR="005A6660" w:rsidRPr="005A6660" w14:paraId="7C1303D3"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5EAC08B"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Restricted cash</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9E93EC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200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24195D0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810</w:t>
            </w:r>
          </w:p>
        </w:tc>
      </w:tr>
      <w:tr w:rsidR="005A6660" w:rsidRPr="005A6660" w14:paraId="59C081EB"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086A28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Cash and cash equivalents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815C5A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169.335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064D2CE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167.068</w:t>
            </w:r>
          </w:p>
        </w:tc>
      </w:tr>
      <w:tr w:rsidR="005A6660" w:rsidRPr="005A6660" w14:paraId="4304DEE5"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944F2B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current assets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51FD78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220.085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19C44B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214.343</w:t>
            </w:r>
          </w:p>
        </w:tc>
      </w:tr>
      <w:tr w:rsidR="005A6660" w:rsidRPr="005A6660" w14:paraId="0167C098"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CE7DCC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assets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60E3D4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350.552</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B5184F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340.758</w:t>
            </w:r>
          </w:p>
        </w:tc>
      </w:tr>
      <w:tr w:rsidR="005A6660" w:rsidRPr="005A6660" w14:paraId="6C183655"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454433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Equity</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FA44198"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4B753FAA"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3CDA3696"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7E94DA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Share capital</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4C557D7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6.425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06BA870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6.388</w:t>
            </w:r>
          </w:p>
        </w:tc>
      </w:tr>
      <w:tr w:rsidR="005A6660" w:rsidRPr="005A6660" w14:paraId="67207ACC"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A6CF0A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Share premium</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05A3B6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399.850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00A5790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396.799</w:t>
            </w:r>
          </w:p>
        </w:tc>
      </w:tr>
      <w:tr w:rsidR="005A6660" w:rsidRPr="005A6660" w14:paraId="5FE4B657"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413D6F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lastRenderedPageBreak/>
              <w:t>Legal reserves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82B053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1.917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5740B5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4.341</w:t>
            </w:r>
          </w:p>
        </w:tc>
      </w:tr>
      <w:tr w:rsidR="005A6660" w:rsidRPr="005A6660" w14:paraId="0987334B"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434135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Accumulated deficit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3CD7452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(237.981)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2985B54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(258.151)</w:t>
            </w:r>
          </w:p>
        </w:tc>
      </w:tr>
      <w:tr w:rsidR="005A6660" w:rsidRPr="005A6660" w14:paraId="2D48EA6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2C76BF6"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Shareholders' equity</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7857A2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170.211</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36AD314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149.377</w:t>
            </w:r>
          </w:p>
        </w:tc>
      </w:tr>
      <w:tr w:rsidR="005A6660" w:rsidRPr="005A6660" w14:paraId="372209A8"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15466CD"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Non-current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7DF89EF6"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45F73110"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5D762D47"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FD9398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Convertible bonds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B803B5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122.646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41726AC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121.927</w:t>
            </w:r>
          </w:p>
        </w:tc>
      </w:tr>
      <w:tr w:rsidR="005A6660" w:rsidRPr="005A6660" w14:paraId="25ACB98A"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9B3DB5B"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Lease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3F2EE6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16.284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39AFBB2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6.702</w:t>
            </w:r>
          </w:p>
        </w:tc>
      </w:tr>
      <w:tr w:rsidR="005A6660" w:rsidRPr="005A6660" w14:paraId="30CB34B9"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E56B73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Other financial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FBF181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145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310BE7D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173</w:t>
            </w:r>
          </w:p>
        </w:tc>
      </w:tr>
      <w:tr w:rsidR="005A6660" w:rsidRPr="005A6660" w14:paraId="3D938467"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EB2677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non-current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D37F3E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139.076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0695D83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128.802</w:t>
            </w:r>
          </w:p>
        </w:tc>
      </w:tr>
      <w:tr w:rsidR="005A6660" w:rsidRPr="005A6660" w14:paraId="5760AB32"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F4B2A86"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Current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1AB3EFA"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019BF708"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30C9FC51"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2948D56"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Convertible bonds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07FED7F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1.657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6AFC94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1.661</w:t>
            </w:r>
          </w:p>
        </w:tc>
      </w:tr>
      <w:tr w:rsidR="005A6660" w:rsidRPr="005A6660" w14:paraId="69FD6234"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FE1807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Derivative financial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90B768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67CE220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147</w:t>
            </w:r>
          </w:p>
        </w:tc>
      </w:tr>
      <w:tr w:rsidR="005A6660" w:rsidRPr="005A6660" w14:paraId="38A263FB"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8AD4D0B"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Trade and other payables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6B7164E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37.473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7838DDD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38.816</w:t>
            </w:r>
          </w:p>
        </w:tc>
      </w:tr>
      <w:tr w:rsidR="005A6660" w:rsidRPr="005A6660" w14:paraId="4B005C43"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8E271EB"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Lease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3239272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2.135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559EDFE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1.598</w:t>
            </w:r>
          </w:p>
        </w:tc>
      </w:tr>
      <w:tr w:rsidR="005A6660" w:rsidRPr="005A6660" w14:paraId="6CA62DE6"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7E04AC8"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Other financial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22A1CFB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34A9AED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20.357</w:t>
            </w:r>
          </w:p>
        </w:tc>
      </w:tr>
      <w:tr w:rsidR="005A6660" w:rsidRPr="005A6660" w14:paraId="5EF2BA9B"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E3BB3A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current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1369266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41.265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43F3117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62.579</w:t>
            </w:r>
          </w:p>
        </w:tc>
      </w:tr>
      <w:tr w:rsidR="005A6660" w:rsidRPr="005A6660" w14:paraId="1496D550" w14:textId="77777777" w:rsidTr="005A6660">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0EDB01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equity and liabilities</w:t>
            </w:r>
          </w:p>
        </w:tc>
        <w:tc>
          <w:tcPr>
            <w:tcW w:w="0" w:type="auto"/>
            <w:tcBorders>
              <w:top w:val="nil"/>
              <w:left w:val="single" w:sz="4" w:space="0" w:color="000000"/>
              <w:bottom w:val="single" w:sz="4" w:space="0" w:color="000000"/>
              <w:right w:val="nil"/>
            </w:tcBorders>
            <w:tcMar>
              <w:top w:w="0" w:type="dxa"/>
              <w:left w:w="40" w:type="dxa"/>
              <w:bottom w:w="0" w:type="dxa"/>
              <w:right w:w="60" w:type="dxa"/>
            </w:tcMar>
            <w:vAlign w:val="bottom"/>
            <w:hideMark/>
          </w:tcPr>
          <w:p w14:paraId="598A204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350.552</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60" w:type="dxa"/>
            </w:tcMar>
            <w:vAlign w:val="bottom"/>
            <w:hideMark/>
          </w:tcPr>
          <w:p w14:paraId="2305122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340.758</w:t>
            </w:r>
          </w:p>
        </w:tc>
      </w:tr>
    </w:tbl>
    <w:p w14:paraId="798221CB"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105770BF"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5348"/>
        <w:gridCol w:w="634"/>
        <w:gridCol w:w="634"/>
        <w:gridCol w:w="61"/>
      </w:tblGrid>
      <w:tr w:rsidR="005A6660" w:rsidRPr="005A6660" w14:paraId="27B0979C" w14:textId="77777777" w:rsidTr="005A6660">
        <w:trPr>
          <w:trHeight w:val="300"/>
        </w:trPr>
        <w:tc>
          <w:tcPr>
            <w:tcW w:w="0" w:type="auto"/>
            <w:tcBorders>
              <w:top w:val="nil"/>
              <w:left w:val="nil"/>
              <w:bottom w:val="nil"/>
              <w:right w:val="nil"/>
            </w:tcBorders>
            <w:tcMar>
              <w:top w:w="0" w:type="dxa"/>
              <w:left w:w="40" w:type="dxa"/>
              <w:bottom w:w="0" w:type="dxa"/>
              <w:right w:w="15" w:type="dxa"/>
            </w:tcMar>
            <w:vAlign w:val="center"/>
            <w:hideMark/>
          </w:tcPr>
          <w:p w14:paraId="058CF694"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CONDENSED CONSOLIDATED STATEMENT OF CASH FLOWS - EUR</w:t>
            </w:r>
          </w:p>
        </w:tc>
        <w:tc>
          <w:tcPr>
            <w:tcW w:w="0" w:type="auto"/>
            <w:tcBorders>
              <w:top w:val="nil"/>
              <w:left w:val="nil"/>
              <w:bottom w:val="nil"/>
              <w:right w:val="nil"/>
            </w:tcBorders>
            <w:tcMar>
              <w:top w:w="0" w:type="dxa"/>
              <w:left w:w="40" w:type="dxa"/>
              <w:bottom w:w="0" w:type="dxa"/>
              <w:right w:w="15" w:type="dxa"/>
            </w:tcMar>
            <w:vAlign w:val="bottom"/>
            <w:hideMark/>
          </w:tcPr>
          <w:p w14:paraId="0BDC3F2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bottom"/>
            <w:hideMark/>
          </w:tcPr>
          <w:p w14:paraId="1B701F54"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bottom"/>
            <w:hideMark/>
          </w:tcPr>
          <w:p w14:paraId="376E90AA"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1F1BF49F" w14:textId="77777777" w:rsidTr="005A6660">
        <w:trPr>
          <w:trHeight w:val="300"/>
        </w:trPr>
        <w:tc>
          <w:tcPr>
            <w:tcW w:w="0" w:type="auto"/>
            <w:tcBorders>
              <w:top w:val="nil"/>
              <w:left w:val="nil"/>
              <w:bottom w:val="nil"/>
              <w:right w:val="nil"/>
            </w:tcBorders>
            <w:tcMar>
              <w:top w:w="0" w:type="dxa"/>
              <w:left w:w="40" w:type="dxa"/>
              <w:bottom w:w="0" w:type="dxa"/>
              <w:right w:w="15" w:type="dxa"/>
            </w:tcMar>
            <w:vAlign w:val="center"/>
            <w:hideMark/>
          </w:tcPr>
          <w:p w14:paraId="3CB50AF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For the period ended 31 December</w:t>
            </w:r>
          </w:p>
        </w:tc>
        <w:tc>
          <w:tcPr>
            <w:tcW w:w="0" w:type="auto"/>
            <w:tcBorders>
              <w:top w:val="nil"/>
              <w:left w:val="nil"/>
              <w:bottom w:val="nil"/>
              <w:right w:val="nil"/>
            </w:tcBorders>
            <w:tcMar>
              <w:top w:w="0" w:type="dxa"/>
              <w:left w:w="40" w:type="dxa"/>
              <w:bottom w:w="0" w:type="dxa"/>
              <w:right w:w="15" w:type="dxa"/>
            </w:tcMar>
            <w:vAlign w:val="bottom"/>
            <w:hideMark/>
          </w:tcPr>
          <w:p w14:paraId="0871C680"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bottom"/>
            <w:hideMark/>
          </w:tcPr>
          <w:p w14:paraId="0FD8D526"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bottom"/>
            <w:hideMark/>
          </w:tcPr>
          <w:p w14:paraId="0C75D292"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51210A1C" w14:textId="77777777" w:rsidTr="005A6660">
        <w:trPr>
          <w:trHeight w:val="300"/>
        </w:trPr>
        <w:tc>
          <w:tcPr>
            <w:tcW w:w="0" w:type="auto"/>
            <w:tcBorders>
              <w:top w:val="nil"/>
              <w:left w:val="nil"/>
              <w:bottom w:val="single" w:sz="4" w:space="0" w:color="000000"/>
              <w:right w:val="nil"/>
            </w:tcBorders>
            <w:tcMar>
              <w:top w:w="0" w:type="dxa"/>
              <w:left w:w="40" w:type="dxa"/>
              <w:bottom w:w="0" w:type="dxa"/>
              <w:right w:w="15" w:type="dxa"/>
            </w:tcMar>
            <w:vAlign w:val="bottom"/>
            <w:hideMark/>
          </w:tcPr>
          <w:p w14:paraId="0E84397A"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4" w:space="0" w:color="000000"/>
              <w:right w:val="nil"/>
            </w:tcBorders>
            <w:tcMar>
              <w:top w:w="0" w:type="dxa"/>
              <w:left w:w="40" w:type="dxa"/>
              <w:bottom w:w="0" w:type="dxa"/>
              <w:right w:w="15" w:type="dxa"/>
            </w:tcMar>
            <w:vAlign w:val="bottom"/>
            <w:hideMark/>
          </w:tcPr>
          <w:p w14:paraId="019DBC44"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4" w:space="0" w:color="000000"/>
              <w:right w:val="nil"/>
            </w:tcBorders>
            <w:tcMar>
              <w:top w:w="0" w:type="dxa"/>
              <w:left w:w="40" w:type="dxa"/>
              <w:bottom w:w="0" w:type="dxa"/>
              <w:right w:w="15" w:type="dxa"/>
            </w:tcMar>
            <w:vAlign w:val="bottom"/>
            <w:hideMark/>
          </w:tcPr>
          <w:p w14:paraId="1B4C1FFF"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bottom"/>
            <w:hideMark/>
          </w:tcPr>
          <w:p w14:paraId="52744251"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14BC5F81" w14:textId="77777777" w:rsidTr="005A6660">
        <w:trPr>
          <w:trHeight w:val="195"/>
        </w:trPr>
        <w:tc>
          <w:tcPr>
            <w:tcW w:w="0" w:type="auto"/>
            <w:vMerge w:val="restart"/>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B8DACE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Amounts in €'000</w:t>
            </w:r>
          </w:p>
        </w:tc>
        <w:tc>
          <w:tcPr>
            <w:tcW w:w="0" w:type="auto"/>
            <w:vMerge w:val="restart"/>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52E5CB5" w14:textId="77777777" w:rsidR="005A6660" w:rsidRPr="005A6660" w:rsidRDefault="005A6660" w:rsidP="005A6660">
            <w:pPr>
              <w:spacing w:after="0" w:line="240" w:lineRule="auto"/>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2021</w:t>
            </w:r>
          </w:p>
        </w:tc>
        <w:tc>
          <w:tcPr>
            <w:tcW w:w="0" w:type="auto"/>
            <w:vMerge w:val="restart"/>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5EA72FF1" w14:textId="77777777" w:rsidR="005A6660" w:rsidRPr="005A6660" w:rsidRDefault="005A6660" w:rsidP="005A6660">
            <w:pPr>
              <w:spacing w:after="0" w:line="240" w:lineRule="auto"/>
              <w:jc w:val="center"/>
              <w:rPr>
                <w:rFonts w:ascii="Arial" w:eastAsia="Times New Roman" w:hAnsi="Arial" w:cs="Arial"/>
                <w:color w:val="000000"/>
                <w:sz w:val="16"/>
                <w:szCs w:val="16"/>
              </w:rPr>
            </w:pPr>
            <w:r w:rsidRPr="005A6660">
              <w:rPr>
                <w:rFonts w:ascii="Arial" w:eastAsia="Times New Roman" w:hAnsi="Arial" w:cs="Arial"/>
                <w:b/>
                <w:bCs/>
                <w:color w:val="000000"/>
                <w:sz w:val="16"/>
                <w:szCs w:val="16"/>
              </w:rPr>
              <w:t>2020</w:t>
            </w:r>
          </w:p>
        </w:tc>
        <w:tc>
          <w:tcPr>
            <w:tcW w:w="0" w:type="auto"/>
            <w:tcBorders>
              <w:top w:val="nil"/>
              <w:left w:val="nil"/>
              <w:bottom w:val="nil"/>
              <w:right w:val="nil"/>
            </w:tcBorders>
            <w:tcMar>
              <w:top w:w="0" w:type="dxa"/>
              <w:left w:w="40" w:type="dxa"/>
              <w:bottom w:w="0" w:type="dxa"/>
              <w:right w:w="15" w:type="dxa"/>
            </w:tcMar>
            <w:vAlign w:val="bottom"/>
            <w:hideMark/>
          </w:tcPr>
          <w:p w14:paraId="4EE7267D"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7A3385AC" w14:textId="77777777" w:rsidTr="005A6660">
        <w:trPr>
          <w:trHeight w:val="195"/>
        </w:trPr>
        <w:tc>
          <w:tcPr>
            <w:tcW w:w="0" w:type="auto"/>
            <w:vMerge/>
            <w:tcBorders>
              <w:top w:val="nil"/>
              <w:left w:val="single" w:sz="4" w:space="0" w:color="000000"/>
              <w:bottom w:val="single" w:sz="4" w:space="0" w:color="000000"/>
              <w:right w:val="nil"/>
            </w:tcBorders>
            <w:vAlign w:val="center"/>
            <w:hideMark/>
          </w:tcPr>
          <w:p w14:paraId="19A8A664" w14:textId="77777777" w:rsidR="005A6660" w:rsidRPr="005A6660" w:rsidRDefault="005A6660" w:rsidP="005A6660">
            <w:pPr>
              <w:spacing w:after="0" w:line="240" w:lineRule="auto"/>
              <w:rPr>
                <w:rFonts w:ascii="Arial" w:eastAsia="Times New Roman" w:hAnsi="Arial" w:cs="Arial"/>
                <w:color w:val="000000"/>
                <w:sz w:val="16"/>
                <w:szCs w:val="16"/>
              </w:rPr>
            </w:pPr>
          </w:p>
        </w:tc>
        <w:tc>
          <w:tcPr>
            <w:tcW w:w="0" w:type="auto"/>
            <w:vMerge/>
            <w:tcBorders>
              <w:top w:val="nil"/>
              <w:left w:val="single" w:sz="4" w:space="0" w:color="000000"/>
              <w:bottom w:val="single" w:sz="4" w:space="0" w:color="000000"/>
              <w:right w:val="nil"/>
            </w:tcBorders>
            <w:vAlign w:val="center"/>
            <w:hideMark/>
          </w:tcPr>
          <w:p w14:paraId="76040B96" w14:textId="77777777" w:rsidR="005A6660" w:rsidRPr="005A6660" w:rsidRDefault="005A6660" w:rsidP="005A6660">
            <w:pPr>
              <w:spacing w:after="0" w:line="240" w:lineRule="auto"/>
              <w:rPr>
                <w:rFonts w:ascii="Arial" w:eastAsia="Times New Roman" w:hAnsi="Arial" w:cs="Arial"/>
                <w:color w:val="000000"/>
                <w:sz w:val="16"/>
                <w:szCs w:val="16"/>
              </w:rPr>
            </w:pPr>
          </w:p>
        </w:tc>
        <w:tc>
          <w:tcPr>
            <w:tcW w:w="0" w:type="auto"/>
            <w:vMerge/>
            <w:tcBorders>
              <w:top w:val="nil"/>
              <w:left w:val="single" w:sz="4" w:space="0" w:color="000000"/>
              <w:bottom w:val="single" w:sz="4" w:space="0" w:color="000000"/>
              <w:right w:val="single" w:sz="4" w:space="0" w:color="000000"/>
            </w:tcBorders>
            <w:vAlign w:val="center"/>
            <w:hideMark/>
          </w:tcPr>
          <w:p w14:paraId="143D81B7" w14:textId="77777777" w:rsidR="005A6660" w:rsidRPr="005A6660" w:rsidRDefault="005A6660" w:rsidP="005A6660">
            <w:pPr>
              <w:spacing w:after="0" w:line="240" w:lineRule="auto"/>
              <w:rPr>
                <w:rFonts w:ascii="Arial" w:eastAsia="Times New Roman" w:hAnsi="Arial" w:cs="Arial"/>
                <w:color w:val="000000"/>
                <w:sz w:val="16"/>
                <w:szCs w:val="16"/>
              </w:rPr>
            </w:pPr>
          </w:p>
        </w:tc>
        <w:tc>
          <w:tcPr>
            <w:tcW w:w="0" w:type="auto"/>
            <w:tcBorders>
              <w:top w:val="nil"/>
              <w:left w:val="nil"/>
              <w:bottom w:val="nil"/>
              <w:right w:val="nil"/>
            </w:tcBorders>
            <w:tcMar>
              <w:top w:w="0" w:type="dxa"/>
              <w:left w:w="40" w:type="dxa"/>
              <w:bottom w:w="0" w:type="dxa"/>
              <w:right w:w="15" w:type="dxa"/>
            </w:tcMar>
            <w:vAlign w:val="bottom"/>
            <w:hideMark/>
          </w:tcPr>
          <w:p w14:paraId="16A605A7"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F8C2E5E" w14:textId="77777777" w:rsidTr="005A6660">
        <w:trPr>
          <w:trHeight w:val="225"/>
        </w:trPr>
        <w:tc>
          <w:tcPr>
            <w:tcW w:w="0" w:type="auto"/>
            <w:tcBorders>
              <w:top w:val="nil"/>
              <w:left w:val="single" w:sz="4" w:space="0" w:color="000000"/>
              <w:bottom w:val="nil"/>
              <w:right w:val="nil"/>
            </w:tcBorders>
            <w:tcMar>
              <w:top w:w="0" w:type="dxa"/>
              <w:left w:w="40" w:type="dxa"/>
              <w:bottom w:w="0" w:type="dxa"/>
              <w:right w:w="15" w:type="dxa"/>
            </w:tcMar>
            <w:vAlign w:val="center"/>
            <w:hideMark/>
          </w:tcPr>
          <w:p w14:paraId="259C058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Profit before tax</w:t>
            </w:r>
          </w:p>
        </w:tc>
        <w:tc>
          <w:tcPr>
            <w:tcW w:w="0" w:type="auto"/>
            <w:tcBorders>
              <w:top w:val="nil"/>
              <w:left w:val="single" w:sz="4" w:space="0" w:color="000000"/>
              <w:bottom w:val="nil"/>
              <w:right w:val="nil"/>
            </w:tcBorders>
            <w:tcMar>
              <w:top w:w="0" w:type="dxa"/>
              <w:left w:w="40" w:type="dxa"/>
              <w:bottom w:w="0" w:type="dxa"/>
              <w:right w:w="15" w:type="dxa"/>
            </w:tcMar>
            <w:vAlign w:val="bottom"/>
            <w:hideMark/>
          </w:tcPr>
          <w:p w14:paraId="6D8DEBF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19,459</w:t>
            </w:r>
          </w:p>
        </w:tc>
        <w:tc>
          <w:tcPr>
            <w:tcW w:w="0" w:type="auto"/>
            <w:tcBorders>
              <w:top w:val="nil"/>
              <w:left w:val="single" w:sz="4" w:space="0" w:color="000000"/>
              <w:bottom w:val="nil"/>
              <w:right w:val="single" w:sz="4" w:space="0" w:color="000000"/>
            </w:tcBorders>
            <w:tcMar>
              <w:top w:w="0" w:type="dxa"/>
              <w:left w:w="40" w:type="dxa"/>
              <w:bottom w:w="0" w:type="dxa"/>
              <w:right w:w="15" w:type="dxa"/>
            </w:tcMar>
            <w:vAlign w:val="bottom"/>
            <w:hideMark/>
          </w:tcPr>
          <w:p w14:paraId="78A2DC6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38,591</w:t>
            </w:r>
          </w:p>
        </w:tc>
        <w:tc>
          <w:tcPr>
            <w:tcW w:w="0" w:type="auto"/>
            <w:tcBorders>
              <w:top w:val="nil"/>
              <w:left w:val="nil"/>
              <w:bottom w:val="nil"/>
              <w:right w:val="nil"/>
            </w:tcBorders>
            <w:tcMar>
              <w:top w:w="0" w:type="dxa"/>
              <w:left w:w="40" w:type="dxa"/>
              <w:bottom w:w="0" w:type="dxa"/>
              <w:right w:w="15" w:type="dxa"/>
            </w:tcMar>
            <w:vAlign w:val="bottom"/>
            <w:hideMark/>
          </w:tcPr>
          <w:p w14:paraId="1AEDCADD"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CF24345" w14:textId="77777777" w:rsidTr="005A6660">
        <w:trPr>
          <w:trHeight w:val="225"/>
        </w:trPr>
        <w:tc>
          <w:tcPr>
            <w:tcW w:w="0" w:type="auto"/>
            <w:tcBorders>
              <w:top w:val="single" w:sz="4" w:space="0" w:color="000000"/>
              <w:left w:val="single" w:sz="4" w:space="0" w:color="000000"/>
              <w:bottom w:val="single" w:sz="4" w:space="0" w:color="000000"/>
              <w:right w:val="nil"/>
            </w:tcBorders>
            <w:tcMar>
              <w:top w:w="0" w:type="dxa"/>
              <w:left w:w="40" w:type="dxa"/>
              <w:bottom w:w="0" w:type="dxa"/>
              <w:right w:w="15" w:type="dxa"/>
            </w:tcMar>
            <w:vAlign w:val="center"/>
            <w:hideMark/>
          </w:tcPr>
          <w:p w14:paraId="2FDB9AD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i/>
                <w:iCs/>
                <w:color w:val="000000"/>
                <w:sz w:val="16"/>
                <w:szCs w:val="16"/>
              </w:rPr>
              <w:t>Non-cash adjustments:</w:t>
            </w:r>
          </w:p>
        </w:tc>
        <w:tc>
          <w:tcPr>
            <w:tcW w:w="0" w:type="auto"/>
            <w:tcBorders>
              <w:top w:val="single" w:sz="4" w:space="0" w:color="000000"/>
              <w:left w:val="single" w:sz="4" w:space="0" w:color="000000"/>
              <w:bottom w:val="single" w:sz="4" w:space="0" w:color="000000"/>
              <w:right w:val="nil"/>
            </w:tcBorders>
            <w:tcMar>
              <w:top w:w="0" w:type="dxa"/>
              <w:left w:w="40" w:type="dxa"/>
              <w:bottom w:w="0" w:type="dxa"/>
              <w:right w:w="15" w:type="dxa"/>
            </w:tcMar>
            <w:vAlign w:val="bottom"/>
            <w:hideMark/>
          </w:tcPr>
          <w:p w14:paraId="16CF5FDB"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2C9D07D0"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bottom"/>
            <w:hideMark/>
          </w:tcPr>
          <w:p w14:paraId="1F417355"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0C9D9661"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50B7B2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Depreciation, amortization, impairment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480F6F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16.535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28E389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7.276</w:t>
            </w:r>
          </w:p>
        </w:tc>
        <w:tc>
          <w:tcPr>
            <w:tcW w:w="0" w:type="auto"/>
            <w:tcBorders>
              <w:top w:val="nil"/>
              <w:left w:val="nil"/>
              <w:bottom w:val="nil"/>
              <w:right w:val="nil"/>
            </w:tcBorders>
            <w:tcMar>
              <w:top w:w="0" w:type="dxa"/>
              <w:left w:w="40" w:type="dxa"/>
              <w:bottom w:w="0" w:type="dxa"/>
              <w:right w:w="15" w:type="dxa"/>
            </w:tcMar>
            <w:vAlign w:val="bottom"/>
            <w:hideMark/>
          </w:tcPr>
          <w:p w14:paraId="051EE0AA"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7A73A835"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49EB8B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Equity settled share based payments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282033A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7.636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766A168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5.721</w:t>
            </w:r>
          </w:p>
        </w:tc>
        <w:tc>
          <w:tcPr>
            <w:tcW w:w="0" w:type="auto"/>
            <w:tcBorders>
              <w:top w:val="nil"/>
              <w:left w:val="nil"/>
              <w:bottom w:val="nil"/>
              <w:right w:val="nil"/>
            </w:tcBorders>
            <w:tcMar>
              <w:top w:w="0" w:type="dxa"/>
              <w:left w:w="40" w:type="dxa"/>
              <w:bottom w:w="0" w:type="dxa"/>
              <w:right w:w="15" w:type="dxa"/>
            </w:tcMar>
            <w:vAlign w:val="bottom"/>
            <w:hideMark/>
          </w:tcPr>
          <w:p w14:paraId="5EEE63B3"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4CD699D8"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20905D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Fair value gain (loss) on revaluation of derivatives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6F3119D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-96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49B90AB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-60</w:t>
            </w:r>
          </w:p>
        </w:tc>
        <w:tc>
          <w:tcPr>
            <w:tcW w:w="0" w:type="auto"/>
            <w:tcBorders>
              <w:top w:val="nil"/>
              <w:left w:val="nil"/>
              <w:bottom w:val="nil"/>
              <w:right w:val="nil"/>
            </w:tcBorders>
            <w:tcMar>
              <w:top w:w="0" w:type="dxa"/>
              <w:left w:w="40" w:type="dxa"/>
              <w:bottom w:w="0" w:type="dxa"/>
              <w:right w:w="15" w:type="dxa"/>
            </w:tcMar>
            <w:vAlign w:val="bottom"/>
            <w:hideMark/>
          </w:tcPr>
          <w:p w14:paraId="5ADC347E"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3038E5B5"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FD8C5A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Other finance income</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1A23EE9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-12.568</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F83E20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-624</w:t>
            </w:r>
          </w:p>
        </w:tc>
        <w:tc>
          <w:tcPr>
            <w:tcW w:w="0" w:type="auto"/>
            <w:tcBorders>
              <w:top w:val="nil"/>
              <w:left w:val="nil"/>
              <w:bottom w:val="nil"/>
              <w:right w:val="nil"/>
            </w:tcBorders>
            <w:tcMar>
              <w:top w:w="0" w:type="dxa"/>
              <w:left w:w="40" w:type="dxa"/>
              <w:bottom w:w="0" w:type="dxa"/>
              <w:right w:w="15" w:type="dxa"/>
            </w:tcMar>
            <w:vAlign w:val="bottom"/>
            <w:hideMark/>
          </w:tcPr>
          <w:p w14:paraId="31840176"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60BF8992"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1D1226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Other finance expense</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1F2288F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5.225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0AEE202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29.151</w:t>
            </w:r>
          </w:p>
        </w:tc>
        <w:tc>
          <w:tcPr>
            <w:tcW w:w="0" w:type="auto"/>
            <w:tcBorders>
              <w:top w:val="nil"/>
              <w:left w:val="nil"/>
              <w:bottom w:val="nil"/>
              <w:right w:val="nil"/>
            </w:tcBorders>
            <w:tcMar>
              <w:top w:w="0" w:type="dxa"/>
              <w:left w:w="40" w:type="dxa"/>
              <w:bottom w:w="0" w:type="dxa"/>
              <w:right w:w="15" w:type="dxa"/>
            </w:tcMar>
            <w:vAlign w:val="bottom"/>
            <w:hideMark/>
          </w:tcPr>
          <w:p w14:paraId="6C53AA77"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79BDFFCF"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F0D8713"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Share of net profits in associates using the equity method</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35039FF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-585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71DC70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-317</w:t>
            </w:r>
          </w:p>
        </w:tc>
        <w:tc>
          <w:tcPr>
            <w:tcW w:w="0" w:type="auto"/>
            <w:tcBorders>
              <w:top w:val="nil"/>
              <w:left w:val="nil"/>
              <w:bottom w:val="nil"/>
              <w:right w:val="nil"/>
            </w:tcBorders>
            <w:tcMar>
              <w:top w:w="0" w:type="dxa"/>
              <w:left w:w="40" w:type="dxa"/>
              <w:bottom w:w="0" w:type="dxa"/>
              <w:right w:w="15" w:type="dxa"/>
            </w:tcMar>
            <w:vAlign w:val="bottom"/>
            <w:hideMark/>
          </w:tcPr>
          <w:p w14:paraId="7C699675"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86832D4"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90BAB6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Other</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1FBB43F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442</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E2C3C3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-1.421</w:t>
            </w:r>
          </w:p>
        </w:tc>
        <w:tc>
          <w:tcPr>
            <w:tcW w:w="0" w:type="auto"/>
            <w:tcBorders>
              <w:top w:val="nil"/>
              <w:left w:val="nil"/>
              <w:bottom w:val="nil"/>
              <w:right w:val="nil"/>
            </w:tcBorders>
            <w:tcMar>
              <w:top w:w="0" w:type="dxa"/>
              <w:left w:w="40" w:type="dxa"/>
              <w:bottom w:w="0" w:type="dxa"/>
              <w:right w:w="15" w:type="dxa"/>
            </w:tcMar>
            <w:vAlign w:val="bottom"/>
            <w:hideMark/>
          </w:tcPr>
          <w:p w14:paraId="320FEF9D"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7894D2B0"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072ABD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Operating cash flows before changes in working capital</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A37DD4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36.048</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1C30DC2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78.317</w:t>
            </w:r>
          </w:p>
        </w:tc>
        <w:tc>
          <w:tcPr>
            <w:tcW w:w="0" w:type="auto"/>
            <w:tcBorders>
              <w:top w:val="nil"/>
              <w:left w:val="nil"/>
              <w:bottom w:val="nil"/>
              <w:right w:val="nil"/>
            </w:tcBorders>
            <w:tcMar>
              <w:top w:w="0" w:type="dxa"/>
              <w:left w:w="40" w:type="dxa"/>
              <w:bottom w:w="0" w:type="dxa"/>
              <w:right w:w="15" w:type="dxa"/>
            </w:tcMar>
            <w:vAlign w:val="bottom"/>
            <w:hideMark/>
          </w:tcPr>
          <w:p w14:paraId="197A0169"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6432F06"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06396F6"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i/>
                <w:iCs/>
                <w:color w:val="000000"/>
                <w:sz w:val="16"/>
                <w:szCs w:val="16"/>
              </w:rPr>
              <w:t>Changes in working capital:</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7A319F0"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1726B301"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bottom"/>
            <w:hideMark/>
          </w:tcPr>
          <w:p w14:paraId="42ADF2AA"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51BB57EC"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A6FD171"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Inventories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2EC2DB3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-5.188</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04603D2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-4.318</w:t>
            </w:r>
          </w:p>
        </w:tc>
        <w:tc>
          <w:tcPr>
            <w:tcW w:w="0" w:type="auto"/>
            <w:tcBorders>
              <w:top w:val="nil"/>
              <w:left w:val="nil"/>
              <w:bottom w:val="nil"/>
              <w:right w:val="nil"/>
            </w:tcBorders>
            <w:tcMar>
              <w:top w:w="0" w:type="dxa"/>
              <w:left w:w="40" w:type="dxa"/>
              <w:bottom w:w="0" w:type="dxa"/>
              <w:right w:w="15" w:type="dxa"/>
            </w:tcMar>
            <w:vAlign w:val="bottom"/>
            <w:hideMark/>
          </w:tcPr>
          <w:p w14:paraId="7B178E4F"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EA3146D"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B28CFE1"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Trade and other receivables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7BBA7B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4.990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451E853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-6.161</w:t>
            </w:r>
          </w:p>
        </w:tc>
        <w:tc>
          <w:tcPr>
            <w:tcW w:w="0" w:type="auto"/>
            <w:tcBorders>
              <w:top w:val="nil"/>
              <w:left w:val="nil"/>
              <w:bottom w:val="nil"/>
              <w:right w:val="nil"/>
            </w:tcBorders>
            <w:tcMar>
              <w:top w:w="0" w:type="dxa"/>
              <w:left w:w="40" w:type="dxa"/>
              <w:bottom w:w="0" w:type="dxa"/>
              <w:right w:w="15" w:type="dxa"/>
            </w:tcMar>
            <w:vAlign w:val="bottom"/>
            <w:hideMark/>
          </w:tcPr>
          <w:p w14:paraId="3EE9E92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58BCAD6A"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1537276"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Payables and other current liabilities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395B030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-4.378</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73907F3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6.143</w:t>
            </w:r>
          </w:p>
        </w:tc>
        <w:tc>
          <w:tcPr>
            <w:tcW w:w="0" w:type="auto"/>
            <w:tcBorders>
              <w:top w:val="nil"/>
              <w:left w:val="nil"/>
              <w:bottom w:val="nil"/>
              <w:right w:val="nil"/>
            </w:tcBorders>
            <w:tcMar>
              <w:top w:w="0" w:type="dxa"/>
              <w:left w:w="40" w:type="dxa"/>
              <w:bottom w:w="0" w:type="dxa"/>
              <w:right w:w="15" w:type="dxa"/>
            </w:tcMar>
            <w:vAlign w:val="bottom"/>
            <w:hideMark/>
          </w:tcPr>
          <w:p w14:paraId="096DEA28"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10751318"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9558DC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Restricted Cash</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22CF61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394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51E8BDC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909</w:t>
            </w:r>
          </w:p>
        </w:tc>
        <w:tc>
          <w:tcPr>
            <w:tcW w:w="0" w:type="auto"/>
            <w:tcBorders>
              <w:top w:val="nil"/>
              <w:left w:val="nil"/>
              <w:bottom w:val="nil"/>
              <w:right w:val="nil"/>
            </w:tcBorders>
            <w:tcMar>
              <w:top w:w="0" w:type="dxa"/>
              <w:left w:w="40" w:type="dxa"/>
              <w:bottom w:w="0" w:type="dxa"/>
              <w:right w:w="15" w:type="dxa"/>
            </w:tcMar>
            <w:vAlign w:val="bottom"/>
            <w:hideMark/>
          </w:tcPr>
          <w:p w14:paraId="68C609DB"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36706D1E"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66A2ED8"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Total changes in working capital</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62941E5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-4.184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75CAB7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-3.427</w:t>
            </w:r>
          </w:p>
        </w:tc>
        <w:tc>
          <w:tcPr>
            <w:tcW w:w="0" w:type="auto"/>
            <w:tcBorders>
              <w:top w:val="nil"/>
              <w:left w:val="nil"/>
              <w:bottom w:val="nil"/>
              <w:right w:val="nil"/>
            </w:tcBorders>
            <w:tcMar>
              <w:top w:w="0" w:type="dxa"/>
              <w:left w:w="40" w:type="dxa"/>
              <w:bottom w:w="0" w:type="dxa"/>
              <w:right w:w="15" w:type="dxa"/>
            </w:tcMar>
            <w:vAlign w:val="bottom"/>
            <w:hideMark/>
          </w:tcPr>
          <w:p w14:paraId="692B1FD0"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938B098"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216E9B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Interest received</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14111F2C"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44</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FE5A0F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626</w:t>
            </w:r>
          </w:p>
        </w:tc>
        <w:tc>
          <w:tcPr>
            <w:tcW w:w="0" w:type="auto"/>
            <w:tcBorders>
              <w:top w:val="nil"/>
              <w:left w:val="nil"/>
              <w:bottom w:val="nil"/>
              <w:right w:val="nil"/>
            </w:tcBorders>
            <w:tcMar>
              <w:top w:w="0" w:type="dxa"/>
              <w:left w:w="40" w:type="dxa"/>
              <w:bottom w:w="0" w:type="dxa"/>
              <w:right w:w="15" w:type="dxa"/>
            </w:tcMar>
            <w:vAlign w:val="bottom"/>
            <w:hideMark/>
          </w:tcPr>
          <w:p w14:paraId="575D1698"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287CBE4"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EDB75DB"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Income taxes paid</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4454D1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31AA5E6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-2.326</w:t>
            </w:r>
          </w:p>
        </w:tc>
        <w:tc>
          <w:tcPr>
            <w:tcW w:w="0" w:type="auto"/>
            <w:tcBorders>
              <w:top w:val="nil"/>
              <w:left w:val="nil"/>
              <w:bottom w:val="nil"/>
              <w:right w:val="nil"/>
            </w:tcBorders>
            <w:tcMar>
              <w:top w:w="0" w:type="dxa"/>
              <w:left w:w="40" w:type="dxa"/>
              <w:bottom w:w="0" w:type="dxa"/>
              <w:right w:w="15" w:type="dxa"/>
            </w:tcMar>
            <w:vAlign w:val="bottom"/>
            <w:hideMark/>
          </w:tcPr>
          <w:p w14:paraId="6FF4EF28"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545FA4B8"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4EA5B521"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Net cash flows generated from (used in) operating activities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622A1E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31.907</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39A92E5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73.190</w:t>
            </w:r>
          </w:p>
        </w:tc>
        <w:tc>
          <w:tcPr>
            <w:tcW w:w="0" w:type="auto"/>
            <w:tcBorders>
              <w:top w:val="nil"/>
              <w:left w:val="nil"/>
              <w:bottom w:val="nil"/>
              <w:right w:val="nil"/>
            </w:tcBorders>
            <w:tcMar>
              <w:top w:w="0" w:type="dxa"/>
              <w:left w:w="40" w:type="dxa"/>
              <w:bottom w:w="0" w:type="dxa"/>
              <w:right w:w="15" w:type="dxa"/>
            </w:tcMar>
            <w:vAlign w:val="bottom"/>
            <w:hideMark/>
          </w:tcPr>
          <w:p w14:paraId="2A63DE9B"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7E8ADCD4" w14:textId="77777777" w:rsidTr="005A6660">
        <w:trPr>
          <w:trHeight w:val="10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743EFA76"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2F1B75FB"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4B89F46D"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bottom"/>
            <w:hideMark/>
          </w:tcPr>
          <w:p w14:paraId="0672D610"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05DAF398"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046B9F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Capital expenditure for property, plant and equipment</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2459D3E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-9.055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25226F0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-4.076</w:t>
            </w:r>
          </w:p>
        </w:tc>
        <w:tc>
          <w:tcPr>
            <w:tcW w:w="0" w:type="auto"/>
            <w:tcBorders>
              <w:top w:val="nil"/>
              <w:left w:val="nil"/>
              <w:bottom w:val="nil"/>
              <w:right w:val="nil"/>
            </w:tcBorders>
            <w:tcMar>
              <w:top w:w="0" w:type="dxa"/>
              <w:left w:w="40" w:type="dxa"/>
              <w:bottom w:w="0" w:type="dxa"/>
              <w:right w:w="15" w:type="dxa"/>
            </w:tcMar>
            <w:vAlign w:val="bottom"/>
            <w:hideMark/>
          </w:tcPr>
          <w:p w14:paraId="350B196B"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1CB890A6"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BBFB9E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Investment intangible assets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54BA8C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-2.906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0297070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-7.929</w:t>
            </w:r>
          </w:p>
        </w:tc>
        <w:tc>
          <w:tcPr>
            <w:tcW w:w="0" w:type="auto"/>
            <w:tcBorders>
              <w:top w:val="nil"/>
              <w:left w:val="nil"/>
              <w:bottom w:val="nil"/>
              <w:right w:val="nil"/>
            </w:tcBorders>
            <w:tcMar>
              <w:top w:w="0" w:type="dxa"/>
              <w:left w:w="40" w:type="dxa"/>
              <w:bottom w:w="0" w:type="dxa"/>
              <w:right w:w="15" w:type="dxa"/>
            </w:tcMar>
            <w:vAlign w:val="bottom"/>
            <w:hideMark/>
          </w:tcPr>
          <w:p w14:paraId="76F47EF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517ECD6E"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6F91E786"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Investment in associate</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B6BFAD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0883BB71"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-288</w:t>
            </w:r>
          </w:p>
        </w:tc>
        <w:tc>
          <w:tcPr>
            <w:tcW w:w="0" w:type="auto"/>
            <w:tcBorders>
              <w:top w:val="nil"/>
              <w:left w:val="nil"/>
              <w:bottom w:val="nil"/>
              <w:right w:val="nil"/>
            </w:tcBorders>
            <w:tcMar>
              <w:top w:w="0" w:type="dxa"/>
              <w:left w:w="40" w:type="dxa"/>
              <w:bottom w:w="0" w:type="dxa"/>
              <w:right w:w="15" w:type="dxa"/>
            </w:tcMar>
            <w:vAlign w:val="bottom"/>
            <w:hideMark/>
          </w:tcPr>
          <w:p w14:paraId="40BA98A5"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701F3D1A"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89BC67D"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Investment in equity instruments designated as at FVTOCI</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5B1A4E80"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-3.869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1B425AF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c>
          <w:tcPr>
            <w:tcW w:w="0" w:type="auto"/>
            <w:tcBorders>
              <w:top w:val="nil"/>
              <w:left w:val="nil"/>
              <w:bottom w:val="nil"/>
              <w:right w:val="nil"/>
            </w:tcBorders>
            <w:tcMar>
              <w:top w:w="0" w:type="dxa"/>
              <w:left w:w="40" w:type="dxa"/>
              <w:bottom w:w="0" w:type="dxa"/>
              <w:right w:w="15" w:type="dxa"/>
            </w:tcMar>
            <w:vAlign w:val="bottom"/>
            <w:hideMark/>
          </w:tcPr>
          <w:p w14:paraId="5BA8A718"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6BD01818"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977F22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lastRenderedPageBreak/>
              <w:t>Acquisition of license</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992793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-2.133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53404CB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-1.385</w:t>
            </w:r>
          </w:p>
        </w:tc>
        <w:tc>
          <w:tcPr>
            <w:tcW w:w="0" w:type="auto"/>
            <w:tcBorders>
              <w:top w:val="nil"/>
              <w:left w:val="nil"/>
              <w:bottom w:val="nil"/>
              <w:right w:val="nil"/>
            </w:tcBorders>
            <w:tcMar>
              <w:top w:w="0" w:type="dxa"/>
              <w:left w:w="40" w:type="dxa"/>
              <w:bottom w:w="0" w:type="dxa"/>
              <w:right w:w="15" w:type="dxa"/>
            </w:tcMar>
            <w:vAlign w:val="bottom"/>
            <w:hideMark/>
          </w:tcPr>
          <w:p w14:paraId="64CB718D"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033B19CD"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93943C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Net cash flows used in investing activities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14EB360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-17.963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1E84EF4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-13.679</w:t>
            </w:r>
          </w:p>
        </w:tc>
        <w:tc>
          <w:tcPr>
            <w:tcW w:w="0" w:type="auto"/>
            <w:tcBorders>
              <w:top w:val="nil"/>
              <w:left w:val="nil"/>
              <w:bottom w:val="nil"/>
              <w:right w:val="nil"/>
            </w:tcBorders>
            <w:tcMar>
              <w:top w:w="0" w:type="dxa"/>
              <w:left w:w="40" w:type="dxa"/>
              <w:bottom w:w="0" w:type="dxa"/>
              <w:right w:w="15" w:type="dxa"/>
            </w:tcMar>
            <w:vAlign w:val="bottom"/>
            <w:hideMark/>
          </w:tcPr>
          <w:p w14:paraId="6CDD5CB9"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497B2D26" w14:textId="77777777" w:rsidTr="005A6660">
        <w:trPr>
          <w:trHeight w:val="10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D5972DE"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3B985444"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5DE58639"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bottom"/>
            <w:hideMark/>
          </w:tcPr>
          <w:p w14:paraId="495B2A86"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6175C958"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57FD5D0"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Repayment on loans and borrowings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643A393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28B1FD1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-50.088</w:t>
            </w:r>
          </w:p>
        </w:tc>
        <w:tc>
          <w:tcPr>
            <w:tcW w:w="0" w:type="auto"/>
            <w:tcBorders>
              <w:top w:val="nil"/>
              <w:left w:val="nil"/>
              <w:bottom w:val="nil"/>
              <w:right w:val="nil"/>
            </w:tcBorders>
            <w:tcMar>
              <w:top w:w="0" w:type="dxa"/>
              <w:left w:w="40" w:type="dxa"/>
              <w:bottom w:w="0" w:type="dxa"/>
              <w:right w:w="15" w:type="dxa"/>
            </w:tcMar>
            <w:vAlign w:val="bottom"/>
            <w:hideMark/>
          </w:tcPr>
          <w:p w14:paraId="4F4692AD"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5B703500"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EBA0E48"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Payment on contingent consideration</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2C2CDC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-21.079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465D1B3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-18.136</w:t>
            </w:r>
          </w:p>
        </w:tc>
        <w:tc>
          <w:tcPr>
            <w:tcW w:w="0" w:type="auto"/>
            <w:tcBorders>
              <w:top w:val="nil"/>
              <w:left w:val="nil"/>
              <w:bottom w:val="nil"/>
              <w:right w:val="nil"/>
            </w:tcBorders>
            <w:tcMar>
              <w:top w:w="0" w:type="dxa"/>
              <w:left w:w="40" w:type="dxa"/>
              <w:bottom w:w="0" w:type="dxa"/>
              <w:right w:w="15" w:type="dxa"/>
            </w:tcMar>
            <w:vAlign w:val="bottom"/>
            <w:hideMark/>
          </w:tcPr>
          <w:p w14:paraId="7CEAEC17"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339564B7"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7AAE2A9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Payment of lease liabilities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6A4209F"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-2.780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18437B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-1.913</w:t>
            </w:r>
          </w:p>
        </w:tc>
        <w:tc>
          <w:tcPr>
            <w:tcW w:w="0" w:type="auto"/>
            <w:tcBorders>
              <w:top w:val="nil"/>
              <w:left w:val="nil"/>
              <w:bottom w:val="nil"/>
              <w:right w:val="nil"/>
            </w:tcBorders>
            <w:tcMar>
              <w:top w:w="0" w:type="dxa"/>
              <w:left w:w="40" w:type="dxa"/>
              <w:bottom w:w="0" w:type="dxa"/>
              <w:right w:w="15" w:type="dxa"/>
            </w:tcMar>
            <w:vAlign w:val="bottom"/>
            <w:hideMark/>
          </w:tcPr>
          <w:p w14:paraId="285A8462"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06DBD37F"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5459467"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Proceeds of issued convertible bonds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595AF7A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11DC93E6"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125.000</w:t>
            </w:r>
          </w:p>
        </w:tc>
        <w:tc>
          <w:tcPr>
            <w:tcW w:w="0" w:type="auto"/>
            <w:tcBorders>
              <w:top w:val="nil"/>
              <w:left w:val="nil"/>
              <w:bottom w:val="nil"/>
              <w:right w:val="nil"/>
            </w:tcBorders>
            <w:tcMar>
              <w:top w:w="0" w:type="dxa"/>
              <w:left w:w="40" w:type="dxa"/>
              <w:bottom w:w="0" w:type="dxa"/>
              <w:right w:w="15" w:type="dxa"/>
            </w:tcMar>
            <w:vAlign w:val="bottom"/>
            <w:hideMark/>
          </w:tcPr>
          <w:p w14:paraId="56228F2F"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24ED4529"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A4D6550"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Transaction costs related to issued convertible bond</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6346E0D"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46EC73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-2.318</w:t>
            </w:r>
          </w:p>
        </w:tc>
        <w:tc>
          <w:tcPr>
            <w:tcW w:w="0" w:type="auto"/>
            <w:tcBorders>
              <w:top w:val="nil"/>
              <w:left w:val="nil"/>
              <w:bottom w:val="nil"/>
              <w:right w:val="nil"/>
            </w:tcBorders>
            <w:tcMar>
              <w:top w:w="0" w:type="dxa"/>
              <w:left w:w="40" w:type="dxa"/>
              <w:bottom w:w="0" w:type="dxa"/>
              <w:right w:w="15" w:type="dxa"/>
            </w:tcMar>
            <w:vAlign w:val="bottom"/>
            <w:hideMark/>
          </w:tcPr>
          <w:p w14:paraId="08DD17F8"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4ADC7473"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D82F4FC"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Interests on loans and leases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63FD3F2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-3.750</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056C0885"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-1.875</w:t>
            </w:r>
          </w:p>
        </w:tc>
        <w:tc>
          <w:tcPr>
            <w:tcW w:w="0" w:type="auto"/>
            <w:tcBorders>
              <w:top w:val="nil"/>
              <w:left w:val="nil"/>
              <w:bottom w:val="nil"/>
              <w:right w:val="nil"/>
            </w:tcBorders>
            <w:tcMar>
              <w:top w:w="0" w:type="dxa"/>
              <w:left w:w="40" w:type="dxa"/>
              <w:bottom w:w="0" w:type="dxa"/>
              <w:right w:w="15" w:type="dxa"/>
            </w:tcMar>
            <w:vAlign w:val="bottom"/>
            <w:hideMark/>
          </w:tcPr>
          <w:p w14:paraId="1C8F91E3"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5D0494C1"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66C4875"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Proceeds of equity and warrants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3245A7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3.978</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24AF5648"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2.442</w:t>
            </w:r>
          </w:p>
        </w:tc>
        <w:tc>
          <w:tcPr>
            <w:tcW w:w="0" w:type="auto"/>
            <w:tcBorders>
              <w:top w:val="nil"/>
              <w:left w:val="nil"/>
              <w:bottom w:val="nil"/>
              <w:right w:val="nil"/>
            </w:tcBorders>
            <w:tcMar>
              <w:top w:w="0" w:type="dxa"/>
              <w:left w:w="40" w:type="dxa"/>
              <w:bottom w:w="0" w:type="dxa"/>
              <w:right w:w="15" w:type="dxa"/>
            </w:tcMar>
            <w:vAlign w:val="bottom"/>
            <w:hideMark/>
          </w:tcPr>
          <w:p w14:paraId="758DD3D5"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0018C03D"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13CB8C0E"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Net cash flows generated from (used in) financing activities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2C8A3B2"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-23.563</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663C966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53.113</w:t>
            </w:r>
          </w:p>
        </w:tc>
        <w:tc>
          <w:tcPr>
            <w:tcW w:w="0" w:type="auto"/>
            <w:tcBorders>
              <w:top w:val="nil"/>
              <w:left w:val="nil"/>
              <w:bottom w:val="nil"/>
              <w:right w:val="nil"/>
            </w:tcBorders>
            <w:tcMar>
              <w:top w:w="0" w:type="dxa"/>
              <w:left w:w="40" w:type="dxa"/>
              <w:bottom w:w="0" w:type="dxa"/>
              <w:right w:w="15" w:type="dxa"/>
            </w:tcMar>
            <w:vAlign w:val="bottom"/>
            <w:hideMark/>
          </w:tcPr>
          <w:p w14:paraId="3D62530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0FA17283" w14:textId="77777777" w:rsidTr="005A6660">
        <w:trPr>
          <w:trHeight w:val="10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5093A592"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B43C1D5"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016FF029"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bottom"/>
            <w:hideMark/>
          </w:tcPr>
          <w:p w14:paraId="3E5CF7F6"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12715F28"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3FB2B7DF"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Increase (decrease) of cash</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644CD43"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-9.619</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588368B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112.624</w:t>
            </w:r>
          </w:p>
        </w:tc>
        <w:tc>
          <w:tcPr>
            <w:tcW w:w="0" w:type="auto"/>
            <w:tcBorders>
              <w:top w:val="nil"/>
              <w:left w:val="nil"/>
              <w:bottom w:val="nil"/>
              <w:right w:val="nil"/>
            </w:tcBorders>
            <w:tcMar>
              <w:top w:w="0" w:type="dxa"/>
              <w:left w:w="40" w:type="dxa"/>
              <w:bottom w:w="0" w:type="dxa"/>
              <w:right w:w="15" w:type="dxa"/>
            </w:tcMar>
            <w:vAlign w:val="bottom"/>
            <w:hideMark/>
          </w:tcPr>
          <w:p w14:paraId="44552B77"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42E60A56"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225C3CBA"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Exchange rate effects</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7927214"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11.886</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582F402E"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-11.855</w:t>
            </w:r>
          </w:p>
        </w:tc>
        <w:tc>
          <w:tcPr>
            <w:tcW w:w="0" w:type="auto"/>
            <w:tcBorders>
              <w:top w:val="nil"/>
              <w:left w:val="nil"/>
              <w:bottom w:val="nil"/>
              <w:right w:val="nil"/>
            </w:tcBorders>
            <w:tcMar>
              <w:top w:w="0" w:type="dxa"/>
              <w:left w:w="40" w:type="dxa"/>
              <w:bottom w:w="0" w:type="dxa"/>
              <w:right w:w="15" w:type="dxa"/>
            </w:tcMar>
            <w:vAlign w:val="bottom"/>
            <w:hideMark/>
          </w:tcPr>
          <w:p w14:paraId="27BE1987"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1CA2AB9F"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0E276B39"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color w:val="000000"/>
                <w:sz w:val="16"/>
                <w:szCs w:val="16"/>
              </w:rPr>
              <w:t>Cash and cash equivalents at 1 January</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1949255A"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167.068</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262AB7A7"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color w:val="000000"/>
                <w:sz w:val="16"/>
                <w:szCs w:val="16"/>
              </w:rPr>
              <w:t>66.299</w:t>
            </w:r>
          </w:p>
        </w:tc>
        <w:tc>
          <w:tcPr>
            <w:tcW w:w="0" w:type="auto"/>
            <w:tcBorders>
              <w:top w:val="nil"/>
              <w:left w:val="nil"/>
              <w:bottom w:val="nil"/>
              <w:right w:val="nil"/>
            </w:tcBorders>
            <w:tcMar>
              <w:top w:w="0" w:type="dxa"/>
              <w:left w:w="40" w:type="dxa"/>
              <w:bottom w:w="0" w:type="dxa"/>
              <w:right w:w="15" w:type="dxa"/>
            </w:tcMar>
            <w:vAlign w:val="bottom"/>
            <w:hideMark/>
          </w:tcPr>
          <w:p w14:paraId="4FD43FDC"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3B8A9EF2" w14:textId="77777777" w:rsidTr="005A6660">
        <w:trPr>
          <w:trHeight w:val="10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279EBE4B"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0FF6FA52"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10EDE2AD"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40" w:type="dxa"/>
              <w:bottom w:w="0" w:type="dxa"/>
              <w:right w:w="15" w:type="dxa"/>
            </w:tcMar>
            <w:vAlign w:val="bottom"/>
            <w:hideMark/>
          </w:tcPr>
          <w:p w14:paraId="111DB3E2"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r w:rsidR="005A6660" w:rsidRPr="005A6660" w14:paraId="17441D12" w14:textId="77777777" w:rsidTr="005A6660">
        <w:trPr>
          <w:trHeight w:val="225"/>
        </w:trPr>
        <w:tc>
          <w:tcPr>
            <w:tcW w:w="0" w:type="auto"/>
            <w:tcBorders>
              <w:top w:val="nil"/>
              <w:left w:val="single" w:sz="4" w:space="0" w:color="000000"/>
              <w:bottom w:val="single" w:sz="4" w:space="0" w:color="000000"/>
              <w:right w:val="nil"/>
            </w:tcBorders>
            <w:tcMar>
              <w:top w:w="0" w:type="dxa"/>
              <w:left w:w="40" w:type="dxa"/>
              <w:bottom w:w="0" w:type="dxa"/>
              <w:right w:w="15" w:type="dxa"/>
            </w:tcMar>
            <w:vAlign w:val="center"/>
            <w:hideMark/>
          </w:tcPr>
          <w:p w14:paraId="50008C72" w14:textId="77777777" w:rsidR="005A6660" w:rsidRPr="005A6660" w:rsidRDefault="005A6660" w:rsidP="005A6660">
            <w:pPr>
              <w:spacing w:after="0" w:line="240" w:lineRule="auto"/>
              <w:ind w:left="57"/>
              <w:rPr>
                <w:rFonts w:ascii="Arial" w:eastAsia="Times New Roman" w:hAnsi="Arial" w:cs="Arial"/>
                <w:color w:val="000000"/>
                <w:sz w:val="16"/>
                <w:szCs w:val="16"/>
              </w:rPr>
            </w:pPr>
            <w:r w:rsidRPr="005A6660">
              <w:rPr>
                <w:rFonts w:ascii="Arial" w:eastAsia="Times New Roman" w:hAnsi="Arial" w:cs="Arial"/>
                <w:b/>
                <w:bCs/>
                <w:color w:val="000000"/>
                <w:sz w:val="16"/>
                <w:szCs w:val="16"/>
              </w:rPr>
              <w:t>Total cash and cash equivalents at 31 December</w:t>
            </w:r>
          </w:p>
        </w:tc>
        <w:tc>
          <w:tcPr>
            <w:tcW w:w="0" w:type="auto"/>
            <w:tcBorders>
              <w:top w:val="nil"/>
              <w:left w:val="single" w:sz="4" w:space="0" w:color="000000"/>
              <w:bottom w:val="single" w:sz="4" w:space="0" w:color="000000"/>
              <w:right w:val="nil"/>
            </w:tcBorders>
            <w:tcMar>
              <w:top w:w="0" w:type="dxa"/>
              <w:left w:w="40" w:type="dxa"/>
              <w:bottom w:w="0" w:type="dxa"/>
              <w:right w:w="15" w:type="dxa"/>
            </w:tcMar>
            <w:vAlign w:val="bottom"/>
            <w:hideMark/>
          </w:tcPr>
          <w:p w14:paraId="4018C5C9"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169.335</w:t>
            </w:r>
          </w:p>
        </w:tc>
        <w:tc>
          <w:tcPr>
            <w:tcW w:w="0" w:type="auto"/>
            <w:tcBorders>
              <w:top w:val="nil"/>
              <w:left w:val="single" w:sz="4" w:space="0" w:color="000000"/>
              <w:bottom w:val="single" w:sz="4" w:space="0" w:color="000000"/>
              <w:right w:val="single" w:sz="4" w:space="0" w:color="000000"/>
            </w:tcBorders>
            <w:tcMar>
              <w:top w:w="0" w:type="dxa"/>
              <w:left w:w="40" w:type="dxa"/>
              <w:bottom w:w="0" w:type="dxa"/>
              <w:right w:w="15" w:type="dxa"/>
            </w:tcMar>
            <w:vAlign w:val="bottom"/>
            <w:hideMark/>
          </w:tcPr>
          <w:p w14:paraId="116877BB" w14:textId="77777777" w:rsidR="005A6660" w:rsidRPr="005A6660" w:rsidRDefault="005A6660" w:rsidP="005A6660">
            <w:pPr>
              <w:spacing w:after="0" w:line="240" w:lineRule="auto"/>
              <w:jc w:val="right"/>
              <w:rPr>
                <w:rFonts w:ascii="Arial" w:eastAsia="Times New Roman" w:hAnsi="Arial" w:cs="Arial"/>
                <w:color w:val="000000"/>
                <w:sz w:val="16"/>
                <w:szCs w:val="16"/>
              </w:rPr>
            </w:pPr>
            <w:r w:rsidRPr="005A6660">
              <w:rPr>
                <w:rFonts w:ascii="Arial" w:eastAsia="Times New Roman" w:hAnsi="Arial" w:cs="Arial"/>
                <w:b/>
                <w:bCs/>
                <w:color w:val="000000"/>
                <w:sz w:val="16"/>
                <w:szCs w:val="16"/>
              </w:rPr>
              <w:t>167.068</w:t>
            </w:r>
          </w:p>
        </w:tc>
        <w:tc>
          <w:tcPr>
            <w:tcW w:w="0" w:type="auto"/>
            <w:tcBorders>
              <w:top w:val="nil"/>
              <w:left w:val="nil"/>
              <w:bottom w:val="nil"/>
              <w:right w:val="nil"/>
            </w:tcBorders>
            <w:tcMar>
              <w:top w:w="0" w:type="dxa"/>
              <w:left w:w="40" w:type="dxa"/>
              <w:bottom w:w="0" w:type="dxa"/>
              <w:right w:w="15" w:type="dxa"/>
            </w:tcMar>
            <w:vAlign w:val="bottom"/>
            <w:hideMark/>
          </w:tcPr>
          <w:p w14:paraId="6FC5EDE3" w14:textId="77777777" w:rsidR="005A6660" w:rsidRPr="005A6660" w:rsidRDefault="005A6660" w:rsidP="005A6660">
            <w:pPr>
              <w:spacing w:after="0" w:line="240" w:lineRule="auto"/>
              <w:jc w:val="right"/>
              <w:rPr>
                <w:rFonts w:ascii="Times New Roman" w:eastAsia="Times New Roman" w:hAnsi="Times New Roman" w:cs="Times New Roman"/>
                <w:sz w:val="24"/>
                <w:szCs w:val="24"/>
              </w:rPr>
            </w:pPr>
          </w:p>
        </w:tc>
      </w:tr>
    </w:tbl>
    <w:p w14:paraId="2B1BFBE7"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6B9BA7E1"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4D845035" w14:textId="77777777" w:rsidR="005A6660" w:rsidRPr="005A6660" w:rsidRDefault="005A6660" w:rsidP="005A6660">
      <w:pPr>
        <w:spacing w:after="240" w:line="240" w:lineRule="auto"/>
        <w:rPr>
          <w:rFonts w:ascii="Arial" w:eastAsia="Times New Roman" w:hAnsi="Arial" w:cs="Arial"/>
          <w:color w:val="000000"/>
          <w:sz w:val="20"/>
          <w:szCs w:val="20"/>
        </w:rPr>
      </w:pPr>
    </w:p>
    <w:p w14:paraId="6805E9A0" w14:textId="77777777" w:rsidR="005A6660" w:rsidRPr="005A6660" w:rsidRDefault="005A6660" w:rsidP="005A6660">
      <w:pPr>
        <w:spacing w:before="100" w:beforeAutospacing="1" w:after="100" w:afterAutospacing="1" w:line="240" w:lineRule="auto"/>
        <w:rPr>
          <w:rFonts w:ascii="Arial" w:eastAsia="Times New Roman" w:hAnsi="Arial" w:cs="Arial"/>
          <w:color w:val="000000"/>
          <w:sz w:val="20"/>
          <w:szCs w:val="20"/>
        </w:rPr>
      </w:pPr>
      <w:r w:rsidRPr="005A6660">
        <w:rPr>
          <w:rFonts w:ascii="Arial" w:eastAsia="Times New Roman" w:hAnsi="Arial" w:cs="Arial"/>
          <w:color w:val="000000"/>
          <w:sz w:val="20"/>
          <w:szCs w:val="20"/>
        </w:rPr>
        <w:t> </w:t>
      </w:r>
    </w:p>
    <w:p w14:paraId="6390819C" w14:textId="77777777" w:rsidR="00363BD9" w:rsidRDefault="00363BD9"/>
    <w:sectPr w:rsidR="00363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C4A"/>
    <w:multiLevelType w:val="multilevel"/>
    <w:tmpl w:val="5F40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2677B"/>
    <w:multiLevelType w:val="multilevel"/>
    <w:tmpl w:val="6ED4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CB7584"/>
    <w:multiLevelType w:val="multilevel"/>
    <w:tmpl w:val="1A02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3A73CD"/>
    <w:multiLevelType w:val="multilevel"/>
    <w:tmpl w:val="8BB0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4D0443"/>
    <w:multiLevelType w:val="multilevel"/>
    <w:tmpl w:val="6D8C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89735E"/>
    <w:multiLevelType w:val="multilevel"/>
    <w:tmpl w:val="807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FF6E96"/>
    <w:multiLevelType w:val="multilevel"/>
    <w:tmpl w:val="67E6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444AA8"/>
    <w:multiLevelType w:val="multilevel"/>
    <w:tmpl w:val="C9F4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3A629F"/>
    <w:multiLevelType w:val="multilevel"/>
    <w:tmpl w:val="4F98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3"/>
  </w:num>
  <w:num w:numId="4">
    <w:abstractNumId w:val="4"/>
  </w:num>
  <w:num w:numId="5">
    <w:abstractNumId w:val="2"/>
  </w:num>
  <w:num w:numId="6">
    <w:abstractNumId w:val="8"/>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60"/>
    <w:rsid w:val="0000588B"/>
    <w:rsid w:val="0002687E"/>
    <w:rsid w:val="00037DE1"/>
    <w:rsid w:val="00044C60"/>
    <w:rsid w:val="00080624"/>
    <w:rsid w:val="00091CDA"/>
    <w:rsid w:val="00096940"/>
    <w:rsid w:val="000A6CE2"/>
    <w:rsid w:val="000B31C5"/>
    <w:rsid w:val="000B65F8"/>
    <w:rsid w:val="000E0E17"/>
    <w:rsid w:val="000F0437"/>
    <w:rsid w:val="000F6701"/>
    <w:rsid w:val="0010003E"/>
    <w:rsid w:val="00100252"/>
    <w:rsid w:val="00104A7E"/>
    <w:rsid w:val="001213D7"/>
    <w:rsid w:val="0014690F"/>
    <w:rsid w:val="00163C39"/>
    <w:rsid w:val="0017134C"/>
    <w:rsid w:val="001733FB"/>
    <w:rsid w:val="00174A51"/>
    <w:rsid w:val="00192F02"/>
    <w:rsid w:val="001A41E3"/>
    <w:rsid w:val="001D1D33"/>
    <w:rsid w:val="001D6261"/>
    <w:rsid w:val="001E25B0"/>
    <w:rsid w:val="001E2D3C"/>
    <w:rsid w:val="0023386E"/>
    <w:rsid w:val="0023466E"/>
    <w:rsid w:val="002378D8"/>
    <w:rsid w:val="0024223D"/>
    <w:rsid w:val="00246A4A"/>
    <w:rsid w:val="00246EE1"/>
    <w:rsid w:val="002A4AA6"/>
    <w:rsid w:val="002B6CB7"/>
    <w:rsid w:val="002E1F19"/>
    <w:rsid w:val="002F0E6E"/>
    <w:rsid w:val="002F52E5"/>
    <w:rsid w:val="0030593F"/>
    <w:rsid w:val="00323476"/>
    <w:rsid w:val="003268F9"/>
    <w:rsid w:val="00330EF7"/>
    <w:rsid w:val="00363BD9"/>
    <w:rsid w:val="00375C28"/>
    <w:rsid w:val="00384F96"/>
    <w:rsid w:val="00397BEC"/>
    <w:rsid w:val="003A6667"/>
    <w:rsid w:val="003B1901"/>
    <w:rsid w:val="003C172A"/>
    <w:rsid w:val="003F7C54"/>
    <w:rsid w:val="00417797"/>
    <w:rsid w:val="004C0210"/>
    <w:rsid w:val="004C0B8B"/>
    <w:rsid w:val="004D5CEA"/>
    <w:rsid w:val="005159CE"/>
    <w:rsid w:val="00531ACC"/>
    <w:rsid w:val="00592A0C"/>
    <w:rsid w:val="00592BF6"/>
    <w:rsid w:val="005A6660"/>
    <w:rsid w:val="005A7850"/>
    <w:rsid w:val="005B2963"/>
    <w:rsid w:val="005E1041"/>
    <w:rsid w:val="005F5D01"/>
    <w:rsid w:val="00627BC1"/>
    <w:rsid w:val="00631D34"/>
    <w:rsid w:val="00635C92"/>
    <w:rsid w:val="00637263"/>
    <w:rsid w:val="00650327"/>
    <w:rsid w:val="0067129D"/>
    <w:rsid w:val="00697D38"/>
    <w:rsid w:val="006A0A0D"/>
    <w:rsid w:val="006E749F"/>
    <w:rsid w:val="006F50FA"/>
    <w:rsid w:val="00722946"/>
    <w:rsid w:val="0073062C"/>
    <w:rsid w:val="00733CA1"/>
    <w:rsid w:val="007656EB"/>
    <w:rsid w:val="007661E3"/>
    <w:rsid w:val="00776D2C"/>
    <w:rsid w:val="00795E98"/>
    <w:rsid w:val="007A444C"/>
    <w:rsid w:val="007B78BE"/>
    <w:rsid w:val="007C3A95"/>
    <w:rsid w:val="007D13B8"/>
    <w:rsid w:val="007E7929"/>
    <w:rsid w:val="008116CA"/>
    <w:rsid w:val="00813344"/>
    <w:rsid w:val="0082091D"/>
    <w:rsid w:val="00832865"/>
    <w:rsid w:val="008660CF"/>
    <w:rsid w:val="00887C4E"/>
    <w:rsid w:val="008A274B"/>
    <w:rsid w:val="008B7AE8"/>
    <w:rsid w:val="008C501A"/>
    <w:rsid w:val="00912001"/>
    <w:rsid w:val="009142D5"/>
    <w:rsid w:val="0098239A"/>
    <w:rsid w:val="0099140C"/>
    <w:rsid w:val="009A6154"/>
    <w:rsid w:val="009A7897"/>
    <w:rsid w:val="009B7C4E"/>
    <w:rsid w:val="009C5B10"/>
    <w:rsid w:val="00A15198"/>
    <w:rsid w:val="00A7113C"/>
    <w:rsid w:val="00AA367A"/>
    <w:rsid w:val="00AE017F"/>
    <w:rsid w:val="00B252A1"/>
    <w:rsid w:val="00B3568D"/>
    <w:rsid w:val="00B36D02"/>
    <w:rsid w:val="00B477CA"/>
    <w:rsid w:val="00B90B32"/>
    <w:rsid w:val="00BB5C15"/>
    <w:rsid w:val="00BC6983"/>
    <w:rsid w:val="00BE3B17"/>
    <w:rsid w:val="00C05C9D"/>
    <w:rsid w:val="00C071FC"/>
    <w:rsid w:val="00C22765"/>
    <w:rsid w:val="00C37EC4"/>
    <w:rsid w:val="00C92BF4"/>
    <w:rsid w:val="00CB1E57"/>
    <w:rsid w:val="00CB3DBB"/>
    <w:rsid w:val="00CF78BC"/>
    <w:rsid w:val="00D50C0F"/>
    <w:rsid w:val="00DE0750"/>
    <w:rsid w:val="00E10F9B"/>
    <w:rsid w:val="00E11FD6"/>
    <w:rsid w:val="00E215B5"/>
    <w:rsid w:val="00E548BE"/>
    <w:rsid w:val="00E551B0"/>
    <w:rsid w:val="00E87408"/>
    <w:rsid w:val="00E97D99"/>
    <w:rsid w:val="00EB0619"/>
    <w:rsid w:val="00EC2901"/>
    <w:rsid w:val="00ED6ABF"/>
    <w:rsid w:val="00F903E0"/>
    <w:rsid w:val="00FE2C0F"/>
    <w:rsid w:val="00FF4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1D0F"/>
  <w15:chartTrackingRefBased/>
  <w15:docId w15:val="{227F3461-F65E-4831-B3E2-8C1033F7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A666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A6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endspanclass">
    <w:name w:val="legendspanclass"/>
    <w:basedOn w:val="DefaultParagraphFont"/>
    <w:rsid w:val="005A6660"/>
  </w:style>
  <w:style w:type="character" w:customStyle="1" w:styleId="prnewsspan">
    <w:name w:val="prnews_span"/>
    <w:basedOn w:val="DefaultParagraphFont"/>
    <w:rsid w:val="005A6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76772">
      <w:bodyDiv w:val="1"/>
      <w:marLeft w:val="0"/>
      <w:marRight w:val="0"/>
      <w:marTop w:val="0"/>
      <w:marBottom w:val="0"/>
      <w:divBdr>
        <w:top w:val="none" w:sz="0" w:space="0" w:color="auto"/>
        <w:left w:val="none" w:sz="0" w:space="0" w:color="auto"/>
        <w:bottom w:val="none" w:sz="0" w:space="0" w:color="auto"/>
        <w:right w:val="none" w:sz="0" w:space="0" w:color="auto"/>
      </w:divBdr>
      <w:divsChild>
        <w:div w:id="560677251">
          <w:marLeft w:val="200"/>
          <w:marRight w:val="0"/>
          <w:marTop w:val="0"/>
          <w:marBottom w:val="0"/>
          <w:divBdr>
            <w:top w:val="none" w:sz="0" w:space="0" w:color="auto"/>
            <w:left w:val="none" w:sz="0" w:space="0" w:color="auto"/>
            <w:bottom w:val="none" w:sz="0" w:space="0" w:color="auto"/>
            <w:right w:val="none" w:sz="0" w:space="0" w:color="auto"/>
          </w:divBdr>
        </w:div>
        <w:div w:id="1053968740">
          <w:marLeft w:val="200"/>
          <w:marRight w:val="0"/>
          <w:marTop w:val="0"/>
          <w:marBottom w:val="0"/>
          <w:divBdr>
            <w:top w:val="none" w:sz="0" w:space="0" w:color="auto"/>
            <w:left w:val="none" w:sz="0" w:space="0" w:color="auto"/>
            <w:bottom w:val="none" w:sz="0" w:space="0" w:color="auto"/>
            <w:right w:val="none" w:sz="0" w:space="0" w:color="auto"/>
          </w:divBdr>
          <w:divsChild>
            <w:div w:id="1643385962">
              <w:marLeft w:val="0"/>
              <w:marRight w:val="0"/>
              <w:marTop w:val="319"/>
              <w:marBottom w:val="0"/>
              <w:divBdr>
                <w:top w:val="none" w:sz="0" w:space="0" w:color="auto"/>
                <w:left w:val="none" w:sz="0" w:space="0" w:color="auto"/>
                <w:bottom w:val="none" w:sz="0" w:space="0" w:color="auto"/>
                <w:right w:val="none" w:sz="0" w:space="0" w:color="auto"/>
              </w:divBdr>
              <w:divsChild>
                <w:div w:id="958686031">
                  <w:marLeft w:val="0"/>
                  <w:marRight w:val="0"/>
                  <w:marTop w:val="0"/>
                  <w:marBottom w:val="0"/>
                  <w:divBdr>
                    <w:top w:val="none" w:sz="0" w:space="0" w:color="auto"/>
                    <w:left w:val="none" w:sz="0" w:space="0" w:color="auto"/>
                    <w:bottom w:val="none" w:sz="0" w:space="0" w:color="auto"/>
                    <w:right w:val="none" w:sz="0" w:space="0" w:color="auto"/>
                  </w:divBdr>
                </w:div>
                <w:div w:id="837581111">
                  <w:marLeft w:val="0"/>
                  <w:marRight w:val="0"/>
                  <w:marTop w:val="0"/>
                  <w:marBottom w:val="0"/>
                  <w:divBdr>
                    <w:top w:val="none" w:sz="0" w:space="0" w:color="auto"/>
                    <w:left w:val="none" w:sz="0" w:space="0" w:color="auto"/>
                    <w:bottom w:val="none" w:sz="0" w:space="0" w:color="auto"/>
                    <w:right w:val="none" w:sz="0" w:space="0" w:color="auto"/>
                  </w:divBdr>
                </w:div>
                <w:div w:id="1353920872">
                  <w:marLeft w:val="0"/>
                  <w:marRight w:val="0"/>
                  <w:marTop w:val="0"/>
                  <w:marBottom w:val="0"/>
                  <w:divBdr>
                    <w:top w:val="none" w:sz="0" w:space="0" w:color="auto"/>
                    <w:left w:val="none" w:sz="0" w:space="0" w:color="auto"/>
                    <w:bottom w:val="none" w:sz="0" w:space="0" w:color="auto"/>
                    <w:right w:val="none" w:sz="0" w:space="0" w:color="auto"/>
                  </w:divBdr>
                </w:div>
                <w:div w:id="706836296">
                  <w:marLeft w:val="0"/>
                  <w:marRight w:val="0"/>
                  <w:marTop w:val="0"/>
                  <w:marBottom w:val="0"/>
                  <w:divBdr>
                    <w:top w:val="none" w:sz="0" w:space="0" w:color="auto"/>
                    <w:left w:val="none" w:sz="0" w:space="0" w:color="auto"/>
                    <w:bottom w:val="none" w:sz="0" w:space="0" w:color="auto"/>
                    <w:right w:val="none" w:sz="0" w:space="0" w:color="auto"/>
                  </w:divBdr>
                </w:div>
                <w:div w:id="588387510">
                  <w:marLeft w:val="0"/>
                  <w:marRight w:val="0"/>
                  <w:marTop w:val="0"/>
                  <w:marBottom w:val="0"/>
                  <w:divBdr>
                    <w:top w:val="none" w:sz="0" w:space="0" w:color="auto"/>
                    <w:left w:val="none" w:sz="0" w:space="0" w:color="auto"/>
                    <w:bottom w:val="none" w:sz="0" w:space="0" w:color="auto"/>
                    <w:right w:val="none" w:sz="0" w:space="0" w:color="auto"/>
                  </w:divBdr>
                </w:div>
                <w:div w:id="121922729">
                  <w:marLeft w:val="0"/>
                  <w:marRight w:val="0"/>
                  <w:marTop w:val="0"/>
                  <w:marBottom w:val="0"/>
                  <w:divBdr>
                    <w:top w:val="none" w:sz="0" w:space="0" w:color="auto"/>
                    <w:left w:val="none" w:sz="0" w:space="0" w:color="auto"/>
                    <w:bottom w:val="none" w:sz="0" w:space="0" w:color="auto"/>
                    <w:right w:val="none" w:sz="0" w:space="0" w:color="auto"/>
                  </w:divBdr>
                </w:div>
                <w:div w:id="339434699">
                  <w:marLeft w:val="0"/>
                  <w:marRight w:val="0"/>
                  <w:marTop w:val="0"/>
                  <w:marBottom w:val="0"/>
                  <w:divBdr>
                    <w:top w:val="none" w:sz="0" w:space="0" w:color="auto"/>
                    <w:left w:val="none" w:sz="0" w:space="0" w:color="auto"/>
                    <w:bottom w:val="none" w:sz="0" w:space="0" w:color="auto"/>
                    <w:right w:val="none" w:sz="0" w:space="0" w:color="auto"/>
                  </w:divBdr>
                </w:div>
                <w:div w:id="697317008">
                  <w:marLeft w:val="0"/>
                  <w:marRight w:val="0"/>
                  <w:marTop w:val="0"/>
                  <w:marBottom w:val="0"/>
                  <w:divBdr>
                    <w:top w:val="none" w:sz="0" w:space="0" w:color="auto"/>
                    <w:left w:val="none" w:sz="0" w:space="0" w:color="auto"/>
                    <w:bottom w:val="none" w:sz="0" w:space="0" w:color="auto"/>
                    <w:right w:val="none" w:sz="0" w:space="0" w:color="auto"/>
                  </w:divBdr>
                </w:div>
                <w:div w:id="608705865">
                  <w:marLeft w:val="0"/>
                  <w:marRight w:val="0"/>
                  <w:marTop w:val="0"/>
                  <w:marBottom w:val="0"/>
                  <w:divBdr>
                    <w:top w:val="none" w:sz="0" w:space="0" w:color="auto"/>
                    <w:left w:val="none" w:sz="0" w:space="0" w:color="auto"/>
                    <w:bottom w:val="none" w:sz="0" w:space="0" w:color="auto"/>
                    <w:right w:val="none" w:sz="0" w:space="0" w:color="auto"/>
                  </w:divBdr>
                </w:div>
                <w:div w:id="179391372">
                  <w:marLeft w:val="0"/>
                  <w:marRight w:val="0"/>
                  <w:marTop w:val="0"/>
                  <w:marBottom w:val="0"/>
                  <w:divBdr>
                    <w:top w:val="none" w:sz="0" w:space="0" w:color="auto"/>
                    <w:left w:val="none" w:sz="0" w:space="0" w:color="auto"/>
                    <w:bottom w:val="none" w:sz="0" w:space="0" w:color="auto"/>
                    <w:right w:val="none" w:sz="0" w:space="0" w:color="auto"/>
                  </w:divBdr>
                </w:div>
                <w:div w:id="1204320327">
                  <w:marLeft w:val="0"/>
                  <w:marRight w:val="0"/>
                  <w:marTop w:val="0"/>
                  <w:marBottom w:val="0"/>
                  <w:divBdr>
                    <w:top w:val="none" w:sz="0" w:space="0" w:color="auto"/>
                    <w:left w:val="none" w:sz="0" w:space="0" w:color="auto"/>
                    <w:bottom w:val="none" w:sz="0" w:space="0" w:color="auto"/>
                    <w:right w:val="none" w:sz="0" w:space="0" w:color="auto"/>
                  </w:divBdr>
                </w:div>
                <w:div w:id="1862089825">
                  <w:marLeft w:val="0"/>
                  <w:marRight w:val="0"/>
                  <w:marTop w:val="0"/>
                  <w:marBottom w:val="0"/>
                  <w:divBdr>
                    <w:top w:val="none" w:sz="0" w:space="0" w:color="auto"/>
                    <w:left w:val="none" w:sz="0" w:space="0" w:color="auto"/>
                    <w:bottom w:val="none" w:sz="0" w:space="0" w:color="auto"/>
                    <w:right w:val="none" w:sz="0" w:space="0" w:color="auto"/>
                  </w:divBdr>
                </w:div>
              </w:divsChild>
            </w:div>
            <w:div w:id="11310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7244</Words>
  <Characters>41296</Characters>
  <Application>Microsoft Office Word</Application>
  <DocSecurity>0</DocSecurity>
  <Lines>344</Lines>
  <Paragraphs>96</Paragraphs>
  <ScaleCrop>false</ScaleCrop>
  <Company/>
  <LinksUpToDate>false</LinksUpToDate>
  <CharactersWithSpaces>48444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Neelima Ct</dc:creator>
  <cp:keywords/>
  <dc:description/>
  <cp:lastModifiedBy>Neelima Ct</cp:lastModifiedBy>
  <cp:revision>1</cp:revision>
  <dcterms:created xsi:type="dcterms:W3CDTF">2022-03-17T06:12:00Z</dcterms:created>
  <dcterms:modified xsi:type="dcterms:W3CDTF">2022-03-17T06:13:00Z</dcterms:modified>
</cp:coreProperties>
</file>