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22489E" w:rsidP="00072DB9">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D67C30" w:rsidRDefault="00D67C30" w:rsidP="00072DB9">
      <w:pPr>
        <w:pStyle w:val="Heading1"/>
        <w:rPr>
          <w:color w:val="0B5ED7"/>
        </w:rPr>
      </w:pPr>
    </w:p>
    <w:p w:rsidR="008D4B44" w:rsidRPr="00A201C9" w:rsidRDefault="008D4B44" w:rsidP="00072DB9">
      <w:pPr>
        <w:pStyle w:val="Heading1"/>
        <w:rPr>
          <w:color w:val="0B5ED7"/>
        </w:rPr>
      </w:pPr>
      <w:r w:rsidRPr="00A201C9">
        <w:rPr>
          <w:color w:val="0B5ED7"/>
        </w:rPr>
        <w:t>Press Information</w:t>
      </w:r>
    </w:p>
    <w:p w:rsidR="008D4B44" w:rsidRDefault="008D4B44" w:rsidP="00072DB9"/>
    <w:p w:rsidR="00D67C30" w:rsidRDefault="00D67C30" w:rsidP="00D67C30">
      <w:pPr>
        <w:pStyle w:val="Heading2"/>
        <w:spacing w:before="0" w:after="0"/>
      </w:pPr>
    </w:p>
    <w:p w:rsidR="008C6289" w:rsidRDefault="008C6289" w:rsidP="008C6289">
      <w:r>
        <w:t>November 1, 2011</w:t>
      </w:r>
    </w:p>
    <w:p w:rsidR="008C6289" w:rsidRDefault="008C6289" w:rsidP="008C6289">
      <w:pPr>
        <w:pStyle w:val="default"/>
        <w:spacing w:before="0" w:beforeAutospacing="0" w:after="0" w:afterAutospacing="0"/>
        <w:rPr>
          <w:rFonts w:ascii="Arial" w:hAnsi="Arial" w:cs="Arial"/>
          <w:b/>
          <w:bCs/>
        </w:rPr>
      </w:pPr>
    </w:p>
    <w:p w:rsidR="008C6289" w:rsidRDefault="008C6289" w:rsidP="008C6289">
      <w:pPr>
        <w:pStyle w:val="default"/>
        <w:spacing w:before="0" w:beforeAutospacing="0" w:after="0" w:afterAutospacing="0"/>
      </w:pPr>
      <w:r>
        <w:rPr>
          <w:rFonts w:ascii="Arial" w:hAnsi="Arial" w:cs="Arial"/>
          <w:b/>
          <w:bCs/>
        </w:rPr>
        <w:t>Philips and TPV sign agreement on Television joint venture</w:t>
      </w:r>
    </w:p>
    <w:p w:rsidR="008C6289" w:rsidRDefault="008C6289" w:rsidP="008C6289">
      <w:pPr>
        <w:rPr>
          <w:b/>
          <w:bCs/>
        </w:rPr>
      </w:pPr>
    </w:p>
    <w:p w:rsidR="008C6289" w:rsidRDefault="008C6289" w:rsidP="008C6289">
      <w:r>
        <w:rPr>
          <w:b/>
          <w:bCs/>
        </w:rPr>
        <w:t>Amsterdam, the Netherlands</w:t>
      </w:r>
      <w:r>
        <w:t xml:space="preserve"> – Royal Philips Electronics (NYSE:PHG, AEX</w:t>
      </w:r>
      <w:proofErr w:type="gramStart"/>
      <w:r>
        <w:t>:PHI</w:t>
      </w:r>
      <w:proofErr w:type="gramEnd"/>
      <w:r>
        <w:t xml:space="preserve">) today announced that it has signed the agreement to transfer its Television business into a joint venture with TPV Technology Limited (0903.HK). The new company will be 70% owned by TPV and 30% by Philips. The initial term sheet was announced earlier this year, on April 18. </w:t>
      </w:r>
    </w:p>
    <w:p w:rsidR="008C6289" w:rsidRDefault="008C6289" w:rsidP="008C6289"/>
    <w:p w:rsidR="008C6289" w:rsidRDefault="008C6289" w:rsidP="008C6289">
      <w:r w:rsidRPr="00DC1EFA">
        <w:t xml:space="preserve">Closing of the deal, </w:t>
      </w:r>
      <w:r>
        <w:t xml:space="preserve">which is expected at the end of the </w:t>
      </w:r>
      <w:r w:rsidRPr="00DC1EFA">
        <w:t xml:space="preserve">first quarter of 2012, will take place after necessary </w:t>
      </w:r>
      <w:r>
        <w:t xml:space="preserve">merger clearance, governmental and </w:t>
      </w:r>
      <w:r w:rsidRPr="00DC1EFA">
        <w:t xml:space="preserve">TPV shareholder approvals are obtained. As a result of this transaction, Philips will report a pre-tax negative deal result </w:t>
      </w:r>
      <w:r>
        <w:t xml:space="preserve">in the fourth quarter of approximately </w:t>
      </w:r>
      <w:r w:rsidRPr="00DC1EFA">
        <w:t xml:space="preserve">EUR </w:t>
      </w:r>
      <w:r>
        <w:t xml:space="preserve">270 million in addition to </w:t>
      </w:r>
      <w:r w:rsidRPr="00DC1EFA">
        <w:t xml:space="preserve">approximately </w:t>
      </w:r>
      <w:r>
        <w:t xml:space="preserve">EUR </w:t>
      </w:r>
      <w:r w:rsidRPr="00DC1EFA">
        <w:t xml:space="preserve">110 million </w:t>
      </w:r>
      <w:r>
        <w:t xml:space="preserve">that </w:t>
      </w:r>
      <w:r w:rsidRPr="00DC1EFA">
        <w:t>was already charged in previous quarters.</w:t>
      </w:r>
      <w:r>
        <w:t xml:space="preserve"> This result includes separation costs of approximately EUR 100 million.</w:t>
      </w:r>
    </w:p>
    <w:p w:rsidR="008C6289" w:rsidRDefault="008C6289" w:rsidP="008C6289">
      <w:pPr>
        <w:pStyle w:val="PlainText"/>
      </w:pPr>
    </w:p>
    <w:p w:rsidR="008C6289" w:rsidRDefault="008C6289" w:rsidP="008C6289">
      <w:r>
        <w:t>“I am pleased that we have now signed the Television joint venture agreement with TPV. This agreement is important for both Philips and TPV and provides clarity to our consumers, trade partners and employees,” said Philips Chief Executive Officer Frans van Houten. “This joint venture leverages the strengths of both companies to improve the position of Philips Television in the market. It enables Philips to focus on expanding market leadership positions across our Healthcare, Consumer Lifestyle and Lighting sectors.”</w:t>
      </w:r>
    </w:p>
    <w:p w:rsidR="008C6289" w:rsidRDefault="008C6289" w:rsidP="008C6289"/>
    <w:p w:rsidR="008C6289" w:rsidRDefault="008C6289" w:rsidP="008C6289">
      <w:r>
        <w:t xml:space="preserve">“This partnership is an important step in realizing our growth ambitions in the TV space,” said TPV Chairman and Chief Executive Officer Jason </w:t>
      </w:r>
      <w:proofErr w:type="spellStart"/>
      <w:r>
        <w:t>Hsuan</w:t>
      </w:r>
      <w:proofErr w:type="spellEnd"/>
      <w:r>
        <w:t xml:space="preserve">. “The joint venture is an extension of our ongoing relationship with Philips for many years and we are confident that together we can become a major player in Television globally.” </w:t>
      </w:r>
    </w:p>
    <w:p w:rsidR="008C6289" w:rsidRDefault="008C6289" w:rsidP="008C6289"/>
    <w:p w:rsidR="008C6289" w:rsidRDefault="008C6289" w:rsidP="008C6289">
      <w:r>
        <w:t>The joint venture will be responsible for the design, manufacturing, distribution, marketing and sales of Philips’ Television worldwide, with the exception of mainland China, India, United States, Canada, Mexico and certain countries in South America. As part of this transaction, the Philips Television innovation and manufacturing sites, commercial organizations, headquarters and employee base of 3,500 will be transferred into the joint venture.</w:t>
      </w:r>
    </w:p>
    <w:p w:rsidR="008C6289" w:rsidRDefault="008C6289" w:rsidP="008C6289"/>
    <w:p w:rsidR="008C6289" w:rsidRPr="008C6289" w:rsidRDefault="008C6289" w:rsidP="008C6289">
      <w:pPr>
        <w:rPr>
          <w:rFonts w:cs="Arial"/>
          <w:u w:val="single"/>
        </w:rPr>
      </w:pPr>
      <w:r w:rsidRPr="008C6289">
        <w:rPr>
          <w:rFonts w:cs="Arial"/>
          <w:u w:val="single"/>
        </w:rPr>
        <w:t>Key Terms and Conditions of the Transaction</w:t>
      </w:r>
    </w:p>
    <w:p w:rsidR="008C6289" w:rsidRPr="008C6289" w:rsidRDefault="008C6289" w:rsidP="008C6289">
      <w:pPr>
        <w:pStyle w:val="ListParagraph"/>
        <w:numPr>
          <w:ilvl w:val="0"/>
          <w:numId w:val="3"/>
        </w:numPr>
        <w:spacing w:after="0" w:line="240" w:lineRule="auto"/>
        <w:rPr>
          <w:rFonts w:ascii="Arial" w:hAnsi="Arial" w:cs="Arial"/>
        </w:rPr>
      </w:pPr>
      <w:r w:rsidRPr="008C6289">
        <w:rPr>
          <w:rFonts w:ascii="Arial" w:hAnsi="Arial" w:cs="Arial"/>
        </w:rPr>
        <w:t xml:space="preserve">Philips will grant the joint venture the right to use the Philips brand for an initial term of five years with an automatic renewal for another five years, subject to the joint venture meeting certain key performance indicators. </w:t>
      </w:r>
    </w:p>
    <w:p w:rsidR="008C6289" w:rsidRPr="008C6289" w:rsidRDefault="008C6289" w:rsidP="008C6289">
      <w:pPr>
        <w:pStyle w:val="ListParagraph"/>
        <w:numPr>
          <w:ilvl w:val="0"/>
          <w:numId w:val="3"/>
        </w:numPr>
        <w:spacing w:after="0" w:line="240" w:lineRule="auto"/>
        <w:rPr>
          <w:rFonts w:ascii="Arial" w:hAnsi="Arial" w:cs="Arial"/>
        </w:rPr>
      </w:pPr>
      <w:r w:rsidRPr="008C6289">
        <w:rPr>
          <w:rFonts w:ascii="Arial" w:hAnsi="Arial" w:cs="Arial"/>
        </w:rPr>
        <w:t>As of the second year of the license term, the annual royalty payable will be 2.2% of sales with a minimum of EUR 50 million per year.</w:t>
      </w:r>
    </w:p>
    <w:p w:rsidR="008C6289" w:rsidRPr="008C6289" w:rsidRDefault="008C6289" w:rsidP="008C6289">
      <w:pPr>
        <w:pStyle w:val="ListParagraph"/>
        <w:numPr>
          <w:ilvl w:val="0"/>
          <w:numId w:val="3"/>
        </w:numPr>
        <w:spacing w:after="0" w:line="240" w:lineRule="auto"/>
        <w:rPr>
          <w:rFonts w:ascii="Arial" w:hAnsi="Arial" w:cs="Arial"/>
        </w:rPr>
      </w:pPr>
      <w:r w:rsidRPr="008C6289">
        <w:rPr>
          <w:rFonts w:ascii="Arial" w:hAnsi="Arial" w:cs="Arial"/>
        </w:rPr>
        <w:lastRenderedPageBreak/>
        <w:t>Upon completion of the transaction, TPV will obtain 70% of the shares in the joint venture for a deferred purchase price. This price will be calculated as 70% of an amount equal to four times the joint venture’s average annual EBIT. This right can be exercised at any time as of three years from the completion of the transaction. In addition, at any time after six years from completion, Philips has an option to sell the remaining 30% shareholding in the joint venture for a consideration calculated as 30% of the same formula.</w:t>
      </w:r>
    </w:p>
    <w:p w:rsidR="008C6289" w:rsidRPr="008C6289" w:rsidRDefault="008C6289" w:rsidP="008C6289">
      <w:pPr>
        <w:pStyle w:val="ListParagraph"/>
        <w:numPr>
          <w:ilvl w:val="0"/>
          <w:numId w:val="3"/>
        </w:numPr>
        <w:spacing w:after="0" w:line="240" w:lineRule="auto"/>
        <w:rPr>
          <w:rFonts w:ascii="Arial" w:hAnsi="Arial" w:cs="Arial"/>
        </w:rPr>
      </w:pPr>
      <w:r w:rsidRPr="008C6289">
        <w:rPr>
          <w:rFonts w:ascii="Arial" w:hAnsi="Arial" w:cs="Arial"/>
        </w:rPr>
        <w:t xml:space="preserve">Both shareholders will provide funding to the joint venture on a pro-rata basis. This consists of a EUR 100 million equity contribution and EUR 170 million subordinated shareholder loans. Depending on the funding need of the joint venture additional EUR 200 million senior shareholder loans can be made available. </w:t>
      </w:r>
    </w:p>
    <w:p w:rsidR="008C6289" w:rsidRPr="008C6289" w:rsidRDefault="008C6289" w:rsidP="008C6289">
      <w:pPr>
        <w:pStyle w:val="ListParagraph"/>
        <w:numPr>
          <w:ilvl w:val="0"/>
          <w:numId w:val="3"/>
        </w:numPr>
        <w:spacing w:after="0" w:line="240" w:lineRule="auto"/>
        <w:rPr>
          <w:rFonts w:ascii="Arial" w:hAnsi="Arial" w:cs="Arial"/>
          <w:strike/>
        </w:rPr>
      </w:pPr>
      <w:r w:rsidRPr="008C6289">
        <w:rPr>
          <w:rFonts w:ascii="Arial" w:hAnsi="Arial" w:cs="Arial"/>
        </w:rPr>
        <w:t>Given that pre-closing customer receivables will remain with Philips, Philips will provide a nine-month EUR 100 million senior bridge loan to the joint venture. Any potential extension beyond the nine months of this loan will be on a pro rata basis.</w:t>
      </w:r>
    </w:p>
    <w:p w:rsidR="008C6289" w:rsidRPr="008C6289" w:rsidRDefault="008C6289" w:rsidP="008C6289">
      <w:pPr>
        <w:pStyle w:val="ListParagraph"/>
        <w:numPr>
          <w:ilvl w:val="0"/>
          <w:numId w:val="3"/>
        </w:numPr>
        <w:spacing w:after="0" w:line="240" w:lineRule="auto"/>
        <w:rPr>
          <w:rFonts w:ascii="Arial" w:hAnsi="Arial" w:cs="Arial"/>
          <w:strike/>
          <w:sz w:val="20"/>
          <w:szCs w:val="20"/>
        </w:rPr>
      </w:pPr>
      <w:r w:rsidRPr="008C6289">
        <w:rPr>
          <w:rFonts w:ascii="Arial" w:hAnsi="Arial" w:cs="Arial"/>
        </w:rPr>
        <w:t xml:space="preserve">Philips will provide a EUR 100 million subordinated loan to TPV. </w:t>
      </w:r>
    </w:p>
    <w:p w:rsidR="008C6289" w:rsidRPr="008C6289" w:rsidRDefault="008C6289" w:rsidP="008C6289">
      <w:pPr>
        <w:pStyle w:val="ListParagraph"/>
        <w:numPr>
          <w:ilvl w:val="0"/>
          <w:numId w:val="3"/>
        </w:numPr>
        <w:spacing w:after="0" w:line="240" w:lineRule="auto"/>
        <w:rPr>
          <w:rFonts w:ascii="Arial" w:hAnsi="Arial" w:cs="Arial"/>
        </w:rPr>
      </w:pPr>
      <w:r w:rsidRPr="008C6289">
        <w:rPr>
          <w:rFonts w:ascii="Arial" w:hAnsi="Arial" w:cs="Arial"/>
        </w:rPr>
        <w:t>Within the first two years, Philips will provide EUR 185 million one-off advertising and promotion support for the TV business as an investment in the Philips brand. This amount is part of the deal result.</w:t>
      </w:r>
    </w:p>
    <w:p w:rsidR="008C6289" w:rsidRDefault="008C6289" w:rsidP="008C6289"/>
    <w:p w:rsidR="008C6289" w:rsidRDefault="008C6289" w:rsidP="008C6289">
      <w:r>
        <w:t xml:space="preserve">The process of disentangling the TV business from the rest of Consumer Lifestyle is progressing well and according to plan. </w:t>
      </w:r>
    </w:p>
    <w:p w:rsidR="008C6289" w:rsidRDefault="008C6289" w:rsidP="008C6289"/>
    <w:p w:rsidR="008C6289" w:rsidRPr="00A72E98" w:rsidRDefault="008C6289" w:rsidP="008C6289">
      <w:pPr>
        <w:rPr>
          <w:b/>
        </w:rPr>
      </w:pPr>
      <w:r w:rsidRPr="00A72E98">
        <w:rPr>
          <w:b/>
        </w:rPr>
        <w:t xml:space="preserve">For further information, please contact: </w:t>
      </w:r>
    </w:p>
    <w:p w:rsidR="008C6289" w:rsidRDefault="008C6289" w:rsidP="008C6289"/>
    <w:p w:rsidR="008C6289" w:rsidRDefault="008C6289" w:rsidP="008C6289">
      <w:r>
        <w:t>Philips Corporate Communications</w:t>
      </w:r>
    </w:p>
    <w:p w:rsidR="008C6289" w:rsidRDefault="008C6289" w:rsidP="008C6289">
      <w:r>
        <w:t>Joost Akkermans</w:t>
      </w:r>
    </w:p>
    <w:p w:rsidR="008C6289" w:rsidRDefault="008C6289" w:rsidP="008C6289">
      <w:r>
        <w:t>Tel: +31 631 758 996</w:t>
      </w:r>
    </w:p>
    <w:p w:rsidR="008C6289" w:rsidRDefault="008C6289" w:rsidP="008C6289">
      <w:r>
        <w:t xml:space="preserve">E-mail: </w:t>
      </w:r>
      <w:hyperlink r:id="rId8" w:history="1">
        <w:r>
          <w:rPr>
            <w:rStyle w:val="Hyperlink"/>
          </w:rPr>
          <w:t>joost.akkermans@philips.com</w:t>
        </w:r>
      </w:hyperlink>
    </w:p>
    <w:p w:rsidR="008C6289" w:rsidRDefault="008C6289" w:rsidP="00693954">
      <w:pPr>
        <w:spacing w:before="240" w:after="60"/>
        <w:rPr>
          <w:b/>
          <w:bCs/>
        </w:rPr>
      </w:pPr>
    </w:p>
    <w:p w:rsidR="005828CD" w:rsidRPr="00693954" w:rsidRDefault="006E6380" w:rsidP="008C6289">
      <w:pPr>
        <w:rPr>
          <w:b/>
          <w:bCs/>
        </w:rPr>
      </w:pPr>
      <w:r>
        <w:rPr>
          <w:b/>
          <w:bCs/>
        </w:rPr>
        <w:t>About Royal Philips Electronics</w:t>
      </w:r>
    </w:p>
    <w:p w:rsidR="004239E5" w:rsidRPr="004239E5" w:rsidRDefault="005828CD" w:rsidP="008C6289">
      <w:r w:rsidRPr="005828CD">
        <w:rPr>
          <w:rFonts w:cs="Arial"/>
          <w:color w:val="000000"/>
          <w:szCs w:val="26"/>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9" w:history="1">
        <w:r w:rsidRPr="00234CFD">
          <w:rPr>
            <w:rStyle w:val="Hyperlink"/>
            <w:rFonts w:cs="Arial"/>
            <w:szCs w:val="26"/>
          </w:rPr>
          <w:t>www.philips.com/newscenter</w:t>
        </w:r>
      </w:hyperlink>
      <w:r w:rsidRPr="005828CD">
        <w:rPr>
          <w:rFonts w:cs="Arial"/>
          <w:color w:val="000000"/>
          <w:szCs w:val="26"/>
        </w:rPr>
        <w:t>.</w:t>
      </w:r>
      <w:r>
        <w:rPr>
          <w:rFonts w:cs="Arial"/>
          <w:color w:val="000000"/>
          <w:szCs w:val="26"/>
        </w:rPr>
        <w:t xml:space="preserve"> </w:t>
      </w:r>
    </w:p>
    <w:p w:rsidR="008C6289" w:rsidRDefault="008C6289" w:rsidP="008C6289">
      <w:pPr>
        <w:pStyle w:val="Heading3"/>
        <w:spacing w:before="0" w:after="0"/>
      </w:pPr>
    </w:p>
    <w:p w:rsidR="003308EA" w:rsidRPr="004D6053" w:rsidRDefault="003308EA" w:rsidP="008C6289">
      <w:pPr>
        <w:pStyle w:val="Heading3"/>
        <w:spacing w:before="0" w:after="0"/>
      </w:pPr>
      <w:r w:rsidRPr="00E16E32">
        <w:t>Forward-looking statements</w:t>
      </w:r>
      <w:r w:rsidRPr="004D6053">
        <w:t xml:space="preserve"> </w:t>
      </w:r>
    </w:p>
    <w:p w:rsidR="003308EA" w:rsidRDefault="006E6380" w:rsidP="008C6289">
      <w:r w:rsidRPr="004D6053">
        <w:rPr>
          <w:rFonts w:cs="Arial"/>
          <w:szCs w:val="22"/>
        </w:rPr>
        <w:t xml:space="preserve">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w:t>
      </w:r>
      <w:r w:rsidRPr="004D6053">
        <w:rPr>
          <w:rFonts w:cs="Arial"/>
          <w:szCs w:val="22"/>
        </w:rPr>
        <w:lastRenderedPageBreak/>
        <w:t>actual results and developments to differ materially from those expressed or implied by these forward-looking statements.</w:t>
      </w:r>
      <w:r w:rsidR="00F11E93">
        <w:t xml:space="preserve"> </w:t>
      </w:r>
    </w:p>
    <w:p w:rsidR="00F11E93" w:rsidRDefault="00F11E93" w:rsidP="008C6289">
      <w:pPr>
        <w:rPr>
          <w:rFonts w:cs="Arial"/>
          <w:szCs w:val="22"/>
        </w:rPr>
      </w:pPr>
    </w:p>
    <w:sectPr w:rsidR="00F11E93" w:rsidSect="007F1D1D">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78B" w:rsidRDefault="000C178B">
      <w:r>
        <w:separator/>
      </w:r>
    </w:p>
  </w:endnote>
  <w:endnote w:type="continuationSeparator" w:id="0">
    <w:p w:rsidR="000C178B" w:rsidRDefault="000C17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866" w:rsidRDefault="003F0A42" w:rsidP="006C4BDE">
    <w:pPr>
      <w:pStyle w:val="Footer"/>
      <w:framePr w:wrap="around" w:vAnchor="text" w:hAnchor="margin" w:xAlign="center" w:y="1"/>
      <w:rPr>
        <w:rStyle w:val="PageNumber"/>
      </w:rPr>
    </w:pPr>
    <w:r>
      <w:rPr>
        <w:rStyle w:val="PageNumber"/>
      </w:rPr>
      <w:fldChar w:fldCharType="begin"/>
    </w:r>
    <w:r w:rsidR="00EC1866">
      <w:rPr>
        <w:rStyle w:val="PageNumber"/>
      </w:rPr>
      <w:instrText xml:space="preserve">PAGE  </w:instrText>
    </w:r>
    <w:r>
      <w:rPr>
        <w:rStyle w:val="PageNumber"/>
      </w:rPr>
      <w:fldChar w:fldCharType="end"/>
    </w:r>
  </w:p>
  <w:p w:rsidR="00EC1866" w:rsidRDefault="00EC18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866" w:rsidRPr="008912B1" w:rsidRDefault="003F0A42"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EC1866" w:rsidRPr="008912B1">
      <w:rPr>
        <w:rStyle w:val="PageNumber"/>
        <w:sz w:val="20"/>
        <w:szCs w:val="20"/>
      </w:rPr>
      <w:instrText xml:space="preserve">PAGE  </w:instrText>
    </w:r>
    <w:r w:rsidRPr="008912B1">
      <w:rPr>
        <w:rStyle w:val="PageNumber"/>
        <w:sz w:val="20"/>
        <w:szCs w:val="20"/>
      </w:rPr>
      <w:fldChar w:fldCharType="separate"/>
    </w:r>
    <w:r w:rsidR="00A72E98">
      <w:rPr>
        <w:rStyle w:val="PageNumber"/>
        <w:noProof/>
        <w:sz w:val="20"/>
        <w:szCs w:val="20"/>
      </w:rPr>
      <w:t>1</w:t>
    </w:r>
    <w:r w:rsidRPr="008912B1">
      <w:rPr>
        <w:rStyle w:val="PageNumber"/>
        <w:sz w:val="20"/>
        <w:szCs w:val="20"/>
      </w:rPr>
      <w:fldChar w:fldCharType="end"/>
    </w:r>
    <w:r w:rsidR="00EC1866" w:rsidRPr="008912B1">
      <w:rPr>
        <w:rStyle w:val="PageNumber"/>
        <w:sz w:val="20"/>
        <w:szCs w:val="20"/>
      </w:rPr>
      <w:t xml:space="preserve"> of </w:t>
    </w:r>
    <w:r w:rsidRPr="008912B1">
      <w:rPr>
        <w:rStyle w:val="PageNumber"/>
        <w:sz w:val="20"/>
        <w:szCs w:val="20"/>
      </w:rPr>
      <w:fldChar w:fldCharType="begin"/>
    </w:r>
    <w:r w:rsidR="00EC1866" w:rsidRPr="008912B1">
      <w:rPr>
        <w:rStyle w:val="PageNumber"/>
        <w:sz w:val="20"/>
        <w:szCs w:val="20"/>
      </w:rPr>
      <w:instrText xml:space="preserve"> NUMPAGES </w:instrText>
    </w:r>
    <w:r w:rsidRPr="008912B1">
      <w:rPr>
        <w:rStyle w:val="PageNumber"/>
        <w:sz w:val="20"/>
        <w:szCs w:val="20"/>
      </w:rPr>
      <w:fldChar w:fldCharType="separate"/>
    </w:r>
    <w:r w:rsidR="00A72E98">
      <w:rPr>
        <w:rStyle w:val="PageNumber"/>
        <w:noProof/>
        <w:sz w:val="20"/>
        <w:szCs w:val="20"/>
      </w:rPr>
      <w:t>3</w:t>
    </w:r>
    <w:r w:rsidRPr="008912B1">
      <w:rPr>
        <w:rStyle w:val="PageNumber"/>
        <w:sz w:val="20"/>
        <w:szCs w:val="20"/>
      </w:rPr>
      <w:fldChar w:fldCharType="end"/>
    </w:r>
  </w:p>
  <w:p w:rsidR="00EC1866" w:rsidRPr="008912B1" w:rsidRDefault="00EC1866"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78B" w:rsidRDefault="000C178B">
      <w:r>
        <w:separator/>
      </w:r>
    </w:p>
  </w:footnote>
  <w:footnote w:type="continuationSeparator" w:id="0">
    <w:p w:rsidR="000C178B" w:rsidRDefault="000C1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CC2"/>
    <w:multiLevelType w:val="hybridMultilevel"/>
    <w:tmpl w:val="B39CD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016E4B"/>
    <w:multiLevelType w:val="hybridMultilevel"/>
    <w:tmpl w:val="EA4AE166"/>
    <w:lvl w:ilvl="0" w:tplc="9F947374">
      <w:start w:val="1"/>
      <w:numFmt w:val="bullet"/>
      <w:lvlText w:val="•"/>
      <w:lvlJc w:val="left"/>
      <w:pPr>
        <w:tabs>
          <w:tab w:val="num" w:pos="720"/>
        </w:tabs>
        <w:ind w:left="720" w:hanging="360"/>
      </w:pPr>
      <w:rPr>
        <w:rFonts w:ascii="Arial" w:hAnsi="Arial" w:hint="default"/>
      </w:rPr>
    </w:lvl>
    <w:lvl w:ilvl="1" w:tplc="A2480DDC" w:tentative="1">
      <w:start w:val="1"/>
      <w:numFmt w:val="bullet"/>
      <w:lvlText w:val="•"/>
      <w:lvlJc w:val="left"/>
      <w:pPr>
        <w:tabs>
          <w:tab w:val="num" w:pos="1440"/>
        </w:tabs>
        <w:ind w:left="1440" w:hanging="360"/>
      </w:pPr>
      <w:rPr>
        <w:rFonts w:ascii="Arial" w:hAnsi="Arial" w:hint="default"/>
      </w:rPr>
    </w:lvl>
    <w:lvl w:ilvl="2" w:tplc="25429F50" w:tentative="1">
      <w:start w:val="1"/>
      <w:numFmt w:val="bullet"/>
      <w:lvlText w:val="•"/>
      <w:lvlJc w:val="left"/>
      <w:pPr>
        <w:tabs>
          <w:tab w:val="num" w:pos="2160"/>
        </w:tabs>
        <w:ind w:left="2160" w:hanging="360"/>
      </w:pPr>
      <w:rPr>
        <w:rFonts w:ascii="Arial" w:hAnsi="Arial" w:hint="default"/>
      </w:rPr>
    </w:lvl>
    <w:lvl w:ilvl="3" w:tplc="3000F194">
      <w:start w:val="1"/>
      <w:numFmt w:val="bullet"/>
      <w:lvlText w:val="•"/>
      <w:lvlJc w:val="left"/>
      <w:pPr>
        <w:tabs>
          <w:tab w:val="num" w:pos="2880"/>
        </w:tabs>
        <w:ind w:left="2880" w:hanging="360"/>
      </w:pPr>
      <w:rPr>
        <w:rFonts w:ascii="Arial" w:hAnsi="Arial" w:hint="default"/>
      </w:rPr>
    </w:lvl>
    <w:lvl w:ilvl="4" w:tplc="3D52E66E" w:tentative="1">
      <w:start w:val="1"/>
      <w:numFmt w:val="bullet"/>
      <w:lvlText w:val="•"/>
      <w:lvlJc w:val="left"/>
      <w:pPr>
        <w:tabs>
          <w:tab w:val="num" w:pos="3600"/>
        </w:tabs>
        <w:ind w:left="3600" w:hanging="360"/>
      </w:pPr>
      <w:rPr>
        <w:rFonts w:ascii="Arial" w:hAnsi="Arial" w:hint="default"/>
      </w:rPr>
    </w:lvl>
    <w:lvl w:ilvl="5" w:tplc="8DCC36D6" w:tentative="1">
      <w:start w:val="1"/>
      <w:numFmt w:val="bullet"/>
      <w:lvlText w:val="•"/>
      <w:lvlJc w:val="left"/>
      <w:pPr>
        <w:tabs>
          <w:tab w:val="num" w:pos="4320"/>
        </w:tabs>
        <w:ind w:left="4320" w:hanging="360"/>
      </w:pPr>
      <w:rPr>
        <w:rFonts w:ascii="Arial" w:hAnsi="Arial" w:hint="default"/>
      </w:rPr>
    </w:lvl>
    <w:lvl w:ilvl="6" w:tplc="2940F4AC" w:tentative="1">
      <w:start w:val="1"/>
      <w:numFmt w:val="bullet"/>
      <w:lvlText w:val="•"/>
      <w:lvlJc w:val="left"/>
      <w:pPr>
        <w:tabs>
          <w:tab w:val="num" w:pos="5040"/>
        </w:tabs>
        <w:ind w:left="5040" w:hanging="360"/>
      </w:pPr>
      <w:rPr>
        <w:rFonts w:ascii="Arial" w:hAnsi="Arial" w:hint="default"/>
      </w:rPr>
    </w:lvl>
    <w:lvl w:ilvl="7" w:tplc="2F2408D6" w:tentative="1">
      <w:start w:val="1"/>
      <w:numFmt w:val="bullet"/>
      <w:lvlText w:val="•"/>
      <w:lvlJc w:val="left"/>
      <w:pPr>
        <w:tabs>
          <w:tab w:val="num" w:pos="5760"/>
        </w:tabs>
        <w:ind w:left="5760" w:hanging="360"/>
      </w:pPr>
      <w:rPr>
        <w:rFonts w:ascii="Arial" w:hAnsi="Arial" w:hint="default"/>
      </w:rPr>
    </w:lvl>
    <w:lvl w:ilvl="8" w:tplc="6676144E" w:tentative="1">
      <w:start w:val="1"/>
      <w:numFmt w:val="bullet"/>
      <w:lvlText w:val="•"/>
      <w:lvlJc w:val="left"/>
      <w:pPr>
        <w:tabs>
          <w:tab w:val="num" w:pos="6480"/>
        </w:tabs>
        <w:ind w:left="6480" w:hanging="360"/>
      </w:pPr>
      <w:rPr>
        <w:rFonts w:ascii="Arial" w:hAnsi="Arial" w:hint="default"/>
      </w:rPr>
    </w:lvl>
  </w:abstractNum>
  <w:abstractNum w:abstractNumId="2">
    <w:nsid w:val="76A32AA2"/>
    <w:multiLevelType w:val="hybridMultilevel"/>
    <w:tmpl w:val="97E843F0"/>
    <w:lvl w:ilvl="0" w:tplc="D0AE494A">
      <w:start w:val="1"/>
      <w:numFmt w:val="bullet"/>
      <w:lvlText w:val="•"/>
      <w:lvlJc w:val="left"/>
      <w:pPr>
        <w:tabs>
          <w:tab w:val="num" w:pos="720"/>
        </w:tabs>
        <w:ind w:left="720" w:hanging="360"/>
      </w:pPr>
      <w:rPr>
        <w:rFonts w:ascii="Arial" w:hAnsi="Arial" w:hint="default"/>
      </w:rPr>
    </w:lvl>
    <w:lvl w:ilvl="1" w:tplc="FD101124" w:tentative="1">
      <w:start w:val="1"/>
      <w:numFmt w:val="bullet"/>
      <w:lvlText w:val="•"/>
      <w:lvlJc w:val="left"/>
      <w:pPr>
        <w:tabs>
          <w:tab w:val="num" w:pos="1440"/>
        </w:tabs>
        <w:ind w:left="1440" w:hanging="360"/>
      </w:pPr>
      <w:rPr>
        <w:rFonts w:ascii="Arial" w:hAnsi="Arial" w:hint="default"/>
      </w:rPr>
    </w:lvl>
    <w:lvl w:ilvl="2" w:tplc="E0BC4C2E" w:tentative="1">
      <w:start w:val="1"/>
      <w:numFmt w:val="bullet"/>
      <w:lvlText w:val="•"/>
      <w:lvlJc w:val="left"/>
      <w:pPr>
        <w:tabs>
          <w:tab w:val="num" w:pos="2160"/>
        </w:tabs>
        <w:ind w:left="2160" w:hanging="360"/>
      </w:pPr>
      <w:rPr>
        <w:rFonts w:ascii="Arial" w:hAnsi="Arial" w:hint="default"/>
      </w:rPr>
    </w:lvl>
    <w:lvl w:ilvl="3" w:tplc="13A4FD24">
      <w:start w:val="1"/>
      <w:numFmt w:val="bullet"/>
      <w:lvlText w:val="•"/>
      <w:lvlJc w:val="left"/>
      <w:pPr>
        <w:tabs>
          <w:tab w:val="num" w:pos="2880"/>
        </w:tabs>
        <w:ind w:left="2880" w:hanging="360"/>
      </w:pPr>
      <w:rPr>
        <w:rFonts w:ascii="Arial" w:hAnsi="Arial" w:hint="default"/>
      </w:rPr>
    </w:lvl>
    <w:lvl w:ilvl="4" w:tplc="003071AA" w:tentative="1">
      <w:start w:val="1"/>
      <w:numFmt w:val="bullet"/>
      <w:lvlText w:val="•"/>
      <w:lvlJc w:val="left"/>
      <w:pPr>
        <w:tabs>
          <w:tab w:val="num" w:pos="3600"/>
        </w:tabs>
        <w:ind w:left="3600" w:hanging="360"/>
      </w:pPr>
      <w:rPr>
        <w:rFonts w:ascii="Arial" w:hAnsi="Arial" w:hint="default"/>
      </w:rPr>
    </w:lvl>
    <w:lvl w:ilvl="5" w:tplc="292842CE" w:tentative="1">
      <w:start w:val="1"/>
      <w:numFmt w:val="bullet"/>
      <w:lvlText w:val="•"/>
      <w:lvlJc w:val="left"/>
      <w:pPr>
        <w:tabs>
          <w:tab w:val="num" w:pos="4320"/>
        </w:tabs>
        <w:ind w:left="4320" w:hanging="360"/>
      </w:pPr>
      <w:rPr>
        <w:rFonts w:ascii="Arial" w:hAnsi="Arial" w:hint="default"/>
      </w:rPr>
    </w:lvl>
    <w:lvl w:ilvl="6" w:tplc="5184876C" w:tentative="1">
      <w:start w:val="1"/>
      <w:numFmt w:val="bullet"/>
      <w:lvlText w:val="•"/>
      <w:lvlJc w:val="left"/>
      <w:pPr>
        <w:tabs>
          <w:tab w:val="num" w:pos="5040"/>
        </w:tabs>
        <w:ind w:left="5040" w:hanging="360"/>
      </w:pPr>
      <w:rPr>
        <w:rFonts w:ascii="Arial" w:hAnsi="Arial" w:hint="default"/>
      </w:rPr>
    </w:lvl>
    <w:lvl w:ilvl="7" w:tplc="B6BA7BCE" w:tentative="1">
      <w:start w:val="1"/>
      <w:numFmt w:val="bullet"/>
      <w:lvlText w:val="•"/>
      <w:lvlJc w:val="left"/>
      <w:pPr>
        <w:tabs>
          <w:tab w:val="num" w:pos="5760"/>
        </w:tabs>
        <w:ind w:left="5760" w:hanging="360"/>
      </w:pPr>
      <w:rPr>
        <w:rFonts w:ascii="Arial" w:hAnsi="Arial" w:hint="default"/>
      </w:rPr>
    </w:lvl>
    <w:lvl w:ilvl="8" w:tplc="2F22A1A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0488C"/>
    <w:rsid w:val="00072C55"/>
    <w:rsid w:val="00072DB9"/>
    <w:rsid w:val="00081B9C"/>
    <w:rsid w:val="00084358"/>
    <w:rsid w:val="00094D36"/>
    <w:rsid w:val="000C178B"/>
    <w:rsid w:val="000D5BA7"/>
    <w:rsid w:val="000D7CA3"/>
    <w:rsid w:val="00103A9D"/>
    <w:rsid w:val="001465F1"/>
    <w:rsid w:val="00155374"/>
    <w:rsid w:val="001D7713"/>
    <w:rsid w:val="001E75B3"/>
    <w:rsid w:val="002002A6"/>
    <w:rsid w:val="0022489E"/>
    <w:rsid w:val="00226D6D"/>
    <w:rsid w:val="002366F7"/>
    <w:rsid w:val="00251FF8"/>
    <w:rsid w:val="002A5101"/>
    <w:rsid w:val="002C67E1"/>
    <w:rsid w:val="003308EA"/>
    <w:rsid w:val="0033269F"/>
    <w:rsid w:val="0033348D"/>
    <w:rsid w:val="00396023"/>
    <w:rsid w:val="003B5B07"/>
    <w:rsid w:val="003E650C"/>
    <w:rsid w:val="003F0A42"/>
    <w:rsid w:val="004239E5"/>
    <w:rsid w:val="00443A67"/>
    <w:rsid w:val="004C1464"/>
    <w:rsid w:val="004C6E4C"/>
    <w:rsid w:val="004D5B89"/>
    <w:rsid w:val="004F020C"/>
    <w:rsid w:val="005012F8"/>
    <w:rsid w:val="00556505"/>
    <w:rsid w:val="005828CD"/>
    <w:rsid w:val="005917E9"/>
    <w:rsid w:val="00594985"/>
    <w:rsid w:val="00597AD3"/>
    <w:rsid w:val="00606426"/>
    <w:rsid w:val="0061477D"/>
    <w:rsid w:val="00621E10"/>
    <w:rsid w:val="0064195D"/>
    <w:rsid w:val="00645516"/>
    <w:rsid w:val="006602D1"/>
    <w:rsid w:val="00693954"/>
    <w:rsid w:val="006A712F"/>
    <w:rsid w:val="006B02F9"/>
    <w:rsid w:val="006C4BDE"/>
    <w:rsid w:val="006E6380"/>
    <w:rsid w:val="0071132A"/>
    <w:rsid w:val="00714A8F"/>
    <w:rsid w:val="00732243"/>
    <w:rsid w:val="00775BCB"/>
    <w:rsid w:val="00795B36"/>
    <w:rsid w:val="007975BF"/>
    <w:rsid w:val="007A6C61"/>
    <w:rsid w:val="007C6E24"/>
    <w:rsid w:val="007D03D5"/>
    <w:rsid w:val="007E516C"/>
    <w:rsid w:val="007F1D1D"/>
    <w:rsid w:val="008267CA"/>
    <w:rsid w:val="00874C23"/>
    <w:rsid w:val="00881185"/>
    <w:rsid w:val="008912B1"/>
    <w:rsid w:val="00892324"/>
    <w:rsid w:val="008A0F00"/>
    <w:rsid w:val="008A3189"/>
    <w:rsid w:val="008C6289"/>
    <w:rsid w:val="008D3A3A"/>
    <w:rsid w:val="008D4B44"/>
    <w:rsid w:val="008E2DE3"/>
    <w:rsid w:val="00915E0C"/>
    <w:rsid w:val="009422BE"/>
    <w:rsid w:val="009E726D"/>
    <w:rsid w:val="00A201C9"/>
    <w:rsid w:val="00A23BDE"/>
    <w:rsid w:val="00A523B2"/>
    <w:rsid w:val="00A55819"/>
    <w:rsid w:val="00A72E98"/>
    <w:rsid w:val="00AA31DA"/>
    <w:rsid w:val="00AF2530"/>
    <w:rsid w:val="00B346AF"/>
    <w:rsid w:val="00B40C05"/>
    <w:rsid w:val="00B41C45"/>
    <w:rsid w:val="00B60F5A"/>
    <w:rsid w:val="00B85588"/>
    <w:rsid w:val="00BA5044"/>
    <w:rsid w:val="00BD2F99"/>
    <w:rsid w:val="00BE3687"/>
    <w:rsid w:val="00BE38C7"/>
    <w:rsid w:val="00C002C4"/>
    <w:rsid w:val="00C64B10"/>
    <w:rsid w:val="00C70578"/>
    <w:rsid w:val="00C87C04"/>
    <w:rsid w:val="00C93E86"/>
    <w:rsid w:val="00CB3B7D"/>
    <w:rsid w:val="00CD0AC7"/>
    <w:rsid w:val="00D05CBF"/>
    <w:rsid w:val="00D35F41"/>
    <w:rsid w:val="00D52292"/>
    <w:rsid w:val="00D60D30"/>
    <w:rsid w:val="00D67C30"/>
    <w:rsid w:val="00D717AE"/>
    <w:rsid w:val="00DE078F"/>
    <w:rsid w:val="00DE7263"/>
    <w:rsid w:val="00DF3D04"/>
    <w:rsid w:val="00E16E32"/>
    <w:rsid w:val="00E248D1"/>
    <w:rsid w:val="00E4397C"/>
    <w:rsid w:val="00E80072"/>
    <w:rsid w:val="00E8090F"/>
    <w:rsid w:val="00E86A34"/>
    <w:rsid w:val="00EC1866"/>
    <w:rsid w:val="00ED4335"/>
    <w:rsid w:val="00EE5FFE"/>
    <w:rsid w:val="00F11E93"/>
    <w:rsid w:val="00F30816"/>
    <w:rsid w:val="00F458BF"/>
    <w:rsid w:val="00FD6791"/>
    <w:rsid w:val="00FE6527"/>
    <w:rsid w:val="00FF1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paragraph" w:styleId="ListParagraph">
    <w:name w:val="List Paragraph"/>
    <w:basedOn w:val="Normal"/>
    <w:link w:val="ListParagraphChar"/>
    <w:qFormat/>
    <w:rsid w:val="00775BCB"/>
    <w:pPr>
      <w:spacing w:after="200" w:line="276" w:lineRule="auto"/>
      <w:ind w:left="720"/>
    </w:pPr>
    <w:rPr>
      <w:rFonts w:ascii="Calibri" w:eastAsiaTheme="minorHAnsi" w:hAnsi="Calibri"/>
      <w:szCs w:val="22"/>
    </w:rPr>
  </w:style>
  <w:style w:type="paragraph" w:styleId="PlainText">
    <w:name w:val="Plain Text"/>
    <w:basedOn w:val="Normal"/>
    <w:link w:val="PlainTextChar"/>
    <w:uiPriority w:val="99"/>
    <w:unhideWhenUsed/>
    <w:rsid w:val="00D5229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52292"/>
    <w:rPr>
      <w:rFonts w:ascii="Consolas" w:eastAsiaTheme="minorHAnsi" w:hAnsi="Consolas" w:cstheme="minorBidi"/>
      <w:sz w:val="21"/>
      <w:szCs w:val="21"/>
    </w:rPr>
  </w:style>
  <w:style w:type="character" w:styleId="FollowedHyperlink">
    <w:name w:val="FollowedHyperlink"/>
    <w:basedOn w:val="DefaultParagraphFont"/>
    <w:rsid w:val="00D67C30"/>
    <w:rPr>
      <w:color w:val="800080" w:themeColor="followedHyperlink"/>
      <w:u w:val="single"/>
    </w:rPr>
  </w:style>
  <w:style w:type="character" w:customStyle="1" w:styleId="ListParagraphChar">
    <w:name w:val="List Paragraph Char"/>
    <w:basedOn w:val="DefaultParagraphFont"/>
    <w:link w:val="ListParagraph"/>
    <w:locked/>
    <w:rsid w:val="008C6289"/>
    <w:rPr>
      <w:rFonts w:ascii="Calibri" w:eastAsiaTheme="minorHAnsi" w:hAnsi="Calibri"/>
      <w:sz w:val="22"/>
      <w:szCs w:val="22"/>
    </w:rPr>
  </w:style>
  <w:style w:type="paragraph" w:customStyle="1" w:styleId="default">
    <w:name w:val="default"/>
    <w:basedOn w:val="Normal"/>
    <w:rsid w:val="008C6289"/>
    <w:pPr>
      <w:spacing w:before="100" w:beforeAutospacing="1" w:after="100" w:afterAutospacing="1"/>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w:divs>
    <w:div w:id="464548677">
      <w:bodyDiv w:val="1"/>
      <w:marLeft w:val="0"/>
      <w:marRight w:val="0"/>
      <w:marTop w:val="0"/>
      <w:marBottom w:val="0"/>
      <w:divBdr>
        <w:top w:val="none" w:sz="0" w:space="0" w:color="auto"/>
        <w:left w:val="none" w:sz="0" w:space="0" w:color="auto"/>
        <w:bottom w:val="none" w:sz="0" w:space="0" w:color="auto"/>
        <w:right w:val="none" w:sz="0" w:space="0" w:color="auto"/>
      </w:divBdr>
    </w:div>
    <w:div w:id="1078404675">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28013198">
      <w:bodyDiv w:val="1"/>
      <w:marLeft w:val="0"/>
      <w:marRight w:val="0"/>
      <w:marTop w:val="0"/>
      <w:marBottom w:val="0"/>
      <w:divBdr>
        <w:top w:val="none" w:sz="0" w:space="0" w:color="auto"/>
        <w:left w:val="none" w:sz="0" w:space="0" w:color="auto"/>
        <w:bottom w:val="none" w:sz="0" w:space="0" w:color="auto"/>
        <w:right w:val="none" w:sz="0" w:space="0" w:color="auto"/>
      </w:divBdr>
    </w:div>
    <w:div w:id="1636250235">
      <w:bodyDiv w:val="1"/>
      <w:marLeft w:val="0"/>
      <w:marRight w:val="0"/>
      <w:marTop w:val="0"/>
      <w:marBottom w:val="0"/>
      <w:divBdr>
        <w:top w:val="none" w:sz="0" w:space="0" w:color="auto"/>
        <w:left w:val="none" w:sz="0" w:space="0" w:color="auto"/>
        <w:bottom w:val="none" w:sz="0" w:space="0" w:color="auto"/>
        <w:right w:val="none" w:sz="0" w:space="0" w:color="auto"/>
      </w:divBdr>
    </w:div>
    <w:div w:id="1808473216">
      <w:bodyDiv w:val="1"/>
      <w:marLeft w:val="0"/>
      <w:marRight w:val="0"/>
      <w:marTop w:val="0"/>
      <w:marBottom w:val="0"/>
      <w:divBdr>
        <w:top w:val="none" w:sz="0" w:space="0" w:color="auto"/>
        <w:left w:val="none" w:sz="0" w:space="0" w:color="auto"/>
        <w:bottom w:val="none" w:sz="0" w:space="0" w:color="auto"/>
        <w:right w:val="none" w:sz="0" w:space="0" w:color="auto"/>
      </w:divBdr>
    </w:div>
    <w:div w:id="1932353040">
      <w:bodyDiv w:val="1"/>
      <w:marLeft w:val="0"/>
      <w:marRight w:val="0"/>
      <w:marTop w:val="0"/>
      <w:marBottom w:val="0"/>
      <w:divBdr>
        <w:top w:val="none" w:sz="0" w:space="0" w:color="auto"/>
        <w:left w:val="none" w:sz="0" w:space="0" w:color="auto"/>
        <w:bottom w:val="none" w:sz="0" w:space="0" w:color="auto"/>
        <w:right w:val="none" w:sz="0" w:space="0" w:color="auto"/>
      </w:divBdr>
      <w:divsChild>
        <w:div w:id="697243261">
          <w:marLeft w:val="144"/>
          <w:marRight w:val="0"/>
          <w:marTop w:val="0"/>
          <w:marBottom w:val="0"/>
          <w:divBdr>
            <w:top w:val="none" w:sz="0" w:space="0" w:color="auto"/>
            <w:left w:val="none" w:sz="0" w:space="0" w:color="auto"/>
            <w:bottom w:val="none" w:sz="0" w:space="0" w:color="auto"/>
            <w:right w:val="none" w:sz="0" w:space="0" w:color="auto"/>
          </w:divBdr>
        </w:div>
        <w:div w:id="1501703237">
          <w:marLeft w:val="144"/>
          <w:marRight w:val="0"/>
          <w:marTop w:val="0"/>
          <w:marBottom w:val="0"/>
          <w:divBdr>
            <w:top w:val="none" w:sz="0" w:space="0" w:color="auto"/>
            <w:left w:val="none" w:sz="0" w:space="0" w:color="auto"/>
            <w:bottom w:val="none" w:sz="0" w:space="0" w:color="auto"/>
            <w:right w:val="none" w:sz="0" w:space="0" w:color="auto"/>
          </w:divBdr>
        </w:div>
        <w:div w:id="1575776517">
          <w:marLeft w:val="144"/>
          <w:marRight w:val="0"/>
          <w:marTop w:val="0"/>
          <w:marBottom w:val="0"/>
          <w:divBdr>
            <w:top w:val="none" w:sz="0" w:space="0" w:color="auto"/>
            <w:left w:val="none" w:sz="0" w:space="0" w:color="auto"/>
            <w:bottom w:val="none" w:sz="0" w:space="0" w:color="auto"/>
            <w:right w:val="none" w:sz="0" w:space="0" w:color="auto"/>
          </w:divBdr>
        </w:div>
        <w:div w:id="1800030580">
          <w:marLeft w:val="144"/>
          <w:marRight w:val="0"/>
          <w:marTop w:val="0"/>
          <w:marBottom w:val="0"/>
          <w:divBdr>
            <w:top w:val="none" w:sz="0" w:space="0" w:color="auto"/>
            <w:left w:val="none" w:sz="0" w:space="0" w:color="auto"/>
            <w:bottom w:val="none" w:sz="0" w:space="0" w:color="auto"/>
            <w:right w:val="none" w:sz="0" w:space="0" w:color="auto"/>
          </w:divBdr>
        </w:div>
        <w:div w:id="341205936">
          <w:marLeft w:val="144"/>
          <w:marRight w:val="0"/>
          <w:marTop w:val="0"/>
          <w:marBottom w:val="0"/>
          <w:divBdr>
            <w:top w:val="none" w:sz="0" w:space="0" w:color="auto"/>
            <w:left w:val="none" w:sz="0" w:space="0" w:color="auto"/>
            <w:bottom w:val="none" w:sz="0" w:space="0" w:color="auto"/>
            <w:right w:val="none" w:sz="0" w:space="0" w:color="auto"/>
          </w:divBdr>
        </w:div>
        <w:div w:id="1823690293">
          <w:marLeft w:val="144"/>
          <w:marRight w:val="0"/>
          <w:marTop w:val="0"/>
          <w:marBottom w:val="0"/>
          <w:divBdr>
            <w:top w:val="none" w:sz="0" w:space="0" w:color="auto"/>
            <w:left w:val="none" w:sz="0" w:space="0" w:color="auto"/>
            <w:bottom w:val="none" w:sz="0" w:space="0" w:color="auto"/>
            <w:right w:val="none" w:sz="0" w:space="0" w:color="auto"/>
          </w:divBdr>
        </w:div>
        <w:div w:id="1478759305">
          <w:marLeft w:val="144"/>
          <w:marRight w:val="0"/>
          <w:marTop w:val="0"/>
          <w:marBottom w:val="0"/>
          <w:divBdr>
            <w:top w:val="none" w:sz="0" w:space="0" w:color="auto"/>
            <w:left w:val="none" w:sz="0" w:space="0" w:color="auto"/>
            <w:bottom w:val="none" w:sz="0" w:space="0" w:color="auto"/>
            <w:right w:val="none" w:sz="0" w:space="0" w:color="auto"/>
          </w:divBdr>
        </w:div>
        <w:div w:id="113059575">
          <w:marLeft w:val="144"/>
          <w:marRight w:val="0"/>
          <w:marTop w:val="0"/>
          <w:marBottom w:val="0"/>
          <w:divBdr>
            <w:top w:val="none" w:sz="0" w:space="0" w:color="auto"/>
            <w:left w:val="none" w:sz="0" w:space="0" w:color="auto"/>
            <w:bottom w:val="none" w:sz="0" w:space="0" w:color="auto"/>
            <w:right w:val="none" w:sz="0" w:space="0" w:color="auto"/>
          </w:divBdr>
        </w:div>
      </w:divsChild>
    </w:div>
    <w:div w:id="2040934036">
      <w:bodyDiv w:val="1"/>
      <w:marLeft w:val="0"/>
      <w:marRight w:val="0"/>
      <w:marTop w:val="0"/>
      <w:marBottom w:val="0"/>
      <w:divBdr>
        <w:top w:val="none" w:sz="0" w:space="0" w:color="auto"/>
        <w:left w:val="none" w:sz="0" w:space="0" w:color="auto"/>
        <w:bottom w:val="none" w:sz="0" w:space="0" w:color="auto"/>
        <w:right w:val="none" w:sz="0" w:space="0" w:color="auto"/>
      </w:divBdr>
      <w:divsChild>
        <w:div w:id="712927333">
          <w:marLeft w:val="144"/>
          <w:marRight w:val="0"/>
          <w:marTop w:val="0"/>
          <w:marBottom w:val="0"/>
          <w:divBdr>
            <w:top w:val="none" w:sz="0" w:space="0" w:color="auto"/>
            <w:left w:val="none" w:sz="0" w:space="0" w:color="auto"/>
            <w:bottom w:val="none" w:sz="0" w:space="0" w:color="auto"/>
            <w:right w:val="none" w:sz="0" w:space="0" w:color="auto"/>
          </w:divBdr>
        </w:div>
        <w:div w:id="2145349489">
          <w:marLeft w:val="144"/>
          <w:marRight w:val="0"/>
          <w:marTop w:val="0"/>
          <w:marBottom w:val="0"/>
          <w:divBdr>
            <w:top w:val="none" w:sz="0" w:space="0" w:color="auto"/>
            <w:left w:val="none" w:sz="0" w:space="0" w:color="auto"/>
            <w:bottom w:val="none" w:sz="0" w:space="0" w:color="auto"/>
            <w:right w:val="none" w:sz="0" w:space="0" w:color="auto"/>
          </w:divBdr>
        </w:div>
        <w:div w:id="1717898360">
          <w:marLeft w:val="144"/>
          <w:marRight w:val="0"/>
          <w:marTop w:val="0"/>
          <w:marBottom w:val="0"/>
          <w:divBdr>
            <w:top w:val="none" w:sz="0" w:space="0" w:color="auto"/>
            <w:left w:val="none" w:sz="0" w:space="0" w:color="auto"/>
            <w:bottom w:val="none" w:sz="0" w:space="0" w:color="auto"/>
            <w:right w:val="none" w:sz="0" w:space="0" w:color="auto"/>
          </w:divBdr>
        </w:div>
        <w:div w:id="1799950099">
          <w:marLeft w:val="144"/>
          <w:marRight w:val="0"/>
          <w:marTop w:val="0"/>
          <w:marBottom w:val="0"/>
          <w:divBdr>
            <w:top w:val="none" w:sz="0" w:space="0" w:color="auto"/>
            <w:left w:val="none" w:sz="0" w:space="0" w:color="auto"/>
            <w:bottom w:val="none" w:sz="0" w:space="0" w:color="auto"/>
            <w:right w:val="none" w:sz="0" w:space="0" w:color="auto"/>
          </w:divBdr>
        </w:div>
        <w:div w:id="1161389301">
          <w:marLeft w:val="144"/>
          <w:marRight w:val="0"/>
          <w:marTop w:val="0"/>
          <w:marBottom w:val="0"/>
          <w:divBdr>
            <w:top w:val="none" w:sz="0" w:space="0" w:color="auto"/>
            <w:left w:val="none" w:sz="0" w:space="0" w:color="auto"/>
            <w:bottom w:val="none" w:sz="0" w:space="0" w:color="auto"/>
            <w:right w:val="none" w:sz="0" w:space="0" w:color="auto"/>
          </w:divBdr>
        </w:div>
        <w:div w:id="962658429">
          <w:marLeft w:val="144"/>
          <w:marRight w:val="0"/>
          <w:marTop w:val="0"/>
          <w:marBottom w:val="0"/>
          <w:divBdr>
            <w:top w:val="none" w:sz="0" w:space="0" w:color="auto"/>
            <w:left w:val="none" w:sz="0" w:space="0" w:color="auto"/>
            <w:bottom w:val="none" w:sz="0" w:space="0" w:color="auto"/>
            <w:right w:val="none" w:sz="0" w:space="0" w:color="auto"/>
          </w:divBdr>
        </w:div>
        <w:div w:id="871653338">
          <w:marLeft w:val="144"/>
          <w:marRight w:val="0"/>
          <w:marTop w:val="0"/>
          <w:marBottom w:val="0"/>
          <w:divBdr>
            <w:top w:val="none" w:sz="0" w:space="0" w:color="auto"/>
            <w:left w:val="none" w:sz="0" w:space="0" w:color="auto"/>
            <w:bottom w:val="none" w:sz="0" w:space="0" w:color="auto"/>
            <w:right w:val="none" w:sz="0" w:space="0" w:color="auto"/>
          </w:divBdr>
        </w:div>
        <w:div w:id="1565800898">
          <w:marLeft w:val="144"/>
          <w:marRight w:val="0"/>
          <w:marTop w:val="0"/>
          <w:marBottom w:val="0"/>
          <w:divBdr>
            <w:top w:val="none" w:sz="0" w:space="0" w:color="auto"/>
            <w:left w:val="none" w:sz="0" w:space="0" w:color="auto"/>
            <w:bottom w:val="none" w:sz="0" w:space="0" w:color="auto"/>
            <w:right w:val="none" w:sz="0" w:space="0" w:color="auto"/>
          </w:divBdr>
        </w:div>
        <w:div w:id="1646859899">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ost.akkermans@philip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909</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5961</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2</cp:revision>
  <cp:lastPrinted>2011-09-19T13:09:00Z</cp:lastPrinted>
  <dcterms:created xsi:type="dcterms:W3CDTF">2011-11-01T11:28:00Z</dcterms:created>
  <dcterms:modified xsi:type="dcterms:W3CDTF">2011-11-01T11:28:00Z</dcterms:modified>
</cp:coreProperties>
</file>