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22489E"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6"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520CBA" w:rsidRDefault="00520CBA" w:rsidP="008D4B44"/>
    <w:p w:rsidR="008D4B44" w:rsidRPr="00A201C9" w:rsidRDefault="008D4B44" w:rsidP="008D4B44">
      <w:pPr>
        <w:pStyle w:val="Heading1"/>
        <w:rPr>
          <w:color w:val="0B5ED7"/>
        </w:rPr>
      </w:pPr>
      <w:r w:rsidRPr="00A201C9">
        <w:rPr>
          <w:color w:val="0B5ED7"/>
        </w:rPr>
        <w:t>Press Information</w:t>
      </w:r>
    </w:p>
    <w:p w:rsidR="00ED5386" w:rsidRDefault="00ED5386" w:rsidP="00ED5386"/>
    <w:p w:rsidR="00ED5386" w:rsidRDefault="00ED5386" w:rsidP="00ED5386"/>
    <w:p w:rsidR="00ED5386" w:rsidRDefault="00BF21D0" w:rsidP="00A46105">
      <w:r>
        <w:t>June</w:t>
      </w:r>
      <w:r w:rsidR="006927E5">
        <w:t xml:space="preserve"> 1</w:t>
      </w:r>
      <w:r w:rsidR="00A46105">
        <w:t>8</w:t>
      </w:r>
      <w:r w:rsidR="00ED5386">
        <w:t>, 201</w:t>
      </w:r>
      <w:r>
        <w:t>2</w:t>
      </w:r>
    </w:p>
    <w:p w:rsidR="00ED5386" w:rsidRDefault="00ED5386" w:rsidP="00A46105">
      <w:pPr>
        <w:rPr>
          <w:sz w:val="24"/>
        </w:rPr>
      </w:pPr>
    </w:p>
    <w:p w:rsidR="00A46105" w:rsidRDefault="00A46105" w:rsidP="00A46105">
      <w:pPr>
        <w:rPr>
          <w:sz w:val="24"/>
        </w:rPr>
      </w:pPr>
    </w:p>
    <w:p w:rsidR="00A46105" w:rsidRPr="00A46105" w:rsidRDefault="00A46105" w:rsidP="00A46105">
      <w:pPr>
        <w:pStyle w:val="Heading2"/>
        <w:spacing w:before="0" w:after="0"/>
        <w:rPr>
          <w:szCs w:val="24"/>
        </w:rPr>
      </w:pPr>
      <w:r w:rsidRPr="00A46105">
        <w:rPr>
          <w:szCs w:val="24"/>
        </w:rPr>
        <w:t>Philips reclassified to the Industrial Goods &amp; Services Supersector by FTSE Group’s ICB </w:t>
      </w:r>
    </w:p>
    <w:p w:rsidR="00A46105" w:rsidRPr="00A46105" w:rsidRDefault="00A46105" w:rsidP="00A46105">
      <w:pPr>
        <w:rPr>
          <w:rFonts w:eastAsiaTheme="minorHAnsi" w:cs="Arial"/>
        </w:rPr>
      </w:pPr>
      <w:r w:rsidRPr="00A46105">
        <w:rPr>
          <w:rFonts w:cs="Arial"/>
        </w:rPr>
        <w:t> </w:t>
      </w:r>
    </w:p>
    <w:p w:rsidR="00A46105" w:rsidRPr="00A46105" w:rsidRDefault="00A46105" w:rsidP="00A46105">
      <w:pPr>
        <w:rPr>
          <w:rFonts w:cs="Arial"/>
        </w:rPr>
      </w:pPr>
      <w:r w:rsidRPr="00A46105">
        <w:rPr>
          <w:rFonts w:cs="Arial"/>
          <w:i/>
          <w:iCs/>
        </w:rPr>
        <w:t xml:space="preserve">Reclassification reflects Philips’ diversified industrial portfolio </w:t>
      </w:r>
    </w:p>
    <w:p w:rsidR="00A46105" w:rsidRPr="00A46105" w:rsidRDefault="00A46105" w:rsidP="00A46105">
      <w:pPr>
        <w:rPr>
          <w:rFonts w:cs="Arial"/>
        </w:rPr>
      </w:pPr>
      <w:r w:rsidRPr="00A46105">
        <w:rPr>
          <w:rFonts w:cs="Arial"/>
          <w:b/>
          <w:bCs/>
        </w:rPr>
        <w:t> </w:t>
      </w:r>
    </w:p>
    <w:p w:rsidR="00A46105" w:rsidRPr="00A46105" w:rsidRDefault="00A46105" w:rsidP="00A46105">
      <w:pPr>
        <w:pStyle w:val="NormalWeb"/>
        <w:rPr>
          <w:rFonts w:ascii="Arial" w:hAnsi="Arial" w:cs="Arial"/>
        </w:rPr>
      </w:pPr>
      <w:r w:rsidRPr="00A46105">
        <w:rPr>
          <w:rFonts w:ascii="Arial" w:hAnsi="Arial" w:cs="Arial"/>
          <w:b/>
          <w:bCs/>
          <w:sz w:val="22"/>
          <w:szCs w:val="22"/>
        </w:rPr>
        <w:t xml:space="preserve">Amsterdam, the Netherlands – </w:t>
      </w:r>
      <w:r w:rsidRPr="00A46105">
        <w:rPr>
          <w:rFonts w:ascii="Arial" w:hAnsi="Arial" w:cs="Arial"/>
          <w:sz w:val="22"/>
          <w:szCs w:val="22"/>
        </w:rPr>
        <w:t xml:space="preserve">Royal Philips Electronics (NYSE: PHG, AEX:PHI) </w:t>
      </w:r>
      <w:bookmarkStart w:id="0" w:name="_GoBack"/>
      <w:bookmarkEnd w:id="0"/>
      <w:r w:rsidRPr="00A46105">
        <w:rPr>
          <w:rFonts w:ascii="Arial" w:hAnsi="Arial" w:cs="Arial"/>
          <w:sz w:val="22"/>
          <w:szCs w:val="22"/>
        </w:rPr>
        <w:t>today announced that it has been reclassified to the Industrial Goods &amp; Services Supersector by FTSE Group’s</w:t>
      </w:r>
      <w:r w:rsidRPr="00A46105">
        <w:rPr>
          <w:rStyle w:val="CommentReference"/>
          <w:rFonts w:ascii="Arial" w:hAnsi="Arial" w:cs="Arial"/>
          <w:sz w:val="22"/>
          <w:szCs w:val="22"/>
        </w:rPr>
        <w:t xml:space="preserve"> </w:t>
      </w:r>
      <w:r w:rsidRPr="00A46105">
        <w:rPr>
          <w:rFonts w:ascii="Arial" w:hAnsi="Arial" w:cs="Arial"/>
          <w:sz w:val="22"/>
          <w:szCs w:val="22"/>
        </w:rPr>
        <w:t>Industry Classification Benchmark (ICB</w:t>
      </w:r>
      <w:r w:rsidRPr="00A46105">
        <w:rPr>
          <w:rStyle w:val="CommentReference"/>
          <w:rFonts w:ascii="Arial" w:hAnsi="Arial" w:cs="Arial"/>
          <w:sz w:val="22"/>
          <w:szCs w:val="22"/>
        </w:rPr>
        <w:t xml:space="preserve">). Philips was previously classified </w:t>
      </w:r>
      <w:r w:rsidRPr="00A46105">
        <w:rPr>
          <w:rFonts w:ascii="Arial" w:hAnsi="Arial" w:cs="Arial"/>
          <w:sz w:val="22"/>
          <w:szCs w:val="22"/>
        </w:rPr>
        <w:t>in the Personal &amp; Household Goods Supersector. ICB is the widely used global standard for company classifications and is adopted by stock exchanges representing over 65% of the world’s market capitalization. The implementation date for the reclassification has been at the close of markets on June 15, 2012 and is effective the next trading day, June 18, 2012.</w:t>
      </w:r>
    </w:p>
    <w:p w:rsidR="00A46105" w:rsidRPr="00A46105" w:rsidRDefault="00A46105" w:rsidP="00A46105">
      <w:pPr>
        <w:pStyle w:val="NormalWeb"/>
        <w:rPr>
          <w:rFonts w:ascii="Arial" w:hAnsi="Arial" w:cs="Arial"/>
        </w:rPr>
      </w:pPr>
      <w:r w:rsidRPr="00A46105">
        <w:rPr>
          <w:rFonts w:ascii="Arial" w:hAnsi="Arial" w:cs="Arial"/>
          <w:sz w:val="22"/>
          <w:szCs w:val="22"/>
        </w:rPr>
        <w:t> </w:t>
      </w:r>
    </w:p>
    <w:p w:rsidR="00A46105" w:rsidRPr="00A46105" w:rsidRDefault="00A46105" w:rsidP="00A46105">
      <w:pPr>
        <w:pStyle w:val="NormalWeb"/>
        <w:rPr>
          <w:rFonts w:ascii="Arial" w:hAnsi="Arial" w:cs="Arial"/>
        </w:rPr>
      </w:pPr>
      <w:r w:rsidRPr="00A46105">
        <w:rPr>
          <w:rFonts w:ascii="Arial" w:hAnsi="Arial" w:cs="Arial"/>
          <w:sz w:val="22"/>
          <w:szCs w:val="22"/>
        </w:rPr>
        <w:t xml:space="preserve">“The reclassification by the ICB reflects the significant steps we have taken to transform our business to capitalize on global trends in highly attractive businesses and geographies,’’ said Philips Chief Executive Officer </w:t>
      </w:r>
      <w:hyperlink r:id="rId7" w:history="1">
        <w:r w:rsidRPr="0062725A">
          <w:rPr>
            <w:rStyle w:val="Hyperlink"/>
            <w:rFonts w:ascii="Arial" w:hAnsi="Arial" w:cs="Arial"/>
            <w:sz w:val="22"/>
            <w:szCs w:val="22"/>
          </w:rPr>
          <w:t>Frans van Houten</w:t>
        </w:r>
      </w:hyperlink>
      <w:r w:rsidRPr="00A46105">
        <w:rPr>
          <w:rFonts w:ascii="Arial" w:hAnsi="Arial" w:cs="Arial"/>
          <w:sz w:val="22"/>
          <w:szCs w:val="22"/>
        </w:rPr>
        <w:t>. “Following the transaction to create the Television joint venture, Philips’ portfolio is now well aligned to our strategy of building on our leadership positions in health and well-being. The reclassification will help investors accurately value and assess the changes we have made to our portfolio.”</w:t>
      </w:r>
    </w:p>
    <w:p w:rsidR="00A46105" w:rsidRPr="00A46105" w:rsidRDefault="00A46105" w:rsidP="00A46105">
      <w:pPr>
        <w:pStyle w:val="NormalWeb"/>
        <w:rPr>
          <w:rFonts w:ascii="Arial" w:hAnsi="Arial" w:cs="Arial"/>
        </w:rPr>
      </w:pPr>
      <w:r w:rsidRPr="00A46105">
        <w:rPr>
          <w:rFonts w:ascii="Arial" w:hAnsi="Arial" w:cs="Arial"/>
          <w:sz w:val="22"/>
          <w:szCs w:val="22"/>
        </w:rPr>
        <w:t> </w:t>
      </w:r>
    </w:p>
    <w:p w:rsidR="00A46105" w:rsidRPr="00A46105" w:rsidRDefault="00A46105" w:rsidP="00A46105">
      <w:pPr>
        <w:pStyle w:val="NormalWeb"/>
        <w:rPr>
          <w:rFonts w:ascii="Arial" w:hAnsi="Arial" w:cs="Arial"/>
        </w:rPr>
      </w:pPr>
      <w:r w:rsidRPr="00A46105">
        <w:rPr>
          <w:rFonts w:ascii="Arial" w:hAnsi="Arial" w:cs="Arial"/>
          <w:sz w:val="22"/>
          <w:szCs w:val="22"/>
        </w:rPr>
        <w:t xml:space="preserve">The ICB system categorizes more than 70,000 companies and 75,000 securities worldwide, enabling the comparison of companies across four levels of classification and national boundaries. The ICB system is supported by the ICB Database, a data source for global sector analysis, which is maintained by FTSE Group. </w:t>
      </w:r>
    </w:p>
    <w:p w:rsidR="00A46105" w:rsidRDefault="00A46105" w:rsidP="00A46105">
      <w:pPr>
        <w:rPr>
          <w:rFonts w:ascii="Calibri" w:hAnsi="Calibri" w:cs="Calibri"/>
        </w:rPr>
      </w:pPr>
      <w:r>
        <w:t> </w:t>
      </w:r>
    </w:p>
    <w:p w:rsidR="00066FF7" w:rsidRDefault="00066FF7" w:rsidP="00A46105">
      <w:pPr>
        <w:rPr>
          <w:bCs/>
          <w:lang w:eastAsia="nl-NL"/>
        </w:rPr>
      </w:pPr>
    </w:p>
    <w:p w:rsidR="00EE37E2" w:rsidRDefault="00EE37E2" w:rsidP="00A46105">
      <w:pPr>
        <w:rPr>
          <w:b/>
          <w:bCs/>
          <w:lang w:eastAsia="nl-NL"/>
        </w:rPr>
      </w:pPr>
      <w:r w:rsidRPr="0062725A">
        <w:rPr>
          <w:b/>
          <w:bCs/>
          <w:lang w:eastAsia="nl-NL"/>
        </w:rPr>
        <w:t>For further information, please contact:</w:t>
      </w:r>
    </w:p>
    <w:p w:rsidR="00D8285E" w:rsidRPr="00D8285E" w:rsidRDefault="00BF21D0" w:rsidP="00A46105">
      <w:pPr>
        <w:autoSpaceDE w:val="0"/>
        <w:autoSpaceDN w:val="0"/>
        <w:adjustRightInd w:val="0"/>
        <w:rPr>
          <w:rFonts w:cs="Arial"/>
          <w:color w:val="000000"/>
        </w:rPr>
      </w:pPr>
      <w:r>
        <w:rPr>
          <w:rFonts w:cs="Arial"/>
          <w:color w:val="000000"/>
        </w:rPr>
        <w:t>Steve Klink</w:t>
      </w:r>
    </w:p>
    <w:p w:rsidR="00D8285E" w:rsidRPr="00D8285E" w:rsidRDefault="00D8285E" w:rsidP="00A46105">
      <w:pPr>
        <w:autoSpaceDE w:val="0"/>
        <w:autoSpaceDN w:val="0"/>
        <w:adjustRightInd w:val="0"/>
        <w:rPr>
          <w:rFonts w:cs="Arial"/>
          <w:color w:val="000000"/>
        </w:rPr>
      </w:pPr>
      <w:r w:rsidRPr="00D8285E">
        <w:rPr>
          <w:rFonts w:cs="Arial"/>
          <w:color w:val="000000"/>
        </w:rPr>
        <w:t xml:space="preserve">Philips Corporate Communications: </w:t>
      </w:r>
    </w:p>
    <w:p w:rsidR="00D8285E" w:rsidRPr="00D8285E" w:rsidRDefault="00D8285E" w:rsidP="00A46105">
      <w:pPr>
        <w:autoSpaceDE w:val="0"/>
        <w:autoSpaceDN w:val="0"/>
        <w:adjustRightInd w:val="0"/>
        <w:rPr>
          <w:rFonts w:cs="Arial"/>
          <w:color w:val="000000"/>
        </w:rPr>
      </w:pPr>
      <w:r w:rsidRPr="00D8285E">
        <w:rPr>
          <w:rFonts w:cs="Arial"/>
          <w:color w:val="000000"/>
        </w:rPr>
        <w:t xml:space="preserve">Tel: +31 </w:t>
      </w:r>
      <w:r w:rsidR="00994946">
        <w:rPr>
          <w:rFonts w:cs="Arial"/>
          <w:color w:val="000000"/>
        </w:rPr>
        <w:t>6 10888824</w:t>
      </w:r>
    </w:p>
    <w:p w:rsidR="00D8285E" w:rsidRDefault="00D8285E" w:rsidP="00A46105">
      <w:pPr>
        <w:autoSpaceDE w:val="0"/>
        <w:autoSpaceDN w:val="0"/>
        <w:adjustRightInd w:val="0"/>
      </w:pPr>
      <w:r w:rsidRPr="00D8285E">
        <w:rPr>
          <w:rFonts w:cs="Arial"/>
          <w:color w:val="000000"/>
        </w:rPr>
        <w:t>Email:</w:t>
      </w:r>
      <w:r w:rsidR="00BF21D0">
        <w:rPr>
          <w:rFonts w:cs="Arial"/>
          <w:color w:val="000000"/>
        </w:rPr>
        <w:t xml:space="preserve"> </w:t>
      </w:r>
      <w:hyperlink r:id="rId8" w:history="1">
        <w:r w:rsidR="0062725A" w:rsidRPr="004450D4">
          <w:rPr>
            <w:rStyle w:val="Hyperlink"/>
          </w:rPr>
          <w:t>steve.klink@philips.com</w:t>
        </w:r>
      </w:hyperlink>
    </w:p>
    <w:p w:rsidR="0062725A" w:rsidRDefault="0062725A" w:rsidP="00A46105">
      <w:pPr>
        <w:autoSpaceDE w:val="0"/>
        <w:autoSpaceDN w:val="0"/>
        <w:adjustRightInd w:val="0"/>
      </w:pPr>
    </w:p>
    <w:p w:rsidR="006E6380" w:rsidRDefault="006E6380" w:rsidP="006E6380">
      <w:pPr>
        <w:spacing w:before="240" w:after="60"/>
        <w:rPr>
          <w:b/>
          <w:bCs/>
        </w:rPr>
      </w:pPr>
      <w:r>
        <w:rPr>
          <w:b/>
          <w:bCs/>
        </w:rPr>
        <w:t>About Royal Philips Electronics</w:t>
      </w:r>
    </w:p>
    <w:p w:rsidR="00BF21D0" w:rsidRPr="00BF21D0" w:rsidRDefault="00BF21D0" w:rsidP="00BF21D0">
      <w:pPr>
        <w:spacing w:line="255" w:lineRule="atLeast"/>
        <w:rPr>
          <w:rFonts w:cs="Arial"/>
          <w:szCs w:val="22"/>
        </w:rPr>
      </w:pPr>
      <w:r w:rsidRPr="00BF21D0">
        <w:rPr>
          <w:rFonts w:cs="Arial"/>
          <w:iCs/>
          <w:szCs w:val="22"/>
        </w:rPr>
        <w:t xml:space="preserve">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“sense and simplicity”. Headquartered in the </w:t>
      </w:r>
      <w:r w:rsidRPr="00BF21D0">
        <w:rPr>
          <w:rFonts w:cs="Arial"/>
          <w:iCs/>
          <w:szCs w:val="22"/>
        </w:rPr>
        <w:lastRenderedPageBreak/>
        <w:t>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BF21D0">
        <w:rPr>
          <w:rFonts w:cs="Arial"/>
          <w:szCs w:val="22"/>
        </w:rPr>
        <w:t> </w:t>
      </w:r>
      <w:hyperlink r:id="rId9" w:history="1">
        <w:r w:rsidRPr="00BF21D0">
          <w:rPr>
            <w:rFonts w:cs="Arial"/>
            <w:iCs/>
            <w:szCs w:val="22"/>
          </w:rPr>
          <w:t>www.philips.com/newscenter</w:t>
        </w:r>
      </w:hyperlink>
      <w:r w:rsidRPr="00BF21D0">
        <w:rPr>
          <w:rFonts w:cs="Arial"/>
          <w:iCs/>
          <w:szCs w:val="22"/>
        </w:rPr>
        <w:t>.</w:t>
      </w:r>
      <w:r w:rsidR="0062725A">
        <w:rPr>
          <w:rFonts w:cs="Arial"/>
          <w:iCs/>
          <w:szCs w:val="22"/>
        </w:rPr>
        <w:t xml:space="preserve"> </w:t>
      </w:r>
    </w:p>
    <w:sectPr w:rsidR="00BF21D0" w:rsidRPr="00BF21D0" w:rsidSect="006A23DD">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B0B" w:rsidRDefault="002F1B0B">
      <w:r>
        <w:separator/>
      </w:r>
    </w:p>
  </w:endnote>
  <w:endnote w:type="continuationSeparator" w:id="0">
    <w:p w:rsidR="002F1B0B" w:rsidRDefault="002F1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Default="0049272F" w:rsidP="006C4BDE">
    <w:pPr>
      <w:pStyle w:val="Footer"/>
      <w:framePr w:wrap="around" w:vAnchor="text" w:hAnchor="margin" w:xAlign="center" w:y="1"/>
      <w:rPr>
        <w:rStyle w:val="PageNumber"/>
      </w:rPr>
    </w:pPr>
    <w:r>
      <w:rPr>
        <w:rStyle w:val="PageNumber"/>
      </w:rPr>
      <w:fldChar w:fldCharType="begin"/>
    </w:r>
    <w:r w:rsidR="008912B1">
      <w:rPr>
        <w:rStyle w:val="PageNumber"/>
      </w:rPr>
      <w:instrText xml:space="preserve">PAGE  </w:instrText>
    </w:r>
    <w:r>
      <w:rPr>
        <w:rStyle w:val="PageNumber"/>
      </w:rPr>
      <w:fldChar w:fldCharType="end"/>
    </w:r>
  </w:p>
  <w:p w:rsidR="008912B1" w:rsidRDefault="00891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B1" w:rsidRPr="008912B1" w:rsidRDefault="0049272F"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912B1" w:rsidRPr="008912B1">
      <w:rPr>
        <w:rStyle w:val="PageNumber"/>
        <w:sz w:val="20"/>
        <w:szCs w:val="20"/>
      </w:rPr>
      <w:instrText xml:space="preserve">PAGE  </w:instrText>
    </w:r>
    <w:r w:rsidRPr="008912B1">
      <w:rPr>
        <w:rStyle w:val="PageNumber"/>
        <w:sz w:val="20"/>
        <w:szCs w:val="20"/>
      </w:rPr>
      <w:fldChar w:fldCharType="separate"/>
    </w:r>
    <w:r w:rsidR="0062725A">
      <w:rPr>
        <w:rStyle w:val="PageNumber"/>
        <w:noProof/>
        <w:sz w:val="20"/>
        <w:szCs w:val="20"/>
      </w:rPr>
      <w:t>1</w:t>
    </w:r>
    <w:r w:rsidRPr="008912B1">
      <w:rPr>
        <w:rStyle w:val="PageNumber"/>
        <w:sz w:val="20"/>
        <w:szCs w:val="20"/>
      </w:rPr>
      <w:fldChar w:fldCharType="end"/>
    </w:r>
    <w:r w:rsidR="008912B1" w:rsidRPr="008912B1">
      <w:rPr>
        <w:rStyle w:val="PageNumber"/>
        <w:sz w:val="20"/>
        <w:szCs w:val="20"/>
      </w:rPr>
      <w:t xml:space="preserve"> of </w:t>
    </w:r>
    <w:r w:rsidRPr="008912B1">
      <w:rPr>
        <w:rStyle w:val="PageNumber"/>
        <w:sz w:val="20"/>
        <w:szCs w:val="20"/>
      </w:rPr>
      <w:fldChar w:fldCharType="begin"/>
    </w:r>
    <w:r w:rsidR="008912B1" w:rsidRPr="008912B1">
      <w:rPr>
        <w:rStyle w:val="PageNumber"/>
        <w:sz w:val="20"/>
        <w:szCs w:val="20"/>
      </w:rPr>
      <w:instrText xml:space="preserve"> NUMPAGES </w:instrText>
    </w:r>
    <w:r w:rsidRPr="008912B1">
      <w:rPr>
        <w:rStyle w:val="PageNumber"/>
        <w:sz w:val="20"/>
        <w:szCs w:val="20"/>
      </w:rPr>
      <w:fldChar w:fldCharType="separate"/>
    </w:r>
    <w:r w:rsidR="0062725A">
      <w:rPr>
        <w:rStyle w:val="PageNumber"/>
        <w:noProof/>
        <w:sz w:val="20"/>
        <w:szCs w:val="20"/>
      </w:rPr>
      <w:t>2</w:t>
    </w:r>
    <w:r w:rsidRPr="008912B1">
      <w:rPr>
        <w:rStyle w:val="PageNumber"/>
        <w:sz w:val="20"/>
        <w:szCs w:val="20"/>
      </w:rPr>
      <w:fldChar w:fldCharType="end"/>
    </w:r>
  </w:p>
  <w:p w:rsidR="008912B1" w:rsidRPr="008912B1" w:rsidRDefault="008912B1"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B0B" w:rsidRDefault="002F1B0B">
      <w:r>
        <w:separator/>
      </w:r>
    </w:p>
  </w:footnote>
  <w:footnote w:type="continuationSeparator" w:id="0">
    <w:p w:rsidR="002F1B0B" w:rsidRDefault="002F1B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66FF7"/>
    <w:rsid w:val="00072C55"/>
    <w:rsid w:val="00081B9C"/>
    <w:rsid w:val="000D5BA7"/>
    <w:rsid w:val="00120BC4"/>
    <w:rsid w:val="00210591"/>
    <w:rsid w:val="0022489E"/>
    <w:rsid w:val="00230204"/>
    <w:rsid w:val="00251FF8"/>
    <w:rsid w:val="00260994"/>
    <w:rsid w:val="00282372"/>
    <w:rsid w:val="002901B8"/>
    <w:rsid w:val="002A5101"/>
    <w:rsid w:val="002B66E2"/>
    <w:rsid w:val="002F1B0B"/>
    <w:rsid w:val="003308EA"/>
    <w:rsid w:val="003C228E"/>
    <w:rsid w:val="004022C9"/>
    <w:rsid w:val="00420779"/>
    <w:rsid w:val="004239E5"/>
    <w:rsid w:val="00443A67"/>
    <w:rsid w:val="0049272F"/>
    <w:rsid w:val="004C6E4C"/>
    <w:rsid w:val="004E5843"/>
    <w:rsid w:val="004F020C"/>
    <w:rsid w:val="00520CBA"/>
    <w:rsid w:val="00556505"/>
    <w:rsid w:val="005828CD"/>
    <w:rsid w:val="00590AEA"/>
    <w:rsid w:val="005C7F41"/>
    <w:rsid w:val="005D3023"/>
    <w:rsid w:val="005E0D04"/>
    <w:rsid w:val="005F4840"/>
    <w:rsid w:val="0062725A"/>
    <w:rsid w:val="006927E5"/>
    <w:rsid w:val="006A23DD"/>
    <w:rsid w:val="006A712F"/>
    <w:rsid w:val="006C4BDE"/>
    <w:rsid w:val="006E6380"/>
    <w:rsid w:val="00705581"/>
    <w:rsid w:val="00714A8F"/>
    <w:rsid w:val="00723EB0"/>
    <w:rsid w:val="0077453F"/>
    <w:rsid w:val="008267CA"/>
    <w:rsid w:val="008912B1"/>
    <w:rsid w:val="00894509"/>
    <w:rsid w:val="008A0F00"/>
    <w:rsid w:val="008D3A3A"/>
    <w:rsid w:val="008D4742"/>
    <w:rsid w:val="008D4B44"/>
    <w:rsid w:val="00905E99"/>
    <w:rsid w:val="00994946"/>
    <w:rsid w:val="009D5BEA"/>
    <w:rsid w:val="009F3FD6"/>
    <w:rsid w:val="009F79FD"/>
    <w:rsid w:val="00A201C9"/>
    <w:rsid w:val="00A46105"/>
    <w:rsid w:val="00A523B2"/>
    <w:rsid w:val="00A6285F"/>
    <w:rsid w:val="00A72E10"/>
    <w:rsid w:val="00AD5970"/>
    <w:rsid w:val="00BC5101"/>
    <w:rsid w:val="00BD2F99"/>
    <w:rsid w:val="00BF21D0"/>
    <w:rsid w:val="00C12FAE"/>
    <w:rsid w:val="00C31FC7"/>
    <w:rsid w:val="00C32C8C"/>
    <w:rsid w:val="00D349A0"/>
    <w:rsid w:val="00D35F41"/>
    <w:rsid w:val="00D8285E"/>
    <w:rsid w:val="00DE11DB"/>
    <w:rsid w:val="00DE258A"/>
    <w:rsid w:val="00DE7263"/>
    <w:rsid w:val="00E16E32"/>
    <w:rsid w:val="00E17AB4"/>
    <w:rsid w:val="00E24379"/>
    <w:rsid w:val="00E34F93"/>
    <w:rsid w:val="00ED5386"/>
    <w:rsid w:val="00EE37E2"/>
    <w:rsid w:val="00F458BF"/>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BF21D0"/>
    <w:rPr>
      <w:b/>
      <w:bCs/>
    </w:rPr>
  </w:style>
  <w:style w:type="character" w:styleId="Emphasis">
    <w:name w:val="Emphasis"/>
    <w:basedOn w:val="DefaultParagraphFont"/>
    <w:uiPriority w:val="20"/>
    <w:qFormat/>
    <w:rsid w:val="00BF21D0"/>
    <w:rPr>
      <w:i/>
      <w:iCs/>
    </w:rPr>
  </w:style>
  <w:style w:type="character" w:styleId="CommentReference">
    <w:name w:val="annotation reference"/>
    <w:basedOn w:val="DefaultParagraphFont"/>
    <w:uiPriority w:val="99"/>
    <w:rsid w:val="00DE258A"/>
    <w:rPr>
      <w:sz w:val="16"/>
      <w:szCs w:val="16"/>
    </w:rPr>
  </w:style>
  <w:style w:type="paragraph" w:styleId="CommentText">
    <w:name w:val="annotation text"/>
    <w:basedOn w:val="Normal"/>
    <w:link w:val="CommentTextChar"/>
    <w:rsid w:val="00DE258A"/>
    <w:rPr>
      <w:sz w:val="20"/>
      <w:szCs w:val="20"/>
    </w:rPr>
  </w:style>
  <w:style w:type="character" w:customStyle="1" w:styleId="CommentTextChar">
    <w:name w:val="Comment Text Char"/>
    <w:basedOn w:val="DefaultParagraphFont"/>
    <w:link w:val="CommentText"/>
    <w:rsid w:val="00DE258A"/>
    <w:rPr>
      <w:rFonts w:ascii="Arial" w:hAnsi="Arial"/>
    </w:rPr>
  </w:style>
  <w:style w:type="paragraph" w:styleId="CommentSubject">
    <w:name w:val="annotation subject"/>
    <w:basedOn w:val="CommentText"/>
    <w:next w:val="CommentText"/>
    <w:link w:val="CommentSubjectChar"/>
    <w:rsid w:val="00DE258A"/>
    <w:rPr>
      <w:b/>
      <w:bCs/>
    </w:rPr>
  </w:style>
  <w:style w:type="character" w:customStyle="1" w:styleId="CommentSubjectChar">
    <w:name w:val="Comment Subject Char"/>
    <w:basedOn w:val="CommentTextChar"/>
    <w:link w:val="CommentSubject"/>
    <w:rsid w:val="00DE258A"/>
    <w:rPr>
      <w:rFonts w:ascii="Arial" w:hAnsi="Arial"/>
      <w:b/>
      <w:bCs/>
    </w:rPr>
  </w:style>
  <w:style w:type="paragraph" w:styleId="BalloonText">
    <w:name w:val="Balloon Text"/>
    <w:basedOn w:val="Normal"/>
    <w:link w:val="BalloonTextChar"/>
    <w:rsid w:val="00DE258A"/>
    <w:rPr>
      <w:rFonts w:ascii="Tahoma" w:hAnsi="Tahoma" w:cs="Tahoma"/>
      <w:sz w:val="16"/>
      <w:szCs w:val="16"/>
    </w:rPr>
  </w:style>
  <w:style w:type="character" w:customStyle="1" w:styleId="BalloonTextChar">
    <w:name w:val="Balloon Text Char"/>
    <w:basedOn w:val="DefaultParagraphFont"/>
    <w:link w:val="BalloonText"/>
    <w:rsid w:val="00DE258A"/>
    <w:rPr>
      <w:rFonts w:ascii="Tahoma" w:hAnsi="Tahoma" w:cs="Tahoma"/>
      <w:sz w:val="16"/>
      <w:szCs w:val="16"/>
    </w:rPr>
  </w:style>
  <w:style w:type="paragraph" w:styleId="NormalWeb">
    <w:name w:val="Normal (Web)"/>
    <w:basedOn w:val="Normal"/>
    <w:uiPriority w:val="99"/>
    <w:unhideWhenUsed/>
    <w:rsid w:val="00A46105"/>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BF21D0"/>
    <w:rPr>
      <w:b/>
      <w:bCs/>
    </w:rPr>
  </w:style>
  <w:style w:type="character" w:styleId="Emphasis">
    <w:name w:val="Emphasis"/>
    <w:basedOn w:val="DefaultParagraphFont"/>
    <w:uiPriority w:val="20"/>
    <w:qFormat/>
    <w:rsid w:val="00BF21D0"/>
    <w:rPr>
      <w:i/>
      <w:iCs/>
    </w:rPr>
  </w:style>
  <w:style w:type="character" w:styleId="CommentReference">
    <w:name w:val="annotation reference"/>
    <w:basedOn w:val="DefaultParagraphFont"/>
    <w:uiPriority w:val="99"/>
    <w:rsid w:val="00DE258A"/>
    <w:rPr>
      <w:sz w:val="16"/>
      <w:szCs w:val="16"/>
    </w:rPr>
  </w:style>
  <w:style w:type="paragraph" w:styleId="CommentText">
    <w:name w:val="annotation text"/>
    <w:basedOn w:val="Normal"/>
    <w:link w:val="CommentTextChar"/>
    <w:rsid w:val="00DE258A"/>
    <w:rPr>
      <w:sz w:val="20"/>
      <w:szCs w:val="20"/>
    </w:rPr>
  </w:style>
  <w:style w:type="character" w:customStyle="1" w:styleId="CommentTextChar">
    <w:name w:val="Comment Text Char"/>
    <w:basedOn w:val="DefaultParagraphFont"/>
    <w:link w:val="CommentText"/>
    <w:rsid w:val="00DE258A"/>
    <w:rPr>
      <w:rFonts w:ascii="Arial" w:hAnsi="Arial"/>
    </w:rPr>
  </w:style>
  <w:style w:type="paragraph" w:styleId="CommentSubject">
    <w:name w:val="annotation subject"/>
    <w:basedOn w:val="CommentText"/>
    <w:next w:val="CommentText"/>
    <w:link w:val="CommentSubjectChar"/>
    <w:rsid w:val="00DE258A"/>
    <w:rPr>
      <w:b/>
      <w:bCs/>
    </w:rPr>
  </w:style>
  <w:style w:type="character" w:customStyle="1" w:styleId="CommentSubjectChar">
    <w:name w:val="Comment Subject Char"/>
    <w:basedOn w:val="CommentTextChar"/>
    <w:link w:val="CommentSubject"/>
    <w:rsid w:val="00DE258A"/>
    <w:rPr>
      <w:rFonts w:ascii="Arial" w:hAnsi="Arial"/>
      <w:b/>
      <w:bCs/>
    </w:rPr>
  </w:style>
  <w:style w:type="paragraph" w:styleId="BalloonText">
    <w:name w:val="Balloon Text"/>
    <w:basedOn w:val="Normal"/>
    <w:link w:val="BalloonTextChar"/>
    <w:rsid w:val="00DE258A"/>
    <w:rPr>
      <w:rFonts w:ascii="Tahoma" w:hAnsi="Tahoma" w:cs="Tahoma"/>
      <w:sz w:val="16"/>
      <w:szCs w:val="16"/>
    </w:rPr>
  </w:style>
  <w:style w:type="character" w:customStyle="1" w:styleId="BalloonTextChar">
    <w:name w:val="Balloon Text Char"/>
    <w:basedOn w:val="DefaultParagraphFont"/>
    <w:link w:val="BalloonText"/>
    <w:rsid w:val="00DE258A"/>
    <w:rPr>
      <w:rFonts w:ascii="Tahoma" w:hAnsi="Tahoma" w:cs="Tahoma"/>
      <w:sz w:val="16"/>
      <w:szCs w:val="16"/>
    </w:rPr>
  </w:style>
  <w:style w:type="paragraph" w:styleId="NormalWeb">
    <w:name w:val="Normal (Web)"/>
    <w:basedOn w:val="Normal"/>
    <w:uiPriority w:val="99"/>
    <w:unhideWhenUsed/>
    <w:rsid w:val="00A46105"/>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13120805">
      <w:bodyDiv w:val="1"/>
      <w:marLeft w:val="0"/>
      <w:marRight w:val="0"/>
      <w:marTop w:val="0"/>
      <w:marBottom w:val="0"/>
      <w:divBdr>
        <w:top w:val="none" w:sz="0" w:space="0" w:color="auto"/>
        <w:left w:val="none" w:sz="0" w:space="0" w:color="auto"/>
        <w:bottom w:val="none" w:sz="0" w:space="0" w:color="auto"/>
        <w:right w:val="none" w:sz="0" w:space="0" w:color="auto"/>
      </w:divBdr>
      <w:divsChild>
        <w:div w:id="205024931">
          <w:marLeft w:val="0"/>
          <w:marRight w:val="0"/>
          <w:marTop w:val="0"/>
          <w:marBottom w:val="0"/>
          <w:divBdr>
            <w:top w:val="none" w:sz="0" w:space="0" w:color="auto"/>
            <w:left w:val="none" w:sz="0" w:space="0" w:color="auto"/>
            <w:bottom w:val="none" w:sz="0" w:space="0" w:color="auto"/>
            <w:right w:val="none" w:sz="0" w:space="0" w:color="auto"/>
          </w:divBdr>
          <w:divsChild>
            <w:div w:id="1176189042">
              <w:marLeft w:val="0"/>
              <w:marRight w:val="0"/>
              <w:marTop w:val="0"/>
              <w:marBottom w:val="0"/>
              <w:divBdr>
                <w:top w:val="none" w:sz="0" w:space="0" w:color="auto"/>
                <w:left w:val="none" w:sz="0" w:space="0" w:color="auto"/>
                <w:bottom w:val="none" w:sz="0" w:space="0" w:color="auto"/>
                <w:right w:val="none" w:sz="0" w:space="0" w:color="auto"/>
              </w:divBdr>
              <w:divsChild>
                <w:div w:id="1338265077">
                  <w:marLeft w:val="0"/>
                  <w:marRight w:val="0"/>
                  <w:marTop w:val="0"/>
                  <w:marBottom w:val="0"/>
                  <w:divBdr>
                    <w:top w:val="none" w:sz="0" w:space="0" w:color="auto"/>
                    <w:left w:val="none" w:sz="0" w:space="0" w:color="auto"/>
                    <w:bottom w:val="none" w:sz="0" w:space="0" w:color="auto"/>
                    <w:right w:val="none" w:sz="0" w:space="0" w:color="auto"/>
                  </w:divBdr>
                  <w:divsChild>
                    <w:div w:id="406729944">
                      <w:marLeft w:val="0"/>
                      <w:marRight w:val="0"/>
                      <w:marTop w:val="0"/>
                      <w:marBottom w:val="0"/>
                      <w:divBdr>
                        <w:top w:val="none" w:sz="0" w:space="0" w:color="auto"/>
                        <w:left w:val="none" w:sz="0" w:space="0" w:color="auto"/>
                        <w:bottom w:val="none" w:sz="0" w:space="0" w:color="auto"/>
                        <w:right w:val="none" w:sz="0" w:space="0" w:color="auto"/>
                      </w:divBdr>
                      <w:divsChild>
                        <w:div w:id="2019428250">
                          <w:marLeft w:val="0"/>
                          <w:marRight w:val="0"/>
                          <w:marTop w:val="0"/>
                          <w:marBottom w:val="0"/>
                          <w:divBdr>
                            <w:top w:val="none" w:sz="0" w:space="0" w:color="auto"/>
                            <w:left w:val="none" w:sz="0" w:space="0" w:color="auto"/>
                            <w:bottom w:val="none" w:sz="0" w:space="0" w:color="auto"/>
                            <w:right w:val="none" w:sz="0" w:space="0" w:color="auto"/>
                          </w:divBdr>
                          <w:divsChild>
                            <w:div w:id="137194036">
                              <w:marLeft w:val="0"/>
                              <w:marRight w:val="0"/>
                              <w:marTop w:val="0"/>
                              <w:marBottom w:val="0"/>
                              <w:divBdr>
                                <w:top w:val="none" w:sz="0" w:space="0" w:color="auto"/>
                                <w:left w:val="none" w:sz="0" w:space="0" w:color="auto"/>
                                <w:bottom w:val="none" w:sz="0" w:space="0" w:color="auto"/>
                                <w:right w:val="none" w:sz="0" w:space="0" w:color="auto"/>
                              </w:divBdr>
                              <w:divsChild>
                                <w:div w:id="88045957">
                                  <w:marLeft w:val="0"/>
                                  <w:marRight w:val="0"/>
                                  <w:marTop w:val="0"/>
                                  <w:marBottom w:val="0"/>
                                  <w:divBdr>
                                    <w:top w:val="none" w:sz="0" w:space="0" w:color="auto"/>
                                    <w:left w:val="none" w:sz="0" w:space="0" w:color="auto"/>
                                    <w:bottom w:val="none" w:sz="0" w:space="0" w:color="auto"/>
                                    <w:right w:val="none" w:sz="0" w:space="0" w:color="auto"/>
                                  </w:divBdr>
                                  <w:divsChild>
                                    <w:div w:id="1763722261">
                                      <w:marLeft w:val="0"/>
                                      <w:marRight w:val="0"/>
                                      <w:marTop w:val="0"/>
                                      <w:marBottom w:val="0"/>
                                      <w:divBdr>
                                        <w:top w:val="none" w:sz="0" w:space="0" w:color="auto"/>
                                        <w:left w:val="none" w:sz="0" w:space="0" w:color="auto"/>
                                        <w:bottom w:val="none" w:sz="0" w:space="0" w:color="auto"/>
                                        <w:right w:val="none" w:sz="0" w:space="0" w:color="auto"/>
                                      </w:divBdr>
                                      <w:divsChild>
                                        <w:div w:id="1048606684">
                                          <w:marLeft w:val="0"/>
                                          <w:marRight w:val="0"/>
                                          <w:marTop w:val="0"/>
                                          <w:marBottom w:val="0"/>
                                          <w:divBdr>
                                            <w:top w:val="none" w:sz="0" w:space="0" w:color="auto"/>
                                            <w:left w:val="none" w:sz="0" w:space="0" w:color="auto"/>
                                            <w:bottom w:val="none" w:sz="0" w:space="0" w:color="auto"/>
                                            <w:right w:val="none" w:sz="0" w:space="0" w:color="auto"/>
                                          </w:divBdr>
                                          <w:divsChild>
                                            <w:div w:id="1638532471">
                                              <w:marLeft w:val="0"/>
                                              <w:marRight w:val="0"/>
                                              <w:marTop w:val="0"/>
                                              <w:marBottom w:val="0"/>
                                              <w:divBdr>
                                                <w:top w:val="none" w:sz="0" w:space="0" w:color="auto"/>
                                                <w:left w:val="none" w:sz="0" w:space="0" w:color="auto"/>
                                                <w:bottom w:val="none" w:sz="0" w:space="0" w:color="auto"/>
                                                <w:right w:val="none" w:sz="0" w:space="0" w:color="auto"/>
                                              </w:divBdr>
                                              <w:divsChild>
                                                <w:div w:id="17775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340271">
      <w:bodyDiv w:val="1"/>
      <w:marLeft w:val="0"/>
      <w:marRight w:val="0"/>
      <w:marTop w:val="0"/>
      <w:marBottom w:val="0"/>
      <w:divBdr>
        <w:top w:val="none" w:sz="0" w:space="0" w:color="auto"/>
        <w:left w:val="none" w:sz="0" w:space="0" w:color="auto"/>
        <w:bottom w:val="none" w:sz="0" w:space="0" w:color="auto"/>
        <w:right w:val="none" w:sz="0" w:space="0" w:color="auto"/>
      </w:divBdr>
    </w:div>
    <w:div w:id="286089323">
      <w:bodyDiv w:val="1"/>
      <w:marLeft w:val="0"/>
      <w:marRight w:val="0"/>
      <w:marTop w:val="0"/>
      <w:marBottom w:val="0"/>
      <w:divBdr>
        <w:top w:val="none" w:sz="0" w:space="0" w:color="auto"/>
        <w:left w:val="none" w:sz="0" w:space="0" w:color="auto"/>
        <w:bottom w:val="none" w:sz="0" w:space="0" w:color="auto"/>
        <w:right w:val="none" w:sz="0" w:space="0" w:color="auto"/>
      </w:divBdr>
    </w:div>
    <w:div w:id="600726390">
      <w:bodyDiv w:val="1"/>
      <w:marLeft w:val="0"/>
      <w:marRight w:val="0"/>
      <w:marTop w:val="0"/>
      <w:marBottom w:val="0"/>
      <w:divBdr>
        <w:top w:val="none" w:sz="0" w:space="0" w:color="auto"/>
        <w:left w:val="none" w:sz="0" w:space="0" w:color="auto"/>
        <w:bottom w:val="none" w:sz="0" w:space="0" w:color="auto"/>
        <w:right w:val="none" w:sz="0" w:space="0" w:color="auto"/>
      </w:divBdr>
    </w:div>
    <w:div w:id="687173652">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hilips.com/sites/philipsglobal/about/company/management/management/fransvanhouten.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hilips.com/newscente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2636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3028</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2</cp:revision>
  <dcterms:created xsi:type="dcterms:W3CDTF">2012-06-15T13:31:00Z</dcterms:created>
  <dcterms:modified xsi:type="dcterms:W3CDTF">2012-06-15T13:31:00Z</dcterms:modified>
</cp:coreProperties>
</file>