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D97EA" w14:textId="2F4D30B7" w:rsidR="00830A72" w:rsidRPr="00410A11" w:rsidRDefault="00830A72" w:rsidP="0088150D">
      <w:pPr>
        <w:pStyle w:val="JLLPRbodytext"/>
        <w:rPr>
          <w:b/>
          <w:i/>
          <w:color w:val="000000" w:themeColor="text1"/>
          <w:sz w:val="32"/>
          <w:szCs w:val="32"/>
        </w:rPr>
      </w:pPr>
      <w:bookmarkStart w:id="0" w:name="_GoBack"/>
      <w:r w:rsidRPr="00410A11">
        <w:rPr>
          <w:b/>
          <w:i/>
          <w:color w:val="000000" w:themeColor="text1"/>
          <w:sz w:val="32"/>
          <w:szCs w:val="32"/>
        </w:rPr>
        <w:t>Global lighting partnership to lead transformation in corporate real estate</w:t>
      </w:r>
    </w:p>
    <w:bookmarkEnd w:id="0"/>
    <w:p w14:paraId="65948400" w14:textId="7DF24CDA" w:rsidR="00E121DA" w:rsidRDefault="006170BD" w:rsidP="00E121DA">
      <w:pPr>
        <w:pStyle w:val="JLLPRsubheadline"/>
        <w:numPr>
          <w:ilvl w:val="0"/>
          <w:numId w:val="12"/>
        </w:numPr>
      </w:pPr>
      <w:r>
        <w:t xml:space="preserve">Industry leaders partner to </w:t>
      </w:r>
      <w:r w:rsidR="00615617">
        <w:t>deliver energy-</w:t>
      </w:r>
      <w:r w:rsidR="00A135BA">
        <w:t>efficient Philips lighting solutions to Jones Lang LaSalle clients</w:t>
      </w:r>
    </w:p>
    <w:p w14:paraId="5DB06022" w14:textId="77777777" w:rsidR="00FC249A" w:rsidRPr="00E121DA" w:rsidRDefault="00FC249A" w:rsidP="00FC249A">
      <w:pPr>
        <w:pStyle w:val="JLLPRsubheadline"/>
        <w:numPr>
          <w:ilvl w:val="0"/>
          <w:numId w:val="12"/>
        </w:numPr>
      </w:pPr>
      <w:r>
        <w:t>Partnership provides platform to drive sustainable transformation in energy use in global commercial real estate markets</w:t>
      </w:r>
    </w:p>
    <w:p w14:paraId="7CF651CC" w14:textId="6F27DDEF" w:rsidR="008C0A1D" w:rsidRPr="00A277C7" w:rsidRDefault="00A135BA" w:rsidP="00741139">
      <w:pPr>
        <w:pStyle w:val="JLLPRbodytext"/>
        <w:spacing w:after="120"/>
        <w:rPr>
          <w:sz w:val="24"/>
        </w:rPr>
      </w:pPr>
      <w:r w:rsidRPr="00A277C7">
        <w:rPr>
          <w:b/>
          <w:caps/>
          <w:sz w:val="24"/>
        </w:rPr>
        <w:t>singapore</w:t>
      </w:r>
      <w:r w:rsidRPr="00A277C7">
        <w:rPr>
          <w:sz w:val="24"/>
        </w:rPr>
        <w:t xml:space="preserve">, </w:t>
      </w:r>
      <w:r w:rsidR="00334BEA" w:rsidRPr="00A277C7">
        <w:rPr>
          <w:b/>
          <w:sz w:val="24"/>
        </w:rPr>
        <w:t>26</w:t>
      </w:r>
      <w:r w:rsidRPr="00A277C7">
        <w:rPr>
          <w:b/>
          <w:sz w:val="24"/>
        </w:rPr>
        <w:t xml:space="preserve"> Sep 2012</w:t>
      </w:r>
      <w:r w:rsidRPr="00A277C7">
        <w:rPr>
          <w:sz w:val="24"/>
        </w:rPr>
        <w:t xml:space="preserve"> </w:t>
      </w:r>
      <w:r w:rsidR="00704C4D" w:rsidRPr="00A277C7">
        <w:rPr>
          <w:sz w:val="24"/>
        </w:rPr>
        <w:t>–</w:t>
      </w:r>
      <w:r w:rsidRPr="00A277C7">
        <w:rPr>
          <w:sz w:val="24"/>
        </w:rPr>
        <w:t xml:space="preserve"> </w:t>
      </w:r>
      <w:hyperlink r:id="rId9" w:history="1">
        <w:r w:rsidR="0028717B" w:rsidRPr="00A277C7">
          <w:rPr>
            <w:rStyle w:val="Hyperlink"/>
            <w:color w:val="0000FF"/>
            <w:sz w:val="24"/>
          </w:rPr>
          <w:t>Royal Philips Electronics</w:t>
        </w:r>
      </w:hyperlink>
      <w:r w:rsidR="0028717B" w:rsidRPr="00A277C7">
        <w:rPr>
          <w:sz w:val="24"/>
        </w:rPr>
        <w:t xml:space="preserve"> (NYSE: PHG, AEX: PHIA)</w:t>
      </w:r>
      <w:r w:rsidR="0028717B">
        <w:rPr>
          <w:sz w:val="24"/>
        </w:rPr>
        <w:t>, the global leader in lighting and</w:t>
      </w:r>
      <w:r w:rsidR="0028717B" w:rsidRPr="00A277C7">
        <w:rPr>
          <w:sz w:val="24"/>
        </w:rPr>
        <w:t xml:space="preserve"> </w:t>
      </w:r>
      <w:hyperlink r:id="rId10" w:history="1">
        <w:r w:rsidR="00704C4D" w:rsidRPr="00A277C7">
          <w:rPr>
            <w:rStyle w:val="Hyperlink"/>
            <w:color w:val="0000FF"/>
            <w:sz w:val="24"/>
          </w:rPr>
          <w:t xml:space="preserve">Jones </w:t>
        </w:r>
        <w:r w:rsidRPr="00A277C7">
          <w:rPr>
            <w:rStyle w:val="Hyperlink"/>
            <w:color w:val="0000FF"/>
            <w:sz w:val="24"/>
          </w:rPr>
          <w:t>Lang LaSalle</w:t>
        </w:r>
      </w:hyperlink>
      <w:r w:rsidRPr="00A277C7">
        <w:rPr>
          <w:sz w:val="24"/>
          <w:lang w:val="en-IN"/>
        </w:rPr>
        <w:t>, (NYSE:JLL), the global financial and professional services firm specializing in real estate</w:t>
      </w:r>
      <w:r w:rsidR="0028717B">
        <w:rPr>
          <w:sz w:val="24"/>
        </w:rPr>
        <w:t xml:space="preserve">, </w:t>
      </w:r>
      <w:r w:rsidRPr="00A277C7">
        <w:rPr>
          <w:sz w:val="24"/>
        </w:rPr>
        <w:t xml:space="preserve">have entered into a partnership agreement to deliver energy-efficient lighting and energy management solutions to all Jones Lang LaSalle clients. </w:t>
      </w:r>
    </w:p>
    <w:p w14:paraId="38785BB8" w14:textId="1D725DD4" w:rsidR="00741139" w:rsidRPr="00A277C7" w:rsidRDefault="00EA7C35" w:rsidP="00741139">
      <w:pPr>
        <w:pStyle w:val="JLLPRbodytext"/>
        <w:spacing w:after="120"/>
        <w:rPr>
          <w:sz w:val="24"/>
        </w:rPr>
      </w:pPr>
      <w:r w:rsidRPr="00A277C7">
        <w:rPr>
          <w:sz w:val="24"/>
        </w:rPr>
        <w:t xml:space="preserve">This is the first time two leaders in the corporate real estate and lighting industries are working together on this scale to change the way commercial and industrial interiors are illuminated with </w:t>
      </w:r>
      <w:hyperlink r:id="rId11" w:history="1">
        <w:r w:rsidR="00A412E7" w:rsidRPr="00A277C7">
          <w:rPr>
            <w:rStyle w:val="Hyperlink"/>
            <w:color w:val="0000FF"/>
            <w:sz w:val="24"/>
          </w:rPr>
          <w:t>LED</w:t>
        </w:r>
      </w:hyperlink>
      <w:r w:rsidR="00A412E7" w:rsidRPr="00A277C7">
        <w:rPr>
          <w:sz w:val="24"/>
        </w:rPr>
        <w:t xml:space="preserve"> and energy-</w:t>
      </w:r>
      <w:r w:rsidRPr="00A277C7">
        <w:rPr>
          <w:sz w:val="24"/>
        </w:rPr>
        <w:t xml:space="preserve">efficient solutions. </w:t>
      </w:r>
      <w:r w:rsidR="00A135BA" w:rsidRPr="00A277C7">
        <w:rPr>
          <w:sz w:val="24"/>
        </w:rPr>
        <w:t>The global agreement</w:t>
      </w:r>
      <w:r w:rsidR="00343605" w:rsidRPr="00A277C7">
        <w:rPr>
          <w:sz w:val="24"/>
        </w:rPr>
        <w:t xml:space="preserve"> </w:t>
      </w:r>
      <w:r w:rsidR="005F3C6D" w:rsidRPr="00A277C7">
        <w:rPr>
          <w:sz w:val="24"/>
        </w:rPr>
        <w:t>starts</w:t>
      </w:r>
      <w:r w:rsidR="00343605" w:rsidRPr="00A277C7">
        <w:rPr>
          <w:sz w:val="24"/>
        </w:rPr>
        <w:t xml:space="preserve"> in</w:t>
      </w:r>
      <w:r w:rsidR="00A135BA" w:rsidRPr="00A277C7">
        <w:rPr>
          <w:sz w:val="24"/>
        </w:rPr>
        <w:t xml:space="preserve"> Asia Pacific and</w:t>
      </w:r>
      <w:r w:rsidR="00343605" w:rsidRPr="00A277C7">
        <w:rPr>
          <w:sz w:val="24"/>
        </w:rPr>
        <w:t xml:space="preserve"> will be scaled up</w:t>
      </w:r>
      <w:r w:rsidR="00A135BA" w:rsidRPr="00A277C7">
        <w:rPr>
          <w:sz w:val="24"/>
        </w:rPr>
        <w:t xml:space="preserve"> to</w:t>
      </w:r>
      <w:r w:rsidR="00343605" w:rsidRPr="00A277C7">
        <w:rPr>
          <w:sz w:val="24"/>
        </w:rPr>
        <w:t xml:space="preserve"> cover</w:t>
      </w:r>
      <w:r w:rsidR="00A135BA" w:rsidRPr="00A277C7">
        <w:rPr>
          <w:sz w:val="24"/>
        </w:rPr>
        <w:t xml:space="preserve"> the Americas, Europe, Middle East and Africa. </w:t>
      </w:r>
    </w:p>
    <w:p w14:paraId="2AA330B7" w14:textId="51CFEC73" w:rsidR="001414CD" w:rsidRPr="001414CD" w:rsidRDefault="00B26BF1" w:rsidP="00741139">
      <w:pPr>
        <w:pStyle w:val="JLLPRbodytext"/>
        <w:spacing w:after="120"/>
        <w:rPr>
          <w:color w:val="000000" w:themeColor="text1"/>
          <w:sz w:val="24"/>
        </w:rPr>
      </w:pPr>
      <w:r w:rsidRPr="00A277C7">
        <w:rPr>
          <w:color w:val="000000" w:themeColor="text1"/>
          <w:sz w:val="24"/>
        </w:rPr>
        <w:t xml:space="preserve"> </w:t>
      </w:r>
      <w:r w:rsidR="001414CD" w:rsidRPr="00A277C7">
        <w:rPr>
          <w:color w:val="000000" w:themeColor="text1"/>
          <w:sz w:val="24"/>
        </w:rPr>
        <w:t xml:space="preserve">“Our partnership with Jones Lang LaSalle and our extensive portfolio in lighting solutions will allow us to help drive the adoption of energy-efficient and sustainable lighting solutions on a large scale in the commercial real estate space,” said </w:t>
      </w:r>
      <w:proofErr w:type="spellStart"/>
      <w:r w:rsidR="001414CD" w:rsidRPr="00A277C7">
        <w:rPr>
          <w:color w:val="000000" w:themeColor="text1"/>
          <w:sz w:val="24"/>
        </w:rPr>
        <w:t>Harjit</w:t>
      </w:r>
      <w:proofErr w:type="spellEnd"/>
      <w:r w:rsidR="001414CD" w:rsidRPr="00A277C7">
        <w:rPr>
          <w:color w:val="000000" w:themeColor="text1"/>
          <w:sz w:val="24"/>
        </w:rPr>
        <w:t xml:space="preserve"> Gill, Chief Executive Officer for Philips in ASEAN &amp; Pacific. “This partnership will further demonstrate our capabilities to manage global lighting consultancy services to maximize value for our customers.”  </w:t>
      </w:r>
    </w:p>
    <w:p w14:paraId="08D7EE30" w14:textId="39E4D415" w:rsidR="00526099" w:rsidRDefault="00025A1E" w:rsidP="00741139">
      <w:pPr>
        <w:pStyle w:val="JLLPRbodytext"/>
        <w:spacing w:after="120"/>
        <w:rPr>
          <w:sz w:val="24"/>
        </w:rPr>
      </w:pPr>
      <w:r w:rsidRPr="00A277C7">
        <w:rPr>
          <w:sz w:val="24"/>
        </w:rPr>
        <w:t>Michael Raphael, Head of Supply Chain Management and Procurement for Jones Lang LaSalle, said</w:t>
      </w:r>
      <w:r w:rsidR="00087B0B" w:rsidRPr="00A277C7">
        <w:rPr>
          <w:sz w:val="24"/>
        </w:rPr>
        <w:t>:</w:t>
      </w:r>
      <w:r w:rsidRPr="00A277C7">
        <w:rPr>
          <w:sz w:val="24"/>
        </w:rPr>
        <w:t xml:space="preserve"> “Jones Lang LaSalle is pleased to partner with Philips to present a global lighting solution to companies worldwide. This agreement has the potential to drive environmental change while meeting corporate aspirations to move to LED and other low energy options. Our partnership with Philips is </w:t>
      </w:r>
      <w:r w:rsidR="00F93675" w:rsidRPr="00A277C7">
        <w:rPr>
          <w:sz w:val="24"/>
        </w:rPr>
        <w:t>an important</w:t>
      </w:r>
      <w:r w:rsidRPr="00A277C7">
        <w:rPr>
          <w:sz w:val="24"/>
        </w:rPr>
        <w:t xml:space="preserve"> step in helping our clients </w:t>
      </w:r>
      <w:r w:rsidR="00F93675" w:rsidRPr="00A277C7">
        <w:rPr>
          <w:sz w:val="24"/>
        </w:rPr>
        <w:t xml:space="preserve">to </w:t>
      </w:r>
      <w:r w:rsidRPr="00A277C7">
        <w:rPr>
          <w:sz w:val="24"/>
        </w:rPr>
        <w:t>identify opportunities to lower energy usage, deliver more productive workspaces and, in some cases, obtain carbon credits.”</w:t>
      </w:r>
    </w:p>
    <w:p w14:paraId="30AEE8FF" w14:textId="1EE6D763" w:rsidR="00B26BF1" w:rsidRPr="00A277C7" w:rsidRDefault="00B26BF1" w:rsidP="00741139">
      <w:pPr>
        <w:pStyle w:val="JLLPRbodytext"/>
        <w:spacing w:after="120"/>
        <w:rPr>
          <w:sz w:val="24"/>
        </w:rPr>
      </w:pPr>
      <w:r>
        <w:rPr>
          <w:sz w:val="24"/>
        </w:rPr>
        <w:t>“</w:t>
      </w:r>
      <w:r w:rsidRPr="006C346B">
        <w:rPr>
          <w:sz w:val="24"/>
        </w:rPr>
        <w:t xml:space="preserve">The agreement can offer energy savings of up to USD 100million a year for Jones Lang LaSalle clients in Asia Pacific, changing the way commercial and industrial interiors are illuminated. In Asia Pacific alone, Jones Lang LaSalle manages more than 70 million light points for over 150 corporate clients. Given the global scale of the partnership, this has the potential to drive significant energy savings as approximately 40 </w:t>
      </w:r>
      <w:proofErr w:type="spellStart"/>
      <w:r w:rsidRPr="006C346B">
        <w:rPr>
          <w:sz w:val="24"/>
        </w:rPr>
        <w:t>percent</w:t>
      </w:r>
      <w:proofErr w:type="spellEnd"/>
      <w:r w:rsidRPr="006C346B">
        <w:rPr>
          <w:sz w:val="24"/>
        </w:rPr>
        <w:t xml:space="preserve"> of electricity consumption in b</w:t>
      </w:r>
      <w:r>
        <w:rPr>
          <w:sz w:val="24"/>
        </w:rPr>
        <w:t xml:space="preserve">uildings is </w:t>
      </w:r>
      <w:proofErr w:type="gramStart"/>
      <w:r>
        <w:rPr>
          <w:sz w:val="24"/>
        </w:rPr>
        <w:t>related</w:t>
      </w:r>
      <w:proofErr w:type="gramEnd"/>
      <w:r>
        <w:rPr>
          <w:sz w:val="24"/>
        </w:rPr>
        <w:t xml:space="preserve"> to lighting,” said Raphael. </w:t>
      </w:r>
    </w:p>
    <w:p w14:paraId="6C788B8E" w14:textId="7A265501" w:rsidR="00A135BA" w:rsidRPr="00A277C7" w:rsidRDefault="005F3C6D" w:rsidP="00741139">
      <w:pPr>
        <w:pStyle w:val="JLLPRbodytext"/>
        <w:spacing w:after="120"/>
        <w:rPr>
          <w:sz w:val="24"/>
        </w:rPr>
      </w:pPr>
      <w:r w:rsidRPr="00A277C7">
        <w:rPr>
          <w:sz w:val="24"/>
        </w:rPr>
        <w:t xml:space="preserve">Both companies will also provide consultancy on energy management with intelligent lighting solutions and controls with new and existing customers. </w:t>
      </w:r>
    </w:p>
    <w:p w14:paraId="38BF24C7" w14:textId="1AA3E9BE" w:rsidR="008D0E11" w:rsidRPr="00A277C7" w:rsidRDefault="008D0E11">
      <w:pPr>
        <w:pStyle w:val="JLLPRcontinued"/>
        <w:keepNext/>
        <w:keepLines/>
        <w:rPr>
          <w:sz w:val="24"/>
        </w:rPr>
      </w:pPr>
      <w:r w:rsidRPr="00A277C7">
        <w:rPr>
          <w:sz w:val="24"/>
        </w:rPr>
        <w:t xml:space="preserve">– </w:t>
      </w:r>
      <w:proofErr w:type="gramStart"/>
      <w:r w:rsidRPr="00A277C7">
        <w:rPr>
          <w:sz w:val="24"/>
        </w:rPr>
        <w:t>ends</w:t>
      </w:r>
      <w:proofErr w:type="gramEnd"/>
      <w:r w:rsidRPr="00A277C7">
        <w:rPr>
          <w:sz w:val="24"/>
        </w:rPr>
        <w:t xml:space="preserve"> –</w:t>
      </w:r>
    </w:p>
    <w:p w14:paraId="027576B4" w14:textId="77777777" w:rsidR="00427172" w:rsidRDefault="00427172">
      <w:pPr>
        <w:rPr>
          <w:rFonts w:ascii="Arial Narrow" w:hAnsi="Arial Narrow"/>
          <w:color w:val="868F98"/>
        </w:rPr>
      </w:pPr>
      <w:r>
        <w:rPr>
          <w:color w:val="868F98"/>
        </w:rPr>
        <w:br w:type="page"/>
      </w:r>
    </w:p>
    <w:p w14:paraId="77F5F46E" w14:textId="77777777" w:rsidR="001414CD" w:rsidRPr="00A277C7" w:rsidRDefault="001414CD" w:rsidP="001414CD">
      <w:pPr>
        <w:rPr>
          <w:rFonts w:ascii="Arial Narrow" w:hAnsi="Arial Narrow"/>
          <w:u w:val="single"/>
        </w:rPr>
      </w:pPr>
      <w:r w:rsidRPr="00A277C7">
        <w:rPr>
          <w:rFonts w:ascii="Arial Narrow" w:hAnsi="Arial Narrow"/>
          <w:u w:val="single"/>
        </w:rPr>
        <w:lastRenderedPageBreak/>
        <w:t>Royal Philips Electronics</w:t>
      </w:r>
    </w:p>
    <w:tbl>
      <w:tblPr>
        <w:tblW w:w="0" w:type="auto"/>
        <w:tblCellMar>
          <w:left w:w="0" w:type="dxa"/>
          <w:right w:w="0" w:type="dxa"/>
        </w:tblCellMar>
        <w:tblLook w:val="01E0" w:firstRow="1" w:lastRow="1" w:firstColumn="1" w:lastColumn="1" w:noHBand="0" w:noVBand="0"/>
      </w:tblPr>
      <w:tblGrid>
        <w:gridCol w:w="1276"/>
        <w:gridCol w:w="3614"/>
        <w:gridCol w:w="3614"/>
      </w:tblGrid>
      <w:tr w:rsidR="001414CD" w:rsidRPr="00A277C7" w14:paraId="38615A4B" w14:textId="77777777" w:rsidTr="00E77FCE">
        <w:tc>
          <w:tcPr>
            <w:tcW w:w="1276" w:type="dxa"/>
          </w:tcPr>
          <w:p w14:paraId="31AF09FC" w14:textId="77777777" w:rsidR="001414CD" w:rsidRPr="00A277C7" w:rsidRDefault="001414CD" w:rsidP="00E77FCE">
            <w:pPr>
              <w:pStyle w:val="JLLPRrowheader"/>
              <w:rPr>
                <w:rFonts w:ascii="Arial Narrow" w:hAnsi="Arial Narrow"/>
                <w:sz w:val="24"/>
              </w:rPr>
            </w:pPr>
            <w:r w:rsidRPr="00A277C7">
              <w:rPr>
                <w:rFonts w:ascii="Arial Narrow" w:hAnsi="Arial Narrow"/>
                <w:sz w:val="24"/>
              </w:rPr>
              <w:t>Contact:</w:t>
            </w:r>
          </w:p>
        </w:tc>
        <w:tc>
          <w:tcPr>
            <w:tcW w:w="3614" w:type="dxa"/>
          </w:tcPr>
          <w:p w14:paraId="231EE34A" w14:textId="77777777" w:rsidR="001414CD" w:rsidRPr="00A277C7" w:rsidRDefault="001414CD" w:rsidP="00E77FCE">
            <w:pPr>
              <w:pStyle w:val="JLLPRrowcontent"/>
              <w:rPr>
                <w:rFonts w:ascii="Arial Narrow" w:hAnsi="Arial Narrow"/>
                <w:sz w:val="24"/>
              </w:rPr>
            </w:pPr>
            <w:r w:rsidRPr="00A277C7">
              <w:rPr>
                <w:rFonts w:ascii="Arial Narrow" w:hAnsi="Arial Narrow"/>
                <w:sz w:val="24"/>
              </w:rPr>
              <w:t xml:space="preserve">Elvin </w:t>
            </w:r>
            <w:proofErr w:type="spellStart"/>
            <w:r w:rsidRPr="00A277C7">
              <w:rPr>
                <w:rFonts w:ascii="Arial Narrow" w:hAnsi="Arial Narrow"/>
                <w:sz w:val="24"/>
              </w:rPr>
              <w:t>Ong</w:t>
            </w:r>
            <w:proofErr w:type="spellEnd"/>
          </w:p>
        </w:tc>
        <w:tc>
          <w:tcPr>
            <w:tcW w:w="3614" w:type="dxa"/>
          </w:tcPr>
          <w:p w14:paraId="73024015" w14:textId="77777777" w:rsidR="001414CD" w:rsidRPr="00A277C7" w:rsidRDefault="001414CD" w:rsidP="00E77FCE">
            <w:pPr>
              <w:pStyle w:val="JLLPRrowcontent"/>
              <w:rPr>
                <w:rFonts w:ascii="Arial Narrow" w:hAnsi="Arial Narrow"/>
                <w:sz w:val="24"/>
              </w:rPr>
            </w:pPr>
          </w:p>
        </w:tc>
      </w:tr>
      <w:tr w:rsidR="001414CD" w:rsidRPr="00A277C7" w14:paraId="7B7BE5F7" w14:textId="77777777" w:rsidTr="00E77FCE">
        <w:trPr>
          <w:trHeight w:val="252"/>
        </w:trPr>
        <w:tc>
          <w:tcPr>
            <w:tcW w:w="1276" w:type="dxa"/>
          </w:tcPr>
          <w:p w14:paraId="09D1C20C" w14:textId="77777777" w:rsidR="001414CD" w:rsidRPr="00A277C7" w:rsidRDefault="001414CD" w:rsidP="00E77FCE">
            <w:pPr>
              <w:pStyle w:val="JLLPRrowheader"/>
              <w:rPr>
                <w:rFonts w:ascii="Arial Narrow" w:hAnsi="Arial Narrow"/>
                <w:sz w:val="24"/>
              </w:rPr>
            </w:pPr>
            <w:r w:rsidRPr="00A277C7">
              <w:rPr>
                <w:rFonts w:ascii="Arial Narrow" w:hAnsi="Arial Narrow"/>
                <w:sz w:val="24"/>
              </w:rPr>
              <w:t>Phone:</w:t>
            </w:r>
          </w:p>
        </w:tc>
        <w:tc>
          <w:tcPr>
            <w:tcW w:w="3614" w:type="dxa"/>
          </w:tcPr>
          <w:p w14:paraId="4F0DEED2" w14:textId="77777777" w:rsidR="001414CD" w:rsidRPr="00A277C7" w:rsidRDefault="001414CD" w:rsidP="00E77FCE">
            <w:pPr>
              <w:pStyle w:val="JLLPRrowcontent"/>
              <w:rPr>
                <w:rFonts w:ascii="Arial Narrow" w:hAnsi="Arial Narrow"/>
                <w:sz w:val="24"/>
              </w:rPr>
            </w:pPr>
            <w:r w:rsidRPr="00A277C7">
              <w:rPr>
                <w:rFonts w:ascii="Arial Narrow" w:hAnsi="Arial Narrow"/>
                <w:sz w:val="24"/>
              </w:rPr>
              <w:t>+65 9829 2055</w:t>
            </w:r>
          </w:p>
        </w:tc>
        <w:tc>
          <w:tcPr>
            <w:tcW w:w="3614" w:type="dxa"/>
          </w:tcPr>
          <w:p w14:paraId="648FCB6C" w14:textId="77777777" w:rsidR="001414CD" w:rsidRPr="00A277C7" w:rsidRDefault="001414CD" w:rsidP="00E77FCE">
            <w:pPr>
              <w:pStyle w:val="JLLPRrowcontent"/>
              <w:rPr>
                <w:rFonts w:ascii="Arial Narrow" w:hAnsi="Arial Narrow"/>
                <w:sz w:val="24"/>
              </w:rPr>
            </w:pPr>
          </w:p>
        </w:tc>
      </w:tr>
      <w:tr w:rsidR="001414CD" w:rsidRPr="00A277C7" w14:paraId="54B86154" w14:textId="77777777" w:rsidTr="00E77FCE">
        <w:tc>
          <w:tcPr>
            <w:tcW w:w="1276" w:type="dxa"/>
          </w:tcPr>
          <w:p w14:paraId="5B323EF9" w14:textId="77777777" w:rsidR="001414CD" w:rsidRPr="00A277C7" w:rsidRDefault="001414CD" w:rsidP="00E77FCE">
            <w:pPr>
              <w:pStyle w:val="JLLPRrowheader"/>
              <w:rPr>
                <w:rFonts w:ascii="Arial Narrow" w:hAnsi="Arial Narrow"/>
                <w:sz w:val="24"/>
              </w:rPr>
            </w:pPr>
            <w:r w:rsidRPr="00A277C7">
              <w:rPr>
                <w:rFonts w:ascii="Arial Narrow" w:hAnsi="Arial Narrow"/>
                <w:sz w:val="24"/>
              </w:rPr>
              <w:t>Email:</w:t>
            </w:r>
          </w:p>
        </w:tc>
        <w:tc>
          <w:tcPr>
            <w:tcW w:w="3614" w:type="dxa"/>
          </w:tcPr>
          <w:p w14:paraId="31A6B53E" w14:textId="77777777" w:rsidR="001414CD" w:rsidRPr="00A277C7" w:rsidRDefault="0021690B" w:rsidP="00E77FCE">
            <w:pPr>
              <w:pStyle w:val="JLLPRrowcontent"/>
              <w:rPr>
                <w:rFonts w:ascii="Arial Narrow" w:hAnsi="Arial Narrow"/>
                <w:color w:val="0000FF"/>
                <w:sz w:val="24"/>
              </w:rPr>
            </w:pPr>
            <w:hyperlink r:id="rId12" w:history="1">
              <w:r w:rsidR="001414CD" w:rsidRPr="00A277C7">
                <w:rPr>
                  <w:rStyle w:val="Hyperlink"/>
                  <w:rFonts w:ascii="Arial Narrow" w:hAnsi="Arial Narrow"/>
                  <w:color w:val="0000FF"/>
                  <w:sz w:val="24"/>
                </w:rPr>
                <w:t xml:space="preserve">elvin.ong@philips.com </w:t>
              </w:r>
            </w:hyperlink>
            <w:r w:rsidR="001414CD" w:rsidRPr="00A277C7">
              <w:rPr>
                <w:rFonts w:ascii="Arial Narrow" w:hAnsi="Arial Narrow"/>
                <w:color w:val="0000FF"/>
                <w:sz w:val="24"/>
              </w:rPr>
              <w:t xml:space="preserve"> </w:t>
            </w:r>
          </w:p>
        </w:tc>
        <w:tc>
          <w:tcPr>
            <w:tcW w:w="3614" w:type="dxa"/>
          </w:tcPr>
          <w:p w14:paraId="6383DCBE" w14:textId="77777777" w:rsidR="001414CD" w:rsidRPr="00A277C7" w:rsidRDefault="001414CD" w:rsidP="00E77FCE">
            <w:pPr>
              <w:pStyle w:val="JLLPRrowcontent"/>
              <w:rPr>
                <w:rFonts w:ascii="Arial Narrow" w:hAnsi="Arial Narrow"/>
                <w:sz w:val="24"/>
              </w:rPr>
            </w:pPr>
          </w:p>
        </w:tc>
      </w:tr>
    </w:tbl>
    <w:p w14:paraId="7BD6BBF7" w14:textId="77777777" w:rsidR="001414CD" w:rsidRDefault="001414CD">
      <w:pPr>
        <w:pStyle w:val="JLLPRbodytext"/>
        <w:keepNext/>
        <w:keepLines/>
        <w:jc w:val="center"/>
        <w:rPr>
          <w:color w:val="868F98"/>
          <w:sz w:val="24"/>
        </w:rPr>
      </w:pPr>
    </w:p>
    <w:p w14:paraId="17F2C7DA" w14:textId="2B9807F1" w:rsidR="008D0E11" w:rsidRPr="00A277C7" w:rsidRDefault="008D0E11">
      <w:pPr>
        <w:pStyle w:val="JLLPRbodytext"/>
        <w:keepNext/>
        <w:keepLines/>
        <w:jc w:val="center"/>
        <w:rPr>
          <w:vanish/>
          <w:color w:val="868F98"/>
          <w:sz w:val="24"/>
        </w:rPr>
      </w:pPr>
      <w:r w:rsidRPr="00A277C7">
        <w:rPr>
          <w:vanish/>
          <w:color w:val="868F98"/>
          <w:sz w:val="24"/>
        </w:rPr>
        <w:t>DO NOT DELETE THIS TEXT</w:t>
      </w:r>
    </w:p>
    <w:p w14:paraId="3978B7F1" w14:textId="0EBF4A2F" w:rsidR="00D61242" w:rsidRPr="00A277C7" w:rsidRDefault="00D61242" w:rsidP="00D61242">
      <w:pPr>
        <w:rPr>
          <w:rFonts w:ascii="Arial Narrow" w:hAnsi="Arial Narrow"/>
          <w:u w:val="single"/>
        </w:rPr>
      </w:pPr>
      <w:r w:rsidRPr="00A277C7">
        <w:rPr>
          <w:rFonts w:ascii="Arial Narrow" w:hAnsi="Arial Narrow"/>
          <w:u w:val="single"/>
        </w:rPr>
        <w:t>Jones Lang LaSalle</w:t>
      </w:r>
    </w:p>
    <w:tbl>
      <w:tblPr>
        <w:tblW w:w="0" w:type="auto"/>
        <w:tblCellMar>
          <w:left w:w="0" w:type="dxa"/>
          <w:right w:w="0" w:type="dxa"/>
        </w:tblCellMar>
        <w:tblLook w:val="01E0" w:firstRow="1" w:lastRow="1" w:firstColumn="1" w:lastColumn="1" w:noHBand="0" w:noVBand="0"/>
      </w:tblPr>
      <w:tblGrid>
        <w:gridCol w:w="1276"/>
        <w:gridCol w:w="3614"/>
        <w:gridCol w:w="3614"/>
      </w:tblGrid>
      <w:tr w:rsidR="00D61242" w:rsidRPr="00A277C7" w14:paraId="7A404DD6" w14:textId="77777777" w:rsidTr="00D61242">
        <w:tc>
          <w:tcPr>
            <w:tcW w:w="1276" w:type="dxa"/>
          </w:tcPr>
          <w:p w14:paraId="673574B6" w14:textId="77777777" w:rsidR="00D61242" w:rsidRPr="00A277C7" w:rsidRDefault="00D61242" w:rsidP="00D61242">
            <w:pPr>
              <w:pStyle w:val="JLLPRrowheader"/>
              <w:rPr>
                <w:rFonts w:ascii="Arial Narrow" w:hAnsi="Arial Narrow"/>
                <w:sz w:val="24"/>
              </w:rPr>
            </w:pPr>
            <w:r w:rsidRPr="00A277C7">
              <w:rPr>
                <w:rFonts w:ascii="Arial Narrow" w:hAnsi="Arial Narrow"/>
                <w:sz w:val="24"/>
              </w:rPr>
              <w:t>Contact:</w:t>
            </w:r>
          </w:p>
        </w:tc>
        <w:tc>
          <w:tcPr>
            <w:tcW w:w="3614" w:type="dxa"/>
          </w:tcPr>
          <w:p w14:paraId="08CB53FF" w14:textId="50082F08" w:rsidR="00D61242" w:rsidRPr="00A277C7" w:rsidRDefault="007E71F0" w:rsidP="00D61242">
            <w:pPr>
              <w:pStyle w:val="JLLPRrowcontent"/>
              <w:rPr>
                <w:rFonts w:ascii="Arial Narrow" w:hAnsi="Arial Narrow"/>
                <w:sz w:val="24"/>
              </w:rPr>
            </w:pPr>
            <w:proofErr w:type="spellStart"/>
            <w:r w:rsidRPr="00A277C7">
              <w:rPr>
                <w:rFonts w:ascii="Arial Narrow" w:hAnsi="Arial Narrow"/>
                <w:sz w:val="24"/>
              </w:rPr>
              <w:t>Zina</w:t>
            </w:r>
            <w:proofErr w:type="spellEnd"/>
            <w:r w:rsidR="00EB583D" w:rsidRPr="00A277C7">
              <w:rPr>
                <w:rFonts w:ascii="Arial Narrow" w:hAnsi="Arial Narrow"/>
                <w:sz w:val="24"/>
              </w:rPr>
              <w:t xml:space="preserve"> Zhang</w:t>
            </w:r>
          </w:p>
        </w:tc>
        <w:tc>
          <w:tcPr>
            <w:tcW w:w="3614" w:type="dxa"/>
          </w:tcPr>
          <w:p w14:paraId="7B6203FF" w14:textId="77777777" w:rsidR="00D61242" w:rsidRPr="00A277C7" w:rsidRDefault="00D61242" w:rsidP="00D61242">
            <w:pPr>
              <w:pStyle w:val="JLLPRrowcontent"/>
              <w:rPr>
                <w:rFonts w:ascii="Arial Narrow" w:hAnsi="Arial Narrow"/>
                <w:sz w:val="24"/>
              </w:rPr>
            </w:pPr>
          </w:p>
        </w:tc>
      </w:tr>
      <w:tr w:rsidR="00D61242" w:rsidRPr="00A277C7" w14:paraId="0E181652" w14:textId="77777777" w:rsidTr="00D61242">
        <w:trPr>
          <w:trHeight w:val="252"/>
        </w:trPr>
        <w:tc>
          <w:tcPr>
            <w:tcW w:w="1276" w:type="dxa"/>
          </w:tcPr>
          <w:p w14:paraId="0FF702DB" w14:textId="77777777" w:rsidR="00D61242" w:rsidRPr="00A277C7" w:rsidRDefault="00D61242" w:rsidP="00D61242">
            <w:pPr>
              <w:pStyle w:val="JLLPRrowheader"/>
              <w:rPr>
                <w:rFonts w:ascii="Arial Narrow" w:hAnsi="Arial Narrow"/>
                <w:sz w:val="24"/>
              </w:rPr>
            </w:pPr>
            <w:r w:rsidRPr="00A277C7">
              <w:rPr>
                <w:rFonts w:ascii="Arial Narrow" w:hAnsi="Arial Narrow"/>
                <w:sz w:val="24"/>
              </w:rPr>
              <w:t>Phone:</w:t>
            </w:r>
          </w:p>
        </w:tc>
        <w:tc>
          <w:tcPr>
            <w:tcW w:w="3614" w:type="dxa"/>
          </w:tcPr>
          <w:p w14:paraId="123545A2" w14:textId="650137A5" w:rsidR="00D61242" w:rsidRPr="00A277C7" w:rsidRDefault="00D61242" w:rsidP="00EB583D">
            <w:pPr>
              <w:pStyle w:val="JLLPRrowcontent"/>
              <w:rPr>
                <w:rFonts w:ascii="Arial Narrow" w:hAnsi="Arial Narrow"/>
                <w:sz w:val="24"/>
              </w:rPr>
            </w:pPr>
            <w:r w:rsidRPr="00A277C7">
              <w:rPr>
                <w:rFonts w:ascii="Arial Narrow" w:hAnsi="Arial Narrow"/>
                <w:sz w:val="24"/>
              </w:rPr>
              <w:t xml:space="preserve">+65 </w:t>
            </w:r>
            <w:r w:rsidR="00EB583D" w:rsidRPr="00A277C7">
              <w:rPr>
                <w:rFonts w:ascii="Arial Narrow" w:hAnsi="Arial Narrow"/>
                <w:sz w:val="24"/>
              </w:rPr>
              <w:t>8423 3744</w:t>
            </w:r>
          </w:p>
        </w:tc>
        <w:tc>
          <w:tcPr>
            <w:tcW w:w="3614" w:type="dxa"/>
          </w:tcPr>
          <w:p w14:paraId="20BD0290" w14:textId="77777777" w:rsidR="00D61242" w:rsidRPr="00A277C7" w:rsidRDefault="00D61242" w:rsidP="00D61242">
            <w:pPr>
              <w:pStyle w:val="JLLPRrowcontent"/>
              <w:rPr>
                <w:rFonts w:ascii="Arial Narrow" w:hAnsi="Arial Narrow"/>
                <w:sz w:val="24"/>
              </w:rPr>
            </w:pPr>
          </w:p>
        </w:tc>
      </w:tr>
      <w:tr w:rsidR="00D61242" w:rsidRPr="00A277C7" w14:paraId="710C8DDD" w14:textId="77777777" w:rsidTr="00D61242">
        <w:tc>
          <w:tcPr>
            <w:tcW w:w="1276" w:type="dxa"/>
          </w:tcPr>
          <w:p w14:paraId="4D1D109E" w14:textId="77777777" w:rsidR="00D61242" w:rsidRPr="00A277C7" w:rsidRDefault="00D61242" w:rsidP="00D61242">
            <w:pPr>
              <w:pStyle w:val="JLLPRrowheader"/>
              <w:rPr>
                <w:rFonts w:ascii="Arial Narrow" w:hAnsi="Arial Narrow"/>
                <w:sz w:val="24"/>
              </w:rPr>
            </w:pPr>
            <w:r w:rsidRPr="00A277C7">
              <w:rPr>
                <w:rFonts w:ascii="Arial Narrow" w:hAnsi="Arial Narrow"/>
                <w:sz w:val="24"/>
              </w:rPr>
              <w:t>Email:</w:t>
            </w:r>
          </w:p>
        </w:tc>
        <w:tc>
          <w:tcPr>
            <w:tcW w:w="3614" w:type="dxa"/>
          </w:tcPr>
          <w:p w14:paraId="6F136C84" w14:textId="4C656FF6" w:rsidR="00D61242" w:rsidRPr="00A277C7" w:rsidRDefault="0021690B" w:rsidP="00D61242">
            <w:pPr>
              <w:pStyle w:val="JLLPRrowcontent"/>
              <w:rPr>
                <w:rFonts w:ascii="Arial Narrow" w:hAnsi="Arial Narrow"/>
                <w:color w:val="0000FF"/>
                <w:sz w:val="24"/>
              </w:rPr>
            </w:pPr>
            <w:hyperlink r:id="rId13" w:history="1">
              <w:r w:rsidR="00EB583D" w:rsidRPr="00A277C7">
                <w:rPr>
                  <w:rStyle w:val="Hyperlink"/>
                  <w:rFonts w:ascii="Arial Narrow" w:hAnsi="Arial Narrow"/>
                  <w:sz w:val="24"/>
                </w:rPr>
                <w:t>zina.zhang@ap.jll.com</w:t>
              </w:r>
            </w:hyperlink>
            <w:r w:rsidR="00D61242" w:rsidRPr="00A277C7">
              <w:rPr>
                <w:rFonts w:ascii="Arial Narrow" w:hAnsi="Arial Narrow"/>
                <w:color w:val="0000FF"/>
                <w:sz w:val="24"/>
              </w:rPr>
              <w:t xml:space="preserve"> </w:t>
            </w:r>
          </w:p>
        </w:tc>
        <w:tc>
          <w:tcPr>
            <w:tcW w:w="3614" w:type="dxa"/>
          </w:tcPr>
          <w:p w14:paraId="5736EC1A" w14:textId="77777777" w:rsidR="00D61242" w:rsidRPr="00A277C7" w:rsidRDefault="00D61242" w:rsidP="00D61242">
            <w:pPr>
              <w:pStyle w:val="JLLPRrowcontent"/>
              <w:rPr>
                <w:rFonts w:ascii="Arial Narrow" w:hAnsi="Arial Narrow"/>
                <w:sz w:val="24"/>
              </w:rPr>
            </w:pPr>
          </w:p>
        </w:tc>
      </w:tr>
    </w:tbl>
    <w:p w14:paraId="6CF50CBC" w14:textId="77777777" w:rsidR="00D61242" w:rsidRPr="00A277C7" w:rsidRDefault="00D61242" w:rsidP="00D61242">
      <w:pPr>
        <w:rPr>
          <w:rFonts w:ascii="Arial Narrow" w:hAnsi="Arial Narrow"/>
          <w:u w:val="single"/>
        </w:rPr>
      </w:pPr>
    </w:p>
    <w:p w14:paraId="3AB4217E" w14:textId="77777777" w:rsidR="00183004" w:rsidRPr="00A277C7" w:rsidRDefault="00183004" w:rsidP="006C1406">
      <w:pPr>
        <w:pStyle w:val="JLLPRfooterheading"/>
        <w:rPr>
          <w:b w:val="0"/>
          <w:color w:val="auto"/>
          <w:sz w:val="24"/>
        </w:rPr>
      </w:pPr>
    </w:p>
    <w:p w14:paraId="39A27130" w14:textId="77777777" w:rsidR="001414CD" w:rsidRPr="00A277C7" w:rsidRDefault="001414CD" w:rsidP="001414CD">
      <w:pPr>
        <w:rPr>
          <w:rFonts w:ascii="Arial Narrow" w:hAnsi="Arial Narrow"/>
          <w:b/>
        </w:rPr>
      </w:pPr>
      <w:r w:rsidRPr="00A277C7">
        <w:rPr>
          <w:rFonts w:ascii="Arial Narrow" w:hAnsi="Arial Narrow"/>
          <w:b/>
        </w:rPr>
        <w:t>About Royal Philips Electronics</w:t>
      </w:r>
    </w:p>
    <w:p w14:paraId="27DD0F36" w14:textId="77777777" w:rsidR="001414CD" w:rsidRPr="00244097" w:rsidRDefault="001414CD" w:rsidP="001414CD">
      <w:pPr>
        <w:rPr>
          <w:rFonts w:ascii="Arial Narrow" w:hAnsi="Arial Narrow"/>
        </w:rPr>
      </w:pPr>
      <w:r w:rsidRPr="00A277C7">
        <w:rPr>
          <w:rFonts w:ascii="Arial Narrow" w:hAnsi="Arial Narrow"/>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4" w:history="1">
        <w:r w:rsidRPr="00A277C7">
          <w:rPr>
            <w:rStyle w:val="Hyperlink"/>
            <w:rFonts w:ascii="Arial Narrow" w:hAnsi="Arial Narrow"/>
          </w:rPr>
          <w:t>www.philips.com/newscenter</w:t>
        </w:r>
      </w:hyperlink>
      <w:r>
        <w:rPr>
          <w:rFonts w:ascii="Arial Narrow" w:hAnsi="Arial Narrow"/>
        </w:rPr>
        <w:t>.</w:t>
      </w:r>
    </w:p>
    <w:p w14:paraId="41C9ACA0" w14:textId="598BFDF4" w:rsidR="00B950D2" w:rsidRPr="00A277C7" w:rsidRDefault="00B950D2" w:rsidP="00B950D2">
      <w:pPr>
        <w:spacing w:before="240"/>
        <w:rPr>
          <w:rFonts w:ascii="Arial Narrow" w:hAnsi="Arial Narrow"/>
          <w:b/>
        </w:rPr>
      </w:pPr>
      <w:r w:rsidRPr="00A277C7">
        <w:rPr>
          <w:rFonts w:ascii="Arial Narrow" w:hAnsi="Arial Narrow"/>
          <w:b/>
        </w:rPr>
        <w:t xml:space="preserve">About Jones Lang LaSalle </w:t>
      </w:r>
    </w:p>
    <w:p w14:paraId="4E2D08EB" w14:textId="7D620458" w:rsidR="00B950D2" w:rsidRPr="00A277C7" w:rsidRDefault="00B950D2" w:rsidP="00244097">
      <w:pPr>
        <w:rPr>
          <w:rFonts w:ascii="Arial Narrow" w:hAnsi="Arial Narrow"/>
        </w:rPr>
      </w:pPr>
      <w:r w:rsidRPr="00A277C7">
        <w:rPr>
          <w:rFonts w:ascii="Arial Narrow" w:hAnsi="Arial Narrow"/>
        </w:rPr>
        <w:t xml:space="preserve">Jones Lang LaSalle (NYSE:JLL) is a financial and professional services firm specializing in real estate. The firm offers integrated services delivered by expert teams worldwide to clients seeking increased value by owning, occupying or investing in real estate. With 2011 global revenue of $3.6 billion, Jones Lang LaSalle serves clients in 70 countries from more than 1,000 locations worldwide, including 200 corporate offices.  The firm is an industry leader in property and corporate facility management services, with a portfolio of approximately 2.1 billion square feet worldwide. LaSalle Investment Management, the company’s investment management business, is one of the </w:t>
      </w:r>
      <w:proofErr w:type="gramStart"/>
      <w:r w:rsidRPr="00A277C7">
        <w:rPr>
          <w:rFonts w:ascii="Arial Narrow" w:hAnsi="Arial Narrow"/>
        </w:rPr>
        <w:t>world’s</w:t>
      </w:r>
      <w:proofErr w:type="gramEnd"/>
      <w:r w:rsidRPr="00A277C7">
        <w:rPr>
          <w:rFonts w:ascii="Arial Narrow" w:hAnsi="Arial Narrow"/>
        </w:rPr>
        <w:t xml:space="preserve"> largest and most diverse in real estate with $47.2 billion of assets under management. </w:t>
      </w:r>
    </w:p>
    <w:p w14:paraId="691B6EA7" w14:textId="670D6FC6" w:rsidR="00B950D2" w:rsidRPr="00A277C7" w:rsidRDefault="00B950D2" w:rsidP="00B950D2">
      <w:pPr>
        <w:spacing w:before="240"/>
        <w:rPr>
          <w:rFonts w:ascii="Arial Narrow" w:hAnsi="Arial Narrow"/>
        </w:rPr>
      </w:pPr>
      <w:r w:rsidRPr="00A277C7">
        <w:rPr>
          <w:rFonts w:ascii="Arial Narrow" w:hAnsi="Arial Narrow"/>
        </w:rPr>
        <w:t xml:space="preserve">Jones Lang LaSalle has over 50 years of experience in Asia Pacific, with over 22,200 employees operating in 79 offices in 14 countries across the region. The firm was named ‘Best Property Consultancy’ in nine Asia Pacific countries at the International Property Awards Asia Pacific 2012, in association with HSBC, and was highly commended in a further three countries. For further information, please visit </w:t>
      </w:r>
      <w:hyperlink r:id="rId15" w:history="1">
        <w:r w:rsidR="00244097" w:rsidRPr="00A277C7">
          <w:rPr>
            <w:rStyle w:val="Hyperlink"/>
            <w:rFonts w:ascii="Arial Narrow" w:hAnsi="Arial Narrow"/>
          </w:rPr>
          <w:t>www.ap.joneslanglasalle.com</w:t>
        </w:r>
      </w:hyperlink>
      <w:r w:rsidR="00244097" w:rsidRPr="00A277C7">
        <w:rPr>
          <w:rFonts w:ascii="Arial Narrow" w:hAnsi="Arial Narrow"/>
        </w:rPr>
        <w:t xml:space="preserve"> or </w:t>
      </w:r>
      <w:r w:rsidRPr="00A277C7">
        <w:rPr>
          <w:rFonts w:ascii="Arial Narrow" w:hAnsi="Arial Narrow"/>
        </w:rPr>
        <w:t>200 East Randolph Drive Chicago Illinois 60601 │ 22 Hanover Square London W1A 2BN │ 9 Raffles Place #39–00 Republic Plaza Singapore 048619</w:t>
      </w:r>
    </w:p>
    <w:p w14:paraId="423ADBC2" w14:textId="77777777" w:rsidR="00244097" w:rsidRPr="00A277C7" w:rsidRDefault="00244097" w:rsidP="00244097">
      <w:pPr>
        <w:rPr>
          <w:rFonts w:ascii="Arial Narrow" w:hAnsi="Arial Narrow"/>
          <w:b/>
        </w:rPr>
      </w:pPr>
    </w:p>
    <w:sectPr w:rsidR="00244097" w:rsidRPr="00A277C7" w:rsidSect="008D0E11">
      <w:headerReference w:type="default" r:id="rId16"/>
      <w:headerReference w:type="first" r:id="rId17"/>
      <w:footerReference w:type="first" r:id="rId18"/>
      <w:pgSz w:w="11906" w:h="16838" w:code="9"/>
      <w:pgMar w:top="1440" w:right="1701" w:bottom="1440"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EF89D" w14:textId="77777777" w:rsidR="008B5FE9" w:rsidRDefault="008B5FE9">
      <w:r>
        <w:separator/>
      </w:r>
    </w:p>
  </w:endnote>
  <w:endnote w:type="continuationSeparator" w:id="0">
    <w:p w14:paraId="392A64A3" w14:textId="77777777" w:rsidR="008B5FE9" w:rsidRDefault="008B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4007" w14:textId="77777777" w:rsidR="00BC484A" w:rsidRDefault="00BC484A">
    <w:pPr>
      <w:pStyle w:val="Footer"/>
    </w:pPr>
    <w:r>
      <w:rPr>
        <w:noProof/>
        <w:lang w:val="en-US" w:eastAsia="en-US"/>
      </w:rPr>
      <mc:AlternateContent>
        <mc:Choice Requires="wps">
          <w:drawing>
            <wp:anchor distT="0" distB="0" distL="114300" distR="114300" simplePos="0" relativeHeight="251656704" behindDoc="0" locked="1" layoutInCell="1" allowOverlap="1" wp14:anchorId="4B035A6F" wp14:editId="5AB126F8">
              <wp:simplePos x="0" y="0"/>
              <wp:positionH relativeFrom="page">
                <wp:posOffset>2700655</wp:posOffset>
              </wp:positionH>
              <wp:positionV relativeFrom="page">
                <wp:posOffset>9728200</wp:posOffset>
              </wp:positionV>
              <wp:extent cx="2160270" cy="31178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BFFBF" w14:textId="77777777" w:rsidR="00BC484A" w:rsidRDefault="00BC484A">
                          <w:pPr>
                            <w:pStyle w:val="JLLPRcontinued"/>
                          </w:pPr>
                          <w:r>
                            <w:t xml:space="preserve">– </w:t>
                          </w:r>
                          <w:proofErr w:type="gramStart"/>
                          <w:r>
                            <w:t>continued</w:t>
                          </w:r>
                          <w:proofErr w:type="gramEnd"/>
                          <w:r>
                            <w:t xml:space="preserve"> –</w:t>
                          </w:r>
                        </w:p>
                        <w:p w14:paraId="440F0B71" w14:textId="77777777" w:rsidR="00BC484A" w:rsidRDefault="00BC4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7" type="#_x0000_t202" style="position:absolute;margin-left:212.65pt;margin-top:766pt;width:170.1pt;height:24.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" stroked="f">
              <v:textbox>
                <w:txbxContent>
                  <w:p w14:paraId="247BFFBF" w14:textId="77777777" w:rsidR="00BC484A" w:rsidRDefault="00BC484A">
                    <w:pPr>
                      <w:pStyle w:val="JLLPRcontinued"/>
                    </w:pPr>
                    <w:r>
                      <w:t xml:space="preserve">– </w:t>
                    </w:r>
                    <w:proofErr w:type="gramStart"/>
                    <w:r>
                      <w:t>continued</w:t>
                    </w:r>
                    <w:proofErr w:type="gramEnd"/>
                    <w:r>
                      <w:t xml:space="preserve"> –</w:t>
                    </w:r>
                  </w:p>
                  <w:p w14:paraId="440F0B71" w14:textId="77777777" w:rsidR="00BC484A" w:rsidRDefault="00BC484A"/>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912E5" w14:textId="77777777" w:rsidR="008B5FE9" w:rsidRDefault="008B5FE9">
      <w:r>
        <w:separator/>
      </w:r>
    </w:p>
  </w:footnote>
  <w:footnote w:type="continuationSeparator" w:id="0">
    <w:p w14:paraId="4032631F" w14:textId="77777777" w:rsidR="008B5FE9" w:rsidRDefault="008B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0933E" w14:textId="77777777" w:rsidR="00BC484A" w:rsidRDefault="00BC484A">
    <w:pPr>
      <w:pStyle w:val="Header"/>
    </w:pPr>
  </w:p>
  <w:tbl>
    <w:tblPr>
      <w:tblW w:w="0" w:type="auto"/>
      <w:tblLook w:val="0000" w:firstRow="0" w:lastRow="0" w:firstColumn="0" w:lastColumn="0" w:noHBand="0" w:noVBand="0"/>
    </w:tblPr>
    <w:tblGrid>
      <w:gridCol w:w="8720"/>
    </w:tblGrid>
    <w:tr w:rsidR="00BC484A" w14:paraId="745F5A60" w14:textId="77777777">
      <w:tc>
        <w:tcPr>
          <w:tcW w:w="8720" w:type="dxa"/>
        </w:tcPr>
        <w:p w14:paraId="22FD8EE3" w14:textId="046AE9AB" w:rsidR="00BC484A" w:rsidRPr="00410A11" w:rsidRDefault="00BC484A" w:rsidP="00410A11">
          <w:pPr>
            <w:pStyle w:val="JLLPRbodytext"/>
            <w:rPr>
              <w:b/>
              <w:i/>
              <w:color w:val="000000" w:themeColor="text1"/>
              <w:sz w:val="28"/>
              <w:szCs w:val="28"/>
            </w:rPr>
          </w:pPr>
          <w:r w:rsidRPr="00B502D3">
            <w:rPr>
              <w:b/>
              <w:i/>
              <w:color w:val="000000" w:themeColor="text1"/>
              <w:sz w:val="28"/>
              <w:szCs w:val="28"/>
            </w:rPr>
            <w:t>Global lighting partnership to lead transformation in corporate real estate</w:t>
          </w:r>
        </w:p>
      </w:tc>
    </w:tr>
  </w:tbl>
  <w:p w14:paraId="3E0D0AF8" w14:textId="77777777" w:rsidR="00BC484A" w:rsidRDefault="00BC4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73B54" w14:textId="77777777" w:rsidR="00BC484A" w:rsidRDefault="00BC484A" w:rsidP="00851795">
    <w:pPr>
      <w:pStyle w:val="JLLPRheader"/>
    </w:pPr>
    <w:r>
      <w:rPr>
        <w:noProof/>
        <w:lang w:val="en-US" w:eastAsia="en-US"/>
      </w:rPr>
      <w:drawing>
        <wp:anchor distT="0" distB="0" distL="114300" distR="114300" simplePos="0" relativeHeight="251660800" behindDoc="1" locked="0" layoutInCell="1" allowOverlap="1" wp14:anchorId="2618CE99" wp14:editId="1B5308EE">
          <wp:simplePos x="0" y="0"/>
          <wp:positionH relativeFrom="column">
            <wp:posOffset>3429000</wp:posOffset>
          </wp:positionH>
          <wp:positionV relativeFrom="paragraph">
            <wp:posOffset>123825</wp:posOffset>
          </wp:positionV>
          <wp:extent cx="1828800" cy="336550"/>
          <wp:effectExtent l="0" t="0" r="0" b="0"/>
          <wp:wrapTight wrapText="bothSides">
            <wp:wrapPolygon edited="0">
              <wp:start x="0" y="0"/>
              <wp:lineTo x="0" y="19562"/>
              <wp:lineTo x="21300" y="19562"/>
              <wp:lineTo x="21300" y="0"/>
              <wp:lineTo x="0" y="0"/>
            </wp:wrapPolygon>
          </wp:wrapTight>
          <wp:docPr id="18" name="Picture 18"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2EABE234" w14:textId="77777777" w:rsidR="00BC484A" w:rsidRDefault="00BC484A">
    <w:pPr>
      <w:pStyle w:val="JLLPRheader"/>
    </w:pPr>
    <w:r>
      <w:rPr>
        <w:noProof/>
        <w:lang w:val="en-US" w:eastAsia="en-US"/>
      </w:rPr>
      <mc:AlternateContent>
        <mc:Choice Requires="wps">
          <w:drawing>
            <wp:anchor distT="0" distB="0" distL="114300" distR="114300" simplePos="0" relativeHeight="251658752" behindDoc="0" locked="0" layoutInCell="1" allowOverlap="1" wp14:anchorId="311696D7" wp14:editId="4AA5859B">
              <wp:simplePos x="0" y="0"/>
              <wp:positionH relativeFrom="column">
                <wp:posOffset>-901700</wp:posOffset>
              </wp:positionH>
              <wp:positionV relativeFrom="paragraph">
                <wp:posOffset>-238125</wp:posOffset>
              </wp:positionV>
              <wp:extent cx="2259965" cy="1282065"/>
              <wp:effectExtent l="3175" t="0" r="381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28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B4B8405" w14:textId="77777777" w:rsidR="00BC484A" w:rsidRDefault="00BC484A" w:rsidP="00E276CE">
                          <w:r>
                            <w:rPr>
                              <w:noProof/>
                              <w:lang w:val="en-US" w:eastAsia="en-US"/>
                            </w:rPr>
                            <w:drawing>
                              <wp:inline distT="0" distB="0" distL="0" distR="0" wp14:anchorId="118DEB51" wp14:editId="0C893D66">
                                <wp:extent cx="2078990" cy="1190625"/>
                                <wp:effectExtent l="0" t="0" r="0" b="9525"/>
                                <wp:docPr id="10" name="Picture 10" descr="JLL-Strap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LL-Strap_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990"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8" o:spid="_x0000_s1026" type="#_x0000_t202" style="position:absolute;margin-left:-71pt;margin-top:-18.75pt;width:177.95pt;height:10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VStwIAALo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" filled="f" stroked="f" strokecolor="blue">
              <v:textbox>
                <w:txbxContent>
                  <w:p w14:paraId="6B4B8405" w14:textId="77777777" w:rsidR="00BC484A" w:rsidRDefault="00BC484A" w:rsidP="00E276CE">
                    <w:r>
                      <w:rPr>
                        <w:noProof/>
                        <w:lang w:val="en-US" w:eastAsia="en-US"/>
                      </w:rPr>
                      <w:drawing>
                        <wp:inline distT="0" distB="0" distL="0" distR="0" wp14:anchorId="118DEB51" wp14:editId="0C893D66">
                          <wp:extent cx="2078990" cy="1190625"/>
                          <wp:effectExtent l="0" t="0" r="0" b="9525"/>
                          <wp:docPr id="10" name="Picture 10" descr="JLL-Strap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LL-Strap_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8990" cy="1190625"/>
                                  </a:xfrm>
                                  <a:prstGeom prst="rect">
                                    <a:avLst/>
                                  </a:prstGeom>
                                  <a:noFill/>
                                  <a:ln>
                                    <a:noFill/>
                                  </a:ln>
                                </pic:spPr>
                              </pic:pic>
                            </a:graphicData>
                          </a:graphic>
                        </wp:inline>
                      </w:drawing>
                    </w:r>
                  </w:p>
                </w:txbxContent>
              </v:textbox>
            </v:shape>
          </w:pict>
        </mc:Fallback>
      </mc:AlternateContent>
    </w:r>
  </w:p>
  <w:p w14:paraId="1311B2D2" w14:textId="77777777" w:rsidR="00BC484A" w:rsidRDefault="00BC484A">
    <w:pPr>
      <w:pStyle w:val="JLLPRheader"/>
    </w:pPr>
    <w:r>
      <w:tab/>
    </w:r>
    <w:r>
      <w:tab/>
    </w:r>
  </w:p>
  <w:p w14:paraId="2905D22C" w14:textId="77777777" w:rsidR="00BC484A" w:rsidRDefault="00BC484A">
    <w:pPr>
      <w:pStyle w:val="JLLPRheader"/>
    </w:pPr>
  </w:p>
  <w:p w14:paraId="5F5C9815" w14:textId="77777777" w:rsidR="00BC484A" w:rsidRDefault="00BC484A">
    <w:pPr>
      <w:pStyle w:val="JLLPRheader"/>
    </w:pPr>
  </w:p>
  <w:p w14:paraId="7E433D02" w14:textId="77777777" w:rsidR="00BC484A" w:rsidRDefault="00BC484A">
    <w:pPr>
      <w:pStyle w:val="JLLPRheader"/>
    </w:pPr>
  </w:p>
  <w:p w14:paraId="74887EB1" w14:textId="77777777" w:rsidR="00BC484A" w:rsidRDefault="00BC484A">
    <w:pPr>
      <w:pStyle w:val="JLLPR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142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728E968"/>
    <w:lvl w:ilvl="0">
      <w:start w:val="1"/>
      <w:numFmt w:val="decimal"/>
      <w:lvlText w:val="%1."/>
      <w:lvlJc w:val="left"/>
      <w:pPr>
        <w:tabs>
          <w:tab w:val="num" w:pos="1492"/>
        </w:tabs>
        <w:ind w:left="1492" w:hanging="360"/>
      </w:pPr>
    </w:lvl>
  </w:abstractNum>
  <w:abstractNum w:abstractNumId="2">
    <w:nsid w:val="FFFFFF7D"/>
    <w:multiLevelType w:val="singleLevel"/>
    <w:tmpl w:val="2628454A"/>
    <w:lvl w:ilvl="0">
      <w:start w:val="1"/>
      <w:numFmt w:val="decimal"/>
      <w:lvlText w:val="%1."/>
      <w:lvlJc w:val="left"/>
      <w:pPr>
        <w:tabs>
          <w:tab w:val="num" w:pos="1209"/>
        </w:tabs>
        <w:ind w:left="1209" w:hanging="360"/>
      </w:pPr>
    </w:lvl>
  </w:abstractNum>
  <w:abstractNum w:abstractNumId="3">
    <w:nsid w:val="FFFFFF7E"/>
    <w:multiLevelType w:val="singleLevel"/>
    <w:tmpl w:val="FC8A004A"/>
    <w:lvl w:ilvl="0">
      <w:start w:val="1"/>
      <w:numFmt w:val="decimal"/>
      <w:lvlText w:val="%1."/>
      <w:lvlJc w:val="left"/>
      <w:pPr>
        <w:tabs>
          <w:tab w:val="num" w:pos="926"/>
        </w:tabs>
        <w:ind w:left="926" w:hanging="360"/>
      </w:pPr>
    </w:lvl>
  </w:abstractNum>
  <w:abstractNum w:abstractNumId="4">
    <w:nsid w:val="FFFFFF7F"/>
    <w:multiLevelType w:val="singleLevel"/>
    <w:tmpl w:val="B5BEDA7A"/>
    <w:lvl w:ilvl="0">
      <w:start w:val="1"/>
      <w:numFmt w:val="decimal"/>
      <w:lvlText w:val="%1."/>
      <w:lvlJc w:val="left"/>
      <w:pPr>
        <w:tabs>
          <w:tab w:val="num" w:pos="643"/>
        </w:tabs>
        <w:ind w:left="643" w:hanging="360"/>
      </w:pPr>
    </w:lvl>
  </w:abstractNum>
  <w:abstractNum w:abstractNumId="5">
    <w:nsid w:val="FFFFFF80"/>
    <w:multiLevelType w:val="singleLevel"/>
    <w:tmpl w:val="49BACBB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D329F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23A4C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83E30B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5DA72B4"/>
    <w:lvl w:ilvl="0">
      <w:start w:val="1"/>
      <w:numFmt w:val="decimal"/>
      <w:lvlText w:val="%1."/>
      <w:lvlJc w:val="left"/>
      <w:pPr>
        <w:tabs>
          <w:tab w:val="num" w:pos="360"/>
        </w:tabs>
        <w:ind w:left="360" w:hanging="360"/>
      </w:pPr>
    </w:lvl>
  </w:abstractNum>
  <w:abstractNum w:abstractNumId="10">
    <w:nsid w:val="FFFFFF89"/>
    <w:multiLevelType w:val="singleLevel"/>
    <w:tmpl w:val="4CF4C406"/>
    <w:lvl w:ilvl="0">
      <w:start w:val="1"/>
      <w:numFmt w:val="bullet"/>
      <w:lvlText w:val=""/>
      <w:lvlJc w:val="left"/>
      <w:pPr>
        <w:tabs>
          <w:tab w:val="num" w:pos="360"/>
        </w:tabs>
        <w:ind w:left="360" w:hanging="360"/>
      </w:pPr>
      <w:rPr>
        <w:rFonts w:ascii="Symbol" w:hAnsi="Symbol" w:hint="default"/>
      </w:rPr>
    </w:lvl>
  </w:abstractNum>
  <w:abstractNum w:abstractNumId="11">
    <w:nsid w:val="444135FD"/>
    <w:multiLevelType w:val="hybridMultilevel"/>
    <w:tmpl w:val="8D0C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7"/>
    <w:rsid w:val="000037C1"/>
    <w:rsid w:val="00004DA4"/>
    <w:rsid w:val="00004F7E"/>
    <w:rsid w:val="000109D1"/>
    <w:rsid w:val="00025A1E"/>
    <w:rsid w:val="00025E76"/>
    <w:rsid w:val="000713A9"/>
    <w:rsid w:val="00082000"/>
    <w:rsid w:val="00087B0B"/>
    <w:rsid w:val="000A1600"/>
    <w:rsid w:val="000B498E"/>
    <w:rsid w:val="000E64FB"/>
    <w:rsid w:val="00112915"/>
    <w:rsid w:val="00116975"/>
    <w:rsid w:val="00124034"/>
    <w:rsid w:val="00133989"/>
    <w:rsid w:val="0013583A"/>
    <w:rsid w:val="001414CD"/>
    <w:rsid w:val="0016370F"/>
    <w:rsid w:val="001661AC"/>
    <w:rsid w:val="00171D7A"/>
    <w:rsid w:val="00183004"/>
    <w:rsid w:val="001B10E9"/>
    <w:rsid w:val="001B7DC7"/>
    <w:rsid w:val="001E45E4"/>
    <w:rsid w:val="00213465"/>
    <w:rsid w:val="0021690B"/>
    <w:rsid w:val="00217B83"/>
    <w:rsid w:val="002209F3"/>
    <w:rsid w:val="00220F62"/>
    <w:rsid w:val="002222B8"/>
    <w:rsid w:val="00241E08"/>
    <w:rsid w:val="00244097"/>
    <w:rsid w:val="002577C4"/>
    <w:rsid w:val="0026159A"/>
    <w:rsid w:val="00282274"/>
    <w:rsid w:val="0028717B"/>
    <w:rsid w:val="002B1A6E"/>
    <w:rsid w:val="002B27B1"/>
    <w:rsid w:val="002E66C6"/>
    <w:rsid w:val="002E6DCC"/>
    <w:rsid w:val="002F05CB"/>
    <w:rsid w:val="00313C8E"/>
    <w:rsid w:val="00316968"/>
    <w:rsid w:val="003257E7"/>
    <w:rsid w:val="0033235F"/>
    <w:rsid w:val="00334BEA"/>
    <w:rsid w:val="00342D56"/>
    <w:rsid w:val="00343605"/>
    <w:rsid w:val="0035273C"/>
    <w:rsid w:val="0037538B"/>
    <w:rsid w:val="003761E4"/>
    <w:rsid w:val="003B6253"/>
    <w:rsid w:val="003D42CD"/>
    <w:rsid w:val="003D5449"/>
    <w:rsid w:val="003E009E"/>
    <w:rsid w:val="003E2A05"/>
    <w:rsid w:val="003F17A7"/>
    <w:rsid w:val="003F3D22"/>
    <w:rsid w:val="00410A11"/>
    <w:rsid w:val="00427172"/>
    <w:rsid w:val="00462581"/>
    <w:rsid w:val="00464FA2"/>
    <w:rsid w:val="004A2687"/>
    <w:rsid w:val="004A6E51"/>
    <w:rsid w:val="004B4563"/>
    <w:rsid w:val="004B529D"/>
    <w:rsid w:val="004C59AD"/>
    <w:rsid w:val="004D7109"/>
    <w:rsid w:val="004F07AA"/>
    <w:rsid w:val="00506B7B"/>
    <w:rsid w:val="00515B85"/>
    <w:rsid w:val="00526099"/>
    <w:rsid w:val="005425EF"/>
    <w:rsid w:val="00570C5A"/>
    <w:rsid w:val="00585D6E"/>
    <w:rsid w:val="00590235"/>
    <w:rsid w:val="005B27A4"/>
    <w:rsid w:val="005D550A"/>
    <w:rsid w:val="005F3C6D"/>
    <w:rsid w:val="005F4F0F"/>
    <w:rsid w:val="006028E6"/>
    <w:rsid w:val="00604891"/>
    <w:rsid w:val="00615617"/>
    <w:rsid w:val="006170BD"/>
    <w:rsid w:val="00620797"/>
    <w:rsid w:val="006258DE"/>
    <w:rsid w:val="00641FAC"/>
    <w:rsid w:val="006421BF"/>
    <w:rsid w:val="00655131"/>
    <w:rsid w:val="006756A1"/>
    <w:rsid w:val="00680198"/>
    <w:rsid w:val="006B051A"/>
    <w:rsid w:val="006B44AB"/>
    <w:rsid w:val="006C1406"/>
    <w:rsid w:val="006C346B"/>
    <w:rsid w:val="006D3B24"/>
    <w:rsid w:val="006E2617"/>
    <w:rsid w:val="00704C4D"/>
    <w:rsid w:val="00741139"/>
    <w:rsid w:val="0074322C"/>
    <w:rsid w:val="00750599"/>
    <w:rsid w:val="00755535"/>
    <w:rsid w:val="00760652"/>
    <w:rsid w:val="007656FB"/>
    <w:rsid w:val="007759A8"/>
    <w:rsid w:val="0079274A"/>
    <w:rsid w:val="00796441"/>
    <w:rsid w:val="007D1439"/>
    <w:rsid w:val="007E71F0"/>
    <w:rsid w:val="00810759"/>
    <w:rsid w:val="00830A72"/>
    <w:rsid w:val="00835A42"/>
    <w:rsid w:val="00851795"/>
    <w:rsid w:val="00851F72"/>
    <w:rsid w:val="008705AC"/>
    <w:rsid w:val="0088150D"/>
    <w:rsid w:val="00884DEA"/>
    <w:rsid w:val="008938E9"/>
    <w:rsid w:val="00895CE8"/>
    <w:rsid w:val="008A16AF"/>
    <w:rsid w:val="008B5FE9"/>
    <w:rsid w:val="008C0A1D"/>
    <w:rsid w:val="008C65C8"/>
    <w:rsid w:val="008D0E11"/>
    <w:rsid w:val="009057A0"/>
    <w:rsid w:val="0092439D"/>
    <w:rsid w:val="009257AC"/>
    <w:rsid w:val="0095047F"/>
    <w:rsid w:val="00951B8F"/>
    <w:rsid w:val="00957734"/>
    <w:rsid w:val="00973FE0"/>
    <w:rsid w:val="009A7DF9"/>
    <w:rsid w:val="009B3A08"/>
    <w:rsid w:val="009C34E3"/>
    <w:rsid w:val="009D7AB7"/>
    <w:rsid w:val="00A01B68"/>
    <w:rsid w:val="00A12A2C"/>
    <w:rsid w:val="00A135BA"/>
    <w:rsid w:val="00A25F9A"/>
    <w:rsid w:val="00A277C7"/>
    <w:rsid w:val="00A36953"/>
    <w:rsid w:val="00A412E7"/>
    <w:rsid w:val="00A9661A"/>
    <w:rsid w:val="00AD1E73"/>
    <w:rsid w:val="00AD2192"/>
    <w:rsid w:val="00AE0F0C"/>
    <w:rsid w:val="00B062AA"/>
    <w:rsid w:val="00B15C1C"/>
    <w:rsid w:val="00B26BF1"/>
    <w:rsid w:val="00B502D3"/>
    <w:rsid w:val="00B57297"/>
    <w:rsid w:val="00B6185D"/>
    <w:rsid w:val="00B91FE9"/>
    <w:rsid w:val="00B923DC"/>
    <w:rsid w:val="00B950D2"/>
    <w:rsid w:val="00BA020F"/>
    <w:rsid w:val="00BA0F97"/>
    <w:rsid w:val="00BC013E"/>
    <w:rsid w:val="00BC484A"/>
    <w:rsid w:val="00BE2EA2"/>
    <w:rsid w:val="00C14D6D"/>
    <w:rsid w:val="00C42F26"/>
    <w:rsid w:val="00C64DD2"/>
    <w:rsid w:val="00C65CF6"/>
    <w:rsid w:val="00C75F69"/>
    <w:rsid w:val="00C773E4"/>
    <w:rsid w:val="00C81795"/>
    <w:rsid w:val="00CB2883"/>
    <w:rsid w:val="00CB2D03"/>
    <w:rsid w:val="00CC1818"/>
    <w:rsid w:val="00CC3221"/>
    <w:rsid w:val="00CE1BD6"/>
    <w:rsid w:val="00CE3728"/>
    <w:rsid w:val="00CE775D"/>
    <w:rsid w:val="00D00E60"/>
    <w:rsid w:val="00D61242"/>
    <w:rsid w:val="00D640C1"/>
    <w:rsid w:val="00D751EE"/>
    <w:rsid w:val="00D8051B"/>
    <w:rsid w:val="00D97F0F"/>
    <w:rsid w:val="00DA1F6D"/>
    <w:rsid w:val="00DA587D"/>
    <w:rsid w:val="00DA65D4"/>
    <w:rsid w:val="00DC33FB"/>
    <w:rsid w:val="00DE442B"/>
    <w:rsid w:val="00DF3A71"/>
    <w:rsid w:val="00E121DA"/>
    <w:rsid w:val="00E276CE"/>
    <w:rsid w:val="00E42E7C"/>
    <w:rsid w:val="00E73DDC"/>
    <w:rsid w:val="00EA7C35"/>
    <w:rsid w:val="00EB583D"/>
    <w:rsid w:val="00EC1B42"/>
    <w:rsid w:val="00EC74B9"/>
    <w:rsid w:val="00EE3DE3"/>
    <w:rsid w:val="00F16E97"/>
    <w:rsid w:val="00F175DD"/>
    <w:rsid w:val="00F30F1D"/>
    <w:rsid w:val="00F93675"/>
    <w:rsid w:val="00FB19FE"/>
    <w:rsid w:val="00FC249A"/>
    <w:rsid w:val="00FC43A7"/>
    <w:rsid w:val="00FE0745"/>
    <w:rsid w:val="00FE47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835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JLLPRdoctitle">
    <w:name w:val="JLL_PR doctitle"/>
    <w:rPr>
      <w:color w:val="D21034"/>
      <w:sz w:val="64"/>
      <w:szCs w:val="24"/>
    </w:rPr>
  </w:style>
  <w:style w:type="paragraph" w:customStyle="1" w:styleId="JLLPRrowheader">
    <w:name w:val="JLL_PR row header"/>
    <w:pPr>
      <w:spacing w:line="280" w:lineRule="exact"/>
    </w:pPr>
    <w:rPr>
      <w:sz w:val="23"/>
      <w:szCs w:val="24"/>
    </w:rPr>
  </w:style>
  <w:style w:type="paragraph" w:customStyle="1" w:styleId="JLLPRrowcontent">
    <w:name w:val="JLL_PR row content"/>
    <w:basedOn w:val="JLLPRrowheader"/>
  </w:style>
  <w:style w:type="paragraph" w:customStyle="1" w:styleId="JLLPRheader">
    <w:name w:val="JLL_PR header"/>
    <w:basedOn w:val="Header"/>
    <w:pPr>
      <w:spacing w:line="260" w:lineRule="exact"/>
    </w:pPr>
    <w:rPr>
      <w:sz w:val="23"/>
    </w:rPr>
  </w:style>
  <w:style w:type="paragraph" w:customStyle="1" w:styleId="JLLPRheadline">
    <w:name w:val="JLL_PR headline"/>
    <w:next w:val="JLLPRsubheadline"/>
    <w:pPr>
      <w:spacing w:before="620" w:after="60" w:line="320" w:lineRule="exact"/>
    </w:pPr>
    <w:rPr>
      <w:rFonts w:ascii="Arial Narrow" w:hAnsi="Arial Narrow"/>
      <w:b/>
      <w:sz w:val="28"/>
      <w:szCs w:val="24"/>
    </w:rPr>
  </w:style>
  <w:style w:type="paragraph" w:customStyle="1" w:styleId="JLLPRsubheadline">
    <w:name w:val="JLL_PR sub headline"/>
    <w:next w:val="JLLPRbodytext"/>
    <w:pPr>
      <w:spacing w:after="420" w:line="320" w:lineRule="exact"/>
      <w:contextualSpacing/>
    </w:pPr>
    <w:rPr>
      <w:rFonts w:ascii="Arial Narrow" w:hAnsi="Arial Narrow"/>
      <w:i/>
      <w:sz w:val="28"/>
      <w:szCs w:val="24"/>
    </w:rPr>
  </w:style>
  <w:style w:type="paragraph" w:customStyle="1" w:styleId="JLLPRbodytext">
    <w:name w:val="JLL_PR body text"/>
    <w:pPr>
      <w:spacing w:after="140" w:line="320" w:lineRule="exact"/>
    </w:pPr>
    <w:rPr>
      <w:rFonts w:ascii="Arial Narrow" w:hAnsi="Arial Narrow"/>
      <w:sz w:val="23"/>
      <w:szCs w:val="24"/>
    </w:rPr>
  </w:style>
  <w:style w:type="paragraph" w:customStyle="1" w:styleId="JLLPRsecondpageheader">
    <w:name w:val="JLL_PR second page header"/>
    <w:basedOn w:val="JLLPRheadline"/>
    <w:pPr>
      <w:spacing w:before="0"/>
    </w:pPr>
  </w:style>
  <w:style w:type="paragraph" w:customStyle="1" w:styleId="JLLPRcontinued">
    <w:name w:val="JLL_PR  continued"/>
    <w:basedOn w:val="JLLPRbodytext"/>
    <w:pPr>
      <w:spacing w:after="0"/>
      <w:jc w:val="center"/>
    </w:pPr>
  </w:style>
  <w:style w:type="paragraph" w:customStyle="1" w:styleId="JLLPRfooterheading">
    <w:name w:val="JLL_PR footer heading"/>
    <w:pPr>
      <w:spacing w:after="60" w:line="140" w:lineRule="exact"/>
    </w:pPr>
    <w:rPr>
      <w:rFonts w:ascii="Arial Narrow" w:hAnsi="Arial Narrow"/>
      <w:b/>
      <w:color w:val="868F98"/>
      <w:sz w:val="12"/>
      <w:szCs w:val="24"/>
    </w:rPr>
  </w:style>
  <w:style w:type="paragraph" w:customStyle="1" w:styleId="JLLPRfootertext">
    <w:name w:val="JLL_PR footer text"/>
    <w:basedOn w:val="JLLPRfooterheading"/>
    <w:pPr>
      <w:spacing w:line="150" w:lineRule="exact"/>
      <w:jc w:val="both"/>
    </w:pPr>
    <w:rPr>
      <w:b w:val="0"/>
    </w:rPr>
  </w:style>
  <w:style w:type="paragraph" w:customStyle="1" w:styleId="JLLPRSpace">
    <w:name w:val="JLL_PR Space"/>
    <w:basedOn w:val="Normal"/>
    <w:pPr>
      <w:spacing w:line="20" w:lineRule="exact"/>
    </w:pPr>
    <w:rPr>
      <w:sz w:val="2"/>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254F9"/>
    <w:rPr>
      <w:color w:val="000000"/>
      <w:u w:val="single"/>
    </w:rPr>
  </w:style>
  <w:style w:type="character" w:styleId="FollowedHyperlink">
    <w:name w:val="FollowedHyperlink"/>
    <w:uiPriority w:val="99"/>
    <w:unhideWhenUsed/>
    <w:rsid w:val="005254F9"/>
    <w:rPr>
      <w:color w:val="000000"/>
      <w:u w:val="single"/>
    </w:rPr>
  </w:style>
  <w:style w:type="character" w:styleId="CommentReference">
    <w:name w:val="annotation reference"/>
    <w:basedOn w:val="DefaultParagraphFont"/>
    <w:rsid w:val="00585D6E"/>
    <w:rPr>
      <w:sz w:val="16"/>
      <w:szCs w:val="16"/>
    </w:rPr>
  </w:style>
  <w:style w:type="paragraph" w:styleId="CommentText">
    <w:name w:val="annotation text"/>
    <w:basedOn w:val="Normal"/>
    <w:link w:val="CommentTextChar"/>
    <w:rsid w:val="00585D6E"/>
    <w:rPr>
      <w:sz w:val="20"/>
      <w:szCs w:val="20"/>
    </w:rPr>
  </w:style>
  <w:style w:type="character" w:customStyle="1" w:styleId="CommentTextChar">
    <w:name w:val="Comment Text Char"/>
    <w:basedOn w:val="DefaultParagraphFont"/>
    <w:link w:val="CommentText"/>
    <w:rsid w:val="00585D6E"/>
  </w:style>
  <w:style w:type="paragraph" w:styleId="CommentSubject">
    <w:name w:val="annotation subject"/>
    <w:basedOn w:val="CommentText"/>
    <w:next w:val="CommentText"/>
    <w:link w:val="CommentSubjectChar"/>
    <w:rsid w:val="00585D6E"/>
    <w:rPr>
      <w:b/>
      <w:bCs/>
    </w:rPr>
  </w:style>
  <w:style w:type="character" w:customStyle="1" w:styleId="CommentSubjectChar">
    <w:name w:val="Comment Subject Char"/>
    <w:basedOn w:val="CommentTextChar"/>
    <w:link w:val="CommentSubject"/>
    <w:rsid w:val="00585D6E"/>
    <w:rPr>
      <w:b/>
      <w:bCs/>
    </w:rPr>
  </w:style>
  <w:style w:type="paragraph" w:styleId="FootnoteText">
    <w:name w:val="footnote text"/>
    <w:basedOn w:val="Normal"/>
    <w:link w:val="FootnoteTextChar"/>
    <w:rsid w:val="006C1406"/>
  </w:style>
  <w:style w:type="character" w:customStyle="1" w:styleId="FootnoteTextChar">
    <w:name w:val="Footnote Text Char"/>
    <w:basedOn w:val="DefaultParagraphFont"/>
    <w:link w:val="FootnoteText"/>
    <w:rsid w:val="006C1406"/>
    <w:rPr>
      <w:sz w:val="24"/>
      <w:szCs w:val="24"/>
    </w:rPr>
  </w:style>
  <w:style w:type="character" w:styleId="FootnoteReference">
    <w:name w:val="footnote reference"/>
    <w:basedOn w:val="DefaultParagraphFont"/>
    <w:rsid w:val="006C1406"/>
    <w:rPr>
      <w:vertAlign w:val="superscript"/>
    </w:rPr>
  </w:style>
  <w:style w:type="paragraph" w:styleId="NormalWeb">
    <w:name w:val="Normal (Web)"/>
    <w:basedOn w:val="Normal"/>
    <w:uiPriority w:val="99"/>
    <w:unhideWhenUsed/>
    <w:rsid w:val="00EB583D"/>
    <w:pPr>
      <w:spacing w:before="100" w:beforeAutospacing="1" w:after="100" w:afterAutospacing="1"/>
    </w:pPr>
    <w:rPr>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JLLPRdoctitle">
    <w:name w:val="JLL_PR doctitle"/>
    <w:rPr>
      <w:color w:val="D21034"/>
      <w:sz w:val="64"/>
      <w:szCs w:val="24"/>
    </w:rPr>
  </w:style>
  <w:style w:type="paragraph" w:customStyle="1" w:styleId="JLLPRrowheader">
    <w:name w:val="JLL_PR row header"/>
    <w:pPr>
      <w:spacing w:line="280" w:lineRule="exact"/>
    </w:pPr>
    <w:rPr>
      <w:sz w:val="23"/>
      <w:szCs w:val="24"/>
    </w:rPr>
  </w:style>
  <w:style w:type="paragraph" w:customStyle="1" w:styleId="JLLPRrowcontent">
    <w:name w:val="JLL_PR row content"/>
    <w:basedOn w:val="JLLPRrowheader"/>
  </w:style>
  <w:style w:type="paragraph" w:customStyle="1" w:styleId="JLLPRheader">
    <w:name w:val="JLL_PR header"/>
    <w:basedOn w:val="Header"/>
    <w:pPr>
      <w:spacing w:line="260" w:lineRule="exact"/>
    </w:pPr>
    <w:rPr>
      <w:sz w:val="23"/>
    </w:rPr>
  </w:style>
  <w:style w:type="paragraph" w:customStyle="1" w:styleId="JLLPRheadline">
    <w:name w:val="JLL_PR headline"/>
    <w:next w:val="JLLPRsubheadline"/>
    <w:pPr>
      <w:spacing w:before="620" w:after="60" w:line="320" w:lineRule="exact"/>
    </w:pPr>
    <w:rPr>
      <w:rFonts w:ascii="Arial Narrow" w:hAnsi="Arial Narrow"/>
      <w:b/>
      <w:sz w:val="28"/>
      <w:szCs w:val="24"/>
    </w:rPr>
  </w:style>
  <w:style w:type="paragraph" w:customStyle="1" w:styleId="JLLPRsubheadline">
    <w:name w:val="JLL_PR sub headline"/>
    <w:next w:val="JLLPRbodytext"/>
    <w:pPr>
      <w:spacing w:after="420" w:line="320" w:lineRule="exact"/>
      <w:contextualSpacing/>
    </w:pPr>
    <w:rPr>
      <w:rFonts w:ascii="Arial Narrow" w:hAnsi="Arial Narrow"/>
      <w:i/>
      <w:sz w:val="28"/>
      <w:szCs w:val="24"/>
    </w:rPr>
  </w:style>
  <w:style w:type="paragraph" w:customStyle="1" w:styleId="JLLPRbodytext">
    <w:name w:val="JLL_PR body text"/>
    <w:pPr>
      <w:spacing w:after="140" w:line="320" w:lineRule="exact"/>
    </w:pPr>
    <w:rPr>
      <w:rFonts w:ascii="Arial Narrow" w:hAnsi="Arial Narrow"/>
      <w:sz w:val="23"/>
      <w:szCs w:val="24"/>
    </w:rPr>
  </w:style>
  <w:style w:type="paragraph" w:customStyle="1" w:styleId="JLLPRsecondpageheader">
    <w:name w:val="JLL_PR second page header"/>
    <w:basedOn w:val="JLLPRheadline"/>
    <w:pPr>
      <w:spacing w:before="0"/>
    </w:pPr>
  </w:style>
  <w:style w:type="paragraph" w:customStyle="1" w:styleId="JLLPRcontinued">
    <w:name w:val="JLL_PR  continued"/>
    <w:basedOn w:val="JLLPRbodytext"/>
    <w:pPr>
      <w:spacing w:after="0"/>
      <w:jc w:val="center"/>
    </w:pPr>
  </w:style>
  <w:style w:type="paragraph" w:customStyle="1" w:styleId="JLLPRfooterheading">
    <w:name w:val="JLL_PR footer heading"/>
    <w:pPr>
      <w:spacing w:after="60" w:line="140" w:lineRule="exact"/>
    </w:pPr>
    <w:rPr>
      <w:rFonts w:ascii="Arial Narrow" w:hAnsi="Arial Narrow"/>
      <w:b/>
      <w:color w:val="868F98"/>
      <w:sz w:val="12"/>
      <w:szCs w:val="24"/>
    </w:rPr>
  </w:style>
  <w:style w:type="paragraph" w:customStyle="1" w:styleId="JLLPRfootertext">
    <w:name w:val="JLL_PR footer text"/>
    <w:basedOn w:val="JLLPRfooterheading"/>
    <w:pPr>
      <w:spacing w:line="150" w:lineRule="exact"/>
      <w:jc w:val="both"/>
    </w:pPr>
    <w:rPr>
      <w:b w:val="0"/>
    </w:rPr>
  </w:style>
  <w:style w:type="paragraph" w:customStyle="1" w:styleId="JLLPRSpace">
    <w:name w:val="JLL_PR Space"/>
    <w:basedOn w:val="Normal"/>
    <w:pPr>
      <w:spacing w:line="20" w:lineRule="exact"/>
    </w:pPr>
    <w:rPr>
      <w:sz w:val="2"/>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254F9"/>
    <w:rPr>
      <w:color w:val="000000"/>
      <w:u w:val="single"/>
    </w:rPr>
  </w:style>
  <w:style w:type="character" w:styleId="FollowedHyperlink">
    <w:name w:val="FollowedHyperlink"/>
    <w:uiPriority w:val="99"/>
    <w:unhideWhenUsed/>
    <w:rsid w:val="005254F9"/>
    <w:rPr>
      <w:color w:val="000000"/>
      <w:u w:val="single"/>
    </w:rPr>
  </w:style>
  <w:style w:type="character" w:styleId="CommentReference">
    <w:name w:val="annotation reference"/>
    <w:basedOn w:val="DefaultParagraphFont"/>
    <w:rsid w:val="00585D6E"/>
    <w:rPr>
      <w:sz w:val="16"/>
      <w:szCs w:val="16"/>
    </w:rPr>
  </w:style>
  <w:style w:type="paragraph" w:styleId="CommentText">
    <w:name w:val="annotation text"/>
    <w:basedOn w:val="Normal"/>
    <w:link w:val="CommentTextChar"/>
    <w:rsid w:val="00585D6E"/>
    <w:rPr>
      <w:sz w:val="20"/>
      <w:szCs w:val="20"/>
    </w:rPr>
  </w:style>
  <w:style w:type="character" w:customStyle="1" w:styleId="CommentTextChar">
    <w:name w:val="Comment Text Char"/>
    <w:basedOn w:val="DefaultParagraphFont"/>
    <w:link w:val="CommentText"/>
    <w:rsid w:val="00585D6E"/>
  </w:style>
  <w:style w:type="paragraph" w:styleId="CommentSubject">
    <w:name w:val="annotation subject"/>
    <w:basedOn w:val="CommentText"/>
    <w:next w:val="CommentText"/>
    <w:link w:val="CommentSubjectChar"/>
    <w:rsid w:val="00585D6E"/>
    <w:rPr>
      <w:b/>
      <w:bCs/>
    </w:rPr>
  </w:style>
  <w:style w:type="character" w:customStyle="1" w:styleId="CommentSubjectChar">
    <w:name w:val="Comment Subject Char"/>
    <w:basedOn w:val="CommentTextChar"/>
    <w:link w:val="CommentSubject"/>
    <w:rsid w:val="00585D6E"/>
    <w:rPr>
      <w:b/>
      <w:bCs/>
    </w:rPr>
  </w:style>
  <w:style w:type="paragraph" w:styleId="FootnoteText">
    <w:name w:val="footnote text"/>
    <w:basedOn w:val="Normal"/>
    <w:link w:val="FootnoteTextChar"/>
    <w:rsid w:val="006C1406"/>
  </w:style>
  <w:style w:type="character" w:customStyle="1" w:styleId="FootnoteTextChar">
    <w:name w:val="Footnote Text Char"/>
    <w:basedOn w:val="DefaultParagraphFont"/>
    <w:link w:val="FootnoteText"/>
    <w:rsid w:val="006C1406"/>
    <w:rPr>
      <w:sz w:val="24"/>
      <w:szCs w:val="24"/>
    </w:rPr>
  </w:style>
  <w:style w:type="character" w:styleId="FootnoteReference">
    <w:name w:val="footnote reference"/>
    <w:basedOn w:val="DefaultParagraphFont"/>
    <w:rsid w:val="006C1406"/>
    <w:rPr>
      <w:vertAlign w:val="superscript"/>
    </w:rPr>
  </w:style>
  <w:style w:type="paragraph" w:styleId="NormalWeb">
    <w:name w:val="Normal (Web)"/>
    <w:basedOn w:val="Normal"/>
    <w:uiPriority w:val="99"/>
    <w:unhideWhenUsed/>
    <w:rsid w:val="00EB583D"/>
    <w:pPr>
      <w:spacing w:before="100" w:beforeAutospacing="1" w:after="100" w:afterAutospacing="1"/>
    </w:pPr>
    <w:rPr>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60805">
      <w:bodyDiv w:val="1"/>
      <w:marLeft w:val="0"/>
      <w:marRight w:val="0"/>
      <w:marTop w:val="0"/>
      <w:marBottom w:val="0"/>
      <w:divBdr>
        <w:top w:val="none" w:sz="0" w:space="0" w:color="auto"/>
        <w:left w:val="none" w:sz="0" w:space="0" w:color="auto"/>
        <w:bottom w:val="none" w:sz="0" w:space="0" w:color="auto"/>
        <w:right w:val="none" w:sz="0" w:space="0" w:color="auto"/>
      </w:divBdr>
      <w:divsChild>
        <w:div w:id="718436970">
          <w:marLeft w:val="403"/>
          <w:marRight w:val="0"/>
          <w:marTop w:val="96"/>
          <w:marBottom w:val="0"/>
          <w:divBdr>
            <w:top w:val="none" w:sz="0" w:space="0" w:color="auto"/>
            <w:left w:val="none" w:sz="0" w:space="0" w:color="auto"/>
            <w:bottom w:val="none" w:sz="0" w:space="0" w:color="auto"/>
            <w:right w:val="none" w:sz="0" w:space="0" w:color="auto"/>
          </w:divBdr>
        </w:div>
      </w:divsChild>
    </w:div>
    <w:div w:id="1718965379">
      <w:bodyDiv w:val="1"/>
      <w:marLeft w:val="0"/>
      <w:marRight w:val="0"/>
      <w:marTop w:val="0"/>
      <w:marBottom w:val="0"/>
      <w:divBdr>
        <w:top w:val="none" w:sz="0" w:space="0" w:color="auto"/>
        <w:left w:val="none" w:sz="0" w:space="0" w:color="auto"/>
        <w:bottom w:val="none" w:sz="0" w:space="0" w:color="auto"/>
        <w:right w:val="none" w:sz="0" w:space="0" w:color="auto"/>
      </w:divBdr>
      <w:divsChild>
        <w:div w:id="407003055">
          <w:marLeft w:val="0"/>
          <w:marRight w:val="0"/>
          <w:marTop w:val="0"/>
          <w:marBottom w:val="0"/>
          <w:divBdr>
            <w:top w:val="none" w:sz="0" w:space="0" w:color="auto"/>
            <w:left w:val="none" w:sz="0" w:space="0" w:color="auto"/>
            <w:bottom w:val="none" w:sz="0" w:space="0" w:color="auto"/>
            <w:right w:val="none" w:sz="0" w:space="0" w:color="auto"/>
          </w:divBdr>
          <w:divsChild>
            <w:div w:id="1147623457">
              <w:marLeft w:val="0"/>
              <w:marRight w:val="0"/>
              <w:marTop w:val="0"/>
              <w:marBottom w:val="0"/>
              <w:divBdr>
                <w:top w:val="none" w:sz="0" w:space="0" w:color="auto"/>
                <w:left w:val="none" w:sz="0" w:space="0" w:color="auto"/>
                <w:bottom w:val="none" w:sz="0" w:space="0" w:color="auto"/>
                <w:right w:val="none" w:sz="0" w:space="0" w:color="auto"/>
              </w:divBdr>
              <w:divsChild>
                <w:div w:id="1132597317">
                  <w:marLeft w:val="0"/>
                  <w:marRight w:val="0"/>
                  <w:marTop w:val="0"/>
                  <w:marBottom w:val="0"/>
                  <w:divBdr>
                    <w:top w:val="none" w:sz="0" w:space="0" w:color="auto"/>
                    <w:left w:val="none" w:sz="0" w:space="0" w:color="auto"/>
                    <w:bottom w:val="none" w:sz="0" w:space="0" w:color="auto"/>
                    <w:right w:val="none" w:sz="0" w:space="0" w:color="auto"/>
                  </w:divBdr>
                  <w:divsChild>
                    <w:div w:id="630600456">
                      <w:marLeft w:val="2550"/>
                      <w:marRight w:val="0"/>
                      <w:marTop w:val="0"/>
                      <w:marBottom w:val="0"/>
                      <w:divBdr>
                        <w:top w:val="none" w:sz="0" w:space="0" w:color="auto"/>
                        <w:left w:val="none" w:sz="0" w:space="0" w:color="auto"/>
                        <w:bottom w:val="none" w:sz="0" w:space="0" w:color="auto"/>
                        <w:right w:val="none" w:sz="0" w:space="0" w:color="auto"/>
                      </w:divBdr>
                      <w:divsChild>
                        <w:div w:id="1240752072">
                          <w:marLeft w:val="0"/>
                          <w:marRight w:val="0"/>
                          <w:marTop w:val="0"/>
                          <w:marBottom w:val="0"/>
                          <w:divBdr>
                            <w:top w:val="none" w:sz="0" w:space="0" w:color="auto"/>
                            <w:left w:val="none" w:sz="0" w:space="0" w:color="auto"/>
                            <w:bottom w:val="none" w:sz="0" w:space="0" w:color="auto"/>
                            <w:right w:val="none" w:sz="0" w:space="0" w:color="auto"/>
                          </w:divBdr>
                          <w:divsChild>
                            <w:div w:id="510263885">
                              <w:marLeft w:val="0"/>
                              <w:marRight w:val="0"/>
                              <w:marTop w:val="0"/>
                              <w:marBottom w:val="0"/>
                              <w:divBdr>
                                <w:top w:val="none" w:sz="0" w:space="0" w:color="auto"/>
                                <w:left w:val="none" w:sz="0" w:space="0" w:color="auto"/>
                                <w:bottom w:val="none" w:sz="0" w:space="0" w:color="auto"/>
                                <w:right w:val="none" w:sz="0" w:space="0" w:color="auto"/>
                              </w:divBdr>
                              <w:divsChild>
                                <w:div w:id="1711345342">
                                  <w:marLeft w:val="0"/>
                                  <w:marRight w:val="0"/>
                                  <w:marTop w:val="0"/>
                                  <w:marBottom w:val="0"/>
                                  <w:divBdr>
                                    <w:top w:val="none" w:sz="0" w:space="0" w:color="auto"/>
                                    <w:left w:val="none" w:sz="0" w:space="0" w:color="auto"/>
                                    <w:bottom w:val="none" w:sz="0" w:space="0" w:color="auto"/>
                                    <w:right w:val="none" w:sz="0" w:space="0" w:color="auto"/>
                                  </w:divBdr>
                                  <w:divsChild>
                                    <w:div w:id="548885294">
                                      <w:marLeft w:val="0"/>
                                      <w:marRight w:val="0"/>
                                      <w:marTop w:val="0"/>
                                      <w:marBottom w:val="0"/>
                                      <w:divBdr>
                                        <w:top w:val="none" w:sz="0" w:space="0" w:color="auto"/>
                                        <w:left w:val="none" w:sz="0" w:space="0" w:color="auto"/>
                                        <w:bottom w:val="none" w:sz="0" w:space="0" w:color="auto"/>
                                        <w:right w:val="none" w:sz="0" w:space="0" w:color="auto"/>
                                      </w:divBdr>
                                      <w:divsChild>
                                        <w:div w:id="14138881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5733676">
                                              <w:marLeft w:val="0"/>
                                              <w:marRight w:val="0"/>
                                              <w:marTop w:val="0"/>
                                              <w:marBottom w:val="0"/>
                                              <w:divBdr>
                                                <w:top w:val="none" w:sz="0" w:space="0" w:color="auto"/>
                                                <w:left w:val="none" w:sz="0" w:space="0" w:color="auto"/>
                                                <w:bottom w:val="none" w:sz="0" w:space="0" w:color="auto"/>
                                                <w:right w:val="none" w:sz="0" w:space="0" w:color="auto"/>
                                              </w:divBdr>
                                              <w:divsChild>
                                                <w:div w:id="26368948">
                                                  <w:marLeft w:val="0"/>
                                                  <w:marRight w:val="0"/>
                                                  <w:marTop w:val="0"/>
                                                  <w:marBottom w:val="0"/>
                                                  <w:divBdr>
                                                    <w:top w:val="none" w:sz="0" w:space="0" w:color="auto"/>
                                                    <w:left w:val="none" w:sz="0" w:space="0" w:color="auto"/>
                                                    <w:bottom w:val="none" w:sz="0" w:space="0" w:color="auto"/>
                                                    <w:right w:val="none" w:sz="0" w:space="0" w:color="auto"/>
                                                  </w:divBdr>
                                                </w:div>
                                                <w:div w:id="10007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906515">
      <w:bodyDiv w:val="1"/>
      <w:marLeft w:val="30"/>
      <w:marRight w:val="30"/>
      <w:marTop w:val="0"/>
      <w:marBottom w:val="0"/>
      <w:divBdr>
        <w:top w:val="none" w:sz="0" w:space="0" w:color="auto"/>
        <w:left w:val="none" w:sz="0" w:space="0" w:color="auto"/>
        <w:bottom w:val="none" w:sz="0" w:space="0" w:color="auto"/>
        <w:right w:val="none" w:sz="0" w:space="0" w:color="auto"/>
      </w:divBdr>
      <w:divsChild>
        <w:div w:id="2090079006">
          <w:marLeft w:val="0"/>
          <w:marRight w:val="0"/>
          <w:marTop w:val="0"/>
          <w:marBottom w:val="0"/>
          <w:divBdr>
            <w:top w:val="none" w:sz="0" w:space="0" w:color="auto"/>
            <w:left w:val="none" w:sz="0" w:space="0" w:color="auto"/>
            <w:bottom w:val="none" w:sz="0" w:space="0" w:color="auto"/>
            <w:right w:val="none" w:sz="0" w:space="0" w:color="auto"/>
          </w:divBdr>
          <w:divsChild>
            <w:div w:id="1187251370">
              <w:marLeft w:val="0"/>
              <w:marRight w:val="0"/>
              <w:marTop w:val="0"/>
              <w:marBottom w:val="0"/>
              <w:divBdr>
                <w:top w:val="none" w:sz="0" w:space="0" w:color="auto"/>
                <w:left w:val="none" w:sz="0" w:space="0" w:color="auto"/>
                <w:bottom w:val="none" w:sz="0" w:space="0" w:color="auto"/>
                <w:right w:val="none" w:sz="0" w:space="0" w:color="auto"/>
              </w:divBdr>
              <w:divsChild>
                <w:div w:id="766772176">
                  <w:marLeft w:val="180"/>
                  <w:marRight w:val="0"/>
                  <w:marTop w:val="0"/>
                  <w:marBottom w:val="0"/>
                  <w:divBdr>
                    <w:top w:val="none" w:sz="0" w:space="0" w:color="auto"/>
                    <w:left w:val="none" w:sz="0" w:space="0" w:color="auto"/>
                    <w:bottom w:val="none" w:sz="0" w:space="0" w:color="auto"/>
                    <w:right w:val="none" w:sz="0" w:space="0" w:color="auto"/>
                  </w:divBdr>
                  <w:divsChild>
                    <w:div w:id="9822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ina.zhang@ap.jl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vin.ong@philip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ghting.philips.com/main/lightcommunity/trends/led/index.wpd" TargetMode="External"/><Relationship Id="rId5" Type="http://schemas.openxmlformats.org/officeDocument/2006/relationships/settings" Target="settings.xml"/><Relationship Id="rId15" Type="http://schemas.openxmlformats.org/officeDocument/2006/relationships/hyperlink" Target="http://www.ap.joneslanglasalle.com" TargetMode="External"/><Relationship Id="rId10" Type="http://schemas.openxmlformats.org/officeDocument/2006/relationships/hyperlink" Target="http://www.joneslanglasalle.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hilips.com" TargetMode="External"/><Relationship Id="rId14" Type="http://schemas.openxmlformats.org/officeDocument/2006/relationships/hyperlink" Target="http://www.philips.com/newscente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B911A-42E1-40EA-94F8-D18FC85F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Contact:</vt:lpstr>
    </vt:vector>
  </TitlesOfParts>
  <Company>Jones Lang LaSalle</Company>
  <LinksUpToDate>false</LinksUpToDate>
  <CharactersWithSpaces>5412</CharactersWithSpaces>
  <SharedDoc>false</SharedDoc>
  <HLinks>
    <vt:vector size="60" baseType="variant">
      <vt:variant>
        <vt:i4>4653169</vt:i4>
      </vt:variant>
      <vt:variant>
        <vt:i4>0</vt:i4>
      </vt:variant>
      <vt:variant>
        <vt:i4>0</vt:i4>
      </vt:variant>
      <vt:variant>
        <vt:i4>5</vt:i4>
      </vt:variant>
      <vt:variant>
        <vt:lpwstr>mailto:madeleine.little@ap.jll.com</vt:lpwstr>
      </vt:variant>
      <vt:variant>
        <vt:lpwstr/>
      </vt:variant>
      <vt:variant>
        <vt:i4>7602300</vt:i4>
      </vt:variant>
      <vt:variant>
        <vt:i4>24</vt:i4>
      </vt:variant>
      <vt:variant>
        <vt:i4>0</vt:i4>
      </vt:variant>
      <vt:variant>
        <vt:i4>5</vt:i4>
      </vt:variant>
      <vt:variant>
        <vt:lpwstr>http://www.ap.joneslanglasalle.com/</vt:lpwstr>
      </vt:variant>
      <vt:variant>
        <vt:lpwstr/>
      </vt:variant>
      <vt:variant>
        <vt:i4>6291500</vt:i4>
      </vt:variant>
      <vt:variant>
        <vt:i4>21</vt:i4>
      </vt:variant>
      <vt:variant>
        <vt:i4>0</vt:i4>
      </vt:variant>
      <vt:variant>
        <vt:i4>5</vt:i4>
      </vt:variant>
      <vt:variant>
        <vt:lpwstr>http://www.joneslanglasalleblog.com/greenblog/</vt:lpwstr>
      </vt:variant>
      <vt:variant>
        <vt:lpwstr/>
      </vt:variant>
      <vt:variant>
        <vt:i4>6291500</vt:i4>
      </vt:variant>
      <vt:variant>
        <vt:i4>18</vt:i4>
      </vt:variant>
      <vt:variant>
        <vt:i4>0</vt:i4>
      </vt:variant>
      <vt:variant>
        <vt:i4>5</vt:i4>
      </vt:variant>
      <vt:variant>
        <vt:lpwstr>http://www.joneslanglasalleblog.com/greenblog/</vt:lpwstr>
      </vt:variant>
      <vt:variant>
        <vt:lpwstr/>
      </vt:variant>
      <vt:variant>
        <vt:i4>3014772</vt:i4>
      </vt:variant>
      <vt:variant>
        <vt:i4>15</vt:i4>
      </vt:variant>
      <vt:variant>
        <vt:i4>0</vt:i4>
      </vt:variant>
      <vt:variant>
        <vt:i4>5</vt:i4>
      </vt:variant>
      <vt:variant>
        <vt:lpwstr>http://twitter.com/JLLNews</vt:lpwstr>
      </vt:variant>
      <vt:variant>
        <vt:lpwstr/>
      </vt:variant>
      <vt:variant>
        <vt:i4>3014772</vt:i4>
      </vt:variant>
      <vt:variant>
        <vt:i4>12</vt:i4>
      </vt:variant>
      <vt:variant>
        <vt:i4>0</vt:i4>
      </vt:variant>
      <vt:variant>
        <vt:i4>5</vt:i4>
      </vt:variant>
      <vt:variant>
        <vt:lpwstr>http://twitter.com/JLLNews</vt:lpwstr>
      </vt:variant>
      <vt:variant>
        <vt:lpwstr/>
      </vt:variant>
      <vt:variant>
        <vt:i4>1572955</vt:i4>
      </vt:variant>
      <vt:variant>
        <vt:i4>9</vt:i4>
      </vt:variant>
      <vt:variant>
        <vt:i4>0</vt:i4>
      </vt:variant>
      <vt:variant>
        <vt:i4>5</vt:i4>
      </vt:variant>
      <vt:variant>
        <vt:lpwstr>http://www.youtube.com/user/joneslanglasalle</vt:lpwstr>
      </vt:variant>
      <vt:variant>
        <vt:lpwstr/>
      </vt:variant>
      <vt:variant>
        <vt:i4>1572955</vt:i4>
      </vt:variant>
      <vt:variant>
        <vt:i4>6</vt:i4>
      </vt:variant>
      <vt:variant>
        <vt:i4>0</vt:i4>
      </vt:variant>
      <vt:variant>
        <vt:i4>5</vt:i4>
      </vt:variant>
      <vt:variant>
        <vt:lpwstr>http://www.youtube.com/user/joneslanglasalle</vt:lpwstr>
      </vt:variant>
      <vt:variant>
        <vt:lpwstr/>
      </vt:variant>
      <vt:variant>
        <vt:i4>1572869</vt:i4>
      </vt:variant>
      <vt:variant>
        <vt:i4>3</vt:i4>
      </vt:variant>
      <vt:variant>
        <vt:i4>0</vt:i4>
      </vt:variant>
      <vt:variant>
        <vt:i4>5</vt:i4>
      </vt:variant>
      <vt:variant>
        <vt:lpwstr>http://www.ap.joneslanglasalle.com/asiapacific/EN-GB/Pages/News.aspx</vt:lpwstr>
      </vt:variant>
      <vt:variant>
        <vt:lpwstr/>
      </vt:variant>
      <vt:variant>
        <vt:i4>1572869</vt:i4>
      </vt:variant>
      <vt:variant>
        <vt:i4>0</vt:i4>
      </vt:variant>
      <vt:variant>
        <vt:i4>0</vt:i4>
      </vt:variant>
      <vt:variant>
        <vt:i4>5</vt:i4>
      </vt:variant>
      <vt:variant>
        <vt:lpwstr>http://www.ap.joneslanglasalle.com/asiapacific/EN-GB/Pages/News.aspx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Little, Madeleine (Singapore)</dc:creator>
  <cp:lastModifiedBy>Philips</cp:lastModifiedBy>
  <cp:revision>2</cp:revision>
  <cp:lastPrinted>2012-09-19T01:44:00Z</cp:lastPrinted>
  <dcterms:created xsi:type="dcterms:W3CDTF">2012-09-26T06:14:00Z</dcterms:created>
  <dcterms:modified xsi:type="dcterms:W3CDTF">2012-09-26T06:14:00Z</dcterms:modified>
</cp:coreProperties>
</file>