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6E53FA"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1"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Pr="007C694F" w:rsidRDefault="003308EA" w:rsidP="007C694F">
      <w:pPr>
        <w:rPr>
          <w:szCs w:val="22"/>
        </w:rPr>
      </w:pPr>
    </w:p>
    <w:p w:rsidR="003308EA" w:rsidRPr="00DA01C2" w:rsidRDefault="00AD5845" w:rsidP="007C694F">
      <w:pPr>
        <w:rPr>
          <w:szCs w:val="22"/>
        </w:rPr>
      </w:pPr>
      <w:r w:rsidRPr="00DA01C2">
        <w:rPr>
          <w:szCs w:val="22"/>
        </w:rPr>
        <w:t>January</w:t>
      </w:r>
      <w:r w:rsidR="003308EA" w:rsidRPr="00DA01C2">
        <w:rPr>
          <w:szCs w:val="22"/>
        </w:rPr>
        <w:t xml:space="preserve"> </w:t>
      </w:r>
      <w:r w:rsidR="00476E11" w:rsidRPr="00DA01C2">
        <w:rPr>
          <w:szCs w:val="22"/>
        </w:rPr>
        <w:t>7</w:t>
      </w:r>
      <w:r w:rsidR="003308EA" w:rsidRPr="00DA01C2">
        <w:rPr>
          <w:szCs w:val="22"/>
        </w:rPr>
        <w:t xml:space="preserve">, </w:t>
      </w:r>
      <w:r w:rsidR="002D3E6A" w:rsidRPr="00DA01C2">
        <w:rPr>
          <w:szCs w:val="22"/>
        </w:rPr>
        <w:t>2013</w:t>
      </w:r>
    </w:p>
    <w:p w:rsidR="007C694F" w:rsidRPr="00DA01C2" w:rsidRDefault="007C694F" w:rsidP="007C694F">
      <w:pPr>
        <w:pStyle w:val="Heading2"/>
        <w:spacing w:before="0" w:after="0"/>
        <w:rPr>
          <w:sz w:val="22"/>
          <w:szCs w:val="22"/>
        </w:rPr>
      </w:pPr>
    </w:p>
    <w:p w:rsidR="007C694F" w:rsidRPr="00DA01C2" w:rsidRDefault="007C694F" w:rsidP="007C694F">
      <w:bookmarkStart w:id="0" w:name="_GoBack"/>
      <w:bookmarkEnd w:id="0"/>
    </w:p>
    <w:p w:rsidR="005C09F0" w:rsidRPr="005C09F0" w:rsidRDefault="005C09F0" w:rsidP="005C09F0">
      <w:pPr>
        <w:pStyle w:val="Heading2"/>
        <w:spacing w:before="0" w:after="0"/>
        <w:rPr>
          <w:szCs w:val="24"/>
        </w:rPr>
      </w:pPr>
      <w:r w:rsidRPr="005C09F0">
        <w:rPr>
          <w:bCs w:val="0"/>
          <w:szCs w:val="24"/>
        </w:rPr>
        <w:t>Philips strengthens Home Healthcare Solutions business through agreement with Aerogen</w:t>
      </w:r>
    </w:p>
    <w:p w:rsidR="005C09F0" w:rsidRPr="005C09F0" w:rsidRDefault="005C09F0" w:rsidP="005C09F0">
      <w:pPr>
        <w:pStyle w:val="Heading2"/>
        <w:spacing w:before="0" w:after="0"/>
      </w:pPr>
      <w:r w:rsidRPr="005C09F0">
        <w:rPr>
          <w:b w:val="0"/>
          <w:bCs w:val="0"/>
          <w:sz w:val="22"/>
          <w:szCs w:val="22"/>
        </w:rPr>
        <w:t> </w:t>
      </w:r>
    </w:p>
    <w:p w:rsidR="005C09F0" w:rsidRPr="005C09F0" w:rsidRDefault="005C09F0" w:rsidP="005C09F0">
      <w:pPr>
        <w:pStyle w:val="Heading2"/>
        <w:spacing w:before="0" w:after="0"/>
        <w:rPr>
          <w:b w:val="0"/>
        </w:rPr>
      </w:pPr>
      <w:r w:rsidRPr="005C09F0">
        <w:rPr>
          <w:b w:val="0"/>
          <w:i/>
          <w:iCs w:val="0"/>
          <w:sz w:val="22"/>
          <w:szCs w:val="22"/>
        </w:rPr>
        <w:t xml:space="preserve">Agreement includes </w:t>
      </w:r>
      <w:r>
        <w:rPr>
          <w:b w:val="0"/>
          <w:i/>
          <w:iCs w:val="0"/>
          <w:sz w:val="22"/>
          <w:szCs w:val="22"/>
        </w:rPr>
        <w:t xml:space="preserve">a </w:t>
      </w:r>
      <w:r w:rsidRPr="005C09F0">
        <w:rPr>
          <w:b w:val="0"/>
          <w:i/>
          <w:iCs w:val="0"/>
          <w:sz w:val="22"/>
          <w:szCs w:val="22"/>
        </w:rPr>
        <w:t xml:space="preserve">technology license and the acquisition of Aerogen’s home-care portable nebulizer product range </w:t>
      </w:r>
    </w:p>
    <w:p w:rsidR="005C09F0" w:rsidRPr="005C09F0" w:rsidRDefault="005C09F0" w:rsidP="005C09F0">
      <w:pPr>
        <w:rPr>
          <w:rFonts w:eastAsiaTheme="minorHAnsi" w:cs="Arial"/>
        </w:rPr>
      </w:pPr>
      <w:r w:rsidRPr="005C09F0">
        <w:rPr>
          <w:rFonts w:cs="Arial"/>
        </w:rPr>
        <w:t> </w:t>
      </w:r>
    </w:p>
    <w:p w:rsidR="005C09F0" w:rsidRPr="005C09F0" w:rsidRDefault="005C09F0" w:rsidP="005C09F0">
      <w:pPr>
        <w:rPr>
          <w:rFonts w:cs="Arial"/>
        </w:rPr>
      </w:pPr>
      <w:r w:rsidRPr="005C09F0">
        <w:rPr>
          <w:rFonts w:cs="Arial"/>
          <w:b/>
          <w:bCs/>
        </w:rPr>
        <w:t>Amsterdam, the Netherlands –</w:t>
      </w:r>
      <w:r w:rsidRPr="005C09F0">
        <w:rPr>
          <w:rFonts w:cs="Arial"/>
        </w:rPr>
        <w:t xml:space="preserve"> </w:t>
      </w:r>
      <w:hyperlink r:id="rId12" w:history="1">
        <w:r w:rsidRPr="00B41EE0">
          <w:rPr>
            <w:rStyle w:val="Hyperlink"/>
            <w:rFonts w:cs="Arial"/>
          </w:rPr>
          <w:t>Royal Philips</w:t>
        </w:r>
      </w:hyperlink>
      <w:r w:rsidRPr="005C09F0">
        <w:rPr>
          <w:rFonts w:cs="Arial"/>
        </w:rPr>
        <w:t xml:space="preserve"> (NYSE: PHG, AEX: PHIA), a global leader in respiratory care, today announced that it has signed an agreement with </w:t>
      </w:r>
      <w:hyperlink r:id="rId13" w:history="1">
        <w:proofErr w:type="spellStart"/>
        <w:r w:rsidRPr="00B41EE0">
          <w:rPr>
            <w:rStyle w:val="Hyperlink"/>
            <w:rFonts w:cs="Arial"/>
          </w:rPr>
          <w:t>Aerogen</w:t>
        </w:r>
        <w:proofErr w:type="spellEnd"/>
      </w:hyperlink>
      <w:r w:rsidRPr="005C09F0">
        <w:rPr>
          <w:rFonts w:cs="Arial"/>
        </w:rPr>
        <w:t xml:space="preserve"> Ltd, a privately owned respiratory drug delivery company headquartered in Galway, Ireland. The agreement includes a technology license and the acquisition of select assets solely related to Aerogen’s home-care business. This will strengthen the innovation capabilities and product portfolio of Philips’ </w:t>
      </w:r>
      <w:hyperlink r:id="rId14" w:history="1">
        <w:r w:rsidRPr="00B41EE0">
          <w:rPr>
            <w:rStyle w:val="Hyperlink"/>
            <w:rFonts w:cs="Arial"/>
          </w:rPr>
          <w:t>respiratory drug delivery</w:t>
        </w:r>
      </w:hyperlink>
      <w:r w:rsidRPr="005C09F0">
        <w:rPr>
          <w:rFonts w:cs="Arial"/>
        </w:rPr>
        <w:t xml:space="preserve"> activities within its Home Healthcare Solutions business. The financial details of the transaction were not disclosed.</w:t>
      </w:r>
    </w:p>
    <w:p w:rsidR="005C09F0" w:rsidRPr="005C09F0" w:rsidRDefault="005C09F0" w:rsidP="005C09F0">
      <w:pPr>
        <w:rPr>
          <w:rFonts w:cs="Arial"/>
        </w:rPr>
      </w:pPr>
      <w:r w:rsidRPr="005C09F0">
        <w:rPr>
          <w:rFonts w:cs="Arial"/>
        </w:rPr>
        <w:t> </w:t>
      </w:r>
    </w:p>
    <w:p w:rsidR="005C09F0" w:rsidRPr="005C09F0" w:rsidRDefault="005C09F0" w:rsidP="005C09F0">
      <w:pPr>
        <w:rPr>
          <w:rFonts w:cs="Arial"/>
        </w:rPr>
      </w:pPr>
      <w:r w:rsidRPr="005C09F0">
        <w:rPr>
          <w:rFonts w:cs="Arial"/>
        </w:rPr>
        <w:t>It is estimated that hundreds of millions of people worldwide suffer from respiratory diseases such as asthma and chronic obstructive pulmonary disease (COPD).  Drug delivery to the lungs is a critical part in treating these chronic diseases, and nebulizers are frequently the respiratory drug delivery devices of choice for both children and adults. With this agreement, Philips will expand its range of home-care nebulizers and</w:t>
      </w:r>
      <w:r w:rsidR="00BC6106">
        <w:rPr>
          <w:rFonts w:cs="Arial"/>
        </w:rPr>
        <w:t xml:space="preserve"> will</w:t>
      </w:r>
      <w:r w:rsidRPr="005C09F0">
        <w:rPr>
          <w:rFonts w:cs="Arial"/>
        </w:rPr>
        <w:t xml:space="preserve"> gain access to Aerogen’s technology, an important component of advanced nebulizers for fast and precise drug delivery. </w:t>
      </w:r>
    </w:p>
    <w:p w:rsidR="005C09F0" w:rsidRPr="005C09F0" w:rsidRDefault="005C09F0" w:rsidP="005C09F0">
      <w:pPr>
        <w:rPr>
          <w:rFonts w:cs="Arial"/>
        </w:rPr>
      </w:pPr>
      <w:r w:rsidRPr="005C09F0">
        <w:rPr>
          <w:rFonts w:cs="Arial"/>
        </w:rPr>
        <w:t> </w:t>
      </w:r>
    </w:p>
    <w:p w:rsidR="005C09F0" w:rsidRPr="005C09F0" w:rsidRDefault="005C09F0" w:rsidP="005C09F0">
      <w:pPr>
        <w:rPr>
          <w:rFonts w:cs="Arial"/>
        </w:rPr>
      </w:pPr>
      <w:r w:rsidRPr="005C09F0">
        <w:rPr>
          <w:rFonts w:cs="Arial"/>
        </w:rPr>
        <w:t xml:space="preserve">“This agreement is a key enabler in the development and marketing of respiratory drug delivery solutions to manage patients in the home,” said </w:t>
      </w:r>
      <w:hyperlink r:id="rId15" w:history="1">
        <w:r w:rsidRPr="00B41EE0">
          <w:rPr>
            <w:rStyle w:val="Hyperlink"/>
            <w:rFonts w:cs="Arial"/>
          </w:rPr>
          <w:t>Brent Shafer</w:t>
        </w:r>
      </w:hyperlink>
      <w:r w:rsidRPr="005C09F0">
        <w:rPr>
          <w:rFonts w:cs="Arial"/>
        </w:rPr>
        <w:t>, CEO Home Healthcare Solutions at Philips Healthcare. “Inhalation therapy plays a key role in treating chronic respiratory problems and I believe that with Aerogen’s technology we are further expanding on our promise to improve people’s lives through meaningful innovation.’’</w:t>
      </w:r>
    </w:p>
    <w:p w:rsidR="005C09F0" w:rsidRPr="005C09F0" w:rsidRDefault="005C09F0" w:rsidP="005C09F0">
      <w:pPr>
        <w:rPr>
          <w:rFonts w:cs="Arial"/>
        </w:rPr>
      </w:pPr>
      <w:r w:rsidRPr="005C09F0">
        <w:rPr>
          <w:rFonts w:cs="Arial"/>
        </w:rPr>
        <w:t> </w:t>
      </w:r>
    </w:p>
    <w:p w:rsidR="005C09F0" w:rsidRPr="005C09F0" w:rsidRDefault="005C09F0" w:rsidP="005C09F0">
      <w:pPr>
        <w:rPr>
          <w:rFonts w:cs="Arial"/>
        </w:rPr>
      </w:pPr>
      <w:r w:rsidRPr="005C09F0">
        <w:rPr>
          <w:rFonts w:cs="Arial"/>
        </w:rPr>
        <w:t>Both companies are committed to a seamless transition of Aerogen’s home-care nebulizer product range and customer base to Philips. Aerogen’s acute-care and home ventilator drug delivery business is unaffected by the transaction and no employees will transfer to Philips as part of the agreement.</w:t>
      </w:r>
    </w:p>
    <w:p w:rsidR="005C09F0" w:rsidRDefault="005C09F0" w:rsidP="005C09F0"/>
    <w:p w:rsidR="003308EA" w:rsidRPr="007C694F" w:rsidRDefault="003308EA" w:rsidP="007C694F">
      <w:pPr>
        <w:rPr>
          <w:szCs w:val="22"/>
        </w:rPr>
      </w:pPr>
    </w:p>
    <w:p w:rsidR="003308EA" w:rsidRPr="007C694F" w:rsidRDefault="003308EA" w:rsidP="007C694F">
      <w:pPr>
        <w:rPr>
          <w:b/>
          <w:szCs w:val="22"/>
        </w:rPr>
      </w:pPr>
      <w:r w:rsidRPr="007C694F">
        <w:rPr>
          <w:b/>
          <w:szCs w:val="22"/>
        </w:rPr>
        <w:t>For further information, please contact:</w:t>
      </w:r>
    </w:p>
    <w:p w:rsidR="00A97547" w:rsidRPr="007C694F" w:rsidRDefault="00A97547" w:rsidP="007C694F">
      <w:pPr>
        <w:rPr>
          <w:szCs w:val="22"/>
        </w:rPr>
      </w:pPr>
    </w:p>
    <w:p w:rsidR="003308EA" w:rsidRPr="007C694F" w:rsidRDefault="002D3E6A" w:rsidP="007C694F">
      <w:pPr>
        <w:rPr>
          <w:szCs w:val="22"/>
        </w:rPr>
      </w:pPr>
      <w:r w:rsidRPr="007C694F">
        <w:rPr>
          <w:szCs w:val="22"/>
        </w:rPr>
        <w:t>Steve Klink</w:t>
      </w:r>
      <w:r w:rsidRPr="007C694F">
        <w:rPr>
          <w:szCs w:val="22"/>
        </w:rPr>
        <w:br/>
        <w:t>Philips Group Communications</w:t>
      </w:r>
      <w:r w:rsidRPr="007C694F">
        <w:rPr>
          <w:szCs w:val="22"/>
        </w:rPr>
        <w:br/>
        <w:t>Tel.: +31 6 1088 8824</w:t>
      </w:r>
      <w:r w:rsidRPr="007C694F">
        <w:rPr>
          <w:szCs w:val="22"/>
        </w:rPr>
        <w:br/>
        <w:t>E-mail: </w:t>
      </w:r>
      <w:hyperlink r:id="rId16" w:history="1">
        <w:r w:rsidRPr="007C694F">
          <w:rPr>
            <w:rStyle w:val="Hyperlink"/>
            <w:szCs w:val="22"/>
          </w:rPr>
          <w:t>steve.klink@philips.com</w:t>
        </w:r>
      </w:hyperlink>
      <w:r w:rsidRPr="007C694F">
        <w:rPr>
          <w:szCs w:val="22"/>
        </w:rPr>
        <w:t> </w:t>
      </w:r>
    </w:p>
    <w:p w:rsidR="005C09F0" w:rsidRDefault="005C09F0" w:rsidP="007C694F">
      <w:pPr>
        <w:rPr>
          <w:rFonts w:cs="Arial"/>
          <w:b/>
          <w:szCs w:val="22"/>
        </w:rPr>
      </w:pPr>
    </w:p>
    <w:p w:rsidR="00D17082" w:rsidRPr="00261BFF" w:rsidRDefault="000E7BA0" w:rsidP="007C694F">
      <w:pPr>
        <w:rPr>
          <w:rFonts w:cs="Arial"/>
          <w:b/>
          <w:szCs w:val="22"/>
        </w:rPr>
      </w:pPr>
      <w:r w:rsidRPr="00261BFF">
        <w:rPr>
          <w:rFonts w:cs="Arial"/>
          <w:b/>
          <w:szCs w:val="22"/>
        </w:rPr>
        <w:lastRenderedPageBreak/>
        <w:t>About Royal Philips</w:t>
      </w:r>
      <w:r w:rsidR="00D17082" w:rsidRPr="00261BFF">
        <w:rPr>
          <w:rFonts w:cs="Arial"/>
          <w:b/>
          <w:szCs w:val="22"/>
        </w:rPr>
        <w:t>:</w:t>
      </w:r>
    </w:p>
    <w:p w:rsidR="00687329" w:rsidRPr="00261BFF" w:rsidRDefault="00182310" w:rsidP="007C694F">
      <w:pPr>
        <w:rPr>
          <w:rFonts w:cs="Arial"/>
          <w:i/>
          <w:szCs w:val="22"/>
        </w:rPr>
      </w:pPr>
      <w:r w:rsidRPr="00261BFF">
        <w:rPr>
          <w:rFonts w:cs="Arial"/>
          <w:i/>
          <w:szCs w:val="22"/>
        </w:rPr>
        <w:t>Royal Philips (NYSE: PHG, AEX: PHIA) is a diversified health and well-being company, focused on improving people’s lives through meaningful innovation in the areas of Healthcare, Consumer Lifestyle and Lighting. Headquartered in the Netherlands, Philips posted 2012 sales of EUR 24.8 billi</w:t>
      </w:r>
      <w:r w:rsidR="00ED66B2" w:rsidRPr="00261BFF">
        <w:rPr>
          <w:rFonts w:cs="Arial"/>
          <w:i/>
          <w:szCs w:val="22"/>
        </w:rPr>
        <w:t>on and employs approximately 114</w:t>
      </w:r>
      <w:r w:rsidRPr="00261BFF">
        <w:rPr>
          <w:rFonts w:cs="Arial"/>
          <w:i/>
          <w:szCs w:val="22"/>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7" w:history="1">
        <w:r w:rsidRPr="00261BFF">
          <w:rPr>
            <w:rStyle w:val="Hyperlink"/>
            <w:rFonts w:cs="Arial"/>
            <w:i/>
            <w:szCs w:val="22"/>
          </w:rPr>
          <w:t>www.philips.com/newscenter</w:t>
        </w:r>
      </w:hyperlink>
      <w:r w:rsidRPr="00261BFF">
        <w:rPr>
          <w:rFonts w:cs="Arial"/>
          <w:i/>
          <w:szCs w:val="22"/>
        </w:rPr>
        <w:t>.</w:t>
      </w:r>
    </w:p>
    <w:p w:rsidR="00182310" w:rsidRPr="00261BFF" w:rsidRDefault="00182310" w:rsidP="007C694F">
      <w:pPr>
        <w:rPr>
          <w:szCs w:val="22"/>
        </w:rPr>
      </w:pPr>
    </w:p>
    <w:p w:rsidR="003308EA" w:rsidRPr="00261BFF" w:rsidRDefault="003308EA" w:rsidP="007C694F">
      <w:pPr>
        <w:pStyle w:val="Heading3"/>
        <w:spacing w:before="0" w:after="0"/>
        <w:rPr>
          <w:szCs w:val="22"/>
        </w:rPr>
      </w:pPr>
      <w:r w:rsidRPr="00261BFF">
        <w:rPr>
          <w:szCs w:val="22"/>
        </w:rPr>
        <w:t xml:space="preserve">Forward-looking statements </w:t>
      </w:r>
    </w:p>
    <w:p w:rsidR="006E6380" w:rsidRPr="00261BFF" w:rsidRDefault="006E6380" w:rsidP="007C694F">
      <w:pPr>
        <w:rPr>
          <w:i/>
          <w:szCs w:val="22"/>
        </w:rPr>
      </w:pPr>
      <w:r w:rsidRPr="00261BFF">
        <w:rPr>
          <w:rFonts w:cs="Arial"/>
          <w:i/>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3308EA" w:rsidRPr="007C694F" w:rsidRDefault="003308EA" w:rsidP="007C694F">
      <w:pPr>
        <w:rPr>
          <w:szCs w:val="22"/>
        </w:rPr>
      </w:pPr>
    </w:p>
    <w:p w:rsidR="003308EA" w:rsidRPr="007C694F" w:rsidRDefault="003308EA" w:rsidP="007C694F">
      <w:pPr>
        <w:rPr>
          <w:szCs w:val="22"/>
        </w:rPr>
      </w:pPr>
    </w:p>
    <w:p w:rsidR="003308EA" w:rsidRPr="007C694F" w:rsidRDefault="003308EA" w:rsidP="007C694F">
      <w:pPr>
        <w:rPr>
          <w:szCs w:val="22"/>
        </w:rPr>
      </w:pPr>
    </w:p>
    <w:p w:rsidR="008D4B44" w:rsidRPr="008D4B44" w:rsidRDefault="008D4B44" w:rsidP="008D4B44">
      <w:pPr>
        <w:rPr>
          <w:rFonts w:cs="Arial"/>
          <w:szCs w:val="22"/>
        </w:rPr>
      </w:pPr>
    </w:p>
    <w:sectPr w:rsidR="008D4B44" w:rsidRPr="008D4B44" w:rsidSect="00900FBD">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90" w:rsidRDefault="00704590">
      <w:r>
        <w:separator/>
      </w:r>
    </w:p>
  </w:endnote>
  <w:endnote w:type="continuationSeparator" w:id="0">
    <w:p w:rsidR="00704590" w:rsidRDefault="0070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Std-Light">
    <w:altName w:val="Gill Sans Std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D033BC"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D033BC"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9B68CB">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9B68CB">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90" w:rsidRDefault="00704590">
      <w:r>
        <w:separator/>
      </w:r>
    </w:p>
  </w:footnote>
  <w:footnote w:type="continuationSeparator" w:id="0">
    <w:p w:rsidR="00704590" w:rsidRDefault="00704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D0156"/>
    <w:multiLevelType w:val="hybridMultilevel"/>
    <w:tmpl w:val="DA826B62"/>
    <w:lvl w:ilvl="0" w:tplc="0C42BCAC">
      <w:start w:val="1"/>
      <w:numFmt w:val="bullet"/>
      <w:lvlText w:val="•"/>
      <w:lvlJc w:val="left"/>
      <w:pPr>
        <w:tabs>
          <w:tab w:val="num" w:pos="720"/>
        </w:tabs>
        <w:ind w:left="720" w:hanging="360"/>
      </w:pPr>
      <w:rPr>
        <w:rFonts w:ascii="Times New Roman" w:hAnsi="Times New Roman" w:hint="default"/>
      </w:rPr>
    </w:lvl>
    <w:lvl w:ilvl="1" w:tplc="C5E8F106" w:tentative="1">
      <w:start w:val="1"/>
      <w:numFmt w:val="bullet"/>
      <w:lvlText w:val="•"/>
      <w:lvlJc w:val="left"/>
      <w:pPr>
        <w:tabs>
          <w:tab w:val="num" w:pos="1440"/>
        </w:tabs>
        <w:ind w:left="1440" w:hanging="360"/>
      </w:pPr>
      <w:rPr>
        <w:rFonts w:ascii="Times New Roman" w:hAnsi="Times New Roman" w:hint="default"/>
      </w:rPr>
    </w:lvl>
    <w:lvl w:ilvl="2" w:tplc="13921CA8" w:tentative="1">
      <w:start w:val="1"/>
      <w:numFmt w:val="bullet"/>
      <w:lvlText w:val="•"/>
      <w:lvlJc w:val="left"/>
      <w:pPr>
        <w:tabs>
          <w:tab w:val="num" w:pos="2160"/>
        </w:tabs>
        <w:ind w:left="2160" w:hanging="360"/>
      </w:pPr>
      <w:rPr>
        <w:rFonts w:ascii="Times New Roman" w:hAnsi="Times New Roman" w:hint="default"/>
      </w:rPr>
    </w:lvl>
    <w:lvl w:ilvl="3" w:tplc="A31ABFEE" w:tentative="1">
      <w:start w:val="1"/>
      <w:numFmt w:val="bullet"/>
      <w:lvlText w:val="•"/>
      <w:lvlJc w:val="left"/>
      <w:pPr>
        <w:tabs>
          <w:tab w:val="num" w:pos="2880"/>
        </w:tabs>
        <w:ind w:left="2880" w:hanging="360"/>
      </w:pPr>
      <w:rPr>
        <w:rFonts w:ascii="Times New Roman" w:hAnsi="Times New Roman" w:hint="default"/>
      </w:rPr>
    </w:lvl>
    <w:lvl w:ilvl="4" w:tplc="9A7E432C" w:tentative="1">
      <w:start w:val="1"/>
      <w:numFmt w:val="bullet"/>
      <w:lvlText w:val="•"/>
      <w:lvlJc w:val="left"/>
      <w:pPr>
        <w:tabs>
          <w:tab w:val="num" w:pos="3600"/>
        </w:tabs>
        <w:ind w:left="3600" w:hanging="360"/>
      </w:pPr>
      <w:rPr>
        <w:rFonts w:ascii="Times New Roman" w:hAnsi="Times New Roman" w:hint="default"/>
      </w:rPr>
    </w:lvl>
    <w:lvl w:ilvl="5" w:tplc="4F34EAE4" w:tentative="1">
      <w:start w:val="1"/>
      <w:numFmt w:val="bullet"/>
      <w:lvlText w:val="•"/>
      <w:lvlJc w:val="left"/>
      <w:pPr>
        <w:tabs>
          <w:tab w:val="num" w:pos="4320"/>
        </w:tabs>
        <w:ind w:left="4320" w:hanging="360"/>
      </w:pPr>
      <w:rPr>
        <w:rFonts w:ascii="Times New Roman" w:hAnsi="Times New Roman" w:hint="default"/>
      </w:rPr>
    </w:lvl>
    <w:lvl w:ilvl="6" w:tplc="E26E396C" w:tentative="1">
      <w:start w:val="1"/>
      <w:numFmt w:val="bullet"/>
      <w:lvlText w:val="•"/>
      <w:lvlJc w:val="left"/>
      <w:pPr>
        <w:tabs>
          <w:tab w:val="num" w:pos="5040"/>
        </w:tabs>
        <w:ind w:left="5040" w:hanging="360"/>
      </w:pPr>
      <w:rPr>
        <w:rFonts w:ascii="Times New Roman" w:hAnsi="Times New Roman" w:hint="default"/>
      </w:rPr>
    </w:lvl>
    <w:lvl w:ilvl="7" w:tplc="567E9184" w:tentative="1">
      <w:start w:val="1"/>
      <w:numFmt w:val="bullet"/>
      <w:lvlText w:val="•"/>
      <w:lvlJc w:val="left"/>
      <w:pPr>
        <w:tabs>
          <w:tab w:val="num" w:pos="5760"/>
        </w:tabs>
        <w:ind w:left="5760" w:hanging="360"/>
      </w:pPr>
      <w:rPr>
        <w:rFonts w:ascii="Times New Roman" w:hAnsi="Times New Roman" w:hint="default"/>
      </w:rPr>
    </w:lvl>
    <w:lvl w:ilvl="8" w:tplc="D9A2C08E" w:tentative="1">
      <w:start w:val="1"/>
      <w:numFmt w:val="bullet"/>
      <w:lvlText w:val="•"/>
      <w:lvlJc w:val="left"/>
      <w:pPr>
        <w:tabs>
          <w:tab w:val="num" w:pos="6480"/>
        </w:tabs>
        <w:ind w:left="6480" w:hanging="360"/>
      </w:pPr>
      <w:rPr>
        <w:rFonts w:ascii="Times New Roman" w:hAnsi="Times New Roman" w:hint="default"/>
      </w:rPr>
    </w:lvl>
  </w:abstractNum>
  <w:abstractNum w:abstractNumId="1">
    <w:nsid w:val="6CF94FD0"/>
    <w:multiLevelType w:val="hybridMultilevel"/>
    <w:tmpl w:val="47EA3978"/>
    <w:lvl w:ilvl="0" w:tplc="1B7EF8F4">
      <w:start w:val="1"/>
      <w:numFmt w:val="bullet"/>
      <w:lvlText w:val=""/>
      <w:lvlJc w:val="left"/>
      <w:pPr>
        <w:tabs>
          <w:tab w:val="num" w:pos="720"/>
        </w:tabs>
        <w:ind w:left="720" w:hanging="360"/>
      </w:pPr>
      <w:rPr>
        <w:rFonts w:ascii="Wingdings" w:hAnsi="Wingdings" w:hint="default"/>
      </w:rPr>
    </w:lvl>
    <w:lvl w:ilvl="1" w:tplc="4C6E6664" w:tentative="1">
      <w:start w:val="1"/>
      <w:numFmt w:val="bullet"/>
      <w:lvlText w:val=""/>
      <w:lvlJc w:val="left"/>
      <w:pPr>
        <w:tabs>
          <w:tab w:val="num" w:pos="1440"/>
        </w:tabs>
        <w:ind w:left="1440" w:hanging="360"/>
      </w:pPr>
      <w:rPr>
        <w:rFonts w:ascii="Wingdings" w:hAnsi="Wingdings" w:hint="default"/>
      </w:rPr>
    </w:lvl>
    <w:lvl w:ilvl="2" w:tplc="A75874AA" w:tentative="1">
      <w:start w:val="1"/>
      <w:numFmt w:val="bullet"/>
      <w:lvlText w:val=""/>
      <w:lvlJc w:val="left"/>
      <w:pPr>
        <w:tabs>
          <w:tab w:val="num" w:pos="2160"/>
        </w:tabs>
        <w:ind w:left="2160" w:hanging="360"/>
      </w:pPr>
      <w:rPr>
        <w:rFonts w:ascii="Wingdings" w:hAnsi="Wingdings" w:hint="default"/>
      </w:rPr>
    </w:lvl>
    <w:lvl w:ilvl="3" w:tplc="30C454AC" w:tentative="1">
      <w:start w:val="1"/>
      <w:numFmt w:val="bullet"/>
      <w:lvlText w:val=""/>
      <w:lvlJc w:val="left"/>
      <w:pPr>
        <w:tabs>
          <w:tab w:val="num" w:pos="2880"/>
        </w:tabs>
        <w:ind w:left="2880" w:hanging="360"/>
      </w:pPr>
      <w:rPr>
        <w:rFonts w:ascii="Wingdings" w:hAnsi="Wingdings" w:hint="default"/>
      </w:rPr>
    </w:lvl>
    <w:lvl w:ilvl="4" w:tplc="A0820B80" w:tentative="1">
      <w:start w:val="1"/>
      <w:numFmt w:val="bullet"/>
      <w:lvlText w:val=""/>
      <w:lvlJc w:val="left"/>
      <w:pPr>
        <w:tabs>
          <w:tab w:val="num" w:pos="3600"/>
        </w:tabs>
        <w:ind w:left="3600" w:hanging="360"/>
      </w:pPr>
      <w:rPr>
        <w:rFonts w:ascii="Wingdings" w:hAnsi="Wingdings" w:hint="default"/>
      </w:rPr>
    </w:lvl>
    <w:lvl w:ilvl="5" w:tplc="9E141138" w:tentative="1">
      <w:start w:val="1"/>
      <w:numFmt w:val="bullet"/>
      <w:lvlText w:val=""/>
      <w:lvlJc w:val="left"/>
      <w:pPr>
        <w:tabs>
          <w:tab w:val="num" w:pos="4320"/>
        </w:tabs>
        <w:ind w:left="4320" w:hanging="360"/>
      </w:pPr>
      <w:rPr>
        <w:rFonts w:ascii="Wingdings" w:hAnsi="Wingdings" w:hint="default"/>
      </w:rPr>
    </w:lvl>
    <w:lvl w:ilvl="6" w:tplc="EEB2E5F4" w:tentative="1">
      <w:start w:val="1"/>
      <w:numFmt w:val="bullet"/>
      <w:lvlText w:val=""/>
      <w:lvlJc w:val="left"/>
      <w:pPr>
        <w:tabs>
          <w:tab w:val="num" w:pos="5040"/>
        </w:tabs>
        <w:ind w:left="5040" w:hanging="360"/>
      </w:pPr>
      <w:rPr>
        <w:rFonts w:ascii="Wingdings" w:hAnsi="Wingdings" w:hint="default"/>
      </w:rPr>
    </w:lvl>
    <w:lvl w:ilvl="7" w:tplc="6402FC6E" w:tentative="1">
      <w:start w:val="1"/>
      <w:numFmt w:val="bullet"/>
      <w:lvlText w:val=""/>
      <w:lvlJc w:val="left"/>
      <w:pPr>
        <w:tabs>
          <w:tab w:val="num" w:pos="5760"/>
        </w:tabs>
        <w:ind w:left="5760" w:hanging="360"/>
      </w:pPr>
      <w:rPr>
        <w:rFonts w:ascii="Wingdings" w:hAnsi="Wingdings" w:hint="default"/>
      </w:rPr>
    </w:lvl>
    <w:lvl w:ilvl="8" w:tplc="D1AA15D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6615"/>
    <w:rsid w:val="00067419"/>
    <w:rsid w:val="00072C55"/>
    <w:rsid w:val="00081B9C"/>
    <w:rsid w:val="00082BC6"/>
    <w:rsid w:val="000B16A6"/>
    <w:rsid w:val="000B4D54"/>
    <w:rsid w:val="000D452D"/>
    <w:rsid w:val="000D5BA7"/>
    <w:rsid w:val="000D67CF"/>
    <w:rsid w:val="000E7BA0"/>
    <w:rsid w:val="000E7BCB"/>
    <w:rsid w:val="00102A6A"/>
    <w:rsid w:val="001550ED"/>
    <w:rsid w:val="00171AF6"/>
    <w:rsid w:val="001729DE"/>
    <w:rsid w:val="00182310"/>
    <w:rsid w:val="001859DA"/>
    <w:rsid w:val="00185EAB"/>
    <w:rsid w:val="001910C5"/>
    <w:rsid w:val="001936FB"/>
    <w:rsid w:val="001E230C"/>
    <w:rsid w:val="00204244"/>
    <w:rsid w:val="002376F5"/>
    <w:rsid w:val="00243491"/>
    <w:rsid w:val="00251FF8"/>
    <w:rsid w:val="0025612D"/>
    <w:rsid w:val="00261BFF"/>
    <w:rsid w:val="00263E19"/>
    <w:rsid w:val="00266228"/>
    <w:rsid w:val="0027482D"/>
    <w:rsid w:val="002A5101"/>
    <w:rsid w:val="002B5C03"/>
    <w:rsid w:val="002C74A8"/>
    <w:rsid w:val="002D3E6A"/>
    <w:rsid w:val="003308EA"/>
    <w:rsid w:val="00366D23"/>
    <w:rsid w:val="003B524D"/>
    <w:rsid w:val="003D7BFC"/>
    <w:rsid w:val="003F234A"/>
    <w:rsid w:val="004239E5"/>
    <w:rsid w:val="00443A67"/>
    <w:rsid w:val="0044705F"/>
    <w:rsid w:val="00476E11"/>
    <w:rsid w:val="004C6E4C"/>
    <w:rsid w:val="004F020C"/>
    <w:rsid w:val="004F176C"/>
    <w:rsid w:val="004F4D0D"/>
    <w:rsid w:val="00531B70"/>
    <w:rsid w:val="00542BD9"/>
    <w:rsid w:val="00542DE5"/>
    <w:rsid w:val="00543D2B"/>
    <w:rsid w:val="0055187B"/>
    <w:rsid w:val="00556505"/>
    <w:rsid w:val="005828CD"/>
    <w:rsid w:val="005C09F0"/>
    <w:rsid w:val="005C6CF3"/>
    <w:rsid w:val="005E1FB5"/>
    <w:rsid w:val="005E2F94"/>
    <w:rsid w:val="005F4161"/>
    <w:rsid w:val="00624181"/>
    <w:rsid w:val="0065797B"/>
    <w:rsid w:val="00687329"/>
    <w:rsid w:val="006A712F"/>
    <w:rsid w:val="006B36F8"/>
    <w:rsid w:val="006B6DA0"/>
    <w:rsid w:val="006B7466"/>
    <w:rsid w:val="006C4BDE"/>
    <w:rsid w:val="006E35E3"/>
    <w:rsid w:val="006E53FA"/>
    <w:rsid w:val="006E6380"/>
    <w:rsid w:val="00704590"/>
    <w:rsid w:val="00714A8F"/>
    <w:rsid w:val="00742602"/>
    <w:rsid w:val="007444BA"/>
    <w:rsid w:val="00770A71"/>
    <w:rsid w:val="007A1495"/>
    <w:rsid w:val="007B68F6"/>
    <w:rsid w:val="007C694F"/>
    <w:rsid w:val="007D56A6"/>
    <w:rsid w:val="007E5F08"/>
    <w:rsid w:val="008267CA"/>
    <w:rsid w:val="00843279"/>
    <w:rsid w:val="00873B4E"/>
    <w:rsid w:val="008912B1"/>
    <w:rsid w:val="008A0F00"/>
    <w:rsid w:val="008A5A3A"/>
    <w:rsid w:val="008A7621"/>
    <w:rsid w:val="008D3A3A"/>
    <w:rsid w:val="008D4B44"/>
    <w:rsid w:val="008F3A1D"/>
    <w:rsid w:val="00900FBD"/>
    <w:rsid w:val="00910651"/>
    <w:rsid w:val="00924EB1"/>
    <w:rsid w:val="009928F7"/>
    <w:rsid w:val="009B2037"/>
    <w:rsid w:val="009B3528"/>
    <w:rsid w:val="009B68CB"/>
    <w:rsid w:val="00A17F6B"/>
    <w:rsid w:val="00A201C9"/>
    <w:rsid w:val="00A34F56"/>
    <w:rsid w:val="00A523B2"/>
    <w:rsid w:val="00A97547"/>
    <w:rsid w:val="00AA2EDF"/>
    <w:rsid w:val="00AB157A"/>
    <w:rsid w:val="00AC3521"/>
    <w:rsid w:val="00AD1B92"/>
    <w:rsid w:val="00AD5845"/>
    <w:rsid w:val="00B16219"/>
    <w:rsid w:val="00B3364E"/>
    <w:rsid w:val="00B41EE0"/>
    <w:rsid w:val="00BC6106"/>
    <w:rsid w:val="00BD2F99"/>
    <w:rsid w:val="00BE2ABE"/>
    <w:rsid w:val="00BF3E5A"/>
    <w:rsid w:val="00C10E23"/>
    <w:rsid w:val="00C33F63"/>
    <w:rsid w:val="00C74392"/>
    <w:rsid w:val="00CB413F"/>
    <w:rsid w:val="00CF40A7"/>
    <w:rsid w:val="00D02EB5"/>
    <w:rsid w:val="00D033BC"/>
    <w:rsid w:val="00D17082"/>
    <w:rsid w:val="00D35F41"/>
    <w:rsid w:val="00D62159"/>
    <w:rsid w:val="00DA01C2"/>
    <w:rsid w:val="00DA1D0D"/>
    <w:rsid w:val="00DE7263"/>
    <w:rsid w:val="00E03391"/>
    <w:rsid w:val="00E16E32"/>
    <w:rsid w:val="00E201D3"/>
    <w:rsid w:val="00E3700B"/>
    <w:rsid w:val="00E403D0"/>
    <w:rsid w:val="00E46DF6"/>
    <w:rsid w:val="00E74EF7"/>
    <w:rsid w:val="00ED620B"/>
    <w:rsid w:val="00ED66B2"/>
    <w:rsid w:val="00ED7316"/>
    <w:rsid w:val="00F00224"/>
    <w:rsid w:val="00F458BF"/>
    <w:rsid w:val="00F607DF"/>
    <w:rsid w:val="00F70B38"/>
    <w:rsid w:val="00F82B35"/>
    <w:rsid w:val="00FD6791"/>
    <w:rsid w:val="00FD7ED6"/>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3E6A"/>
    <w:rPr>
      <w:b/>
      <w:bCs/>
    </w:rPr>
  </w:style>
  <w:style w:type="character" w:customStyle="1" w:styleId="apple-converted-space">
    <w:name w:val="apple-converted-space"/>
    <w:basedOn w:val="DefaultParagraphFont"/>
    <w:rsid w:val="002D3E6A"/>
  </w:style>
  <w:style w:type="paragraph" w:styleId="NormalWeb">
    <w:name w:val="Normal (Web)"/>
    <w:basedOn w:val="Normal"/>
    <w:uiPriority w:val="99"/>
    <w:unhideWhenUsed/>
    <w:rsid w:val="002D3E6A"/>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AC3521"/>
    <w:rPr>
      <w:sz w:val="16"/>
      <w:szCs w:val="16"/>
    </w:rPr>
  </w:style>
  <w:style w:type="paragraph" w:styleId="CommentText">
    <w:name w:val="annotation text"/>
    <w:basedOn w:val="Normal"/>
    <w:link w:val="CommentTextChar"/>
    <w:rsid w:val="00AC3521"/>
    <w:rPr>
      <w:sz w:val="20"/>
      <w:szCs w:val="20"/>
    </w:rPr>
  </w:style>
  <w:style w:type="character" w:customStyle="1" w:styleId="CommentTextChar">
    <w:name w:val="Comment Text Char"/>
    <w:basedOn w:val="DefaultParagraphFont"/>
    <w:link w:val="CommentText"/>
    <w:rsid w:val="00AC3521"/>
    <w:rPr>
      <w:rFonts w:ascii="Arial" w:hAnsi="Arial"/>
    </w:rPr>
  </w:style>
  <w:style w:type="paragraph" w:styleId="CommentSubject">
    <w:name w:val="annotation subject"/>
    <w:basedOn w:val="CommentText"/>
    <w:next w:val="CommentText"/>
    <w:link w:val="CommentSubjectChar"/>
    <w:rsid w:val="00AC3521"/>
    <w:rPr>
      <w:b/>
      <w:bCs/>
    </w:rPr>
  </w:style>
  <w:style w:type="character" w:customStyle="1" w:styleId="CommentSubjectChar">
    <w:name w:val="Comment Subject Char"/>
    <w:basedOn w:val="CommentTextChar"/>
    <w:link w:val="CommentSubject"/>
    <w:rsid w:val="00AC3521"/>
    <w:rPr>
      <w:rFonts w:ascii="Arial" w:hAnsi="Arial"/>
      <w:b/>
      <w:bCs/>
    </w:rPr>
  </w:style>
  <w:style w:type="paragraph" w:styleId="BalloonText">
    <w:name w:val="Balloon Text"/>
    <w:basedOn w:val="Normal"/>
    <w:link w:val="BalloonTextChar"/>
    <w:rsid w:val="00AC3521"/>
    <w:rPr>
      <w:rFonts w:ascii="Tahoma" w:hAnsi="Tahoma" w:cs="Tahoma"/>
      <w:sz w:val="16"/>
      <w:szCs w:val="16"/>
    </w:rPr>
  </w:style>
  <w:style w:type="character" w:customStyle="1" w:styleId="BalloonTextChar">
    <w:name w:val="Balloon Text Char"/>
    <w:basedOn w:val="DefaultParagraphFont"/>
    <w:link w:val="BalloonText"/>
    <w:rsid w:val="00AC3521"/>
    <w:rPr>
      <w:rFonts w:ascii="Tahoma" w:hAnsi="Tahoma" w:cs="Tahoma"/>
      <w:sz w:val="16"/>
      <w:szCs w:val="16"/>
    </w:rPr>
  </w:style>
  <w:style w:type="paragraph" w:styleId="ListParagraph">
    <w:name w:val="List Paragraph"/>
    <w:basedOn w:val="Normal"/>
    <w:uiPriority w:val="34"/>
    <w:qFormat/>
    <w:rsid w:val="001E230C"/>
    <w:pPr>
      <w:ind w:left="720"/>
      <w:contextualSpacing/>
    </w:pPr>
    <w:rPr>
      <w:rFonts w:ascii="Times New Roman" w:hAnsi="Times New Roman"/>
      <w:sz w:val="24"/>
    </w:rPr>
  </w:style>
  <w:style w:type="paragraph" w:customStyle="1" w:styleId="innovatebulletpoints">
    <w:name w:val="innovate bulletpoints"/>
    <w:basedOn w:val="Normal"/>
    <w:qFormat/>
    <w:rsid w:val="00CF40A7"/>
    <w:pPr>
      <w:widowControl w:val="0"/>
      <w:autoSpaceDE w:val="0"/>
      <w:autoSpaceDN w:val="0"/>
      <w:adjustRightInd w:val="0"/>
      <w:spacing w:line="288" w:lineRule="auto"/>
      <w:ind w:left="297" w:hanging="297"/>
      <w:textAlignment w:val="center"/>
    </w:pPr>
    <w:rPr>
      <w:rFonts w:eastAsia="Cambria" w:cs="GillSansStd-Light"/>
      <w:color w:val="000000"/>
      <w:sz w:val="42"/>
      <w:szCs w:val="4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3E6A"/>
    <w:rPr>
      <w:b/>
      <w:bCs/>
    </w:rPr>
  </w:style>
  <w:style w:type="character" w:customStyle="1" w:styleId="apple-converted-space">
    <w:name w:val="apple-converted-space"/>
    <w:basedOn w:val="DefaultParagraphFont"/>
    <w:rsid w:val="002D3E6A"/>
  </w:style>
  <w:style w:type="paragraph" w:styleId="NormalWeb">
    <w:name w:val="Normal (Web)"/>
    <w:basedOn w:val="Normal"/>
    <w:uiPriority w:val="99"/>
    <w:unhideWhenUsed/>
    <w:rsid w:val="002D3E6A"/>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AC3521"/>
    <w:rPr>
      <w:sz w:val="16"/>
      <w:szCs w:val="16"/>
    </w:rPr>
  </w:style>
  <w:style w:type="paragraph" w:styleId="CommentText">
    <w:name w:val="annotation text"/>
    <w:basedOn w:val="Normal"/>
    <w:link w:val="CommentTextChar"/>
    <w:rsid w:val="00AC3521"/>
    <w:rPr>
      <w:sz w:val="20"/>
      <w:szCs w:val="20"/>
    </w:rPr>
  </w:style>
  <w:style w:type="character" w:customStyle="1" w:styleId="CommentTextChar">
    <w:name w:val="Comment Text Char"/>
    <w:basedOn w:val="DefaultParagraphFont"/>
    <w:link w:val="CommentText"/>
    <w:rsid w:val="00AC3521"/>
    <w:rPr>
      <w:rFonts w:ascii="Arial" w:hAnsi="Arial"/>
    </w:rPr>
  </w:style>
  <w:style w:type="paragraph" w:styleId="CommentSubject">
    <w:name w:val="annotation subject"/>
    <w:basedOn w:val="CommentText"/>
    <w:next w:val="CommentText"/>
    <w:link w:val="CommentSubjectChar"/>
    <w:rsid w:val="00AC3521"/>
    <w:rPr>
      <w:b/>
      <w:bCs/>
    </w:rPr>
  </w:style>
  <w:style w:type="character" w:customStyle="1" w:styleId="CommentSubjectChar">
    <w:name w:val="Comment Subject Char"/>
    <w:basedOn w:val="CommentTextChar"/>
    <w:link w:val="CommentSubject"/>
    <w:rsid w:val="00AC3521"/>
    <w:rPr>
      <w:rFonts w:ascii="Arial" w:hAnsi="Arial"/>
      <w:b/>
      <w:bCs/>
    </w:rPr>
  </w:style>
  <w:style w:type="paragraph" w:styleId="BalloonText">
    <w:name w:val="Balloon Text"/>
    <w:basedOn w:val="Normal"/>
    <w:link w:val="BalloonTextChar"/>
    <w:rsid w:val="00AC3521"/>
    <w:rPr>
      <w:rFonts w:ascii="Tahoma" w:hAnsi="Tahoma" w:cs="Tahoma"/>
      <w:sz w:val="16"/>
      <w:szCs w:val="16"/>
    </w:rPr>
  </w:style>
  <w:style w:type="character" w:customStyle="1" w:styleId="BalloonTextChar">
    <w:name w:val="Balloon Text Char"/>
    <w:basedOn w:val="DefaultParagraphFont"/>
    <w:link w:val="BalloonText"/>
    <w:rsid w:val="00AC3521"/>
    <w:rPr>
      <w:rFonts w:ascii="Tahoma" w:hAnsi="Tahoma" w:cs="Tahoma"/>
      <w:sz w:val="16"/>
      <w:szCs w:val="16"/>
    </w:rPr>
  </w:style>
  <w:style w:type="paragraph" w:styleId="ListParagraph">
    <w:name w:val="List Paragraph"/>
    <w:basedOn w:val="Normal"/>
    <w:uiPriority w:val="34"/>
    <w:qFormat/>
    <w:rsid w:val="001E230C"/>
    <w:pPr>
      <w:ind w:left="720"/>
      <w:contextualSpacing/>
    </w:pPr>
    <w:rPr>
      <w:rFonts w:ascii="Times New Roman" w:hAnsi="Times New Roman"/>
      <w:sz w:val="24"/>
    </w:rPr>
  </w:style>
  <w:style w:type="paragraph" w:customStyle="1" w:styleId="innovatebulletpoints">
    <w:name w:val="innovate bulletpoints"/>
    <w:basedOn w:val="Normal"/>
    <w:qFormat/>
    <w:rsid w:val="00CF40A7"/>
    <w:pPr>
      <w:widowControl w:val="0"/>
      <w:autoSpaceDE w:val="0"/>
      <w:autoSpaceDN w:val="0"/>
      <w:adjustRightInd w:val="0"/>
      <w:spacing w:line="288" w:lineRule="auto"/>
      <w:ind w:left="297" w:hanging="297"/>
      <w:textAlignment w:val="center"/>
    </w:pPr>
    <w:rPr>
      <w:rFonts w:eastAsia="Cambria" w:cs="GillSansStd-Light"/>
      <w:color w:val="000000"/>
      <w:sz w:val="42"/>
      <w:szCs w:val="4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496964027">
      <w:bodyDiv w:val="1"/>
      <w:marLeft w:val="0"/>
      <w:marRight w:val="0"/>
      <w:marTop w:val="0"/>
      <w:marBottom w:val="0"/>
      <w:divBdr>
        <w:top w:val="none" w:sz="0" w:space="0" w:color="auto"/>
        <w:left w:val="none" w:sz="0" w:space="0" w:color="auto"/>
        <w:bottom w:val="none" w:sz="0" w:space="0" w:color="auto"/>
        <w:right w:val="none" w:sz="0" w:space="0" w:color="auto"/>
      </w:divBdr>
      <w:divsChild>
        <w:div w:id="1155026587">
          <w:marLeft w:val="403"/>
          <w:marRight w:val="0"/>
          <w:marTop w:val="0"/>
          <w:marBottom w:val="120"/>
          <w:divBdr>
            <w:top w:val="none" w:sz="0" w:space="0" w:color="auto"/>
            <w:left w:val="none" w:sz="0" w:space="0" w:color="auto"/>
            <w:bottom w:val="none" w:sz="0" w:space="0" w:color="auto"/>
            <w:right w:val="none" w:sz="0" w:space="0" w:color="auto"/>
          </w:divBdr>
        </w:div>
      </w:divsChild>
    </w:div>
    <w:div w:id="628976854">
      <w:bodyDiv w:val="1"/>
      <w:marLeft w:val="0"/>
      <w:marRight w:val="0"/>
      <w:marTop w:val="0"/>
      <w:marBottom w:val="0"/>
      <w:divBdr>
        <w:top w:val="none" w:sz="0" w:space="0" w:color="auto"/>
        <w:left w:val="none" w:sz="0" w:space="0" w:color="auto"/>
        <w:bottom w:val="none" w:sz="0" w:space="0" w:color="auto"/>
        <w:right w:val="none" w:sz="0" w:space="0" w:color="auto"/>
      </w:divBdr>
    </w:div>
    <w:div w:id="712464872">
      <w:bodyDiv w:val="1"/>
      <w:marLeft w:val="0"/>
      <w:marRight w:val="0"/>
      <w:marTop w:val="0"/>
      <w:marBottom w:val="0"/>
      <w:divBdr>
        <w:top w:val="none" w:sz="0" w:space="0" w:color="auto"/>
        <w:left w:val="none" w:sz="0" w:space="0" w:color="auto"/>
        <w:bottom w:val="none" w:sz="0" w:space="0" w:color="auto"/>
        <w:right w:val="none" w:sz="0" w:space="0" w:color="auto"/>
      </w:divBdr>
    </w:div>
    <w:div w:id="784232509">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09112443">
      <w:bodyDiv w:val="1"/>
      <w:marLeft w:val="0"/>
      <w:marRight w:val="0"/>
      <w:marTop w:val="0"/>
      <w:marBottom w:val="0"/>
      <w:divBdr>
        <w:top w:val="none" w:sz="0" w:space="0" w:color="auto"/>
        <w:left w:val="none" w:sz="0" w:space="0" w:color="auto"/>
        <w:bottom w:val="none" w:sz="0" w:space="0" w:color="auto"/>
        <w:right w:val="none" w:sz="0" w:space="0" w:color="auto"/>
      </w:divBdr>
      <w:divsChild>
        <w:div w:id="2061517494">
          <w:marLeft w:val="274"/>
          <w:marRight w:val="0"/>
          <w:marTop w:val="12"/>
          <w:marBottom w:val="0"/>
          <w:divBdr>
            <w:top w:val="none" w:sz="0" w:space="0" w:color="auto"/>
            <w:left w:val="none" w:sz="0" w:space="0" w:color="auto"/>
            <w:bottom w:val="none" w:sz="0" w:space="0" w:color="auto"/>
            <w:right w:val="none" w:sz="0" w:space="0" w:color="auto"/>
          </w:divBdr>
        </w:div>
      </w:divsChild>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6096058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 w:id="21041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roge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hilips.com" TargetMode="External"/><Relationship Id="rId17" Type="http://schemas.openxmlformats.org/officeDocument/2006/relationships/hyperlink" Target="http://www.philips.com/newscenter" TargetMode="External"/><Relationship Id="rId2" Type="http://schemas.openxmlformats.org/officeDocument/2006/relationships/customXml" Target="../customXml/item2.xml"/><Relationship Id="rId16" Type="http://schemas.openxmlformats.org/officeDocument/2006/relationships/hyperlink" Target="mailto:steve.klink@phili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newscenter.philips.com/main/corpcomms/resources/corporate/investor/20130319-Boston/12_shafer_20130319_I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healthcare.philips.com/main/homehealth/respiratory_drug_delivery/index.w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DB3A601B-7331-4D4C-8949-1279BF11DD40}">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3454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3951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2013-12-20T09:25:00Z</cp:lastPrinted>
  <dcterms:created xsi:type="dcterms:W3CDTF">2014-01-07T07:01:00Z</dcterms:created>
  <dcterms:modified xsi:type="dcterms:W3CDTF">2014-01-07T07:01:00Z</dcterms:modified>
</cp:coreProperties>
</file>