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F80832" w14:textId="77777777" w:rsidR="00225849" w:rsidRPr="003F76A6" w:rsidRDefault="00225849" w:rsidP="003F76A6">
      <w:pPr>
        <w:keepNext/>
        <w:outlineLvl w:val="0"/>
        <w:rPr>
          <w:rFonts w:asciiTheme="minorHAnsi" w:hAnsiTheme="minorHAnsi" w:cstheme="minorHAnsi"/>
          <w:snapToGrid w:val="0"/>
          <w:color w:val="002060"/>
          <w:sz w:val="44"/>
          <w:lang w:eastAsia="en-US"/>
        </w:rPr>
      </w:pPr>
      <w:r w:rsidRPr="003F76A6">
        <w:rPr>
          <w:rFonts w:asciiTheme="minorHAnsi" w:hAnsiTheme="minorHAnsi" w:cstheme="minorHAnsi"/>
          <w:snapToGrid w:val="0"/>
          <w:color w:val="002060"/>
          <w:sz w:val="44"/>
          <w:lang w:eastAsia="en-US"/>
        </w:rPr>
        <w:t>Press Information</w:t>
      </w:r>
    </w:p>
    <w:p w14:paraId="005F1346" w14:textId="77777777" w:rsidR="00225849" w:rsidRPr="00207DA7" w:rsidRDefault="00225849" w:rsidP="003F76A6">
      <w:pPr>
        <w:rPr>
          <w:rFonts w:asciiTheme="minorHAnsi" w:hAnsiTheme="minorHAnsi" w:cstheme="minorHAnsi"/>
          <w:szCs w:val="24"/>
          <w:lang w:eastAsia="en-US"/>
        </w:rPr>
      </w:pPr>
    </w:p>
    <w:p w14:paraId="44B81B85" w14:textId="77777777" w:rsidR="00CD0889" w:rsidRPr="00207DA7" w:rsidRDefault="00CD0889" w:rsidP="003F76A6">
      <w:pPr>
        <w:rPr>
          <w:rFonts w:asciiTheme="minorHAnsi" w:hAnsiTheme="minorHAnsi" w:cstheme="minorHAnsi"/>
          <w:szCs w:val="24"/>
          <w:lang w:eastAsia="en-US"/>
        </w:rPr>
      </w:pPr>
    </w:p>
    <w:p w14:paraId="0E68B0EF" w14:textId="5AA18529" w:rsidR="00225849" w:rsidRPr="00207DA7" w:rsidRDefault="00BA65A1" w:rsidP="003F76A6">
      <w:pPr>
        <w:rPr>
          <w:rFonts w:asciiTheme="minorHAnsi" w:hAnsiTheme="minorHAnsi" w:cstheme="minorHAnsi"/>
          <w:szCs w:val="24"/>
          <w:lang w:eastAsia="en-US"/>
        </w:rPr>
      </w:pPr>
      <w:r w:rsidRPr="00B453EB">
        <w:rPr>
          <w:rFonts w:asciiTheme="minorHAnsi" w:hAnsiTheme="minorHAnsi" w:cstheme="minorHAnsi"/>
          <w:szCs w:val="24"/>
          <w:lang w:eastAsia="en-US"/>
        </w:rPr>
        <w:t>Ju</w:t>
      </w:r>
      <w:r w:rsidR="00D33053" w:rsidRPr="00B453EB">
        <w:rPr>
          <w:rFonts w:asciiTheme="minorHAnsi" w:hAnsiTheme="minorHAnsi" w:cstheme="minorHAnsi"/>
          <w:szCs w:val="24"/>
          <w:lang w:eastAsia="en-US"/>
        </w:rPr>
        <w:t>ly</w:t>
      </w:r>
      <w:r w:rsidR="005D27A2" w:rsidRPr="00B453EB">
        <w:rPr>
          <w:rFonts w:asciiTheme="minorHAnsi" w:hAnsiTheme="minorHAnsi" w:cstheme="minorHAnsi"/>
          <w:szCs w:val="24"/>
          <w:lang w:eastAsia="en-US"/>
        </w:rPr>
        <w:t xml:space="preserve"> </w:t>
      </w:r>
      <w:r w:rsidR="00E50222">
        <w:rPr>
          <w:rFonts w:asciiTheme="minorHAnsi" w:hAnsiTheme="minorHAnsi" w:cstheme="minorHAnsi"/>
          <w:szCs w:val="24"/>
          <w:lang w:eastAsia="en-US"/>
        </w:rPr>
        <w:t>20,</w:t>
      </w:r>
      <w:r w:rsidR="005D27A2" w:rsidRPr="00B453EB">
        <w:rPr>
          <w:rFonts w:asciiTheme="minorHAnsi" w:hAnsiTheme="minorHAnsi" w:cstheme="minorHAnsi"/>
          <w:szCs w:val="24"/>
          <w:lang w:eastAsia="en-US"/>
        </w:rPr>
        <w:t xml:space="preserve"> 201</w:t>
      </w:r>
      <w:r w:rsidR="0060710B" w:rsidRPr="00B453EB">
        <w:rPr>
          <w:rFonts w:asciiTheme="minorHAnsi" w:hAnsiTheme="minorHAnsi" w:cstheme="minorHAnsi"/>
          <w:szCs w:val="24"/>
          <w:lang w:eastAsia="en-US"/>
        </w:rPr>
        <w:t>6</w:t>
      </w:r>
    </w:p>
    <w:p w14:paraId="61587C3E" w14:textId="77777777" w:rsidR="00225849" w:rsidRDefault="00225849" w:rsidP="003F76A6">
      <w:pPr>
        <w:rPr>
          <w:rFonts w:asciiTheme="minorHAnsi" w:hAnsiTheme="minorHAnsi" w:cstheme="minorHAnsi"/>
          <w:szCs w:val="24"/>
          <w:lang w:eastAsia="en-US"/>
        </w:rPr>
      </w:pPr>
    </w:p>
    <w:p w14:paraId="5C79E9F1" w14:textId="77777777" w:rsidR="00C82D08" w:rsidRDefault="00C82D08" w:rsidP="003F76A6">
      <w:pPr>
        <w:rPr>
          <w:rFonts w:asciiTheme="minorHAnsi" w:hAnsiTheme="minorHAnsi" w:cstheme="minorHAnsi"/>
          <w:szCs w:val="24"/>
          <w:lang w:eastAsia="en-US"/>
        </w:rPr>
      </w:pPr>
    </w:p>
    <w:p w14:paraId="6EADBF4B" w14:textId="77777777" w:rsidR="00C82D08" w:rsidRPr="00C82D08" w:rsidRDefault="00C82D08" w:rsidP="00C82D08">
      <w:pPr>
        <w:keepNext/>
        <w:rPr>
          <w:b/>
          <w:bCs/>
          <w:sz w:val="24"/>
          <w:szCs w:val="24"/>
        </w:rPr>
      </w:pPr>
      <w:r w:rsidRPr="00C82D08">
        <w:rPr>
          <w:b/>
          <w:bCs/>
          <w:sz w:val="24"/>
          <w:szCs w:val="24"/>
        </w:rPr>
        <w:t xml:space="preserve">Philips to </w:t>
      </w:r>
      <w:r w:rsidRPr="00C82D08">
        <w:rPr>
          <w:b/>
          <w:bCs/>
          <w:sz w:val="24"/>
          <w:szCs w:val="24"/>
          <w:lang w:val="en"/>
        </w:rPr>
        <w:t xml:space="preserve">expand its Population Health Management business with the acquisition of </w:t>
      </w:r>
      <w:proofErr w:type="spellStart"/>
      <w:r w:rsidRPr="00C82D08">
        <w:rPr>
          <w:b/>
          <w:bCs/>
          <w:sz w:val="24"/>
          <w:szCs w:val="24"/>
          <w:lang w:val="en"/>
        </w:rPr>
        <w:t>Wellcentive</w:t>
      </w:r>
      <w:proofErr w:type="spellEnd"/>
      <w:r w:rsidRPr="00C82D08">
        <w:rPr>
          <w:b/>
          <w:bCs/>
          <w:sz w:val="24"/>
          <w:szCs w:val="24"/>
          <w:lang w:val="en"/>
        </w:rPr>
        <w:t xml:space="preserve"> </w:t>
      </w:r>
    </w:p>
    <w:p w14:paraId="1A9098CF" w14:textId="77777777" w:rsidR="00C82D08" w:rsidRPr="00C82D08" w:rsidRDefault="00C82D08" w:rsidP="00C82D08">
      <w:pPr>
        <w:rPr>
          <w:szCs w:val="22"/>
        </w:rPr>
      </w:pPr>
    </w:p>
    <w:p w14:paraId="51CBB075" w14:textId="7A33E61A" w:rsidR="005D3FED" w:rsidRDefault="00C82D08" w:rsidP="00C82D08">
      <w:pPr>
        <w:rPr>
          <w:szCs w:val="22"/>
        </w:rPr>
      </w:pPr>
      <w:r w:rsidRPr="00C82D08">
        <w:rPr>
          <w:b/>
          <w:bCs/>
          <w:szCs w:val="22"/>
        </w:rPr>
        <w:t xml:space="preserve">Amsterdam, the Netherlands – </w:t>
      </w:r>
      <w:hyperlink r:id="rId11" w:history="1">
        <w:r w:rsidRPr="00C82D08">
          <w:rPr>
            <w:rStyle w:val="Hyperlink"/>
            <w:szCs w:val="22"/>
          </w:rPr>
          <w:t>Royal Philips</w:t>
        </w:r>
      </w:hyperlink>
      <w:r w:rsidRPr="00C82D08">
        <w:rPr>
          <w:szCs w:val="22"/>
        </w:rPr>
        <w:t xml:space="preserve"> (NYSE: PHG, AEX: PHIA) today </w:t>
      </w:r>
      <w:r w:rsidRPr="00C82D08">
        <w:rPr>
          <w:szCs w:val="22"/>
          <w:lang w:val="en"/>
        </w:rPr>
        <w:t xml:space="preserve">announced that it </w:t>
      </w:r>
      <w:r w:rsidRPr="008A7DD7">
        <w:rPr>
          <w:szCs w:val="22"/>
          <w:lang w:val="en"/>
        </w:rPr>
        <w:t xml:space="preserve">has signed an agreement to acquire </w:t>
      </w:r>
      <w:proofErr w:type="spellStart"/>
      <w:r w:rsidRPr="008A7DD7">
        <w:rPr>
          <w:szCs w:val="22"/>
          <w:lang w:val="en"/>
        </w:rPr>
        <w:t>Wellcentive</w:t>
      </w:r>
      <w:proofErr w:type="spellEnd"/>
      <w:r w:rsidRPr="008A7DD7">
        <w:rPr>
          <w:szCs w:val="22"/>
          <w:lang w:val="en"/>
        </w:rPr>
        <w:t xml:space="preserve">, </w:t>
      </w:r>
      <w:r w:rsidRPr="008A7DD7">
        <w:rPr>
          <w:szCs w:val="22"/>
        </w:rPr>
        <w:t xml:space="preserve">a leading US-based provider of population health management software solutions. </w:t>
      </w:r>
      <w:r w:rsidR="005D3FED" w:rsidRPr="00541E9A">
        <w:rPr>
          <w:szCs w:val="22"/>
          <w:lang w:val="en"/>
        </w:rPr>
        <w:t>Financial details of the transaction will not be disclosed.</w:t>
      </w:r>
    </w:p>
    <w:p w14:paraId="639AD3F9" w14:textId="77777777" w:rsidR="005D3FED" w:rsidRDefault="005D3FED" w:rsidP="00C82D08">
      <w:pPr>
        <w:rPr>
          <w:szCs w:val="22"/>
        </w:rPr>
      </w:pPr>
    </w:p>
    <w:p w14:paraId="05F75DD2" w14:textId="228401F2" w:rsidR="00D244E7" w:rsidRPr="00541E9A" w:rsidRDefault="00C82D08" w:rsidP="00C82D08">
      <w:pPr>
        <w:rPr>
          <w:szCs w:val="22"/>
        </w:rPr>
      </w:pPr>
      <w:r w:rsidRPr="008A7DD7">
        <w:rPr>
          <w:szCs w:val="22"/>
          <w:lang w:val="en-GB"/>
        </w:rPr>
        <w:t>In population health management, Philips already offers enterprise telehealth, home monitoring, p</w:t>
      </w:r>
      <w:proofErr w:type="spellStart"/>
      <w:r w:rsidRPr="008A7DD7">
        <w:rPr>
          <w:szCs w:val="22"/>
        </w:rPr>
        <w:t>ersonal</w:t>
      </w:r>
      <w:proofErr w:type="spellEnd"/>
      <w:r w:rsidRPr="008A7DD7">
        <w:rPr>
          <w:szCs w:val="22"/>
        </w:rPr>
        <w:t xml:space="preserve"> emergency response systems</w:t>
      </w:r>
      <w:r w:rsidRPr="008A7DD7">
        <w:rPr>
          <w:szCs w:val="22"/>
          <w:lang w:val="en-GB"/>
        </w:rPr>
        <w:t xml:space="preserve"> </w:t>
      </w:r>
      <w:r w:rsidR="0030482B">
        <w:rPr>
          <w:szCs w:val="22"/>
          <w:lang w:val="en-GB"/>
        </w:rPr>
        <w:t xml:space="preserve">(PERS) </w:t>
      </w:r>
      <w:r w:rsidRPr="008A7DD7">
        <w:rPr>
          <w:szCs w:val="22"/>
          <w:lang w:val="en-GB"/>
        </w:rPr>
        <w:t xml:space="preserve">and </w:t>
      </w:r>
      <w:r w:rsidR="00C320DC">
        <w:rPr>
          <w:szCs w:val="22"/>
          <w:lang w:val="en-GB"/>
        </w:rPr>
        <w:t>personal health services</w:t>
      </w:r>
      <w:r w:rsidR="00E25031" w:rsidRPr="008A7DD7">
        <w:rPr>
          <w:szCs w:val="22"/>
          <w:lang w:val="en-GB"/>
        </w:rPr>
        <w:t xml:space="preserve"> </w:t>
      </w:r>
      <w:r w:rsidR="00E25031" w:rsidRPr="008A7DD7">
        <w:rPr>
          <w:bCs/>
          <w:szCs w:val="22"/>
        </w:rPr>
        <w:t xml:space="preserve">that address multiple </w:t>
      </w:r>
      <w:r w:rsidR="008A7DD7">
        <w:rPr>
          <w:bCs/>
          <w:szCs w:val="22"/>
        </w:rPr>
        <w:t>groups</w:t>
      </w:r>
      <w:r w:rsidR="00E25031" w:rsidRPr="008A7DD7">
        <w:rPr>
          <w:bCs/>
          <w:szCs w:val="22"/>
        </w:rPr>
        <w:t xml:space="preserve"> within a population </w:t>
      </w:r>
      <w:r w:rsidR="00E25031" w:rsidRPr="008A7DD7">
        <w:rPr>
          <w:szCs w:val="22"/>
        </w:rPr>
        <w:t>from intensive ambulatory care</w:t>
      </w:r>
      <w:r w:rsidR="008A7DD7">
        <w:rPr>
          <w:szCs w:val="22"/>
        </w:rPr>
        <w:t xml:space="preserve"> for high-risk patients </w:t>
      </w:r>
      <w:r w:rsidR="00E25031" w:rsidRPr="008A7DD7">
        <w:rPr>
          <w:szCs w:val="22"/>
        </w:rPr>
        <w:t xml:space="preserve">to prevention and </w:t>
      </w:r>
      <w:r w:rsidR="008A7DD7" w:rsidRPr="008A7DD7">
        <w:rPr>
          <w:szCs w:val="22"/>
        </w:rPr>
        <w:t>personal health</w:t>
      </w:r>
      <w:r w:rsidR="00E25031" w:rsidRPr="008A7DD7">
        <w:rPr>
          <w:szCs w:val="22"/>
        </w:rPr>
        <w:t xml:space="preserve"> programs for the general population.</w:t>
      </w:r>
      <w:r w:rsidR="008A7DD7">
        <w:rPr>
          <w:szCs w:val="22"/>
        </w:rPr>
        <w:t xml:space="preserve"> </w:t>
      </w:r>
      <w:r w:rsidRPr="00541E9A">
        <w:rPr>
          <w:szCs w:val="22"/>
          <w:lang w:val="en-GB"/>
        </w:rPr>
        <w:t>W</w:t>
      </w:r>
      <w:proofErr w:type="spellStart"/>
      <w:r w:rsidRPr="00541E9A">
        <w:rPr>
          <w:szCs w:val="22"/>
        </w:rPr>
        <w:t>ellcentive</w:t>
      </w:r>
      <w:proofErr w:type="spellEnd"/>
      <w:r w:rsidRPr="00541E9A">
        <w:rPr>
          <w:szCs w:val="22"/>
        </w:rPr>
        <w:t xml:space="preserve"> complements Philips’ portfolio with cloud-based IT solutions to import, aggregate and analyze clinica</w:t>
      </w:r>
      <w:r w:rsidR="00D244E7" w:rsidRPr="00541E9A">
        <w:rPr>
          <w:szCs w:val="22"/>
        </w:rPr>
        <w:t xml:space="preserve">l, </w:t>
      </w:r>
      <w:r w:rsidRPr="00541E9A">
        <w:rPr>
          <w:szCs w:val="22"/>
        </w:rPr>
        <w:t>claims</w:t>
      </w:r>
      <w:r w:rsidRPr="00541E9A">
        <w:rPr>
          <w:bCs/>
          <w:szCs w:val="22"/>
        </w:rPr>
        <w:t xml:space="preserve"> </w:t>
      </w:r>
      <w:r w:rsidRPr="00541E9A">
        <w:rPr>
          <w:szCs w:val="22"/>
        </w:rPr>
        <w:t xml:space="preserve">and financial data across hospital and health </w:t>
      </w:r>
      <w:r w:rsidR="00C40F6F" w:rsidRPr="00541E9A">
        <w:rPr>
          <w:szCs w:val="22"/>
        </w:rPr>
        <w:t xml:space="preserve">systems </w:t>
      </w:r>
      <w:r w:rsidR="00D244E7" w:rsidRPr="00541E9A">
        <w:rPr>
          <w:szCs w:val="22"/>
        </w:rPr>
        <w:t>to help care providers deliver coordinated care that meets new healthcare quality requirements and reimbursement models.</w:t>
      </w:r>
    </w:p>
    <w:p w14:paraId="3AAC928C" w14:textId="77777777" w:rsidR="00D244E7" w:rsidRPr="00541E9A" w:rsidRDefault="00D244E7" w:rsidP="00C82D08">
      <w:pPr>
        <w:rPr>
          <w:szCs w:val="22"/>
        </w:rPr>
      </w:pPr>
    </w:p>
    <w:p w14:paraId="3843085A" w14:textId="603C090B" w:rsidR="00C82D08" w:rsidRPr="00541E9A" w:rsidRDefault="00C82D08" w:rsidP="00C82D08">
      <w:pPr>
        <w:rPr>
          <w:szCs w:val="22"/>
        </w:rPr>
      </w:pPr>
      <w:r w:rsidRPr="00541E9A">
        <w:rPr>
          <w:szCs w:val="22"/>
        </w:rPr>
        <w:t xml:space="preserve">Upon completion of the transaction, which is expected </w:t>
      </w:r>
      <w:r w:rsidR="006A75CA" w:rsidRPr="00541E9A">
        <w:rPr>
          <w:szCs w:val="22"/>
        </w:rPr>
        <w:t>later today</w:t>
      </w:r>
      <w:r w:rsidRPr="00541E9A">
        <w:rPr>
          <w:szCs w:val="22"/>
        </w:rPr>
        <w:t xml:space="preserve">, </w:t>
      </w:r>
      <w:proofErr w:type="spellStart"/>
      <w:r w:rsidRPr="00541E9A">
        <w:rPr>
          <w:szCs w:val="22"/>
        </w:rPr>
        <w:t>Wellcentive</w:t>
      </w:r>
      <w:proofErr w:type="spellEnd"/>
      <w:r w:rsidRPr="00541E9A">
        <w:rPr>
          <w:szCs w:val="22"/>
        </w:rPr>
        <w:t xml:space="preserve"> and its employees will be</w:t>
      </w:r>
      <w:r w:rsidRPr="00541E9A">
        <w:rPr>
          <w:bCs/>
          <w:szCs w:val="22"/>
        </w:rPr>
        <w:t>come</w:t>
      </w:r>
      <w:r w:rsidRPr="00541E9A">
        <w:rPr>
          <w:szCs w:val="22"/>
        </w:rPr>
        <w:t xml:space="preserve"> part of the Population Health Management business group within Philips. Tom Zajac, CEO of </w:t>
      </w:r>
      <w:proofErr w:type="spellStart"/>
      <w:r w:rsidRPr="00541E9A">
        <w:rPr>
          <w:szCs w:val="22"/>
        </w:rPr>
        <w:t>Wellcentive</w:t>
      </w:r>
      <w:proofErr w:type="spellEnd"/>
      <w:r w:rsidRPr="00541E9A">
        <w:rPr>
          <w:szCs w:val="22"/>
        </w:rPr>
        <w:t xml:space="preserve"> and an experienced healthcare industry leader, will be appointed to lead this business group. </w:t>
      </w:r>
    </w:p>
    <w:p w14:paraId="7EA445A6" w14:textId="77777777" w:rsidR="00C82D08" w:rsidRPr="00541E9A" w:rsidRDefault="00C82D08" w:rsidP="00C82D08">
      <w:pPr>
        <w:rPr>
          <w:color w:val="1F497D"/>
          <w:szCs w:val="22"/>
        </w:rPr>
      </w:pPr>
    </w:p>
    <w:p w14:paraId="7F10F327" w14:textId="286D21BB" w:rsidR="00C82D08" w:rsidRPr="00C82D08" w:rsidRDefault="00C82D08" w:rsidP="00C82D08">
      <w:pPr>
        <w:rPr>
          <w:szCs w:val="22"/>
          <w:lang w:val="en"/>
        </w:rPr>
      </w:pPr>
      <w:r w:rsidRPr="00C82D08">
        <w:rPr>
          <w:szCs w:val="22"/>
        </w:rPr>
        <w:t xml:space="preserve">“With this </w:t>
      </w:r>
      <w:r w:rsidRPr="00C82D08">
        <w:rPr>
          <w:szCs w:val="22"/>
          <w:lang w:val="en"/>
        </w:rPr>
        <w:t xml:space="preserve">strategic acquisition, we will strengthen our Population Health Management </w:t>
      </w:r>
      <w:r w:rsidRPr="00C82D08">
        <w:rPr>
          <w:szCs w:val="22"/>
        </w:rPr>
        <w:t xml:space="preserve">business and its leadership, as health systems </w:t>
      </w:r>
      <w:r w:rsidR="00C320DC">
        <w:rPr>
          <w:szCs w:val="22"/>
        </w:rPr>
        <w:t xml:space="preserve">gradually </w:t>
      </w:r>
      <w:r w:rsidRPr="00C82D08">
        <w:rPr>
          <w:szCs w:val="22"/>
        </w:rPr>
        <w:t>shift from volume to value-based care, and provide more preventative and chronic care services outside of the hospital,” said</w:t>
      </w:r>
      <w:r w:rsidRPr="00C82D08">
        <w:rPr>
          <w:szCs w:val="22"/>
          <w:lang w:val="en"/>
        </w:rPr>
        <w:t xml:space="preserve"> Jeroen Tas, </w:t>
      </w:r>
      <w:r w:rsidR="003440AB">
        <w:rPr>
          <w:szCs w:val="22"/>
          <w:lang w:val="en"/>
        </w:rPr>
        <w:t xml:space="preserve">Philips’ </w:t>
      </w:r>
      <w:r w:rsidRPr="00C82D08">
        <w:rPr>
          <w:szCs w:val="22"/>
          <w:lang w:val="en"/>
        </w:rPr>
        <w:t>CEO Connected Care &amp; Health Informatics</w:t>
      </w:r>
      <w:r w:rsidRPr="00C82D08">
        <w:rPr>
          <w:szCs w:val="22"/>
        </w:rPr>
        <w:t xml:space="preserve">. “Our sweet spot is at the point of care as we give </w:t>
      </w:r>
      <w:r w:rsidR="00C320DC">
        <w:rPr>
          <w:szCs w:val="22"/>
        </w:rPr>
        <w:t>consumers</w:t>
      </w:r>
      <w:r w:rsidRPr="00C82D08">
        <w:rPr>
          <w:szCs w:val="22"/>
        </w:rPr>
        <w:t xml:space="preserve">, </w:t>
      </w:r>
      <w:r w:rsidR="00C320DC">
        <w:rPr>
          <w:szCs w:val="22"/>
        </w:rPr>
        <w:t xml:space="preserve">patients, </w:t>
      </w:r>
      <w:r w:rsidRPr="00C82D08">
        <w:rPr>
          <w:szCs w:val="22"/>
        </w:rPr>
        <w:t>care teams and clinicians the tools, such as remote monitoring solutions and therapy devices, to optimize care.</w:t>
      </w:r>
      <w:r w:rsidRPr="00C82D08">
        <w:rPr>
          <w:rStyle w:val="p-body-copy-02"/>
          <w:szCs w:val="22"/>
          <w:lang w:val="en"/>
        </w:rPr>
        <w:t xml:space="preserve"> </w:t>
      </w:r>
      <w:proofErr w:type="spellStart"/>
      <w:r w:rsidRPr="00C82D08">
        <w:rPr>
          <w:rStyle w:val="p-body-copy-02"/>
          <w:szCs w:val="22"/>
          <w:lang w:val="en"/>
        </w:rPr>
        <w:t>Wellcentive’s</w:t>
      </w:r>
      <w:proofErr w:type="spellEnd"/>
      <w:r w:rsidRPr="00C82D08">
        <w:rPr>
          <w:rStyle w:val="p-body-copy-02"/>
          <w:szCs w:val="22"/>
          <w:lang w:val="en"/>
        </w:rPr>
        <w:t xml:space="preserve"> solutions will provide our customers with the ability to</w:t>
      </w:r>
      <w:r w:rsidRPr="00C82D08">
        <w:rPr>
          <w:szCs w:val="22"/>
        </w:rPr>
        <w:t xml:space="preserve"> collect data from large populations, detect patterns, assess risks and then deploy care programs tailored to the needs of specific groups.”</w:t>
      </w:r>
    </w:p>
    <w:p w14:paraId="484D1721" w14:textId="77777777" w:rsidR="00C82D08" w:rsidRDefault="00C82D08" w:rsidP="00C82D08">
      <w:pPr>
        <w:pStyle w:val="NormalWeb"/>
        <w:spacing w:before="0" w:beforeAutospacing="0" w:after="0" w:afterAutospacing="0"/>
        <w:rPr>
          <w:rFonts w:ascii="Calibri" w:hAnsi="Calibri" w:cs="Calibri"/>
          <w:sz w:val="22"/>
          <w:szCs w:val="22"/>
          <w:lang w:eastAsia="nl-NL"/>
        </w:rPr>
      </w:pPr>
    </w:p>
    <w:p w14:paraId="6E4B77D7" w14:textId="1B84CA83" w:rsidR="004C7F60" w:rsidRDefault="004C7F60" w:rsidP="004C7F60">
      <w:pPr>
        <w:rPr>
          <w:rFonts w:cs="Calibri"/>
          <w:szCs w:val="22"/>
        </w:rPr>
      </w:pPr>
      <w:r>
        <w:rPr>
          <w:rFonts w:cs="Calibri"/>
          <w:szCs w:val="22"/>
        </w:rPr>
        <w:t xml:space="preserve">“Over the past 11 years, the </w:t>
      </w:r>
      <w:proofErr w:type="spellStart"/>
      <w:r>
        <w:rPr>
          <w:rFonts w:cs="Calibri"/>
          <w:szCs w:val="22"/>
        </w:rPr>
        <w:t>Wellcentive</w:t>
      </w:r>
      <w:proofErr w:type="spellEnd"/>
      <w:r>
        <w:rPr>
          <w:rFonts w:cs="Calibri"/>
          <w:szCs w:val="22"/>
        </w:rPr>
        <w:t xml:space="preserve"> team has focused on delivering data-driven clinical, financial, and human outcomes for our customers as they </w:t>
      </w:r>
      <w:r>
        <w:rPr>
          <w:rFonts w:cs="Calibri"/>
          <w:color w:val="000000"/>
          <w:szCs w:val="22"/>
        </w:rPr>
        <w:t xml:space="preserve">provide care management </w:t>
      </w:r>
      <w:r w:rsidR="00CA40D6">
        <w:rPr>
          <w:rFonts w:cs="Calibri"/>
          <w:color w:val="000000"/>
          <w:szCs w:val="22"/>
        </w:rPr>
        <w:t>for</w:t>
      </w:r>
      <w:bookmarkStart w:id="0" w:name="_GoBack"/>
      <w:bookmarkEnd w:id="0"/>
      <w:r>
        <w:rPr>
          <w:rFonts w:cs="Calibri"/>
          <w:color w:val="000000"/>
          <w:szCs w:val="22"/>
        </w:rPr>
        <w:t xml:space="preserve"> more than 30 million patients,”</w:t>
      </w:r>
      <w:r>
        <w:rPr>
          <w:rFonts w:cs="Calibri"/>
          <w:szCs w:val="22"/>
        </w:rPr>
        <w:t xml:space="preserve"> said Tom Zajac, CEO of </w:t>
      </w:r>
      <w:proofErr w:type="spellStart"/>
      <w:r>
        <w:rPr>
          <w:rFonts w:cs="Calibri"/>
          <w:szCs w:val="22"/>
        </w:rPr>
        <w:t>Wellcentive</w:t>
      </w:r>
      <w:proofErr w:type="spellEnd"/>
      <w:r>
        <w:rPr>
          <w:rFonts w:cs="Calibri"/>
          <w:szCs w:val="22"/>
        </w:rPr>
        <w:t xml:space="preserve">. “Combining forces with Philips and its broad portfolio of health technologies and global reach will create a great foundation </w:t>
      </w:r>
      <w:r>
        <w:rPr>
          <w:rFonts w:cs="Calibri"/>
          <w:szCs w:val="22"/>
        </w:rPr>
        <w:lastRenderedPageBreak/>
        <w:t>to accelerate growth in connected care – from healthy living and prevention, to diagnosis, treatment and home care – enabling consumers, providers and health organizations to benefit from our combined, stronger offering in population health management.”</w:t>
      </w:r>
    </w:p>
    <w:p w14:paraId="624F4B4C" w14:textId="77777777" w:rsidR="004C7F60" w:rsidRPr="00C82D08" w:rsidRDefault="004C7F60" w:rsidP="00C82D08">
      <w:pPr>
        <w:pStyle w:val="NormalWeb"/>
        <w:spacing w:before="0" w:beforeAutospacing="0" w:after="0" w:afterAutospacing="0"/>
        <w:rPr>
          <w:rFonts w:ascii="Calibri" w:hAnsi="Calibri" w:cs="Calibri"/>
          <w:sz w:val="22"/>
          <w:szCs w:val="22"/>
          <w:lang w:eastAsia="nl-NL"/>
        </w:rPr>
      </w:pPr>
    </w:p>
    <w:p w14:paraId="507D1F7C" w14:textId="1A9E9BCC" w:rsidR="00C82D08" w:rsidRPr="00C82D08" w:rsidRDefault="00C82D08" w:rsidP="00C82D08">
      <w:pPr>
        <w:pStyle w:val="NormalWeb"/>
        <w:spacing w:before="0" w:beforeAutospacing="0" w:after="0" w:afterAutospacing="0"/>
        <w:rPr>
          <w:rFonts w:ascii="Calibri" w:hAnsi="Calibri" w:cs="Calibri"/>
          <w:b/>
          <w:bCs/>
          <w:i/>
          <w:iCs/>
          <w:color w:val="8496B0"/>
          <w:sz w:val="22"/>
          <w:szCs w:val="22"/>
        </w:rPr>
      </w:pPr>
      <w:proofErr w:type="spellStart"/>
      <w:r w:rsidRPr="00C82D08">
        <w:rPr>
          <w:rFonts w:ascii="Calibri" w:hAnsi="Calibri" w:cs="Calibri"/>
          <w:sz w:val="22"/>
          <w:szCs w:val="22"/>
        </w:rPr>
        <w:t>Wellcentive’s</w:t>
      </w:r>
      <w:proofErr w:type="spellEnd"/>
      <w:r w:rsidRPr="00C82D08">
        <w:rPr>
          <w:rFonts w:ascii="Calibri" w:hAnsi="Calibri" w:cs="Calibri"/>
          <w:sz w:val="22"/>
          <w:szCs w:val="22"/>
        </w:rPr>
        <w:t xml:space="preserve"> application</w:t>
      </w:r>
      <w:r w:rsidR="00651283">
        <w:rPr>
          <w:rFonts w:ascii="Calibri" w:hAnsi="Calibri" w:cs="Calibri"/>
          <w:sz w:val="22"/>
          <w:szCs w:val="22"/>
        </w:rPr>
        <w:t>s will be integrated in the Philips</w:t>
      </w:r>
      <w:r w:rsidRPr="00C82D08">
        <w:rPr>
          <w:rFonts w:ascii="Calibri" w:hAnsi="Calibri" w:cs="Calibri"/>
          <w:sz w:val="22"/>
          <w:szCs w:val="22"/>
        </w:rPr>
        <w:t xml:space="preserve"> </w:t>
      </w:r>
      <w:proofErr w:type="spellStart"/>
      <w:r w:rsidRPr="00C82D08">
        <w:rPr>
          <w:rFonts w:ascii="Calibri" w:hAnsi="Calibri" w:cs="Calibri"/>
          <w:sz w:val="22"/>
          <w:szCs w:val="22"/>
        </w:rPr>
        <w:t>HealthSuite</w:t>
      </w:r>
      <w:proofErr w:type="spellEnd"/>
      <w:r w:rsidRPr="00C82D08">
        <w:rPr>
          <w:rFonts w:ascii="Calibri" w:hAnsi="Calibri" w:cs="Calibri"/>
          <w:sz w:val="22"/>
          <w:szCs w:val="22"/>
        </w:rPr>
        <w:t xml:space="preserve"> cloud, the company’s digital enabler for the next generation of connected health solutions.</w:t>
      </w:r>
      <w:r w:rsidRPr="00C82D08">
        <w:rPr>
          <w:rStyle w:val="p-body-copy-02"/>
          <w:rFonts w:ascii="Calibri" w:hAnsi="Calibri" w:cs="Calibri"/>
          <w:sz w:val="22"/>
          <w:szCs w:val="22"/>
          <w:lang w:val="en"/>
        </w:rPr>
        <w:t xml:space="preserve">  </w:t>
      </w:r>
      <w:r w:rsidR="003440AB">
        <w:rPr>
          <w:rStyle w:val="p-body-copy-02"/>
          <w:rFonts w:ascii="Calibri" w:hAnsi="Calibri" w:cs="Calibri"/>
          <w:sz w:val="22"/>
          <w:szCs w:val="22"/>
          <w:lang w:val="en"/>
        </w:rPr>
        <w:t xml:space="preserve">One </w:t>
      </w:r>
      <w:r w:rsidRPr="00C82D08">
        <w:rPr>
          <w:rStyle w:val="p-body-copy-02"/>
          <w:rFonts w:ascii="Calibri" w:hAnsi="Calibri" w:cs="Calibri"/>
          <w:sz w:val="22"/>
          <w:szCs w:val="22"/>
          <w:lang w:val="en"/>
        </w:rPr>
        <w:t>example of Philips’ existing care programs for population health management is the</w:t>
      </w:r>
      <w:r w:rsidRPr="00C82D08">
        <w:rPr>
          <w:rFonts w:ascii="Calibri" w:hAnsi="Calibri" w:cs="Calibri"/>
          <w:sz w:val="22"/>
          <w:szCs w:val="22"/>
        </w:rPr>
        <w:t xml:space="preserve"> Intensive Ambulatory Care (</w:t>
      </w:r>
      <w:proofErr w:type="spellStart"/>
      <w:r w:rsidRPr="00C82D08">
        <w:rPr>
          <w:rFonts w:ascii="Calibri" w:hAnsi="Calibri" w:cs="Calibri"/>
          <w:sz w:val="22"/>
          <w:szCs w:val="22"/>
        </w:rPr>
        <w:t>eIAC</w:t>
      </w:r>
      <w:proofErr w:type="spellEnd"/>
      <w:r w:rsidRPr="00C82D08">
        <w:rPr>
          <w:rFonts w:ascii="Calibri" w:hAnsi="Calibri" w:cs="Calibri"/>
          <w:sz w:val="22"/>
          <w:szCs w:val="22"/>
        </w:rPr>
        <w:t>) program</w:t>
      </w:r>
      <w:r w:rsidR="003440AB">
        <w:rPr>
          <w:rFonts w:ascii="Calibri" w:hAnsi="Calibri" w:cs="Calibri"/>
          <w:sz w:val="22"/>
          <w:szCs w:val="22"/>
        </w:rPr>
        <w:t xml:space="preserve">: this </w:t>
      </w:r>
      <w:r w:rsidRPr="00C82D08">
        <w:rPr>
          <w:rFonts w:ascii="Calibri" w:hAnsi="Calibri" w:cs="Calibri"/>
          <w:sz w:val="22"/>
          <w:szCs w:val="22"/>
          <w:lang w:val="en-IE"/>
        </w:rPr>
        <w:t xml:space="preserve">combines telehealth technologies and population health management software to help care teams monitor and coach patients at home. </w:t>
      </w:r>
      <w:r w:rsidRPr="00C82D08">
        <w:rPr>
          <w:rFonts w:ascii="Calibri" w:hAnsi="Calibri" w:cs="Calibri"/>
          <w:sz w:val="22"/>
          <w:szCs w:val="22"/>
        </w:rPr>
        <w:t>It aims to improve patient outcomes, care team efficiency, and prevent patients from entering the hospital, where costs are significantly higher.</w:t>
      </w:r>
    </w:p>
    <w:p w14:paraId="6B2DB15C" w14:textId="77777777" w:rsidR="00C82D08" w:rsidRPr="00C82D08" w:rsidRDefault="00C82D08" w:rsidP="00C82D08">
      <w:pPr>
        <w:pStyle w:val="Default"/>
        <w:rPr>
          <w:color w:val="auto"/>
          <w:sz w:val="22"/>
          <w:szCs w:val="22"/>
          <w:lang w:val="en-US"/>
        </w:rPr>
      </w:pPr>
    </w:p>
    <w:p w14:paraId="52FA040B" w14:textId="3E47B90E" w:rsidR="00C82D08" w:rsidRPr="00C82D08" w:rsidRDefault="00C82D08" w:rsidP="00C82D08">
      <w:pPr>
        <w:pStyle w:val="Default"/>
        <w:rPr>
          <w:color w:val="auto"/>
          <w:sz w:val="22"/>
          <w:szCs w:val="22"/>
          <w:lang w:val="en-US"/>
        </w:rPr>
      </w:pPr>
      <w:r w:rsidRPr="00C82D08">
        <w:rPr>
          <w:color w:val="auto"/>
          <w:sz w:val="22"/>
          <w:szCs w:val="22"/>
          <w:lang w:val="en-US"/>
        </w:rPr>
        <w:t xml:space="preserve">Founded in 2005 and </w:t>
      </w:r>
      <w:r w:rsidRPr="00C82D08">
        <w:rPr>
          <w:color w:val="auto"/>
          <w:sz w:val="22"/>
          <w:szCs w:val="22"/>
          <w:lang w:val="en"/>
        </w:rPr>
        <w:t xml:space="preserve">headquartered in </w:t>
      </w:r>
      <w:r w:rsidRPr="00C82D08">
        <w:rPr>
          <w:rStyle w:val="adress-overflow"/>
          <w:sz w:val="22"/>
          <w:szCs w:val="22"/>
          <w:lang w:val="en-US"/>
        </w:rPr>
        <w:t xml:space="preserve">Atlanta, Georgia, </w:t>
      </w:r>
      <w:proofErr w:type="spellStart"/>
      <w:r w:rsidRPr="00C82D08">
        <w:rPr>
          <w:rStyle w:val="adress-overflow"/>
          <w:sz w:val="22"/>
          <w:szCs w:val="22"/>
          <w:lang w:val="en-US"/>
        </w:rPr>
        <w:t>Wellcentive</w:t>
      </w:r>
      <w:proofErr w:type="spellEnd"/>
      <w:r w:rsidRPr="00C82D08">
        <w:rPr>
          <w:color w:val="auto"/>
          <w:sz w:val="22"/>
          <w:szCs w:val="22"/>
          <w:lang w:val="en-US"/>
        </w:rPr>
        <w:t xml:space="preserve"> </w:t>
      </w:r>
      <w:r w:rsidRPr="00C82D08">
        <w:rPr>
          <w:rStyle w:val="adress-overflow"/>
          <w:sz w:val="22"/>
          <w:szCs w:val="22"/>
          <w:lang w:val="en-US"/>
        </w:rPr>
        <w:t>employs a</w:t>
      </w:r>
      <w:r w:rsidRPr="00C82D08">
        <w:rPr>
          <w:color w:val="auto"/>
          <w:sz w:val="22"/>
          <w:szCs w:val="22"/>
          <w:lang w:val="en-US"/>
        </w:rPr>
        <w:t>pproximately 115 employees</w:t>
      </w:r>
      <w:r w:rsidR="004C7F60">
        <w:rPr>
          <w:color w:val="auto"/>
          <w:sz w:val="22"/>
          <w:szCs w:val="22"/>
          <w:lang w:val="en-US"/>
        </w:rPr>
        <w:t xml:space="preserve">. </w:t>
      </w:r>
      <w:r w:rsidR="009A2052">
        <w:rPr>
          <w:color w:val="auto"/>
          <w:sz w:val="22"/>
          <w:szCs w:val="22"/>
          <w:lang w:val="en-US"/>
        </w:rPr>
        <w:t xml:space="preserve">The company </w:t>
      </w:r>
      <w:r w:rsidRPr="00C82D08">
        <w:rPr>
          <w:color w:val="auto"/>
          <w:sz w:val="22"/>
          <w:szCs w:val="22"/>
          <w:lang w:val="en-US"/>
        </w:rPr>
        <w:t>has a strong customer base in the US.</w:t>
      </w:r>
    </w:p>
    <w:p w14:paraId="36F64EC1" w14:textId="77777777" w:rsidR="00B51D8C" w:rsidRDefault="00B51D8C" w:rsidP="00B51D8C">
      <w:pPr>
        <w:rPr>
          <w:rFonts w:asciiTheme="minorHAnsi" w:hAnsiTheme="minorHAnsi" w:cstheme="minorHAnsi"/>
          <w:b/>
          <w:szCs w:val="22"/>
          <w:lang w:eastAsia="en-US"/>
        </w:rPr>
      </w:pPr>
    </w:p>
    <w:p w14:paraId="33CB2488" w14:textId="77777777" w:rsidR="00225849" w:rsidRPr="00B51D8C" w:rsidRDefault="00225849" w:rsidP="00B51D8C">
      <w:pPr>
        <w:rPr>
          <w:rFonts w:asciiTheme="minorHAnsi" w:hAnsiTheme="minorHAnsi" w:cstheme="minorHAnsi"/>
          <w:b/>
          <w:szCs w:val="22"/>
          <w:lang w:eastAsia="en-US"/>
        </w:rPr>
      </w:pPr>
      <w:r w:rsidRPr="00B51D8C">
        <w:rPr>
          <w:rFonts w:asciiTheme="minorHAnsi" w:hAnsiTheme="minorHAnsi" w:cstheme="minorHAnsi"/>
          <w:b/>
          <w:szCs w:val="22"/>
          <w:lang w:eastAsia="en-US"/>
        </w:rPr>
        <w:t>For further information, please contact:</w:t>
      </w:r>
    </w:p>
    <w:p w14:paraId="0A4D5A66" w14:textId="77777777" w:rsidR="006B621A" w:rsidRPr="00207DA7" w:rsidRDefault="006B621A" w:rsidP="003F76A6">
      <w:pPr>
        <w:pStyle w:val="PlainText"/>
        <w:rPr>
          <w:rFonts w:asciiTheme="minorHAnsi" w:hAnsiTheme="minorHAnsi" w:cstheme="minorHAnsi"/>
        </w:rPr>
      </w:pPr>
    </w:p>
    <w:p w14:paraId="38C01E2B" w14:textId="34B128AD" w:rsidR="006B621A" w:rsidRPr="00207DA7" w:rsidRDefault="002D449D" w:rsidP="003F76A6">
      <w:pPr>
        <w:pStyle w:val="PlainText"/>
        <w:rPr>
          <w:rFonts w:asciiTheme="minorHAnsi" w:hAnsiTheme="minorHAnsi" w:cstheme="minorHAnsi"/>
        </w:rPr>
      </w:pPr>
      <w:r w:rsidRPr="00207DA7">
        <w:rPr>
          <w:rFonts w:asciiTheme="minorHAnsi" w:hAnsiTheme="minorHAnsi" w:cstheme="minorHAnsi"/>
        </w:rPr>
        <w:t>Steve Klink</w:t>
      </w:r>
    </w:p>
    <w:p w14:paraId="60BC8692" w14:textId="77777777" w:rsidR="001C5E40" w:rsidRPr="00207DA7" w:rsidRDefault="001C5E40" w:rsidP="003F76A6">
      <w:pPr>
        <w:pStyle w:val="PlainText"/>
        <w:rPr>
          <w:rFonts w:asciiTheme="minorHAnsi" w:hAnsiTheme="minorHAnsi" w:cstheme="minorHAnsi"/>
        </w:rPr>
      </w:pPr>
      <w:r w:rsidRPr="00207DA7">
        <w:rPr>
          <w:rFonts w:asciiTheme="minorHAnsi" w:hAnsiTheme="minorHAnsi" w:cstheme="minorHAnsi"/>
        </w:rPr>
        <w:t>Philips Group Communications</w:t>
      </w:r>
    </w:p>
    <w:p w14:paraId="3B8383C7" w14:textId="39BA9933" w:rsidR="001C5E40" w:rsidRPr="00207DA7" w:rsidRDefault="001C5E40" w:rsidP="003F76A6">
      <w:pPr>
        <w:pStyle w:val="PlainText"/>
        <w:rPr>
          <w:rFonts w:asciiTheme="minorHAnsi" w:hAnsiTheme="minorHAnsi" w:cstheme="minorHAnsi"/>
        </w:rPr>
      </w:pPr>
      <w:r w:rsidRPr="00207DA7">
        <w:rPr>
          <w:rFonts w:asciiTheme="minorHAnsi" w:hAnsiTheme="minorHAnsi" w:cstheme="minorHAnsi"/>
        </w:rPr>
        <w:t xml:space="preserve">Tel.: +31 6 </w:t>
      </w:r>
      <w:r w:rsidR="002D449D" w:rsidRPr="00207DA7">
        <w:rPr>
          <w:rFonts w:asciiTheme="minorHAnsi" w:hAnsiTheme="minorHAnsi" w:cstheme="minorHAnsi"/>
        </w:rPr>
        <w:t>10888824</w:t>
      </w:r>
    </w:p>
    <w:p w14:paraId="3F6342FC" w14:textId="709D7C56" w:rsidR="001C5E40" w:rsidRPr="00207DA7" w:rsidRDefault="001C5E40" w:rsidP="003F76A6">
      <w:pPr>
        <w:pStyle w:val="PlainText"/>
        <w:rPr>
          <w:rFonts w:asciiTheme="minorHAnsi" w:hAnsiTheme="minorHAnsi" w:cstheme="minorHAnsi"/>
        </w:rPr>
      </w:pPr>
      <w:r w:rsidRPr="00207DA7">
        <w:rPr>
          <w:rFonts w:asciiTheme="minorHAnsi" w:hAnsiTheme="minorHAnsi" w:cstheme="minorHAnsi"/>
        </w:rPr>
        <w:t xml:space="preserve">E-mail: </w:t>
      </w:r>
      <w:hyperlink r:id="rId12" w:history="1">
        <w:r w:rsidR="002D449D" w:rsidRPr="003F76A6">
          <w:rPr>
            <w:rStyle w:val="Hyperlink"/>
            <w:rFonts w:asciiTheme="minorHAnsi" w:hAnsiTheme="minorHAnsi" w:cstheme="minorHAnsi"/>
            <w:color w:val="0033CC"/>
          </w:rPr>
          <w:t>steve.klink@philips.com</w:t>
        </w:r>
      </w:hyperlink>
    </w:p>
    <w:p w14:paraId="5E0D8148" w14:textId="77777777" w:rsidR="001C5E40" w:rsidRPr="00207DA7" w:rsidRDefault="001C5E40" w:rsidP="003F76A6">
      <w:pPr>
        <w:pStyle w:val="PlainText"/>
        <w:rPr>
          <w:rFonts w:asciiTheme="minorHAnsi" w:hAnsiTheme="minorHAnsi" w:cstheme="minorHAnsi"/>
        </w:rPr>
      </w:pPr>
    </w:p>
    <w:p w14:paraId="472588CA" w14:textId="77777777" w:rsidR="001C5E40" w:rsidRPr="00207DA7" w:rsidRDefault="001C5E40" w:rsidP="003F76A6">
      <w:pPr>
        <w:pStyle w:val="PlainText"/>
        <w:rPr>
          <w:rFonts w:asciiTheme="minorHAnsi" w:hAnsiTheme="minorHAnsi" w:cstheme="minorHAnsi"/>
        </w:rPr>
      </w:pPr>
      <w:r w:rsidRPr="00207DA7">
        <w:rPr>
          <w:rFonts w:asciiTheme="minorHAnsi" w:hAnsiTheme="minorHAnsi" w:cstheme="minorHAnsi"/>
        </w:rPr>
        <w:t>Leandro Mazzoni</w:t>
      </w:r>
    </w:p>
    <w:p w14:paraId="05FD7ADD" w14:textId="77777777" w:rsidR="001C5E40" w:rsidRPr="00207DA7" w:rsidRDefault="001C5E40" w:rsidP="003F76A6">
      <w:pPr>
        <w:pStyle w:val="PlainText"/>
        <w:rPr>
          <w:rFonts w:asciiTheme="minorHAnsi" w:hAnsiTheme="minorHAnsi" w:cstheme="minorHAnsi"/>
        </w:rPr>
      </w:pPr>
      <w:r w:rsidRPr="00207DA7">
        <w:rPr>
          <w:rFonts w:asciiTheme="minorHAnsi" w:hAnsiTheme="minorHAnsi" w:cstheme="minorHAnsi"/>
        </w:rPr>
        <w:t>Philips Investor Relations</w:t>
      </w:r>
    </w:p>
    <w:p w14:paraId="685F1CB7" w14:textId="77777777" w:rsidR="001C5E40" w:rsidRPr="00207DA7" w:rsidRDefault="001C5E40" w:rsidP="003F76A6">
      <w:pPr>
        <w:pStyle w:val="PlainText"/>
        <w:rPr>
          <w:rFonts w:asciiTheme="minorHAnsi" w:hAnsiTheme="minorHAnsi" w:cstheme="minorHAnsi"/>
        </w:rPr>
      </w:pPr>
      <w:r w:rsidRPr="00207DA7">
        <w:rPr>
          <w:rFonts w:asciiTheme="minorHAnsi" w:hAnsiTheme="minorHAnsi" w:cstheme="minorHAnsi"/>
        </w:rPr>
        <w:t>Phone: +31 20 5977055</w:t>
      </w:r>
    </w:p>
    <w:p w14:paraId="23DD8DAC" w14:textId="77777777" w:rsidR="001C5E40" w:rsidRPr="00207DA7" w:rsidRDefault="001C5E40" w:rsidP="003F76A6">
      <w:pPr>
        <w:pStyle w:val="PlainText"/>
        <w:rPr>
          <w:rFonts w:asciiTheme="minorHAnsi" w:hAnsiTheme="minorHAnsi" w:cstheme="minorHAnsi"/>
        </w:rPr>
      </w:pPr>
      <w:r w:rsidRPr="00207DA7">
        <w:rPr>
          <w:rFonts w:asciiTheme="minorHAnsi" w:hAnsiTheme="minorHAnsi" w:cstheme="minorHAnsi"/>
        </w:rPr>
        <w:t xml:space="preserve">Email: </w:t>
      </w:r>
      <w:hyperlink r:id="rId13" w:history="1">
        <w:r w:rsidRPr="003F76A6">
          <w:rPr>
            <w:rStyle w:val="Hyperlink"/>
            <w:rFonts w:asciiTheme="minorHAnsi" w:hAnsiTheme="minorHAnsi" w:cstheme="minorHAnsi"/>
            <w:color w:val="0033CC"/>
          </w:rPr>
          <w:t>investor.relations@philips.com</w:t>
        </w:r>
      </w:hyperlink>
    </w:p>
    <w:p w14:paraId="0590B643" w14:textId="77777777" w:rsidR="00225849" w:rsidRPr="00207DA7" w:rsidRDefault="00225849" w:rsidP="003F76A6">
      <w:pPr>
        <w:rPr>
          <w:rFonts w:asciiTheme="minorHAnsi" w:hAnsiTheme="minorHAnsi" w:cstheme="minorHAnsi"/>
          <w:szCs w:val="22"/>
          <w:lang w:eastAsia="en-US"/>
        </w:rPr>
      </w:pPr>
    </w:p>
    <w:p w14:paraId="0ED66F8C" w14:textId="77777777" w:rsidR="002D449D" w:rsidRPr="00207DA7" w:rsidRDefault="002D449D" w:rsidP="003F76A6">
      <w:pPr>
        <w:pStyle w:val="PlainText"/>
        <w:rPr>
          <w:rFonts w:asciiTheme="minorHAnsi" w:hAnsiTheme="minorHAnsi" w:cstheme="minorHAnsi"/>
        </w:rPr>
      </w:pPr>
      <w:r w:rsidRPr="00207DA7">
        <w:rPr>
          <w:rFonts w:asciiTheme="minorHAnsi" w:hAnsiTheme="minorHAnsi" w:cstheme="minorHAnsi"/>
          <w:b/>
          <w:bCs/>
        </w:rPr>
        <w:t>About Royal Philips</w:t>
      </w:r>
    </w:p>
    <w:p w14:paraId="715CCD12" w14:textId="376C1B33" w:rsidR="00207DA7" w:rsidRPr="00207DA7" w:rsidRDefault="002D449D" w:rsidP="003F76A6">
      <w:pPr>
        <w:pStyle w:val="PlainText"/>
        <w:rPr>
          <w:rFonts w:asciiTheme="minorHAnsi" w:hAnsiTheme="minorHAnsi" w:cstheme="minorHAnsi"/>
        </w:rPr>
      </w:pPr>
      <w:r w:rsidRPr="00207DA7">
        <w:rPr>
          <w:rFonts w:asciiTheme="minorHAnsi" w:hAnsiTheme="minorHAnsi" w:cstheme="minorHAnsi"/>
        </w:rPr>
        <w:t>Royal Philips (NYSE: PHG, AEX: PHIA) is a leading health technology company focused on improving people’s </w:t>
      </w:r>
      <w:r w:rsidRPr="00207DA7">
        <w:rPr>
          <w:rFonts w:asciiTheme="minorHAnsi" w:hAnsiTheme="minorHAnsi" w:cstheme="minorHAnsi"/>
          <w:lang w:val="en-GB"/>
        </w:rPr>
        <w:t>health and enabling better outcomes across the health continuum from healthy living and prevention, to diagnosis, treatment and home care. Philips leverages advanced technology and deep clinical and consumer insights to deliver integrated solutions. The company </w:t>
      </w:r>
      <w:r w:rsidRPr="00207DA7">
        <w:rPr>
          <w:rFonts w:asciiTheme="minorHAnsi" w:hAnsiTheme="minorHAnsi" w:cstheme="minorHAnsi"/>
        </w:rPr>
        <w:t>is a leader in diagnostic imaging, image-guided therapy, patient monitoring and health informatics, as well as in consumer</w:t>
      </w:r>
      <w:r w:rsidRPr="00207DA7">
        <w:rPr>
          <w:rFonts w:asciiTheme="minorHAnsi" w:hAnsiTheme="minorHAnsi" w:cstheme="minorHAnsi"/>
          <w:b/>
          <w:bCs/>
        </w:rPr>
        <w:t> </w:t>
      </w:r>
      <w:r w:rsidRPr="00207DA7">
        <w:rPr>
          <w:rFonts w:asciiTheme="minorHAnsi" w:hAnsiTheme="minorHAnsi" w:cstheme="minorHAnsi"/>
        </w:rPr>
        <w:t xml:space="preserve">health and home care. Headquartered in the Netherlands, Philips’ health technology portfolio generated 2015 sales of EUR 16.8 billion and employs approximately 69,000 employees with sales and services in more than 100 countries. News about Philips can be found at </w:t>
      </w:r>
      <w:hyperlink r:id="rId14" w:history="1">
        <w:r w:rsidRPr="003F76A6">
          <w:rPr>
            <w:rStyle w:val="Hyperlink"/>
            <w:rFonts w:asciiTheme="minorHAnsi" w:hAnsiTheme="minorHAnsi" w:cstheme="minorHAnsi"/>
            <w:color w:val="0033CC"/>
          </w:rPr>
          <w:t>www.philips.com/newscenter</w:t>
        </w:r>
      </w:hyperlink>
      <w:r w:rsidRPr="00207DA7">
        <w:rPr>
          <w:rFonts w:asciiTheme="minorHAnsi" w:hAnsiTheme="minorHAnsi" w:cstheme="minorHAnsi"/>
        </w:rPr>
        <w:t>.</w:t>
      </w:r>
    </w:p>
    <w:sectPr w:rsidR="00207DA7" w:rsidRPr="00207DA7" w:rsidSect="001C2732">
      <w:headerReference w:type="default" r:id="rId15"/>
      <w:footerReference w:type="default" r:id="rId16"/>
      <w:headerReference w:type="first" r:id="rId17"/>
      <w:footerReference w:type="first" r:id="rId18"/>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6DA3E" w14:textId="77777777" w:rsidR="00D52D5E" w:rsidRDefault="00D52D5E">
      <w:r>
        <w:separator/>
      </w:r>
    </w:p>
  </w:endnote>
  <w:endnote w:type="continuationSeparator" w:id="0">
    <w:p w14:paraId="6317B3B4" w14:textId="77777777" w:rsidR="00D52D5E" w:rsidRDefault="00D52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75109" w14:textId="77777777" w:rsidR="005D0415" w:rsidRDefault="005D0415">
    <w:pPr>
      <w:tabs>
        <w:tab w:val="left" w:pos="7035"/>
      </w:tabs>
      <w:spacing w:line="1400" w:lineRule="exac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F5460" w14:textId="77777777" w:rsidR="005D0415" w:rsidRPr="009E2945" w:rsidRDefault="005D0415" w:rsidP="009E2945">
    <w:pPr>
      <w:framePr w:w="9979" w:h="567" w:wrap="notBeside" w:vAnchor="page" w:hAnchor="page" w:x="1736" w:yAlign="bottom"/>
      <w:spacing w:line="14" w:lineRule="exact"/>
      <w:rPr>
        <w:noProof/>
        <w:sz w:val="2"/>
        <w:szCs w:val="2"/>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9E2945" w:rsidRPr="00A613E1" w14:paraId="73F63A1A" w14:textId="77777777" w:rsidTr="00F77841">
      <w:trPr>
        <w:cantSplit/>
        <w:trHeight w:val="454"/>
      </w:trPr>
      <w:tc>
        <w:tcPr>
          <w:tcW w:w="8414" w:type="dxa"/>
        </w:tcPr>
        <w:p w14:paraId="0BD48B72" w14:textId="77777777" w:rsidR="009E2945" w:rsidRPr="009E2945" w:rsidRDefault="009E2945" w:rsidP="00976DEC">
          <w:pPr>
            <w:framePr w:w="9979" w:h="567" w:wrap="notBeside" w:vAnchor="page" w:hAnchor="page" w:x="1736" w:yAlign="bottom"/>
            <w:spacing w:line="180" w:lineRule="exact"/>
            <w:rPr>
              <w:rFonts w:cs="Calibri"/>
              <w:noProof/>
              <w:sz w:val="16"/>
              <w:szCs w:val="16"/>
              <w:lang w:val="en-GB"/>
            </w:rPr>
          </w:pPr>
          <w:bookmarkStart w:id="8" w:name="MLTableFooter"/>
        </w:p>
      </w:tc>
    </w:tr>
    <w:tr w:rsidR="009E2945" w:rsidRPr="00A613E1" w14:paraId="09C63729" w14:textId="77777777" w:rsidTr="00F77841">
      <w:trPr>
        <w:cantSplit/>
        <w:trHeight w:hRule="exact" w:val="907"/>
      </w:trPr>
      <w:tc>
        <w:tcPr>
          <w:tcW w:w="8414" w:type="dxa"/>
          <w:vAlign w:val="bottom"/>
        </w:tcPr>
        <w:p w14:paraId="481FDF4C" w14:textId="77777777" w:rsidR="009E2945" w:rsidRPr="009E2945" w:rsidRDefault="00225849" w:rsidP="009E2945">
          <w:pPr>
            <w:framePr w:w="9979" w:h="567" w:wrap="notBeside" w:vAnchor="page" w:hAnchor="page" w:x="1736" w:yAlign="bottom"/>
            <w:jc w:val="center"/>
            <w:rPr>
              <w:rFonts w:cs="Calibri"/>
              <w:noProof/>
              <w:sz w:val="16"/>
              <w:szCs w:val="16"/>
              <w:lang w:val="en-GB"/>
            </w:rPr>
          </w:pPr>
          <w:bookmarkStart w:id="9" w:name="LgoShield2013"/>
          <w:r>
            <w:rPr>
              <w:rFonts w:cs="Calibri"/>
              <w:noProof/>
              <w:sz w:val="16"/>
              <w:szCs w:val="16"/>
              <w:lang w:val="nl-NL" w:eastAsia="nl-NL"/>
            </w:rPr>
            <w:drawing>
              <wp:inline distT="0" distB="0" distL="0" distR="0" wp14:anchorId="2166FA39" wp14:editId="069A14FB">
                <wp:extent cx="447675" cy="571500"/>
                <wp:effectExtent l="0" t="0" r="9525" b="0"/>
                <wp:docPr id="5" name="Picture 5" descr="Description: Description: Description: Description: Shield_RGB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Description: Shield_RGB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71500"/>
                        </a:xfrm>
                        <a:prstGeom prst="rect">
                          <a:avLst/>
                        </a:prstGeom>
                        <a:noFill/>
                        <a:ln>
                          <a:noFill/>
                        </a:ln>
                      </pic:spPr>
                    </pic:pic>
                  </a:graphicData>
                </a:graphic>
              </wp:inline>
            </w:drawing>
          </w:r>
          <w:r w:rsidRPr="00225849">
            <w:rPr>
              <w:rFonts w:cs="Calibri"/>
              <w:noProof/>
              <w:sz w:val="16"/>
              <w:szCs w:val="16"/>
              <w:lang w:val="en-GB"/>
            </w:rPr>
            <w:t xml:space="preserve"> </w:t>
          </w:r>
          <w:bookmarkEnd w:id="9"/>
        </w:p>
      </w:tc>
    </w:tr>
    <w:tr w:rsidR="009E2945" w:rsidRPr="00A613E1" w14:paraId="4AC3C3B9" w14:textId="77777777" w:rsidTr="00F77841">
      <w:trPr>
        <w:cantSplit/>
        <w:trHeight w:hRule="exact" w:val="454"/>
      </w:trPr>
      <w:tc>
        <w:tcPr>
          <w:tcW w:w="8414" w:type="dxa"/>
        </w:tcPr>
        <w:p w14:paraId="143EDD7D" w14:textId="77777777" w:rsidR="009E2945" w:rsidRPr="009E2945" w:rsidRDefault="009E2945" w:rsidP="00976DEC">
          <w:pPr>
            <w:framePr w:w="9979" w:h="567" w:wrap="notBeside" w:vAnchor="page" w:hAnchor="page" w:x="1736" w:yAlign="bottom"/>
            <w:spacing w:line="180" w:lineRule="exact"/>
            <w:rPr>
              <w:rFonts w:cs="Calibri"/>
              <w:noProof/>
              <w:sz w:val="16"/>
              <w:szCs w:val="16"/>
              <w:lang w:val="en-GB"/>
            </w:rPr>
          </w:pPr>
        </w:p>
      </w:tc>
    </w:tr>
    <w:tr w:rsidR="00570A71" w:rsidRPr="007F663B" w14:paraId="3914DFD4" w14:textId="77777777" w:rsidTr="00F77841">
      <w:trPr>
        <w:cantSplit/>
        <w:trHeight w:val="493"/>
      </w:trPr>
      <w:tc>
        <w:tcPr>
          <w:tcW w:w="8414" w:type="dxa"/>
        </w:tcPr>
        <w:p w14:paraId="53387CB4" w14:textId="77777777" w:rsidR="00570A71" w:rsidRPr="009B03CB" w:rsidRDefault="00570A71" w:rsidP="00976DEC">
          <w:pPr>
            <w:framePr w:w="9979" w:h="567" w:wrap="notBeside" w:vAnchor="page" w:hAnchor="page" w:x="1736" w:yAlign="bottom"/>
            <w:spacing w:line="180" w:lineRule="exact"/>
            <w:rPr>
              <w:rFonts w:cs="Calibri"/>
              <w:noProof/>
              <w:sz w:val="16"/>
              <w:szCs w:val="16"/>
              <w:lang w:val="en-GB"/>
            </w:rPr>
          </w:pPr>
        </w:p>
      </w:tc>
    </w:tr>
    <w:bookmarkEnd w:id="8"/>
  </w:tbl>
  <w:p w14:paraId="70DBAB11" w14:textId="77777777" w:rsidR="00431130" w:rsidRPr="009E2945" w:rsidRDefault="00431130" w:rsidP="00976DEC">
    <w:pPr>
      <w:framePr w:w="9979" w:h="567" w:wrap="notBeside" w:vAnchor="page" w:hAnchor="page" w:x="1736" w:yAlign="bottom"/>
      <w:shd w:val="clear" w:color="FFFFFF" w:fill="auto"/>
      <w:rPr>
        <w:noProof/>
        <w:sz w:val="2"/>
        <w:szCs w:val="2"/>
        <w:lang w:val="en-GB"/>
      </w:rPr>
    </w:pPr>
  </w:p>
  <w:p w14:paraId="363EB053" w14:textId="77777777" w:rsidR="005D0415" w:rsidRDefault="005D0415">
    <w:pPr>
      <w:framePr w:w="1418" w:h="1134" w:hSpace="284" w:wrap="around" w:vAnchor="page" w:hAnchor="page" w:xAlign="right" w:y="12475"/>
      <w:shd w:val="clear" w:color="FFFFFF" w:fill="auto"/>
      <w:rPr>
        <w:lang w:val="en-GB"/>
      </w:rPr>
    </w:pPr>
  </w:p>
  <w:p w14:paraId="1DFF3174" w14:textId="77777777" w:rsidR="005D0415" w:rsidRDefault="005D0415">
    <w:pPr>
      <w:tabs>
        <w:tab w:val="left" w:pos="7035"/>
      </w:tabs>
      <w:spacing w:line="1400" w:lineRule="exact"/>
      <w:rPr>
        <w:sz w:val="2"/>
        <w:lang w:val="en-GB"/>
      </w:rPr>
    </w:pPr>
  </w:p>
  <w:p w14:paraId="6218E5B0" w14:textId="77777777" w:rsidR="005D0415" w:rsidRDefault="005D0415">
    <w:pPr>
      <w:spacing w:line="240" w:lineRule="exact"/>
      <w:rPr>
        <w:sz w:val="2"/>
        <w:lang w:val="en-GB"/>
      </w:rPr>
    </w:pPr>
  </w:p>
  <w:p w14:paraId="703073C4" w14:textId="77777777" w:rsidR="005D0415" w:rsidRDefault="005D0415">
    <w:pPr>
      <w:spacing w:line="240" w:lineRule="exact"/>
      <w:rPr>
        <w:sz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D543B8" w14:textId="77777777" w:rsidR="00D52D5E" w:rsidRDefault="00D52D5E">
      <w:r>
        <w:separator/>
      </w:r>
    </w:p>
  </w:footnote>
  <w:footnote w:type="continuationSeparator" w:id="0">
    <w:p w14:paraId="063D13F8" w14:textId="77777777" w:rsidR="00D52D5E" w:rsidRDefault="00D52D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EA89D" w14:textId="77777777" w:rsidR="005D0415" w:rsidRDefault="005D0415">
    <w:pPr>
      <w:spacing w:line="332" w:lineRule="exact"/>
      <w:rPr>
        <w:noProof/>
      </w:rPr>
    </w:pPr>
  </w:p>
  <w:p w14:paraId="0FE75D73" w14:textId="77777777" w:rsidR="005D0415" w:rsidRDefault="005D0415">
    <w:pPr>
      <w:framePr w:w="737" w:h="1746" w:hRule="exact" w:hSpace="181" w:wrap="around" w:vAnchor="page" w:hAnchor="page" w:x="800" w:yAlign="bottom"/>
      <w:shd w:val="solid" w:color="FFFFFF" w:fill="auto"/>
      <w:rPr>
        <w:sz w:val="2"/>
      </w:rPr>
    </w:pPr>
  </w:p>
  <w:p w14:paraId="39F8CEC5" w14:textId="77777777" w:rsidR="009E2945" w:rsidRDefault="00225849" w:rsidP="009E2945">
    <w:pPr>
      <w:framePr w:w="2954" w:h="856" w:wrap="around" w:vAnchor="page" w:hAnchor="page" w:x="1736" w:y="1243"/>
      <w:spacing w:line="720" w:lineRule="auto"/>
    </w:pPr>
    <w:bookmarkStart w:id="1" w:name="LgoWordmarkPage2"/>
    <w:r>
      <w:rPr>
        <w:rFonts w:cs="Calibri"/>
        <w:noProof/>
        <w:lang w:val="nl-NL" w:eastAsia="nl-NL"/>
      </w:rPr>
      <w:drawing>
        <wp:inline distT="0" distB="0" distL="0" distR="0" wp14:anchorId="3C5B2190" wp14:editId="0F23543A">
          <wp:extent cx="1104900" cy="200025"/>
          <wp:effectExtent l="0" t="0" r="0" b="9525"/>
          <wp:docPr id="4" name="Picture 4"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00025"/>
                  </a:xfrm>
                  <a:prstGeom prst="rect">
                    <a:avLst/>
                  </a:prstGeom>
                  <a:noFill/>
                  <a:ln>
                    <a:noFill/>
                  </a:ln>
                </pic:spPr>
              </pic:pic>
            </a:graphicData>
          </a:graphic>
        </wp:inline>
      </w:drawing>
    </w:r>
    <w:r>
      <w:rPr>
        <w:rFonts w:cs="Calibri"/>
        <w:noProof/>
      </w:rPr>
      <w:t xml:space="preserve"> </w:t>
    </w:r>
    <w:bookmarkEnd w:id="1"/>
    <w:r w:rsidR="009E2945">
      <w:t xml:space="preserve"> </w:t>
    </w:r>
  </w:p>
  <w:p w14:paraId="1921306D" w14:textId="77777777" w:rsidR="00464CE7" w:rsidRDefault="005D0415">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14:paraId="294B8118" w14:textId="77777777" w:rsidR="00464CE7" w:rsidRDefault="00464CE7" w:rsidP="00221DD3">
    <w:pPr>
      <w:framePr w:w="340" w:h="363" w:hRule="exact" w:hSpace="1191" w:wrap="around" w:vAnchor="page" w:hAnchor="page" w:xAlign="right" w:y="5388"/>
      <w:shd w:val="clear" w:color="FFFFFF" w:fill="auto"/>
      <w:rPr>
        <w:lang w:val="en-GB"/>
      </w:rPr>
    </w:pPr>
    <w:r>
      <w:rPr>
        <w:lang w:val="en-GB"/>
      </w:rPr>
      <w:t>_</w:t>
    </w:r>
  </w:p>
  <w:p w14:paraId="50A431BC" w14:textId="77777777" w:rsidR="00464CE7" w:rsidRDefault="00464CE7">
    <w:pPr>
      <w:framePr w:w="340" w:h="1686" w:hRule="exact" w:wrap="around" w:vAnchor="page" w:hAnchor="page" w:x="404" w:y="6840"/>
      <w:shd w:val="clear" w:color="FFFFFF" w:fill="auto"/>
      <w:spacing w:before="880"/>
      <w:rPr>
        <w:lang w:val="en-GB"/>
      </w:rPr>
    </w:pPr>
    <w:r>
      <w:rPr>
        <w:lang w:val="en-GB"/>
      </w:rPr>
      <w:t>_</w:t>
    </w:r>
  </w:p>
  <w:p w14:paraId="4614E618" w14:textId="77777777" w:rsidR="005D0415" w:rsidRDefault="005D0415">
    <w:pPr>
      <w:spacing w:line="332" w:lineRule="exact"/>
      <w:rPr>
        <w:lang w:val="en-GB"/>
      </w:rPr>
    </w:pPr>
    <w:r>
      <w:rPr>
        <w:lang w:val="en-GB"/>
      </w:rPr>
      <w:fldChar w:fldCharType="end"/>
    </w:r>
  </w:p>
  <w:p w14:paraId="2ACBF6AB" w14:textId="77777777" w:rsidR="005D0415" w:rsidRDefault="005D0415">
    <w:pPr>
      <w:spacing w:line="332" w:lineRule="exact"/>
      <w:rPr>
        <w:lang w:val="en-GB"/>
      </w:rPr>
    </w:pPr>
  </w:p>
  <w:p w14:paraId="6DC2D0B1" w14:textId="77777777" w:rsidR="005D0415" w:rsidRDefault="005D0415">
    <w:pPr>
      <w:spacing w:line="332" w:lineRule="exact"/>
      <w:rPr>
        <w:lang w:val="en-GB"/>
      </w:rPr>
    </w:pPr>
  </w:p>
  <w:p w14:paraId="65CCF695" w14:textId="77777777" w:rsidR="005D0415" w:rsidRDefault="005D0415">
    <w:pPr>
      <w:spacing w:line="490" w:lineRule="exact"/>
      <w:rPr>
        <w:lang w:val="en-GB"/>
      </w:rPr>
    </w:pPr>
  </w:p>
  <w:tbl>
    <w:tblPr>
      <w:tblW w:w="9449" w:type="dxa"/>
      <w:tblLayout w:type="fixed"/>
      <w:tblCellMar>
        <w:left w:w="0" w:type="dxa"/>
        <w:right w:w="170" w:type="dxa"/>
      </w:tblCellMar>
      <w:tblLook w:val="0000" w:firstRow="0" w:lastRow="0" w:firstColumn="0" w:lastColumn="0" w:noHBand="0" w:noVBand="0"/>
    </w:tblPr>
    <w:tblGrid>
      <w:gridCol w:w="4756"/>
      <w:gridCol w:w="1585"/>
      <w:gridCol w:w="3108"/>
    </w:tblGrid>
    <w:tr w:rsidR="005D0415" w14:paraId="55567FF4" w14:textId="77777777">
      <w:trPr>
        <w:cantSplit/>
      </w:trPr>
      <w:tc>
        <w:tcPr>
          <w:tcW w:w="4756" w:type="dxa"/>
        </w:tcPr>
        <w:p w14:paraId="031C9BB5" w14:textId="77777777" w:rsidR="005D0415" w:rsidRDefault="005D0415">
          <w:pPr>
            <w:rPr>
              <w:lang w:val="en-GB"/>
            </w:rPr>
          </w:pPr>
        </w:p>
      </w:tc>
      <w:tc>
        <w:tcPr>
          <w:tcW w:w="1585" w:type="dxa"/>
        </w:tcPr>
        <w:p w14:paraId="7B8E1F9B" w14:textId="77777777" w:rsidR="005D0415" w:rsidRDefault="005D0415">
          <w:pPr>
            <w:rPr>
              <w:lang w:val="en-GB"/>
            </w:rPr>
          </w:pPr>
        </w:p>
      </w:tc>
      <w:tc>
        <w:tcPr>
          <w:tcW w:w="3108" w:type="dxa"/>
          <w:tcMar>
            <w:right w:w="0" w:type="dxa"/>
          </w:tcMar>
        </w:tcPr>
        <w:p w14:paraId="165F67A3" w14:textId="23ACE24C" w:rsidR="00464CE7" w:rsidRDefault="006F67F9">
          <w:pPr>
            <w:rPr>
              <w:sz w:val="16"/>
              <w:szCs w:val="16"/>
              <w:lang w:val="en-GB"/>
            </w:rPr>
          </w:pPr>
          <w:bookmarkStart w:id="2" w:name="Page"/>
          <w:r>
            <w:rPr>
              <w:sz w:val="16"/>
              <w:szCs w:val="16"/>
              <w:lang w:val="en-GB"/>
            </w:rPr>
            <w:t>July</w:t>
          </w:r>
          <w:r w:rsidR="004F7432">
            <w:rPr>
              <w:sz w:val="16"/>
              <w:szCs w:val="16"/>
              <w:lang w:val="en-GB"/>
            </w:rPr>
            <w:t xml:space="preserve"> </w:t>
          </w:r>
          <w:r w:rsidR="00B4435A">
            <w:rPr>
              <w:sz w:val="16"/>
              <w:szCs w:val="16"/>
              <w:lang w:val="en-GB"/>
            </w:rPr>
            <w:t>20</w:t>
          </w:r>
          <w:r w:rsidR="005D27A2">
            <w:rPr>
              <w:sz w:val="16"/>
              <w:szCs w:val="16"/>
              <w:lang w:val="en-GB"/>
            </w:rPr>
            <w:t>, 201</w:t>
          </w:r>
          <w:r w:rsidR="009D0AD1">
            <w:rPr>
              <w:sz w:val="16"/>
              <w:szCs w:val="16"/>
              <w:lang w:val="en-GB"/>
            </w:rPr>
            <w:t>6</w:t>
          </w:r>
        </w:p>
        <w:p w14:paraId="65179907" w14:textId="77777777" w:rsidR="005D0415" w:rsidRPr="0001308C" w:rsidRDefault="00225849">
          <w:pPr>
            <w:rPr>
              <w:sz w:val="16"/>
              <w:szCs w:val="16"/>
              <w:lang w:val="en-GB"/>
            </w:rPr>
          </w:pPr>
          <w:r>
            <w:rPr>
              <w:sz w:val="16"/>
              <w:szCs w:val="16"/>
              <w:lang w:val="en-GB"/>
            </w:rPr>
            <w:t xml:space="preserve">Page: </w:t>
          </w:r>
          <w:bookmarkEnd w:id="2"/>
          <w:r w:rsidR="005D0415" w:rsidRPr="0001308C">
            <w:rPr>
              <w:sz w:val="16"/>
              <w:szCs w:val="16"/>
              <w:lang w:val="en-GB"/>
            </w:rPr>
            <w:t xml:space="preserve"> </w:t>
          </w:r>
          <w:r w:rsidR="005D0415" w:rsidRPr="0001308C">
            <w:rPr>
              <w:sz w:val="16"/>
              <w:szCs w:val="16"/>
              <w:lang w:val="en-GB"/>
            </w:rPr>
            <w:fldChar w:fldCharType="begin"/>
          </w:r>
          <w:r w:rsidR="005D0415" w:rsidRPr="0001308C">
            <w:rPr>
              <w:sz w:val="16"/>
              <w:szCs w:val="16"/>
              <w:lang w:val="en-GB"/>
            </w:rPr>
            <w:instrText xml:space="preserve"> Page </w:instrText>
          </w:r>
          <w:r w:rsidR="005D0415" w:rsidRPr="0001308C">
            <w:rPr>
              <w:sz w:val="16"/>
              <w:szCs w:val="16"/>
              <w:lang w:val="en-GB"/>
            </w:rPr>
            <w:fldChar w:fldCharType="separate"/>
          </w:r>
          <w:r w:rsidR="00CA40D6">
            <w:rPr>
              <w:noProof/>
              <w:sz w:val="16"/>
              <w:szCs w:val="16"/>
              <w:lang w:val="en-GB"/>
            </w:rPr>
            <w:t>2</w:t>
          </w:r>
          <w:r w:rsidR="005D0415" w:rsidRPr="0001308C">
            <w:rPr>
              <w:sz w:val="16"/>
              <w:szCs w:val="16"/>
              <w:lang w:val="en-GB"/>
            </w:rPr>
            <w:fldChar w:fldCharType="end"/>
          </w:r>
        </w:p>
      </w:tc>
    </w:tr>
  </w:tbl>
  <w:p w14:paraId="72778862" w14:textId="77777777" w:rsidR="005D0415" w:rsidRDefault="005D0415">
    <w:pPr>
      <w:spacing w:line="332" w:lineRule="exac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1CBAD" w14:textId="77777777" w:rsidR="005D0415" w:rsidRDefault="005D0415">
    <w:pPr>
      <w:spacing w:line="240" w:lineRule="exact"/>
      <w:rPr>
        <w:noProof/>
      </w:rPr>
    </w:pPr>
    <w:bookmarkStart w:id="3" w:name="LgoWordmarkRef"/>
  </w:p>
  <w:p w14:paraId="403F88AF" w14:textId="77777777" w:rsidR="005D0415" w:rsidRDefault="005D0415">
    <w:pPr>
      <w:spacing w:line="240" w:lineRule="exact"/>
      <w:rPr>
        <w:lang w:val="en-GB"/>
      </w:rPr>
    </w:pPr>
    <w:bookmarkStart w:id="4" w:name="Dashes"/>
    <w:bookmarkEnd w:id="3"/>
  </w:p>
  <w:p w14:paraId="606B7D6F" w14:textId="77777777" w:rsidR="005D0415" w:rsidRDefault="005D0415" w:rsidP="00221DD3">
    <w:pPr>
      <w:framePr w:w="340" w:h="363" w:hRule="exact" w:hSpace="1191" w:wrap="around" w:vAnchor="page" w:hAnchor="page" w:xAlign="right" w:y="5388"/>
      <w:shd w:val="clear" w:color="FFFFFF" w:fill="auto"/>
      <w:rPr>
        <w:lang w:val="en-GB"/>
      </w:rPr>
    </w:pPr>
    <w:bookmarkStart w:id="5" w:name="Falz1"/>
    <w:r>
      <w:rPr>
        <w:lang w:val="en-GB"/>
      </w:rPr>
      <w:t>_</w:t>
    </w:r>
  </w:p>
  <w:p w14:paraId="16B7FFB1" w14:textId="77777777" w:rsidR="005D0415" w:rsidRDefault="005D0415">
    <w:pPr>
      <w:framePr w:w="340" w:h="1686" w:hRule="exact" w:wrap="around" w:vAnchor="page" w:hAnchor="page" w:x="404" w:y="6840"/>
      <w:shd w:val="clear" w:color="FFFFFF" w:fill="auto"/>
      <w:spacing w:before="880"/>
      <w:rPr>
        <w:lang w:val="en-GB"/>
      </w:rPr>
    </w:pPr>
    <w:bookmarkStart w:id="6" w:name="Falz2"/>
    <w:bookmarkEnd w:id="5"/>
    <w:r>
      <w:rPr>
        <w:lang w:val="en-GB"/>
      </w:rPr>
      <w:t>_</w:t>
    </w:r>
  </w:p>
  <w:bookmarkEnd w:id="4"/>
  <w:bookmarkEnd w:id="6"/>
  <w:p w14:paraId="2BD8E026" w14:textId="77777777" w:rsidR="005D0415" w:rsidRDefault="00671080">
    <w:pPr>
      <w:spacing w:line="240" w:lineRule="exact"/>
      <w:rPr>
        <w:lang w:val="en-GB"/>
      </w:rPr>
    </w:pPr>
    <w:r>
      <w:rPr>
        <w:noProof/>
        <w:lang w:val="nl-NL" w:eastAsia="nl-NL"/>
      </w:rPr>
      <mc:AlternateContent>
        <mc:Choice Requires="wps">
          <w:drawing>
            <wp:anchor distT="0" distB="0" distL="114300" distR="114300" simplePos="0" relativeHeight="251657216" behindDoc="0" locked="0" layoutInCell="1" allowOverlap="1" wp14:anchorId="5962F06A" wp14:editId="43ADE6F4">
              <wp:simplePos x="0" y="0"/>
              <wp:positionH relativeFrom="margin">
                <wp:posOffset>0</wp:posOffset>
              </wp:positionH>
              <wp:positionV relativeFrom="margin">
                <wp:posOffset>1440180</wp:posOffset>
              </wp:positionV>
              <wp:extent cx="19050" cy="0"/>
              <wp:effectExtent l="0" t="0" r="0" b="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CB054" id="Line 66"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" strokeweight="1.5pt">
              <w10:wrap anchorx="margin" anchory="margin"/>
            </v:line>
          </w:pict>
        </mc:Fallback>
      </mc:AlternateContent>
    </w:r>
    <w:r>
      <w:rPr>
        <w:noProof/>
        <w:lang w:val="nl-NL" w:eastAsia="nl-NL"/>
      </w:rPr>
      <mc:AlternateContent>
        <mc:Choice Requires="wps">
          <w:drawing>
            <wp:anchor distT="0" distB="0" distL="114300" distR="114300" simplePos="0" relativeHeight="251658240" behindDoc="0" locked="0" layoutInCell="1" allowOverlap="1" wp14:anchorId="0181ED52" wp14:editId="707A0B9F">
              <wp:simplePos x="0" y="0"/>
              <wp:positionH relativeFrom="margin">
                <wp:posOffset>3024505</wp:posOffset>
              </wp:positionH>
              <wp:positionV relativeFrom="margin">
                <wp:posOffset>1440180</wp:posOffset>
              </wp:positionV>
              <wp:extent cx="19050" cy="0"/>
              <wp:effectExtent l="0" t="0" r="0" b="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C8F4D" id="Line 67"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" strokeweight="1.5pt">
              <w10:wrap anchorx="margin" anchory="margin"/>
            </v:line>
          </w:pict>
        </mc:Fallback>
      </mc:AlternateContent>
    </w:r>
  </w:p>
  <w:p w14:paraId="3A1BEA25" w14:textId="77777777" w:rsidR="005D0415" w:rsidRDefault="005D0415">
    <w:pPr>
      <w:spacing w:line="240" w:lineRule="exact"/>
      <w:rPr>
        <w:lang w:val="en-GB"/>
      </w:rPr>
    </w:pPr>
  </w:p>
  <w:p w14:paraId="5BF26D33" w14:textId="77777777" w:rsidR="005D0415" w:rsidRDefault="005D0415">
    <w:pPr>
      <w:spacing w:line="240" w:lineRule="exact"/>
      <w:rPr>
        <w:lang w:val="en-GB"/>
      </w:rPr>
    </w:pPr>
  </w:p>
  <w:p w14:paraId="7E541C9C" w14:textId="77777777" w:rsidR="00D426B5" w:rsidRDefault="00225849" w:rsidP="006204FC">
    <w:pPr>
      <w:framePr w:w="5687" w:h="964" w:hRule="exact" w:wrap="around" w:vAnchor="page" w:hAnchor="page" w:x="1736" w:y="1050" w:anchorLock="1"/>
      <w:rPr>
        <w:noProof/>
        <w:lang w:val="en-GB"/>
      </w:rPr>
    </w:pPr>
    <w:bookmarkStart w:id="7" w:name="LgoWordmark"/>
    <w:r>
      <w:rPr>
        <w:rFonts w:cs="Calibri"/>
        <w:noProof/>
        <w:lang w:val="nl-NL" w:eastAsia="nl-NL"/>
      </w:rPr>
      <w:drawing>
        <wp:inline distT="0" distB="0" distL="0" distR="0" wp14:anchorId="151CD2BE" wp14:editId="0DCD8B55">
          <wp:extent cx="1790700" cy="333375"/>
          <wp:effectExtent l="0" t="0" r="0" b="9525"/>
          <wp:docPr id="3" name="Picture 3"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inline>
      </w:drawing>
    </w:r>
    <w:r w:rsidRPr="00225849">
      <w:rPr>
        <w:rFonts w:cs="Calibri"/>
        <w:noProof/>
        <w:lang w:val="en-GB"/>
      </w:rPr>
      <w:t xml:space="preserve"> </w:t>
    </w:r>
    <w:bookmarkEnd w:id="7"/>
    <w:r w:rsidR="00D426B5">
      <w:rPr>
        <w:noProof/>
        <w:lang w:val="en-GB"/>
      </w:rPr>
      <w:t xml:space="preserve"> </w:t>
    </w:r>
  </w:p>
  <w:p w14:paraId="7BDA79C4" w14:textId="77777777" w:rsidR="005D0415" w:rsidRDefault="005D0415">
    <w:pPr>
      <w:spacing w:line="240" w:lineRule="exact"/>
      <w:rPr>
        <w:lang w:val="en-GB"/>
      </w:rPr>
    </w:pPr>
  </w:p>
  <w:p w14:paraId="077E4007" w14:textId="77777777" w:rsidR="005D0415" w:rsidRDefault="005D0415">
    <w:pPr>
      <w:spacing w:line="240" w:lineRule="exact"/>
      <w:rPr>
        <w:lang w:val="en-GB"/>
      </w:rPr>
    </w:pPr>
  </w:p>
  <w:p w14:paraId="116B0EB5" w14:textId="77777777" w:rsidR="005D0415" w:rsidRDefault="005D0415">
    <w:pPr>
      <w:spacing w:line="240" w:lineRule="exac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B1C8E"/>
    <w:multiLevelType w:val="hybridMultilevel"/>
    <w:tmpl w:val="63F64E0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74373721"/>
    <w:multiLevelType w:val="hybridMultilevel"/>
    <w:tmpl w:val="40C66826"/>
    <w:lvl w:ilvl="0" w:tplc="08A4E620">
      <w:start w:val="1"/>
      <w:numFmt w:val="bullet"/>
      <w:lvlText w:val="•"/>
      <w:lvlJc w:val="left"/>
      <w:pPr>
        <w:tabs>
          <w:tab w:val="num" w:pos="720"/>
        </w:tabs>
        <w:ind w:left="720" w:hanging="360"/>
      </w:pPr>
      <w:rPr>
        <w:rFonts w:ascii="Arial" w:hAnsi="Arial" w:hint="default"/>
      </w:rPr>
    </w:lvl>
    <w:lvl w:ilvl="1" w:tplc="08CCF5D8" w:tentative="1">
      <w:start w:val="1"/>
      <w:numFmt w:val="bullet"/>
      <w:lvlText w:val="•"/>
      <w:lvlJc w:val="left"/>
      <w:pPr>
        <w:tabs>
          <w:tab w:val="num" w:pos="1440"/>
        </w:tabs>
        <w:ind w:left="1440" w:hanging="360"/>
      </w:pPr>
      <w:rPr>
        <w:rFonts w:ascii="Arial" w:hAnsi="Arial" w:hint="default"/>
      </w:rPr>
    </w:lvl>
    <w:lvl w:ilvl="2" w:tplc="E5E88BFE" w:tentative="1">
      <w:start w:val="1"/>
      <w:numFmt w:val="bullet"/>
      <w:lvlText w:val="•"/>
      <w:lvlJc w:val="left"/>
      <w:pPr>
        <w:tabs>
          <w:tab w:val="num" w:pos="2160"/>
        </w:tabs>
        <w:ind w:left="2160" w:hanging="360"/>
      </w:pPr>
      <w:rPr>
        <w:rFonts w:ascii="Arial" w:hAnsi="Arial" w:hint="default"/>
      </w:rPr>
    </w:lvl>
    <w:lvl w:ilvl="3" w:tplc="0AC8EEF4" w:tentative="1">
      <w:start w:val="1"/>
      <w:numFmt w:val="bullet"/>
      <w:lvlText w:val="•"/>
      <w:lvlJc w:val="left"/>
      <w:pPr>
        <w:tabs>
          <w:tab w:val="num" w:pos="2880"/>
        </w:tabs>
        <w:ind w:left="2880" w:hanging="360"/>
      </w:pPr>
      <w:rPr>
        <w:rFonts w:ascii="Arial" w:hAnsi="Arial" w:hint="default"/>
      </w:rPr>
    </w:lvl>
    <w:lvl w:ilvl="4" w:tplc="BE7AC56E" w:tentative="1">
      <w:start w:val="1"/>
      <w:numFmt w:val="bullet"/>
      <w:lvlText w:val="•"/>
      <w:lvlJc w:val="left"/>
      <w:pPr>
        <w:tabs>
          <w:tab w:val="num" w:pos="3600"/>
        </w:tabs>
        <w:ind w:left="3600" w:hanging="360"/>
      </w:pPr>
      <w:rPr>
        <w:rFonts w:ascii="Arial" w:hAnsi="Arial" w:hint="default"/>
      </w:rPr>
    </w:lvl>
    <w:lvl w:ilvl="5" w:tplc="B7DCE0E6" w:tentative="1">
      <w:start w:val="1"/>
      <w:numFmt w:val="bullet"/>
      <w:lvlText w:val="•"/>
      <w:lvlJc w:val="left"/>
      <w:pPr>
        <w:tabs>
          <w:tab w:val="num" w:pos="4320"/>
        </w:tabs>
        <w:ind w:left="4320" w:hanging="360"/>
      </w:pPr>
      <w:rPr>
        <w:rFonts w:ascii="Arial" w:hAnsi="Arial" w:hint="default"/>
      </w:rPr>
    </w:lvl>
    <w:lvl w:ilvl="6" w:tplc="621C46E4" w:tentative="1">
      <w:start w:val="1"/>
      <w:numFmt w:val="bullet"/>
      <w:lvlText w:val="•"/>
      <w:lvlJc w:val="left"/>
      <w:pPr>
        <w:tabs>
          <w:tab w:val="num" w:pos="5040"/>
        </w:tabs>
        <w:ind w:left="5040" w:hanging="360"/>
      </w:pPr>
      <w:rPr>
        <w:rFonts w:ascii="Arial" w:hAnsi="Arial" w:hint="default"/>
      </w:rPr>
    </w:lvl>
    <w:lvl w:ilvl="7" w:tplc="29D4FEE2" w:tentative="1">
      <w:start w:val="1"/>
      <w:numFmt w:val="bullet"/>
      <w:lvlText w:val="•"/>
      <w:lvlJc w:val="left"/>
      <w:pPr>
        <w:tabs>
          <w:tab w:val="num" w:pos="5760"/>
        </w:tabs>
        <w:ind w:left="5760" w:hanging="360"/>
      </w:pPr>
      <w:rPr>
        <w:rFonts w:ascii="Arial" w:hAnsi="Arial" w:hint="default"/>
      </w:rPr>
    </w:lvl>
    <w:lvl w:ilvl="8" w:tplc="E75EA7D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00/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2]&lt;CRLF&gt;Name=txt,%IDD_8%&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otectionMode" w:val="1"/>
    <w:docVar w:name="saxSection" w:val="English"/>
    <w:docVar w:name="saxTvNo" w:val="0"/>
    <w:docVar w:name="saxUpdate.LayoutVersion" w:val="0"/>
  </w:docVars>
  <w:rsids>
    <w:rsidRoot w:val="00225849"/>
    <w:rsid w:val="00002422"/>
    <w:rsid w:val="0001308C"/>
    <w:rsid w:val="00014F84"/>
    <w:rsid w:val="00015FE3"/>
    <w:rsid w:val="000260FC"/>
    <w:rsid w:val="0002758B"/>
    <w:rsid w:val="00027D9C"/>
    <w:rsid w:val="00035A19"/>
    <w:rsid w:val="00040348"/>
    <w:rsid w:val="00041623"/>
    <w:rsid w:val="000452B7"/>
    <w:rsid w:val="00047D5C"/>
    <w:rsid w:val="00053199"/>
    <w:rsid w:val="00056E22"/>
    <w:rsid w:val="000752BE"/>
    <w:rsid w:val="00081964"/>
    <w:rsid w:val="000875CD"/>
    <w:rsid w:val="00091FB2"/>
    <w:rsid w:val="000943AB"/>
    <w:rsid w:val="0009471A"/>
    <w:rsid w:val="00095575"/>
    <w:rsid w:val="000A0C11"/>
    <w:rsid w:val="000A7069"/>
    <w:rsid w:val="000C6DF5"/>
    <w:rsid w:val="000D2E72"/>
    <w:rsid w:val="000F2014"/>
    <w:rsid w:val="000F2F8C"/>
    <w:rsid w:val="000F70E6"/>
    <w:rsid w:val="000F713C"/>
    <w:rsid w:val="00110642"/>
    <w:rsid w:val="00110B19"/>
    <w:rsid w:val="00117A79"/>
    <w:rsid w:val="00117B29"/>
    <w:rsid w:val="0012462A"/>
    <w:rsid w:val="00124843"/>
    <w:rsid w:val="0014292E"/>
    <w:rsid w:val="0014294C"/>
    <w:rsid w:val="0014497B"/>
    <w:rsid w:val="001539CD"/>
    <w:rsid w:val="00153C45"/>
    <w:rsid w:val="00161175"/>
    <w:rsid w:val="00174F41"/>
    <w:rsid w:val="001755DD"/>
    <w:rsid w:val="00184735"/>
    <w:rsid w:val="0018588B"/>
    <w:rsid w:val="00185D67"/>
    <w:rsid w:val="00195ADF"/>
    <w:rsid w:val="00195C05"/>
    <w:rsid w:val="001A0587"/>
    <w:rsid w:val="001A19B9"/>
    <w:rsid w:val="001C1E5E"/>
    <w:rsid w:val="001C2732"/>
    <w:rsid w:val="001C5E40"/>
    <w:rsid w:val="001C7290"/>
    <w:rsid w:val="001E388F"/>
    <w:rsid w:val="001E3C25"/>
    <w:rsid w:val="001E4783"/>
    <w:rsid w:val="001E781E"/>
    <w:rsid w:val="001F7A14"/>
    <w:rsid w:val="00202A18"/>
    <w:rsid w:val="00204249"/>
    <w:rsid w:val="00205E8C"/>
    <w:rsid w:val="00207DA7"/>
    <w:rsid w:val="0021460D"/>
    <w:rsid w:val="00214798"/>
    <w:rsid w:val="00221DD3"/>
    <w:rsid w:val="00225849"/>
    <w:rsid w:val="00227DCB"/>
    <w:rsid w:val="00242321"/>
    <w:rsid w:val="00245239"/>
    <w:rsid w:val="00253A63"/>
    <w:rsid w:val="00255825"/>
    <w:rsid w:val="002658B8"/>
    <w:rsid w:val="00274407"/>
    <w:rsid w:val="002748CE"/>
    <w:rsid w:val="0028117D"/>
    <w:rsid w:val="0028251B"/>
    <w:rsid w:val="00284F53"/>
    <w:rsid w:val="002B50EE"/>
    <w:rsid w:val="002B658E"/>
    <w:rsid w:val="002C36ED"/>
    <w:rsid w:val="002C3953"/>
    <w:rsid w:val="002D449D"/>
    <w:rsid w:val="002D465C"/>
    <w:rsid w:val="002E2AE1"/>
    <w:rsid w:val="002E6842"/>
    <w:rsid w:val="002F17AE"/>
    <w:rsid w:val="002F634D"/>
    <w:rsid w:val="002F6828"/>
    <w:rsid w:val="002F7249"/>
    <w:rsid w:val="002F7FAA"/>
    <w:rsid w:val="00303852"/>
    <w:rsid w:val="00303B3D"/>
    <w:rsid w:val="0030482B"/>
    <w:rsid w:val="003105DD"/>
    <w:rsid w:val="0032047C"/>
    <w:rsid w:val="00321B78"/>
    <w:rsid w:val="00321D12"/>
    <w:rsid w:val="0032484E"/>
    <w:rsid w:val="00330B38"/>
    <w:rsid w:val="00334962"/>
    <w:rsid w:val="00335A74"/>
    <w:rsid w:val="00341D65"/>
    <w:rsid w:val="003440AB"/>
    <w:rsid w:val="00350F6A"/>
    <w:rsid w:val="003538DA"/>
    <w:rsid w:val="0035650B"/>
    <w:rsid w:val="00360F76"/>
    <w:rsid w:val="003626EF"/>
    <w:rsid w:val="00363923"/>
    <w:rsid w:val="00377AF6"/>
    <w:rsid w:val="00383300"/>
    <w:rsid w:val="003852BA"/>
    <w:rsid w:val="00394C88"/>
    <w:rsid w:val="003B0D7A"/>
    <w:rsid w:val="003C7BC4"/>
    <w:rsid w:val="003D4943"/>
    <w:rsid w:val="003E334E"/>
    <w:rsid w:val="003E53F7"/>
    <w:rsid w:val="003E696C"/>
    <w:rsid w:val="003E7B3B"/>
    <w:rsid w:val="003F3ECC"/>
    <w:rsid w:val="003F6CC6"/>
    <w:rsid w:val="003F76A6"/>
    <w:rsid w:val="00402FF8"/>
    <w:rsid w:val="004033EC"/>
    <w:rsid w:val="00407123"/>
    <w:rsid w:val="00412931"/>
    <w:rsid w:val="00431130"/>
    <w:rsid w:val="004407C1"/>
    <w:rsid w:val="0044687A"/>
    <w:rsid w:val="004538EB"/>
    <w:rsid w:val="00464CE7"/>
    <w:rsid w:val="00471360"/>
    <w:rsid w:val="00472821"/>
    <w:rsid w:val="004753C1"/>
    <w:rsid w:val="00487021"/>
    <w:rsid w:val="004A084D"/>
    <w:rsid w:val="004B72ED"/>
    <w:rsid w:val="004C7F60"/>
    <w:rsid w:val="004D3875"/>
    <w:rsid w:val="004D5872"/>
    <w:rsid w:val="004E56DB"/>
    <w:rsid w:val="004E5D0A"/>
    <w:rsid w:val="004F1165"/>
    <w:rsid w:val="004F7432"/>
    <w:rsid w:val="005032D3"/>
    <w:rsid w:val="00514AB2"/>
    <w:rsid w:val="00515460"/>
    <w:rsid w:val="0052686C"/>
    <w:rsid w:val="00537571"/>
    <w:rsid w:val="00541E9A"/>
    <w:rsid w:val="00544247"/>
    <w:rsid w:val="0054717D"/>
    <w:rsid w:val="00553441"/>
    <w:rsid w:val="0055506C"/>
    <w:rsid w:val="0056165E"/>
    <w:rsid w:val="0056198C"/>
    <w:rsid w:val="00570A71"/>
    <w:rsid w:val="00591CBB"/>
    <w:rsid w:val="0059266D"/>
    <w:rsid w:val="005B44BA"/>
    <w:rsid w:val="005B6618"/>
    <w:rsid w:val="005C055C"/>
    <w:rsid w:val="005C2CB7"/>
    <w:rsid w:val="005C3BB5"/>
    <w:rsid w:val="005C6534"/>
    <w:rsid w:val="005D0415"/>
    <w:rsid w:val="005D27A2"/>
    <w:rsid w:val="005D3FED"/>
    <w:rsid w:val="0060195B"/>
    <w:rsid w:val="0060710B"/>
    <w:rsid w:val="006204FC"/>
    <w:rsid w:val="00634B96"/>
    <w:rsid w:val="00651283"/>
    <w:rsid w:val="00651D5D"/>
    <w:rsid w:val="00657182"/>
    <w:rsid w:val="00671080"/>
    <w:rsid w:val="00671BF6"/>
    <w:rsid w:val="006731AF"/>
    <w:rsid w:val="006769C4"/>
    <w:rsid w:val="00694039"/>
    <w:rsid w:val="006A5164"/>
    <w:rsid w:val="006A75CA"/>
    <w:rsid w:val="006B621A"/>
    <w:rsid w:val="006B6841"/>
    <w:rsid w:val="006C069A"/>
    <w:rsid w:val="006C0C15"/>
    <w:rsid w:val="006C504A"/>
    <w:rsid w:val="006D1465"/>
    <w:rsid w:val="006D3E93"/>
    <w:rsid w:val="006D54D3"/>
    <w:rsid w:val="006D55B9"/>
    <w:rsid w:val="006D7A4F"/>
    <w:rsid w:val="006E365A"/>
    <w:rsid w:val="006E5874"/>
    <w:rsid w:val="006E7C1F"/>
    <w:rsid w:val="006F3D8B"/>
    <w:rsid w:val="006F443F"/>
    <w:rsid w:val="006F50A9"/>
    <w:rsid w:val="006F67F9"/>
    <w:rsid w:val="00700037"/>
    <w:rsid w:val="00713A54"/>
    <w:rsid w:val="00722CF6"/>
    <w:rsid w:val="0072438F"/>
    <w:rsid w:val="007265AF"/>
    <w:rsid w:val="0073157C"/>
    <w:rsid w:val="00736988"/>
    <w:rsid w:val="007419B6"/>
    <w:rsid w:val="00754D1D"/>
    <w:rsid w:val="007643EE"/>
    <w:rsid w:val="00765796"/>
    <w:rsid w:val="00767F9F"/>
    <w:rsid w:val="007754AB"/>
    <w:rsid w:val="007852E7"/>
    <w:rsid w:val="0079197B"/>
    <w:rsid w:val="007B1B4C"/>
    <w:rsid w:val="007E1C80"/>
    <w:rsid w:val="007E7D83"/>
    <w:rsid w:val="007F663B"/>
    <w:rsid w:val="008065CA"/>
    <w:rsid w:val="00824B5D"/>
    <w:rsid w:val="00826CC0"/>
    <w:rsid w:val="00837998"/>
    <w:rsid w:val="00842DA9"/>
    <w:rsid w:val="00846D77"/>
    <w:rsid w:val="008608DA"/>
    <w:rsid w:val="00866863"/>
    <w:rsid w:val="008707C6"/>
    <w:rsid w:val="00873328"/>
    <w:rsid w:val="00880FB4"/>
    <w:rsid w:val="00893650"/>
    <w:rsid w:val="00893CCC"/>
    <w:rsid w:val="00893E98"/>
    <w:rsid w:val="008A07F3"/>
    <w:rsid w:val="008A5A22"/>
    <w:rsid w:val="008A7DD7"/>
    <w:rsid w:val="008B0BAA"/>
    <w:rsid w:val="008B3846"/>
    <w:rsid w:val="008B7637"/>
    <w:rsid w:val="008C731D"/>
    <w:rsid w:val="008D2613"/>
    <w:rsid w:val="008D6139"/>
    <w:rsid w:val="008E3DC2"/>
    <w:rsid w:val="008F3B50"/>
    <w:rsid w:val="008F4C19"/>
    <w:rsid w:val="008F561A"/>
    <w:rsid w:val="008F7DC3"/>
    <w:rsid w:val="00901093"/>
    <w:rsid w:val="00905230"/>
    <w:rsid w:val="00906C9C"/>
    <w:rsid w:val="00916881"/>
    <w:rsid w:val="00924051"/>
    <w:rsid w:val="009249FF"/>
    <w:rsid w:val="00940B27"/>
    <w:rsid w:val="009427DF"/>
    <w:rsid w:val="009432E0"/>
    <w:rsid w:val="0094371D"/>
    <w:rsid w:val="00944ABC"/>
    <w:rsid w:val="0095306C"/>
    <w:rsid w:val="00962D0E"/>
    <w:rsid w:val="00967901"/>
    <w:rsid w:val="00976DEC"/>
    <w:rsid w:val="009836E6"/>
    <w:rsid w:val="009A2052"/>
    <w:rsid w:val="009A302D"/>
    <w:rsid w:val="009A4AFF"/>
    <w:rsid w:val="009B03CB"/>
    <w:rsid w:val="009D0765"/>
    <w:rsid w:val="009D09BE"/>
    <w:rsid w:val="009D0AD1"/>
    <w:rsid w:val="009D0DCE"/>
    <w:rsid w:val="009E24A6"/>
    <w:rsid w:val="009E2945"/>
    <w:rsid w:val="009F0F23"/>
    <w:rsid w:val="00A0626A"/>
    <w:rsid w:val="00A304BD"/>
    <w:rsid w:val="00A32A0E"/>
    <w:rsid w:val="00A3599B"/>
    <w:rsid w:val="00A4486C"/>
    <w:rsid w:val="00A45509"/>
    <w:rsid w:val="00A50542"/>
    <w:rsid w:val="00A542A6"/>
    <w:rsid w:val="00A55E28"/>
    <w:rsid w:val="00A613E1"/>
    <w:rsid w:val="00A65664"/>
    <w:rsid w:val="00A831BA"/>
    <w:rsid w:val="00A8378E"/>
    <w:rsid w:val="00A94FE1"/>
    <w:rsid w:val="00A97CF2"/>
    <w:rsid w:val="00AA10EA"/>
    <w:rsid w:val="00AA1551"/>
    <w:rsid w:val="00AA3BCC"/>
    <w:rsid w:val="00AB1495"/>
    <w:rsid w:val="00AC6178"/>
    <w:rsid w:val="00AD0B6C"/>
    <w:rsid w:val="00AD3FFA"/>
    <w:rsid w:val="00AD589C"/>
    <w:rsid w:val="00AD62A3"/>
    <w:rsid w:val="00AD7FD4"/>
    <w:rsid w:val="00AE0637"/>
    <w:rsid w:val="00AE1093"/>
    <w:rsid w:val="00AF1FBE"/>
    <w:rsid w:val="00AF74AD"/>
    <w:rsid w:val="00B043CF"/>
    <w:rsid w:val="00B10E86"/>
    <w:rsid w:val="00B1472D"/>
    <w:rsid w:val="00B22224"/>
    <w:rsid w:val="00B23C51"/>
    <w:rsid w:val="00B279D3"/>
    <w:rsid w:val="00B3042F"/>
    <w:rsid w:val="00B31BF6"/>
    <w:rsid w:val="00B330BD"/>
    <w:rsid w:val="00B415FD"/>
    <w:rsid w:val="00B4435A"/>
    <w:rsid w:val="00B453EB"/>
    <w:rsid w:val="00B51D8C"/>
    <w:rsid w:val="00B63A04"/>
    <w:rsid w:val="00B77B78"/>
    <w:rsid w:val="00B81426"/>
    <w:rsid w:val="00B816AD"/>
    <w:rsid w:val="00B829F8"/>
    <w:rsid w:val="00B83ED0"/>
    <w:rsid w:val="00BA1932"/>
    <w:rsid w:val="00BA65A1"/>
    <w:rsid w:val="00BA71D4"/>
    <w:rsid w:val="00BB3FD5"/>
    <w:rsid w:val="00BC157C"/>
    <w:rsid w:val="00BD197B"/>
    <w:rsid w:val="00BD5717"/>
    <w:rsid w:val="00BD7D34"/>
    <w:rsid w:val="00BE17DF"/>
    <w:rsid w:val="00BE5034"/>
    <w:rsid w:val="00BF0B95"/>
    <w:rsid w:val="00BF117D"/>
    <w:rsid w:val="00C14772"/>
    <w:rsid w:val="00C16D9B"/>
    <w:rsid w:val="00C20299"/>
    <w:rsid w:val="00C224A3"/>
    <w:rsid w:val="00C320DC"/>
    <w:rsid w:val="00C40F6F"/>
    <w:rsid w:val="00C42352"/>
    <w:rsid w:val="00C467DF"/>
    <w:rsid w:val="00C60C7B"/>
    <w:rsid w:val="00C634BD"/>
    <w:rsid w:val="00C671F4"/>
    <w:rsid w:val="00C70766"/>
    <w:rsid w:val="00C73796"/>
    <w:rsid w:val="00C80621"/>
    <w:rsid w:val="00C80E08"/>
    <w:rsid w:val="00C82D08"/>
    <w:rsid w:val="00C90041"/>
    <w:rsid w:val="00C96175"/>
    <w:rsid w:val="00CA40D6"/>
    <w:rsid w:val="00CB592E"/>
    <w:rsid w:val="00CC25F1"/>
    <w:rsid w:val="00CC4CE1"/>
    <w:rsid w:val="00CD0889"/>
    <w:rsid w:val="00CE46FA"/>
    <w:rsid w:val="00CF4040"/>
    <w:rsid w:val="00CF4E87"/>
    <w:rsid w:val="00D02DE1"/>
    <w:rsid w:val="00D136FC"/>
    <w:rsid w:val="00D17ECB"/>
    <w:rsid w:val="00D244E7"/>
    <w:rsid w:val="00D31626"/>
    <w:rsid w:val="00D31A0E"/>
    <w:rsid w:val="00D33053"/>
    <w:rsid w:val="00D426B5"/>
    <w:rsid w:val="00D52D5E"/>
    <w:rsid w:val="00D56FC7"/>
    <w:rsid w:val="00D60AE9"/>
    <w:rsid w:val="00D6768E"/>
    <w:rsid w:val="00D901BA"/>
    <w:rsid w:val="00D94118"/>
    <w:rsid w:val="00D948B8"/>
    <w:rsid w:val="00D957C3"/>
    <w:rsid w:val="00DA29C2"/>
    <w:rsid w:val="00DA60CC"/>
    <w:rsid w:val="00DB0D0D"/>
    <w:rsid w:val="00DB4CDF"/>
    <w:rsid w:val="00DC231F"/>
    <w:rsid w:val="00DC3EE7"/>
    <w:rsid w:val="00DC72B7"/>
    <w:rsid w:val="00DD0B53"/>
    <w:rsid w:val="00DD3D62"/>
    <w:rsid w:val="00DD5243"/>
    <w:rsid w:val="00DD5DA0"/>
    <w:rsid w:val="00DD6555"/>
    <w:rsid w:val="00DD6663"/>
    <w:rsid w:val="00DE36DE"/>
    <w:rsid w:val="00DE5EA6"/>
    <w:rsid w:val="00DF08A9"/>
    <w:rsid w:val="00DF31DA"/>
    <w:rsid w:val="00E032D9"/>
    <w:rsid w:val="00E06F71"/>
    <w:rsid w:val="00E075E5"/>
    <w:rsid w:val="00E10A1F"/>
    <w:rsid w:val="00E17F57"/>
    <w:rsid w:val="00E2088F"/>
    <w:rsid w:val="00E2372E"/>
    <w:rsid w:val="00E25031"/>
    <w:rsid w:val="00E32918"/>
    <w:rsid w:val="00E35A51"/>
    <w:rsid w:val="00E40199"/>
    <w:rsid w:val="00E439A6"/>
    <w:rsid w:val="00E47B51"/>
    <w:rsid w:val="00E50222"/>
    <w:rsid w:val="00E502E5"/>
    <w:rsid w:val="00E50437"/>
    <w:rsid w:val="00E529B9"/>
    <w:rsid w:val="00E5456F"/>
    <w:rsid w:val="00E56EA2"/>
    <w:rsid w:val="00E60953"/>
    <w:rsid w:val="00E62463"/>
    <w:rsid w:val="00E64226"/>
    <w:rsid w:val="00E70F79"/>
    <w:rsid w:val="00E70FAD"/>
    <w:rsid w:val="00E73C6E"/>
    <w:rsid w:val="00E84385"/>
    <w:rsid w:val="00E85731"/>
    <w:rsid w:val="00E94EEF"/>
    <w:rsid w:val="00EA175A"/>
    <w:rsid w:val="00EB1008"/>
    <w:rsid w:val="00EB207D"/>
    <w:rsid w:val="00EB310B"/>
    <w:rsid w:val="00EC1692"/>
    <w:rsid w:val="00EC26F0"/>
    <w:rsid w:val="00EC67CC"/>
    <w:rsid w:val="00EC69ED"/>
    <w:rsid w:val="00EC782F"/>
    <w:rsid w:val="00EC7BB4"/>
    <w:rsid w:val="00F139A7"/>
    <w:rsid w:val="00F202CA"/>
    <w:rsid w:val="00F224EF"/>
    <w:rsid w:val="00F23B9B"/>
    <w:rsid w:val="00F2491F"/>
    <w:rsid w:val="00F3395E"/>
    <w:rsid w:val="00F36FB2"/>
    <w:rsid w:val="00F42983"/>
    <w:rsid w:val="00F42F32"/>
    <w:rsid w:val="00F43127"/>
    <w:rsid w:val="00F44B28"/>
    <w:rsid w:val="00F47AC2"/>
    <w:rsid w:val="00F5460A"/>
    <w:rsid w:val="00F62827"/>
    <w:rsid w:val="00F64725"/>
    <w:rsid w:val="00F717EE"/>
    <w:rsid w:val="00F72B37"/>
    <w:rsid w:val="00F77841"/>
    <w:rsid w:val="00F77C4A"/>
    <w:rsid w:val="00F85737"/>
    <w:rsid w:val="00F8795D"/>
    <w:rsid w:val="00F92188"/>
    <w:rsid w:val="00F964F8"/>
    <w:rsid w:val="00FA040B"/>
    <w:rsid w:val="00FA14EC"/>
    <w:rsid w:val="00FA42F4"/>
    <w:rsid w:val="00FA7369"/>
    <w:rsid w:val="00FB2013"/>
    <w:rsid w:val="00FB326A"/>
    <w:rsid w:val="00FC015F"/>
    <w:rsid w:val="00FC2119"/>
    <w:rsid w:val="00FC42E5"/>
    <w:rsid w:val="00FF24D2"/>
    <w:rsid w:val="00FF2F34"/>
    <w:rsid w:val="00FF50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696DC7"/>
  <w15:docId w15:val="{52250F4B-E83F-4EB8-9E5F-A616C73B4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uiPriority w:val="99"/>
    <w:unhideWhenUsed/>
    <w:rsid w:val="00DE36DE"/>
    <w:rPr>
      <w:color w:val="0000FF"/>
      <w:u w:val="single"/>
    </w:rPr>
  </w:style>
  <w:style w:type="paragraph" w:styleId="PlainText">
    <w:name w:val="Plain Text"/>
    <w:basedOn w:val="Normal"/>
    <w:link w:val="PlainTextChar"/>
    <w:uiPriority w:val="99"/>
    <w:unhideWhenUsed/>
    <w:rsid w:val="00DE36DE"/>
    <w:rPr>
      <w:rFonts w:eastAsiaTheme="minorHAnsi" w:cs="Calibri"/>
      <w:szCs w:val="22"/>
      <w:lang w:eastAsia="en-US"/>
    </w:rPr>
  </w:style>
  <w:style w:type="character" w:customStyle="1" w:styleId="PlainTextChar">
    <w:name w:val="Plain Text Char"/>
    <w:basedOn w:val="DefaultParagraphFont"/>
    <w:link w:val="PlainText"/>
    <w:uiPriority w:val="99"/>
    <w:rsid w:val="00DE36DE"/>
    <w:rPr>
      <w:rFonts w:ascii="Calibri" w:eastAsiaTheme="minorHAnsi" w:hAnsi="Calibri" w:cs="Calibri"/>
      <w:sz w:val="22"/>
      <w:szCs w:val="22"/>
      <w:lang w:val="en-US" w:eastAsia="en-US"/>
    </w:rPr>
  </w:style>
  <w:style w:type="paragraph" w:styleId="NormalWeb">
    <w:name w:val="Normal (Web)"/>
    <w:basedOn w:val="Normal"/>
    <w:uiPriority w:val="99"/>
    <w:unhideWhenUsed/>
    <w:rsid w:val="001C5E40"/>
    <w:pPr>
      <w:spacing w:before="100" w:beforeAutospacing="1" w:after="100" w:afterAutospacing="1"/>
    </w:pPr>
    <w:rPr>
      <w:rFonts w:ascii="Times New Roman" w:eastAsiaTheme="minorHAnsi" w:hAnsi="Times New Roman"/>
      <w:sz w:val="24"/>
      <w:szCs w:val="24"/>
      <w:lang w:eastAsia="en-US"/>
    </w:rPr>
  </w:style>
  <w:style w:type="paragraph" w:customStyle="1" w:styleId="Default">
    <w:name w:val="Default"/>
    <w:uiPriority w:val="99"/>
    <w:rsid w:val="00BA65A1"/>
    <w:pPr>
      <w:autoSpaceDE w:val="0"/>
      <w:autoSpaceDN w:val="0"/>
      <w:adjustRightInd w:val="0"/>
    </w:pPr>
    <w:rPr>
      <w:rFonts w:ascii="Calibri" w:eastAsiaTheme="minorHAnsi" w:hAnsi="Calibri" w:cs="Calibri"/>
      <w:color w:val="000000"/>
      <w:sz w:val="24"/>
      <w:szCs w:val="24"/>
      <w:lang w:val="nl-NL" w:eastAsia="en-US"/>
    </w:rPr>
  </w:style>
  <w:style w:type="character" w:customStyle="1" w:styleId="apple-converted-space">
    <w:name w:val="apple-converted-space"/>
    <w:basedOn w:val="DefaultParagraphFont"/>
    <w:rsid w:val="00DD0B53"/>
  </w:style>
  <w:style w:type="character" w:styleId="CommentReference">
    <w:name w:val="annotation reference"/>
    <w:basedOn w:val="DefaultParagraphFont"/>
    <w:semiHidden/>
    <w:unhideWhenUsed/>
    <w:rsid w:val="006B6841"/>
    <w:rPr>
      <w:sz w:val="16"/>
      <w:szCs w:val="16"/>
    </w:rPr>
  </w:style>
  <w:style w:type="paragraph" w:styleId="CommentText">
    <w:name w:val="annotation text"/>
    <w:basedOn w:val="Normal"/>
    <w:link w:val="CommentTextChar"/>
    <w:semiHidden/>
    <w:unhideWhenUsed/>
    <w:rsid w:val="006B6841"/>
    <w:rPr>
      <w:sz w:val="20"/>
    </w:rPr>
  </w:style>
  <w:style w:type="character" w:customStyle="1" w:styleId="CommentTextChar">
    <w:name w:val="Comment Text Char"/>
    <w:basedOn w:val="DefaultParagraphFont"/>
    <w:link w:val="CommentText"/>
    <w:semiHidden/>
    <w:rsid w:val="006B6841"/>
    <w:rPr>
      <w:rFonts w:ascii="Calibri" w:hAnsi="Calibri"/>
      <w:lang w:val="en-US"/>
    </w:rPr>
  </w:style>
  <w:style w:type="paragraph" w:styleId="CommentSubject">
    <w:name w:val="annotation subject"/>
    <w:basedOn w:val="CommentText"/>
    <w:next w:val="CommentText"/>
    <w:link w:val="CommentSubjectChar"/>
    <w:semiHidden/>
    <w:unhideWhenUsed/>
    <w:rsid w:val="006B6841"/>
    <w:rPr>
      <w:b/>
      <w:bCs/>
    </w:rPr>
  </w:style>
  <w:style w:type="character" w:customStyle="1" w:styleId="CommentSubjectChar">
    <w:name w:val="Comment Subject Char"/>
    <w:basedOn w:val="CommentTextChar"/>
    <w:link w:val="CommentSubject"/>
    <w:semiHidden/>
    <w:rsid w:val="006B6841"/>
    <w:rPr>
      <w:rFonts w:ascii="Calibri" w:hAnsi="Calibri"/>
      <w:b/>
      <w:bCs/>
      <w:lang w:val="en-US"/>
    </w:rPr>
  </w:style>
  <w:style w:type="paragraph" w:styleId="ListParagraph">
    <w:name w:val="List Paragraph"/>
    <w:basedOn w:val="Normal"/>
    <w:uiPriority w:val="34"/>
    <w:qFormat/>
    <w:rsid w:val="000875CD"/>
    <w:pPr>
      <w:ind w:left="720"/>
    </w:pPr>
    <w:rPr>
      <w:rFonts w:eastAsiaTheme="minorHAnsi" w:cs="Calibri"/>
      <w:szCs w:val="22"/>
      <w:lang w:val="nl-NL" w:eastAsia="nl-NL"/>
    </w:rPr>
  </w:style>
  <w:style w:type="character" w:customStyle="1" w:styleId="adress-overflow">
    <w:name w:val="adress-overflow"/>
    <w:basedOn w:val="DefaultParagraphFont"/>
    <w:rsid w:val="009A4AFF"/>
  </w:style>
  <w:style w:type="character" w:customStyle="1" w:styleId="p-body-copy-02">
    <w:name w:val="p-body-copy-02"/>
    <w:basedOn w:val="DefaultParagraphFont"/>
    <w:rsid w:val="00940B27"/>
  </w:style>
  <w:style w:type="character" w:styleId="FollowedHyperlink">
    <w:name w:val="FollowedHyperlink"/>
    <w:basedOn w:val="DefaultParagraphFont"/>
    <w:semiHidden/>
    <w:unhideWhenUsed/>
    <w:rsid w:val="00AD62A3"/>
    <w:rPr>
      <w:color w:val="800080" w:themeColor="followedHyperlink"/>
      <w:u w:val="single"/>
    </w:rPr>
  </w:style>
  <w:style w:type="character" w:styleId="Emphasis">
    <w:name w:val="Emphasis"/>
    <w:basedOn w:val="DefaultParagraphFont"/>
    <w:uiPriority w:val="20"/>
    <w:qFormat/>
    <w:rsid w:val="002F17AE"/>
    <w:rPr>
      <w:i/>
      <w:iCs/>
    </w:rPr>
  </w:style>
  <w:style w:type="paragraph" w:styleId="Revision">
    <w:name w:val="Revision"/>
    <w:hidden/>
    <w:uiPriority w:val="99"/>
    <w:semiHidden/>
    <w:rsid w:val="00B51D8C"/>
    <w:rPr>
      <w:rFonts w:ascii="Calibri" w:hAnsi="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6922">
      <w:bodyDiv w:val="1"/>
      <w:marLeft w:val="0"/>
      <w:marRight w:val="0"/>
      <w:marTop w:val="0"/>
      <w:marBottom w:val="0"/>
      <w:divBdr>
        <w:top w:val="none" w:sz="0" w:space="0" w:color="auto"/>
        <w:left w:val="none" w:sz="0" w:space="0" w:color="auto"/>
        <w:bottom w:val="none" w:sz="0" w:space="0" w:color="auto"/>
        <w:right w:val="none" w:sz="0" w:space="0" w:color="auto"/>
      </w:divBdr>
      <w:divsChild>
        <w:div w:id="1954557792">
          <w:marLeft w:val="0"/>
          <w:marRight w:val="0"/>
          <w:marTop w:val="0"/>
          <w:marBottom w:val="0"/>
          <w:divBdr>
            <w:top w:val="none" w:sz="0" w:space="0" w:color="auto"/>
            <w:left w:val="none" w:sz="0" w:space="0" w:color="auto"/>
            <w:bottom w:val="none" w:sz="0" w:space="0" w:color="auto"/>
            <w:right w:val="none" w:sz="0" w:space="0" w:color="auto"/>
          </w:divBdr>
          <w:divsChild>
            <w:div w:id="1059860279">
              <w:marLeft w:val="0"/>
              <w:marRight w:val="0"/>
              <w:marTop w:val="0"/>
              <w:marBottom w:val="0"/>
              <w:divBdr>
                <w:top w:val="none" w:sz="0" w:space="0" w:color="auto"/>
                <w:left w:val="none" w:sz="0" w:space="0" w:color="auto"/>
                <w:bottom w:val="none" w:sz="0" w:space="0" w:color="auto"/>
                <w:right w:val="none" w:sz="0" w:space="0" w:color="auto"/>
              </w:divBdr>
              <w:divsChild>
                <w:div w:id="736511149">
                  <w:marLeft w:val="-150"/>
                  <w:marRight w:val="0"/>
                  <w:marTop w:val="0"/>
                  <w:marBottom w:val="0"/>
                  <w:divBdr>
                    <w:top w:val="none" w:sz="0" w:space="0" w:color="auto"/>
                    <w:left w:val="none" w:sz="0" w:space="0" w:color="auto"/>
                    <w:bottom w:val="none" w:sz="0" w:space="0" w:color="auto"/>
                    <w:right w:val="none" w:sz="0" w:space="0" w:color="auto"/>
                  </w:divBdr>
                  <w:divsChild>
                    <w:div w:id="1031491837">
                      <w:marLeft w:val="0"/>
                      <w:marRight w:val="0"/>
                      <w:marTop w:val="0"/>
                      <w:marBottom w:val="0"/>
                      <w:divBdr>
                        <w:top w:val="none" w:sz="0" w:space="0" w:color="auto"/>
                        <w:left w:val="none" w:sz="0" w:space="0" w:color="auto"/>
                        <w:bottom w:val="none" w:sz="0" w:space="0" w:color="auto"/>
                        <w:right w:val="none" w:sz="0" w:space="0" w:color="auto"/>
                      </w:divBdr>
                      <w:divsChild>
                        <w:div w:id="3571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60630">
      <w:bodyDiv w:val="1"/>
      <w:marLeft w:val="0"/>
      <w:marRight w:val="0"/>
      <w:marTop w:val="0"/>
      <w:marBottom w:val="0"/>
      <w:divBdr>
        <w:top w:val="none" w:sz="0" w:space="0" w:color="auto"/>
        <w:left w:val="none" w:sz="0" w:space="0" w:color="auto"/>
        <w:bottom w:val="none" w:sz="0" w:space="0" w:color="auto"/>
        <w:right w:val="none" w:sz="0" w:space="0" w:color="auto"/>
      </w:divBdr>
    </w:div>
    <w:div w:id="279847987">
      <w:bodyDiv w:val="1"/>
      <w:marLeft w:val="0"/>
      <w:marRight w:val="0"/>
      <w:marTop w:val="0"/>
      <w:marBottom w:val="0"/>
      <w:divBdr>
        <w:top w:val="none" w:sz="0" w:space="0" w:color="auto"/>
        <w:left w:val="none" w:sz="0" w:space="0" w:color="auto"/>
        <w:bottom w:val="none" w:sz="0" w:space="0" w:color="auto"/>
        <w:right w:val="none" w:sz="0" w:space="0" w:color="auto"/>
      </w:divBdr>
    </w:div>
    <w:div w:id="298417229">
      <w:bodyDiv w:val="1"/>
      <w:marLeft w:val="0"/>
      <w:marRight w:val="0"/>
      <w:marTop w:val="0"/>
      <w:marBottom w:val="0"/>
      <w:divBdr>
        <w:top w:val="none" w:sz="0" w:space="0" w:color="auto"/>
        <w:left w:val="none" w:sz="0" w:space="0" w:color="auto"/>
        <w:bottom w:val="none" w:sz="0" w:space="0" w:color="auto"/>
        <w:right w:val="none" w:sz="0" w:space="0" w:color="auto"/>
      </w:divBdr>
    </w:div>
    <w:div w:id="470558181">
      <w:bodyDiv w:val="1"/>
      <w:marLeft w:val="0"/>
      <w:marRight w:val="0"/>
      <w:marTop w:val="0"/>
      <w:marBottom w:val="0"/>
      <w:divBdr>
        <w:top w:val="none" w:sz="0" w:space="0" w:color="auto"/>
        <w:left w:val="none" w:sz="0" w:space="0" w:color="auto"/>
        <w:bottom w:val="none" w:sz="0" w:space="0" w:color="auto"/>
        <w:right w:val="none" w:sz="0" w:space="0" w:color="auto"/>
      </w:divBdr>
    </w:div>
    <w:div w:id="746928283">
      <w:bodyDiv w:val="1"/>
      <w:marLeft w:val="0"/>
      <w:marRight w:val="0"/>
      <w:marTop w:val="0"/>
      <w:marBottom w:val="0"/>
      <w:divBdr>
        <w:top w:val="none" w:sz="0" w:space="0" w:color="auto"/>
        <w:left w:val="none" w:sz="0" w:space="0" w:color="auto"/>
        <w:bottom w:val="none" w:sz="0" w:space="0" w:color="auto"/>
        <w:right w:val="none" w:sz="0" w:space="0" w:color="auto"/>
      </w:divBdr>
    </w:div>
    <w:div w:id="990063744">
      <w:bodyDiv w:val="1"/>
      <w:marLeft w:val="0"/>
      <w:marRight w:val="0"/>
      <w:marTop w:val="0"/>
      <w:marBottom w:val="0"/>
      <w:divBdr>
        <w:top w:val="none" w:sz="0" w:space="0" w:color="auto"/>
        <w:left w:val="none" w:sz="0" w:space="0" w:color="auto"/>
        <w:bottom w:val="none" w:sz="0" w:space="0" w:color="auto"/>
        <w:right w:val="none" w:sz="0" w:space="0" w:color="auto"/>
      </w:divBdr>
    </w:div>
    <w:div w:id="1213232849">
      <w:bodyDiv w:val="1"/>
      <w:marLeft w:val="0"/>
      <w:marRight w:val="0"/>
      <w:marTop w:val="0"/>
      <w:marBottom w:val="0"/>
      <w:divBdr>
        <w:top w:val="none" w:sz="0" w:space="0" w:color="auto"/>
        <w:left w:val="none" w:sz="0" w:space="0" w:color="auto"/>
        <w:bottom w:val="none" w:sz="0" w:space="0" w:color="auto"/>
        <w:right w:val="none" w:sz="0" w:space="0" w:color="auto"/>
      </w:divBdr>
    </w:div>
    <w:div w:id="1276718154">
      <w:bodyDiv w:val="1"/>
      <w:marLeft w:val="0"/>
      <w:marRight w:val="0"/>
      <w:marTop w:val="0"/>
      <w:marBottom w:val="0"/>
      <w:divBdr>
        <w:top w:val="none" w:sz="0" w:space="0" w:color="auto"/>
        <w:left w:val="none" w:sz="0" w:space="0" w:color="auto"/>
        <w:bottom w:val="none" w:sz="0" w:space="0" w:color="auto"/>
        <w:right w:val="none" w:sz="0" w:space="0" w:color="auto"/>
      </w:divBdr>
    </w:div>
    <w:div w:id="1289898506">
      <w:bodyDiv w:val="1"/>
      <w:marLeft w:val="0"/>
      <w:marRight w:val="0"/>
      <w:marTop w:val="0"/>
      <w:marBottom w:val="0"/>
      <w:divBdr>
        <w:top w:val="none" w:sz="0" w:space="0" w:color="auto"/>
        <w:left w:val="none" w:sz="0" w:space="0" w:color="auto"/>
        <w:bottom w:val="none" w:sz="0" w:space="0" w:color="auto"/>
        <w:right w:val="none" w:sz="0" w:space="0" w:color="auto"/>
      </w:divBdr>
      <w:divsChild>
        <w:div w:id="485980330">
          <w:marLeft w:val="216"/>
          <w:marRight w:val="0"/>
          <w:marTop w:val="0"/>
          <w:marBottom w:val="0"/>
          <w:divBdr>
            <w:top w:val="none" w:sz="0" w:space="0" w:color="auto"/>
            <w:left w:val="none" w:sz="0" w:space="0" w:color="auto"/>
            <w:bottom w:val="none" w:sz="0" w:space="0" w:color="auto"/>
            <w:right w:val="none" w:sz="0" w:space="0" w:color="auto"/>
          </w:divBdr>
        </w:div>
      </w:divsChild>
    </w:div>
    <w:div w:id="1448696849">
      <w:bodyDiv w:val="1"/>
      <w:marLeft w:val="0"/>
      <w:marRight w:val="0"/>
      <w:marTop w:val="0"/>
      <w:marBottom w:val="0"/>
      <w:divBdr>
        <w:top w:val="none" w:sz="0" w:space="0" w:color="auto"/>
        <w:left w:val="none" w:sz="0" w:space="0" w:color="auto"/>
        <w:bottom w:val="none" w:sz="0" w:space="0" w:color="auto"/>
        <w:right w:val="none" w:sz="0" w:space="0" w:color="auto"/>
      </w:divBdr>
    </w:div>
    <w:div w:id="1695498179">
      <w:bodyDiv w:val="1"/>
      <w:marLeft w:val="0"/>
      <w:marRight w:val="0"/>
      <w:marTop w:val="0"/>
      <w:marBottom w:val="0"/>
      <w:divBdr>
        <w:top w:val="none" w:sz="0" w:space="0" w:color="auto"/>
        <w:left w:val="none" w:sz="0" w:space="0" w:color="auto"/>
        <w:bottom w:val="none" w:sz="0" w:space="0" w:color="auto"/>
        <w:right w:val="none" w:sz="0" w:space="0" w:color="auto"/>
      </w:divBdr>
    </w:div>
    <w:div w:id="1728214806">
      <w:bodyDiv w:val="1"/>
      <w:marLeft w:val="0"/>
      <w:marRight w:val="0"/>
      <w:marTop w:val="0"/>
      <w:marBottom w:val="0"/>
      <w:divBdr>
        <w:top w:val="none" w:sz="0" w:space="0" w:color="auto"/>
        <w:left w:val="none" w:sz="0" w:space="0" w:color="auto"/>
        <w:bottom w:val="none" w:sz="0" w:space="0" w:color="auto"/>
        <w:right w:val="none" w:sz="0" w:space="0" w:color="auto"/>
      </w:divBdr>
    </w:div>
    <w:div w:id="1910456092">
      <w:bodyDiv w:val="1"/>
      <w:marLeft w:val="0"/>
      <w:marRight w:val="0"/>
      <w:marTop w:val="0"/>
      <w:marBottom w:val="0"/>
      <w:divBdr>
        <w:top w:val="none" w:sz="0" w:space="0" w:color="auto"/>
        <w:left w:val="none" w:sz="0" w:space="0" w:color="auto"/>
        <w:bottom w:val="none" w:sz="0" w:space="0" w:color="auto"/>
        <w:right w:val="none" w:sz="0" w:space="0" w:color="auto"/>
      </w:divBdr>
    </w:div>
    <w:div w:id="212612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vestor.relations@philips.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eve.klink@philips.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hilips.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hilips.com/newscente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9131A-3F8A-481E-9456-9E59135009B1}">
  <ds:schemaRefs>
    <ds:schemaRef ds:uri="http://schemas.microsoft.com/sharepoint/v3/contenttype/forms"/>
  </ds:schemaRefs>
</ds:datastoreItem>
</file>

<file path=customXml/itemProps2.xml><?xml version="1.0" encoding="utf-8"?>
<ds:datastoreItem xmlns:ds="http://schemas.openxmlformats.org/officeDocument/2006/customXml" ds:itemID="{90DFA16A-0898-4E4B-9468-25DFDE0E65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1CAD63-593A-4B94-8C37-CF58F0474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EE11FC8-6705-4B66-A0C0-F02F67AC7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3961</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Letter_A4</vt:lpstr>
      <vt:lpstr>Letter</vt:lpstr>
    </vt:vector>
  </TitlesOfParts>
  <Company>s.a.x.</Company>
  <LinksUpToDate>false</LinksUpToDate>
  <CharactersWithSpaces>4672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Letter_A4</dc:title>
  <dc:subject>Subject:</dc:subject>
  <dc:creator>Philips</dc:creator>
  <cp:lastModifiedBy>Philips</cp:lastModifiedBy>
  <cp:revision>2</cp:revision>
  <cp:lastPrinted>2016-06-30T18:18:00Z</cp:lastPrinted>
  <dcterms:created xsi:type="dcterms:W3CDTF">2016-07-19T21:16:00Z</dcterms:created>
  <dcterms:modified xsi:type="dcterms:W3CDTF">2016-07-19T21:16:00Z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ne">
    <vt:lpwstr>012 345 6789</vt:lpwstr>
  </property>
  <property fmtid="{D5CDD505-2E9C-101B-9397-08002B2CF9AE}" pid="3" name="Fax">
    <vt:lpwstr>012 345 6789</vt:lpwstr>
  </property>
  <property fmtid="{D5CDD505-2E9C-101B-9397-08002B2CF9AE}" pid="4" name="Department">
    <vt:lpwstr>Business group/ department name</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ies>
</file>