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61B3F" w14:textId="77777777" w:rsidR="00C34D6E" w:rsidRPr="007531EC" w:rsidRDefault="00C34D6E" w:rsidP="00C34D6E">
      <w:pPr>
        <w:pStyle w:val="justify"/>
        <w:jc w:val="both"/>
        <w:rPr>
          <w:b/>
        </w:rPr>
      </w:pPr>
      <w:bookmarkStart w:id="0" w:name="Rule_2_7"/>
      <w:r w:rsidRPr="007531EC">
        <w:rPr>
          <w:b/>
        </w:rPr>
        <w:t>NOT FOR RELEASE, PUBLICATION OR DISTRIBUTION, IN WHOLE OR IN PART, DIRECTLY OR INDIRECTLY, IN, INTO OR FROM ANY JURISDICTION WHERE TO DO SO WOULD CONSTITUTE A VIOLATION OF THE RELEVANT LAWS OF THAT JURISDICTION</w:t>
      </w:r>
    </w:p>
    <w:p w14:paraId="59903200" w14:textId="77777777" w:rsidR="00C34D6E" w:rsidRPr="00C81A26" w:rsidRDefault="00C34D6E" w:rsidP="00C34D6E">
      <w:pPr>
        <w:pStyle w:val="DocText"/>
        <w:rPr>
          <w:rFonts w:cs="Arial"/>
          <w:b/>
          <w:szCs w:val="20"/>
        </w:rPr>
      </w:pPr>
      <w:r w:rsidRPr="00C81A26">
        <w:rPr>
          <w:rFonts w:cs="Arial"/>
          <w:b/>
          <w:szCs w:val="20"/>
        </w:rPr>
        <w:t xml:space="preserve">THIS ANNOUNCEMENT CONTAINS INSIDE INFORMATION </w:t>
      </w:r>
    </w:p>
    <w:p w14:paraId="126B1AAD" w14:textId="77777777" w:rsidR="00B3383B" w:rsidRPr="00173B9F" w:rsidRDefault="00B3383B" w:rsidP="00B3383B">
      <w:pPr>
        <w:pStyle w:val="DocText"/>
      </w:pPr>
      <w:bookmarkStart w:id="1" w:name="_GoBack"/>
      <w:bookmarkEnd w:id="1"/>
    </w:p>
    <w:p w14:paraId="31EB2309" w14:textId="77777777" w:rsidR="00B3383B" w:rsidRDefault="00B3383B" w:rsidP="00B3383B">
      <w:pPr>
        <w:pStyle w:val="Title16"/>
        <w:spacing w:after="0" w:line="240" w:lineRule="auto"/>
        <w:rPr>
          <w:rFonts w:asciiTheme="minorHAnsi" w:eastAsiaTheme="minorHAnsi" w:hAnsiTheme="minorHAnsi" w:cstheme="minorHAnsi"/>
          <w:b w:val="0"/>
          <w:kern w:val="0"/>
          <w:sz w:val="22"/>
          <w:szCs w:val="22"/>
          <w:lang w:val="en-US" w:eastAsia="en-US"/>
        </w:rPr>
      </w:pPr>
      <w:r>
        <w:rPr>
          <w:rFonts w:asciiTheme="minorHAnsi" w:eastAsiaTheme="minorHAnsi" w:hAnsiTheme="minorHAnsi" w:cstheme="minorHAnsi"/>
          <w:b w:val="0"/>
          <w:kern w:val="0"/>
          <w:sz w:val="22"/>
          <w:szCs w:val="22"/>
          <w:lang w:val="en-US" w:eastAsia="en-US"/>
        </w:rPr>
        <w:t>PROSUS N.V.</w:t>
      </w:r>
    </w:p>
    <w:p w14:paraId="24ABCEFD" w14:textId="77777777" w:rsidR="00B3383B" w:rsidRDefault="00B3383B" w:rsidP="00B3383B">
      <w:pPr>
        <w:pStyle w:val="Title16"/>
        <w:spacing w:after="0" w:line="240" w:lineRule="auto"/>
        <w:rPr>
          <w:rFonts w:asciiTheme="minorHAnsi" w:eastAsiaTheme="minorHAnsi" w:hAnsiTheme="minorHAnsi" w:cstheme="minorHAnsi"/>
          <w:b w:val="0"/>
          <w:kern w:val="0"/>
          <w:sz w:val="22"/>
          <w:szCs w:val="22"/>
          <w:lang w:val="en-US" w:eastAsia="en-US"/>
        </w:rPr>
      </w:pPr>
      <w:r>
        <w:rPr>
          <w:rFonts w:asciiTheme="minorHAnsi" w:eastAsiaTheme="minorHAnsi" w:hAnsiTheme="minorHAnsi" w:cstheme="minorHAnsi"/>
          <w:b w:val="0"/>
          <w:kern w:val="0"/>
          <w:sz w:val="22"/>
          <w:szCs w:val="22"/>
          <w:lang w:val="en-US" w:eastAsia="en-US"/>
        </w:rPr>
        <w:t>(formerly named Myriad International Holdings N.V)</w:t>
      </w:r>
    </w:p>
    <w:p w14:paraId="6E3074A8" w14:textId="77777777" w:rsidR="00B3383B" w:rsidRDefault="00B3383B" w:rsidP="00B3383B">
      <w:pPr>
        <w:pStyle w:val="Title16"/>
        <w:spacing w:after="0" w:line="240" w:lineRule="auto"/>
        <w:rPr>
          <w:rFonts w:asciiTheme="minorHAnsi" w:eastAsiaTheme="minorHAnsi" w:hAnsiTheme="minorHAnsi" w:cstheme="minorHAnsi"/>
          <w:b w:val="0"/>
          <w:kern w:val="0"/>
          <w:sz w:val="22"/>
          <w:szCs w:val="22"/>
          <w:lang w:val="en-US" w:eastAsia="en-US"/>
        </w:rPr>
      </w:pPr>
      <w:r>
        <w:rPr>
          <w:rFonts w:asciiTheme="minorHAnsi" w:eastAsiaTheme="minorHAnsi" w:hAnsiTheme="minorHAnsi" w:cstheme="minorHAnsi"/>
          <w:b w:val="0"/>
          <w:kern w:val="0"/>
          <w:sz w:val="22"/>
          <w:szCs w:val="22"/>
          <w:lang w:val="en-US" w:eastAsia="en-US"/>
        </w:rPr>
        <w:t>Incorporated in the Netherlands</w:t>
      </w:r>
    </w:p>
    <w:p w14:paraId="53F84C70" w14:textId="77777777" w:rsidR="00B3383B" w:rsidRDefault="00B3383B" w:rsidP="00B3383B">
      <w:pPr>
        <w:pStyle w:val="Title16"/>
        <w:spacing w:after="0" w:line="240" w:lineRule="auto"/>
        <w:rPr>
          <w:rFonts w:asciiTheme="minorHAnsi" w:eastAsiaTheme="minorHAnsi" w:hAnsiTheme="minorHAnsi" w:cstheme="minorHAnsi"/>
          <w:b w:val="0"/>
          <w:kern w:val="0"/>
          <w:sz w:val="22"/>
          <w:szCs w:val="22"/>
          <w:lang w:val="en-US" w:eastAsia="en-US"/>
        </w:rPr>
      </w:pPr>
      <w:r>
        <w:rPr>
          <w:rFonts w:asciiTheme="minorHAnsi" w:eastAsiaTheme="minorHAnsi" w:hAnsiTheme="minorHAnsi" w:cstheme="minorHAnsi"/>
          <w:b w:val="0"/>
          <w:kern w:val="0"/>
          <w:sz w:val="22"/>
          <w:szCs w:val="22"/>
          <w:lang w:val="en-US" w:eastAsia="en-US"/>
        </w:rPr>
        <w:t>Legal Entity Identifier: 635400Z5LQ5F9OLVT688</w:t>
      </w:r>
    </w:p>
    <w:p w14:paraId="779944D1" w14:textId="77777777" w:rsidR="00B3383B" w:rsidRDefault="00B3383B" w:rsidP="00B3383B">
      <w:pPr>
        <w:pStyle w:val="Title16"/>
        <w:spacing w:after="0" w:line="240" w:lineRule="auto"/>
        <w:rPr>
          <w:rFonts w:asciiTheme="minorHAnsi" w:eastAsiaTheme="minorHAnsi" w:hAnsiTheme="minorHAnsi" w:cstheme="minorHAnsi"/>
          <w:b w:val="0"/>
          <w:kern w:val="0"/>
          <w:sz w:val="22"/>
          <w:szCs w:val="22"/>
          <w:lang w:val="en-US" w:eastAsia="en-US"/>
        </w:rPr>
      </w:pPr>
      <w:r>
        <w:rPr>
          <w:rFonts w:asciiTheme="minorHAnsi" w:eastAsiaTheme="minorHAnsi" w:hAnsiTheme="minorHAnsi" w:cstheme="minorHAnsi"/>
          <w:b w:val="0"/>
          <w:kern w:val="0"/>
          <w:sz w:val="22"/>
          <w:szCs w:val="22"/>
          <w:lang w:val="en-US" w:eastAsia="en-US"/>
        </w:rPr>
        <w:t>ISIN: NL0013654783</w:t>
      </w:r>
    </w:p>
    <w:p w14:paraId="4DF207DA" w14:textId="77777777" w:rsidR="00B3383B" w:rsidRDefault="00B3383B" w:rsidP="00B3383B">
      <w:pPr>
        <w:pStyle w:val="Title16"/>
        <w:spacing w:after="0" w:line="240" w:lineRule="auto"/>
        <w:rPr>
          <w:rFonts w:asciiTheme="minorHAnsi" w:eastAsiaTheme="minorHAnsi" w:hAnsiTheme="minorHAnsi" w:cstheme="minorHAnsi"/>
          <w:b w:val="0"/>
          <w:kern w:val="0"/>
          <w:sz w:val="22"/>
          <w:szCs w:val="22"/>
          <w:lang w:val="en-US" w:eastAsia="en-US"/>
        </w:rPr>
      </w:pPr>
      <w:r>
        <w:rPr>
          <w:rFonts w:asciiTheme="minorHAnsi" w:eastAsiaTheme="minorHAnsi" w:hAnsiTheme="minorHAnsi" w:cstheme="minorHAnsi"/>
          <w:b w:val="0"/>
          <w:kern w:val="0"/>
          <w:sz w:val="22"/>
          <w:szCs w:val="22"/>
          <w:lang w:val="en-US" w:eastAsia="en-US"/>
        </w:rPr>
        <w:t>Euronext Amsterdam and JSE Share code: PRX</w:t>
      </w:r>
    </w:p>
    <w:p w14:paraId="59240ED6" w14:textId="77777777" w:rsidR="00B3383B" w:rsidRDefault="00B3383B" w:rsidP="00B3383B">
      <w:pPr>
        <w:pStyle w:val="DocText"/>
        <w:spacing w:before="0" w:line="240" w:lineRule="auto"/>
        <w:jc w:val="center"/>
      </w:pPr>
      <w:r>
        <w:rPr>
          <w:lang w:val="en-US"/>
        </w:rPr>
        <w:t>("Prosus")</w:t>
      </w:r>
    </w:p>
    <w:p w14:paraId="42FA8DEE" w14:textId="77777777" w:rsidR="00C34D6E" w:rsidRPr="00DE40EC" w:rsidRDefault="00C34D6E" w:rsidP="00C34D6E">
      <w:pPr>
        <w:pStyle w:val="DocText"/>
        <w:jc w:val="center"/>
        <w:rPr>
          <w:rFonts w:cs="Arial"/>
          <w:b/>
          <w:szCs w:val="20"/>
        </w:rPr>
      </w:pPr>
      <w:r>
        <w:rPr>
          <w:rFonts w:cs="Arial"/>
          <w:b/>
          <w:szCs w:val="20"/>
        </w:rPr>
        <w:t>LAPSE OF THE</w:t>
      </w:r>
      <w:r w:rsidRPr="00DE40EC">
        <w:rPr>
          <w:rFonts w:cs="Arial"/>
          <w:b/>
          <w:szCs w:val="20"/>
        </w:rPr>
        <w:t xml:space="preserve"> OFFER</w:t>
      </w:r>
    </w:p>
    <w:p w14:paraId="2123B91B" w14:textId="77777777" w:rsidR="00C34D6E" w:rsidRPr="00DE40EC" w:rsidRDefault="00C34D6E" w:rsidP="00C34D6E">
      <w:pPr>
        <w:pStyle w:val="DocText"/>
        <w:jc w:val="center"/>
        <w:rPr>
          <w:rFonts w:cs="Arial"/>
          <w:b/>
          <w:szCs w:val="20"/>
        </w:rPr>
      </w:pPr>
      <w:r w:rsidRPr="00DE40EC">
        <w:rPr>
          <w:rFonts w:cs="Arial"/>
          <w:b/>
          <w:szCs w:val="20"/>
        </w:rPr>
        <w:t>for</w:t>
      </w:r>
    </w:p>
    <w:p w14:paraId="72810BE2" w14:textId="77777777" w:rsidR="00C34D6E" w:rsidRPr="00DE40EC" w:rsidRDefault="00C34D6E" w:rsidP="00C34D6E">
      <w:pPr>
        <w:pStyle w:val="DocText"/>
        <w:jc w:val="center"/>
        <w:rPr>
          <w:rFonts w:cs="Arial"/>
          <w:b/>
          <w:szCs w:val="20"/>
        </w:rPr>
      </w:pPr>
      <w:r>
        <w:rPr>
          <w:rFonts w:cs="Arial"/>
          <w:b/>
          <w:szCs w:val="20"/>
        </w:rPr>
        <w:t xml:space="preserve">JUST EAT </w:t>
      </w:r>
      <w:r w:rsidRPr="00DE40EC">
        <w:rPr>
          <w:rFonts w:cs="Arial"/>
          <w:b/>
          <w:szCs w:val="20"/>
        </w:rPr>
        <w:t>PLC</w:t>
      </w:r>
    </w:p>
    <w:p w14:paraId="5BB1DD74" w14:textId="77777777" w:rsidR="00C34D6E" w:rsidRDefault="00C34D6E" w:rsidP="00C34D6E">
      <w:pPr>
        <w:pStyle w:val="DocText"/>
        <w:spacing w:before="0" w:line="240" w:lineRule="auto"/>
        <w:jc w:val="center"/>
        <w:rPr>
          <w:rFonts w:cs="Arial"/>
          <w:b/>
          <w:szCs w:val="20"/>
        </w:rPr>
      </w:pPr>
    </w:p>
    <w:p w14:paraId="51898AD3" w14:textId="77777777" w:rsidR="00C34D6E" w:rsidRDefault="00C34D6E" w:rsidP="00C34D6E">
      <w:pPr>
        <w:pStyle w:val="DocText"/>
        <w:spacing w:before="0" w:line="240" w:lineRule="auto"/>
        <w:jc w:val="center"/>
        <w:rPr>
          <w:rFonts w:cs="Arial"/>
          <w:b/>
          <w:szCs w:val="20"/>
        </w:rPr>
      </w:pPr>
      <w:r w:rsidRPr="00DE40EC">
        <w:rPr>
          <w:rFonts w:cs="Arial"/>
          <w:b/>
          <w:szCs w:val="20"/>
        </w:rPr>
        <w:t>by</w:t>
      </w:r>
    </w:p>
    <w:p w14:paraId="249F98C5" w14:textId="77777777" w:rsidR="00C34D6E" w:rsidRPr="00775737" w:rsidRDefault="00B43857" w:rsidP="00C34D6E">
      <w:pPr>
        <w:pStyle w:val="DocText"/>
        <w:spacing w:line="240" w:lineRule="auto"/>
        <w:jc w:val="center"/>
        <w:rPr>
          <w:b/>
        </w:rPr>
      </w:pPr>
      <w:r>
        <w:rPr>
          <w:b/>
        </w:rPr>
        <w:t>PROSUS</w:t>
      </w:r>
      <w:r w:rsidR="00C34D6E" w:rsidRPr="00775737">
        <w:rPr>
          <w:b/>
        </w:rPr>
        <w:t xml:space="preserve"> N.V.</w:t>
      </w:r>
    </w:p>
    <w:p w14:paraId="19B4886C" w14:textId="77777777" w:rsidR="00C34D6E" w:rsidRPr="005261CC" w:rsidRDefault="00C34D6E" w:rsidP="00C34D6E">
      <w:pPr>
        <w:pStyle w:val="DocText"/>
        <w:spacing w:before="0"/>
        <w:jc w:val="center"/>
        <w:rPr>
          <w:rFonts w:cs="Arial"/>
          <w:b/>
          <w:szCs w:val="20"/>
        </w:rPr>
      </w:pPr>
      <w:r w:rsidRPr="00775737">
        <w:rPr>
          <w:b/>
        </w:rPr>
        <w:t xml:space="preserve">through its wholly-owned indirect subsidiary </w:t>
      </w:r>
      <w:r w:rsidR="00B43857">
        <w:rPr>
          <w:b/>
        </w:rPr>
        <w:t>MIH</w:t>
      </w:r>
      <w:r w:rsidRPr="00775737">
        <w:rPr>
          <w:b/>
        </w:rPr>
        <w:t xml:space="preserve"> Food Delivery Holdings B.V.</w:t>
      </w:r>
    </w:p>
    <w:p w14:paraId="3DE25C52" w14:textId="77777777" w:rsidR="00C34D6E" w:rsidRDefault="00C34D6E" w:rsidP="00C34D6E">
      <w:pPr>
        <w:pStyle w:val="nu"/>
      </w:pPr>
    </w:p>
    <w:p w14:paraId="2FFC7B66" w14:textId="77777777" w:rsidR="00C34D6E" w:rsidRDefault="00C34D6E" w:rsidP="00C34D6E">
      <w:pPr>
        <w:pStyle w:val="DocText"/>
        <w:numPr>
          <w:ilvl w:val="0"/>
          <w:numId w:val="20"/>
        </w:numPr>
        <w:rPr>
          <w:rFonts w:cs="Arial"/>
          <w:szCs w:val="20"/>
        </w:rPr>
      </w:pPr>
      <w:r>
        <w:rPr>
          <w:rFonts w:cs="Arial"/>
          <w:szCs w:val="20"/>
        </w:rPr>
        <w:t>O</w:t>
      </w:r>
      <w:r w:rsidRPr="00DE40EC">
        <w:rPr>
          <w:rFonts w:cs="Arial"/>
          <w:szCs w:val="20"/>
        </w:rPr>
        <w:t xml:space="preserve">n </w:t>
      </w:r>
      <w:r>
        <w:rPr>
          <w:rFonts w:cs="Arial"/>
          <w:szCs w:val="20"/>
        </w:rPr>
        <w:t>19 December</w:t>
      </w:r>
      <w:r w:rsidRPr="00DE40EC">
        <w:rPr>
          <w:rFonts w:cs="Arial"/>
          <w:szCs w:val="20"/>
        </w:rPr>
        <w:t xml:space="preserve"> 2019</w:t>
      </w:r>
      <w:r>
        <w:rPr>
          <w:rFonts w:cs="Arial"/>
          <w:szCs w:val="20"/>
        </w:rPr>
        <w:t>,</w:t>
      </w:r>
      <w:r w:rsidRPr="00DE40EC">
        <w:rPr>
          <w:rFonts w:cs="Arial"/>
          <w:szCs w:val="20"/>
        </w:rPr>
        <w:t xml:space="preserve"> </w:t>
      </w:r>
      <w:r w:rsidR="00B43857">
        <w:rPr>
          <w:rFonts w:cs="Arial"/>
          <w:szCs w:val="20"/>
        </w:rPr>
        <w:t>Prosus</w:t>
      </w:r>
      <w:r w:rsidRPr="00DE40EC">
        <w:rPr>
          <w:rFonts w:cs="Arial"/>
          <w:szCs w:val="20"/>
        </w:rPr>
        <w:t xml:space="preserve"> N.V. (</w:t>
      </w:r>
      <w:r w:rsidR="00B43857">
        <w:rPr>
          <w:rFonts w:cs="Arial"/>
          <w:b/>
          <w:szCs w:val="20"/>
        </w:rPr>
        <w:t>Prosus</w:t>
      </w:r>
      <w:r w:rsidRPr="00DE40EC">
        <w:rPr>
          <w:rFonts w:cs="Arial"/>
          <w:szCs w:val="20"/>
        </w:rPr>
        <w:t xml:space="preserve">) </w:t>
      </w:r>
      <w:r>
        <w:rPr>
          <w:rFonts w:cs="Arial"/>
          <w:szCs w:val="20"/>
        </w:rPr>
        <w:t>announced</w:t>
      </w:r>
      <w:r w:rsidRPr="00DE40EC">
        <w:rPr>
          <w:rFonts w:cs="Arial"/>
          <w:szCs w:val="20"/>
        </w:rPr>
        <w:t xml:space="preserve"> the</w:t>
      </w:r>
      <w:r>
        <w:rPr>
          <w:rFonts w:cs="Arial"/>
          <w:szCs w:val="20"/>
        </w:rPr>
        <w:t xml:space="preserve"> final increased</w:t>
      </w:r>
      <w:r w:rsidRPr="00DE40EC">
        <w:rPr>
          <w:rFonts w:cs="Arial"/>
          <w:szCs w:val="20"/>
        </w:rPr>
        <w:t xml:space="preserve"> offer by its wholly-owned indirect subsidiary </w:t>
      </w:r>
      <w:r w:rsidR="00B43857">
        <w:rPr>
          <w:rFonts w:cs="Arial"/>
          <w:szCs w:val="20"/>
        </w:rPr>
        <w:t>MIH</w:t>
      </w:r>
      <w:r w:rsidRPr="00DE40EC">
        <w:rPr>
          <w:rFonts w:cs="Arial"/>
          <w:szCs w:val="20"/>
        </w:rPr>
        <w:t xml:space="preserve"> Food Delivery Holdings B.V. (</w:t>
      </w:r>
      <w:r w:rsidR="00B43857">
        <w:rPr>
          <w:rFonts w:cs="Arial"/>
          <w:b/>
          <w:szCs w:val="20"/>
        </w:rPr>
        <w:t>MIH</w:t>
      </w:r>
      <w:r w:rsidRPr="00DE40EC">
        <w:rPr>
          <w:rFonts w:cs="Arial"/>
          <w:szCs w:val="20"/>
        </w:rPr>
        <w:t xml:space="preserve">) to acquire the entire issued and to be issued share capital of </w:t>
      </w:r>
      <w:r w:rsidR="00B43857">
        <w:rPr>
          <w:rFonts w:cs="Arial"/>
          <w:szCs w:val="20"/>
        </w:rPr>
        <w:t>Just Eat</w:t>
      </w:r>
      <w:r w:rsidRPr="00DE40EC">
        <w:rPr>
          <w:rFonts w:cs="Arial"/>
          <w:szCs w:val="20"/>
        </w:rPr>
        <w:t xml:space="preserve"> plc (</w:t>
      </w:r>
      <w:r w:rsidR="00B43857">
        <w:rPr>
          <w:rFonts w:cs="Arial"/>
          <w:b/>
          <w:szCs w:val="20"/>
        </w:rPr>
        <w:t>Just Eat</w:t>
      </w:r>
      <w:r w:rsidRPr="00DE40EC">
        <w:rPr>
          <w:rFonts w:cs="Arial"/>
          <w:szCs w:val="20"/>
        </w:rPr>
        <w:t xml:space="preserve">) (the </w:t>
      </w:r>
      <w:r w:rsidRPr="007C1BA4">
        <w:rPr>
          <w:rFonts w:cs="Arial"/>
          <w:b/>
          <w:szCs w:val="20"/>
        </w:rPr>
        <w:t>Final</w:t>
      </w:r>
      <w:r>
        <w:rPr>
          <w:rFonts w:cs="Arial"/>
          <w:szCs w:val="20"/>
        </w:rPr>
        <w:t xml:space="preserve"> </w:t>
      </w:r>
      <w:r>
        <w:rPr>
          <w:rFonts w:cs="Arial"/>
          <w:b/>
          <w:szCs w:val="20"/>
        </w:rPr>
        <w:t xml:space="preserve">Increased </w:t>
      </w:r>
      <w:r w:rsidRPr="00DE40EC">
        <w:rPr>
          <w:rFonts w:cs="Arial"/>
          <w:b/>
          <w:szCs w:val="20"/>
        </w:rPr>
        <w:t>Offer</w:t>
      </w:r>
      <w:r w:rsidRPr="00DE40EC">
        <w:rPr>
          <w:rFonts w:cs="Arial"/>
          <w:szCs w:val="20"/>
        </w:rPr>
        <w:t>)</w:t>
      </w:r>
      <w:r>
        <w:rPr>
          <w:rFonts w:cs="Arial"/>
          <w:szCs w:val="20"/>
        </w:rPr>
        <w:t>.</w:t>
      </w:r>
    </w:p>
    <w:p w14:paraId="790680CD" w14:textId="64132B8B" w:rsidR="00C34D6E" w:rsidRDefault="00C34D6E" w:rsidP="00C34D6E">
      <w:pPr>
        <w:pStyle w:val="justify"/>
        <w:jc w:val="both"/>
      </w:pPr>
      <w:r>
        <w:t>As at 1.00 p.m. (London time) on 10 January 2020</w:t>
      </w:r>
      <w:r w:rsidR="00B43857">
        <w:t xml:space="preserve"> (being the closing date of the Final Increased Offer)</w:t>
      </w:r>
      <w:r>
        <w:t xml:space="preserve">, </w:t>
      </w:r>
      <w:r w:rsidR="00B43857">
        <w:t>Prosus</w:t>
      </w:r>
      <w:r>
        <w:t xml:space="preserve"> had received valid acceptances of the Final Increased Offer in respect of</w:t>
      </w:r>
      <w:r w:rsidR="00BD452D">
        <w:t xml:space="preserve"> </w:t>
      </w:r>
      <w:r w:rsidR="00DC6B10">
        <w:t xml:space="preserve">158,037 </w:t>
      </w:r>
      <w:r w:rsidR="00B43857">
        <w:t>Just Eat</w:t>
      </w:r>
      <w:r>
        <w:t xml:space="preserve"> Shares</w:t>
      </w:r>
      <w:r w:rsidR="00BD452D">
        <w:t>,</w:t>
      </w:r>
      <w:r>
        <w:t xml:space="preserve"> representing approximately </w:t>
      </w:r>
      <w:r w:rsidR="00DC6B10">
        <w:t>0.02 per cent.</w:t>
      </w:r>
      <w:r>
        <w:t xml:space="preserve"> of the issued share capital of </w:t>
      </w:r>
      <w:r w:rsidR="00B43857">
        <w:t>Just Eat</w:t>
      </w:r>
      <w:r>
        <w:t xml:space="preserve">. </w:t>
      </w:r>
      <w:r w:rsidR="003674A3">
        <w:t xml:space="preserve">MIH does not own any Just Eat Shares. </w:t>
      </w:r>
      <w:r>
        <w:t xml:space="preserve">As such, </w:t>
      </w:r>
      <w:r w:rsidR="00B43857">
        <w:t>the</w:t>
      </w:r>
      <w:r>
        <w:t xml:space="preserve"> Acceptance Condition</w:t>
      </w:r>
      <w:r w:rsidR="00B43857">
        <w:t xml:space="preserve"> has not been satisfied</w:t>
      </w:r>
      <w:r>
        <w:t xml:space="preserve"> and the Final Increased Offer has now lapsed.</w:t>
      </w:r>
    </w:p>
    <w:p w14:paraId="09883B00" w14:textId="3D7FE330" w:rsidR="00284A94" w:rsidRDefault="00591525" w:rsidP="00DE56E6">
      <w:pPr>
        <w:pStyle w:val="justify"/>
        <w:jc w:val="both"/>
      </w:pPr>
      <w:r>
        <w:t xml:space="preserve">As the Final Increased Offer has lapsed, it is no longer </w:t>
      </w:r>
      <w:r w:rsidR="00284A94">
        <w:t xml:space="preserve">open to acceptances </w:t>
      </w:r>
      <w:r>
        <w:t xml:space="preserve">and any accepting Just Eat Shareholders cease to be bound by their acceptances. </w:t>
      </w:r>
    </w:p>
    <w:p w14:paraId="6F71D60C" w14:textId="31991F4B" w:rsidR="005C567C" w:rsidRPr="00791599" w:rsidRDefault="00284A94" w:rsidP="00791599">
      <w:pPr>
        <w:pStyle w:val="justify"/>
        <w:jc w:val="both"/>
      </w:pPr>
      <w:r>
        <w:t>Bob van Dijk, CEO of Prosus</w:t>
      </w:r>
      <w:r w:rsidR="00D7509A">
        <w:t>,</w:t>
      </w:r>
      <w:r w:rsidR="00A9172C">
        <w:t xml:space="preserve"> commented</w:t>
      </w:r>
      <w:r>
        <w:t xml:space="preserve">: </w:t>
      </w:r>
      <w:r w:rsidR="00665FA9">
        <w:t>“</w:t>
      </w:r>
      <w:r w:rsidR="005C567C" w:rsidRPr="00791599">
        <w:t xml:space="preserve">We would like to thank the Just Eat board and management team for their constructive engagement throughout the process. As stated in our </w:t>
      </w:r>
      <w:r w:rsidR="003674A3">
        <w:t>Original</w:t>
      </w:r>
      <w:r w:rsidR="003674A3" w:rsidRPr="00791599">
        <w:t xml:space="preserve"> </w:t>
      </w:r>
      <w:r w:rsidR="005C567C" w:rsidRPr="00791599">
        <w:t>Offer and subsequently, we consider Just Eat an attractive business though one which will require significant investment. We have been clear throughout that we would remain disciplined in how we allocate our capital and the price that we would offer. </w:t>
      </w:r>
    </w:p>
    <w:p w14:paraId="5D7CD4AA" w14:textId="6AC5AF16" w:rsidR="005C567C" w:rsidRPr="00791599" w:rsidRDefault="005C567C" w:rsidP="00791599">
      <w:pPr>
        <w:pStyle w:val="justify"/>
        <w:jc w:val="both"/>
      </w:pPr>
      <w:r w:rsidRPr="00791599">
        <w:t>We have an outstanding track record of executing M&amp;A at the right price for our shareholders and of generating strong returns. Just Eat is not an acquisition we wanted to make at any cost and while we have significant financial capacity, we believe that our final offer of 800 pence per share was appropriate in light of the investment required and preserved our ability to create value for our shareholders. </w:t>
      </w:r>
    </w:p>
    <w:p w14:paraId="077F090D" w14:textId="5A52586F" w:rsidR="00284A94" w:rsidRPr="005C567C" w:rsidRDefault="005C567C" w:rsidP="005C567C">
      <w:pPr>
        <w:pStyle w:val="justify"/>
        <w:jc w:val="both"/>
      </w:pPr>
      <w:r w:rsidRPr="00791599">
        <w:t>Our core operating segments are growing fast with significant runway ahead of them. We will continue to identify and pursue opportunities that will be both additive to our current strategy and generate high levels of return for our shareholders.”</w:t>
      </w:r>
    </w:p>
    <w:p w14:paraId="2F8AE3C8" w14:textId="77777777" w:rsidR="006C4ACA" w:rsidRDefault="006C4ACA" w:rsidP="00DE56E6">
      <w:pPr>
        <w:pStyle w:val="justify"/>
        <w:jc w:val="both"/>
      </w:pPr>
      <w:r>
        <w:t xml:space="preserve">In respect of </w:t>
      </w:r>
      <w:r w:rsidR="00B43857">
        <w:t>Just Eat</w:t>
      </w:r>
      <w:r>
        <w:t xml:space="preserve"> Shares held in certificated form, the Form of Acceptance, Second Form of Acceptance and/or Third Form of Acceptance (as applicable), share certificate(s) and/or other document(s) of title will be returned by post (or by such other method as may be approved by the Panel) within 14 days of the Final Increased Offer lapsing to the person or agent whose name and address outside the Restricted Jurisdictions is set out in the relevant box on the relevant Form of Acceptance or, if none is set out, to the first-named or </w:t>
      </w:r>
      <w:r>
        <w:lastRenderedPageBreak/>
        <w:t>sole holder of his registered address outside the Restricted Jurisdictions. No such documents will be sent to an address in any Restricted Jurisdiction.</w:t>
      </w:r>
    </w:p>
    <w:p w14:paraId="7E514200" w14:textId="77777777" w:rsidR="006C4ACA" w:rsidRDefault="006A39D9" w:rsidP="00DE56E6">
      <w:pPr>
        <w:pStyle w:val="justify"/>
        <w:jc w:val="both"/>
      </w:pPr>
      <w:r>
        <w:t xml:space="preserve">In respect of </w:t>
      </w:r>
      <w:r w:rsidR="00B43857">
        <w:t>Just Eat</w:t>
      </w:r>
      <w:r w:rsidR="006C4ACA">
        <w:t xml:space="preserve"> Shares held in uncertificated form, Computershare, the Receiving Agent, will, immediately (or within such longer period as the Panel may permit, not exceeding 14 days after the lapsing of the Final Increased Offer), give instructions to Euroclear to transfer all </w:t>
      </w:r>
      <w:r w:rsidR="00B43857">
        <w:t>Just Eat</w:t>
      </w:r>
      <w:r w:rsidR="006C4ACA">
        <w:t xml:space="preserve"> Shares held in escrow balances and in relation to which it is the escrow agent for the purposes of the Final Increased Offer to the original available balances of the </w:t>
      </w:r>
      <w:r w:rsidR="00B43857">
        <w:t>Just Eat</w:t>
      </w:r>
      <w:r w:rsidR="006C4ACA">
        <w:t xml:space="preserve"> Shareholders concerned.</w:t>
      </w:r>
    </w:p>
    <w:p w14:paraId="4429A7AC" w14:textId="77777777" w:rsidR="00BD452D" w:rsidRPr="00DE40EC" w:rsidRDefault="00C34D6E" w:rsidP="00DE56E6">
      <w:pPr>
        <w:pStyle w:val="justify"/>
        <w:jc w:val="both"/>
      </w:pPr>
      <w:r w:rsidRPr="00DC6EF1">
        <w:t xml:space="preserve">Capitalised terms in this announcement, unless otherwise defined, have the same meanings as set out in the </w:t>
      </w:r>
      <w:r>
        <w:t>Final Increased Offer Document</w:t>
      </w:r>
      <w:r w:rsidRPr="00DC6EF1">
        <w:t xml:space="preserve"> </w:t>
      </w:r>
      <w:r>
        <w:t>(including words or expressions defined in the Final Increased Offer Document by reference to the Offer Document)</w:t>
      </w:r>
      <w:r w:rsidRPr="00DC6EF1">
        <w:t>.</w:t>
      </w:r>
    </w:p>
    <w:p w14:paraId="0D124E8C" w14:textId="77777777" w:rsidR="00C34D6E" w:rsidRPr="00DE40EC" w:rsidRDefault="00C34D6E" w:rsidP="00C34D6E">
      <w:pPr>
        <w:pStyle w:val="DocText"/>
        <w:numPr>
          <w:ilvl w:val="0"/>
          <w:numId w:val="0"/>
        </w:numPr>
        <w:rPr>
          <w:rFonts w:cs="Arial"/>
          <w:b/>
          <w:szCs w:val="20"/>
        </w:rPr>
      </w:pPr>
      <w:r w:rsidRPr="00DE40EC">
        <w:rPr>
          <w:rFonts w:cs="Arial"/>
          <w:b/>
          <w:szCs w:val="20"/>
        </w:rPr>
        <w:t xml:space="preserve">Enquiries: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790"/>
      </w:tblGrid>
      <w:tr w:rsidR="00C34D6E" w:rsidRPr="00DE40EC" w14:paraId="699C04F0" w14:textId="77777777" w:rsidTr="00B3383B">
        <w:tc>
          <w:tcPr>
            <w:tcW w:w="6237" w:type="dxa"/>
            <w:hideMark/>
          </w:tcPr>
          <w:p w14:paraId="125C1B44" w14:textId="77777777" w:rsidR="00C34D6E" w:rsidRPr="00DE40EC" w:rsidRDefault="00C34D6E" w:rsidP="00B3383B">
            <w:pPr>
              <w:pStyle w:val="DocText"/>
              <w:rPr>
                <w:rFonts w:cs="Arial"/>
                <w:b/>
                <w:szCs w:val="20"/>
              </w:rPr>
            </w:pPr>
            <w:r w:rsidRPr="00DE40EC">
              <w:rPr>
                <w:rFonts w:cs="Arial"/>
                <w:b/>
                <w:szCs w:val="20"/>
              </w:rPr>
              <w:t>Investor Enquiries</w:t>
            </w:r>
          </w:p>
        </w:tc>
        <w:tc>
          <w:tcPr>
            <w:tcW w:w="2790" w:type="dxa"/>
            <w:hideMark/>
          </w:tcPr>
          <w:p w14:paraId="728EC156" w14:textId="77777777" w:rsidR="00C34D6E" w:rsidRPr="00DE40EC" w:rsidRDefault="00C34D6E" w:rsidP="00B3383B">
            <w:pPr>
              <w:pStyle w:val="DocText"/>
              <w:rPr>
                <w:rFonts w:cs="Arial"/>
                <w:b/>
                <w:szCs w:val="20"/>
              </w:rPr>
            </w:pPr>
            <w:r w:rsidRPr="00DE40EC">
              <w:rPr>
                <w:rFonts w:cs="Arial"/>
                <w:b/>
                <w:szCs w:val="20"/>
              </w:rPr>
              <w:t xml:space="preserve">+1 347 210 4305 </w:t>
            </w:r>
          </w:p>
        </w:tc>
      </w:tr>
      <w:tr w:rsidR="00C34D6E" w:rsidRPr="00DE40EC" w14:paraId="30B183E2" w14:textId="77777777" w:rsidTr="00B3383B">
        <w:tc>
          <w:tcPr>
            <w:tcW w:w="6237" w:type="dxa"/>
            <w:hideMark/>
          </w:tcPr>
          <w:p w14:paraId="21765F67" w14:textId="77777777" w:rsidR="00C34D6E" w:rsidRPr="00DE40EC" w:rsidRDefault="00C34D6E" w:rsidP="00B3383B">
            <w:pPr>
              <w:pStyle w:val="DocText"/>
              <w:spacing w:before="0"/>
              <w:rPr>
                <w:rFonts w:cs="Arial"/>
                <w:szCs w:val="20"/>
              </w:rPr>
            </w:pPr>
            <w:r w:rsidRPr="00DE40EC">
              <w:rPr>
                <w:rFonts w:cs="Arial"/>
                <w:szCs w:val="20"/>
              </w:rPr>
              <w:t>Eoin Ryan, Head of Investor Relations</w:t>
            </w:r>
          </w:p>
        </w:tc>
        <w:tc>
          <w:tcPr>
            <w:tcW w:w="2790" w:type="dxa"/>
          </w:tcPr>
          <w:p w14:paraId="5536C1B1" w14:textId="77777777" w:rsidR="00C34D6E" w:rsidRPr="00DE40EC" w:rsidRDefault="00C34D6E" w:rsidP="00B3383B">
            <w:pPr>
              <w:pStyle w:val="DocText"/>
              <w:spacing w:before="0"/>
              <w:rPr>
                <w:rFonts w:cs="Arial"/>
                <w:b/>
                <w:szCs w:val="20"/>
              </w:rPr>
            </w:pPr>
          </w:p>
        </w:tc>
      </w:tr>
      <w:tr w:rsidR="00C34D6E" w:rsidRPr="00DE40EC" w14:paraId="70E8FF8D" w14:textId="77777777" w:rsidTr="00B3383B">
        <w:tc>
          <w:tcPr>
            <w:tcW w:w="6237" w:type="dxa"/>
          </w:tcPr>
          <w:p w14:paraId="251D541D" w14:textId="77777777" w:rsidR="00C34D6E" w:rsidRPr="00DE40EC" w:rsidRDefault="00C34D6E" w:rsidP="00B3383B">
            <w:pPr>
              <w:pStyle w:val="DocText"/>
              <w:spacing w:before="0"/>
              <w:rPr>
                <w:rFonts w:cs="Arial"/>
                <w:szCs w:val="20"/>
              </w:rPr>
            </w:pPr>
          </w:p>
        </w:tc>
        <w:tc>
          <w:tcPr>
            <w:tcW w:w="2790" w:type="dxa"/>
          </w:tcPr>
          <w:p w14:paraId="71309C4C" w14:textId="77777777" w:rsidR="00C34D6E" w:rsidRPr="00DE40EC" w:rsidRDefault="00C34D6E" w:rsidP="00B3383B">
            <w:pPr>
              <w:pStyle w:val="DocText"/>
              <w:spacing w:before="0"/>
              <w:rPr>
                <w:rFonts w:cs="Arial"/>
                <w:b/>
                <w:szCs w:val="20"/>
              </w:rPr>
            </w:pPr>
          </w:p>
        </w:tc>
      </w:tr>
      <w:tr w:rsidR="00C34D6E" w:rsidRPr="00DE40EC" w14:paraId="7864C250" w14:textId="77777777" w:rsidTr="00B3383B">
        <w:tc>
          <w:tcPr>
            <w:tcW w:w="6237" w:type="dxa"/>
            <w:hideMark/>
          </w:tcPr>
          <w:p w14:paraId="35A0AC73" w14:textId="77777777" w:rsidR="00C34D6E" w:rsidRPr="00DE40EC" w:rsidRDefault="00C34D6E" w:rsidP="00B3383B">
            <w:pPr>
              <w:pStyle w:val="DocText"/>
              <w:spacing w:before="0"/>
              <w:rPr>
                <w:rFonts w:cs="Arial"/>
                <w:szCs w:val="20"/>
              </w:rPr>
            </w:pPr>
            <w:r w:rsidRPr="00DE40EC">
              <w:rPr>
                <w:rFonts w:cs="Arial"/>
                <w:b/>
                <w:szCs w:val="20"/>
              </w:rPr>
              <w:t>Media Enquiries</w:t>
            </w:r>
          </w:p>
        </w:tc>
        <w:tc>
          <w:tcPr>
            <w:tcW w:w="2790" w:type="dxa"/>
            <w:hideMark/>
          </w:tcPr>
          <w:p w14:paraId="700484BA" w14:textId="77777777" w:rsidR="00C34D6E" w:rsidRPr="00DE40EC" w:rsidRDefault="00C34D6E" w:rsidP="00B3383B">
            <w:pPr>
              <w:pStyle w:val="DocText"/>
              <w:spacing w:before="0"/>
              <w:rPr>
                <w:rFonts w:cs="Arial"/>
                <w:b/>
                <w:szCs w:val="20"/>
              </w:rPr>
            </w:pPr>
            <w:r w:rsidRPr="00DE40EC">
              <w:rPr>
                <w:rFonts w:cs="Arial"/>
                <w:b/>
                <w:szCs w:val="20"/>
              </w:rPr>
              <w:t>+44 207 251 3801</w:t>
            </w:r>
          </w:p>
        </w:tc>
      </w:tr>
      <w:tr w:rsidR="00C34D6E" w:rsidRPr="00DE40EC" w14:paraId="25E4C2E0" w14:textId="77777777" w:rsidTr="00B3383B">
        <w:tc>
          <w:tcPr>
            <w:tcW w:w="6237" w:type="dxa"/>
            <w:hideMark/>
          </w:tcPr>
          <w:p w14:paraId="4C7F62E2" w14:textId="77777777" w:rsidR="00C34D6E" w:rsidRPr="00DE40EC" w:rsidRDefault="00C34D6E" w:rsidP="00B3383B">
            <w:pPr>
              <w:pStyle w:val="DocText"/>
              <w:spacing w:before="0"/>
              <w:rPr>
                <w:rFonts w:cs="Arial"/>
                <w:szCs w:val="20"/>
              </w:rPr>
            </w:pPr>
            <w:r w:rsidRPr="00DE40EC">
              <w:rPr>
                <w:rFonts w:cs="Arial"/>
                <w:szCs w:val="20"/>
              </w:rPr>
              <w:t>Sarah Ryan, International Media Relations</w:t>
            </w:r>
          </w:p>
        </w:tc>
        <w:tc>
          <w:tcPr>
            <w:tcW w:w="2790" w:type="dxa"/>
          </w:tcPr>
          <w:p w14:paraId="4E0160A0" w14:textId="77777777" w:rsidR="00C34D6E" w:rsidRPr="00DE40EC" w:rsidRDefault="00C34D6E" w:rsidP="00B3383B">
            <w:pPr>
              <w:pStyle w:val="DocText"/>
              <w:spacing w:before="0"/>
              <w:rPr>
                <w:rFonts w:cs="Arial"/>
                <w:b/>
                <w:szCs w:val="20"/>
              </w:rPr>
            </w:pPr>
          </w:p>
        </w:tc>
      </w:tr>
      <w:tr w:rsidR="00C34D6E" w:rsidRPr="00DE40EC" w14:paraId="39250FC7" w14:textId="77777777" w:rsidTr="00B3383B">
        <w:tc>
          <w:tcPr>
            <w:tcW w:w="6237" w:type="dxa"/>
            <w:hideMark/>
          </w:tcPr>
          <w:p w14:paraId="5414E2AA" w14:textId="77777777" w:rsidR="00C34D6E" w:rsidRPr="00DE40EC" w:rsidRDefault="00C34D6E" w:rsidP="00B3383B">
            <w:pPr>
              <w:pStyle w:val="DocText"/>
              <w:spacing w:before="0"/>
              <w:rPr>
                <w:rFonts w:cs="Arial"/>
                <w:szCs w:val="20"/>
              </w:rPr>
            </w:pPr>
            <w:r w:rsidRPr="00DE40EC">
              <w:rPr>
                <w:rFonts w:cs="Arial"/>
                <w:szCs w:val="20"/>
              </w:rPr>
              <w:t xml:space="preserve">Finsbury (PR adviser to </w:t>
            </w:r>
            <w:r w:rsidR="00B43857">
              <w:rPr>
                <w:rFonts w:cs="Arial"/>
                <w:szCs w:val="20"/>
              </w:rPr>
              <w:t>Prosus</w:t>
            </w:r>
            <w:r w:rsidRPr="00DE40EC">
              <w:rPr>
                <w:rFonts w:cs="Arial"/>
                <w:szCs w:val="20"/>
              </w:rPr>
              <w:t>)</w:t>
            </w:r>
          </w:p>
        </w:tc>
        <w:tc>
          <w:tcPr>
            <w:tcW w:w="2790" w:type="dxa"/>
          </w:tcPr>
          <w:p w14:paraId="4048850D" w14:textId="77777777" w:rsidR="00C34D6E" w:rsidRPr="00DE40EC" w:rsidRDefault="00C34D6E" w:rsidP="00B3383B">
            <w:pPr>
              <w:pStyle w:val="DocText"/>
              <w:spacing w:before="0"/>
              <w:rPr>
                <w:rFonts w:cs="Arial"/>
                <w:b/>
                <w:szCs w:val="20"/>
              </w:rPr>
            </w:pPr>
          </w:p>
        </w:tc>
      </w:tr>
      <w:tr w:rsidR="00C34D6E" w:rsidRPr="00DE40EC" w14:paraId="31D5AA1B" w14:textId="77777777" w:rsidTr="00B3383B">
        <w:tc>
          <w:tcPr>
            <w:tcW w:w="6237" w:type="dxa"/>
          </w:tcPr>
          <w:p w14:paraId="5DDB06C7" w14:textId="77777777" w:rsidR="00C34D6E" w:rsidRPr="00DE40EC" w:rsidRDefault="00C34D6E" w:rsidP="00B3383B">
            <w:pPr>
              <w:pStyle w:val="DocText"/>
              <w:spacing w:before="0"/>
              <w:rPr>
                <w:rFonts w:cs="Arial"/>
                <w:b/>
                <w:szCs w:val="20"/>
              </w:rPr>
            </w:pPr>
          </w:p>
        </w:tc>
        <w:tc>
          <w:tcPr>
            <w:tcW w:w="2790" w:type="dxa"/>
          </w:tcPr>
          <w:p w14:paraId="369FF70E" w14:textId="77777777" w:rsidR="00C34D6E" w:rsidRPr="00DE40EC" w:rsidRDefault="00C34D6E" w:rsidP="00B3383B">
            <w:pPr>
              <w:pStyle w:val="DocText"/>
              <w:spacing w:before="0"/>
              <w:rPr>
                <w:rFonts w:cs="Arial"/>
                <w:b/>
                <w:szCs w:val="20"/>
              </w:rPr>
            </w:pPr>
          </w:p>
        </w:tc>
      </w:tr>
      <w:tr w:rsidR="00C34D6E" w:rsidRPr="00DE40EC" w14:paraId="0D5DCF0B" w14:textId="77777777" w:rsidTr="00B3383B">
        <w:tc>
          <w:tcPr>
            <w:tcW w:w="6237" w:type="dxa"/>
            <w:hideMark/>
          </w:tcPr>
          <w:p w14:paraId="6CEB955D" w14:textId="77777777" w:rsidR="00C34D6E" w:rsidRPr="00DE40EC" w:rsidRDefault="00C34D6E" w:rsidP="00B3383B">
            <w:pPr>
              <w:pStyle w:val="DocText"/>
              <w:spacing w:before="0"/>
              <w:rPr>
                <w:rFonts w:cs="Arial"/>
                <w:b/>
                <w:szCs w:val="20"/>
              </w:rPr>
            </w:pPr>
            <w:r w:rsidRPr="00DE40EC">
              <w:rPr>
                <w:rFonts w:cs="Arial"/>
                <w:b/>
                <w:szCs w:val="20"/>
              </w:rPr>
              <w:t xml:space="preserve">J.P. Morgan Cazenove (Financial adviser to </w:t>
            </w:r>
            <w:r w:rsidR="00B43857">
              <w:rPr>
                <w:rFonts w:cs="Arial"/>
                <w:b/>
                <w:szCs w:val="20"/>
              </w:rPr>
              <w:t>Prosus</w:t>
            </w:r>
            <w:r w:rsidRPr="00DE40EC">
              <w:rPr>
                <w:rFonts w:cs="Arial"/>
                <w:b/>
                <w:szCs w:val="20"/>
              </w:rPr>
              <w:t xml:space="preserve"> and </w:t>
            </w:r>
            <w:r w:rsidR="00B43857">
              <w:rPr>
                <w:rFonts w:cs="Arial"/>
                <w:b/>
                <w:szCs w:val="20"/>
              </w:rPr>
              <w:t>MIH</w:t>
            </w:r>
            <w:r w:rsidRPr="00DE40EC">
              <w:rPr>
                <w:rFonts w:cs="Arial"/>
                <w:b/>
                <w:szCs w:val="20"/>
              </w:rPr>
              <w:t>)</w:t>
            </w:r>
          </w:p>
        </w:tc>
        <w:tc>
          <w:tcPr>
            <w:tcW w:w="2790" w:type="dxa"/>
            <w:hideMark/>
          </w:tcPr>
          <w:p w14:paraId="24CDFC89" w14:textId="77777777" w:rsidR="00C34D6E" w:rsidRPr="00DE40EC" w:rsidRDefault="00C34D6E" w:rsidP="00B3383B">
            <w:pPr>
              <w:pStyle w:val="DocText"/>
              <w:spacing w:before="0"/>
              <w:rPr>
                <w:rFonts w:cs="Arial"/>
                <w:b/>
                <w:szCs w:val="20"/>
              </w:rPr>
            </w:pPr>
            <w:r w:rsidRPr="00DE40EC">
              <w:rPr>
                <w:rFonts w:cs="Arial"/>
                <w:b/>
                <w:szCs w:val="20"/>
              </w:rPr>
              <w:t>+44 20 7742 4000</w:t>
            </w:r>
          </w:p>
        </w:tc>
      </w:tr>
      <w:tr w:rsidR="00C34D6E" w:rsidRPr="00DE40EC" w14:paraId="6098ECEB" w14:textId="77777777" w:rsidTr="00B3383B">
        <w:tc>
          <w:tcPr>
            <w:tcW w:w="6237" w:type="dxa"/>
            <w:hideMark/>
          </w:tcPr>
          <w:p w14:paraId="62DC801B" w14:textId="77777777" w:rsidR="00C34D6E" w:rsidRPr="00DE40EC" w:rsidRDefault="00C34D6E" w:rsidP="00B3383B">
            <w:pPr>
              <w:pStyle w:val="DocText"/>
              <w:spacing w:before="0"/>
              <w:rPr>
                <w:rFonts w:cs="Arial"/>
                <w:szCs w:val="20"/>
              </w:rPr>
            </w:pPr>
            <w:r w:rsidRPr="00DE40EC">
              <w:rPr>
                <w:rFonts w:cs="Arial"/>
                <w:szCs w:val="20"/>
              </w:rPr>
              <w:t>Charles Harman</w:t>
            </w:r>
          </w:p>
        </w:tc>
        <w:tc>
          <w:tcPr>
            <w:tcW w:w="2790" w:type="dxa"/>
          </w:tcPr>
          <w:p w14:paraId="402B84F8" w14:textId="77777777" w:rsidR="00C34D6E" w:rsidRPr="00DE40EC" w:rsidRDefault="00C34D6E" w:rsidP="00B3383B">
            <w:pPr>
              <w:pStyle w:val="DocText"/>
              <w:spacing w:before="0"/>
              <w:rPr>
                <w:rFonts w:cs="Arial"/>
                <w:b/>
                <w:szCs w:val="20"/>
              </w:rPr>
            </w:pPr>
          </w:p>
        </w:tc>
      </w:tr>
      <w:tr w:rsidR="00C34D6E" w:rsidRPr="00DE40EC" w14:paraId="6407BD76" w14:textId="77777777" w:rsidTr="00B3383B">
        <w:tc>
          <w:tcPr>
            <w:tcW w:w="6237" w:type="dxa"/>
            <w:hideMark/>
          </w:tcPr>
          <w:p w14:paraId="65C5D081" w14:textId="77777777" w:rsidR="00C34D6E" w:rsidRPr="00DE40EC" w:rsidRDefault="00C34D6E" w:rsidP="00B3383B">
            <w:pPr>
              <w:pStyle w:val="DocText"/>
              <w:spacing w:before="0"/>
              <w:rPr>
                <w:rFonts w:cs="Arial"/>
                <w:szCs w:val="20"/>
              </w:rPr>
            </w:pPr>
            <w:r w:rsidRPr="00DE40EC">
              <w:rPr>
                <w:rFonts w:cs="Arial"/>
                <w:szCs w:val="20"/>
              </w:rPr>
              <w:t>Barry Weir</w:t>
            </w:r>
          </w:p>
        </w:tc>
        <w:tc>
          <w:tcPr>
            <w:tcW w:w="2790" w:type="dxa"/>
          </w:tcPr>
          <w:p w14:paraId="70DCDC99" w14:textId="77777777" w:rsidR="00C34D6E" w:rsidRPr="00DE40EC" w:rsidRDefault="00C34D6E" w:rsidP="00B3383B">
            <w:pPr>
              <w:pStyle w:val="DocText"/>
              <w:spacing w:before="0"/>
              <w:rPr>
                <w:rFonts w:cs="Arial"/>
                <w:b/>
                <w:szCs w:val="20"/>
              </w:rPr>
            </w:pPr>
          </w:p>
        </w:tc>
      </w:tr>
      <w:tr w:rsidR="00C34D6E" w:rsidRPr="00DE40EC" w14:paraId="68BC81C5" w14:textId="77777777" w:rsidTr="00B3383B">
        <w:tc>
          <w:tcPr>
            <w:tcW w:w="6237" w:type="dxa"/>
            <w:hideMark/>
          </w:tcPr>
          <w:p w14:paraId="17FC36A7" w14:textId="77777777" w:rsidR="00C34D6E" w:rsidRPr="00DE40EC" w:rsidRDefault="00C34D6E" w:rsidP="00B3383B">
            <w:pPr>
              <w:pStyle w:val="DocText"/>
              <w:spacing w:before="0"/>
              <w:rPr>
                <w:rFonts w:cs="Arial"/>
                <w:szCs w:val="20"/>
              </w:rPr>
            </w:pPr>
            <w:r w:rsidRPr="00DE40EC">
              <w:rPr>
                <w:rFonts w:cs="Arial"/>
                <w:szCs w:val="20"/>
              </w:rPr>
              <w:t>Bill Hutchings</w:t>
            </w:r>
          </w:p>
        </w:tc>
        <w:tc>
          <w:tcPr>
            <w:tcW w:w="2790" w:type="dxa"/>
          </w:tcPr>
          <w:p w14:paraId="41C975E4" w14:textId="77777777" w:rsidR="00C34D6E" w:rsidRPr="00DE40EC" w:rsidRDefault="00C34D6E" w:rsidP="00B3383B">
            <w:pPr>
              <w:pStyle w:val="DocText"/>
              <w:spacing w:before="0"/>
              <w:rPr>
                <w:rFonts w:cs="Arial"/>
                <w:b/>
                <w:szCs w:val="20"/>
              </w:rPr>
            </w:pPr>
          </w:p>
        </w:tc>
      </w:tr>
      <w:tr w:rsidR="00C34D6E" w:rsidRPr="00DE40EC" w14:paraId="36397D1E" w14:textId="77777777" w:rsidTr="00B3383B">
        <w:tc>
          <w:tcPr>
            <w:tcW w:w="6237" w:type="dxa"/>
            <w:hideMark/>
          </w:tcPr>
          <w:p w14:paraId="22CB4985" w14:textId="77777777" w:rsidR="00C34D6E" w:rsidRPr="00DE40EC" w:rsidRDefault="00C34D6E" w:rsidP="00B3383B">
            <w:pPr>
              <w:pStyle w:val="DocText"/>
              <w:spacing w:before="0"/>
              <w:rPr>
                <w:rFonts w:cs="Arial"/>
                <w:szCs w:val="20"/>
              </w:rPr>
            </w:pPr>
            <w:r w:rsidRPr="00DE40EC">
              <w:rPr>
                <w:rFonts w:cs="Arial"/>
                <w:szCs w:val="20"/>
              </w:rPr>
              <w:t>James Robinson</w:t>
            </w:r>
          </w:p>
          <w:p w14:paraId="6BD03CD2" w14:textId="77777777" w:rsidR="00C34D6E" w:rsidRPr="00DE40EC" w:rsidRDefault="00C34D6E" w:rsidP="00B3383B">
            <w:pPr>
              <w:pStyle w:val="DocText"/>
              <w:spacing w:before="0"/>
              <w:rPr>
                <w:rFonts w:cs="Arial"/>
                <w:szCs w:val="20"/>
              </w:rPr>
            </w:pPr>
            <w:r w:rsidRPr="00DE40EC">
              <w:rPr>
                <w:rFonts w:cs="Arial"/>
                <w:szCs w:val="20"/>
              </w:rPr>
              <w:t>Chris Wood</w:t>
            </w:r>
          </w:p>
        </w:tc>
        <w:tc>
          <w:tcPr>
            <w:tcW w:w="2790" w:type="dxa"/>
          </w:tcPr>
          <w:p w14:paraId="2EBA2566" w14:textId="77777777" w:rsidR="00C34D6E" w:rsidRPr="00DE40EC" w:rsidRDefault="00C34D6E" w:rsidP="00B3383B">
            <w:pPr>
              <w:pStyle w:val="DocText"/>
              <w:spacing w:before="0"/>
              <w:rPr>
                <w:rFonts w:cs="Arial"/>
                <w:b/>
                <w:szCs w:val="20"/>
              </w:rPr>
            </w:pPr>
          </w:p>
        </w:tc>
      </w:tr>
      <w:tr w:rsidR="00C34D6E" w:rsidRPr="00DE40EC" w14:paraId="17F7C96F" w14:textId="77777777" w:rsidTr="00B3383B">
        <w:tc>
          <w:tcPr>
            <w:tcW w:w="6237" w:type="dxa"/>
          </w:tcPr>
          <w:p w14:paraId="5681B12D" w14:textId="77777777" w:rsidR="00C34D6E" w:rsidRPr="00DE40EC" w:rsidRDefault="00C34D6E" w:rsidP="00B3383B">
            <w:pPr>
              <w:pStyle w:val="DocText"/>
              <w:spacing w:before="0"/>
              <w:rPr>
                <w:rFonts w:cs="Arial"/>
                <w:szCs w:val="20"/>
              </w:rPr>
            </w:pPr>
          </w:p>
        </w:tc>
        <w:tc>
          <w:tcPr>
            <w:tcW w:w="2790" w:type="dxa"/>
          </w:tcPr>
          <w:p w14:paraId="4876FDEA" w14:textId="77777777" w:rsidR="00C34D6E" w:rsidRPr="00DE40EC" w:rsidRDefault="00C34D6E" w:rsidP="00B3383B">
            <w:pPr>
              <w:pStyle w:val="DocText"/>
              <w:spacing w:before="0"/>
              <w:rPr>
                <w:rFonts w:cs="Arial"/>
                <w:b/>
                <w:szCs w:val="20"/>
              </w:rPr>
            </w:pPr>
          </w:p>
        </w:tc>
      </w:tr>
      <w:tr w:rsidR="00C34D6E" w:rsidRPr="00DE40EC" w14:paraId="4EA65200" w14:textId="77777777" w:rsidTr="00B3383B">
        <w:tc>
          <w:tcPr>
            <w:tcW w:w="6237" w:type="dxa"/>
          </w:tcPr>
          <w:p w14:paraId="17F76F7C" w14:textId="77777777" w:rsidR="00C34D6E" w:rsidRPr="00DE40EC" w:rsidRDefault="00C34D6E" w:rsidP="00B3383B">
            <w:pPr>
              <w:pStyle w:val="DocText"/>
              <w:spacing w:before="0"/>
              <w:rPr>
                <w:rFonts w:cs="Arial"/>
                <w:b/>
                <w:szCs w:val="20"/>
              </w:rPr>
            </w:pPr>
            <w:r w:rsidRPr="00DE40EC">
              <w:rPr>
                <w:rFonts w:cs="Arial"/>
                <w:b/>
                <w:szCs w:val="20"/>
              </w:rPr>
              <w:t xml:space="preserve">Morgan Stanley &amp; Co International plc (Financial adviser to </w:t>
            </w:r>
            <w:r w:rsidR="00B43857">
              <w:rPr>
                <w:rFonts w:cs="Arial"/>
                <w:b/>
                <w:szCs w:val="20"/>
              </w:rPr>
              <w:t>Prosus</w:t>
            </w:r>
            <w:r w:rsidRPr="00DE40EC">
              <w:rPr>
                <w:rFonts w:cs="Arial"/>
                <w:b/>
                <w:szCs w:val="20"/>
              </w:rPr>
              <w:t xml:space="preserve"> and </w:t>
            </w:r>
            <w:r w:rsidR="00B43857">
              <w:rPr>
                <w:rFonts w:cs="Arial"/>
                <w:b/>
                <w:szCs w:val="20"/>
              </w:rPr>
              <w:t>MIH</w:t>
            </w:r>
            <w:r w:rsidRPr="00DE40EC">
              <w:rPr>
                <w:rFonts w:cs="Arial"/>
                <w:b/>
                <w:szCs w:val="20"/>
              </w:rPr>
              <w:t>)</w:t>
            </w:r>
          </w:p>
          <w:p w14:paraId="0A7C9874" w14:textId="77777777" w:rsidR="00C34D6E" w:rsidRPr="00DE40EC" w:rsidRDefault="00C34D6E" w:rsidP="00B3383B">
            <w:pPr>
              <w:pStyle w:val="DocText"/>
              <w:spacing w:before="0"/>
              <w:rPr>
                <w:rFonts w:cs="Arial"/>
                <w:szCs w:val="20"/>
              </w:rPr>
            </w:pPr>
            <w:r w:rsidRPr="00DE40EC">
              <w:rPr>
                <w:rFonts w:cs="Arial"/>
                <w:szCs w:val="20"/>
              </w:rPr>
              <w:t>Mark Rawlinson</w:t>
            </w:r>
          </w:p>
          <w:p w14:paraId="68F15AA7" w14:textId="77777777" w:rsidR="00C34D6E" w:rsidRPr="00DE40EC" w:rsidRDefault="00C34D6E" w:rsidP="00B3383B">
            <w:pPr>
              <w:pStyle w:val="DocText"/>
              <w:spacing w:before="0"/>
              <w:rPr>
                <w:rFonts w:cs="Arial"/>
                <w:szCs w:val="20"/>
              </w:rPr>
            </w:pPr>
            <w:r w:rsidRPr="00DE40EC">
              <w:rPr>
                <w:rFonts w:cs="Arial"/>
                <w:szCs w:val="20"/>
              </w:rPr>
              <w:t xml:space="preserve">Gergely </w:t>
            </w:r>
            <w:proofErr w:type="spellStart"/>
            <w:r w:rsidRPr="00DE40EC">
              <w:rPr>
                <w:rFonts w:cs="Arial"/>
                <w:szCs w:val="20"/>
              </w:rPr>
              <w:t>Voros</w:t>
            </w:r>
            <w:proofErr w:type="spellEnd"/>
          </w:p>
          <w:p w14:paraId="0E2FA192" w14:textId="77777777" w:rsidR="00C34D6E" w:rsidRPr="00DE40EC" w:rsidRDefault="00C34D6E" w:rsidP="00B3383B">
            <w:pPr>
              <w:pStyle w:val="DocText"/>
              <w:spacing w:before="0"/>
              <w:rPr>
                <w:rFonts w:cs="Arial"/>
                <w:szCs w:val="20"/>
              </w:rPr>
            </w:pPr>
            <w:r w:rsidRPr="00DE40EC">
              <w:rPr>
                <w:rFonts w:cs="Arial"/>
                <w:szCs w:val="20"/>
              </w:rPr>
              <w:t>Enrique Perez-Hernandez</w:t>
            </w:r>
          </w:p>
          <w:p w14:paraId="54561CE7" w14:textId="77777777" w:rsidR="00C34D6E" w:rsidRPr="00DE40EC" w:rsidRDefault="00C34D6E" w:rsidP="00B3383B">
            <w:pPr>
              <w:pStyle w:val="DocText"/>
              <w:spacing w:before="0"/>
              <w:rPr>
                <w:rFonts w:cs="Arial"/>
                <w:szCs w:val="20"/>
              </w:rPr>
            </w:pPr>
            <w:r w:rsidRPr="00DE40EC">
              <w:rPr>
                <w:rFonts w:cs="Arial"/>
                <w:szCs w:val="20"/>
              </w:rPr>
              <w:t>Laurence Hopkins</w:t>
            </w:r>
          </w:p>
          <w:p w14:paraId="069FB2F9" w14:textId="77777777" w:rsidR="00C34D6E" w:rsidRPr="00DE40EC" w:rsidRDefault="00C34D6E" w:rsidP="00B3383B">
            <w:pPr>
              <w:pStyle w:val="DocText"/>
              <w:spacing w:before="0"/>
              <w:rPr>
                <w:rFonts w:cs="Arial"/>
                <w:szCs w:val="20"/>
              </w:rPr>
            </w:pPr>
            <w:r w:rsidRPr="00DE40EC">
              <w:rPr>
                <w:rFonts w:cs="Arial"/>
                <w:szCs w:val="20"/>
              </w:rPr>
              <w:t xml:space="preserve">Ben </w:t>
            </w:r>
            <w:proofErr w:type="spellStart"/>
            <w:r w:rsidRPr="00DE40EC">
              <w:rPr>
                <w:rFonts w:cs="Arial"/>
                <w:szCs w:val="20"/>
              </w:rPr>
              <w:t>Grindley</w:t>
            </w:r>
            <w:proofErr w:type="spellEnd"/>
          </w:p>
        </w:tc>
        <w:tc>
          <w:tcPr>
            <w:tcW w:w="2790" w:type="dxa"/>
          </w:tcPr>
          <w:p w14:paraId="37A1A0E5" w14:textId="77777777" w:rsidR="00C34D6E" w:rsidRPr="00DE40EC" w:rsidRDefault="00C34D6E" w:rsidP="00B3383B">
            <w:pPr>
              <w:pStyle w:val="DocText"/>
              <w:spacing w:before="0"/>
              <w:rPr>
                <w:rFonts w:cs="Arial"/>
                <w:b/>
                <w:szCs w:val="20"/>
              </w:rPr>
            </w:pPr>
            <w:r w:rsidRPr="00DE40EC">
              <w:rPr>
                <w:rFonts w:cs="Arial"/>
                <w:b/>
                <w:szCs w:val="20"/>
              </w:rPr>
              <w:t>+44 207 425 8000</w:t>
            </w:r>
          </w:p>
        </w:tc>
      </w:tr>
      <w:tr w:rsidR="00C34D6E" w:rsidRPr="00DE40EC" w14:paraId="345C159D" w14:textId="77777777" w:rsidTr="00B3383B">
        <w:tc>
          <w:tcPr>
            <w:tcW w:w="6237" w:type="dxa"/>
          </w:tcPr>
          <w:p w14:paraId="5DA4978D" w14:textId="77777777" w:rsidR="00C34D6E" w:rsidRPr="00DE40EC" w:rsidRDefault="00C34D6E" w:rsidP="00B3383B">
            <w:pPr>
              <w:pStyle w:val="DocText"/>
              <w:spacing w:before="0"/>
              <w:rPr>
                <w:rFonts w:cs="Arial"/>
                <w:b/>
                <w:szCs w:val="20"/>
              </w:rPr>
            </w:pPr>
          </w:p>
        </w:tc>
        <w:tc>
          <w:tcPr>
            <w:tcW w:w="2790" w:type="dxa"/>
          </w:tcPr>
          <w:p w14:paraId="0E56D5FD" w14:textId="77777777" w:rsidR="00C34D6E" w:rsidRPr="00DE40EC" w:rsidRDefault="00C34D6E" w:rsidP="00B3383B">
            <w:pPr>
              <w:pStyle w:val="DocText"/>
              <w:spacing w:before="0"/>
              <w:rPr>
                <w:rFonts w:cs="Arial"/>
                <w:b/>
                <w:szCs w:val="20"/>
              </w:rPr>
            </w:pPr>
          </w:p>
        </w:tc>
      </w:tr>
      <w:tr w:rsidR="00C34D6E" w:rsidRPr="00DE40EC" w14:paraId="08B8AA65" w14:textId="77777777" w:rsidTr="00B3383B">
        <w:tc>
          <w:tcPr>
            <w:tcW w:w="6237" w:type="dxa"/>
            <w:hideMark/>
          </w:tcPr>
          <w:p w14:paraId="4BB6058C" w14:textId="77777777" w:rsidR="00C34D6E" w:rsidRPr="00DE40EC" w:rsidRDefault="00C34D6E" w:rsidP="00B3383B">
            <w:pPr>
              <w:pStyle w:val="DocText"/>
              <w:spacing w:before="0"/>
              <w:rPr>
                <w:rFonts w:cs="Arial"/>
                <w:szCs w:val="20"/>
              </w:rPr>
            </w:pPr>
            <w:r w:rsidRPr="00DE40EC">
              <w:rPr>
                <w:rFonts w:cs="Arial"/>
                <w:b/>
                <w:szCs w:val="20"/>
              </w:rPr>
              <w:t xml:space="preserve">Finsbury (PR adviser to </w:t>
            </w:r>
            <w:r w:rsidR="00B43857">
              <w:rPr>
                <w:rFonts w:cs="Arial"/>
                <w:b/>
                <w:szCs w:val="20"/>
              </w:rPr>
              <w:t>Prosus</w:t>
            </w:r>
            <w:r w:rsidRPr="00DE40EC">
              <w:rPr>
                <w:rFonts w:cs="Arial"/>
                <w:b/>
                <w:szCs w:val="20"/>
              </w:rPr>
              <w:t>)</w:t>
            </w:r>
          </w:p>
        </w:tc>
        <w:tc>
          <w:tcPr>
            <w:tcW w:w="2790" w:type="dxa"/>
            <w:hideMark/>
          </w:tcPr>
          <w:p w14:paraId="20FF99B6" w14:textId="77777777" w:rsidR="00C34D6E" w:rsidRPr="00DE40EC" w:rsidRDefault="00C34D6E" w:rsidP="00B3383B">
            <w:pPr>
              <w:pStyle w:val="DocText"/>
              <w:spacing w:before="0"/>
              <w:rPr>
                <w:rFonts w:cs="Arial"/>
                <w:b/>
                <w:szCs w:val="20"/>
              </w:rPr>
            </w:pPr>
            <w:r w:rsidRPr="00DE40EC">
              <w:rPr>
                <w:rFonts w:cs="Arial"/>
                <w:b/>
                <w:szCs w:val="20"/>
              </w:rPr>
              <w:t>+44 207 251 3801</w:t>
            </w:r>
          </w:p>
        </w:tc>
      </w:tr>
      <w:tr w:rsidR="00C34D6E" w:rsidRPr="00DE40EC" w14:paraId="200EFFCC" w14:textId="77777777" w:rsidTr="00B3383B">
        <w:tc>
          <w:tcPr>
            <w:tcW w:w="6237" w:type="dxa"/>
            <w:hideMark/>
          </w:tcPr>
          <w:p w14:paraId="2F6D9EE9" w14:textId="77777777" w:rsidR="00C34D6E" w:rsidRPr="00DE40EC" w:rsidRDefault="00C34D6E" w:rsidP="00B3383B">
            <w:pPr>
              <w:pStyle w:val="DocText"/>
              <w:spacing w:before="0"/>
              <w:rPr>
                <w:rFonts w:cs="Arial"/>
                <w:b/>
                <w:szCs w:val="20"/>
              </w:rPr>
            </w:pPr>
            <w:r w:rsidRPr="00DE40EC">
              <w:rPr>
                <w:rFonts w:cs="Arial"/>
                <w:szCs w:val="20"/>
              </w:rPr>
              <w:t>Rollo Head</w:t>
            </w:r>
          </w:p>
        </w:tc>
        <w:tc>
          <w:tcPr>
            <w:tcW w:w="2790" w:type="dxa"/>
          </w:tcPr>
          <w:p w14:paraId="1B762FA8" w14:textId="77777777" w:rsidR="00C34D6E" w:rsidRPr="00DE40EC" w:rsidRDefault="00C34D6E" w:rsidP="00B3383B">
            <w:pPr>
              <w:pStyle w:val="DocText"/>
              <w:spacing w:before="0"/>
              <w:rPr>
                <w:rFonts w:cs="Arial"/>
                <w:b/>
                <w:szCs w:val="20"/>
              </w:rPr>
            </w:pPr>
          </w:p>
        </w:tc>
      </w:tr>
      <w:tr w:rsidR="00C34D6E" w:rsidRPr="00DE40EC" w14:paraId="0DBEEE79" w14:textId="77777777" w:rsidTr="00B3383B">
        <w:tc>
          <w:tcPr>
            <w:tcW w:w="6237" w:type="dxa"/>
            <w:hideMark/>
          </w:tcPr>
          <w:p w14:paraId="7A77FEB0" w14:textId="77777777" w:rsidR="00C34D6E" w:rsidRPr="00DE40EC" w:rsidRDefault="00C34D6E" w:rsidP="00B3383B">
            <w:pPr>
              <w:pStyle w:val="DocText"/>
              <w:spacing w:before="0"/>
              <w:rPr>
                <w:rFonts w:cs="Arial"/>
                <w:b/>
                <w:szCs w:val="20"/>
              </w:rPr>
            </w:pPr>
            <w:r w:rsidRPr="00DE40EC">
              <w:rPr>
                <w:rFonts w:cs="Arial"/>
                <w:szCs w:val="20"/>
              </w:rPr>
              <w:t>Guy Lamming</w:t>
            </w:r>
          </w:p>
        </w:tc>
        <w:tc>
          <w:tcPr>
            <w:tcW w:w="2790" w:type="dxa"/>
          </w:tcPr>
          <w:p w14:paraId="68728E03" w14:textId="77777777" w:rsidR="00C34D6E" w:rsidRPr="00DE40EC" w:rsidRDefault="00C34D6E" w:rsidP="00B3383B">
            <w:pPr>
              <w:pStyle w:val="DocText"/>
              <w:spacing w:before="0"/>
              <w:rPr>
                <w:rFonts w:cs="Arial"/>
                <w:b/>
                <w:szCs w:val="20"/>
              </w:rPr>
            </w:pPr>
          </w:p>
        </w:tc>
      </w:tr>
    </w:tbl>
    <w:p w14:paraId="70CF4237" w14:textId="77777777" w:rsidR="00C34D6E" w:rsidRPr="00DE56E6" w:rsidRDefault="00C34D6E" w:rsidP="00DE56E6">
      <w:pPr>
        <w:pStyle w:val="DocText"/>
        <w:rPr>
          <w:rFonts w:cs="Arial"/>
          <w:b/>
          <w:i/>
          <w:szCs w:val="20"/>
        </w:rPr>
      </w:pPr>
      <w:r w:rsidRPr="00DE40EC">
        <w:rPr>
          <w:rFonts w:cs="Arial"/>
          <w:szCs w:val="20"/>
        </w:rPr>
        <w:t xml:space="preserve">Allen &amp; Overy LLP is retained as legal adviser to </w:t>
      </w:r>
      <w:r w:rsidR="00B43857">
        <w:rPr>
          <w:rFonts w:cs="Arial"/>
          <w:szCs w:val="20"/>
        </w:rPr>
        <w:t>Prosus</w:t>
      </w:r>
      <w:r w:rsidRPr="00DE40EC">
        <w:rPr>
          <w:rFonts w:cs="Arial"/>
          <w:szCs w:val="20"/>
        </w:rPr>
        <w:t xml:space="preserve"> and </w:t>
      </w:r>
      <w:r w:rsidR="00B43857">
        <w:rPr>
          <w:rFonts w:cs="Arial"/>
          <w:szCs w:val="20"/>
        </w:rPr>
        <w:t>MIH</w:t>
      </w:r>
      <w:r w:rsidRPr="00DE40EC">
        <w:rPr>
          <w:rFonts w:cs="Arial"/>
          <w:szCs w:val="20"/>
        </w:rPr>
        <w:t xml:space="preserve">.  </w:t>
      </w:r>
    </w:p>
    <w:p w14:paraId="6A4FE047" w14:textId="77777777" w:rsidR="00B3383B" w:rsidRDefault="00B3383B" w:rsidP="00B3383B">
      <w:pPr>
        <w:pStyle w:val="DocText"/>
        <w:spacing w:before="0" w:line="240" w:lineRule="auto"/>
        <w:rPr>
          <w:lang w:val="en-ZA"/>
        </w:rPr>
      </w:pPr>
    </w:p>
    <w:p w14:paraId="529025C2" w14:textId="47D24FE5" w:rsidR="00B3383B" w:rsidRDefault="00B3383B" w:rsidP="00B3383B">
      <w:pPr>
        <w:pStyle w:val="DocText"/>
        <w:spacing w:before="0" w:line="240" w:lineRule="auto"/>
        <w:rPr>
          <w:lang w:val="en-ZA"/>
        </w:rPr>
      </w:pPr>
      <w:r>
        <w:rPr>
          <w:lang w:val="en-ZA"/>
        </w:rPr>
        <w:t>JSE sponsor: Investec Bank Limited</w:t>
      </w:r>
    </w:p>
    <w:p w14:paraId="7F057810" w14:textId="77777777" w:rsidR="00B3383B" w:rsidRDefault="00B3383B" w:rsidP="00B3383B">
      <w:pPr>
        <w:pStyle w:val="DocText"/>
        <w:spacing w:before="0" w:line="240" w:lineRule="auto"/>
        <w:rPr>
          <w:lang w:val="en-ZA"/>
        </w:rPr>
      </w:pPr>
    </w:p>
    <w:p w14:paraId="01AE31E1" w14:textId="77777777" w:rsidR="00B3383B" w:rsidRDefault="00B3383B" w:rsidP="00B3383B">
      <w:pPr>
        <w:pStyle w:val="DocText"/>
        <w:spacing w:before="0" w:line="240" w:lineRule="auto"/>
        <w:rPr>
          <w:lang w:val="en-ZA"/>
        </w:rPr>
      </w:pPr>
    </w:p>
    <w:p w14:paraId="0FDBEFEE" w14:textId="155BE6B4" w:rsidR="00B3383B" w:rsidRDefault="00B3383B" w:rsidP="00B3383B">
      <w:pPr>
        <w:pStyle w:val="DocText"/>
        <w:spacing w:before="0" w:line="240" w:lineRule="auto"/>
        <w:rPr>
          <w:lang w:val="en-ZA"/>
        </w:rPr>
      </w:pPr>
      <w:r>
        <w:rPr>
          <w:lang w:val="en-ZA"/>
        </w:rPr>
        <w:t>10 January 2020</w:t>
      </w:r>
    </w:p>
    <w:p w14:paraId="03904984" w14:textId="5BD65394" w:rsidR="00B3383B" w:rsidRPr="001A7AC3" w:rsidRDefault="00B3383B" w:rsidP="00B3383B">
      <w:pPr>
        <w:pStyle w:val="DocText"/>
        <w:spacing w:before="0" w:line="240" w:lineRule="auto"/>
        <w:rPr>
          <w:lang w:val="en-ZA"/>
        </w:rPr>
      </w:pPr>
      <w:r>
        <w:rPr>
          <w:lang w:val="en-ZA"/>
        </w:rPr>
        <w:t>Amsterdam, the Netherlands</w:t>
      </w:r>
    </w:p>
    <w:p w14:paraId="5A2C22E7" w14:textId="77777777" w:rsidR="00C34D6E" w:rsidRPr="00DE40EC" w:rsidRDefault="00C34D6E" w:rsidP="00C34D6E">
      <w:pPr>
        <w:pStyle w:val="DocText"/>
        <w:rPr>
          <w:rFonts w:cs="Arial"/>
          <w:b/>
          <w:i/>
          <w:szCs w:val="20"/>
        </w:rPr>
      </w:pPr>
      <w:r w:rsidRPr="00DE40EC">
        <w:rPr>
          <w:rFonts w:cs="Arial"/>
          <w:b/>
          <w:i/>
          <w:szCs w:val="20"/>
        </w:rPr>
        <w:t>Important notice related to financial advisers</w:t>
      </w:r>
    </w:p>
    <w:p w14:paraId="6A43D98C" w14:textId="77777777" w:rsidR="00C34D6E" w:rsidRPr="00DE40EC" w:rsidRDefault="00C34D6E" w:rsidP="00C34D6E">
      <w:pPr>
        <w:pStyle w:val="DocText"/>
        <w:rPr>
          <w:rFonts w:cs="Arial"/>
          <w:i/>
          <w:szCs w:val="20"/>
        </w:rPr>
      </w:pPr>
      <w:r w:rsidRPr="00DE40EC">
        <w:rPr>
          <w:rFonts w:cs="Arial"/>
          <w:i/>
          <w:szCs w:val="20"/>
          <w:lang w:eastAsia="zh-TW"/>
        </w:rPr>
        <w:t>J.P. Morgan Securities plc, which conducts its UK investment banking business as J.P. Morgan Cazenove (</w:t>
      </w:r>
      <w:r w:rsidRPr="00DE40EC">
        <w:rPr>
          <w:rFonts w:cs="Arial"/>
          <w:b/>
          <w:i/>
          <w:szCs w:val="20"/>
          <w:lang w:eastAsia="zh-TW"/>
        </w:rPr>
        <w:t>J.P. Morgan Cazenove</w:t>
      </w:r>
      <w:r w:rsidRPr="00DE40EC">
        <w:rPr>
          <w:rFonts w:cs="Arial"/>
          <w:i/>
          <w:szCs w:val="20"/>
          <w:lang w:eastAsia="zh-TW"/>
        </w:rPr>
        <w:t>)</w:t>
      </w:r>
      <w:r w:rsidRPr="00DE40EC">
        <w:rPr>
          <w:rFonts w:cs="Arial"/>
          <w:i/>
          <w:szCs w:val="20"/>
        </w:rPr>
        <w:t xml:space="preserve"> and which is authorised by the PRA and regulated by the FCA and the PRA in the United Kingdom, is acting as financial adviser exclusively for </w:t>
      </w:r>
      <w:r w:rsidR="00B43857">
        <w:rPr>
          <w:rFonts w:cs="Arial"/>
          <w:i/>
          <w:szCs w:val="20"/>
          <w:lang w:eastAsia="zh-TW"/>
        </w:rPr>
        <w:t>Prosus</w:t>
      </w:r>
      <w:r w:rsidRPr="00DE40EC">
        <w:rPr>
          <w:rFonts w:cs="Arial"/>
          <w:i/>
          <w:szCs w:val="20"/>
          <w:lang w:eastAsia="zh-TW"/>
        </w:rPr>
        <w:t xml:space="preserve"> and </w:t>
      </w:r>
      <w:r w:rsidR="00B43857">
        <w:rPr>
          <w:rFonts w:cs="Arial"/>
          <w:i/>
          <w:szCs w:val="20"/>
          <w:lang w:eastAsia="zh-TW"/>
        </w:rPr>
        <w:t>MIH</w:t>
      </w:r>
      <w:r w:rsidRPr="00DE40EC">
        <w:rPr>
          <w:rFonts w:cs="Arial"/>
          <w:bCs/>
          <w:i/>
          <w:szCs w:val="20"/>
        </w:rPr>
        <w:t xml:space="preserve"> </w:t>
      </w:r>
      <w:r w:rsidRPr="00DE40EC">
        <w:rPr>
          <w:rFonts w:cs="Arial"/>
          <w:i/>
          <w:szCs w:val="20"/>
        </w:rPr>
        <w:t>and no one else in connection with the</w:t>
      </w:r>
      <w:r>
        <w:rPr>
          <w:rFonts w:cs="Arial"/>
          <w:i/>
          <w:szCs w:val="20"/>
        </w:rPr>
        <w:t xml:space="preserve"> Final Increased </w:t>
      </w:r>
      <w:r w:rsidRPr="00DE40EC">
        <w:rPr>
          <w:rFonts w:cs="Arial"/>
          <w:i/>
          <w:szCs w:val="20"/>
        </w:rPr>
        <w:t>Offer and will not regard any other person as its client in relation to the</w:t>
      </w:r>
      <w:r>
        <w:rPr>
          <w:rFonts w:cs="Arial"/>
          <w:i/>
          <w:szCs w:val="20"/>
        </w:rPr>
        <w:t xml:space="preserve"> Final</w:t>
      </w:r>
      <w:r w:rsidRPr="00DE40EC">
        <w:rPr>
          <w:rFonts w:cs="Arial"/>
          <w:i/>
          <w:szCs w:val="20"/>
        </w:rPr>
        <w:t xml:space="preserve"> </w:t>
      </w:r>
      <w:r>
        <w:rPr>
          <w:rFonts w:cs="Arial"/>
          <w:i/>
          <w:szCs w:val="20"/>
        </w:rPr>
        <w:t xml:space="preserve">Increased </w:t>
      </w:r>
      <w:r w:rsidRPr="00DE40EC">
        <w:rPr>
          <w:rFonts w:cs="Arial"/>
          <w:i/>
          <w:szCs w:val="20"/>
        </w:rPr>
        <w:t xml:space="preserve">Offer and shall not be responsible to anyone other than </w:t>
      </w:r>
      <w:r w:rsidR="00B43857">
        <w:rPr>
          <w:rFonts w:cs="Arial"/>
          <w:i/>
          <w:szCs w:val="20"/>
        </w:rPr>
        <w:t>Prosus</w:t>
      </w:r>
      <w:r w:rsidRPr="00DE40EC">
        <w:rPr>
          <w:rFonts w:cs="Arial"/>
          <w:i/>
          <w:szCs w:val="20"/>
        </w:rPr>
        <w:t xml:space="preserve"> or </w:t>
      </w:r>
      <w:r w:rsidR="00B43857">
        <w:rPr>
          <w:rFonts w:cs="Arial"/>
          <w:i/>
          <w:szCs w:val="20"/>
        </w:rPr>
        <w:t>MIH</w:t>
      </w:r>
      <w:r w:rsidRPr="00DE40EC">
        <w:rPr>
          <w:rFonts w:cs="Arial"/>
          <w:i/>
          <w:szCs w:val="20"/>
        </w:rPr>
        <w:t xml:space="preserve"> for providing the protections afforded to clients of J.P. Morgan Cazenove, or for providing advice in relation to th</w:t>
      </w:r>
      <w:r>
        <w:rPr>
          <w:rFonts w:cs="Arial"/>
          <w:i/>
          <w:szCs w:val="20"/>
        </w:rPr>
        <w:t>e Final</w:t>
      </w:r>
      <w:r w:rsidRPr="00DE40EC">
        <w:rPr>
          <w:rFonts w:cs="Arial"/>
          <w:i/>
          <w:szCs w:val="20"/>
        </w:rPr>
        <w:t xml:space="preserve"> </w:t>
      </w:r>
      <w:r>
        <w:rPr>
          <w:rFonts w:cs="Arial"/>
          <w:i/>
          <w:szCs w:val="20"/>
        </w:rPr>
        <w:t>Increased</w:t>
      </w:r>
      <w:r w:rsidRPr="00DE40EC">
        <w:rPr>
          <w:rFonts w:cs="Arial"/>
          <w:i/>
          <w:szCs w:val="20"/>
        </w:rPr>
        <w:t xml:space="preserve"> Offer or any matter referred to in </w:t>
      </w:r>
      <w:r>
        <w:rPr>
          <w:rFonts w:cs="Arial"/>
          <w:i/>
          <w:szCs w:val="20"/>
        </w:rPr>
        <w:t>this announcement</w:t>
      </w:r>
      <w:r w:rsidRPr="00DE40EC">
        <w:rPr>
          <w:rFonts w:cs="Arial"/>
          <w:i/>
          <w:szCs w:val="20"/>
        </w:rPr>
        <w:t xml:space="preserve">. Neither J.P. Morgan Cazenove nor any of its affiliates owes or accepts any duty, liability or responsibility whatsoever (whether direct or indirect, whether in contract, in tort, in delict, under statute or otherwise) to any person who is not a client of J.P. Morgan </w:t>
      </w:r>
      <w:r w:rsidRPr="00DE40EC">
        <w:rPr>
          <w:rFonts w:cs="Arial"/>
          <w:i/>
          <w:szCs w:val="20"/>
        </w:rPr>
        <w:lastRenderedPageBreak/>
        <w:t xml:space="preserve">Cazenove in connection with </w:t>
      </w:r>
      <w:r>
        <w:rPr>
          <w:rFonts w:cs="Arial"/>
          <w:i/>
          <w:szCs w:val="20"/>
        </w:rPr>
        <w:t>this announcement</w:t>
      </w:r>
      <w:r w:rsidRPr="00DE40EC">
        <w:rPr>
          <w:rFonts w:cs="Arial"/>
          <w:i/>
          <w:szCs w:val="20"/>
        </w:rPr>
        <w:t xml:space="preserve">, any statement contained herein, the </w:t>
      </w:r>
      <w:r>
        <w:rPr>
          <w:rFonts w:cs="Arial"/>
          <w:i/>
          <w:szCs w:val="20"/>
        </w:rPr>
        <w:t>Final</w:t>
      </w:r>
      <w:r w:rsidRPr="00DE40EC">
        <w:rPr>
          <w:rFonts w:cs="Arial"/>
          <w:i/>
          <w:szCs w:val="20"/>
        </w:rPr>
        <w:t xml:space="preserve"> </w:t>
      </w:r>
      <w:r>
        <w:rPr>
          <w:rFonts w:cs="Arial"/>
          <w:i/>
          <w:szCs w:val="20"/>
        </w:rPr>
        <w:t xml:space="preserve">Increased </w:t>
      </w:r>
      <w:r w:rsidRPr="00DE40EC">
        <w:rPr>
          <w:rFonts w:cs="Arial"/>
          <w:i/>
          <w:szCs w:val="20"/>
        </w:rPr>
        <w:t>Offer or otherwise.</w:t>
      </w:r>
    </w:p>
    <w:p w14:paraId="47FDC3B3" w14:textId="77777777" w:rsidR="00C34D6E" w:rsidRPr="00A30C2E" w:rsidRDefault="00C34D6E" w:rsidP="00C34D6E">
      <w:pPr>
        <w:pStyle w:val="DocText"/>
        <w:rPr>
          <w:rFonts w:cs="Arial"/>
          <w:b/>
          <w:i/>
          <w:szCs w:val="20"/>
        </w:rPr>
      </w:pPr>
      <w:r w:rsidRPr="00DE40EC">
        <w:rPr>
          <w:rFonts w:cs="Arial"/>
          <w:i/>
          <w:szCs w:val="20"/>
        </w:rPr>
        <w:t>Morgan Stanley &amp; Co. International plc (</w:t>
      </w:r>
      <w:r w:rsidRPr="00DE40EC">
        <w:rPr>
          <w:rFonts w:cs="Arial"/>
          <w:b/>
          <w:i/>
          <w:szCs w:val="20"/>
        </w:rPr>
        <w:t>Morgan Stanley</w:t>
      </w:r>
      <w:r w:rsidRPr="00DE40EC">
        <w:rPr>
          <w:rFonts w:cs="Arial"/>
          <w:i/>
          <w:szCs w:val="20"/>
        </w:rPr>
        <w:t xml:space="preserve">), which is authorised by the PRA and regulated by the FCA and the PRA in the United Kingdom, is acting as financial adviser exclusively for </w:t>
      </w:r>
      <w:r w:rsidR="00B43857">
        <w:rPr>
          <w:rFonts w:cs="Arial"/>
          <w:i/>
          <w:szCs w:val="20"/>
        </w:rPr>
        <w:t>Prosus</w:t>
      </w:r>
      <w:r w:rsidRPr="00DE40EC">
        <w:rPr>
          <w:rFonts w:cs="Arial"/>
          <w:i/>
          <w:szCs w:val="20"/>
        </w:rPr>
        <w:t xml:space="preserve"> and </w:t>
      </w:r>
      <w:r w:rsidR="00B43857">
        <w:rPr>
          <w:rFonts w:cs="Arial"/>
          <w:i/>
          <w:szCs w:val="20"/>
        </w:rPr>
        <w:t>MIH</w:t>
      </w:r>
      <w:r w:rsidRPr="00DE40EC">
        <w:rPr>
          <w:rFonts w:cs="Arial"/>
          <w:i/>
          <w:szCs w:val="20"/>
        </w:rPr>
        <w:t xml:space="preserve"> and no one else in connection with the matters set out in this </w:t>
      </w:r>
      <w:r>
        <w:rPr>
          <w:rFonts w:cs="Arial"/>
          <w:i/>
          <w:szCs w:val="20"/>
        </w:rPr>
        <w:t xml:space="preserve">Increased </w:t>
      </w:r>
      <w:r w:rsidRPr="00DE40EC">
        <w:rPr>
          <w:rFonts w:cs="Arial"/>
          <w:i/>
          <w:szCs w:val="20"/>
        </w:rPr>
        <w:t xml:space="preserve">Offer. In connection with such matters, Morgan Stanley, its affiliates and their respective directors, officers, employees and agents will not regard any other person as their client, nor will they be responsible to any other person for providing the protections afforded to their clients or for providing advice in connection with the contents of this </w:t>
      </w:r>
      <w:r>
        <w:rPr>
          <w:rFonts w:cs="Arial"/>
          <w:i/>
          <w:szCs w:val="20"/>
        </w:rPr>
        <w:t xml:space="preserve">Final Increased </w:t>
      </w:r>
      <w:r w:rsidRPr="00DE40EC">
        <w:rPr>
          <w:rFonts w:cs="Arial"/>
          <w:i/>
          <w:szCs w:val="20"/>
        </w:rPr>
        <w:t>Offer or any other matter referred to herein.</w:t>
      </w:r>
      <w:r w:rsidRPr="00DE40EC" w:rsidDel="0028519A">
        <w:rPr>
          <w:rFonts w:cs="Arial"/>
          <w:i/>
          <w:szCs w:val="20"/>
        </w:rPr>
        <w:t xml:space="preserve"> </w:t>
      </w:r>
    </w:p>
    <w:p w14:paraId="6D497CD2" w14:textId="77777777" w:rsidR="00C34D6E" w:rsidRPr="00DE40EC" w:rsidRDefault="00C34D6E" w:rsidP="00C34D6E">
      <w:pPr>
        <w:pStyle w:val="DocText"/>
        <w:numPr>
          <w:ilvl w:val="0"/>
          <w:numId w:val="0"/>
        </w:numPr>
        <w:rPr>
          <w:rFonts w:cs="Arial"/>
          <w:b/>
          <w:i/>
          <w:szCs w:val="20"/>
        </w:rPr>
      </w:pPr>
      <w:r w:rsidRPr="00DE40EC">
        <w:rPr>
          <w:rFonts w:cs="Arial"/>
          <w:b/>
          <w:i/>
          <w:szCs w:val="20"/>
        </w:rPr>
        <w:t>Further information</w:t>
      </w:r>
    </w:p>
    <w:p w14:paraId="3746797A" w14:textId="77777777" w:rsidR="00C34D6E" w:rsidRPr="00DE40EC" w:rsidRDefault="00C34D6E" w:rsidP="00C34D6E">
      <w:pPr>
        <w:pStyle w:val="DocText"/>
        <w:rPr>
          <w:rFonts w:cs="Arial"/>
          <w:i/>
          <w:szCs w:val="20"/>
        </w:rPr>
      </w:pPr>
      <w:r w:rsidRPr="00DE40EC">
        <w:rPr>
          <w:rFonts w:cs="Arial"/>
          <w:i/>
          <w:szCs w:val="20"/>
        </w:rPr>
        <w:t xml:space="preserve">This </w:t>
      </w:r>
      <w:r>
        <w:rPr>
          <w:rFonts w:cs="Arial"/>
          <w:i/>
          <w:szCs w:val="20"/>
        </w:rPr>
        <w:t>a</w:t>
      </w:r>
      <w:r w:rsidRPr="00DE40EC">
        <w:rPr>
          <w:rFonts w:cs="Arial"/>
          <w:i/>
          <w:szCs w:val="20"/>
        </w:rPr>
        <w:t>nnouncement is provided for information purposes only. It is not intended to and does not constitute or form part of, an offer, invitation, inducement or the solicitation of an offer to purchase, otherwise acquire, subscribe for, exchange, sell or otherwise dispose of or exercise rights in respect of any securities, or the solicitation of any vote or approval of an offer to buy securities in any jurisdiction, pursuant to the</w:t>
      </w:r>
      <w:r>
        <w:rPr>
          <w:rFonts w:cs="Arial"/>
          <w:i/>
          <w:szCs w:val="20"/>
        </w:rPr>
        <w:t xml:space="preserve"> Final</w:t>
      </w:r>
      <w:r w:rsidRPr="00DE40EC">
        <w:rPr>
          <w:rFonts w:cs="Arial"/>
          <w:i/>
          <w:szCs w:val="20"/>
        </w:rPr>
        <w:t xml:space="preserve"> </w:t>
      </w:r>
      <w:r>
        <w:rPr>
          <w:rFonts w:cs="Arial"/>
          <w:i/>
          <w:szCs w:val="20"/>
        </w:rPr>
        <w:t>Increased</w:t>
      </w:r>
      <w:r w:rsidRPr="00DE40EC">
        <w:rPr>
          <w:rFonts w:cs="Arial"/>
          <w:i/>
          <w:szCs w:val="20"/>
        </w:rPr>
        <w:t xml:space="preserve"> Offer</w:t>
      </w:r>
      <w:r>
        <w:rPr>
          <w:rFonts w:cs="Arial"/>
          <w:i/>
          <w:szCs w:val="20"/>
        </w:rPr>
        <w:t xml:space="preserve"> </w:t>
      </w:r>
      <w:r w:rsidRPr="00DE40EC">
        <w:rPr>
          <w:rFonts w:cs="Arial"/>
          <w:i/>
          <w:szCs w:val="20"/>
        </w:rPr>
        <w:t>or otherwise nor shall there be any sale, issuance or transfer of any securities pursuant to the</w:t>
      </w:r>
      <w:r>
        <w:rPr>
          <w:rFonts w:cs="Arial"/>
          <w:i/>
          <w:szCs w:val="20"/>
        </w:rPr>
        <w:t xml:space="preserve"> Final</w:t>
      </w:r>
      <w:r w:rsidRPr="00DE40EC">
        <w:rPr>
          <w:rFonts w:cs="Arial"/>
          <w:i/>
          <w:szCs w:val="20"/>
        </w:rPr>
        <w:t xml:space="preserve"> </w:t>
      </w:r>
      <w:r>
        <w:rPr>
          <w:rFonts w:cs="Arial"/>
          <w:i/>
          <w:szCs w:val="20"/>
        </w:rPr>
        <w:t>Increased</w:t>
      </w:r>
      <w:r w:rsidRPr="00DE40EC">
        <w:rPr>
          <w:rFonts w:cs="Arial"/>
          <w:i/>
          <w:szCs w:val="20"/>
        </w:rPr>
        <w:t xml:space="preserve"> Offer in any jurisdiction in contravention of any applicable laws.</w:t>
      </w:r>
    </w:p>
    <w:p w14:paraId="25AF1A75" w14:textId="77777777" w:rsidR="00C34D6E" w:rsidRPr="00DE40EC" w:rsidRDefault="00C34D6E" w:rsidP="00C34D6E">
      <w:pPr>
        <w:spacing w:before="240" w:line="260" w:lineRule="atLeast"/>
        <w:rPr>
          <w:rFonts w:ascii="Arial" w:hAnsi="Arial" w:cs="Arial"/>
          <w:i/>
          <w:sz w:val="20"/>
          <w:szCs w:val="20"/>
        </w:rPr>
      </w:pPr>
      <w:r w:rsidRPr="00DE40EC">
        <w:rPr>
          <w:rFonts w:ascii="Arial" w:hAnsi="Arial" w:cs="Arial"/>
          <w:i/>
          <w:sz w:val="20"/>
          <w:szCs w:val="20"/>
        </w:rPr>
        <w:t xml:space="preserve">This </w:t>
      </w:r>
      <w:r>
        <w:rPr>
          <w:rFonts w:ascii="Arial" w:hAnsi="Arial" w:cs="Arial"/>
          <w:i/>
          <w:sz w:val="20"/>
          <w:szCs w:val="20"/>
        </w:rPr>
        <w:t>a</w:t>
      </w:r>
      <w:r w:rsidRPr="00DE40EC">
        <w:rPr>
          <w:rFonts w:ascii="Arial" w:hAnsi="Arial" w:cs="Arial"/>
          <w:i/>
          <w:sz w:val="20"/>
          <w:szCs w:val="20"/>
        </w:rPr>
        <w:t xml:space="preserve">nnouncement has been prepared for the purpose of complying with English law and the City Code, the Market Abuse Regulation and the Disclosure Guidance and Transparency Rules and the information disclosed may not be the same as that which would have been disclosed if </w:t>
      </w:r>
      <w:r>
        <w:rPr>
          <w:rFonts w:ascii="Arial" w:hAnsi="Arial" w:cs="Arial"/>
          <w:i/>
          <w:sz w:val="20"/>
          <w:szCs w:val="20"/>
        </w:rPr>
        <w:t>this announcement</w:t>
      </w:r>
      <w:r w:rsidRPr="00DE40EC">
        <w:rPr>
          <w:rFonts w:ascii="Arial" w:hAnsi="Arial" w:cs="Arial"/>
          <w:i/>
          <w:sz w:val="20"/>
          <w:szCs w:val="20"/>
        </w:rPr>
        <w:t xml:space="preserve"> had been prepared in accordance with the laws of jurisdictions outside England and Wales and/or the Netherlands.</w:t>
      </w:r>
    </w:p>
    <w:p w14:paraId="4996CBE0" w14:textId="375C6C8E" w:rsidR="00BD452D" w:rsidRPr="00DE40EC" w:rsidRDefault="00BD452D" w:rsidP="00BD452D">
      <w:pPr>
        <w:pStyle w:val="DocText"/>
        <w:rPr>
          <w:rFonts w:cs="Arial"/>
          <w:b/>
          <w:i/>
          <w:szCs w:val="20"/>
        </w:rPr>
      </w:pPr>
      <w:r w:rsidRPr="00DE40EC">
        <w:rPr>
          <w:rFonts w:cs="Arial"/>
          <w:b/>
          <w:i/>
          <w:szCs w:val="20"/>
        </w:rPr>
        <w:t>Rounding</w:t>
      </w:r>
    </w:p>
    <w:p w14:paraId="39183441" w14:textId="77777777" w:rsidR="00BD452D" w:rsidRPr="00BD452D" w:rsidRDefault="00BD452D" w:rsidP="00BD452D">
      <w:pPr>
        <w:pStyle w:val="DocText"/>
        <w:rPr>
          <w:rFonts w:cs="Arial"/>
          <w:i/>
          <w:szCs w:val="20"/>
        </w:rPr>
      </w:pPr>
      <w:r w:rsidRPr="00DE40EC">
        <w:rPr>
          <w:rFonts w:cs="Arial"/>
          <w:i/>
          <w:szCs w:val="20"/>
        </w:rPr>
        <w:t xml:space="preserve">Certain figures included in </w:t>
      </w:r>
      <w:r>
        <w:rPr>
          <w:rFonts w:cs="Arial"/>
          <w:i/>
          <w:szCs w:val="20"/>
        </w:rPr>
        <w:t>this announcement</w:t>
      </w:r>
      <w:r w:rsidRPr="00DE40EC">
        <w:rPr>
          <w:rFonts w:cs="Arial"/>
          <w:i/>
          <w:szCs w:val="20"/>
        </w:rPr>
        <w:t xml:space="preserve"> have been subjected to rounding adjustments.  Accordingly, figures shown for the same category presented in different tables may vary slightly and figures shown as totals in certain tables may not be an arithmetic aggregation of the figures that precede them.</w:t>
      </w:r>
    </w:p>
    <w:p w14:paraId="70998052" w14:textId="77777777" w:rsidR="00C34D6E" w:rsidRPr="00DE40EC" w:rsidRDefault="00C34D6E" w:rsidP="00C34D6E">
      <w:pPr>
        <w:pStyle w:val="DocText"/>
        <w:rPr>
          <w:rFonts w:cs="Arial"/>
          <w:b/>
          <w:i/>
          <w:szCs w:val="20"/>
        </w:rPr>
      </w:pPr>
      <w:r w:rsidRPr="00DE40EC">
        <w:rPr>
          <w:rFonts w:cs="Arial"/>
          <w:b/>
          <w:i/>
          <w:szCs w:val="20"/>
        </w:rPr>
        <w:t>Time</w:t>
      </w:r>
    </w:p>
    <w:p w14:paraId="4BDCBA68" w14:textId="77777777" w:rsidR="001E79DF" w:rsidRPr="00C34D6E" w:rsidRDefault="00C34D6E" w:rsidP="00C34D6E">
      <w:pPr>
        <w:pStyle w:val="DocText"/>
        <w:rPr>
          <w:rFonts w:cs="Arial"/>
          <w:i/>
          <w:szCs w:val="20"/>
        </w:rPr>
      </w:pPr>
      <w:r w:rsidRPr="00DE40EC">
        <w:rPr>
          <w:rFonts w:cs="Arial"/>
          <w:i/>
          <w:szCs w:val="20"/>
        </w:rPr>
        <w:t xml:space="preserve">Unless otherwise indicated, all references to time in </w:t>
      </w:r>
      <w:r>
        <w:rPr>
          <w:rFonts w:cs="Arial"/>
          <w:i/>
          <w:szCs w:val="20"/>
        </w:rPr>
        <w:t>this announcement</w:t>
      </w:r>
      <w:r w:rsidRPr="00DE40EC">
        <w:rPr>
          <w:rFonts w:cs="Arial"/>
          <w:i/>
          <w:szCs w:val="20"/>
        </w:rPr>
        <w:t xml:space="preserve"> are to London time.</w:t>
      </w:r>
      <w:bookmarkEnd w:id="0"/>
    </w:p>
    <w:p w14:paraId="6DE801EB" w14:textId="77777777" w:rsidR="001E79DF" w:rsidRPr="00524948" w:rsidRDefault="001E79DF" w:rsidP="001E79DF">
      <w:pPr>
        <w:pStyle w:val="AODocTxt"/>
      </w:pPr>
    </w:p>
    <w:sectPr w:rsidR="001E79DF" w:rsidRPr="00524948" w:rsidSect="00524948">
      <w:headerReference w:type="even" r:id="rId11"/>
      <w:headerReference w:type="default" r:id="rId12"/>
      <w:footerReference w:type="even" r:id="rId13"/>
      <w:footerReference w:type="default" r:id="rId14"/>
      <w:headerReference w:type="first" r:id="rId15"/>
      <w:footerReference w:type="first" r:id="rId16"/>
      <w:pgSz w:w="11907" w:h="16839"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6B94D" w14:textId="77777777" w:rsidR="00B3383B" w:rsidRPr="00920631" w:rsidRDefault="00B3383B" w:rsidP="001E7139">
      <w:r w:rsidRPr="00920631">
        <w:separator/>
      </w:r>
    </w:p>
  </w:endnote>
  <w:endnote w:type="continuationSeparator" w:id="0">
    <w:p w14:paraId="43521C4A" w14:textId="77777777" w:rsidR="00B3383B" w:rsidRPr="00920631" w:rsidRDefault="00B3383B"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74B2" w14:textId="77777777" w:rsidR="00B3383B" w:rsidRDefault="00B33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281"/>
      <w:gridCol w:w="3286"/>
      <w:gridCol w:w="3288"/>
    </w:tblGrid>
    <w:tr w:rsidR="00B3383B" w:rsidRPr="00920631" w14:paraId="2F42C262" w14:textId="77777777" w:rsidTr="0039038D">
      <w:tc>
        <w:tcPr>
          <w:tcW w:w="1665" w:type="pct"/>
        </w:tcPr>
        <w:p w14:paraId="76D8C70A" w14:textId="6FBD4991" w:rsidR="00B3383B" w:rsidRPr="00920631" w:rsidRDefault="00B3383B" w:rsidP="007D75EC">
          <w:pPr>
            <w:pStyle w:val="AONormal8L"/>
          </w:pPr>
          <w:bookmarkStart w:id="2" w:name="bmkFooterPrimaryDoc"/>
        </w:p>
      </w:tc>
      <w:tc>
        <w:tcPr>
          <w:tcW w:w="1667" w:type="pct"/>
        </w:tcPr>
        <w:p w14:paraId="7558C5D0" w14:textId="77777777" w:rsidR="00B3383B" w:rsidRPr="00920631" w:rsidRDefault="00B3383B" w:rsidP="007D75EC">
          <w:pPr>
            <w:pStyle w:val="AONormal8C"/>
          </w:pPr>
          <w:r w:rsidRPr="00920631">
            <w:fldChar w:fldCharType="begin"/>
          </w:r>
          <w:r w:rsidRPr="00920631">
            <w:instrText xml:space="preserve"> PAGE  \* Arabic  \* MERGEFORMAT </w:instrText>
          </w:r>
          <w:r w:rsidRPr="00920631">
            <w:fldChar w:fldCharType="separate"/>
          </w:r>
          <w:r>
            <w:rPr>
              <w:noProof/>
            </w:rPr>
            <w:t>1</w:t>
          </w:r>
          <w:r w:rsidRPr="00920631">
            <w:fldChar w:fldCharType="end"/>
          </w:r>
        </w:p>
      </w:tc>
      <w:tc>
        <w:tcPr>
          <w:tcW w:w="1668" w:type="pct"/>
        </w:tcPr>
        <w:p w14:paraId="69A9B99E" w14:textId="77777777" w:rsidR="00B3383B" w:rsidRPr="00920631" w:rsidRDefault="00B3383B" w:rsidP="007D75EC">
          <w:pPr>
            <w:pStyle w:val="AONormal8R"/>
          </w:pPr>
        </w:p>
      </w:tc>
    </w:tr>
    <w:bookmarkEnd w:id="2"/>
  </w:tbl>
  <w:p w14:paraId="2F27F73B" w14:textId="77777777" w:rsidR="00B3383B" w:rsidRPr="00920631" w:rsidRDefault="00B3383B" w:rsidP="008C14D4">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283"/>
      <w:gridCol w:w="3286"/>
      <w:gridCol w:w="3286"/>
    </w:tblGrid>
    <w:tr w:rsidR="00B3383B" w14:paraId="1B198A6A" w14:textId="77777777" w:rsidTr="005D5CB3">
      <w:tc>
        <w:tcPr>
          <w:tcW w:w="5000" w:type="pct"/>
          <w:gridSpan w:val="3"/>
          <w:tcMar>
            <w:top w:w="170" w:type="dxa"/>
          </w:tcMar>
        </w:tcPr>
        <w:p w14:paraId="2F4C3EFF" w14:textId="61299647" w:rsidR="00B3383B" w:rsidRDefault="00B3383B" w:rsidP="005D5CB3">
          <w:pPr>
            <w:pStyle w:val="AONormal8LBold"/>
          </w:pPr>
          <w:r>
            <w:fldChar w:fldCharType="begin"/>
          </w:r>
          <w:r>
            <w:instrText xml:space="preserve"> DOCPROPERTY  cpFooterText </w:instrText>
          </w:r>
          <w:r>
            <w:fldChar w:fldCharType="separate"/>
          </w:r>
          <w:r>
            <w:rPr>
              <w:b w:val="0"/>
              <w:bCs/>
              <w:lang w:val="en-US"/>
            </w:rPr>
            <w:t>Error! Unknown document property name.</w:t>
          </w:r>
          <w:r>
            <w:fldChar w:fldCharType="end"/>
          </w:r>
        </w:p>
      </w:tc>
    </w:tr>
    <w:tr w:rsidR="00B3383B" w14:paraId="5CDBCBE4" w14:textId="77777777" w:rsidTr="005D5CB3">
      <w:tc>
        <w:tcPr>
          <w:tcW w:w="1666" w:type="pct"/>
        </w:tcPr>
        <w:p w14:paraId="3DDFCCD0" w14:textId="0053DE10" w:rsidR="00B3383B" w:rsidRDefault="00B3383B" w:rsidP="005D5CB3">
          <w:pPr>
            <w:pStyle w:val="AONormal8L"/>
          </w:pPr>
          <w:fldSimple w:instr=" DOCPROPERTY  cpCombinedRef ">
            <w:r>
              <w:t>0130215-0000001 CO:37982150.5</w:t>
            </w:r>
          </w:fldSimple>
        </w:p>
      </w:tc>
      <w:tc>
        <w:tcPr>
          <w:tcW w:w="1667" w:type="pct"/>
        </w:tcPr>
        <w:p w14:paraId="4DC12C44" w14:textId="77777777" w:rsidR="00B3383B" w:rsidRDefault="00B3383B"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14:paraId="06CC0B57" w14:textId="77777777" w:rsidR="00B3383B" w:rsidRDefault="00B3383B" w:rsidP="005D5CB3">
          <w:pPr>
            <w:pStyle w:val="AONormal8R"/>
          </w:pPr>
        </w:p>
      </w:tc>
    </w:tr>
  </w:tbl>
  <w:p w14:paraId="7729C803" w14:textId="77777777" w:rsidR="00B3383B" w:rsidRDefault="00B3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6CD4" w14:textId="77777777" w:rsidR="00B3383B" w:rsidRPr="00920631" w:rsidRDefault="00B3383B" w:rsidP="001E7139">
      <w:r w:rsidRPr="00920631">
        <w:separator/>
      </w:r>
    </w:p>
  </w:footnote>
  <w:footnote w:type="continuationSeparator" w:id="0">
    <w:p w14:paraId="0F4FB32B" w14:textId="77777777" w:rsidR="00B3383B" w:rsidRPr="00920631" w:rsidRDefault="00B3383B"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F86A" w14:textId="77777777" w:rsidR="00B3383B" w:rsidRDefault="00B33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24C3" w14:textId="77777777" w:rsidR="00B3383B" w:rsidRDefault="00B33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854"/>
    </w:tblGrid>
    <w:tr w:rsidR="00B3383B" w14:paraId="0D3183C2" w14:textId="77777777" w:rsidTr="005D5CB3">
      <w:tc>
        <w:tcPr>
          <w:tcW w:w="9854" w:type="dxa"/>
        </w:tcPr>
        <w:bookmarkStart w:id="3" w:name="bmkHeaderPrimaryDoc"/>
        <w:p w14:paraId="7643416A" w14:textId="6CAA6D22" w:rsidR="00B3383B" w:rsidRDefault="00B3383B" w:rsidP="005D5CB3">
          <w:pPr>
            <w:pStyle w:val="AONormal8LBold"/>
          </w:pPr>
          <w:r>
            <w:fldChar w:fldCharType="begin"/>
          </w:r>
          <w:r>
            <w:instrText xml:space="preserve"> DOCPROPERTY  cpHeaderText </w:instrText>
          </w:r>
          <w:r>
            <w:fldChar w:fldCharType="separate"/>
          </w:r>
          <w:r>
            <w:rPr>
              <w:b w:val="0"/>
              <w:bCs/>
              <w:lang w:val="en-US"/>
            </w:rPr>
            <w:t>Error! Unknown document property name.</w:t>
          </w:r>
          <w:r>
            <w:fldChar w:fldCharType="end"/>
          </w:r>
        </w:p>
      </w:tc>
    </w:tr>
    <w:bookmarkEnd w:id="3"/>
  </w:tbl>
  <w:p w14:paraId="3F9873E1" w14:textId="77777777" w:rsidR="00B3383B" w:rsidRDefault="00B3383B"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3" w15:restartNumberingAfterBreak="0">
    <w:nsid w:val="26536A81"/>
    <w:multiLevelType w:val="multilevel"/>
    <w:tmpl w:val="2CD4276C"/>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4"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5"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2"/>
  </w:num>
  <w:num w:numId="2">
    <w:abstractNumId w:val="11"/>
  </w:num>
  <w:num w:numId="3">
    <w:abstractNumId w:val="14"/>
  </w:num>
  <w:num w:numId="4">
    <w:abstractNumId w:val="18"/>
  </w:num>
  <w:num w:numId="5">
    <w:abstractNumId w:val="7"/>
  </w:num>
  <w:num w:numId="6">
    <w:abstractNumId w:val="9"/>
  </w:num>
  <w:num w:numId="7">
    <w:abstractNumId w:val="16"/>
  </w:num>
  <w:num w:numId="8">
    <w:abstractNumId w:val="0"/>
  </w:num>
  <w:num w:numId="9">
    <w:abstractNumId w:val="10"/>
  </w:num>
  <w:num w:numId="10">
    <w:abstractNumId w:val="6"/>
  </w:num>
  <w:num w:numId="11">
    <w:abstractNumId w:val="4"/>
  </w:num>
  <w:num w:numId="12">
    <w:abstractNumId w:val="2"/>
  </w:num>
  <w:num w:numId="13">
    <w:abstractNumId w:val="17"/>
  </w:num>
  <w:num w:numId="14">
    <w:abstractNumId w:val="8"/>
  </w:num>
  <w:num w:numId="15">
    <w:abstractNumId w:val="13"/>
  </w:num>
  <w:num w:numId="16">
    <w:abstractNumId w:val="5"/>
  </w:num>
  <w:num w:numId="17">
    <w:abstractNumId w:val="15"/>
  </w:num>
  <w:num w:numId="18">
    <w:abstractNumId w:val="1"/>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948"/>
    <w:rsid w:val="00035DF9"/>
    <w:rsid w:val="00041D01"/>
    <w:rsid w:val="000520A8"/>
    <w:rsid w:val="00083181"/>
    <w:rsid w:val="00093CA4"/>
    <w:rsid w:val="000D0702"/>
    <w:rsid w:val="000F2361"/>
    <w:rsid w:val="00174C8C"/>
    <w:rsid w:val="001837F3"/>
    <w:rsid w:val="001E7139"/>
    <w:rsid w:val="001E79DF"/>
    <w:rsid w:val="00207AAC"/>
    <w:rsid w:val="00207F8C"/>
    <w:rsid w:val="00213D4C"/>
    <w:rsid w:val="00227A39"/>
    <w:rsid w:val="00244F4C"/>
    <w:rsid w:val="00251D49"/>
    <w:rsid w:val="00284A94"/>
    <w:rsid w:val="002A01D2"/>
    <w:rsid w:val="002E0DDE"/>
    <w:rsid w:val="003674A3"/>
    <w:rsid w:val="00375A6D"/>
    <w:rsid w:val="003813A3"/>
    <w:rsid w:val="0039038D"/>
    <w:rsid w:val="003D006E"/>
    <w:rsid w:val="00432A6C"/>
    <w:rsid w:val="00440C96"/>
    <w:rsid w:val="0045533C"/>
    <w:rsid w:val="00463113"/>
    <w:rsid w:val="0047162F"/>
    <w:rsid w:val="004A6489"/>
    <w:rsid w:val="004B39A3"/>
    <w:rsid w:val="004C587E"/>
    <w:rsid w:val="00504ED1"/>
    <w:rsid w:val="00524948"/>
    <w:rsid w:val="00551F6F"/>
    <w:rsid w:val="00591525"/>
    <w:rsid w:val="005C0A20"/>
    <w:rsid w:val="005C0DE8"/>
    <w:rsid w:val="005C567C"/>
    <w:rsid w:val="005C595A"/>
    <w:rsid w:val="005D16AE"/>
    <w:rsid w:val="005D5CB3"/>
    <w:rsid w:val="005E5E8C"/>
    <w:rsid w:val="00607E8B"/>
    <w:rsid w:val="00624BE1"/>
    <w:rsid w:val="00630AD0"/>
    <w:rsid w:val="00664521"/>
    <w:rsid w:val="00665FA9"/>
    <w:rsid w:val="0068599B"/>
    <w:rsid w:val="006A39D9"/>
    <w:rsid w:val="006A5AA0"/>
    <w:rsid w:val="006C4ACA"/>
    <w:rsid w:val="006C6D54"/>
    <w:rsid w:val="006F4DD9"/>
    <w:rsid w:val="00730573"/>
    <w:rsid w:val="007436AE"/>
    <w:rsid w:val="00763468"/>
    <w:rsid w:val="00791599"/>
    <w:rsid w:val="007C63AF"/>
    <w:rsid w:val="007D75EC"/>
    <w:rsid w:val="008031BD"/>
    <w:rsid w:val="00822A1E"/>
    <w:rsid w:val="008A1B5B"/>
    <w:rsid w:val="008C14D4"/>
    <w:rsid w:val="008C4C75"/>
    <w:rsid w:val="008D50B1"/>
    <w:rsid w:val="008E0A09"/>
    <w:rsid w:val="008E5AED"/>
    <w:rsid w:val="008F68D8"/>
    <w:rsid w:val="00920631"/>
    <w:rsid w:val="00960F52"/>
    <w:rsid w:val="009D20EB"/>
    <w:rsid w:val="009E0C49"/>
    <w:rsid w:val="00A02251"/>
    <w:rsid w:val="00A05FE8"/>
    <w:rsid w:val="00A279B2"/>
    <w:rsid w:val="00A76A73"/>
    <w:rsid w:val="00A9172C"/>
    <w:rsid w:val="00AA4E26"/>
    <w:rsid w:val="00B1321E"/>
    <w:rsid w:val="00B15851"/>
    <w:rsid w:val="00B3383B"/>
    <w:rsid w:val="00B43857"/>
    <w:rsid w:val="00BA6B05"/>
    <w:rsid w:val="00BB07C3"/>
    <w:rsid w:val="00BB7754"/>
    <w:rsid w:val="00BC0964"/>
    <w:rsid w:val="00BD452D"/>
    <w:rsid w:val="00BE2502"/>
    <w:rsid w:val="00BF1C21"/>
    <w:rsid w:val="00C2524B"/>
    <w:rsid w:val="00C27C6D"/>
    <w:rsid w:val="00C34D6E"/>
    <w:rsid w:val="00C46506"/>
    <w:rsid w:val="00CA2C1F"/>
    <w:rsid w:val="00CA6867"/>
    <w:rsid w:val="00CB6AE1"/>
    <w:rsid w:val="00CC19DE"/>
    <w:rsid w:val="00D03DDB"/>
    <w:rsid w:val="00D30929"/>
    <w:rsid w:val="00D320E4"/>
    <w:rsid w:val="00D47CF2"/>
    <w:rsid w:val="00D60A12"/>
    <w:rsid w:val="00D73630"/>
    <w:rsid w:val="00D7509A"/>
    <w:rsid w:val="00D836DC"/>
    <w:rsid w:val="00DC6B10"/>
    <w:rsid w:val="00DE56E6"/>
    <w:rsid w:val="00E05622"/>
    <w:rsid w:val="00E17B23"/>
    <w:rsid w:val="00E20795"/>
    <w:rsid w:val="00E30328"/>
    <w:rsid w:val="00E30C20"/>
    <w:rsid w:val="00E5005F"/>
    <w:rsid w:val="00E72D84"/>
    <w:rsid w:val="00E81B74"/>
    <w:rsid w:val="00E904EB"/>
    <w:rsid w:val="00E9172D"/>
    <w:rsid w:val="00EA5A2B"/>
    <w:rsid w:val="00ED1E76"/>
    <w:rsid w:val="00EF1683"/>
    <w:rsid w:val="00F01CD0"/>
    <w:rsid w:val="00F34376"/>
    <w:rsid w:val="00F53B14"/>
    <w:rsid w:val="00F553A4"/>
    <w:rsid w:val="00F647A7"/>
    <w:rsid w:val="00F70721"/>
    <w:rsid w:val="00F93ECA"/>
    <w:rsid w:val="00FD4C5E"/>
    <w:rsid w:val="00FE1135"/>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77A5B5"/>
  <w15:docId w15:val="{7B44678D-2030-4CD7-A5C7-ED73DBB3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6E"/>
    <w:pPr>
      <w:spacing w:after="240" w:line="240" w:lineRule="auto"/>
      <w:jc w:val="both"/>
    </w:pPr>
    <w:rPr>
      <w:rFonts w:eastAsia="SimSun" w:cs="Simplified Arabic"/>
      <w:sz w:val="24"/>
      <w:szCs w:val="24"/>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4D6E"/>
    <w:rPr>
      <w:color w:val="0000FF"/>
      <w:u w:val="single"/>
    </w:rPr>
  </w:style>
  <w:style w:type="paragraph" w:customStyle="1" w:styleId="DocText">
    <w:name w:val="DocText"/>
    <w:basedOn w:val="Normal"/>
    <w:rsid w:val="00C34D6E"/>
    <w:pPr>
      <w:numPr>
        <w:numId w:val="19"/>
      </w:numPr>
      <w:spacing w:before="240" w:after="0" w:line="260" w:lineRule="atLeast"/>
    </w:pPr>
    <w:rPr>
      <w:rFonts w:ascii="Arial" w:eastAsiaTheme="minorHAnsi" w:hAnsi="Arial" w:cs="Times New Roman"/>
      <w:sz w:val="20"/>
      <w:szCs w:val="22"/>
    </w:rPr>
  </w:style>
  <w:style w:type="paragraph" w:customStyle="1" w:styleId="DocTextL1">
    <w:name w:val="DocTextL1"/>
    <w:basedOn w:val="DocText"/>
    <w:rsid w:val="00C34D6E"/>
    <w:pPr>
      <w:numPr>
        <w:ilvl w:val="1"/>
      </w:numPr>
    </w:pPr>
  </w:style>
  <w:style w:type="paragraph" w:customStyle="1" w:styleId="DocTextL2">
    <w:name w:val="DocTextL2"/>
    <w:basedOn w:val="DocText"/>
    <w:rsid w:val="00C34D6E"/>
    <w:pPr>
      <w:numPr>
        <w:ilvl w:val="2"/>
      </w:numPr>
    </w:pPr>
  </w:style>
  <w:style w:type="paragraph" w:customStyle="1" w:styleId="DocTextL3">
    <w:name w:val="DocTextL3"/>
    <w:basedOn w:val="DocText"/>
    <w:rsid w:val="00C34D6E"/>
    <w:pPr>
      <w:numPr>
        <w:ilvl w:val="3"/>
      </w:numPr>
    </w:pPr>
  </w:style>
  <w:style w:type="paragraph" w:customStyle="1" w:styleId="DocTextL4">
    <w:name w:val="DocTextL4"/>
    <w:basedOn w:val="DocText"/>
    <w:rsid w:val="00C34D6E"/>
    <w:pPr>
      <w:numPr>
        <w:ilvl w:val="4"/>
      </w:numPr>
    </w:pPr>
  </w:style>
  <w:style w:type="paragraph" w:customStyle="1" w:styleId="DocTextL5">
    <w:name w:val="DocTextL5"/>
    <w:basedOn w:val="DocText"/>
    <w:rsid w:val="00C34D6E"/>
    <w:pPr>
      <w:numPr>
        <w:ilvl w:val="5"/>
      </w:numPr>
    </w:pPr>
  </w:style>
  <w:style w:type="paragraph" w:customStyle="1" w:styleId="DocTextL6">
    <w:name w:val="DocTextL6"/>
    <w:basedOn w:val="DocText"/>
    <w:rsid w:val="00C34D6E"/>
    <w:pPr>
      <w:numPr>
        <w:ilvl w:val="6"/>
      </w:numPr>
    </w:pPr>
  </w:style>
  <w:style w:type="paragraph" w:customStyle="1" w:styleId="DocTextL7">
    <w:name w:val="DocTextL7"/>
    <w:basedOn w:val="DocText"/>
    <w:rsid w:val="00C34D6E"/>
    <w:pPr>
      <w:numPr>
        <w:ilvl w:val="7"/>
      </w:numPr>
    </w:pPr>
  </w:style>
  <w:style w:type="paragraph" w:customStyle="1" w:styleId="DocTextL8">
    <w:name w:val="DocTextL8"/>
    <w:basedOn w:val="DocText"/>
    <w:rsid w:val="00C34D6E"/>
    <w:pPr>
      <w:numPr>
        <w:ilvl w:val="8"/>
      </w:numPr>
    </w:pPr>
  </w:style>
  <w:style w:type="paragraph" w:customStyle="1" w:styleId="justify">
    <w:name w:val="justify"/>
    <w:basedOn w:val="DocText"/>
    <w:rsid w:val="00C34D6E"/>
    <w:pPr>
      <w:numPr>
        <w:numId w:val="0"/>
      </w:numPr>
      <w:jc w:val="left"/>
    </w:pPr>
    <w:rPr>
      <w:rFonts w:cs="Arial"/>
      <w:szCs w:val="20"/>
    </w:rPr>
  </w:style>
  <w:style w:type="paragraph" w:customStyle="1" w:styleId="nu">
    <w:name w:val="nu"/>
    <w:basedOn w:val="DocText"/>
    <w:rsid w:val="00C34D6E"/>
    <w:pPr>
      <w:numPr>
        <w:numId w:val="0"/>
      </w:numPr>
      <w:spacing w:before="0"/>
    </w:pPr>
    <w:rPr>
      <w:rFonts w:cs="Arial"/>
      <w:b/>
      <w:szCs w:val="20"/>
    </w:rPr>
  </w:style>
  <w:style w:type="character" w:styleId="FootnoteReference">
    <w:name w:val="footnote reference"/>
    <w:basedOn w:val="DefaultParagraphFont"/>
    <w:uiPriority w:val="99"/>
    <w:semiHidden/>
    <w:unhideWhenUsed/>
    <w:rsid w:val="00D30929"/>
    <w:rPr>
      <w:vertAlign w:val="superscript"/>
    </w:rPr>
  </w:style>
  <w:style w:type="paragraph" w:customStyle="1" w:styleId="Title16">
    <w:name w:val="Title16"/>
    <w:basedOn w:val="Normal"/>
    <w:rsid w:val="00B3383B"/>
    <w:pPr>
      <w:keepNext/>
      <w:keepLines/>
      <w:suppressAutoHyphens/>
      <w:spacing w:after="120" w:line="288" w:lineRule="auto"/>
      <w:jc w:val="center"/>
      <w:outlineLvl w:val="0"/>
    </w:pPr>
    <w:rPr>
      <w:rFonts w:eastAsia="Times New Roman" w:cs="Times New Roman"/>
      <w:b/>
      <w:kern w:val="20"/>
      <w:sz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20-01-09T16-00-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78892C98B868449327CFB8C8130573" ma:contentTypeVersion="10" ma:contentTypeDescription="Create a new document." ma:contentTypeScope="" ma:versionID="8b5d595d1603e59a1fdadd7175fb4801">
  <xsd:schema xmlns:xsd="http://www.w3.org/2001/XMLSchema" xmlns:xs="http://www.w3.org/2001/XMLSchema" xmlns:p="http://schemas.microsoft.com/office/2006/metadata/properties" xmlns:ns2="491fff8c-b0f7-4246-ad84-3a754cc6578c" xmlns:ns3="d830a163-2bd2-4904-a356-455e0fdb518a" targetNamespace="http://schemas.microsoft.com/office/2006/metadata/properties" ma:root="true" ma:fieldsID="268c6acfdf7e930b8db5563181ed3b06" ns2:_="" ns3:_="">
    <xsd:import namespace="491fff8c-b0f7-4246-ad84-3a754cc6578c"/>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fff8c-b0f7-4246-ad84-3a754cc65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606ce779-1b2e-46fd-82e3-0f1b7112e4a4"/>
    <ds:schemaRef ds:uri="http://schemas.openxmlformats.org/package/2006/metadata/core-properties"/>
    <ds:schemaRef ds:uri="b155871e-c8b5-4c87-9d06-1a5ce01b077f"/>
    <ds:schemaRef ds:uri="http://www.w3.org/XML/1998/namespace"/>
    <ds:schemaRef ds:uri="http://purl.org/dc/terms/"/>
  </ds:schemaRefs>
</ds:datastoreItem>
</file>

<file path=customXml/itemProps2.xml><?xml version="1.0" encoding="utf-8"?>
<ds:datastoreItem xmlns:ds="http://schemas.openxmlformats.org/officeDocument/2006/customXml" ds:itemID="{B9B6331E-7333-47BF-AD24-D2C1CB48AA84}"/>
</file>

<file path=customXml/itemProps3.xml><?xml version="1.0" encoding="utf-8"?>
<ds:datastoreItem xmlns:ds="http://schemas.openxmlformats.org/officeDocument/2006/customXml" ds:itemID="{AB7869F2-B7CD-4CB7-9B46-F1B1D29E4038}">
  <ds:schemaRefs>
    <ds:schemaRef ds:uri="http://schemas.microsoft.com/sharepoint/v3/contenttype/forms"/>
  </ds:schemaRefs>
</ds:datastoreItem>
</file>

<file path=customXml/itemProps4.xml><?xml version="1.0" encoding="utf-8"?>
<ds:datastoreItem xmlns:ds="http://schemas.openxmlformats.org/officeDocument/2006/customXml" ds:itemID="{AF89B911-02A7-43C2-9471-0425108A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6</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Toni Lutz</cp:lastModifiedBy>
  <cp:revision>7</cp:revision>
  <cp:lastPrinted>2020-01-10T13:08:00Z</cp:lastPrinted>
  <dcterms:created xsi:type="dcterms:W3CDTF">2020-01-10T14:08:00Z</dcterms:created>
  <dcterms:modified xsi:type="dcterms:W3CDTF">2020-01-10T14:33:00Z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0x0101001E78892C98B868449327CFB8C8130573</vt:lpwstr>
  </property>
  <property fmtid="{D5CDD505-2E9C-101B-9397-08002B2CF9AE}" pid="3" name="Client">
    <vt:lpwstr>0130215</vt:lpwstr>
  </property>
  <property fmtid="{D5CDD505-2E9C-101B-9397-08002B2CF9AE}" pid="4" name="Matter">
    <vt:lpwstr>0000001</vt:lpwstr>
  </property>
  <property fmtid="{D5CDD505-2E9C-101B-9397-08002B2CF9AE}" pid="5" name="cpClientMatter">
    <vt:lpwstr>0130215-0000001</vt:lpwstr>
  </property>
  <property fmtid="{D5CDD505-2E9C-101B-9397-08002B2CF9AE}" pid="6" name="cpDocRef">
    <vt:lpwstr>CO:37982150.6</vt:lpwstr>
  </property>
  <property fmtid="{D5CDD505-2E9C-101B-9397-08002B2CF9AE}" pid="7" name="cpCombinedRef">
    <vt:lpwstr>0130215-0000001 CO:37982150.6</vt:lpwstr>
  </property>
</Properties>
</file>