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0 -->
  <w:body>
    <w:p>
      <w:pPr>
        <w:pStyle w:val="WWBodyText"/>
        <w:spacing w:after="0" w:line="240" w:lineRule="auto"/>
        <w:jc w:val="center"/>
        <w:rPr>
          <w:rFonts w:ascii="Verdana" w:hAnsi="Verdana"/>
          <w:b/>
          <w:sz w:val="20"/>
          <w:szCs w:val="20"/>
        </w:rPr>
      </w:pPr>
      <w:r>
        <w:rPr>
          <w:rFonts w:ascii="Verdana" w:hAnsi="Verdana"/>
          <w:b/>
          <w:sz w:val="20"/>
          <w:szCs w:val="20"/>
        </w:rPr>
        <w:t>Prosus N.V.</w:t>
      </w:r>
    </w:p>
    <w:p>
      <w:pPr>
        <w:pStyle w:val="WWBodyText"/>
        <w:spacing w:after="0" w:line="240" w:lineRule="auto"/>
        <w:jc w:val="center"/>
        <w:rPr>
          <w:rFonts w:ascii="Verdana" w:hAnsi="Verdana"/>
          <w:sz w:val="20"/>
          <w:szCs w:val="20"/>
        </w:rPr>
      </w:pPr>
      <w:r>
        <w:rPr>
          <w:rFonts w:ascii="Verdana" w:hAnsi="Verdana"/>
          <w:sz w:val="20"/>
          <w:szCs w:val="20"/>
        </w:rPr>
        <w:t>(Incorporated in the Netherlands)</w:t>
      </w:r>
    </w:p>
    <w:p>
      <w:pPr>
        <w:pStyle w:val="WWBodyText"/>
        <w:spacing w:after="0" w:line="240" w:lineRule="auto"/>
        <w:jc w:val="center"/>
        <w:rPr>
          <w:rFonts w:ascii="Verdana" w:hAnsi="Verdana"/>
          <w:sz w:val="20"/>
          <w:szCs w:val="20"/>
        </w:rPr>
      </w:pPr>
      <w:r>
        <w:rPr>
          <w:rFonts w:ascii="Verdana" w:hAnsi="Verdana"/>
          <w:sz w:val="20"/>
          <w:szCs w:val="20"/>
        </w:rPr>
        <w:t>(Legal Entity Identifier: 635400Z5LQ5F9OLVT688)</w:t>
      </w:r>
    </w:p>
    <w:p>
      <w:pPr>
        <w:pStyle w:val="WWBodyText"/>
        <w:spacing w:after="0" w:line="240" w:lineRule="auto"/>
        <w:jc w:val="center"/>
        <w:rPr>
          <w:rFonts w:ascii="Verdana" w:hAnsi="Verdana"/>
          <w:sz w:val="20"/>
          <w:szCs w:val="20"/>
          <w:lang w:val="en-ZA"/>
        </w:rPr>
      </w:pPr>
      <w:r>
        <w:rPr>
          <w:rFonts w:ascii="Verdana" w:hAnsi="Verdana"/>
          <w:sz w:val="20"/>
          <w:szCs w:val="20"/>
          <w:lang w:val="en-ZA"/>
        </w:rPr>
        <w:t>AEX and JSE Share Code: PRX ISIN: NL0013654783</w:t>
      </w:r>
    </w:p>
    <w:p>
      <w:pPr>
        <w:pStyle w:val="WWBodyText"/>
        <w:spacing w:line="240" w:lineRule="auto"/>
        <w:jc w:val="center"/>
        <w:rPr>
          <w:rFonts w:ascii="Verdana" w:hAnsi="Verdana"/>
          <w:sz w:val="20"/>
          <w:szCs w:val="20"/>
          <w:lang w:val="en-ZA"/>
        </w:rPr>
      </w:pPr>
      <w:r>
        <w:rPr>
          <w:rFonts w:ascii="Verdana" w:hAnsi="Verdana"/>
          <w:sz w:val="20"/>
          <w:szCs w:val="20"/>
          <w:lang w:val="en-ZA"/>
        </w:rPr>
        <w:t>(</w:t>
      </w:r>
      <w:r>
        <w:rPr>
          <w:rFonts w:ascii="Verdana" w:hAnsi="Verdana"/>
          <w:b/>
          <w:sz w:val="20"/>
          <w:szCs w:val="20"/>
          <w:lang w:val="en-ZA"/>
        </w:rPr>
        <w:t>Prosus</w:t>
      </w:r>
      <w:r>
        <w:rPr>
          <w:rFonts w:ascii="Verdana" w:hAnsi="Verdana"/>
          <w:sz w:val="20"/>
          <w:szCs w:val="20"/>
          <w:lang w:val="en-ZA"/>
        </w:rPr>
        <w:t>)</w:t>
      </w:r>
    </w:p>
    <w:p>
      <w:pPr>
        <w:pStyle w:val="WWBodyText"/>
        <w:spacing w:line="240" w:lineRule="auto"/>
        <w:jc w:val="center"/>
        <w:rPr>
          <w:rFonts w:ascii="Verdana" w:hAnsi="Verdana"/>
          <w:sz w:val="20"/>
          <w:szCs w:val="20"/>
          <w:lang w:val="en-ZA"/>
        </w:rPr>
      </w:pPr>
    </w:p>
    <w:p>
      <w:pPr>
        <w:pStyle w:val="AOHead1"/>
        <w:numPr>
          <w:ilvl w:val="0"/>
          <w:numId w:val="0"/>
        </w:numPr>
        <w:ind w:left="720" w:hanging="720"/>
        <w:jc w:val="center"/>
        <w:rPr>
          <w:rFonts w:ascii="Verdana" w:hAnsi="Verdana"/>
          <w:sz w:val="20"/>
          <w:szCs w:val="20"/>
        </w:rPr>
      </w:pPr>
      <w:r>
        <w:rPr>
          <w:rFonts w:ascii="Verdana" w:hAnsi="Verdana"/>
          <w:sz w:val="20"/>
          <w:szCs w:val="20"/>
        </w:rPr>
        <w:t>Update on REPURCHASE Programme</w:t>
      </w:r>
    </w:p>
    <w:p>
      <w:pPr>
        <w:pStyle w:val="AODocTxt"/>
        <w:rPr>
          <w:rFonts w:ascii="Verdana" w:hAnsi="Verdana"/>
          <w:sz w:val="20"/>
          <w:szCs w:val="20"/>
        </w:rPr>
      </w:pPr>
      <w:r>
        <w:rPr>
          <w:rFonts w:ascii="Verdana" w:hAnsi="Verdana"/>
          <w:sz w:val="20"/>
          <w:szCs w:val="20"/>
        </w:rPr>
        <w:t xml:space="preserve">Prosus today announces an update to </w:t>
      </w:r>
      <w:bookmarkStart w:id="0" w:name="_Hlk107580913"/>
      <w:r>
        <w:rPr>
          <w:rFonts w:ascii="Verdana" w:hAnsi="Verdana"/>
          <w:sz w:val="20"/>
          <w:szCs w:val="20"/>
        </w:rPr>
        <w:t>the open-ended, repurchase programme in respect of the ordinary shares N in the capital of Prosus ("</w:t>
      </w:r>
      <w:r>
        <w:rPr>
          <w:rFonts w:ascii="Verdana" w:hAnsi="Verdana"/>
          <w:b/>
          <w:bCs/>
          <w:sz w:val="20"/>
          <w:szCs w:val="20"/>
        </w:rPr>
        <w:t>Prosus Shares</w:t>
      </w:r>
      <w:r>
        <w:rPr>
          <w:rFonts w:ascii="Verdana" w:hAnsi="Verdana"/>
          <w:sz w:val="20"/>
          <w:szCs w:val="20"/>
        </w:rPr>
        <w:t>") and N ordinary shares in the share capital of Naspers ("</w:t>
      </w:r>
      <w:r>
        <w:rPr>
          <w:rFonts w:ascii="Verdana" w:hAnsi="Verdana"/>
          <w:b/>
          <w:bCs/>
          <w:sz w:val="20"/>
          <w:szCs w:val="20"/>
        </w:rPr>
        <w:t>Naspers Shares</w:t>
      </w:r>
      <w:r>
        <w:rPr>
          <w:rFonts w:ascii="Verdana" w:hAnsi="Verdana"/>
          <w:sz w:val="20"/>
          <w:szCs w:val="20"/>
        </w:rPr>
        <w:t>"), from the respective Prosus and Naspers (together the “</w:t>
      </w:r>
      <w:r>
        <w:rPr>
          <w:rFonts w:ascii="Verdana" w:hAnsi="Verdana"/>
          <w:b/>
          <w:bCs/>
          <w:sz w:val="20"/>
          <w:szCs w:val="20"/>
        </w:rPr>
        <w:t>Group</w:t>
      </w:r>
      <w:r>
        <w:rPr>
          <w:rFonts w:ascii="Verdana" w:hAnsi="Verdana"/>
          <w:sz w:val="20"/>
          <w:szCs w:val="20"/>
        </w:rPr>
        <w:t>”) free-float shareholders</w:t>
      </w:r>
      <w:bookmarkEnd w:id="0"/>
      <w:r>
        <w:rPr>
          <w:rFonts w:ascii="Verdana" w:hAnsi="Verdana"/>
          <w:sz w:val="20"/>
          <w:szCs w:val="20"/>
        </w:rPr>
        <w:t xml:space="preserve"> </w:t>
      </w:r>
      <w:bookmarkStart w:id="1" w:name="_Hlk107580931"/>
      <w:r>
        <w:rPr>
          <w:rFonts w:ascii="Verdana" w:hAnsi="Verdana"/>
          <w:sz w:val="20"/>
          <w:szCs w:val="20"/>
        </w:rPr>
        <w:t>(together the “</w:t>
      </w:r>
      <w:r>
        <w:rPr>
          <w:rFonts w:ascii="Verdana" w:hAnsi="Verdana"/>
          <w:b/>
          <w:bCs/>
          <w:sz w:val="20"/>
          <w:szCs w:val="20"/>
        </w:rPr>
        <w:t>Repurchase Programme</w:t>
      </w:r>
      <w:r>
        <w:rPr>
          <w:rFonts w:ascii="Verdana" w:hAnsi="Verdana"/>
          <w:sz w:val="20"/>
          <w:szCs w:val="20"/>
        </w:rPr>
        <w:t xml:space="preserve">”) </w:t>
      </w:r>
      <w:bookmarkEnd w:id="1"/>
      <w:r>
        <w:rPr>
          <w:rFonts w:ascii="Verdana" w:hAnsi="Verdana"/>
          <w:sz w:val="20"/>
          <w:szCs w:val="20"/>
        </w:rPr>
        <w:t>announced on 27 June 2022.</w:t>
      </w:r>
    </w:p>
    <w:p>
      <w:pPr>
        <w:jc w:val="both"/>
        <w:rPr>
          <w:rFonts w:ascii="Verdana" w:hAnsi="Verdana"/>
          <w:sz w:val="20"/>
          <w:szCs w:val="20"/>
        </w:rPr>
      </w:pPr>
    </w:p>
    <w:p>
      <w:pPr>
        <w:jc w:val="both"/>
        <w:rPr>
          <w:rFonts w:ascii="Verdana" w:hAnsi="Verdana"/>
          <w:sz w:val="20"/>
          <w:szCs w:val="20"/>
        </w:rPr>
      </w:pPr>
      <w:r>
        <w:rPr>
          <w:rFonts w:ascii="Verdana" w:hAnsi="Verdana"/>
          <w:sz w:val="20"/>
          <w:szCs w:val="20"/>
        </w:rPr>
        <w:t xml:space="preserve">As part of the Repurchase Programme, for the period between </w:t>
      </w:r>
      <w:sdt>
        <w:sdtPr>
          <w:alias w:val="Contract Express"/>
          <w:tag w:val="d=AnnouncementPeriodStartDate&amp;r="/>
          <w:id w:val="1880278161"/>
          <w:richText/>
        </w:sdtPr>
        <w:sdtContent>
          <w:r>
            <w:rPr>
              <w:rFonts w:ascii="Verdana" w:hAnsi="Verdana"/>
              <w:sz w:val="20"/>
              <w:szCs w:val="20"/>
            </w:rPr>
            <w:t>4 July 2022</w:t>
          </w:r>
        </w:sdtContent>
      </w:sdt>
      <w:r>
        <w:rPr>
          <w:rFonts w:ascii="Verdana" w:hAnsi="Verdana"/>
          <w:sz w:val="20"/>
          <w:szCs w:val="20"/>
        </w:rPr>
        <w:t xml:space="preserve"> and </w:t>
      </w:r>
      <w:sdt>
        <w:sdtPr>
          <w:alias w:val="Contract Express"/>
          <w:tag w:val="d=AnnouncementPeriodEndDate&amp;r="/>
          <w:id w:val="1848399435"/>
          <w:richText/>
        </w:sdtPr>
        <w:sdtContent>
          <w:r>
            <w:rPr>
              <w:rFonts w:ascii="Verdana" w:hAnsi="Verdana"/>
              <w:sz w:val="20"/>
              <w:szCs w:val="20"/>
            </w:rPr>
            <w:t>8 July 2022</w:t>
          </w:r>
        </w:sdtContent>
      </w:sdt>
      <w:r>
        <w:rPr>
          <w:rFonts w:ascii="Verdana" w:hAnsi="Verdana"/>
          <w:sz w:val="20"/>
          <w:szCs w:val="20"/>
        </w:rPr>
        <w:t xml:space="preserve">, Prosus repurchased </w:t>
      </w:r>
      <w:sdt>
        <w:sdtPr>
          <w:alias w:val="Contract Express"/>
          <w:tag w:val="d=ProsusSharesRepurchaseNumber%20Format%20%22thousands%22&amp;r="/>
          <w:id w:val="1452832534"/>
          <w:richText/>
        </w:sdtPr>
        <w:sdtContent>
          <w:r>
            <w:rPr>
              <w:rFonts w:ascii="Verdana" w:hAnsi="Verdana"/>
              <w:sz w:val="20"/>
              <w:szCs w:val="20"/>
            </w:rPr>
            <w:t>6,240,339</w:t>
          </w:r>
        </w:sdtContent>
      </w:sdt>
      <w:r>
        <w:rPr>
          <w:rFonts w:ascii="Verdana" w:hAnsi="Verdana"/>
          <w:sz w:val="20"/>
          <w:szCs w:val="20"/>
        </w:rPr>
        <w:t xml:space="preserve"> Prosus Shares at an average price of €</w:t>
      </w:r>
      <w:sdt>
        <w:sdtPr>
          <w:alias w:val="Contract Express"/>
          <w:tag w:val="d=ProsusAverageSharePrice%20Format%20%22thousands%22&amp;r="/>
          <w:id w:val="1046595839"/>
          <w:richText/>
        </w:sdtPr>
        <w:sdtContent>
          <w:r>
            <w:rPr>
              <w:rFonts w:ascii="Verdana" w:hAnsi="Verdana"/>
              <w:sz w:val="20"/>
              <w:szCs w:val="20"/>
            </w:rPr>
            <w:t>67.1361</w:t>
          </w:r>
        </w:sdtContent>
      </w:sdt>
      <w:r>
        <w:rPr>
          <w:rFonts w:ascii="Verdana" w:hAnsi="Verdana"/>
          <w:sz w:val="20"/>
          <w:szCs w:val="20"/>
        </w:rPr>
        <w:t xml:space="preserve"> per share for a total consideration of €</w:t>
      </w:r>
      <w:sdt>
        <w:sdtPr>
          <w:alias w:val="Contract Express"/>
          <w:tag w:val="d=int%28ProsusSharesTotalConsiderationEuros%29%20Format%20%22thousands%22&amp;r="/>
          <w:id w:val="231709455"/>
          <w:richText/>
        </w:sdtPr>
        <w:sdtContent>
          <w:r>
            <w:rPr>
              <w:rFonts w:ascii="Verdana" w:hAnsi="Verdana"/>
              <w:sz w:val="20"/>
              <w:szCs w:val="20"/>
            </w:rPr>
            <w:t>418,952,031</w:t>
          </w:r>
        </w:sdtContent>
      </w:sdt>
      <w:r>
        <w:rPr>
          <w:rFonts w:ascii="Verdana" w:hAnsi="Verdana"/>
          <w:sz w:val="20"/>
          <w:szCs w:val="20"/>
        </w:rPr>
        <w:t xml:space="preserve"> (US$</w:t>
      </w:r>
      <w:sdt>
        <w:sdtPr>
          <w:alias w:val="Contract Express"/>
          <w:tag w:val="d=int%28ProsusSharesTotalConsiderationDollar%29%20Format%20%22thousands%22&amp;r="/>
          <w:id w:val="1644094900"/>
          <w:richText/>
        </w:sdtPr>
        <w:sdtContent>
          <w:r>
            <w:rPr>
              <w:rFonts w:ascii="Verdana" w:hAnsi="Verdana"/>
              <w:sz w:val="20"/>
              <w:szCs w:val="20"/>
            </w:rPr>
            <w:t>428,590,278</w:t>
          </w:r>
        </w:sdtContent>
      </w:sdt>
      <w:r>
        <w:rPr>
          <w:rFonts w:ascii="Verdana" w:hAnsi="Verdana"/>
          <w:sz w:val="20"/>
          <w:szCs w:val="20"/>
        </w:rPr>
        <w:t xml:space="preserve">). </w:t>
      </w:r>
    </w:p>
    <w:p>
      <w:pPr>
        <w:pStyle w:val="AONormal"/>
        <w:jc w:val="both"/>
      </w:pPr>
    </w:p>
    <w:p>
      <w:pPr>
        <w:pStyle w:val="AONormal"/>
        <w:jc w:val="both"/>
        <w:rPr>
          <w:rFonts w:ascii="Verdana" w:hAnsi="Verdana"/>
          <w:sz w:val="20"/>
          <w:szCs w:val="20"/>
        </w:rPr>
      </w:pPr>
      <w:r>
        <w:rPr>
          <w:rFonts w:ascii="Verdana" w:hAnsi="Verdana"/>
          <w:sz w:val="20"/>
          <w:szCs w:val="20"/>
        </w:rPr>
        <w:t>Considering the regulatory requirement to provide weekly updates on Prosus Shares repurchased, the company decided to also provide voluntary updates on the Naspers Shares repurchased.</w:t>
      </w:r>
    </w:p>
    <w:p>
      <w:pPr>
        <w:pStyle w:val="AONormal"/>
        <w:jc w:val="both"/>
        <w:rPr>
          <w:rFonts w:ascii="Verdana" w:hAnsi="Verdana"/>
          <w:sz w:val="20"/>
          <w:szCs w:val="20"/>
        </w:rPr>
      </w:pPr>
      <w:bookmarkStart w:id="2" w:name="_Hlk107580950"/>
    </w:p>
    <w:p>
      <w:pPr>
        <w:pStyle w:val="AONormal"/>
        <w:jc w:val="both"/>
        <w:rPr>
          <w:rFonts w:ascii="Verdana" w:hAnsi="Verdana"/>
          <w:sz w:val="20"/>
          <w:szCs w:val="20"/>
        </w:rPr>
      </w:pPr>
      <w:r>
        <w:rPr>
          <w:rFonts w:ascii="Verdana" w:hAnsi="Verdana"/>
          <w:sz w:val="20"/>
          <w:szCs w:val="20"/>
        </w:rPr>
        <w:t xml:space="preserve">For the period between </w:t>
      </w:r>
      <w:sdt>
        <w:sdtPr>
          <w:alias w:val="Contract Express"/>
          <w:tag w:val="d=AnnouncementPeriodStartDate&amp;r="/>
          <w:id w:val="1484846354"/>
          <w:richText/>
        </w:sdtPr>
        <w:sdtContent>
          <w:r>
            <w:rPr>
              <w:rFonts w:ascii="Verdana" w:hAnsi="Verdana"/>
              <w:sz w:val="20"/>
              <w:szCs w:val="20"/>
            </w:rPr>
            <w:t>4 July 2022</w:t>
          </w:r>
        </w:sdtContent>
      </w:sdt>
      <w:r>
        <w:rPr>
          <w:rFonts w:ascii="Verdana" w:hAnsi="Verdana"/>
          <w:sz w:val="20"/>
          <w:szCs w:val="20"/>
        </w:rPr>
        <w:t xml:space="preserve"> and </w:t>
      </w:r>
      <w:sdt>
        <w:sdtPr>
          <w:alias w:val="Contract Express"/>
          <w:tag w:val="d=AnnouncementPeriodEndDate&amp;r="/>
          <w:id w:val="2115860184"/>
          <w:richText/>
        </w:sdtPr>
        <w:sdtContent>
          <w:r>
            <w:rPr>
              <w:rFonts w:ascii="Verdana" w:hAnsi="Verdana"/>
              <w:sz w:val="20"/>
              <w:szCs w:val="20"/>
            </w:rPr>
            <w:t>8 July 2022</w:t>
          </w:r>
        </w:sdtContent>
      </w:sdt>
      <w:r>
        <w:rPr>
          <w:rFonts w:ascii="Verdana" w:hAnsi="Verdana"/>
          <w:sz w:val="20"/>
          <w:szCs w:val="20"/>
        </w:rPr>
        <w:t xml:space="preserve">, the Group purchased </w:t>
      </w:r>
      <w:sdt>
        <w:sdtPr>
          <w:alias w:val="Contract Express"/>
          <w:tag w:val="d=NaspersSharesRepurchaseNumber%20Format%20%22thousands%22&amp;r="/>
          <w:id w:val="1917560502"/>
          <w:richText/>
        </w:sdtPr>
        <w:sdtContent>
          <w:r>
            <w:rPr>
              <w:rFonts w:ascii="Verdana" w:hAnsi="Verdana"/>
              <w:sz w:val="20"/>
              <w:szCs w:val="20"/>
            </w:rPr>
            <w:t>659,095</w:t>
          </w:r>
        </w:sdtContent>
      </w:sdt>
      <w:r>
        <w:rPr>
          <w:rFonts w:ascii="Verdana" w:hAnsi="Verdana"/>
          <w:sz w:val="20"/>
          <w:szCs w:val="20"/>
        </w:rPr>
        <w:t xml:space="preserve"> Naspers Shares at an average price of ZAR</w:t>
      </w:r>
      <w:sdt>
        <w:sdtPr>
          <w:alias w:val="Contract Express"/>
          <w:tag w:val="d=NaspersAverageSharePrice%20Format%20%22thousands%22&amp;r="/>
          <w:id w:val="1392136428"/>
          <w:richText/>
        </w:sdtPr>
        <w:sdtContent>
          <w:r>
            <w:rPr>
              <w:rFonts w:ascii="Verdana" w:hAnsi="Verdana"/>
              <w:sz w:val="20"/>
              <w:szCs w:val="20"/>
            </w:rPr>
            <w:t>2,648.3315</w:t>
          </w:r>
        </w:sdtContent>
      </w:sdt>
      <w:r>
        <w:rPr>
          <w:rFonts w:ascii="Verdana" w:hAnsi="Verdana"/>
          <w:sz w:val="20"/>
          <w:szCs w:val="20"/>
        </w:rPr>
        <w:t xml:space="preserve"> per share for a total consideration of </w:t>
      </w:r>
      <w:bookmarkStart w:id="3" w:name="_Hlk59440794"/>
      <w:r>
        <w:rPr>
          <w:rFonts w:ascii="Verdana" w:hAnsi="Verdana"/>
          <w:sz w:val="20"/>
          <w:szCs w:val="20"/>
        </w:rPr>
        <w:t>ZAR</w:t>
      </w:r>
      <w:sdt>
        <w:sdtPr>
          <w:alias w:val="Contract Express"/>
          <w:tag w:val="d=int%28NaspersSharesTotalConsiderationRands%29%20Format%20%22thousands%22&amp;r="/>
          <w:id w:val="1310397821"/>
          <w:richText/>
        </w:sdtPr>
        <w:sdtContent>
          <w:r>
            <w:rPr>
              <w:rFonts w:ascii="Verdana" w:hAnsi="Verdana"/>
              <w:sz w:val="20"/>
              <w:szCs w:val="20"/>
            </w:rPr>
            <w:t>1,745,502,028</w:t>
          </w:r>
        </w:sdtContent>
      </w:sdt>
      <w:r>
        <w:rPr>
          <w:rFonts w:ascii="Verdana" w:hAnsi="Verdana"/>
          <w:sz w:val="20"/>
          <w:szCs w:val="20"/>
        </w:rPr>
        <w:t xml:space="preserve"> </w:t>
      </w:r>
      <w:bookmarkEnd w:id="3"/>
      <w:r>
        <w:rPr>
          <w:rFonts w:ascii="Verdana" w:hAnsi="Verdana"/>
          <w:sz w:val="20"/>
          <w:szCs w:val="20"/>
        </w:rPr>
        <w:t>(US$</w:t>
      </w:r>
      <w:sdt>
        <w:sdtPr>
          <w:alias w:val="Contract Express"/>
          <w:tag w:val="d=int%28NaspersSharesTotalConsiderationDollar%29%20Format%20%22thousands%22&amp;r="/>
          <w:id w:val="883891265"/>
          <w:richText/>
        </w:sdtPr>
        <w:sdtContent>
          <w:r>
            <w:rPr>
              <w:rFonts w:ascii="Verdana" w:hAnsi="Verdana"/>
              <w:sz w:val="20"/>
              <w:szCs w:val="20"/>
            </w:rPr>
            <w:t>104,730,238</w:t>
          </w:r>
        </w:sdtContent>
      </w:sdt>
      <w:r>
        <w:rPr>
          <w:rFonts w:ascii="Verdana" w:hAnsi="Verdana"/>
          <w:sz w:val="20"/>
          <w:szCs w:val="20"/>
        </w:rPr>
        <w:t>).</w:t>
      </w:r>
    </w:p>
    <w:bookmarkEnd w:id="2"/>
    <w:p>
      <w:pPr>
        <w:pStyle w:val="AODocTxt"/>
        <w:rPr>
          <w:rFonts w:ascii="Verdana" w:hAnsi="Verdana"/>
          <w:sz w:val="20"/>
          <w:szCs w:val="20"/>
        </w:rPr>
      </w:pPr>
      <w:r>
        <w:rPr>
          <w:rFonts w:ascii="Verdana" w:hAnsi="Verdana"/>
          <w:sz w:val="20"/>
          <w:szCs w:val="20"/>
        </w:rPr>
        <w:t>More information on the Repurchase Programme is available on www.prosus.com/news/investors-shareholder-information/.</w:t>
      </w:r>
    </w:p>
    <w:p>
      <w:pPr>
        <w:pStyle w:val="AODocTxt"/>
        <w:rPr>
          <w:rFonts w:ascii="Verdana" w:hAnsi="Verdana"/>
          <w:sz w:val="20"/>
          <w:szCs w:val="20"/>
        </w:rPr>
      </w:pPr>
      <w:r>
        <w:rPr>
          <w:rFonts w:ascii="Verdana" w:hAnsi="Verdana"/>
          <w:sz w:val="20"/>
          <w:szCs w:val="20"/>
        </w:rPr>
        <w:t>Amsterdam, the Netherlands</w:t>
      </w:r>
    </w:p>
    <w:sdt>
      <w:sdtPr>
        <w:alias w:val="Contract Express"/>
        <w:tag w:val="d=BuyBackDateOfAnnouncement&amp;r="/>
        <w:id w:val="1346622800"/>
        <w:richText/>
      </w:sdtPr>
      <w:sdtContent>
        <w:p>
          <w:pPr>
            <w:pStyle w:val="AODocTxt"/>
            <w:spacing w:before="0"/>
            <w:rPr>
              <w:rFonts w:ascii="Verdana" w:hAnsi="Verdana"/>
              <w:sz w:val="20"/>
              <w:szCs w:val="20"/>
            </w:rPr>
          </w:pPr>
          <w:r>
            <w:rPr>
              <w:rFonts w:ascii="Verdana" w:hAnsi="Verdana"/>
              <w:sz w:val="20"/>
              <w:szCs w:val="20"/>
            </w:rPr>
            <w:t>12 July 2022</w:t>
          </w:r>
        </w:p>
      </w:sdtContent>
    </w:sdt>
    <w:p>
      <w:pPr>
        <w:pStyle w:val="AODocTxt"/>
        <w:rPr>
          <w:rFonts w:ascii="Verdana" w:hAnsi="Verdana"/>
          <w:sz w:val="20"/>
          <w:szCs w:val="20"/>
        </w:rPr>
      </w:pPr>
      <w:r>
        <w:rPr>
          <w:rFonts w:ascii="Verdana" w:hAnsi="Verdana"/>
          <w:sz w:val="20"/>
          <w:szCs w:val="20"/>
        </w:rPr>
        <w:t>JSE sponsor to Prosus</w:t>
      </w:r>
    </w:p>
    <w:p>
      <w:pPr>
        <w:pStyle w:val="AODocTxt"/>
        <w:spacing w:before="0"/>
        <w:rPr>
          <w:rFonts w:ascii="Verdana" w:hAnsi="Verdana"/>
          <w:sz w:val="20"/>
          <w:szCs w:val="20"/>
        </w:rPr>
      </w:pPr>
      <w:r>
        <w:rPr>
          <w:rFonts w:ascii="Verdana" w:hAnsi="Verdana"/>
          <w:sz w:val="20"/>
          <w:szCs w:val="20"/>
        </w:rPr>
        <w:t>Investec Bank Limited</w:t>
      </w:r>
    </w:p>
    <w:p>
      <w:pPr>
        <w:suppressAutoHyphens/>
        <w:jc w:val="both"/>
        <w:rPr>
          <w:rFonts w:ascii="Calibri" w:eastAsia="Arial" w:hAnsi="Calibri" w:cs="Calibri"/>
          <w:lang w:eastAsia="en-GB"/>
        </w:rPr>
      </w:pPr>
    </w:p>
    <w:p>
      <w:pPr>
        <w:spacing w:after="160" w:line="256" w:lineRule="auto"/>
        <w:jc w:val="both"/>
        <w:textAlignment w:val="baseline"/>
        <w:rPr>
          <w:rFonts w:ascii="Verdana" w:eastAsia="Calibri" w:hAnsi="Verdana" w:cs="Segoe UI"/>
          <w:sz w:val="20"/>
          <w:szCs w:val="20"/>
          <w:lang w:val="en-US"/>
        </w:rPr>
      </w:pPr>
      <w:bookmarkStart w:id="4" w:name="_Hlk107056137"/>
      <w:r>
        <w:rPr>
          <w:rFonts w:ascii="Verdana" w:eastAsia="Calibri" w:hAnsi="Verdana" w:cs="Segoe UI"/>
          <w:b/>
          <w:bCs/>
          <w:sz w:val="20"/>
          <w:szCs w:val="20"/>
          <w:lang w:val="en-ZA"/>
        </w:rPr>
        <w:t>Enquiries</w:t>
      </w:r>
      <w:r>
        <w:rPr>
          <w:rFonts w:ascii="Verdana" w:eastAsia="Calibri" w:hAnsi="Verdana" w:cs="Segoe UI"/>
          <w:sz w:val="20"/>
          <w:szCs w:val="20"/>
          <w:lang w:val="en-US"/>
        </w:rPr>
        <w:t>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815"/>
        <w:gridCol w:w="4380"/>
      </w:tblGrid>
      <w:tr>
        <w:tblPrEx>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4815" w:type="dxa"/>
            <w:tcBorders>
              <w:top w:val="nil"/>
              <w:left w:val="nil"/>
              <w:bottom w:val="nil"/>
              <w:right w:val="nil"/>
            </w:tcBorders>
            <w:shd w:val="clear" w:color="auto" w:fill="auto"/>
            <w:hideMark/>
          </w:tcPr>
          <w:p>
            <w:pPr>
              <w:spacing w:after="160" w:line="256" w:lineRule="auto"/>
              <w:jc w:val="both"/>
              <w:textAlignment w:val="baseline"/>
              <w:rPr>
                <w:rFonts w:ascii="Verdana" w:eastAsia="Calibri" w:hAnsi="Verdana"/>
                <w:sz w:val="20"/>
                <w:szCs w:val="20"/>
                <w:lang w:val="en-ZA"/>
              </w:rPr>
            </w:pPr>
            <w:r>
              <w:rPr>
                <w:rFonts w:ascii="Verdana" w:eastAsia="Calibri" w:hAnsi="Verdana"/>
                <w:b/>
                <w:bCs/>
                <w:sz w:val="20"/>
                <w:szCs w:val="20"/>
                <w:lang w:val="en-ZA"/>
              </w:rPr>
              <w:t>Investor Enquiries</w:t>
            </w:r>
            <w:r>
              <w:rPr>
                <w:rFonts w:ascii="Verdana" w:eastAsia="Calibri" w:hAnsi="Verdana"/>
                <w:sz w:val="20"/>
                <w:szCs w:val="20"/>
                <w:lang w:val="en-ZA"/>
              </w:rPr>
              <w:t> </w:t>
            </w:r>
          </w:p>
          <w:p>
            <w:pPr>
              <w:spacing w:after="160" w:line="256" w:lineRule="auto"/>
              <w:jc w:val="both"/>
              <w:textAlignment w:val="baseline"/>
              <w:rPr>
                <w:rFonts w:ascii="Verdana" w:eastAsia="Calibri" w:hAnsi="Verdana"/>
                <w:sz w:val="20"/>
                <w:szCs w:val="20"/>
                <w:lang w:val="en-ZA"/>
              </w:rPr>
            </w:pPr>
            <w:r>
              <w:rPr>
                <w:rFonts w:ascii="Verdana" w:eastAsia="Calibri" w:hAnsi="Verdana"/>
                <w:sz w:val="20"/>
                <w:szCs w:val="20"/>
                <w:lang w:val="en-ZA"/>
              </w:rPr>
              <w:t>Eoin Ryan, Head of Investor Relations </w:t>
            </w:r>
          </w:p>
        </w:tc>
        <w:tc>
          <w:tcPr>
            <w:tcW w:w="4380" w:type="dxa"/>
            <w:tcBorders>
              <w:top w:val="nil"/>
              <w:left w:val="nil"/>
              <w:bottom w:val="nil"/>
              <w:right w:val="nil"/>
            </w:tcBorders>
            <w:shd w:val="clear" w:color="auto" w:fill="auto"/>
            <w:hideMark/>
          </w:tcPr>
          <w:p>
            <w:pPr>
              <w:spacing w:after="160" w:line="256" w:lineRule="auto"/>
              <w:jc w:val="both"/>
              <w:textAlignment w:val="baseline"/>
              <w:rPr>
                <w:rFonts w:ascii="Verdana" w:eastAsia="Calibri" w:hAnsi="Verdana"/>
                <w:sz w:val="20"/>
                <w:szCs w:val="20"/>
                <w:lang w:val="en-ZA"/>
              </w:rPr>
            </w:pPr>
            <w:r>
              <w:rPr>
                <w:rFonts w:ascii="Verdana" w:eastAsia="Calibri" w:hAnsi="Verdana"/>
                <w:sz w:val="20"/>
                <w:szCs w:val="20"/>
                <w:lang w:val="en-ZA"/>
              </w:rPr>
              <w:t>+1 347-210-4305 </w:t>
            </w:r>
          </w:p>
        </w:tc>
      </w:tr>
      <w:tr>
        <w:tblPrEx>
          <w:tblW w:w="9195" w:type="dxa"/>
          <w:tblCellMar>
            <w:left w:w="0" w:type="dxa"/>
            <w:right w:w="0" w:type="dxa"/>
          </w:tblCellMar>
          <w:tblLook w:val="04A0"/>
        </w:tblPrEx>
        <w:trPr>
          <w:trHeight w:val="110"/>
        </w:trPr>
        <w:tc>
          <w:tcPr>
            <w:tcW w:w="4815" w:type="dxa"/>
            <w:tcBorders>
              <w:top w:val="nil"/>
              <w:left w:val="nil"/>
              <w:bottom w:val="nil"/>
              <w:right w:val="nil"/>
            </w:tcBorders>
            <w:shd w:val="clear" w:color="auto" w:fill="auto"/>
            <w:hideMark/>
          </w:tcPr>
          <w:p>
            <w:pPr>
              <w:spacing w:after="160" w:line="256" w:lineRule="auto"/>
              <w:jc w:val="both"/>
              <w:textAlignment w:val="baseline"/>
              <w:rPr>
                <w:rFonts w:ascii="Verdana" w:eastAsia="Calibri" w:hAnsi="Verdana"/>
                <w:sz w:val="20"/>
                <w:szCs w:val="20"/>
                <w:lang w:val="en-ZA"/>
              </w:rPr>
            </w:pPr>
            <w:r>
              <w:rPr>
                <w:rFonts w:ascii="Verdana" w:eastAsia="Calibri" w:hAnsi="Verdana"/>
                <w:b/>
                <w:bCs/>
                <w:sz w:val="20"/>
                <w:szCs w:val="20"/>
                <w:lang w:val="en-ZA"/>
              </w:rPr>
              <w:t>Media Enquiries</w:t>
            </w:r>
            <w:r>
              <w:rPr>
                <w:rFonts w:ascii="Verdana" w:eastAsia="Calibri" w:hAnsi="Verdana"/>
                <w:sz w:val="20"/>
                <w:szCs w:val="20"/>
                <w:lang w:val="en-ZA"/>
              </w:rPr>
              <w:t> </w:t>
            </w:r>
          </w:p>
          <w:p>
            <w:pPr>
              <w:spacing w:after="160" w:line="256" w:lineRule="auto"/>
              <w:jc w:val="both"/>
              <w:textAlignment w:val="baseline"/>
              <w:rPr>
                <w:rFonts w:ascii="Verdana" w:eastAsia="Calibri" w:hAnsi="Verdana"/>
                <w:sz w:val="20"/>
                <w:szCs w:val="20"/>
                <w:lang w:val="en-ZA"/>
              </w:rPr>
            </w:pPr>
            <w:r>
              <w:rPr>
                <w:rFonts w:ascii="Verdana" w:eastAsia="Calibri" w:hAnsi="Verdana"/>
                <w:sz w:val="20"/>
                <w:szCs w:val="20"/>
                <w:lang w:val="en-ZA"/>
              </w:rPr>
              <w:t>Shamiela Letsoalo, Media Relations Director</w:t>
            </w:r>
          </w:p>
        </w:tc>
        <w:tc>
          <w:tcPr>
            <w:tcW w:w="4380" w:type="dxa"/>
            <w:tcBorders>
              <w:top w:val="nil"/>
              <w:left w:val="nil"/>
              <w:bottom w:val="nil"/>
              <w:right w:val="nil"/>
            </w:tcBorders>
            <w:shd w:val="clear" w:color="auto" w:fill="auto"/>
            <w:hideMark/>
          </w:tcPr>
          <w:p>
            <w:pPr>
              <w:spacing w:after="160" w:line="256" w:lineRule="auto"/>
              <w:jc w:val="both"/>
              <w:textAlignment w:val="baseline"/>
              <w:rPr>
                <w:rFonts w:ascii="Verdana" w:eastAsia="Calibri" w:hAnsi="Verdana"/>
                <w:sz w:val="20"/>
                <w:szCs w:val="20"/>
                <w:lang w:val="en-ZA"/>
              </w:rPr>
            </w:pPr>
            <w:r>
              <w:rPr>
                <w:rFonts w:ascii="Verdana" w:eastAsia="Calibri" w:hAnsi="Verdana"/>
                <w:sz w:val="20"/>
                <w:szCs w:val="20"/>
                <w:lang w:val="en-ZA"/>
              </w:rPr>
              <w:t>+ 27 78 802 6310 </w:t>
            </w:r>
          </w:p>
        </w:tc>
      </w:tr>
      <w:bookmarkEnd w:id="4"/>
    </w:tbl>
    <w:p>
      <w:pPr>
        <w:suppressAutoHyphens/>
        <w:rPr>
          <w:rFonts w:ascii="Verdana" w:eastAsia="Verdana" w:hAnsi="Verdana" w:cs="Verdana"/>
          <w:b/>
          <w:color w:val="000000"/>
          <w:sz w:val="20"/>
          <w:szCs w:val="20"/>
          <w:lang w:eastAsia="en-GB"/>
        </w:rPr>
      </w:pPr>
    </w:p>
    <w:p>
      <w:pPr>
        <w:spacing w:after="160" w:line="256" w:lineRule="auto"/>
        <w:jc w:val="both"/>
        <w:rPr>
          <w:rFonts w:ascii="Calibri" w:eastAsia="Calibri" w:hAnsi="Calibri" w:cs="Arial"/>
          <w:b/>
          <w:bCs/>
          <w:i/>
          <w:iCs/>
          <w:color w:val="000000"/>
          <w:sz w:val="16"/>
          <w:szCs w:val="16"/>
          <w:lang w:val="en-US"/>
        </w:rPr>
      </w:pPr>
      <w:r>
        <w:rPr>
          <w:rFonts w:ascii="Calibri" w:eastAsia="Calibri" w:hAnsi="Calibri" w:cs="Arial"/>
          <w:b/>
          <w:bCs/>
          <w:i/>
          <w:iCs/>
          <w:color w:val="000000"/>
          <w:sz w:val="16"/>
          <w:szCs w:val="16"/>
          <w:lang w:val="en-US"/>
        </w:rPr>
        <w:t>About Prosus</w:t>
      </w:r>
    </w:p>
    <w:p>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Prosus is a global consumer internet group and one of the largest technology investors in the world. Operating and investing globally in markets with long-term growth potential, Prosus builds leading consumer internet companies that empower people and enrich communities.</w:t>
      </w:r>
    </w:p>
    <w:p>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The group is focused on building meaningful businesses in the online classifieds, food delivery, payments and fintech, and education technology sectors in markets including India and Brazil. Through its ventures team, Prosus invests in areas including health, logistics, blockchain, and social commerce. Prosus actively seeks new opportunities to partner with exceptional entrepreneurs using technology to improve people’s everyday lives.</w:t>
      </w:r>
    </w:p>
    <w:p>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Every day, billions of customers use the products and services of companies that Prosus has invested in, acquired or built, including 99minutos, Airmeet, Aruna, AutoTrader, Autovit.ro, Azos, BandLab, Bibit, Biome Makers, Borneo, Brainly, BUX, BYJU'S, Bykea, Captain Fresh, Codecademy, Collective Benefits, Creditas, DappRadar, DeHaat, dott, EduMe, ElasticRun, eMAG, Endowus, Eruditus, EVERY, Facily, Flink, Foodics, Good Glamm Group, GoodHabitz, GoStudent, Honor, iFood, Imovirtual, Klar, Kovi, LazyPay, letgo, Luno, Mensa Brands, Meesho, merXu, Movile, Oda, OLX, Otodom, OTOMOTO, PaySense, PayU, Pharmeasy, Platzi, Property24, Quick Ride, Red Dot Payment, Republic, Shipper, ShopUp, SoloLearn, Stack Overflow, Standvirtual, Superside, Swiggy, Thndr, Tonik, Ula, Urban Company, Wayflyer, and Wolt.</w:t>
      </w:r>
    </w:p>
    <w:p>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Hundreds of millions of people have made the platforms of Prosus’s associates a part of their daily lives. For listed companies where we have an interest, please see: Tencent, Delivery Hero, Remitly, Trip.com, Udemy, Skillsoft, Sinch, and SimilarWeb.</w:t>
      </w:r>
    </w:p>
    <w:p>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Today, Prosus companies and associates help improve the lives of more than two billion people around the world.</w:t>
      </w:r>
    </w:p>
    <w:p>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Prosus has a primary listing on Euronext Amsterdam (AEX:PRX) and secondary listings on the Johannesburg Stock Exchange (XJSE:PRX) and a2X Markets (PRX.AJ). Prosus is majority-owned by Naspers.</w:t>
      </w:r>
    </w:p>
    <w:p>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For more information, please visit www.prosus.com.</w:t>
      </w:r>
    </w:p>
    <w:p>
      <w:pPr>
        <w:spacing w:after="160" w:line="256" w:lineRule="auto"/>
        <w:jc w:val="both"/>
        <w:rPr>
          <w:rFonts w:ascii="Calibri" w:eastAsia="Calibri" w:hAnsi="Calibri" w:cs="Arial"/>
          <w:b/>
          <w:bCs/>
          <w:i/>
          <w:iCs/>
          <w:color w:val="000000"/>
          <w:sz w:val="16"/>
          <w:szCs w:val="16"/>
          <w:lang w:val="en-US"/>
        </w:rPr>
      </w:pPr>
      <w:bookmarkStart w:id="5" w:name="_Hlk107580844"/>
      <w:r>
        <w:rPr>
          <w:rFonts w:ascii="Calibri" w:eastAsia="Calibri" w:hAnsi="Calibri" w:cs="Arial"/>
          <w:b/>
          <w:bCs/>
          <w:i/>
          <w:iCs/>
          <w:color w:val="000000"/>
          <w:sz w:val="16"/>
          <w:szCs w:val="16"/>
          <w:lang w:val="en-US"/>
        </w:rPr>
        <w:t>Disclaimer</w:t>
      </w:r>
    </w:p>
    <w:p>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The Repurchase Programme is being conducted in accordance with Articles 5(1) and 5(3) of Regulation (EU) No 596/2014 of the European Parliament and of the Council of 16 April 2014 on market abuse (“Market Abuse Regulation”) and Articles 2 to 4 of Commission Delegated Regulation (EU) 2016/1052 supplementing the Market Abuse Regulation with regard to regulatory technical standards for the conditions applicable to buy-back programmes and stabilisation measures (the “Delegated Regulation”). This document is issued in connection with the disclosure and reporting obligation set out in Article 2(1) of the Delegated Regulation.</w:t>
      </w:r>
    </w:p>
    <w:p>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document contains information that qualifies as inside information within the meaning of Article 7(1) of the Market Abuse Regulation.</w:t>
      </w:r>
    </w:p>
    <w:p>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announcement does not constitute, or form part of, an offer or any solicitation of an offer for securities in any jurisdiction.</w:t>
      </w:r>
    </w:p>
    <w:p>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The information contained in this announcement may contain forward-looking statements, estimates and projections.  Forward-looking statements involve all matters that are not historical and may be identified by the words “anticipate”, ”believe”, ”estimate”, ”expect”, ”intend”, ”may”, ”should”, ”will”, ”would” and similar expressions or their negatives, but the absence of these words does not necessarily mean that a statement is not forward-looking. These statements reflect Prosus’s intentions, beliefs or current expectations, involve elements of subjective judgement and analysis and are based upon the best judgement of Prosus as of the date of this announcement, but could prove to be wrong. These statements are subject to change without notice and are based on a number of assumptions and entail known and unknown risks and uncertainties. Therefore, you should not rely on these forward-looking statements as a prediction of actual results.</w:t>
      </w:r>
    </w:p>
    <w:p>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Any forward-looking statements are made only as of the date of this announcement and neither Prosus nor any other person gives any undertaking, or is under any obligation, to update these forward-looking statements for events or circumstances that occur subsequent to the date of this announcement or to update or keep current any of the information contained herein, any changes in assumptions or changes in factors affecting these statements and this announcement is not a representation by Prosus or any other person that they will do so, except to the extent required by law.</w:t>
      </w:r>
      <w:bookmarkEnd w:id="5"/>
    </w:p>
    <w:sectPr>
      <w:footerReference w:type="first" r:id="rId9"/>
      <w:pgSz w:w="11906" w:h="16838" w:code="9"/>
      <w:pgMar w:top="1588" w:right="1134" w:bottom="1021" w:left="1134" w:header="851" w:footer="45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Bold">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48144761"/>
      <w:docPartObj>
        <w:docPartGallery w:val="Page Numbers (Bottom of Page)"/>
        <w:docPartUnique/>
      </w:docPartObj>
    </w:sdtPr>
    <w:sdtEndPr>
      <w:rPr>
        <w:noProof/>
      </w:rPr>
    </w:sdtEndPr>
    <w:sdtContent>
      <w:p>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4209E7"/>
    <w:multiLevelType w:val="multilevel"/>
    <w:tmpl w:val="4AE6BC92"/>
    <w:name w:val="AOApp"/>
    <w:lvl w:ilvl="0">
      <w:start w:val="1"/>
      <w:numFmt w:val="decimal"/>
      <w:pStyle w:val="AOAppHead"/>
      <w:suff w:val="nothing"/>
      <w:lvlText w:val="Appendix %1"/>
      <w:lvlJc w:val="left"/>
      <w:pPr>
        <w:tabs>
          <w:tab w:val="num" w:pos="0"/>
        </w:tabs>
        <w:ind w:left="0" w:firstLine="0"/>
      </w:pPr>
      <w:rPr>
        <w:rFonts w:ascii="Times New Roman Bold" w:hAnsi="Times New Roman Bold"/>
      </w:rPr>
    </w:lvl>
    <w:lvl w:ilvl="1">
      <w:start w:val="1"/>
      <w:numFmt w:val="decimal"/>
      <w:pStyle w:val="AOApp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Jc w:val="left"/>
      <w:pPr>
        <w:tabs>
          <w:tab w:val="num" w:pos="0"/>
        </w:tabs>
        <w:ind w:left="0" w:firstLine="0"/>
      </w:pPr>
      <w:rPr>
        <w:rFonts w:ascii="Times New Roman" w:hAnsi="Times New Roman" w:cs="Times New Roman"/>
      </w:rPr>
    </w:lvl>
    <w:lvl w:ilvl="3">
      <w:start w:val="1"/>
      <w:numFmt w:val="none"/>
      <w:lvlRestart w:val="1"/>
      <w:suff w:val="nothing"/>
      <w:lvlJc w:val="left"/>
      <w:pPr>
        <w:tabs>
          <w:tab w:val="num" w:pos="0"/>
        </w:tabs>
        <w:ind w:left="0" w:firstLine="0"/>
      </w:pPr>
      <w:rPr>
        <w:rFonts w:ascii="Times New Roman" w:hAnsi="Times New Roman" w:cs="Times New Roman"/>
      </w:rPr>
    </w:lvl>
    <w:lvl w:ilvl="4">
      <w:start w:val="1"/>
      <w:numFmt w:val="none"/>
      <w:lvlRestart w:val="1"/>
      <w:suff w:val="nothing"/>
      <w:lvlJc w:val="left"/>
      <w:pPr>
        <w:tabs>
          <w:tab w:val="num" w:pos="0"/>
        </w:tabs>
        <w:ind w:left="0" w:firstLine="0"/>
      </w:pPr>
      <w:rPr>
        <w:rFonts w:ascii="Times New Roman" w:hAnsi="Times New Roman" w:cs="Times New Roman"/>
      </w:rPr>
    </w:lvl>
    <w:lvl w:ilvl="5">
      <w:start w:val="1"/>
      <w:numFmt w:val="none"/>
      <w:lvlRestart w:val="1"/>
      <w:suff w:val="nothing"/>
      <w:lvlJc w:val="left"/>
      <w:pPr>
        <w:tabs>
          <w:tab w:val="num" w:pos="0"/>
        </w:tabs>
        <w:ind w:left="0" w:firstLine="0"/>
      </w:pPr>
      <w:rPr>
        <w:rFonts w:ascii="Times New Roman" w:hAnsi="Times New Roman" w:cs="Times New Roman"/>
      </w:rPr>
    </w:lvl>
    <w:lvl w:ilvl="6">
      <w:start w:val="1"/>
      <w:numFmt w:val="none"/>
      <w:lvlRestart w:val="1"/>
      <w:suff w:val="nothing"/>
      <w:lvlJc w:val="left"/>
      <w:pPr>
        <w:tabs>
          <w:tab w:val="num" w:pos="0"/>
        </w:tabs>
        <w:ind w:left="0" w:firstLine="0"/>
      </w:pPr>
      <w:rPr>
        <w:rFonts w:ascii="Times New Roman" w:hAnsi="Times New Roman" w:cs="Times New Roman"/>
      </w:rPr>
    </w:lvl>
    <w:lvl w:ilvl="7">
      <w:start w:val="1"/>
      <w:numFmt w:val="none"/>
      <w:lvlRestart w:val="1"/>
      <w:suff w:val="nothing"/>
      <w:lvlJc w:val="left"/>
      <w:pPr>
        <w:tabs>
          <w:tab w:val="num" w:pos="0"/>
        </w:tabs>
        <w:ind w:left="0" w:firstLine="0"/>
      </w:pPr>
      <w:rPr>
        <w:rFonts w:ascii="Times New Roman" w:hAnsi="Times New Roman" w:cs="Times New Roman"/>
      </w:rPr>
    </w:lvl>
    <w:lvl w:ilvl="8">
      <w:start w:val="1"/>
      <w:numFmt w:val="none"/>
      <w:lvlRestart w:val="1"/>
      <w:suff w:val="nothing"/>
      <w:lvlJc w:val="left"/>
      <w:pPr>
        <w:tabs>
          <w:tab w:val="num" w:pos="0"/>
        </w:tabs>
        <w:ind w:left="0" w:firstLine="0"/>
      </w:pPr>
      <w:rPr>
        <w:rFonts w:ascii="Times New Roman" w:hAnsi="Times New Roman" w:cs="Times New Roman"/>
      </w:rPr>
    </w:lvl>
  </w:abstractNum>
  <w:abstractNum w:abstractNumId="1">
    <w:nsid w:val="10F37ADE"/>
    <w:multiLevelType w:val="multilevel"/>
    <w:tmpl w:val="9FC2486A"/>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nsid w:val="1B0661F6"/>
    <w:multiLevelType w:val="singleLevel"/>
    <w:tmpl w:val="4830EC42"/>
    <w:name w:val="AOBullet2List"/>
    <w:lvl w:ilvl="0">
      <w:start w:val="1"/>
      <w:numFmt w:val="bullet"/>
      <w:pStyle w:val="AOBullet2"/>
      <w:lvlText w:val=""/>
      <w:lvlJc w:val="left"/>
      <w:pPr>
        <w:tabs>
          <w:tab w:val="num" w:pos="720"/>
        </w:tabs>
        <w:ind w:left="720" w:hanging="720"/>
      </w:pPr>
      <w:rPr>
        <w:rFonts w:ascii="Symbol" w:hAnsi="Symbol" w:hint="default"/>
      </w:rPr>
    </w:lvl>
  </w:abstractNum>
  <w:abstractNum w:abstractNumId="3">
    <w:nsid w:val="31FA6DE9"/>
    <w:multiLevelType w:val="singleLevel"/>
    <w:tmpl w:val="7C14B0E4"/>
    <w:name w:val="AOBulletList"/>
    <w:lvl w:ilvl="0">
      <w:start w:val="1"/>
      <w:numFmt w:val="bullet"/>
      <w:pStyle w:val="AOBullet"/>
      <w:lvlText w:val=""/>
      <w:lvlJc w:val="left"/>
      <w:pPr>
        <w:tabs>
          <w:tab w:val="num" w:pos="720"/>
        </w:tabs>
        <w:ind w:left="720" w:hanging="720"/>
      </w:pPr>
      <w:rPr>
        <w:rFonts w:ascii="Symbol" w:hAnsi="Symbol" w:hint="default"/>
        <w:caps w:val="0"/>
      </w:rPr>
    </w:lvl>
  </w:abstractNum>
  <w:abstractNum w:abstractNumId="4">
    <w:nsid w:val="36397557"/>
    <w:multiLevelType w:val="hybridMultilevel"/>
    <w:tmpl w:val="AE3220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91D542D"/>
    <w:multiLevelType w:val="multilevel"/>
    <w:tmpl w:val="3118B31C"/>
    <w:name w:val="AOTOC67"/>
    <w:lvl w:ilvl="0">
      <w:start w:val="1"/>
      <w:numFmt w:val="decimal"/>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Jc w:val="left"/>
      <w:pPr>
        <w:tabs>
          <w:tab w:val="num" w:pos="0"/>
        </w:tabs>
        <w:ind w:left="0" w:firstLine="0"/>
      </w:pPr>
      <w:rPr>
        <w:rFonts w:ascii="Times New Roman" w:hAnsi="Times New Roman" w:cs="Times New Roman"/>
      </w:rPr>
    </w:lvl>
    <w:lvl w:ilvl="3">
      <w:start w:val="1"/>
      <w:numFmt w:val="none"/>
      <w:lvlRestart w:val="1"/>
      <w:suff w:val="nothing"/>
      <w:lvlJc w:val="left"/>
      <w:pPr>
        <w:tabs>
          <w:tab w:val="num" w:pos="0"/>
        </w:tabs>
        <w:ind w:left="0" w:firstLine="0"/>
      </w:pPr>
      <w:rPr>
        <w:rFonts w:ascii="Times New Roman" w:hAnsi="Times New Roman" w:cs="Times New Roman"/>
      </w:rPr>
    </w:lvl>
    <w:lvl w:ilvl="4">
      <w:start w:val="1"/>
      <w:numFmt w:val="none"/>
      <w:lvlRestart w:val="1"/>
      <w:suff w:val="nothing"/>
      <w:lvlJc w:val="left"/>
      <w:pPr>
        <w:tabs>
          <w:tab w:val="num" w:pos="0"/>
        </w:tabs>
        <w:ind w:left="0" w:firstLine="0"/>
      </w:pPr>
      <w:rPr>
        <w:rFonts w:ascii="Times New Roman" w:hAnsi="Times New Roman" w:cs="Times New Roman"/>
      </w:rPr>
    </w:lvl>
    <w:lvl w:ilvl="5">
      <w:start w:val="1"/>
      <w:numFmt w:val="none"/>
      <w:lvlRestart w:val="1"/>
      <w:suff w:val="nothing"/>
      <w:lvlJc w:val="left"/>
      <w:pPr>
        <w:tabs>
          <w:tab w:val="num" w:pos="0"/>
        </w:tabs>
        <w:ind w:left="0" w:firstLine="0"/>
      </w:pPr>
      <w:rPr>
        <w:rFonts w:ascii="Times New Roman" w:hAnsi="Times New Roman" w:cs="Times New Roman"/>
      </w:rPr>
    </w:lvl>
    <w:lvl w:ilvl="6">
      <w:start w:val="1"/>
      <w:numFmt w:val="none"/>
      <w:lvlRestart w:val="1"/>
      <w:suff w:val="nothing"/>
      <w:lvlJc w:val="left"/>
      <w:pPr>
        <w:tabs>
          <w:tab w:val="num" w:pos="0"/>
        </w:tabs>
        <w:ind w:left="0" w:firstLine="0"/>
      </w:pPr>
      <w:rPr>
        <w:rFonts w:ascii="Times New Roman" w:hAnsi="Times New Roman" w:cs="Times New Roman"/>
      </w:rPr>
    </w:lvl>
    <w:lvl w:ilvl="7">
      <w:start w:val="1"/>
      <w:numFmt w:val="none"/>
      <w:lvlRestart w:val="1"/>
      <w:suff w:val="nothing"/>
      <w:lvlJc w:val="left"/>
      <w:pPr>
        <w:tabs>
          <w:tab w:val="num" w:pos="0"/>
        </w:tabs>
        <w:ind w:left="0" w:firstLine="0"/>
      </w:pPr>
      <w:rPr>
        <w:rFonts w:ascii="Times New Roman" w:hAnsi="Times New Roman" w:cs="Times New Roman"/>
      </w:rPr>
    </w:lvl>
    <w:lvl w:ilvl="8">
      <w:start w:val="1"/>
      <w:numFmt w:val="none"/>
      <w:lvlRestart w:val="1"/>
      <w:suff w:val="nothing"/>
      <w:lvlJc w:val="left"/>
      <w:pPr>
        <w:tabs>
          <w:tab w:val="num" w:pos="0"/>
        </w:tabs>
        <w:ind w:left="0" w:firstLine="0"/>
      </w:pPr>
      <w:rPr>
        <w:rFonts w:ascii="Times New Roman" w:hAnsi="Times New Roman" w:cs="Times New Roman"/>
      </w:rPr>
    </w:lvl>
  </w:abstractNum>
  <w:abstractNum w:abstractNumId="6">
    <w:nsid w:val="3D0E7D39"/>
    <w:multiLevelType w:val="multilevel"/>
    <w:tmpl w:val="32BA5AE2"/>
    <w:name w:val="AOSch"/>
    <w:lvl w:ilvl="0">
      <w:start w:val="1"/>
      <w:numFmt w:val="decimal"/>
      <w:pStyle w:val="AOSchHead"/>
      <w:suff w:val="nothing"/>
      <w:lvlText w:val="Schedule %1"/>
      <w:lvlJc w:val="left"/>
      <w:pPr>
        <w:tabs>
          <w:tab w:val="num" w:pos="0"/>
        </w:tabs>
        <w:ind w:left="0" w:firstLine="0"/>
      </w:pPr>
      <w:rPr>
        <w:rFonts w:ascii="Times New Roman Bold" w:hAnsi="Times New Roman Bold"/>
      </w:rPr>
    </w:lvl>
    <w:lvl w:ilvl="1">
      <w:start w:val="1"/>
      <w:numFmt w:val="decimal"/>
      <w:pStyle w:val="AOSch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Jc w:val="left"/>
      <w:pPr>
        <w:tabs>
          <w:tab w:val="num" w:pos="0"/>
        </w:tabs>
        <w:ind w:left="0" w:firstLine="0"/>
      </w:pPr>
      <w:rPr>
        <w:rFonts w:ascii="Times New Roman" w:hAnsi="Times New Roman" w:cs="Times New Roman"/>
      </w:rPr>
    </w:lvl>
    <w:lvl w:ilvl="3">
      <w:start w:val="1"/>
      <w:numFmt w:val="none"/>
      <w:lvlRestart w:val="1"/>
      <w:suff w:val="nothing"/>
      <w:lvlJc w:val="left"/>
      <w:pPr>
        <w:tabs>
          <w:tab w:val="num" w:pos="0"/>
        </w:tabs>
        <w:ind w:left="0" w:firstLine="0"/>
      </w:pPr>
      <w:rPr>
        <w:rFonts w:ascii="Times New Roman" w:hAnsi="Times New Roman" w:cs="Times New Roman"/>
      </w:rPr>
    </w:lvl>
    <w:lvl w:ilvl="4">
      <w:start w:val="1"/>
      <w:numFmt w:val="none"/>
      <w:lvlRestart w:val="1"/>
      <w:suff w:val="nothing"/>
      <w:lvlJc w:val="left"/>
      <w:pPr>
        <w:tabs>
          <w:tab w:val="num" w:pos="0"/>
        </w:tabs>
        <w:ind w:left="0" w:firstLine="0"/>
      </w:pPr>
      <w:rPr>
        <w:rFonts w:ascii="Times New Roman" w:hAnsi="Times New Roman" w:cs="Times New Roman"/>
      </w:rPr>
    </w:lvl>
    <w:lvl w:ilvl="5">
      <w:start w:val="1"/>
      <w:numFmt w:val="none"/>
      <w:lvlRestart w:val="1"/>
      <w:suff w:val="nothing"/>
      <w:lvlJc w:val="left"/>
      <w:pPr>
        <w:tabs>
          <w:tab w:val="num" w:pos="0"/>
        </w:tabs>
        <w:ind w:left="0" w:firstLine="0"/>
      </w:pPr>
      <w:rPr>
        <w:rFonts w:ascii="Times New Roman" w:hAnsi="Times New Roman" w:cs="Times New Roman"/>
      </w:rPr>
    </w:lvl>
    <w:lvl w:ilvl="6">
      <w:start w:val="1"/>
      <w:numFmt w:val="none"/>
      <w:lvlRestart w:val="1"/>
      <w:suff w:val="nothing"/>
      <w:lvlJc w:val="left"/>
      <w:pPr>
        <w:tabs>
          <w:tab w:val="num" w:pos="0"/>
        </w:tabs>
        <w:ind w:left="0" w:firstLine="0"/>
      </w:pPr>
      <w:rPr>
        <w:rFonts w:ascii="Times New Roman" w:hAnsi="Times New Roman" w:cs="Times New Roman"/>
      </w:rPr>
    </w:lvl>
    <w:lvl w:ilvl="7">
      <w:start w:val="1"/>
      <w:numFmt w:val="none"/>
      <w:lvlRestart w:val="1"/>
      <w:suff w:val="nothing"/>
      <w:lvlJc w:val="left"/>
      <w:pPr>
        <w:tabs>
          <w:tab w:val="num" w:pos="0"/>
        </w:tabs>
        <w:ind w:left="0" w:firstLine="0"/>
      </w:pPr>
      <w:rPr>
        <w:rFonts w:ascii="Times New Roman" w:hAnsi="Times New Roman" w:cs="Times New Roman"/>
      </w:rPr>
    </w:lvl>
    <w:lvl w:ilvl="8">
      <w:start w:val="1"/>
      <w:numFmt w:val="none"/>
      <w:lvlRestart w:val="1"/>
      <w:suff w:val="nothing"/>
      <w:lvlJc w:val="left"/>
      <w:pPr>
        <w:tabs>
          <w:tab w:val="num" w:pos="0"/>
        </w:tabs>
        <w:ind w:left="0" w:firstLine="0"/>
      </w:pPr>
      <w:rPr>
        <w:rFonts w:ascii="Times New Roman" w:hAnsi="Times New Roman" w:cs="Times New Roman"/>
      </w:rPr>
    </w:lvl>
  </w:abstractNum>
  <w:abstractNum w:abstractNumId="7">
    <w:nsid w:val="3E29759A"/>
    <w:multiLevelType w:val="multilevel"/>
    <w:tmpl w:val="E858054A"/>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8">
    <w:nsid w:val="41F230E7"/>
    <w:multiLevelType w:val="singleLevel"/>
    <w:tmpl w:val="D8EEB1C0"/>
    <w:name w:val="AOBullet4List"/>
    <w:lvl w:ilvl="0">
      <w:start w:val="1"/>
      <w:numFmt w:val="bullet"/>
      <w:pStyle w:val="AOBullet4"/>
      <w:lvlText w:val="§"/>
      <w:lvlJc w:val="left"/>
      <w:pPr>
        <w:tabs>
          <w:tab w:val="num" w:pos="720"/>
        </w:tabs>
        <w:ind w:left="720" w:hanging="720"/>
      </w:pPr>
      <w:rPr>
        <w:rFonts w:ascii="Wingdings" w:hAnsi="Wingdings" w:hint="default"/>
      </w:rPr>
    </w:lvl>
  </w:abstractNum>
  <w:abstractNum w:abstractNumId="9">
    <w:nsid w:val="47B238E7"/>
    <w:multiLevelType w:val="multilevel"/>
    <w:tmpl w:val="D2C69366"/>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0">
    <w:nsid w:val="49C66851"/>
    <w:multiLevelType w:val="multilevel"/>
    <w:tmpl w:val="4E548026"/>
    <w:name w:val="AOAnx"/>
    <w:lvl w:ilvl="0">
      <w:start w:val="1"/>
      <w:numFmt w:val="decimal"/>
      <w:pStyle w:val="AOAnxHead"/>
      <w:suff w:val="nothing"/>
      <w:lvlText w:val="Annex %1"/>
      <w:lvlJc w:val="left"/>
      <w:pPr>
        <w:tabs>
          <w:tab w:val="num" w:pos="0"/>
        </w:tabs>
        <w:ind w:left="0" w:firstLine="0"/>
      </w:pPr>
      <w:rPr>
        <w:rFonts w:ascii="Times New Roman Bold" w:hAnsi="Times New Roman Bold"/>
      </w:rPr>
    </w:lvl>
    <w:lvl w:ilvl="1">
      <w:start w:val="1"/>
      <w:numFmt w:val="decimal"/>
      <w:pStyle w:val="AOAnx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Jc w:val="left"/>
      <w:pPr>
        <w:tabs>
          <w:tab w:val="num" w:pos="0"/>
        </w:tabs>
        <w:ind w:left="0" w:firstLine="0"/>
      </w:pPr>
      <w:rPr>
        <w:rFonts w:ascii="Times New Roman" w:hAnsi="Times New Roman" w:cs="Times New Roman"/>
      </w:rPr>
    </w:lvl>
    <w:lvl w:ilvl="3">
      <w:start w:val="1"/>
      <w:numFmt w:val="none"/>
      <w:lvlRestart w:val="1"/>
      <w:suff w:val="nothing"/>
      <w:lvlJc w:val="left"/>
      <w:pPr>
        <w:tabs>
          <w:tab w:val="num" w:pos="0"/>
        </w:tabs>
        <w:ind w:left="0" w:firstLine="0"/>
      </w:pPr>
      <w:rPr>
        <w:rFonts w:ascii="Times New Roman" w:hAnsi="Times New Roman" w:cs="Times New Roman"/>
      </w:rPr>
    </w:lvl>
    <w:lvl w:ilvl="4">
      <w:start w:val="1"/>
      <w:numFmt w:val="none"/>
      <w:lvlRestart w:val="1"/>
      <w:suff w:val="nothing"/>
      <w:lvlJc w:val="left"/>
      <w:pPr>
        <w:tabs>
          <w:tab w:val="num" w:pos="0"/>
        </w:tabs>
        <w:ind w:left="0" w:firstLine="0"/>
      </w:pPr>
      <w:rPr>
        <w:rFonts w:ascii="Times New Roman" w:hAnsi="Times New Roman" w:cs="Times New Roman"/>
      </w:rPr>
    </w:lvl>
    <w:lvl w:ilvl="5">
      <w:start w:val="1"/>
      <w:numFmt w:val="none"/>
      <w:lvlRestart w:val="1"/>
      <w:suff w:val="nothing"/>
      <w:lvlJc w:val="left"/>
      <w:pPr>
        <w:tabs>
          <w:tab w:val="num" w:pos="0"/>
        </w:tabs>
        <w:ind w:left="0" w:firstLine="0"/>
      </w:pPr>
      <w:rPr>
        <w:rFonts w:ascii="Times New Roman" w:hAnsi="Times New Roman" w:cs="Times New Roman"/>
      </w:rPr>
    </w:lvl>
    <w:lvl w:ilvl="6">
      <w:start w:val="1"/>
      <w:numFmt w:val="none"/>
      <w:lvlRestart w:val="1"/>
      <w:suff w:val="nothing"/>
      <w:lvlJc w:val="left"/>
      <w:pPr>
        <w:tabs>
          <w:tab w:val="num" w:pos="0"/>
        </w:tabs>
        <w:ind w:left="0" w:firstLine="0"/>
      </w:pPr>
      <w:rPr>
        <w:rFonts w:ascii="Times New Roman" w:hAnsi="Times New Roman" w:cs="Times New Roman"/>
      </w:rPr>
    </w:lvl>
    <w:lvl w:ilvl="7">
      <w:start w:val="1"/>
      <w:numFmt w:val="none"/>
      <w:lvlRestart w:val="1"/>
      <w:suff w:val="nothing"/>
      <w:lvlJc w:val="left"/>
      <w:pPr>
        <w:tabs>
          <w:tab w:val="num" w:pos="0"/>
        </w:tabs>
        <w:ind w:left="0" w:firstLine="0"/>
      </w:pPr>
      <w:rPr>
        <w:rFonts w:ascii="Times New Roman" w:hAnsi="Times New Roman" w:cs="Times New Roman"/>
      </w:rPr>
    </w:lvl>
    <w:lvl w:ilvl="8">
      <w:start w:val="1"/>
      <w:numFmt w:val="none"/>
      <w:lvlRestart w:val="1"/>
      <w:suff w:val="nothing"/>
      <w:lvlJc w:val="left"/>
      <w:pPr>
        <w:tabs>
          <w:tab w:val="num" w:pos="0"/>
        </w:tabs>
        <w:ind w:left="0" w:firstLine="0"/>
      </w:pPr>
      <w:rPr>
        <w:rFonts w:ascii="Times New Roman" w:hAnsi="Times New Roman" w:cs="Times New Roman"/>
      </w:rPr>
    </w:lvl>
  </w:abstractNum>
  <w:abstractNum w:abstractNumId="11">
    <w:nsid w:val="4CFE7B09"/>
    <w:multiLevelType w:val="multilevel"/>
    <w:tmpl w:val="ED72CCE0"/>
    <w:name w:val="AO1"/>
    <w:lvl w:ilvl="0">
      <w:start w:val="1"/>
      <w:numFmt w:val="decimal"/>
      <w:pStyle w:val="AO1"/>
      <w:lvlText w:val="(%1)"/>
      <w:lvlJc w:val="left"/>
      <w:pPr>
        <w:tabs>
          <w:tab w:val="num" w:pos="720"/>
        </w:tabs>
        <w:ind w:left="720" w:hanging="720"/>
      </w:pPr>
    </w:lvl>
    <w:lvl w:ilvl="1">
      <w:start w:val="1"/>
      <w:numFmt w:val="none"/>
      <w:suff w:val="nothing"/>
      <w:lvlJc w:val="left"/>
      <w:pPr>
        <w:tabs>
          <w:tab w:val="num" w:pos="0"/>
        </w:tabs>
        <w:ind w:left="0" w:firstLine="0"/>
      </w:pPr>
    </w:lvl>
    <w:lvl w:ilvl="2">
      <w:start w:val="1"/>
      <w:numFmt w:val="none"/>
      <w:lvlRestart w:val="1"/>
      <w:suff w:val="nothing"/>
      <w:lvlJc w:val="left"/>
      <w:pPr>
        <w:tabs>
          <w:tab w:val="num" w:pos="0"/>
        </w:tabs>
        <w:ind w:left="0" w:firstLine="0"/>
      </w:pPr>
    </w:lvl>
    <w:lvl w:ilvl="3">
      <w:start w:val="1"/>
      <w:numFmt w:val="none"/>
      <w:lvlRestart w:val="1"/>
      <w:suff w:val="nothing"/>
      <w:lvlJc w:val="left"/>
      <w:pPr>
        <w:tabs>
          <w:tab w:val="num" w:pos="0"/>
        </w:tabs>
        <w:ind w:left="0" w:firstLine="0"/>
      </w:pPr>
    </w:lvl>
    <w:lvl w:ilvl="4">
      <w:start w:val="1"/>
      <w:numFmt w:val="none"/>
      <w:lvlRestart w:val="1"/>
      <w:suff w:val="nothing"/>
      <w:lvlJc w:val="left"/>
      <w:pPr>
        <w:tabs>
          <w:tab w:val="num" w:pos="0"/>
        </w:tabs>
        <w:ind w:left="0" w:firstLine="0"/>
      </w:pPr>
    </w:lvl>
    <w:lvl w:ilvl="5">
      <w:start w:val="1"/>
      <w:numFmt w:val="none"/>
      <w:lvlRestart w:val="1"/>
      <w:suff w:val="nothing"/>
      <w:lvlJc w:val="left"/>
      <w:pPr>
        <w:tabs>
          <w:tab w:val="num" w:pos="0"/>
        </w:tabs>
        <w:ind w:left="0" w:firstLine="0"/>
      </w:pPr>
    </w:lvl>
    <w:lvl w:ilvl="6">
      <w:start w:val="1"/>
      <w:numFmt w:val="none"/>
      <w:lvlRestart w:val="1"/>
      <w:suff w:val="nothing"/>
      <w:lvlJc w:val="left"/>
      <w:pPr>
        <w:tabs>
          <w:tab w:val="num" w:pos="0"/>
        </w:tabs>
        <w:ind w:left="0" w:firstLine="0"/>
      </w:pPr>
    </w:lvl>
    <w:lvl w:ilvl="7">
      <w:start w:val="1"/>
      <w:numFmt w:val="none"/>
      <w:lvlRestart w:val="1"/>
      <w:suff w:val="nothing"/>
      <w:lvlJc w:val="left"/>
      <w:pPr>
        <w:tabs>
          <w:tab w:val="num" w:pos="0"/>
        </w:tabs>
        <w:ind w:left="0" w:firstLine="0"/>
      </w:pPr>
    </w:lvl>
    <w:lvl w:ilvl="8">
      <w:start w:val="1"/>
      <w:numFmt w:val="none"/>
      <w:lvlRestart w:val="1"/>
      <w:suff w:val="nothing"/>
      <w:lvlJc w:val="left"/>
      <w:pPr>
        <w:tabs>
          <w:tab w:val="num" w:pos="0"/>
        </w:tabs>
        <w:ind w:left="0" w:firstLine="0"/>
      </w:pPr>
    </w:lvl>
  </w:abstractNum>
  <w:abstractNum w:abstractNumId="12">
    <w:nsid w:val="4E4B4E3E"/>
    <w:multiLevelType w:val="multilevel"/>
    <w:tmpl w:val="A468C28C"/>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Jc w:val="left"/>
      <w:pPr>
        <w:tabs>
          <w:tab w:val="num" w:pos="0"/>
        </w:tabs>
        <w:ind w:left="0" w:firstLine="0"/>
      </w:pPr>
    </w:lvl>
    <w:lvl w:ilvl="7">
      <w:start w:val="1"/>
      <w:numFmt w:val="none"/>
      <w:lvlJc w:val="left"/>
      <w:pPr>
        <w:tabs>
          <w:tab w:val="num" w:pos="0"/>
        </w:tabs>
        <w:ind w:left="0" w:firstLine="0"/>
      </w:pPr>
    </w:lvl>
    <w:lvl w:ilvl="8">
      <w:start w:val="1"/>
      <w:numFmt w:val="none"/>
      <w:lvlJc w:val="left"/>
      <w:pPr>
        <w:tabs>
          <w:tab w:val="num" w:pos="0"/>
        </w:tabs>
        <w:ind w:left="0" w:firstLine="0"/>
      </w:pPr>
    </w:lvl>
  </w:abstractNum>
  <w:abstractNum w:abstractNumId="13">
    <w:nsid w:val="511C70D7"/>
    <w:multiLevelType w:val="multilevel"/>
    <w:tmpl w:val="F258D804"/>
    <w:name w:val="AOTOC34"/>
    <w:lvl w:ilvl="0">
      <w:start w:val="1"/>
      <w:numFmt w:val="decimal"/>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Jc w:val="left"/>
      <w:pPr>
        <w:tabs>
          <w:tab w:val="num" w:pos="0"/>
        </w:tabs>
        <w:ind w:left="0" w:firstLine="0"/>
      </w:pPr>
      <w:rPr>
        <w:rFonts w:ascii="Times New Roman" w:hAnsi="Times New Roman" w:cs="Times New Roman"/>
      </w:rPr>
    </w:lvl>
    <w:lvl w:ilvl="3">
      <w:start w:val="1"/>
      <w:numFmt w:val="none"/>
      <w:lvlRestart w:val="1"/>
      <w:suff w:val="nothing"/>
      <w:lvlJc w:val="left"/>
      <w:pPr>
        <w:tabs>
          <w:tab w:val="num" w:pos="0"/>
        </w:tabs>
        <w:ind w:left="0" w:firstLine="0"/>
      </w:pPr>
      <w:rPr>
        <w:rFonts w:ascii="Times New Roman" w:hAnsi="Times New Roman" w:cs="Times New Roman"/>
      </w:rPr>
    </w:lvl>
    <w:lvl w:ilvl="4">
      <w:start w:val="1"/>
      <w:numFmt w:val="none"/>
      <w:lvlRestart w:val="1"/>
      <w:suff w:val="nothing"/>
      <w:lvlJc w:val="left"/>
      <w:pPr>
        <w:tabs>
          <w:tab w:val="num" w:pos="0"/>
        </w:tabs>
        <w:ind w:left="0" w:firstLine="0"/>
      </w:pPr>
      <w:rPr>
        <w:rFonts w:ascii="Times New Roman" w:hAnsi="Times New Roman" w:cs="Times New Roman"/>
      </w:rPr>
    </w:lvl>
    <w:lvl w:ilvl="5">
      <w:start w:val="1"/>
      <w:numFmt w:val="none"/>
      <w:lvlRestart w:val="1"/>
      <w:suff w:val="nothing"/>
      <w:lvlJc w:val="left"/>
      <w:pPr>
        <w:tabs>
          <w:tab w:val="num" w:pos="0"/>
        </w:tabs>
        <w:ind w:left="0" w:firstLine="0"/>
      </w:pPr>
      <w:rPr>
        <w:rFonts w:ascii="Times New Roman" w:hAnsi="Times New Roman" w:cs="Times New Roman"/>
      </w:rPr>
    </w:lvl>
    <w:lvl w:ilvl="6">
      <w:start w:val="1"/>
      <w:numFmt w:val="none"/>
      <w:lvlRestart w:val="1"/>
      <w:suff w:val="nothing"/>
      <w:lvlJc w:val="left"/>
      <w:pPr>
        <w:tabs>
          <w:tab w:val="num" w:pos="0"/>
        </w:tabs>
        <w:ind w:left="0" w:firstLine="0"/>
      </w:pPr>
      <w:rPr>
        <w:rFonts w:ascii="Times New Roman" w:hAnsi="Times New Roman" w:cs="Times New Roman"/>
      </w:rPr>
    </w:lvl>
    <w:lvl w:ilvl="7">
      <w:start w:val="1"/>
      <w:numFmt w:val="none"/>
      <w:lvlRestart w:val="1"/>
      <w:suff w:val="nothing"/>
      <w:lvlJc w:val="left"/>
      <w:pPr>
        <w:tabs>
          <w:tab w:val="num" w:pos="0"/>
        </w:tabs>
        <w:ind w:left="0" w:firstLine="0"/>
      </w:pPr>
      <w:rPr>
        <w:rFonts w:ascii="Times New Roman" w:hAnsi="Times New Roman" w:cs="Times New Roman"/>
      </w:rPr>
    </w:lvl>
    <w:lvl w:ilvl="8">
      <w:start w:val="1"/>
      <w:numFmt w:val="none"/>
      <w:lvlRestart w:val="1"/>
      <w:suff w:val="nothing"/>
      <w:lvlJc w:val="left"/>
      <w:pPr>
        <w:tabs>
          <w:tab w:val="num" w:pos="0"/>
        </w:tabs>
        <w:ind w:left="0" w:firstLine="0"/>
      </w:pPr>
      <w:rPr>
        <w:rFonts w:ascii="Times New Roman" w:hAnsi="Times New Roman" w:cs="Times New Roman"/>
      </w:rPr>
    </w:lvl>
  </w:abstractNum>
  <w:abstractNum w:abstractNumId="14">
    <w:nsid w:val="62830D10"/>
    <w:multiLevelType w:val="multilevel"/>
    <w:tmpl w:val="DEAC06D2"/>
    <w:name w:val="AOA"/>
    <w:lvl w:ilvl="0">
      <w:start w:val="1"/>
      <w:numFmt w:val="upperLetter"/>
      <w:pStyle w:val="AOA"/>
      <w:lvlText w:val="(%1)"/>
      <w:lvlJc w:val="left"/>
      <w:pPr>
        <w:ind w:left="720" w:hanging="720"/>
      </w:pPr>
    </w:lvl>
    <w:lvl w:ilvl="1">
      <w:start w:val="1"/>
      <w:numFmt w:val="none"/>
      <w:suff w:val="nothing"/>
      <w:lvlJc w:val="left"/>
      <w:pPr>
        <w:tabs>
          <w:tab w:val="num" w:pos="0"/>
        </w:tabs>
        <w:ind w:left="0" w:firstLine="0"/>
      </w:pPr>
    </w:lvl>
    <w:lvl w:ilvl="2">
      <w:start w:val="1"/>
      <w:numFmt w:val="none"/>
      <w:lvlRestart w:val="1"/>
      <w:suff w:val="nothing"/>
      <w:lvlJc w:val="left"/>
      <w:pPr>
        <w:tabs>
          <w:tab w:val="num" w:pos="0"/>
        </w:tabs>
        <w:ind w:left="0" w:firstLine="0"/>
      </w:pPr>
    </w:lvl>
    <w:lvl w:ilvl="3">
      <w:start w:val="1"/>
      <w:numFmt w:val="none"/>
      <w:lvlRestart w:val="1"/>
      <w:suff w:val="nothing"/>
      <w:lvlJc w:val="left"/>
      <w:pPr>
        <w:tabs>
          <w:tab w:val="num" w:pos="0"/>
        </w:tabs>
        <w:ind w:left="0" w:firstLine="0"/>
      </w:pPr>
    </w:lvl>
    <w:lvl w:ilvl="4">
      <w:start w:val="1"/>
      <w:numFmt w:val="none"/>
      <w:lvlRestart w:val="1"/>
      <w:suff w:val="nothing"/>
      <w:lvlJc w:val="left"/>
      <w:pPr>
        <w:tabs>
          <w:tab w:val="num" w:pos="0"/>
        </w:tabs>
        <w:ind w:left="0" w:firstLine="0"/>
      </w:pPr>
    </w:lvl>
    <w:lvl w:ilvl="5">
      <w:start w:val="1"/>
      <w:numFmt w:val="none"/>
      <w:lvlRestart w:val="1"/>
      <w:suff w:val="nothing"/>
      <w:lvlJc w:val="left"/>
      <w:pPr>
        <w:tabs>
          <w:tab w:val="num" w:pos="0"/>
        </w:tabs>
        <w:ind w:left="0" w:firstLine="0"/>
      </w:pPr>
    </w:lvl>
    <w:lvl w:ilvl="6">
      <w:start w:val="1"/>
      <w:numFmt w:val="none"/>
      <w:lvlRestart w:val="1"/>
      <w:suff w:val="nothing"/>
      <w:lvlJc w:val="left"/>
      <w:pPr>
        <w:tabs>
          <w:tab w:val="num" w:pos="0"/>
        </w:tabs>
        <w:ind w:left="0" w:firstLine="0"/>
      </w:pPr>
    </w:lvl>
    <w:lvl w:ilvl="7">
      <w:start w:val="1"/>
      <w:numFmt w:val="none"/>
      <w:lvlRestart w:val="1"/>
      <w:suff w:val="nothing"/>
      <w:lvlJc w:val="left"/>
      <w:pPr>
        <w:tabs>
          <w:tab w:val="num" w:pos="0"/>
        </w:tabs>
        <w:ind w:left="0" w:firstLine="0"/>
      </w:pPr>
    </w:lvl>
    <w:lvl w:ilvl="8">
      <w:start w:val="1"/>
      <w:numFmt w:val="none"/>
      <w:lvlRestart w:val="1"/>
      <w:suff w:val="nothing"/>
      <w:lvlJc w:val="left"/>
      <w:pPr>
        <w:tabs>
          <w:tab w:val="num" w:pos="0"/>
        </w:tabs>
        <w:ind w:left="0" w:firstLine="0"/>
      </w:pPr>
    </w:lvl>
  </w:abstractNum>
  <w:abstractNum w:abstractNumId="15">
    <w:nsid w:val="6AA227D0"/>
    <w:multiLevelType w:val="multilevel"/>
    <w:tmpl w:val="8D7090B4"/>
    <w:name w:val="AOTOC89"/>
    <w:lvl w:ilvl="0">
      <w:start w:val="1"/>
      <w:numFmt w:val="decimal"/>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Jc w:val="left"/>
      <w:pPr>
        <w:tabs>
          <w:tab w:val="num" w:pos="0"/>
        </w:tabs>
        <w:ind w:left="0" w:firstLine="0"/>
      </w:pPr>
      <w:rPr>
        <w:rFonts w:ascii="Times New Roman" w:hAnsi="Times New Roman" w:cs="Times New Roman"/>
      </w:rPr>
    </w:lvl>
    <w:lvl w:ilvl="3">
      <w:start w:val="1"/>
      <w:numFmt w:val="none"/>
      <w:lvlRestart w:val="1"/>
      <w:suff w:val="nothing"/>
      <w:lvlJc w:val="left"/>
      <w:pPr>
        <w:tabs>
          <w:tab w:val="num" w:pos="0"/>
        </w:tabs>
        <w:ind w:left="0" w:firstLine="0"/>
      </w:pPr>
      <w:rPr>
        <w:rFonts w:ascii="Times New Roman" w:hAnsi="Times New Roman" w:cs="Times New Roman"/>
      </w:rPr>
    </w:lvl>
    <w:lvl w:ilvl="4">
      <w:start w:val="1"/>
      <w:numFmt w:val="none"/>
      <w:lvlRestart w:val="1"/>
      <w:suff w:val="nothing"/>
      <w:lvlJc w:val="left"/>
      <w:pPr>
        <w:tabs>
          <w:tab w:val="num" w:pos="0"/>
        </w:tabs>
        <w:ind w:left="0" w:firstLine="0"/>
      </w:pPr>
      <w:rPr>
        <w:rFonts w:ascii="Times New Roman" w:hAnsi="Times New Roman" w:cs="Times New Roman"/>
      </w:rPr>
    </w:lvl>
    <w:lvl w:ilvl="5">
      <w:start w:val="1"/>
      <w:numFmt w:val="none"/>
      <w:lvlRestart w:val="1"/>
      <w:suff w:val="nothing"/>
      <w:lvlJc w:val="left"/>
      <w:pPr>
        <w:tabs>
          <w:tab w:val="num" w:pos="0"/>
        </w:tabs>
        <w:ind w:left="0" w:firstLine="0"/>
      </w:pPr>
      <w:rPr>
        <w:rFonts w:ascii="Times New Roman" w:hAnsi="Times New Roman" w:cs="Times New Roman"/>
      </w:rPr>
    </w:lvl>
    <w:lvl w:ilvl="6">
      <w:start w:val="1"/>
      <w:numFmt w:val="none"/>
      <w:lvlRestart w:val="1"/>
      <w:suff w:val="nothing"/>
      <w:lvlJc w:val="left"/>
      <w:pPr>
        <w:tabs>
          <w:tab w:val="num" w:pos="0"/>
        </w:tabs>
        <w:ind w:left="0" w:firstLine="0"/>
      </w:pPr>
      <w:rPr>
        <w:rFonts w:ascii="Times New Roman" w:hAnsi="Times New Roman" w:cs="Times New Roman"/>
      </w:rPr>
    </w:lvl>
    <w:lvl w:ilvl="7">
      <w:start w:val="1"/>
      <w:numFmt w:val="none"/>
      <w:lvlRestart w:val="1"/>
      <w:suff w:val="nothing"/>
      <w:lvlJc w:val="left"/>
      <w:pPr>
        <w:tabs>
          <w:tab w:val="num" w:pos="0"/>
        </w:tabs>
        <w:ind w:left="0" w:firstLine="0"/>
      </w:pPr>
      <w:rPr>
        <w:rFonts w:ascii="Times New Roman" w:hAnsi="Times New Roman" w:cs="Times New Roman"/>
      </w:rPr>
    </w:lvl>
    <w:lvl w:ilvl="8">
      <w:start w:val="1"/>
      <w:numFmt w:val="none"/>
      <w:lvlRestart w:val="1"/>
      <w:suff w:val="nothing"/>
      <w:lvlJc w:val="left"/>
      <w:pPr>
        <w:tabs>
          <w:tab w:val="num" w:pos="0"/>
        </w:tabs>
        <w:ind w:left="0" w:firstLine="0"/>
      </w:pPr>
      <w:rPr>
        <w:rFonts w:ascii="Times New Roman" w:hAnsi="Times New Roman" w:cs="Times New Roman"/>
      </w:rPr>
    </w:lvl>
  </w:abstractNum>
  <w:abstractNum w:abstractNumId="16">
    <w:nsid w:val="6F025FAA"/>
    <w:multiLevelType w:val="multilevel"/>
    <w:tmpl w:val="81C00400"/>
    <w:name w:val="AODef"/>
    <w:lvl w:ilvl="0">
      <w:start w:val="1"/>
      <w:numFmt w:val="none"/>
      <w:pStyle w:val="AODefHead"/>
      <w:suff w:val="nothing"/>
      <w:lvlJc w:val="left"/>
      <w:pPr>
        <w:tabs>
          <w:tab w:val="num" w:pos="720"/>
        </w:tabs>
        <w:ind w:left="720" w:firstLine="0"/>
      </w:pPr>
    </w:lvl>
    <w:lvl w:ilvl="1">
      <w:start w:val="1"/>
      <w:numFmt w:val="none"/>
      <w:pStyle w:val="AODefPara"/>
      <w:suff w:val="nothing"/>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17">
    <w:nsid w:val="6F8D3D7A"/>
    <w:multiLevelType w:val="singleLevel"/>
    <w:tmpl w:val="6B6C89F2"/>
    <w:name w:val="AOBullet3List"/>
    <w:lvl w:ilvl="0">
      <w:start w:val="1"/>
      <w:numFmt w:val="bullet"/>
      <w:pStyle w:val="AOBullet3"/>
      <w:lvlText w:val="-"/>
      <w:lvlJc w:val="left"/>
      <w:pPr>
        <w:tabs>
          <w:tab w:val="num" w:pos="720"/>
        </w:tabs>
        <w:ind w:left="720" w:hanging="720"/>
      </w:pPr>
      <w:rPr>
        <w:rFonts w:ascii="Symbol" w:hAnsi="Symbol" w:hint="default"/>
      </w:rPr>
    </w:lvl>
  </w:abstractNum>
  <w:abstractNum w:abstractNumId="18">
    <w:nsid w:val="761544F7"/>
    <w:multiLevelType w:val="multilevel"/>
    <w:tmpl w:val="57468C52"/>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abstractNumId w:val="12"/>
  </w:num>
  <w:num w:numId="2">
    <w:abstractNumId w:val="11"/>
  </w:num>
  <w:num w:numId="3">
    <w:abstractNumId w:val="14"/>
  </w:num>
  <w:num w:numId="4">
    <w:abstractNumId w:val="18"/>
  </w:num>
  <w:num w:numId="5">
    <w:abstractNumId w:val="7"/>
  </w:num>
  <w:num w:numId="6">
    <w:abstractNumId w:val="9"/>
  </w:num>
  <w:num w:numId="7">
    <w:abstractNumId w:val="16"/>
  </w:num>
  <w:num w:numId="8">
    <w:abstractNumId w:val="0"/>
  </w:num>
  <w:num w:numId="9">
    <w:abstractNumId w:val="10"/>
  </w:num>
  <w:num w:numId="10">
    <w:abstractNumId w:val="6"/>
  </w:num>
  <w:num w:numId="11">
    <w:abstractNumId w:val="3"/>
  </w:num>
  <w:num w:numId="12">
    <w:abstractNumId w:val="2"/>
  </w:num>
  <w:num w:numId="13">
    <w:abstractNumId w:val="17"/>
  </w:num>
  <w:num w:numId="14">
    <w:abstractNumId w:val="8"/>
  </w:num>
  <w:num w:numId="15">
    <w:abstractNumId w:val="13"/>
  </w:num>
  <w:num w:numId="16">
    <w:abstractNumId w:val="5"/>
  </w:num>
  <w:num w:numId="17">
    <w:abstractNumId w:val="15"/>
  </w:num>
  <w:num w:numId="18">
    <w:abstractNumId w:val="1"/>
  </w:num>
  <w:num w:numId="19">
    <w:abstractNumId w:val="3"/>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5:docId w15:val="{3E4C3BC9-78BD-4410-BD6E-40EEAEA4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next w:val="AONormal"/>
    <w:pPr>
      <w:spacing w:line="240" w:lineRule="auto"/>
    </w:pPr>
    <w:rPr>
      <w:rFonts w:cs="Times New Roman"/>
    </w:rPr>
  </w:style>
  <w:style w:type="paragraph" w:styleId="Heading1">
    <w:name w:val="heading 1"/>
    <w:basedOn w:val="AOHeadings"/>
    <w:next w:val="AODocTxt"/>
    <w:link w:val="Heading1Char"/>
    <w:uiPriority w:val="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pPr>
      <w:outlineLvl w:val="2"/>
    </w:pPr>
    <w:rPr>
      <w:rFonts w:eastAsia="Times New Roman"/>
      <w:bCs/>
    </w:rPr>
  </w:style>
  <w:style w:type="paragraph" w:styleId="Heading4">
    <w:name w:val="heading 4"/>
    <w:basedOn w:val="AOHeadings"/>
    <w:next w:val="AODocTxt"/>
    <w:link w:val="Heading4Char"/>
    <w:uiPriority w:val="9"/>
    <w:semiHidden/>
    <w:unhideWhenUsed/>
    <w:qFormat/>
    <w:pPr>
      <w:outlineLvl w:val="3"/>
    </w:pPr>
    <w:rPr>
      <w:rFonts w:eastAsia="Times New Roman"/>
      <w:bCs/>
      <w:iCs/>
    </w:rPr>
  </w:style>
  <w:style w:type="paragraph" w:styleId="Heading5">
    <w:name w:val="heading 5"/>
    <w:basedOn w:val="AOHeadings"/>
    <w:next w:val="AODocTxt"/>
    <w:link w:val="Heading5Char"/>
    <w:uiPriority w:val="9"/>
    <w:semiHidden/>
    <w:unhideWhenUsed/>
    <w:qFormat/>
    <w:pPr>
      <w:outlineLvl w:val="4"/>
    </w:pPr>
    <w:rPr>
      <w:rFonts w:eastAsia="Times New Roman"/>
    </w:rPr>
  </w:style>
  <w:style w:type="paragraph" w:styleId="Heading6">
    <w:name w:val="heading 6"/>
    <w:basedOn w:val="AOHeadings"/>
    <w:next w:val="AODocTxt"/>
    <w:link w:val="Heading6Char"/>
    <w:uiPriority w:val="9"/>
    <w:semiHidden/>
    <w:unhideWhenUsed/>
    <w:qFormat/>
    <w:pPr>
      <w:outlineLvl w:val="5"/>
    </w:pPr>
    <w:rPr>
      <w:rFonts w:eastAsia="Times New Roman"/>
      <w:iCs/>
    </w:rPr>
  </w:style>
  <w:style w:type="paragraph" w:styleId="Heading7">
    <w:name w:val="heading 7"/>
    <w:basedOn w:val="AOHeadings"/>
    <w:next w:val="AODocTxt"/>
    <w:link w:val="Heading7Char"/>
    <w:uiPriority w:val="9"/>
    <w:semiHidden/>
    <w:unhideWhenUsed/>
    <w:qFormat/>
    <w:pPr>
      <w:outlineLvl w:val="6"/>
    </w:pPr>
    <w:rPr>
      <w:rFonts w:eastAsia="Times New Roman"/>
      <w:iCs/>
    </w:rPr>
  </w:style>
  <w:style w:type="paragraph" w:styleId="Heading8">
    <w:name w:val="heading 8"/>
    <w:basedOn w:val="AOHeadings"/>
    <w:next w:val="AODocTxt"/>
    <w:link w:val="Heading8Char"/>
    <w:uiPriority w:val="9"/>
    <w:semiHidden/>
    <w:unhideWhenUsed/>
    <w:qFormat/>
    <w:pPr>
      <w:outlineLvl w:val="7"/>
    </w:pPr>
    <w:rPr>
      <w:rFonts w:eastAsia="Times New Roman"/>
      <w:szCs w:val="20"/>
    </w:rPr>
  </w:style>
  <w:style w:type="paragraph" w:styleId="Heading9">
    <w:name w:val="heading 9"/>
    <w:basedOn w:val="AOHeadings"/>
    <w:next w:val="AODocTxt"/>
    <w:link w:val="Heading9Char"/>
    <w:uiPriority w:val="9"/>
    <w:semiHidden/>
    <w:qFormat/>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Pr>
      <w:rFonts w:cs="Times New Roman"/>
    </w:rPr>
  </w:style>
  <w:style w:type="paragraph" w:customStyle="1" w:styleId="AOBodyTxt">
    <w:name w:val="AOBodyTxt"/>
    <w:basedOn w:val="AONormal"/>
    <w:next w:val="AODocTxt"/>
    <w:pPr>
      <w:spacing w:before="240"/>
      <w:jc w:val="both"/>
    </w:pPr>
  </w:style>
  <w:style w:type="paragraph" w:customStyle="1" w:styleId="AODocTxt">
    <w:name w:val="AODocTxt"/>
    <w:basedOn w:val="AOBodyTxt"/>
    <w:qFormat/>
  </w:style>
  <w:style w:type="paragraph" w:customStyle="1" w:styleId="AODocTxtL1">
    <w:name w:val="AODocTxtL1"/>
    <w:basedOn w:val="AODocTxt"/>
    <w:pPr>
      <w:ind w:left="720"/>
    </w:pPr>
  </w:style>
  <w:style w:type="paragraph" w:customStyle="1" w:styleId="AODocTxtL2">
    <w:name w:val="AODocTxtL2"/>
    <w:basedOn w:val="AODocTxt"/>
    <w:pPr>
      <w:ind w:left="1440"/>
    </w:pPr>
  </w:style>
  <w:style w:type="paragraph" w:customStyle="1" w:styleId="AODocTxtL3">
    <w:name w:val="AODocTxtL3"/>
    <w:basedOn w:val="AODocTxt"/>
    <w:pPr>
      <w:ind w:left="2160"/>
    </w:pPr>
  </w:style>
  <w:style w:type="paragraph" w:customStyle="1" w:styleId="AODocTxtL4">
    <w:name w:val="AODocTxtL4"/>
    <w:basedOn w:val="AODocTxt"/>
    <w:pPr>
      <w:ind w:left="2880"/>
    </w:pPr>
  </w:style>
  <w:style w:type="paragraph" w:customStyle="1" w:styleId="AODocTxtL5">
    <w:name w:val="AODocTxtL5"/>
    <w:basedOn w:val="AODocTxt"/>
    <w:pPr>
      <w:ind w:left="3600"/>
    </w:pPr>
  </w:style>
  <w:style w:type="paragraph" w:customStyle="1" w:styleId="AODocTxtL6">
    <w:name w:val="AODocTxtL6"/>
    <w:basedOn w:val="AODocTxt"/>
    <w:pPr>
      <w:ind w:left="4320"/>
    </w:pPr>
  </w:style>
  <w:style w:type="paragraph" w:customStyle="1" w:styleId="AODocTxtL7">
    <w:name w:val="AODocTxtL7"/>
    <w:basedOn w:val="AODocTxt"/>
    <w:pPr>
      <w:ind w:left="5040"/>
    </w:pPr>
  </w:style>
  <w:style w:type="paragraph" w:customStyle="1" w:styleId="AODocTxtL8">
    <w:name w:val="AODocTxtL8"/>
    <w:basedOn w:val="AODocTxt"/>
    <w:pPr>
      <w:ind w:left="5760"/>
    </w:pPr>
  </w:style>
  <w:style w:type="paragraph" w:customStyle="1" w:styleId="AO1">
    <w:name w:val="AO(1)"/>
    <w:basedOn w:val="AOBodyTxt"/>
    <w:next w:val="AODocTxt"/>
    <w:pPr>
      <w:numPr>
        <w:numId w:val="2"/>
      </w:numPr>
      <w:tabs>
        <w:tab w:val="clear" w:pos="720"/>
      </w:tabs>
    </w:pPr>
  </w:style>
  <w:style w:type="paragraph" w:customStyle="1" w:styleId="AOA">
    <w:name w:val="AO(A)"/>
    <w:basedOn w:val="AOBodyTxt"/>
    <w:next w:val="AODocTxt"/>
    <w:pPr>
      <w:numPr>
        <w:numId w:val="3"/>
      </w:numPr>
    </w:pPr>
  </w:style>
  <w:style w:type="paragraph" w:customStyle="1" w:styleId="AOHeadings">
    <w:name w:val="AOHeadings"/>
    <w:basedOn w:val="AOBodyTxt"/>
    <w:next w:val="AODocTxt"/>
  </w:style>
  <w:style w:type="paragraph" w:customStyle="1" w:styleId="AOHead1">
    <w:name w:val="AOHead1"/>
    <w:basedOn w:val="AOHeadings"/>
    <w:next w:val="AODocTxtL1"/>
    <w:pPr>
      <w:keepNext/>
      <w:numPr>
        <w:numId w:val="1"/>
      </w:numPr>
      <w:outlineLvl w:val="0"/>
    </w:pPr>
    <w:rPr>
      <w:b/>
      <w:caps/>
      <w:kern w:val="28"/>
    </w:rPr>
  </w:style>
  <w:style w:type="paragraph" w:customStyle="1" w:styleId="AOHead2">
    <w:name w:val="AOHead2"/>
    <w:basedOn w:val="AOHeadings"/>
    <w:next w:val="AODocTxtL1"/>
    <w:pPr>
      <w:keepNext/>
      <w:numPr>
        <w:ilvl w:val="1"/>
        <w:numId w:val="1"/>
      </w:numPr>
      <w:outlineLvl w:val="1"/>
    </w:pPr>
    <w:rPr>
      <w:b/>
    </w:rPr>
  </w:style>
  <w:style w:type="paragraph" w:customStyle="1" w:styleId="AOHead3">
    <w:name w:val="AOHead3"/>
    <w:basedOn w:val="AOHeadings"/>
    <w:next w:val="AODocTxtL2"/>
    <w:pPr>
      <w:numPr>
        <w:ilvl w:val="2"/>
        <w:numId w:val="1"/>
      </w:numPr>
      <w:outlineLvl w:val="2"/>
    </w:pPr>
  </w:style>
  <w:style w:type="paragraph" w:customStyle="1" w:styleId="AOHead4">
    <w:name w:val="AOHead4"/>
    <w:basedOn w:val="AOHeadings"/>
    <w:next w:val="AODocTxtL3"/>
    <w:pPr>
      <w:numPr>
        <w:ilvl w:val="3"/>
        <w:numId w:val="1"/>
      </w:numPr>
      <w:outlineLvl w:val="3"/>
    </w:pPr>
  </w:style>
  <w:style w:type="paragraph" w:customStyle="1" w:styleId="AOHead5">
    <w:name w:val="AOHead5"/>
    <w:basedOn w:val="AOHeadings"/>
    <w:next w:val="AODocTxtL4"/>
    <w:pPr>
      <w:numPr>
        <w:ilvl w:val="4"/>
        <w:numId w:val="1"/>
      </w:numPr>
      <w:outlineLvl w:val="4"/>
    </w:pPr>
  </w:style>
  <w:style w:type="paragraph" w:customStyle="1" w:styleId="AOHead6">
    <w:name w:val="AOHead6"/>
    <w:basedOn w:val="AOHeadings"/>
    <w:next w:val="AODocTxtL5"/>
    <w:pPr>
      <w:numPr>
        <w:ilvl w:val="5"/>
        <w:numId w:val="1"/>
      </w:numPr>
      <w:outlineLvl w:val="5"/>
    </w:pPr>
  </w:style>
  <w:style w:type="paragraph" w:customStyle="1" w:styleId="AOAltHead1">
    <w:name w:val="AOAltHead1"/>
    <w:basedOn w:val="AOHead1"/>
    <w:next w:val="AODocTxtL1"/>
    <w:pPr>
      <w:keepNext w:val="0"/>
      <w:tabs>
        <w:tab w:val="clear" w:pos="720"/>
      </w:tabs>
    </w:pPr>
    <w:rPr>
      <w:b w:val="0"/>
      <w:caps w:val="0"/>
    </w:rPr>
  </w:style>
  <w:style w:type="paragraph" w:customStyle="1" w:styleId="AOAltHead2">
    <w:name w:val="AOAltHead2"/>
    <w:basedOn w:val="AOHead2"/>
    <w:next w:val="AODocTxtL1"/>
    <w:pPr>
      <w:keepNext w:val="0"/>
      <w:tabs>
        <w:tab w:val="clear" w:pos="720"/>
      </w:tabs>
    </w:pPr>
    <w:rPr>
      <w:b w:val="0"/>
    </w:rPr>
  </w:style>
  <w:style w:type="paragraph" w:customStyle="1" w:styleId="AOAltHead3">
    <w:name w:val="AOAltHead3"/>
    <w:basedOn w:val="AOHead3"/>
    <w:next w:val="AODocTxtL1"/>
    <w:pPr>
      <w:tabs>
        <w:tab w:val="clear" w:pos="1440"/>
      </w:tabs>
      <w:ind w:left="720"/>
    </w:pPr>
  </w:style>
  <w:style w:type="paragraph" w:customStyle="1" w:styleId="AOAltHead4">
    <w:name w:val="AOAltHead4"/>
    <w:basedOn w:val="AOHead4"/>
    <w:next w:val="AODocTxtL2"/>
    <w:pPr>
      <w:tabs>
        <w:tab w:val="clear" w:pos="2160"/>
      </w:tabs>
      <w:ind w:left="1440"/>
    </w:pPr>
  </w:style>
  <w:style w:type="paragraph" w:customStyle="1" w:styleId="AOAltHead5">
    <w:name w:val="AOAltHead5"/>
    <w:basedOn w:val="AOHead5"/>
    <w:next w:val="AODocTxtL3"/>
    <w:pPr>
      <w:tabs>
        <w:tab w:val="clear" w:pos="2880"/>
      </w:tabs>
      <w:ind w:left="2160"/>
    </w:pPr>
  </w:style>
  <w:style w:type="paragraph" w:customStyle="1" w:styleId="AOAltHead6">
    <w:name w:val="AOAltHead6"/>
    <w:basedOn w:val="AOHead6"/>
    <w:next w:val="AODocTxtL4"/>
    <w:pPr>
      <w:tabs>
        <w:tab w:val="clear" w:pos="3600"/>
      </w:tabs>
      <w:ind w:left="2880"/>
    </w:pPr>
  </w:style>
  <w:style w:type="paragraph" w:customStyle="1" w:styleId="AOHeading1">
    <w:name w:val="AOHeading1"/>
    <w:basedOn w:val="AOHeadings"/>
    <w:next w:val="AODocTxt"/>
    <w:qFormat/>
    <w:pPr>
      <w:keepNext/>
      <w:outlineLvl w:val="0"/>
    </w:pPr>
    <w:rPr>
      <w:b/>
      <w:caps/>
      <w:kern w:val="28"/>
    </w:rPr>
  </w:style>
  <w:style w:type="paragraph" w:customStyle="1" w:styleId="AOHeading2">
    <w:name w:val="AOHeading2"/>
    <w:basedOn w:val="AOHeadings"/>
    <w:next w:val="AODocTxt"/>
    <w:qFormat/>
    <w:pPr>
      <w:keepNext/>
      <w:outlineLvl w:val="1"/>
    </w:pPr>
    <w:rPr>
      <w:b/>
    </w:rPr>
  </w:style>
  <w:style w:type="paragraph" w:customStyle="1" w:styleId="AOHeading3">
    <w:name w:val="AOHeading3"/>
    <w:basedOn w:val="AOHeadings"/>
    <w:next w:val="AODocTxtL1"/>
    <w:qFormat/>
    <w:pPr>
      <w:keepNext/>
      <w:ind w:left="720"/>
      <w:outlineLvl w:val="2"/>
    </w:pPr>
    <w:rPr>
      <w:b/>
    </w:rPr>
  </w:style>
  <w:style w:type="paragraph" w:customStyle="1" w:styleId="AOHeading4">
    <w:name w:val="AOHeading4"/>
    <w:basedOn w:val="AOHeadings"/>
    <w:next w:val="AODocTxt"/>
    <w:pPr>
      <w:keepNext/>
      <w:outlineLvl w:val="3"/>
    </w:pPr>
    <w:rPr>
      <w:i/>
    </w:rPr>
  </w:style>
  <w:style w:type="paragraph" w:styleId="Header">
    <w:name w:val="header"/>
    <w:basedOn w:val="Normal"/>
    <w:link w:val="HeaderChar"/>
    <w:uiPriority w:val="99"/>
    <w:semiHidden/>
    <w:pPr>
      <w:tabs>
        <w:tab w:val="center" w:pos="4150"/>
        <w:tab w:val="right" w:pos="8306"/>
      </w:tabs>
    </w:pPr>
  </w:style>
  <w:style w:type="character" w:customStyle="1" w:styleId="HeaderChar">
    <w:name w:val="Header Char"/>
    <w:basedOn w:val="DefaultParagraphFont"/>
    <w:link w:val="Header"/>
    <w:uiPriority w:val="99"/>
    <w:semiHidden/>
    <w:rPr>
      <w:rFonts w:cs="Times New Roman"/>
      <w:lang w:val="en-GB"/>
    </w:rPr>
  </w:style>
  <w:style w:type="paragraph" w:styleId="Footer">
    <w:name w:val="footer"/>
    <w:basedOn w:val="Normal"/>
    <w:link w:val="FooterChar"/>
    <w:uiPriority w:val="99"/>
    <w:pPr>
      <w:tabs>
        <w:tab w:val="center" w:pos="4150"/>
        <w:tab w:val="right" w:pos="8306"/>
      </w:tabs>
    </w:pPr>
  </w:style>
  <w:style w:type="character" w:customStyle="1" w:styleId="FooterChar">
    <w:name w:val="Footer Char"/>
    <w:basedOn w:val="DefaultParagraphFont"/>
    <w:link w:val="Footer"/>
    <w:uiPriority w:val="99"/>
    <w:rPr>
      <w:rFonts w:cs="Times New Roman"/>
      <w:lang w:val="en-GB"/>
    </w:rPr>
  </w:style>
  <w:style w:type="paragraph" w:customStyle="1" w:styleId="AOAttachments">
    <w:name w:val="AOAttachments"/>
    <w:basedOn w:val="AOBodyTxt"/>
    <w:next w:val="AODocTxt"/>
    <w:pPr>
      <w:jc w:val="center"/>
    </w:pPr>
    <w:rPr>
      <w:caps/>
    </w:rPr>
  </w:style>
  <w:style w:type="paragraph" w:customStyle="1" w:styleId="AOAppTitle">
    <w:name w:val="AOAppTitle"/>
    <w:basedOn w:val="AOAttachments"/>
    <w:next w:val="AODocTxt"/>
    <w:pPr>
      <w:outlineLvl w:val="1"/>
    </w:pPr>
    <w:rPr>
      <w:b/>
    </w:rPr>
  </w:style>
  <w:style w:type="paragraph" w:customStyle="1" w:styleId="AOAppPartTitle">
    <w:name w:val="AOAppPartTitle"/>
    <w:basedOn w:val="AOAppTitle"/>
    <w:next w:val="AODocTxt"/>
  </w:style>
  <w:style w:type="paragraph" w:customStyle="1" w:styleId="AOAppHead">
    <w:name w:val="AOAppHead"/>
    <w:basedOn w:val="AOAttachments"/>
    <w:next w:val="AOAppTitle"/>
    <w:pPr>
      <w:pageBreakBefore/>
      <w:numPr>
        <w:numId w:val="8"/>
      </w:numPr>
      <w:tabs>
        <w:tab w:val="clear" w:pos="0"/>
      </w:tabs>
      <w:outlineLvl w:val="0"/>
    </w:pPr>
  </w:style>
  <w:style w:type="paragraph" w:customStyle="1" w:styleId="AOAppPartHead">
    <w:name w:val="AOAppPartHead"/>
    <w:basedOn w:val="AOAppHead"/>
    <w:next w:val="AOAppPartTitle"/>
    <w:pPr>
      <w:pageBreakBefore w:val="0"/>
      <w:numPr>
        <w:ilvl w:val="1"/>
      </w:numPr>
      <w:tabs>
        <w:tab w:val="clear" w:pos="0"/>
      </w:tabs>
    </w:pPr>
  </w:style>
  <w:style w:type="paragraph" w:customStyle="1" w:styleId="AOAnxTitle">
    <w:name w:val="AOAnxTitle"/>
    <w:basedOn w:val="AOAttachments"/>
    <w:next w:val="AODocTxt"/>
    <w:pPr>
      <w:outlineLvl w:val="1"/>
    </w:pPr>
    <w:rPr>
      <w:b/>
    </w:rPr>
  </w:style>
  <w:style w:type="paragraph" w:customStyle="1" w:styleId="AOAnxPartTitle">
    <w:name w:val="AOAnxPartTitle"/>
    <w:basedOn w:val="AOAnxTitle"/>
    <w:next w:val="AODocTxt"/>
  </w:style>
  <w:style w:type="paragraph" w:customStyle="1" w:styleId="AOAnxHead">
    <w:name w:val="AOAnxHead"/>
    <w:basedOn w:val="AOAttachments"/>
    <w:next w:val="AOAnxTitle"/>
    <w:pPr>
      <w:pageBreakBefore/>
      <w:numPr>
        <w:numId w:val="9"/>
      </w:numPr>
      <w:tabs>
        <w:tab w:val="clear" w:pos="0"/>
      </w:tabs>
      <w:outlineLvl w:val="0"/>
    </w:pPr>
  </w:style>
  <w:style w:type="paragraph" w:customStyle="1" w:styleId="AOAnxPartHead">
    <w:name w:val="AOAnxPartHead"/>
    <w:basedOn w:val="AOAnxHead"/>
    <w:next w:val="AOAnxPartTitle"/>
    <w:pPr>
      <w:pageBreakBefore w:val="0"/>
      <w:numPr>
        <w:ilvl w:val="1"/>
      </w:numPr>
      <w:tabs>
        <w:tab w:val="clear" w:pos="0"/>
      </w:tabs>
    </w:pPr>
  </w:style>
  <w:style w:type="paragraph" w:customStyle="1" w:styleId="AOSchTitle">
    <w:name w:val="AOSchTitle"/>
    <w:basedOn w:val="AOAttachments"/>
    <w:next w:val="AODocTxt"/>
    <w:pPr>
      <w:outlineLvl w:val="1"/>
    </w:pPr>
    <w:rPr>
      <w:b/>
    </w:rPr>
  </w:style>
  <w:style w:type="paragraph" w:customStyle="1" w:styleId="AOSchPartTitle">
    <w:name w:val="AOSchPartTitle"/>
    <w:basedOn w:val="AOSchTitle"/>
    <w:next w:val="AODocTxt"/>
  </w:style>
  <w:style w:type="paragraph" w:customStyle="1" w:styleId="AOSchHead">
    <w:name w:val="AOSchHead"/>
    <w:basedOn w:val="AOAttachments"/>
    <w:next w:val="AOSchTitle"/>
    <w:pPr>
      <w:pageBreakBefore/>
      <w:numPr>
        <w:numId w:val="10"/>
      </w:numPr>
      <w:tabs>
        <w:tab w:val="clear" w:pos="0"/>
      </w:tabs>
      <w:outlineLvl w:val="0"/>
    </w:pPr>
  </w:style>
  <w:style w:type="paragraph" w:customStyle="1" w:styleId="AOSchPartHead">
    <w:name w:val="AOSchPartHead"/>
    <w:basedOn w:val="AOSchHead"/>
    <w:next w:val="AOSchPartTitle"/>
    <w:pPr>
      <w:pageBreakBefore w:val="0"/>
      <w:numPr>
        <w:ilvl w:val="1"/>
      </w:numPr>
      <w:tabs>
        <w:tab w:val="clear" w:pos="0"/>
      </w:tabs>
    </w:pPr>
  </w:style>
  <w:style w:type="paragraph" w:customStyle="1" w:styleId="AODefHead">
    <w:name w:val="AODefHead"/>
    <w:basedOn w:val="AOBodyTxt"/>
    <w:next w:val="AODefPara"/>
    <w:pPr>
      <w:numPr>
        <w:numId w:val="7"/>
      </w:numPr>
      <w:tabs>
        <w:tab w:val="clear" w:pos="720"/>
      </w:tabs>
      <w:outlineLvl w:val="5"/>
    </w:pPr>
  </w:style>
  <w:style w:type="paragraph" w:customStyle="1" w:styleId="AODefPara">
    <w:name w:val="AODefPara"/>
    <w:basedOn w:val="AODefHead"/>
    <w:pPr>
      <w:numPr>
        <w:ilvl w:val="1"/>
      </w:numPr>
      <w:tabs>
        <w:tab w:val="clear" w:pos="720"/>
      </w:tabs>
      <w:outlineLvl w:val="6"/>
    </w:pPr>
  </w:style>
  <w:style w:type="paragraph" w:customStyle="1" w:styleId="AOBullet">
    <w:name w:val="AOBullet"/>
    <w:basedOn w:val="AOBodyTxt"/>
    <w:pPr>
      <w:numPr>
        <w:numId w:val="11"/>
      </w:numPr>
      <w:tabs>
        <w:tab w:val="clear" w:pos="720"/>
      </w:tabs>
    </w:pPr>
  </w:style>
  <w:style w:type="paragraph" w:customStyle="1" w:styleId="AOBullet2">
    <w:name w:val="AOBullet2"/>
    <w:basedOn w:val="AOBullet"/>
    <w:pPr>
      <w:numPr>
        <w:numId w:val="12"/>
      </w:numPr>
      <w:tabs>
        <w:tab w:val="clear" w:pos="720"/>
      </w:tabs>
      <w:spacing w:before="120"/>
    </w:pPr>
  </w:style>
  <w:style w:type="paragraph" w:customStyle="1" w:styleId="AOBullet3">
    <w:name w:val="AOBullet3"/>
    <w:basedOn w:val="AOBodyTxt"/>
    <w:pPr>
      <w:numPr>
        <w:numId w:val="13"/>
      </w:numPr>
      <w:tabs>
        <w:tab w:val="clear" w:pos="720"/>
      </w:tabs>
      <w:spacing w:before="120"/>
    </w:pPr>
  </w:style>
  <w:style w:type="paragraph" w:customStyle="1" w:styleId="AOBullet4">
    <w:name w:val="AOBullet4"/>
    <w:basedOn w:val="AOBodyTxt"/>
    <w:pPr>
      <w:numPr>
        <w:numId w:val="14"/>
      </w:numPr>
      <w:tabs>
        <w:tab w:val="clear" w:pos="720"/>
      </w:tabs>
      <w:spacing w:before="120"/>
    </w:pPr>
  </w:style>
  <w:style w:type="paragraph" w:customStyle="1" w:styleId="AOGenNum1">
    <w:name w:val="AOGenNum1"/>
    <w:basedOn w:val="AOBodyTxt"/>
    <w:next w:val="AOGenNum1Para"/>
    <w:pPr>
      <w:keepNext/>
      <w:numPr>
        <w:numId w:val="4"/>
      </w:numPr>
    </w:pPr>
    <w:rPr>
      <w:b/>
      <w:caps/>
    </w:rPr>
  </w:style>
  <w:style w:type="paragraph" w:customStyle="1" w:styleId="AOGenNum1List">
    <w:name w:val="AOGenNum1List"/>
    <w:basedOn w:val="AOGenNum1"/>
    <w:pPr>
      <w:keepNext w:val="0"/>
      <w:numPr>
        <w:ilvl w:val="2"/>
      </w:numPr>
    </w:pPr>
    <w:rPr>
      <w:b w:val="0"/>
      <w:caps w:val="0"/>
    </w:rPr>
  </w:style>
  <w:style w:type="paragraph" w:customStyle="1" w:styleId="AOGenNum1Para">
    <w:name w:val="AOGenNum1Para"/>
    <w:basedOn w:val="AOGenNum1"/>
    <w:next w:val="AOGenNum1List"/>
    <w:pPr>
      <w:numPr>
        <w:ilvl w:val="1"/>
      </w:numPr>
    </w:pPr>
    <w:rPr>
      <w:caps w:val="0"/>
    </w:rPr>
  </w:style>
  <w:style w:type="paragraph" w:customStyle="1" w:styleId="AOGenNum2">
    <w:name w:val="AOGenNum2"/>
    <w:basedOn w:val="AOBodyTxt"/>
    <w:next w:val="AOGenNum2Para"/>
    <w:pPr>
      <w:keepNext/>
      <w:numPr>
        <w:numId w:val="5"/>
      </w:numPr>
    </w:pPr>
    <w:rPr>
      <w:b/>
    </w:rPr>
  </w:style>
  <w:style w:type="paragraph" w:customStyle="1" w:styleId="AOGenNum2List">
    <w:name w:val="AOGenNum2List"/>
    <w:basedOn w:val="AOGenNum2"/>
    <w:pPr>
      <w:keepNext w:val="0"/>
      <w:numPr>
        <w:ilvl w:val="2"/>
      </w:numPr>
    </w:pPr>
    <w:rPr>
      <w:b w:val="0"/>
    </w:rPr>
  </w:style>
  <w:style w:type="paragraph" w:customStyle="1" w:styleId="AOGenNum2Para">
    <w:name w:val="AOGenNum2Para"/>
    <w:basedOn w:val="AOGenNum2"/>
    <w:next w:val="AOGenNum2List"/>
    <w:pPr>
      <w:keepNext w:val="0"/>
      <w:numPr>
        <w:ilvl w:val="1"/>
      </w:numPr>
    </w:pPr>
    <w:rPr>
      <w:b w:val="0"/>
    </w:rPr>
  </w:style>
  <w:style w:type="paragraph" w:customStyle="1" w:styleId="AOGenNum3">
    <w:name w:val="AOGenNum3"/>
    <w:basedOn w:val="AOBodyTxt"/>
    <w:next w:val="AOGenNum3List"/>
    <w:pPr>
      <w:numPr>
        <w:numId w:val="6"/>
      </w:numPr>
    </w:pPr>
  </w:style>
  <w:style w:type="paragraph" w:customStyle="1" w:styleId="AOGenNum3List">
    <w:name w:val="AOGenNum3List"/>
    <w:basedOn w:val="AOGenNum3"/>
    <w:pPr>
      <w:numPr>
        <w:ilvl w:val="1"/>
      </w:numPr>
    </w:pPr>
  </w:style>
  <w:style w:type="paragraph" w:customStyle="1" w:styleId="AOTitle">
    <w:name w:val="AOTitle"/>
    <w:basedOn w:val="AOHeadings"/>
    <w:next w:val="AODocTxt"/>
    <w:pPr>
      <w:jc w:val="center"/>
    </w:pPr>
    <w:rPr>
      <w:b/>
      <w:caps/>
    </w:rPr>
  </w:style>
  <w:style w:type="paragraph" w:customStyle="1" w:styleId="AOTOCHeading">
    <w:name w:val="AOTOCHeading"/>
    <w:basedOn w:val="AOHeadings"/>
    <w:next w:val="AODocTxt"/>
    <w:pPr>
      <w:tabs>
        <w:tab w:val="right" w:pos="9609"/>
      </w:tabs>
      <w:spacing w:after="240"/>
    </w:pPr>
    <w:rPr>
      <w:b/>
    </w:rPr>
  </w:style>
  <w:style w:type="paragraph" w:customStyle="1" w:styleId="AOTOCs">
    <w:name w:val="AOTOCs"/>
    <w:basedOn w:val="AONormal"/>
    <w:next w:val="TOC1"/>
    <w:pPr>
      <w:tabs>
        <w:tab w:val="right" w:leader="dot" w:pos="9638"/>
      </w:tabs>
      <w:jc w:val="both"/>
    </w:pPr>
  </w:style>
  <w:style w:type="paragraph" w:styleId="TOC1">
    <w:name w:val="toc 1"/>
    <w:basedOn w:val="AOTOCs"/>
    <w:next w:val="AONormal"/>
    <w:autoRedefine/>
    <w:uiPriority w:val="39"/>
    <w:semiHidden/>
    <w:pPr>
      <w:tabs>
        <w:tab w:val="left" w:pos="720"/>
      </w:tabs>
      <w:ind w:left="720" w:hanging="720"/>
    </w:pPr>
  </w:style>
  <w:style w:type="paragraph" w:customStyle="1" w:styleId="AOTOC1">
    <w:name w:val="AOTOC1"/>
    <w:basedOn w:val="AOTOCs"/>
    <w:pPr>
      <w:tabs>
        <w:tab w:val="left" w:pos="720"/>
      </w:tabs>
    </w:pPr>
    <w:rPr>
      <w:b/>
      <w:caps/>
    </w:rPr>
  </w:style>
  <w:style w:type="paragraph" w:customStyle="1" w:styleId="AOTOC2">
    <w:name w:val="AOTOC2"/>
    <w:basedOn w:val="AOTOCs"/>
    <w:pPr>
      <w:tabs>
        <w:tab w:val="left" w:pos="720"/>
      </w:tabs>
    </w:pPr>
  </w:style>
  <w:style w:type="paragraph" w:customStyle="1" w:styleId="AOTOC3">
    <w:name w:val="AOTOC3"/>
    <w:basedOn w:val="AOTOCs"/>
    <w:pPr>
      <w:ind w:left="720"/>
    </w:pPr>
    <w:rPr>
      <w:b/>
    </w:rPr>
  </w:style>
  <w:style w:type="paragraph" w:customStyle="1" w:styleId="AOTOC4">
    <w:name w:val="AOTOC4"/>
    <w:basedOn w:val="AOTOCs"/>
    <w:pPr>
      <w:ind w:left="720"/>
    </w:pPr>
  </w:style>
  <w:style w:type="paragraph" w:customStyle="1" w:styleId="AOTOC5">
    <w:name w:val="AOTOC5"/>
    <w:basedOn w:val="AOTOCs"/>
    <w:pPr>
      <w:ind w:left="720"/>
    </w:pPr>
    <w:rPr>
      <w:i/>
    </w:rPr>
  </w:style>
  <w:style w:type="paragraph" w:styleId="TOC2">
    <w:name w:val="toc 2"/>
    <w:basedOn w:val="AOTOCs"/>
    <w:next w:val="AONormal"/>
    <w:autoRedefine/>
    <w:uiPriority w:val="39"/>
    <w:semiHidden/>
    <w:pPr>
      <w:tabs>
        <w:tab w:val="left" w:pos="1797"/>
      </w:tabs>
      <w:ind w:left="1797" w:right="720" w:hanging="1077"/>
    </w:pPr>
  </w:style>
  <w:style w:type="paragraph" w:styleId="TOC3">
    <w:name w:val="toc 3"/>
    <w:basedOn w:val="AOTOCs"/>
    <w:next w:val="AONormal"/>
    <w:autoRedefine/>
    <w:uiPriority w:val="39"/>
    <w:semiHidden/>
    <w:pPr>
      <w:numPr>
        <w:numId w:val="15"/>
      </w:numPr>
      <w:ind w:right="720"/>
    </w:pPr>
  </w:style>
  <w:style w:type="paragraph" w:styleId="TOC4">
    <w:name w:val="toc 4"/>
    <w:basedOn w:val="AOTOCs"/>
    <w:next w:val="AONormal"/>
    <w:autoRedefine/>
    <w:uiPriority w:val="39"/>
    <w:semiHidden/>
    <w:pPr>
      <w:numPr>
        <w:ilvl w:val="1"/>
        <w:numId w:val="15"/>
      </w:numPr>
      <w:tabs>
        <w:tab w:val="left" w:pos="1797"/>
      </w:tabs>
      <w:ind w:right="720"/>
    </w:pPr>
  </w:style>
  <w:style w:type="paragraph" w:styleId="TOC5">
    <w:name w:val="toc 5"/>
    <w:basedOn w:val="AOTOCs"/>
    <w:next w:val="AONormal"/>
    <w:autoRedefine/>
    <w:uiPriority w:val="39"/>
    <w:semiHidden/>
    <w:pPr>
      <w:spacing w:before="240"/>
    </w:pPr>
  </w:style>
  <w:style w:type="paragraph" w:styleId="TOC6">
    <w:name w:val="toc 6"/>
    <w:basedOn w:val="AOTOCs"/>
    <w:next w:val="AONormal"/>
    <w:autoRedefine/>
    <w:uiPriority w:val="39"/>
    <w:semiHidden/>
    <w:pPr>
      <w:numPr>
        <w:numId w:val="16"/>
      </w:numPr>
      <w:ind w:right="720"/>
    </w:pPr>
  </w:style>
  <w:style w:type="paragraph" w:styleId="TOC7">
    <w:name w:val="toc 7"/>
    <w:basedOn w:val="AOTOCs"/>
    <w:next w:val="AONormal"/>
    <w:autoRedefine/>
    <w:uiPriority w:val="39"/>
    <w:semiHidden/>
    <w:pPr>
      <w:numPr>
        <w:ilvl w:val="1"/>
        <w:numId w:val="16"/>
      </w:numPr>
      <w:tabs>
        <w:tab w:val="left" w:pos="1797"/>
      </w:tabs>
      <w:ind w:right="720"/>
    </w:pPr>
  </w:style>
  <w:style w:type="paragraph" w:styleId="TOC8">
    <w:name w:val="toc 8"/>
    <w:basedOn w:val="AOTOCs"/>
    <w:next w:val="AONormal"/>
    <w:autoRedefine/>
    <w:uiPriority w:val="39"/>
    <w:semiHidden/>
    <w:pPr>
      <w:numPr>
        <w:numId w:val="17"/>
      </w:numPr>
      <w:ind w:right="720"/>
    </w:pPr>
  </w:style>
  <w:style w:type="paragraph" w:styleId="TOC9">
    <w:name w:val="toc 9"/>
    <w:basedOn w:val="AOTOCs"/>
    <w:next w:val="AONormal"/>
    <w:autoRedefine/>
    <w:uiPriority w:val="39"/>
    <w:semiHidden/>
    <w:pPr>
      <w:numPr>
        <w:ilvl w:val="1"/>
        <w:numId w:val="17"/>
      </w:numPr>
      <w:tabs>
        <w:tab w:val="left" w:pos="1797"/>
      </w:tabs>
      <w:ind w:right="720"/>
    </w:pPr>
  </w:style>
  <w:style w:type="paragraph" w:styleId="FootnoteText">
    <w:name w:val="footnote text"/>
    <w:basedOn w:val="AONormal"/>
    <w:link w:val="FootnoteTextChar"/>
    <w:uiPriority w:val="99"/>
    <w:semiHidden/>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Pr>
      <w:rFonts w:cs="Times New Roman"/>
      <w:sz w:val="16"/>
      <w:szCs w:val="20"/>
      <w:lang w:val="en-GB"/>
    </w:rPr>
  </w:style>
  <w:style w:type="paragraph" w:customStyle="1" w:styleId="AOFPBP">
    <w:name w:val="AOFPBP"/>
    <w:basedOn w:val="AONormal"/>
    <w:next w:val="AOFPTxt"/>
    <w:pPr>
      <w:jc w:val="center"/>
    </w:pPr>
  </w:style>
  <w:style w:type="paragraph" w:customStyle="1" w:styleId="AOFPTxt">
    <w:name w:val="AOFPTxt"/>
    <w:basedOn w:val="AOFPBP"/>
    <w:rPr>
      <w:b/>
    </w:rPr>
  </w:style>
  <w:style w:type="paragraph" w:customStyle="1" w:styleId="AOBPTitle">
    <w:name w:val="AOBPTitle"/>
    <w:basedOn w:val="AOFPBP"/>
    <w:rPr>
      <w:b/>
      <w:caps/>
    </w:rPr>
  </w:style>
  <w:style w:type="paragraph" w:customStyle="1" w:styleId="AOBPTxtC">
    <w:name w:val="AOBPTxtC"/>
    <w:basedOn w:val="AOFPBP"/>
  </w:style>
  <w:style w:type="paragraph" w:customStyle="1" w:styleId="AOBPTxtL">
    <w:name w:val="AOBPTxtL"/>
    <w:basedOn w:val="AOFPBP"/>
    <w:pPr>
      <w:jc w:val="left"/>
    </w:pPr>
  </w:style>
  <w:style w:type="paragraph" w:customStyle="1" w:styleId="AOBPTxtR">
    <w:name w:val="AOBPTxtR"/>
    <w:basedOn w:val="AOFPBP"/>
    <w:pPr>
      <w:jc w:val="right"/>
    </w:pPr>
  </w:style>
  <w:style w:type="paragraph" w:customStyle="1" w:styleId="AOLocation">
    <w:name w:val="AOLocation"/>
    <w:basedOn w:val="AOFPBP"/>
    <w:pPr>
      <w:spacing w:before="160"/>
    </w:pPr>
    <w:rPr>
      <w:b/>
      <w:caps/>
    </w:rPr>
  </w:style>
  <w:style w:type="paragraph" w:customStyle="1" w:styleId="AOFPTxtCaps">
    <w:name w:val="AOFPTxtCaps"/>
    <w:basedOn w:val="AOFPTxt"/>
    <w:rPr>
      <w:caps/>
    </w:rPr>
  </w:style>
  <w:style w:type="paragraph" w:customStyle="1" w:styleId="AOFPTitle">
    <w:name w:val="AOFPTitle"/>
    <w:basedOn w:val="AOFPTxt"/>
    <w:rPr>
      <w:caps/>
      <w:sz w:val="32"/>
    </w:rPr>
  </w:style>
  <w:style w:type="paragraph" w:customStyle="1" w:styleId="AOFPDate">
    <w:name w:val="AOFPDate"/>
    <w:basedOn w:val="AOFPTxt"/>
    <w:rPr>
      <w:caps/>
    </w:rPr>
  </w:style>
  <w:style w:type="paragraph" w:customStyle="1" w:styleId="AOFPCopyright">
    <w:name w:val="AOFPCopyright"/>
    <w:basedOn w:val="AOFPTxt"/>
    <w:pPr>
      <w:jc w:val="left"/>
    </w:pPr>
    <w:rPr>
      <w:caps/>
    </w:rPr>
  </w:style>
  <w:style w:type="paragraph" w:customStyle="1" w:styleId="AOHeading5">
    <w:name w:val="AOHeading5"/>
    <w:basedOn w:val="AOHeadings"/>
    <w:next w:val="AODocTxtL1"/>
    <w:pPr>
      <w:keepNext/>
      <w:ind w:left="720"/>
      <w:outlineLvl w:val="4"/>
    </w:pPr>
    <w:rPr>
      <w:i/>
    </w:rPr>
  </w:style>
  <w:style w:type="paragraph" w:customStyle="1" w:styleId="AOHeading6">
    <w:name w:val="AOHeading6"/>
    <w:basedOn w:val="AOHeadings"/>
    <w:next w:val="AODocTxt"/>
    <w:pPr>
      <w:keepNext/>
      <w:outlineLvl w:val="5"/>
    </w:pPr>
    <w:rPr>
      <w:b/>
      <w:i/>
    </w:rPr>
  </w:style>
  <w:style w:type="paragraph" w:customStyle="1" w:styleId="AOHeading7">
    <w:name w:val="AOHeading7"/>
    <w:basedOn w:val="AOHeadings"/>
    <w:next w:val="AODocTxtL1"/>
    <w:pPr>
      <w:keepNext/>
      <w:ind w:left="720"/>
      <w:outlineLvl w:val="6"/>
    </w:pPr>
    <w:rPr>
      <w:b/>
      <w:i/>
    </w:rPr>
  </w:style>
  <w:style w:type="paragraph" w:customStyle="1" w:styleId="AONormal10">
    <w:name w:val="AONormal10"/>
    <w:basedOn w:val="AONormal"/>
    <w:rPr>
      <w:sz w:val="20"/>
    </w:rPr>
  </w:style>
  <w:style w:type="paragraph" w:customStyle="1" w:styleId="AONormal8L">
    <w:name w:val="AONormal8L"/>
    <w:basedOn w:val="AONormal"/>
    <w:pPr>
      <w:spacing w:line="220" w:lineRule="atLeast"/>
    </w:pPr>
    <w:rPr>
      <w:rFonts w:ascii="Arial" w:hAnsi="Arial" w:cs="Arial"/>
      <w:sz w:val="16"/>
    </w:rPr>
  </w:style>
  <w:style w:type="paragraph" w:customStyle="1" w:styleId="AONormal8LBold">
    <w:name w:val="AONormal8LBold"/>
    <w:basedOn w:val="AONormal8L"/>
    <w:rPr>
      <w:b/>
    </w:rPr>
  </w:style>
  <w:style w:type="paragraph" w:customStyle="1" w:styleId="AONormal8C">
    <w:name w:val="AONormal8C"/>
    <w:basedOn w:val="AONormal8L"/>
    <w:pPr>
      <w:jc w:val="center"/>
    </w:pPr>
  </w:style>
  <w:style w:type="paragraph" w:customStyle="1" w:styleId="AONormal8R">
    <w:name w:val="AONormal8R"/>
    <w:basedOn w:val="AONormal8L"/>
    <w:pPr>
      <w:jc w:val="right"/>
    </w:pPr>
  </w:style>
  <w:style w:type="paragraph" w:customStyle="1" w:styleId="AONormalBold">
    <w:name w:val="AONormalBold"/>
    <w:basedOn w:val="AONormal"/>
    <w:rPr>
      <w:b/>
    </w:rPr>
  </w:style>
  <w:style w:type="paragraph" w:customStyle="1" w:styleId="AONormal6L">
    <w:name w:val="AONormal6L"/>
    <w:basedOn w:val="AONormal8L"/>
    <w:pPr>
      <w:spacing w:line="160" w:lineRule="atLeast"/>
      <w:jc w:val="both"/>
    </w:pPr>
    <w:rPr>
      <w:sz w:val="12"/>
    </w:rPr>
  </w:style>
  <w:style w:type="paragraph" w:customStyle="1" w:styleId="AONormal6C">
    <w:name w:val="AONormal6C"/>
    <w:basedOn w:val="AONormal6L"/>
    <w:pPr>
      <w:jc w:val="center"/>
    </w:pPr>
  </w:style>
  <w:style w:type="paragraph" w:customStyle="1" w:styleId="AONormal6R">
    <w:name w:val="AONormal6R"/>
    <w:basedOn w:val="AONormal6L"/>
    <w:pPr>
      <w:jc w:val="right"/>
    </w:pPr>
  </w:style>
  <w:style w:type="paragraph" w:customStyle="1" w:styleId="AOTitle18">
    <w:name w:val="AOTitle18"/>
    <w:basedOn w:val="AONormal"/>
    <w:rPr>
      <w:b/>
      <w:sz w:val="36"/>
    </w:rPr>
  </w:style>
  <w:style w:type="paragraph" w:customStyle="1" w:styleId="AOSignatory">
    <w:name w:val="AOSignatory"/>
    <w:basedOn w:val="AOBodyTxt"/>
    <w:next w:val="AODocTxt"/>
    <w:pPr>
      <w:pageBreakBefore/>
      <w:spacing w:after="240"/>
      <w:jc w:val="center"/>
    </w:pPr>
    <w:rPr>
      <w:b/>
      <w:caps/>
    </w:rPr>
  </w:style>
  <w:style w:type="paragraph" w:customStyle="1" w:styleId="AOTOCTitle">
    <w:name w:val="AOTOCTitle"/>
    <w:basedOn w:val="AOHeadings"/>
    <w:next w:val="AOTOCHeading"/>
    <w:pPr>
      <w:jc w:val="center"/>
    </w:pPr>
    <w:rPr>
      <w:b/>
      <w:caps/>
    </w:rPr>
  </w:style>
  <w:style w:type="paragraph" w:customStyle="1" w:styleId="AOHidden">
    <w:name w:val="AOHidden"/>
    <w:basedOn w:val="AONormal"/>
    <w:pPr>
      <w:spacing w:before="240"/>
      <w:jc w:val="both"/>
    </w:pPr>
    <w:rPr>
      <w:vanish/>
    </w:rPr>
  </w:style>
  <w:style w:type="paragraph" w:styleId="CommentText">
    <w:name w:val="annotation text"/>
    <w:basedOn w:val="AONormal"/>
    <w:link w:val="CommentTextChar"/>
    <w:uiPriority w:val="99"/>
    <w:semiHidden/>
    <w:pPr>
      <w:spacing w:line="240" w:lineRule="auto"/>
    </w:pPr>
    <w:rPr>
      <w:sz w:val="16"/>
      <w:szCs w:val="20"/>
    </w:rPr>
  </w:style>
  <w:style w:type="character" w:customStyle="1" w:styleId="CommentTextChar">
    <w:name w:val="Comment Text Char"/>
    <w:basedOn w:val="DefaultParagraphFont"/>
    <w:link w:val="CommentText"/>
    <w:uiPriority w:val="99"/>
    <w:semiHidden/>
    <w:rPr>
      <w:rFonts w:cs="Times New Roman"/>
      <w:sz w:val="16"/>
      <w:szCs w:val="20"/>
      <w:lang w:val="en-GB"/>
    </w:rPr>
  </w:style>
  <w:style w:type="paragraph" w:styleId="EndnoteText">
    <w:name w:val="endnote text"/>
    <w:basedOn w:val="AONormal"/>
    <w:link w:val="EndnoteTextChar"/>
    <w:uiPriority w:val="99"/>
    <w:semiHidden/>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Pr>
      <w:rFonts w:cs="Times New Roman"/>
      <w:sz w:val="16"/>
      <w:szCs w:val="20"/>
      <w:lang w:val="en-GB"/>
    </w:rPr>
  </w:style>
  <w:style w:type="character" w:customStyle="1" w:styleId="Heading1Char">
    <w:name w:val="Heading 1 Char"/>
    <w:basedOn w:val="DefaultParagraphFont"/>
    <w:link w:val="Heading1"/>
    <w:uiPriority w:val="9"/>
    <w:rPr>
      <w:rFonts w:eastAsia="Times New Roman" w:cs="Times New Roman"/>
      <w:b/>
      <w:bCs/>
      <w:caps/>
      <w:szCs w:val="28"/>
      <w:lang w:val="en-GB"/>
    </w:rPr>
  </w:style>
  <w:style w:type="character" w:customStyle="1" w:styleId="Heading2Char">
    <w:name w:val="Heading 2 Char"/>
    <w:basedOn w:val="DefaultParagraphFont"/>
    <w:link w:val="Heading2"/>
    <w:uiPriority w:val="9"/>
    <w:semiHidden/>
    <w:rPr>
      <w:rFonts w:eastAsia="Times New Roman" w:cs="Times New Roman"/>
      <w:b/>
      <w:bCs/>
      <w:szCs w:val="26"/>
      <w:lang w:val="en-GB"/>
    </w:rPr>
  </w:style>
  <w:style w:type="character" w:customStyle="1" w:styleId="Heading3Char">
    <w:name w:val="Heading 3 Char"/>
    <w:basedOn w:val="DefaultParagraphFont"/>
    <w:link w:val="Heading3"/>
    <w:uiPriority w:val="9"/>
    <w:semiHidden/>
    <w:rPr>
      <w:rFonts w:eastAsia="Times New Roman" w:cs="Times New Roman"/>
      <w:bCs/>
      <w:lang w:val="en-GB"/>
    </w:rPr>
  </w:style>
  <w:style w:type="character" w:customStyle="1" w:styleId="Heading4Char">
    <w:name w:val="Heading 4 Char"/>
    <w:basedOn w:val="DefaultParagraphFont"/>
    <w:link w:val="Heading4"/>
    <w:uiPriority w:val="9"/>
    <w:semiHidden/>
    <w:rPr>
      <w:rFonts w:eastAsia="Times New Roman" w:cs="Times New Roman"/>
      <w:bCs/>
      <w:iCs/>
      <w:lang w:val="en-GB"/>
    </w:rPr>
  </w:style>
  <w:style w:type="character" w:customStyle="1" w:styleId="Heading5Char">
    <w:name w:val="Heading 5 Char"/>
    <w:basedOn w:val="DefaultParagraphFont"/>
    <w:link w:val="Heading5"/>
    <w:uiPriority w:val="9"/>
    <w:semiHidden/>
    <w:rPr>
      <w:rFonts w:eastAsia="Times New Roman" w:cs="Times New Roman"/>
      <w:lang w:val="en-GB"/>
    </w:rPr>
  </w:style>
  <w:style w:type="character" w:customStyle="1" w:styleId="Heading6Char">
    <w:name w:val="Heading 6 Char"/>
    <w:basedOn w:val="DefaultParagraphFont"/>
    <w:link w:val="Heading6"/>
    <w:uiPriority w:val="9"/>
    <w:semiHidden/>
    <w:rPr>
      <w:rFonts w:eastAsia="Times New Roman" w:cs="Times New Roman"/>
      <w:iCs/>
      <w:lang w:val="en-GB"/>
    </w:rPr>
  </w:style>
  <w:style w:type="character" w:customStyle="1" w:styleId="Heading7Char">
    <w:name w:val="Heading 7 Char"/>
    <w:basedOn w:val="DefaultParagraphFont"/>
    <w:link w:val="Heading7"/>
    <w:uiPriority w:val="9"/>
    <w:semiHidden/>
    <w:rPr>
      <w:rFonts w:eastAsia="Times New Roman" w:cs="Times New Roman"/>
      <w:iCs/>
      <w:lang w:val="en-GB"/>
    </w:rPr>
  </w:style>
  <w:style w:type="character" w:customStyle="1" w:styleId="Heading8Char">
    <w:name w:val="Heading 8 Char"/>
    <w:basedOn w:val="DefaultParagraphFont"/>
    <w:link w:val="Heading8"/>
    <w:uiPriority w:val="9"/>
    <w:semiHidden/>
    <w:rPr>
      <w:rFonts w:eastAsia="Times New Roman" w:cs="Times New Roman"/>
      <w:szCs w:val="20"/>
      <w:lang w:val="en-GB"/>
    </w:rPr>
  </w:style>
  <w:style w:type="character" w:customStyle="1" w:styleId="Heading9Char">
    <w:name w:val="Heading 9 Char"/>
    <w:basedOn w:val="DefaultParagraphFont"/>
    <w:link w:val="Heading9"/>
    <w:uiPriority w:val="9"/>
    <w:semiHidden/>
    <w:rPr>
      <w:rFonts w:eastAsia="Times New Roman" w:cs="Times New Roman"/>
      <w:iCs/>
      <w:szCs w:val="20"/>
      <w:lang w:val="en-GB"/>
    </w:rPr>
  </w:style>
  <w:style w:type="paragraph" w:styleId="TOAHeading">
    <w:name w:val="toa heading"/>
    <w:basedOn w:val="AONormal"/>
    <w:next w:val="TableofAuthorities"/>
    <w:uiPriority w:val="99"/>
    <w:semiHidden/>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pPr>
      <w:tabs>
        <w:tab w:val="right" w:leader="dot" w:pos="9490"/>
      </w:tabs>
      <w:spacing w:before="240" w:line="240" w:lineRule="auto"/>
      <w:ind w:left="720" w:hanging="720"/>
    </w:pPr>
  </w:style>
  <w:style w:type="paragraph" w:styleId="EnvelopeAddress">
    <w:name w:val="envelope address"/>
    <w:basedOn w:val="Normal"/>
    <w:uiPriority w:val="99"/>
    <w:semiHidden/>
    <w:pPr>
      <w:ind w:left="2880"/>
    </w:pPr>
    <w:rPr>
      <w:rFonts w:eastAsia="Times New Roman"/>
      <w:szCs w:val="24"/>
    </w:rPr>
  </w:style>
  <w:style w:type="paragraph" w:styleId="EnvelopeReturn">
    <w:name w:val="envelope return"/>
    <w:basedOn w:val="Normal"/>
    <w:uiPriority w:val="99"/>
    <w:semiHidden/>
    <w:rPr>
      <w:rFonts w:eastAsia="Times New Roman"/>
      <w:sz w:val="20"/>
      <w:szCs w:val="20"/>
    </w:rPr>
  </w:style>
  <w:style w:type="paragraph" w:customStyle="1" w:styleId="AOListNumber">
    <w:name w:val="AOListNumber"/>
    <w:basedOn w:val="AOBodyTxt"/>
    <w:pPr>
      <w:numPr>
        <w:numId w:val="18"/>
      </w:numPr>
      <w:tabs>
        <w:tab w:val="clear" w:pos="720"/>
      </w:tabs>
    </w:pPr>
  </w:style>
  <w:style w:type="character" w:styleId="PlaceholderText">
    <w:name w:val="Placeholder Text"/>
    <w:basedOn w:val="DefaultParagraphFont"/>
    <w:uiPriority w:val="99"/>
    <w:semiHidden/>
    <w:rPr>
      <w:color w:val="808080"/>
      <w:lang w:val="en-GB"/>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table" w:styleId="TableGrid">
    <w:name w:val="Table Grid"/>
    <w:basedOn w:val="TableNormal"/>
    <w:uiPriority w:val="39"/>
    <w:pPr>
      <w:spacing w:line="240" w:lineRule="auto"/>
    </w:pPr>
    <w:tblPr>
      <w:tblCellMar>
        <w:left w:w="0" w:type="dxa"/>
        <w:right w:w="0" w:type="dxa"/>
      </w:tblCellMar>
    </w:tblPr>
    <w:tcPr>
      <w:shd w:val="clear" w:color="auto" w:fill="auto"/>
    </w:tcPr>
  </w:style>
  <w:style w:type="paragraph" w:styleId="ListBullet">
    <w:name w:val="List Bullet"/>
    <w:basedOn w:val="Normal"/>
    <w:uiPriority w:val="99"/>
    <w:semiHidden/>
    <w:pPr>
      <w:tabs>
        <w:tab w:val="num" w:pos="720"/>
      </w:tabs>
      <w:ind w:left="720" w:hanging="720"/>
      <w:contextualSpacing/>
    </w:pPr>
  </w:style>
  <w:style w:type="paragraph" w:styleId="ListNumber">
    <w:name w:val="List Number"/>
    <w:basedOn w:val="Normal"/>
    <w:uiPriority w:val="99"/>
    <w:semiHidden/>
    <w:pPr>
      <w:tabs>
        <w:tab w:val="num" w:pos="720"/>
      </w:tabs>
      <w:ind w:left="720" w:hanging="720"/>
      <w:contextualSpacing/>
    </w:pPr>
  </w:style>
  <w:style w:type="table" w:customStyle="1" w:styleId="AOHdrFtrTblStyle">
    <w:name w:val="AOHdrFtrTblStyle"/>
    <w:basedOn w:val="TableGrid"/>
    <w:tblPr/>
    <w:tcPr>
      <w:shd w:val="clear" w:color="auto" w:fill="auto"/>
    </w:tcPr>
  </w:style>
  <w:style w:type="paragraph" w:customStyle="1" w:styleId="WWBodyText">
    <w:name w:val="WW_BodyText"/>
    <w:basedOn w:val="Normal"/>
    <w:pPr>
      <w:suppressAutoHyphens/>
      <w:spacing w:after="240" w:line="360" w:lineRule="auto"/>
      <w:jc w:val="both"/>
    </w:pPr>
    <w:rPr>
      <w:rFonts w:ascii="Arial" w:eastAsia="Times New Roman" w:hAnsi="Arial"/>
      <w:szCs w:val="24"/>
      <w:lang w:eastAsia="en-GB"/>
    </w:rPr>
  </w:style>
  <w:style w:type="character" w:styleId="Hyperlink">
    <w:name w:val="Hyperlink"/>
    <w:basedOn w:val="DefaultParagraphFont"/>
    <w:uiPriority w:val="99"/>
    <w:rPr>
      <w:color w:val="5C6F7B" w:themeColor="hyperlink"/>
      <w:u w:val="single"/>
    </w:rPr>
  </w:style>
  <w:style w:type="character" w:styleId="CommentReference">
    <w:name w:val="annotation reference"/>
    <w:basedOn w:val="DefaultParagraphFont"/>
    <w:uiPriority w:val="99"/>
    <w:semiHidden/>
    <w:rPr>
      <w:sz w:val="16"/>
      <w:szCs w:val="16"/>
    </w:rPr>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SubjectChar">
    <w:name w:val="Comment Subject Char"/>
    <w:basedOn w:val="CommentTextChar"/>
    <w:link w:val="CommentSubject"/>
    <w:uiPriority w:val="99"/>
    <w:semiHidden/>
    <w:rPr>
      <w:rFonts w:cs="Times New Roman"/>
      <w:b/>
      <w:bCs/>
      <w:sz w:val="20"/>
      <w:szCs w:val="20"/>
      <w:lang w:val="en-GB"/>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rPr>
      <w:color w:val="9AD7DB" w:themeColor="followedHyperlink"/>
      <w:u w:val="single"/>
    </w:rPr>
  </w:style>
  <w:style w:type="paragraph" w:styleId="Revision">
    <w:name w:val="Revision"/>
    <w:hidden/>
    <w:uiPriority w:val="99"/>
    <w:semiHidden/>
    <w:pPr>
      <w:spacing w:line="240" w:lineRule="auto"/>
    </w:pPr>
    <w:rPr>
      <w:rFonts w:cs="Times New Roman"/>
    </w:rPr>
  </w:style>
  <w:style w:type="paragraph" w:styleId="BodyText">
    <w:name w:val="Body Text"/>
    <w:basedOn w:val="Normal"/>
    <w:link w:val="BodyTextChar"/>
    <w:pPr>
      <w:widowControl w:val="0"/>
      <w:spacing w:line="300" w:lineRule="exact"/>
    </w:pPr>
    <w:rPr>
      <w:rFonts w:eastAsia="Times New Roman"/>
      <w:szCs w:val="20"/>
      <w:lang w:val="nl-NL" w:eastAsia="en-GB"/>
    </w:rPr>
  </w:style>
  <w:style w:type="character" w:customStyle="1" w:styleId="BodyTextChar">
    <w:name w:val="Body Text Char"/>
    <w:basedOn w:val="DefaultParagraphFont"/>
    <w:link w:val="BodyText"/>
    <w:rPr>
      <w:rFonts w:eastAsia="Times New Roman" w:cs="Times New Roman"/>
      <w:szCs w:val="20"/>
      <w:lang w:val="nl-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Allen &amp; Overy">
      <a:dk1>
        <a:srgbClr val="000000"/>
      </a:dk1>
      <a:lt1>
        <a:srgbClr val="FFFFFF"/>
      </a:lt1>
      <a:dk2>
        <a:srgbClr val="B23427"/>
      </a:dk2>
      <a:lt2>
        <a:srgbClr val="636467"/>
      </a:lt2>
      <a:accent1>
        <a:srgbClr val="006595"/>
      </a:accent1>
      <a:accent2>
        <a:srgbClr val="679146"/>
      </a:accent2>
      <a:accent3>
        <a:srgbClr val="5C6F7B"/>
      </a:accent3>
      <a:accent4>
        <a:srgbClr val="569BBE"/>
      </a:accent4>
      <a:accent5>
        <a:srgbClr val="C7C8CA"/>
      </a:accent5>
      <a:accent6>
        <a:srgbClr val="9E6614"/>
      </a:accent6>
      <a:hlink>
        <a:srgbClr val="5C6F7B"/>
      </a:hlink>
      <a:folHlink>
        <a:srgbClr val="9AD7DB"/>
      </a:folHlink>
    </a:clrScheme>
    <a:fontScheme name="Allen &amp; Over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Session xmlns="http://schemas.business-integrity.com/dealbuilder/2006/answer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43f1af2-e785-4394-9b2d-dfaf95e92f60">
      <Terms xmlns="http://schemas.microsoft.com/office/infopath/2007/PartnerControls"/>
    </lcf76f155ced4ddcb4097134ff3c332f>
    <TaxCatchAll xmlns="d830a163-2bd2-4904-a356-455e0fdb518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DCB0C64831414DABABF09C05DE95E2" ma:contentTypeVersion="16" ma:contentTypeDescription="Create a new document." ma:contentTypeScope="" ma:versionID="a03eb80941f803d172a6418420c95ac8">
  <xsd:schema xmlns:xsd="http://www.w3.org/2001/XMLSchema" xmlns:xs="http://www.w3.org/2001/XMLSchema" xmlns:p="http://schemas.microsoft.com/office/2006/metadata/properties" xmlns:ns2="943f1af2-e785-4394-9b2d-dfaf95e92f60" xmlns:ns3="d830a163-2bd2-4904-a356-455e0fdb518a" targetNamespace="http://schemas.microsoft.com/office/2006/metadata/properties" ma:root="true" ma:fieldsID="e66a8292eb05a86d7fbf78feb4937e25" ns2:_="" ns3:_="">
    <xsd:import namespace="943f1af2-e785-4394-9b2d-dfaf95e92f60"/>
    <xsd:import namespace="d830a163-2bd2-4904-a356-455e0fdb51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f1af2-e785-4394-9b2d-dfaf95e92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b0b32f-e310-49b4-ae0d-6de30dafcd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830a163-2bd2-4904-a356-455e0fdb51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e03a627-04b7-47c3-ba6b-59e14afa6e89}" ma:internalName="TaxCatchAll" ma:showField="CatchAllData" ma:web="d830a163-2bd2-4904-a356-455e0fdb51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Dictionary xmlns="http://schemas.business-integrity.com/dealbuilder/2006/dictionary" SavedByVersion="8.10.32491.1" MinimumVersion="7.2.0.0"/>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7CA67540-6851-446B-8198-F192AD23836A}">
  <ds:schemaRefs>
    <ds:schemaRef ds:uri="http://schemas.microsoft.com/office/2006/metadata/properties"/>
    <ds:schemaRef ds:uri="http://schemas.microsoft.com/office/infopath/2007/PartnerControls"/>
    <ds:schemaRef ds:uri="943f1af2-e785-4394-9b2d-dfaf95e92f60"/>
    <ds:schemaRef ds:uri="d830a163-2bd2-4904-a356-455e0fdb518a"/>
  </ds:schemaRefs>
</ds:datastoreItem>
</file>

<file path=customXml/itemProps3.xml><?xml version="1.0" encoding="utf-8"?>
<ds:datastoreItem xmlns:ds="http://schemas.openxmlformats.org/officeDocument/2006/customXml" ds:itemID="{EA810287-2C83-452D-AD9B-1C8DA5D80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f1af2-e785-4394-9b2d-dfaf95e92f60"/>
    <ds:schemaRef ds:uri="d830a163-2bd2-4904-a356-455e0fdb51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8BE93E-84F5-40D5-B57C-3166153BB4CA}">
  <ds:schemaRefs>
    <ds:schemaRef ds:uri="http://schemas.microsoft.com/sharepoint/v3/contenttype/forms"/>
  </ds:schemaRefs>
</ds:datastoreItem>
</file>

<file path=customXml/itemProps5.xml><?xml version="1.0" encoding="utf-8"?>
<ds:datastoreItem xmlns:ds="http://schemas.openxmlformats.org/officeDocument/2006/customXml" ds:itemID="{7D56B428-D1D9-4244-8271-C9EF1CE84F7B}">
  <ds:schemaRefs>
    <ds:schemaRef ds:uri="http://schemas.business-integrity.com/dealbuilder/2006/dictionary"/>
  </ds:schemaRefs>
</ds:datastoreItem>
</file>

<file path=docProps/app.xml><?xml version="1.0" encoding="utf-8"?>
<Properties xmlns="http://schemas.openxmlformats.org/officeDocument/2006/extended-properties" xmlns:vt="http://schemas.openxmlformats.org/officeDocument/2006/docPropsVTypes">
  <TotalTime>0</TotalTime>
  <Pages>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Prosus - Buyback announcement - 4 July 2022 - 8 July 2022</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0x010100ABDCB0C64831414DABABF09C05DE95E2</vt:lpwstr>
  </property>
  <property fmtid="{D5CDD505-2E9C-101B-9397-08002B2CF9AE}" pid="3" name="db_contract_version">
    <vt:lpwstr>AAAAAAAHa/8=</vt:lpwstr>
  </property>
  <property fmtid="{D5CDD505-2E9C-101B-9397-08002B2CF9AE}" pid="4" name="db_document_id">
    <vt:lpwstr>8391</vt:lpwstr>
  </property>
  <property fmtid="{D5CDD505-2E9C-101B-9397-08002B2CF9AE}" pid="5" name="MediaServiceImageTags">
    <vt:lpwstr/>
  </property>
</Properties>
</file>