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E3165E" w14:textId="77777777" w:rsidR="005E503D" w:rsidRDefault="007D0A4B">
      <w:pPr>
        <w:pStyle w:val="WWBodyText"/>
        <w:spacing w:after="0" w:line="240" w:lineRule="auto"/>
        <w:jc w:val="center"/>
        <w:rPr>
          <w:rFonts w:ascii="Verdana" w:hAnsi="Verdana"/>
          <w:b/>
          <w:sz w:val="20"/>
          <w:szCs w:val="20"/>
        </w:rPr>
      </w:pPr>
      <w:r>
        <w:rPr>
          <w:rFonts w:ascii="Verdana" w:hAnsi="Verdana"/>
          <w:b/>
          <w:sz w:val="20"/>
          <w:szCs w:val="20"/>
        </w:rPr>
        <w:t>Prosus N.V.</w:t>
      </w:r>
    </w:p>
    <w:p w14:paraId="0BE3165F" w14:textId="77777777" w:rsidR="005E503D" w:rsidRDefault="007D0A4B">
      <w:pPr>
        <w:pStyle w:val="WWBodyText"/>
        <w:spacing w:after="0" w:line="240" w:lineRule="auto"/>
        <w:jc w:val="center"/>
        <w:rPr>
          <w:rFonts w:ascii="Verdana" w:hAnsi="Verdana"/>
          <w:sz w:val="20"/>
          <w:szCs w:val="20"/>
        </w:rPr>
      </w:pPr>
      <w:r>
        <w:rPr>
          <w:rFonts w:ascii="Verdana" w:hAnsi="Verdana"/>
          <w:sz w:val="20"/>
          <w:szCs w:val="20"/>
        </w:rPr>
        <w:t>(Incorporated in the Netherlands)</w:t>
      </w:r>
    </w:p>
    <w:p w14:paraId="0BE31660" w14:textId="77777777" w:rsidR="005E503D" w:rsidRDefault="007D0A4B">
      <w:pPr>
        <w:pStyle w:val="WWBodyText"/>
        <w:spacing w:after="0" w:line="240" w:lineRule="auto"/>
        <w:jc w:val="center"/>
        <w:rPr>
          <w:rFonts w:ascii="Verdana" w:hAnsi="Verdana"/>
          <w:sz w:val="20"/>
          <w:szCs w:val="20"/>
        </w:rPr>
      </w:pPr>
      <w:r>
        <w:rPr>
          <w:rFonts w:ascii="Verdana" w:hAnsi="Verdana"/>
          <w:sz w:val="20"/>
          <w:szCs w:val="20"/>
        </w:rPr>
        <w:t>(Legal Entity Identifier: 635400Z5LQ5F9OLVT688)</w:t>
      </w:r>
    </w:p>
    <w:p w14:paraId="0BE31661" w14:textId="77777777" w:rsidR="005E503D" w:rsidRDefault="007D0A4B">
      <w:pPr>
        <w:pStyle w:val="WWBodyText"/>
        <w:spacing w:after="0" w:line="240" w:lineRule="auto"/>
        <w:jc w:val="center"/>
        <w:rPr>
          <w:rFonts w:ascii="Verdana" w:hAnsi="Verdana"/>
          <w:sz w:val="20"/>
          <w:szCs w:val="20"/>
          <w:lang w:val="en-ZA"/>
        </w:rPr>
      </w:pPr>
      <w:r>
        <w:rPr>
          <w:rFonts w:ascii="Verdana" w:hAnsi="Verdana"/>
          <w:sz w:val="20"/>
          <w:szCs w:val="20"/>
          <w:lang w:val="en-ZA"/>
        </w:rPr>
        <w:t>AEX and JSE Share Code: PRX ISIN: NL0013654783</w:t>
      </w:r>
    </w:p>
    <w:p w14:paraId="0BE31662" w14:textId="77777777" w:rsidR="005E503D" w:rsidRDefault="007D0A4B">
      <w:pPr>
        <w:pStyle w:val="WWBodyText"/>
        <w:spacing w:line="240" w:lineRule="auto"/>
        <w:jc w:val="center"/>
        <w:rPr>
          <w:rFonts w:ascii="Verdana" w:hAnsi="Verdana"/>
          <w:sz w:val="20"/>
          <w:szCs w:val="20"/>
          <w:lang w:val="en-ZA"/>
        </w:rPr>
      </w:pPr>
      <w:r>
        <w:rPr>
          <w:rFonts w:ascii="Verdana" w:hAnsi="Verdana"/>
          <w:sz w:val="20"/>
          <w:szCs w:val="20"/>
          <w:lang w:val="en-ZA"/>
        </w:rPr>
        <w:t>(</w:t>
      </w:r>
      <w:r>
        <w:rPr>
          <w:rFonts w:ascii="Verdana" w:hAnsi="Verdana"/>
          <w:b/>
          <w:sz w:val="20"/>
          <w:szCs w:val="20"/>
          <w:lang w:val="en-ZA"/>
        </w:rPr>
        <w:t>Prosus</w:t>
      </w:r>
      <w:r>
        <w:rPr>
          <w:rFonts w:ascii="Verdana" w:hAnsi="Verdana"/>
          <w:sz w:val="20"/>
          <w:szCs w:val="20"/>
          <w:lang w:val="en-ZA"/>
        </w:rPr>
        <w:t>)</w:t>
      </w:r>
    </w:p>
    <w:p w14:paraId="0BE31663" w14:textId="77777777" w:rsidR="005E503D" w:rsidRDefault="007D0A4B">
      <w:pPr>
        <w:pStyle w:val="AOHead1"/>
        <w:numPr>
          <w:ilvl w:val="0"/>
          <w:numId w:val="0"/>
        </w:numPr>
        <w:ind w:left="720" w:hanging="720"/>
        <w:jc w:val="center"/>
        <w:rPr>
          <w:rFonts w:ascii="Verdana" w:hAnsi="Verdana"/>
          <w:sz w:val="20"/>
          <w:szCs w:val="20"/>
        </w:rPr>
      </w:pPr>
      <w:r>
        <w:rPr>
          <w:rFonts w:ascii="Verdana" w:hAnsi="Verdana"/>
          <w:sz w:val="20"/>
          <w:szCs w:val="20"/>
        </w:rPr>
        <w:t>Update on REPURCHASE Programme</w:t>
      </w:r>
    </w:p>
    <w:p w14:paraId="0BE31665" w14:textId="03D9A524" w:rsidR="005E503D" w:rsidRDefault="007D0A4B" w:rsidP="0089514F">
      <w:pPr>
        <w:pStyle w:val="AODocTxt"/>
        <w:rPr>
          <w:rFonts w:ascii="Verdana" w:hAnsi="Verdana"/>
          <w:sz w:val="20"/>
          <w:szCs w:val="20"/>
        </w:rPr>
      </w:pPr>
      <w:r>
        <w:rPr>
          <w:rFonts w:ascii="Verdana" w:hAnsi="Verdana"/>
          <w:sz w:val="20"/>
          <w:szCs w:val="20"/>
        </w:rPr>
        <w:t xml:space="preserve">Prosus today announces an update to </w:t>
      </w:r>
      <w:bookmarkStart w:id="0" w:name="_Hlk107580913"/>
      <w:r>
        <w:rPr>
          <w:rFonts w:ascii="Verdana" w:hAnsi="Verdana"/>
          <w:sz w:val="20"/>
          <w:szCs w:val="20"/>
        </w:rPr>
        <w:t>the open-ended, repurchase programme in respect of the ordinary shares N in the capital of Prosus ("</w:t>
      </w:r>
      <w:r>
        <w:rPr>
          <w:rFonts w:ascii="Verdana" w:hAnsi="Verdana"/>
          <w:b/>
          <w:bCs/>
          <w:sz w:val="20"/>
          <w:szCs w:val="20"/>
        </w:rPr>
        <w:t>Prosus Shares</w:t>
      </w:r>
      <w:r>
        <w:rPr>
          <w:rFonts w:ascii="Verdana" w:hAnsi="Verdana"/>
          <w:sz w:val="20"/>
          <w:szCs w:val="20"/>
        </w:rPr>
        <w:t>") and N ordinary shares in the share capital of Naspers ("</w:t>
      </w:r>
      <w:r>
        <w:rPr>
          <w:rFonts w:ascii="Verdana" w:hAnsi="Verdana"/>
          <w:b/>
          <w:bCs/>
          <w:sz w:val="20"/>
          <w:szCs w:val="20"/>
        </w:rPr>
        <w:t>Naspers Shares</w:t>
      </w:r>
      <w:r>
        <w:rPr>
          <w:rFonts w:ascii="Verdana" w:hAnsi="Verdana"/>
          <w:sz w:val="20"/>
          <w:szCs w:val="20"/>
        </w:rPr>
        <w:t>"), from the respective Prosus and Naspers (together the “</w:t>
      </w:r>
      <w:r>
        <w:rPr>
          <w:rFonts w:ascii="Verdana" w:hAnsi="Verdana"/>
          <w:b/>
          <w:bCs/>
          <w:sz w:val="20"/>
          <w:szCs w:val="20"/>
        </w:rPr>
        <w:t>Group</w:t>
      </w:r>
      <w:r>
        <w:rPr>
          <w:rFonts w:ascii="Verdana" w:hAnsi="Verdana"/>
          <w:sz w:val="20"/>
          <w:szCs w:val="20"/>
        </w:rPr>
        <w:t>”) free-float shareholders</w:t>
      </w:r>
      <w:bookmarkEnd w:id="0"/>
      <w:r>
        <w:rPr>
          <w:rFonts w:ascii="Verdana" w:hAnsi="Verdana"/>
          <w:sz w:val="20"/>
          <w:szCs w:val="20"/>
        </w:rPr>
        <w:t xml:space="preserve"> </w:t>
      </w:r>
      <w:bookmarkStart w:id="1" w:name="_Hlk107580931"/>
      <w:r>
        <w:rPr>
          <w:rFonts w:ascii="Verdana" w:hAnsi="Verdana"/>
          <w:sz w:val="20"/>
          <w:szCs w:val="20"/>
        </w:rPr>
        <w:t>(together the “</w:t>
      </w:r>
      <w:r>
        <w:rPr>
          <w:rFonts w:ascii="Verdana" w:hAnsi="Verdana"/>
          <w:b/>
          <w:bCs/>
          <w:sz w:val="20"/>
          <w:szCs w:val="20"/>
        </w:rPr>
        <w:t>Repurchase Programme</w:t>
      </w:r>
      <w:r>
        <w:rPr>
          <w:rFonts w:ascii="Verdana" w:hAnsi="Verdana"/>
          <w:sz w:val="20"/>
          <w:szCs w:val="20"/>
        </w:rPr>
        <w:t xml:space="preserve">”) </w:t>
      </w:r>
      <w:bookmarkEnd w:id="1"/>
      <w:r>
        <w:rPr>
          <w:rFonts w:ascii="Verdana" w:hAnsi="Verdana"/>
          <w:sz w:val="20"/>
          <w:szCs w:val="20"/>
        </w:rPr>
        <w:t>announced on 27 June 2022.</w:t>
      </w:r>
    </w:p>
    <w:p w14:paraId="0BE31667" w14:textId="3A7D4F08" w:rsidR="005E503D" w:rsidRPr="0089514F" w:rsidRDefault="007D0A4B" w:rsidP="0089514F">
      <w:pPr>
        <w:pStyle w:val="AODocTxt"/>
        <w:jc w:val="left"/>
        <w:rPr>
          <w:rFonts w:ascii="Verdana" w:hAnsi="Verdana"/>
          <w:sz w:val="20"/>
          <w:szCs w:val="20"/>
        </w:rPr>
      </w:pPr>
      <w:r>
        <w:rPr>
          <w:rFonts w:ascii="Verdana" w:hAnsi="Verdana"/>
          <w:sz w:val="20"/>
          <w:szCs w:val="20"/>
        </w:rPr>
        <w:t xml:space="preserve">As part of the Repurchase Programme, for the period between </w:t>
      </w:r>
      <w:sdt>
        <w:sdtPr>
          <w:rPr>
            <w:rFonts w:ascii="Verdana" w:hAnsi="Verdana"/>
            <w:sz w:val="20"/>
            <w:szCs w:val="20"/>
          </w:rPr>
          <w:alias w:val="Contract Express"/>
          <w:tag w:val="d=AnnouncementPeriodStartDate&amp;r="/>
          <w:id w:val="982717366"/>
        </w:sdtPr>
        <w:sdtEndPr/>
        <w:sdtContent>
          <w:r>
            <w:rPr>
              <w:rFonts w:ascii="Verdana" w:hAnsi="Verdana"/>
              <w:sz w:val="20"/>
              <w:szCs w:val="20"/>
            </w:rPr>
            <w:t>10 April 2023</w:t>
          </w:r>
        </w:sdtContent>
      </w:sdt>
      <w:r>
        <w:rPr>
          <w:rFonts w:ascii="Verdana" w:hAnsi="Verdana"/>
          <w:sz w:val="20"/>
          <w:szCs w:val="20"/>
        </w:rPr>
        <w:t xml:space="preserve"> and </w:t>
      </w:r>
      <w:sdt>
        <w:sdtPr>
          <w:rPr>
            <w:rFonts w:ascii="Verdana" w:hAnsi="Verdana"/>
            <w:sz w:val="20"/>
            <w:szCs w:val="20"/>
          </w:rPr>
          <w:alias w:val="Contract Express"/>
          <w:tag w:val="d=AnnouncementPeriodEndDate&amp;r="/>
          <w:id w:val="870694457"/>
        </w:sdtPr>
        <w:sdtEndPr/>
        <w:sdtContent>
          <w:r>
            <w:rPr>
              <w:rFonts w:ascii="Verdana" w:hAnsi="Verdana"/>
              <w:sz w:val="20"/>
              <w:szCs w:val="20"/>
            </w:rPr>
            <w:t>14 April 2023</w:t>
          </w:r>
        </w:sdtContent>
      </w:sdt>
      <w:r>
        <w:rPr>
          <w:rFonts w:ascii="Verdana" w:hAnsi="Verdana"/>
          <w:sz w:val="20"/>
          <w:szCs w:val="20"/>
        </w:rPr>
        <w:t xml:space="preserve">, Prosus repurchased </w:t>
      </w:r>
      <w:sdt>
        <w:sdtPr>
          <w:rPr>
            <w:rFonts w:ascii="Verdana" w:hAnsi="Verdana"/>
            <w:sz w:val="20"/>
            <w:szCs w:val="20"/>
          </w:rPr>
          <w:alias w:val="Contract Express"/>
          <w:tag w:val="d=ProsusSharesRepurchaseNumber%20Format%20%22thousands%22&amp;r="/>
          <w:id w:val="695748778"/>
        </w:sdtPr>
        <w:sdtEndPr/>
        <w:sdtContent>
          <w:r>
            <w:rPr>
              <w:rFonts w:ascii="Verdana" w:hAnsi="Verdana"/>
              <w:sz w:val="20"/>
              <w:szCs w:val="20"/>
            </w:rPr>
            <w:t>2,570,198</w:t>
          </w:r>
        </w:sdtContent>
      </w:sdt>
      <w:r>
        <w:rPr>
          <w:rFonts w:ascii="Verdana" w:hAnsi="Verdana"/>
          <w:sz w:val="20"/>
          <w:szCs w:val="20"/>
        </w:rPr>
        <w:t xml:space="preserve"> Prosus Shares at an average price of €</w:t>
      </w:r>
      <w:sdt>
        <w:sdtPr>
          <w:alias w:val="Contract Express"/>
          <w:tag w:val="d=ProsusAverageSharePrice%20Format%20%22thousands%22&amp;r="/>
          <w:id w:val="782014624"/>
        </w:sdtPr>
        <w:sdtEndPr/>
        <w:sdtContent>
          <w:r>
            <w:rPr>
              <w:rFonts w:ascii="Verdana" w:hAnsi="Verdana"/>
              <w:sz w:val="20"/>
              <w:szCs w:val="20"/>
            </w:rPr>
            <w:t>67.3952</w:t>
          </w:r>
        </w:sdtContent>
      </w:sdt>
      <w:r>
        <w:rPr>
          <w:rFonts w:ascii="Verdana" w:hAnsi="Verdana"/>
          <w:sz w:val="20"/>
          <w:szCs w:val="20"/>
        </w:rPr>
        <w:t xml:space="preserve"> per share for a total consideration of €</w:t>
      </w:r>
      <w:sdt>
        <w:sdtPr>
          <w:alias w:val="Contract Express"/>
          <w:tag w:val="d=int%28ProsusSharesTotalConsiderationEuros%29%20Format%20%22thousands%22&amp;r="/>
          <w:id w:val="1303072510"/>
        </w:sdtPr>
        <w:sdtEndPr/>
        <w:sdtContent>
          <w:r>
            <w:rPr>
              <w:rFonts w:ascii="Verdana" w:hAnsi="Verdana"/>
              <w:sz w:val="20"/>
              <w:szCs w:val="20"/>
            </w:rPr>
            <w:t>173,219,100</w:t>
          </w:r>
        </w:sdtContent>
      </w:sdt>
      <w:r>
        <w:rPr>
          <w:rFonts w:ascii="Verdana" w:hAnsi="Verdana"/>
          <w:sz w:val="20"/>
          <w:szCs w:val="20"/>
        </w:rPr>
        <w:t xml:space="preserve"> (US$</w:t>
      </w:r>
      <w:sdt>
        <w:sdtPr>
          <w:alias w:val="Contract Express"/>
          <w:tag w:val="d=int%28ProsusSharesTotalConsiderationDollar%29%20Format%20%22thousands%22&amp;r="/>
          <w:id w:val="720405341"/>
        </w:sdtPr>
        <w:sdtEndPr/>
        <w:sdtContent>
          <w:r>
            <w:rPr>
              <w:rFonts w:ascii="Verdana" w:hAnsi="Verdana"/>
              <w:sz w:val="20"/>
              <w:szCs w:val="20"/>
            </w:rPr>
            <w:t>190,205,634</w:t>
          </w:r>
        </w:sdtContent>
      </w:sdt>
      <w:r>
        <w:rPr>
          <w:rFonts w:ascii="Verdana" w:hAnsi="Verdana"/>
          <w:sz w:val="20"/>
          <w:szCs w:val="20"/>
        </w:rPr>
        <w:t xml:space="preserve">). </w:t>
      </w:r>
    </w:p>
    <w:p w14:paraId="0BE3166B" w14:textId="225AC673" w:rsidR="005E503D" w:rsidRDefault="007D0A4B" w:rsidP="0089514F">
      <w:pPr>
        <w:pStyle w:val="AODocTxt"/>
        <w:jc w:val="left"/>
        <w:rPr>
          <w:rFonts w:ascii="Verdana" w:hAnsi="Verdana"/>
          <w:sz w:val="20"/>
          <w:szCs w:val="20"/>
        </w:rPr>
      </w:pPr>
      <w:r>
        <w:rPr>
          <w:rFonts w:ascii="Verdana" w:hAnsi="Verdana"/>
          <w:sz w:val="20"/>
          <w:szCs w:val="20"/>
        </w:rPr>
        <w:t>More information on the Repurchase Programme is available on</w:t>
      </w:r>
      <w:r w:rsidR="0089514F">
        <w:rPr>
          <w:rFonts w:ascii="Verdana" w:hAnsi="Verdana"/>
          <w:sz w:val="20"/>
          <w:szCs w:val="20"/>
        </w:rPr>
        <w:t>:</w:t>
      </w:r>
      <w:r w:rsidR="0089514F">
        <w:rPr>
          <w:rFonts w:ascii="Verdana" w:hAnsi="Verdana"/>
          <w:sz w:val="20"/>
          <w:szCs w:val="20"/>
        </w:rPr>
        <w:br/>
      </w:r>
      <w:r>
        <w:rPr>
          <w:rFonts w:ascii="Verdana" w:hAnsi="Verdana"/>
          <w:sz w:val="20"/>
          <w:szCs w:val="20"/>
        </w:rPr>
        <w:t>www.prosus.com/news/investors-shareholder-information/.</w:t>
      </w:r>
    </w:p>
    <w:p w14:paraId="0BE3166C" w14:textId="77777777" w:rsidR="005E503D" w:rsidRDefault="007D0A4B">
      <w:pPr>
        <w:pStyle w:val="AODocTxt"/>
        <w:rPr>
          <w:rFonts w:ascii="Verdana" w:hAnsi="Verdana"/>
          <w:sz w:val="20"/>
          <w:szCs w:val="20"/>
        </w:rPr>
      </w:pPr>
      <w:r>
        <w:rPr>
          <w:rFonts w:ascii="Verdana" w:hAnsi="Verdana"/>
          <w:sz w:val="20"/>
          <w:szCs w:val="20"/>
        </w:rPr>
        <w:t>Amsterdam, the Netherlands</w:t>
      </w:r>
    </w:p>
    <w:sdt>
      <w:sdtPr>
        <w:alias w:val="Contract Express"/>
        <w:tag w:val="d=BuyBackDateOfAnnouncement&amp;r="/>
        <w:id w:val="1810094753"/>
      </w:sdtPr>
      <w:sdtEndPr/>
      <w:sdtContent>
        <w:p w14:paraId="0BE3166D" w14:textId="77777777" w:rsidR="005E503D" w:rsidRDefault="007D0A4B">
          <w:pPr>
            <w:pStyle w:val="AODocTxt"/>
            <w:spacing w:before="0"/>
            <w:rPr>
              <w:rFonts w:ascii="Verdana" w:hAnsi="Verdana"/>
              <w:sz w:val="20"/>
              <w:szCs w:val="20"/>
            </w:rPr>
          </w:pPr>
          <w:r>
            <w:rPr>
              <w:rFonts w:ascii="Verdana" w:hAnsi="Verdana"/>
              <w:sz w:val="20"/>
              <w:szCs w:val="20"/>
            </w:rPr>
            <w:t>18 April 2023</w:t>
          </w:r>
        </w:p>
      </w:sdtContent>
    </w:sdt>
    <w:p w14:paraId="0BE3166E" w14:textId="77777777" w:rsidR="005E503D" w:rsidRDefault="007D0A4B">
      <w:pPr>
        <w:pStyle w:val="AODocTxt"/>
        <w:rPr>
          <w:rFonts w:ascii="Verdana" w:hAnsi="Verdana"/>
          <w:sz w:val="20"/>
          <w:szCs w:val="20"/>
        </w:rPr>
      </w:pPr>
      <w:r>
        <w:rPr>
          <w:rFonts w:ascii="Verdana" w:hAnsi="Verdana"/>
          <w:sz w:val="20"/>
          <w:szCs w:val="20"/>
        </w:rPr>
        <w:t>JSE sponsor to Prosus</w:t>
      </w:r>
    </w:p>
    <w:p w14:paraId="0BE3166F" w14:textId="77777777" w:rsidR="005E503D" w:rsidRDefault="007D0A4B">
      <w:pPr>
        <w:pStyle w:val="AODocTxt"/>
        <w:spacing w:before="0"/>
        <w:rPr>
          <w:rFonts w:ascii="Verdana" w:hAnsi="Verdana"/>
          <w:sz w:val="20"/>
          <w:szCs w:val="20"/>
        </w:rPr>
      </w:pPr>
      <w:r>
        <w:rPr>
          <w:rFonts w:ascii="Verdana" w:hAnsi="Verdana"/>
          <w:sz w:val="20"/>
          <w:szCs w:val="20"/>
        </w:rPr>
        <w:t>Investec Bank Limited</w:t>
      </w:r>
    </w:p>
    <w:p w14:paraId="0BE31670" w14:textId="77777777" w:rsidR="005E503D" w:rsidRDefault="005E503D">
      <w:pPr>
        <w:suppressAutoHyphens/>
        <w:jc w:val="both"/>
        <w:rPr>
          <w:rFonts w:ascii="Calibri" w:eastAsia="Arial" w:hAnsi="Calibri" w:cs="Calibri"/>
          <w:lang w:eastAsia="en-GB"/>
        </w:rPr>
      </w:pPr>
    </w:p>
    <w:p w14:paraId="0BE31671" w14:textId="77777777" w:rsidR="005E503D" w:rsidRDefault="007D0A4B">
      <w:pPr>
        <w:spacing w:after="160" w:line="256" w:lineRule="auto"/>
        <w:jc w:val="both"/>
        <w:textAlignment w:val="baseline"/>
        <w:rPr>
          <w:rFonts w:ascii="Verdana" w:eastAsia="Calibri" w:hAnsi="Verdana" w:cs="Segoe UI"/>
          <w:sz w:val="20"/>
          <w:szCs w:val="20"/>
          <w:lang w:val="en-US"/>
        </w:rPr>
      </w:pPr>
      <w:bookmarkStart w:id="2" w:name="_Hlk107056137"/>
      <w:r>
        <w:rPr>
          <w:rFonts w:ascii="Verdana" w:eastAsia="Calibri" w:hAnsi="Verdana" w:cs="Segoe UI"/>
          <w:b/>
          <w:bCs/>
          <w:sz w:val="20"/>
          <w:szCs w:val="20"/>
          <w:lang w:val="en-ZA"/>
        </w:rPr>
        <w:t>Enquiries</w:t>
      </w:r>
      <w:r>
        <w:rPr>
          <w:rFonts w:ascii="Verdana" w:eastAsia="Calibri" w:hAnsi="Verdana" w:cs="Segoe UI"/>
          <w:sz w:val="20"/>
          <w:szCs w:val="20"/>
          <w:lang w:val="en-US"/>
        </w:rPr>
        <w:t> </w:t>
      </w:r>
    </w:p>
    <w:tbl>
      <w:tblPr>
        <w:tblW w:w="91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380"/>
      </w:tblGrid>
      <w:tr w:rsidR="00F2727A" w14:paraId="0BE31675" w14:textId="77777777">
        <w:tc>
          <w:tcPr>
            <w:tcW w:w="4815" w:type="dxa"/>
            <w:tcBorders>
              <w:top w:val="nil"/>
              <w:left w:val="nil"/>
              <w:bottom w:val="nil"/>
              <w:right w:val="nil"/>
            </w:tcBorders>
            <w:shd w:val="clear" w:color="auto" w:fill="auto"/>
            <w:hideMark/>
          </w:tcPr>
          <w:p w14:paraId="0BE31672" w14:textId="77777777" w:rsidR="005E503D" w:rsidRDefault="007D0A4B">
            <w:pPr>
              <w:spacing w:after="160" w:line="256" w:lineRule="auto"/>
              <w:jc w:val="both"/>
              <w:textAlignment w:val="baseline"/>
              <w:rPr>
                <w:rFonts w:ascii="Verdana" w:eastAsia="Calibri" w:hAnsi="Verdana"/>
                <w:sz w:val="20"/>
                <w:szCs w:val="20"/>
                <w:lang w:val="en-ZA"/>
              </w:rPr>
            </w:pPr>
            <w:r>
              <w:rPr>
                <w:rFonts w:ascii="Verdana" w:eastAsia="Calibri" w:hAnsi="Verdana"/>
                <w:b/>
                <w:bCs/>
                <w:sz w:val="20"/>
                <w:szCs w:val="20"/>
                <w:lang w:val="en-ZA"/>
              </w:rPr>
              <w:t>Investor Enquiries</w:t>
            </w:r>
            <w:r>
              <w:rPr>
                <w:rFonts w:ascii="Verdana" w:eastAsia="Calibri" w:hAnsi="Verdana"/>
                <w:sz w:val="20"/>
                <w:szCs w:val="20"/>
                <w:lang w:val="en-ZA"/>
              </w:rPr>
              <w:t> </w:t>
            </w:r>
          </w:p>
          <w:p w14:paraId="0BE31673" w14:textId="77777777" w:rsidR="005E503D" w:rsidRDefault="007D0A4B">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Eoin Ryan, Head of Investor Relations </w:t>
            </w:r>
          </w:p>
        </w:tc>
        <w:tc>
          <w:tcPr>
            <w:tcW w:w="4380" w:type="dxa"/>
            <w:tcBorders>
              <w:top w:val="nil"/>
              <w:left w:val="nil"/>
              <w:bottom w:val="nil"/>
              <w:right w:val="nil"/>
            </w:tcBorders>
            <w:shd w:val="clear" w:color="auto" w:fill="auto"/>
            <w:hideMark/>
          </w:tcPr>
          <w:p w14:paraId="0BE31674" w14:textId="77777777" w:rsidR="005E503D" w:rsidRDefault="007D0A4B">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+1 347-210-4305 </w:t>
            </w:r>
          </w:p>
        </w:tc>
      </w:tr>
      <w:tr w:rsidR="007D0A4B" w14:paraId="0BE31679" w14:textId="77777777">
        <w:trPr>
          <w:trHeight w:val="110"/>
        </w:trPr>
        <w:tc>
          <w:tcPr>
            <w:tcW w:w="4815" w:type="dxa"/>
            <w:tcBorders>
              <w:top w:val="nil"/>
              <w:left w:val="nil"/>
              <w:bottom w:val="nil"/>
              <w:right w:val="nil"/>
            </w:tcBorders>
            <w:shd w:val="clear" w:color="auto" w:fill="auto"/>
            <w:hideMark/>
          </w:tcPr>
          <w:p w14:paraId="4BD121FC" w14:textId="77777777" w:rsidR="007D0A4B" w:rsidRDefault="007D0A4B" w:rsidP="007D0A4B">
            <w:pPr>
              <w:spacing w:after="160" w:line="256" w:lineRule="auto"/>
              <w:jc w:val="both"/>
              <w:textAlignment w:val="baseline"/>
              <w:rPr>
                <w:rFonts w:ascii="Verdana" w:eastAsia="Calibri" w:hAnsi="Verdana"/>
                <w:sz w:val="20"/>
                <w:szCs w:val="20"/>
                <w:lang w:val="en-ZA"/>
              </w:rPr>
            </w:pPr>
            <w:r>
              <w:rPr>
                <w:rFonts w:ascii="Verdana" w:eastAsia="Calibri" w:hAnsi="Verdana"/>
                <w:b/>
                <w:bCs/>
                <w:sz w:val="20"/>
                <w:szCs w:val="20"/>
                <w:lang w:val="en-ZA"/>
              </w:rPr>
              <w:t>Media Enquiries</w:t>
            </w:r>
            <w:r>
              <w:rPr>
                <w:rFonts w:ascii="Verdana" w:eastAsia="Calibri" w:hAnsi="Verdana"/>
                <w:sz w:val="20"/>
                <w:szCs w:val="20"/>
                <w:lang w:val="en-ZA"/>
              </w:rPr>
              <w:t> </w:t>
            </w:r>
          </w:p>
          <w:p w14:paraId="0BE31677" w14:textId="31119717" w:rsidR="007D0A4B" w:rsidRDefault="007D0A4B" w:rsidP="007D0A4B">
            <w:pPr>
              <w:spacing w:after="160" w:line="256" w:lineRule="auto"/>
              <w:jc w:val="both"/>
              <w:textAlignment w:val="baseline"/>
              <w:rPr>
                <w:rFonts w:ascii="Verdana" w:eastAsia="Calibri" w:hAnsi="Verdana"/>
                <w:sz w:val="20"/>
                <w:szCs w:val="20"/>
                <w:lang w:val="en-ZA"/>
              </w:rPr>
            </w:pPr>
            <w:r>
              <w:rPr>
                <w:rFonts w:ascii="Verdana" w:eastAsia="Calibri" w:hAnsi="Verdana"/>
                <w:sz w:val="20"/>
                <w:szCs w:val="20"/>
                <w:lang w:val="en-ZA"/>
              </w:rPr>
              <w:t>Charlie Pemberton</w:t>
            </w:r>
            <w:r w:rsidRPr="005B6CB4">
              <w:rPr>
                <w:rFonts w:ascii="Verdana" w:eastAsia="Calibri" w:hAnsi="Verdana"/>
                <w:sz w:val="20"/>
                <w:szCs w:val="20"/>
                <w:lang w:val="en-ZA"/>
              </w:rPr>
              <w:t xml:space="preserve">, </w:t>
            </w:r>
            <w:r>
              <w:rPr>
                <w:rFonts w:ascii="Verdana" w:eastAsia="Calibri" w:hAnsi="Verdana"/>
                <w:sz w:val="20"/>
                <w:szCs w:val="20"/>
                <w:lang w:val="en-ZA"/>
              </w:rPr>
              <w:t>Communications</w:t>
            </w:r>
            <w:r w:rsidRPr="005B6CB4">
              <w:rPr>
                <w:rFonts w:ascii="Verdana" w:eastAsia="Calibri" w:hAnsi="Verdana"/>
                <w:sz w:val="20"/>
                <w:szCs w:val="20"/>
                <w:lang w:val="en-ZA"/>
              </w:rPr>
              <w:t xml:space="preserve"> Director</w:t>
            </w:r>
          </w:p>
        </w:tc>
        <w:tc>
          <w:tcPr>
            <w:tcW w:w="4380" w:type="dxa"/>
            <w:tcBorders>
              <w:top w:val="nil"/>
              <w:left w:val="nil"/>
              <w:bottom w:val="nil"/>
              <w:right w:val="nil"/>
            </w:tcBorders>
            <w:shd w:val="clear" w:color="auto" w:fill="auto"/>
            <w:hideMark/>
          </w:tcPr>
          <w:p w14:paraId="0BE31678" w14:textId="0664A86B" w:rsidR="007D0A4B" w:rsidRDefault="007D0A4B" w:rsidP="007D0A4B">
            <w:pPr>
              <w:spacing w:after="160" w:line="256" w:lineRule="auto"/>
              <w:jc w:val="both"/>
              <w:textAlignment w:val="baseline"/>
              <w:rPr>
                <w:rFonts w:ascii="Verdana" w:eastAsia="Calibri" w:hAnsi="Verdana"/>
                <w:sz w:val="20"/>
                <w:szCs w:val="20"/>
                <w:lang w:val="en-ZA"/>
              </w:rPr>
            </w:pPr>
            <w:r w:rsidRPr="005B6CB4">
              <w:rPr>
                <w:rFonts w:ascii="Verdana" w:eastAsia="Calibri" w:hAnsi="Verdana"/>
                <w:sz w:val="20"/>
                <w:szCs w:val="20"/>
                <w:lang w:val="en-ZA"/>
              </w:rPr>
              <w:t>+</w:t>
            </w:r>
            <w:r>
              <w:rPr>
                <w:rFonts w:ascii="Verdana" w:eastAsia="Calibri" w:hAnsi="Verdana"/>
                <w:sz w:val="20"/>
                <w:szCs w:val="20"/>
                <w:lang w:val="en-ZA"/>
              </w:rPr>
              <w:t>31 6 15494359</w:t>
            </w:r>
            <w:r w:rsidRPr="005B6CB4">
              <w:rPr>
                <w:rFonts w:ascii="Verdana" w:eastAsia="Calibri" w:hAnsi="Verdana"/>
                <w:sz w:val="20"/>
                <w:szCs w:val="20"/>
                <w:lang w:val="en-ZA"/>
              </w:rPr>
              <w:t> </w:t>
            </w:r>
          </w:p>
        </w:tc>
      </w:tr>
      <w:bookmarkEnd w:id="2"/>
    </w:tbl>
    <w:p w14:paraId="0BE3167A" w14:textId="77777777" w:rsidR="005E503D" w:rsidRDefault="005E503D">
      <w:pPr>
        <w:suppressAutoHyphens/>
        <w:rPr>
          <w:rFonts w:ascii="Verdana" w:eastAsia="Verdana" w:hAnsi="Verdana" w:cs="Verdana"/>
          <w:b/>
          <w:color w:val="000000"/>
          <w:sz w:val="20"/>
          <w:szCs w:val="20"/>
          <w:lang w:eastAsia="en-GB"/>
        </w:rPr>
      </w:pPr>
    </w:p>
    <w:p w14:paraId="0BE3167B" w14:textId="77777777" w:rsidR="005E503D" w:rsidRDefault="007D0A4B">
      <w:pPr>
        <w:spacing w:after="160" w:line="256"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About Prosus</w:t>
      </w:r>
    </w:p>
    <w:p w14:paraId="0BE3167C" w14:textId="77777777" w:rsidR="005E503D" w:rsidRDefault="007D0A4B">
      <w:pPr>
        <w:spacing w:after="160" w:line="257" w:lineRule="auto"/>
        <w:jc w:val="both"/>
        <w:rPr>
          <w:rFonts w:ascii="Calibri" w:eastAsia="Calibri" w:hAnsi="Calibri" w:cs="Arial"/>
          <w:color w:val="000000"/>
          <w:sz w:val="16"/>
          <w:szCs w:val="16"/>
          <w:lang w:val="en-US"/>
        </w:rPr>
      </w:pPr>
      <w:bookmarkStart w:id="3" w:name="_Hlk107580844"/>
      <w:r>
        <w:rPr>
          <w:rFonts w:ascii="Calibri" w:eastAsia="Calibri" w:hAnsi="Calibri" w:cs="Arial"/>
          <w:color w:val="000000"/>
          <w:sz w:val="16"/>
          <w:szCs w:val="16"/>
          <w:lang w:val="en-US"/>
        </w:rPr>
        <w:t>Prosus is a global consumer internet group and one of the largest technology investors in the world. Operating and investing globally in markets with long-term growth potential, Prosus builds leading consumer internet companies that empower people and enrich communities.</w:t>
      </w:r>
    </w:p>
    <w:p w14:paraId="0BE3167D" w14:textId="77777777" w:rsidR="005E503D" w:rsidRDefault="007D0A4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group is focused on building meaningful businesses in the online classifieds, food delivery, payments and fintech, and education technology sectors in markets including India and Brazil. Through its ventures team, Prosus invests in areas including health, logistics, blockchain, and social commerce. Prosus actively seeks new opportunities to partner with exceptional entrepreneurs using technology to improve people’s everyday lives.</w:t>
      </w:r>
    </w:p>
    <w:p w14:paraId="0BE3167E" w14:textId="77777777" w:rsidR="005E503D" w:rsidRDefault="007D0A4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Every day, billions of customers use the products and services of companies that Prosus has invested in, acquired or built, including 99minutos, Airmeet, Aruna, AutoTrader, Autovit.ro, Azos, BandLab, Bibit, Bilt, Biome Makers, Borneo, Brainly, BUX, BYJU'S, Bykea, Captain Fresh, Codecademy, Collective Benefits, Creditas, DappRadar, DeHaat, Detect Technologies, dott, EduMe, ElasticRun, eMAG, Endowus, Eruditus, EVERY, Facily, Fashinza, Flink, Foodics, Good Glamm Group, GoodHabitz, GoStudent, Honor, iFood, Imovirtual, Klar, Kovi, LazyPay, letgo, Luno, Mensa Brands, Meesho, merXu, Movile, Oda, OLX, Otodom, OTOMOTO, Oxford Ionics, PaySense, PayU, Pharmeasy, Platzi, Property24, Quick Ride, Red Dot Payment, Republic, Sharebite, Shipper, ShopUp, SoloLearn, Stack Overflow, Standvirtual, Superside, Swiggy, Thndr, Tonik, Ula, Urban Company, Virgio, Vegrow, watchTowr, and Wayflyer.</w:t>
      </w:r>
    </w:p>
    <w:p w14:paraId="0BE3167F" w14:textId="77777777" w:rsidR="005E503D" w:rsidRDefault="007D0A4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Hundreds of millions of people have made the platforms of Prosus’s associates a part of their daily lives. For listed companies where we have an interest, please see: Tencent, Delivery Hero, Remitly, Trip.com, Udemy, Skillsoft, and SimilarWeb.</w:t>
      </w:r>
    </w:p>
    <w:p w14:paraId="0BE31680" w14:textId="77777777" w:rsidR="005E503D" w:rsidRDefault="007D0A4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Today, Prosus companies and associates help improve the lives of more than two billion people around the world.</w:t>
      </w:r>
    </w:p>
    <w:p w14:paraId="0BE31681" w14:textId="77777777" w:rsidR="005E503D" w:rsidRDefault="007D0A4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Prosus has a primary listing on Euronext Amsterdam (AEX:PRX) and secondary listings on the Johannesburg Stock Exchange (XJSE:PRX) and a2X Markets (PRX.AJ). Prosus is majority-owned by Naspers.</w:t>
      </w:r>
    </w:p>
    <w:p w14:paraId="0BE31682" w14:textId="77777777" w:rsidR="005E503D" w:rsidRDefault="007D0A4B">
      <w:pPr>
        <w:spacing w:after="160" w:line="257"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lastRenderedPageBreak/>
        <w:t xml:space="preserve">For more information, please visit </w:t>
      </w:r>
      <w:hyperlink r:id="rId13" w:history="1">
        <w:r>
          <w:rPr>
            <w:rStyle w:val="Hyperlink"/>
            <w:rFonts w:ascii="Calibri" w:eastAsia="Calibri" w:hAnsi="Calibri" w:cs="Arial"/>
            <w:sz w:val="16"/>
            <w:szCs w:val="16"/>
            <w:lang w:val="en-US"/>
          </w:rPr>
          <w:t>www.prosus.com</w:t>
        </w:r>
      </w:hyperlink>
      <w:r>
        <w:rPr>
          <w:rFonts w:ascii="Calibri" w:eastAsia="Calibri" w:hAnsi="Calibri" w:cs="Arial"/>
          <w:color w:val="000000"/>
          <w:sz w:val="16"/>
          <w:szCs w:val="16"/>
          <w:lang w:val="en-US"/>
        </w:rPr>
        <w:t>.</w:t>
      </w:r>
    </w:p>
    <w:p w14:paraId="0BE31683" w14:textId="77777777" w:rsidR="005E503D" w:rsidRDefault="007D0A4B">
      <w:pPr>
        <w:keepNext/>
        <w:spacing w:after="160" w:line="257" w:lineRule="auto"/>
        <w:jc w:val="both"/>
        <w:rPr>
          <w:rFonts w:ascii="Calibri" w:eastAsia="Calibri" w:hAnsi="Calibri" w:cs="Arial"/>
          <w:b/>
          <w:bCs/>
          <w:i/>
          <w:iCs/>
          <w:color w:val="000000"/>
          <w:sz w:val="16"/>
          <w:szCs w:val="16"/>
          <w:lang w:val="en-US"/>
        </w:rPr>
      </w:pPr>
      <w:r>
        <w:rPr>
          <w:rFonts w:ascii="Calibri" w:eastAsia="Calibri" w:hAnsi="Calibri" w:cs="Arial"/>
          <w:b/>
          <w:bCs/>
          <w:i/>
          <w:iCs/>
          <w:color w:val="000000"/>
          <w:sz w:val="16"/>
          <w:szCs w:val="16"/>
          <w:lang w:val="en-US"/>
        </w:rPr>
        <w:t>Disclaimer</w:t>
      </w:r>
    </w:p>
    <w:p w14:paraId="0BE31684" w14:textId="77777777" w:rsidR="005E503D" w:rsidRDefault="007D0A4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Repurchase Programme is being conducted in accordance with Articles 5(1) and 5(3) of Regulation (EU) No 596/2014 of the European Parliament and of the Council of 16 April 2014 on market abuse (“Market Abuse Regulation”) and Articles 2 to 4 of Commission Delegated Regulation (EU) 2016/1052 supplementing the Market Abuse Regulation with regard to regulatory technical standards for the conditions applicable to buy-back programmes and stabilisation measures (the “Delegated Regulation”). This document is issued in connection with the disclosure and reporting obligation set out in Article 2(1) of the Delegated Regulation.</w:t>
      </w:r>
    </w:p>
    <w:p w14:paraId="0BE31685" w14:textId="77777777" w:rsidR="005E503D" w:rsidRDefault="007D0A4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document contains information that qualifies as inside information within the meaning of Article 7(1) of the Market Abuse Regulation.</w:t>
      </w:r>
    </w:p>
    <w:p w14:paraId="0BE31686" w14:textId="77777777" w:rsidR="005E503D" w:rsidRDefault="007D0A4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This announcement does not constitute, or form part of, an offer or any solicitation of an offer for securities in any jurisdiction.</w:t>
      </w:r>
    </w:p>
    <w:p w14:paraId="0BE31687" w14:textId="77777777" w:rsidR="005E503D" w:rsidRDefault="007D0A4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The information contained in this announcement may contain forward-looking statements, estimates and projections.  Forward-looking statements involve all matters that are not historical and may be identified by the words “anticipate”, ”believe”, ”estimate”, ”expect”, ”intend”, ”may”, ”should”, ”will”, ”would” and similar expressions or their negatives, but the absence of these words does not necessarily mean that a statement is not forward-looking. These statements reflect Prosus’s intentions, beliefs or current expectations, involve elements of subjective judgement and analysis and are based upon the best judgement of Prosus as of the date of this announcement, but could prove to be wrong. These statements are subject to change without notice and are based on a number of assumptions and entail known and unknown risks and uncertainties. Therefore, you should not rely on these forward-looking statements as a prediction of actual results.</w:t>
      </w:r>
    </w:p>
    <w:p w14:paraId="0BE31688" w14:textId="77777777" w:rsidR="005E503D" w:rsidRDefault="007D0A4B">
      <w:pPr>
        <w:spacing w:after="160" w:line="256" w:lineRule="auto"/>
        <w:jc w:val="both"/>
        <w:rPr>
          <w:rFonts w:ascii="Calibri" w:eastAsia="Calibri" w:hAnsi="Calibri" w:cs="Arial"/>
          <w:color w:val="000000"/>
          <w:sz w:val="16"/>
          <w:szCs w:val="16"/>
          <w:lang w:val="en-US"/>
        </w:rPr>
      </w:pPr>
      <w:r>
        <w:rPr>
          <w:rFonts w:ascii="Calibri" w:eastAsia="Calibri" w:hAnsi="Calibri" w:cs="Arial"/>
          <w:color w:val="000000"/>
          <w:sz w:val="16"/>
          <w:szCs w:val="16"/>
          <w:lang w:val="en-US"/>
        </w:rPr>
        <w:t>Any forward-looking statements are made only as of the date of this announcement and neither Prosus nor any other person gives any undertaking, or is under any obligation, to update these forward-looking statements for events or circumstances that occur subsequent to the date of this announcement or to update or keep current any of the information contained herein, any changes in assumptions or changes in factors affecting these statements and this announcement is not a representation by Prosus or any other person that they will do so, except to the extent required by law.</w:t>
      </w:r>
      <w:bookmarkEnd w:id="3"/>
    </w:p>
    <w:sectPr w:rsidR="005E503D">
      <w:footerReference w:type="first" r:id="rId14"/>
      <w:pgSz w:w="11906" w:h="16838" w:code="9"/>
      <w:pgMar w:top="1588" w:right="1134" w:bottom="1021" w:left="1134" w:header="851"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631">
      <wne:acd wne:acdName="acd0"/>
    </wne:keymap>
  </wne:keymaps>
  <wne:toolbars>
    <wne:acdManifest>
      <wne:acdEntry wne:acdName="acd0"/>
    </wne:acdManifest>
  </wne:toolbars>
  <wne:acds>
    <wne:acd wne:argValue="AgBBAE8AKAAxACk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507DE" w14:textId="77777777" w:rsidR="0016134D" w:rsidRDefault="007D0A4B">
      <w:r>
        <w:separator/>
      </w:r>
    </w:p>
  </w:endnote>
  <w:endnote w:type="continuationSeparator" w:id="0">
    <w:p w14:paraId="4A221C42" w14:textId="77777777" w:rsidR="0016134D" w:rsidRDefault="007D0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Bold">
    <w:altName w:val="Times New Roman"/>
    <w:panose1 w:val="020208030705050203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8144761"/>
      <w:docPartObj>
        <w:docPartGallery w:val="Page Numbers (Bottom of Page)"/>
        <w:docPartUnique/>
      </w:docPartObj>
    </w:sdtPr>
    <w:sdtEndPr>
      <w:rPr>
        <w:noProof/>
      </w:rPr>
    </w:sdtEndPr>
    <w:sdtContent>
      <w:p w14:paraId="0BE3168D" w14:textId="77777777" w:rsidR="005E503D" w:rsidRDefault="007D0A4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BE3168E" w14:textId="77777777" w:rsidR="005E503D" w:rsidRDefault="005E5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09EAE" w14:textId="77777777" w:rsidR="0016134D" w:rsidRDefault="007D0A4B">
      <w:r>
        <w:separator/>
      </w:r>
    </w:p>
  </w:footnote>
  <w:footnote w:type="continuationSeparator" w:id="0">
    <w:p w14:paraId="08CFF933" w14:textId="77777777" w:rsidR="0016134D" w:rsidRDefault="007D0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209E7"/>
    <w:multiLevelType w:val="multilevel"/>
    <w:tmpl w:val="4AE6BC92"/>
    <w:name w:val="AOApp"/>
    <w:lvl w:ilvl="0">
      <w:start w:val="1"/>
      <w:numFmt w:val="decimal"/>
      <w:pStyle w:val="AOAppHead"/>
      <w:suff w:val="nothing"/>
      <w:lvlText w:val="Appendix %1"/>
      <w:lvlJc w:val="left"/>
      <w:pPr>
        <w:tabs>
          <w:tab w:val="num" w:pos="0"/>
        </w:tabs>
        <w:ind w:left="0" w:firstLine="0"/>
      </w:pPr>
      <w:rPr>
        <w:rFonts w:ascii="Times New Roman Bold" w:hAnsi="Times New Roman Bold"/>
      </w:rPr>
    </w:lvl>
    <w:lvl w:ilvl="1">
      <w:start w:val="1"/>
      <w:numFmt w:val="decimal"/>
      <w:pStyle w:val="AOApp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9FC2486A"/>
    <w:name w:val="AOListNumberList"/>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4830EC42"/>
    <w:name w:val="AOBullet2List"/>
    <w:lvl w:ilvl="0">
      <w:start w:val="1"/>
      <w:numFmt w:val="bullet"/>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C14B0E4"/>
    <w:name w:val="AOBulletList"/>
    <w:lvl w:ilvl="0">
      <w:start w:val="1"/>
      <w:numFmt w:val="bullet"/>
      <w:pStyle w:val="AOBullet"/>
      <w:lvlText w:val=""/>
      <w:lvlJc w:val="left"/>
      <w:pPr>
        <w:tabs>
          <w:tab w:val="num" w:pos="720"/>
        </w:tabs>
        <w:ind w:left="720" w:hanging="720"/>
      </w:pPr>
      <w:rPr>
        <w:rFonts w:ascii="Symbol" w:hAnsi="Symbol" w:hint="default"/>
        <w:caps w:val="0"/>
      </w:rPr>
    </w:lvl>
  </w:abstractNum>
  <w:abstractNum w:abstractNumId="4" w15:restartNumberingAfterBreak="0">
    <w:nsid w:val="36397557"/>
    <w:multiLevelType w:val="hybridMultilevel"/>
    <w:tmpl w:val="AE322056"/>
    <w:lvl w:ilvl="0" w:tplc="339669CA">
      <w:start w:val="1"/>
      <w:numFmt w:val="bullet"/>
      <w:lvlText w:val=""/>
      <w:lvlJc w:val="left"/>
      <w:pPr>
        <w:ind w:left="720" w:hanging="360"/>
      </w:pPr>
      <w:rPr>
        <w:rFonts w:ascii="Symbol" w:hAnsi="Symbol" w:hint="default"/>
      </w:rPr>
    </w:lvl>
    <w:lvl w:ilvl="1" w:tplc="C0668248" w:tentative="1">
      <w:start w:val="1"/>
      <w:numFmt w:val="bullet"/>
      <w:lvlText w:val="o"/>
      <w:lvlJc w:val="left"/>
      <w:pPr>
        <w:ind w:left="1440" w:hanging="360"/>
      </w:pPr>
      <w:rPr>
        <w:rFonts w:ascii="Courier New" w:hAnsi="Courier New" w:cs="Courier New" w:hint="default"/>
      </w:rPr>
    </w:lvl>
    <w:lvl w:ilvl="2" w:tplc="63729D62" w:tentative="1">
      <w:start w:val="1"/>
      <w:numFmt w:val="bullet"/>
      <w:lvlText w:val=""/>
      <w:lvlJc w:val="left"/>
      <w:pPr>
        <w:ind w:left="2160" w:hanging="360"/>
      </w:pPr>
      <w:rPr>
        <w:rFonts w:ascii="Wingdings" w:hAnsi="Wingdings" w:hint="default"/>
      </w:rPr>
    </w:lvl>
    <w:lvl w:ilvl="3" w:tplc="3B244AC2" w:tentative="1">
      <w:start w:val="1"/>
      <w:numFmt w:val="bullet"/>
      <w:lvlText w:val=""/>
      <w:lvlJc w:val="left"/>
      <w:pPr>
        <w:ind w:left="2880" w:hanging="360"/>
      </w:pPr>
      <w:rPr>
        <w:rFonts w:ascii="Symbol" w:hAnsi="Symbol" w:hint="default"/>
      </w:rPr>
    </w:lvl>
    <w:lvl w:ilvl="4" w:tplc="5C34C6AE" w:tentative="1">
      <w:start w:val="1"/>
      <w:numFmt w:val="bullet"/>
      <w:lvlText w:val="o"/>
      <w:lvlJc w:val="left"/>
      <w:pPr>
        <w:ind w:left="3600" w:hanging="360"/>
      </w:pPr>
      <w:rPr>
        <w:rFonts w:ascii="Courier New" w:hAnsi="Courier New" w:cs="Courier New" w:hint="default"/>
      </w:rPr>
    </w:lvl>
    <w:lvl w:ilvl="5" w:tplc="A664DB8C" w:tentative="1">
      <w:start w:val="1"/>
      <w:numFmt w:val="bullet"/>
      <w:lvlText w:val=""/>
      <w:lvlJc w:val="left"/>
      <w:pPr>
        <w:ind w:left="4320" w:hanging="360"/>
      </w:pPr>
      <w:rPr>
        <w:rFonts w:ascii="Wingdings" w:hAnsi="Wingdings" w:hint="default"/>
      </w:rPr>
    </w:lvl>
    <w:lvl w:ilvl="6" w:tplc="3202FA9A" w:tentative="1">
      <w:start w:val="1"/>
      <w:numFmt w:val="bullet"/>
      <w:lvlText w:val=""/>
      <w:lvlJc w:val="left"/>
      <w:pPr>
        <w:ind w:left="5040" w:hanging="360"/>
      </w:pPr>
      <w:rPr>
        <w:rFonts w:ascii="Symbol" w:hAnsi="Symbol" w:hint="default"/>
      </w:rPr>
    </w:lvl>
    <w:lvl w:ilvl="7" w:tplc="9B48BFD0" w:tentative="1">
      <w:start w:val="1"/>
      <w:numFmt w:val="bullet"/>
      <w:lvlText w:val="o"/>
      <w:lvlJc w:val="left"/>
      <w:pPr>
        <w:ind w:left="5760" w:hanging="360"/>
      </w:pPr>
      <w:rPr>
        <w:rFonts w:ascii="Courier New" w:hAnsi="Courier New" w:cs="Courier New" w:hint="default"/>
      </w:rPr>
    </w:lvl>
    <w:lvl w:ilvl="8" w:tplc="1CA2E022" w:tentative="1">
      <w:start w:val="1"/>
      <w:numFmt w:val="bullet"/>
      <w:lvlText w:val=""/>
      <w:lvlJc w:val="left"/>
      <w:pPr>
        <w:ind w:left="6480" w:hanging="360"/>
      </w:pPr>
      <w:rPr>
        <w:rFonts w:ascii="Wingdings" w:hAnsi="Wingdings" w:hint="default"/>
      </w:rPr>
    </w:lvl>
  </w:abstractNum>
  <w:abstractNum w:abstractNumId="5" w15:restartNumberingAfterBreak="0">
    <w:nsid w:val="391D542D"/>
    <w:multiLevelType w:val="multilevel"/>
    <w:tmpl w:val="3118B31C"/>
    <w:name w:val="AOTOC67"/>
    <w:lvl w:ilvl="0">
      <w:start w:val="1"/>
      <w:numFmt w:val="decimal"/>
      <w:pStyle w:val="TOC6"/>
      <w:lvlText w:val="%1."/>
      <w:lvlJc w:val="left"/>
      <w:pPr>
        <w:tabs>
          <w:tab w:val="num" w:pos="720"/>
        </w:tabs>
        <w:ind w:left="720" w:hanging="720"/>
      </w:pPr>
      <w:rPr>
        <w:rFonts w:ascii="Times New Roman" w:hAnsi="Times New Roman" w:cs="Times New Roman"/>
      </w:rPr>
    </w:lvl>
    <w:lvl w:ilvl="1">
      <w:start w:val="1"/>
      <w:numFmt w:val="decimal"/>
      <w:pStyle w:val="TO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D0E7D39"/>
    <w:multiLevelType w:val="multilevel"/>
    <w:tmpl w:val="32BA5AE2"/>
    <w:name w:val="AOSch"/>
    <w:lvl w:ilvl="0">
      <w:start w:val="1"/>
      <w:numFmt w:val="decimal"/>
      <w:pStyle w:val="AOSchHead"/>
      <w:suff w:val="nothing"/>
      <w:lvlText w:val="Schedule %1"/>
      <w:lvlJc w:val="left"/>
      <w:pPr>
        <w:tabs>
          <w:tab w:val="num" w:pos="0"/>
        </w:tabs>
        <w:ind w:left="0" w:firstLine="0"/>
      </w:pPr>
      <w:rPr>
        <w:rFonts w:ascii="Times New Roman Bold" w:hAnsi="Times New Roman Bold"/>
      </w:rPr>
    </w:lvl>
    <w:lvl w:ilvl="1">
      <w:start w:val="1"/>
      <w:numFmt w:val="decimal"/>
      <w:pStyle w:val="AOSch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7" w15:restartNumberingAfterBreak="0">
    <w:nsid w:val="3E29759A"/>
    <w:multiLevelType w:val="multilevel"/>
    <w:tmpl w:val="E858054A"/>
    <w:name w:val="AOGen2"/>
    <w:lvl w:ilvl="0">
      <w:start w:val="1"/>
      <w:numFmt w:val="decimal"/>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8" w15:restartNumberingAfterBreak="0">
    <w:nsid w:val="41F230E7"/>
    <w:multiLevelType w:val="singleLevel"/>
    <w:tmpl w:val="D8EEB1C0"/>
    <w:name w:val="AOBullet4List"/>
    <w:lvl w:ilvl="0">
      <w:start w:val="1"/>
      <w:numFmt w:val="bullet"/>
      <w:pStyle w:val="AOBullet4"/>
      <w:lvlText w:val="§"/>
      <w:lvlJc w:val="left"/>
      <w:pPr>
        <w:tabs>
          <w:tab w:val="num" w:pos="720"/>
        </w:tabs>
        <w:ind w:left="720" w:hanging="720"/>
      </w:pPr>
      <w:rPr>
        <w:rFonts w:ascii="Wingdings" w:hAnsi="Wingdings" w:hint="default"/>
      </w:rPr>
    </w:lvl>
  </w:abstractNum>
  <w:abstractNum w:abstractNumId="9" w15:restartNumberingAfterBreak="0">
    <w:nsid w:val="47B238E7"/>
    <w:multiLevelType w:val="multilevel"/>
    <w:tmpl w:val="D2C69366"/>
    <w:name w:val="AOGen3"/>
    <w:lvl w:ilvl="0">
      <w:start w:val="1"/>
      <w:numFmt w:val="decimal"/>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4E548026"/>
    <w:name w:val="AOAnx"/>
    <w:lvl w:ilvl="0">
      <w:start w:val="1"/>
      <w:numFmt w:val="decimal"/>
      <w:pStyle w:val="AOAnxHead"/>
      <w:suff w:val="nothing"/>
      <w:lvlText w:val="Annex %1"/>
      <w:lvlJc w:val="left"/>
      <w:pPr>
        <w:tabs>
          <w:tab w:val="num" w:pos="0"/>
        </w:tabs>
        <w:ind w:left="0" w:firstLine="0"/>
      </w:pPr>
      <w:rPr>
        <w:rFonts w:ascii="Times New Roman Bold" w:hAnsi="Times New Roman Bold"/>
      </w:rPr>
    </w:lvl>
    <w:lvl w:ilvl="1">
      <w:start w:val="1"/>
      <w:numFmt w:val="decimal"/>
      <w:pStyle w:val="AOAnxPartHead"/>
      <w:suff w:val="nothing"/>
      <w:lvlText w:val="Part %2"/>
      <w:lvlJc w:val="left"/>
      <w:pPr>
        <w:tabs>
          <w:tab w:val="num" w:pos="0"/>
        </w:tabs>
        <w:ind w:left="0" w:firstLine="0"/>
      </w:pPr>
      <w:rPr>
        <w:rFonts w:ascii="Times New Roman Bold" w:hAnsi="Times New Roman Bold"/>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ED72CCE0"/>
    <w:name w:val="AO1"/>
    <w:lvl w:ilvl="0">
      <w:start w:val="1"/>
      <w:numFmt w:val="decimal"/>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A468C28C"/>
    <w:name w:val="AOHeadX"/>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F258D804"/>
    <w:name w:val="AOTOC34"/>
    <w:lvl w:ilvl="0">
      <w:start w:val="1"/>
      <w:numFmt w:val="decimal"/>
      <w:pStyle w:val="TOC3"/>
      <w:lvlText w:val="%1."/>
      <w:lvlJc w:val="left"/>
      <w:pPr>
        <w:tabs>
          <w:tab w:val="num" w:pos="720"/>
        </w:tabs>
        <w:ind w:left="720" w:hanging="720"/>
      </w:pPr>
      <w:rPr>
        <w:rFonts w:ascii="Times New Roman" w:hAnsi="Times New Roman" w:cs="Times New Roman"/>
      </w:rPr>
    </w:lvl>
    <w:lvl w:ilvl="1">
      <w:start w:val="1"/>
      <w:numFmt w:val="decimal"/>
      <w:pStyle w:val="TO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DEAC06D2"/>
    <w:name w:val="AOA"/>
    <w:lvl w:ilvl="0">
      <w:start w:val="1"/>
      <w:numFmt w:val="upperLetter"/>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8D7090B4"/>
    <w:name w:val="AOTOC89"/>
    <w:lvl w:ilvl="0">
      <w:start w:val="1"/>
      <w:numFmt w:val="decimal"/>
      <w:pStyle w:val="TOC8"/>
      <w:lvlText w:val="%1."/>
      <w:lvlJc w:val="left"/>
      <w:pPr>
        <w:tabs>
          <w:tab w:val="num" w:pos="720"/>
        </w:tabs>
        <w:ind w:left="720" w:hanging="720"/>
      </w:pPr>
      <w:rPr>
        <w:rFonts w:ascii="Times New Roman" w:hAnsi="Times New Roman" w:cs="Times New Roman"/>
      </w:rPr>
    </w:lvl>
    <w:lvl w:ilvl="1">
      <w:start w:val="1"/>
      <w:numFmt w:val="decimal"/>
      <w:pStyle w:val="TO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81C00400"/>
    <w:name w:val="AODef"/>
    <w:lvl w:ilvl="0">
      <w:start w:val="1"/>
      <w:numFmt w:val="none"/>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6B6C89F2"/>
    <w:name w:val="AOBullet3List"/>
    <w:lvl w:ilvl="0">
      <w:start w:val="1"/>
      <w:numFmt w:val="bullet"/>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57468C52"/>
    <w:name w:val="AOGen1"/>
    <w:lvl w:ilvl="0">
      <w:start w:val="1"/>
      <w:numFmt w:val="decimal"/>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16cid:durableId="1950158180">
    <w:abstractNumId w:val="12"/>
  </w:num>
  <w:num w:numId="2" w16cid:durableId="1858038158">
    <w:abstractNumId w:val="11"/>
  </w:num>
  <w:num w:numId="3" w16cid:durableId="861288154">
    <w:abstractNumId w:val="14"/>
  </w:num>
  <w:num w:numId="4" w16cid:durableId="942763838">
    <w:abstractNumId w:val="18"/>
  </w:num>
  <w:num w:numId="5" w16cid:durableId="982125977">
    <w:abstractNumId w:val="7"/>
  </w:num>
  <w:num w:numId="6" w16cid:durableId="1648969041">
    <w:abstractNumId w:val="9"/>
  </w:num>
  <w:num w:numId="7" w16cid:durableId="255675084">
    <w:abstractNumId w:val="16"/>
  </w:num>
  <w:num w:numId="8" w16cid:durableId="926580198">
    <w:abstractNumId w:val="0"/>
  </w:num>
  <w:num w:numId="9" w16cid:durableId="529294735">
    <w:abstractNumId w:val="10"/>
  </w:num>
  <w:num w:numId="10" w16cid:durableId="1082066787">
    <w:abstractNumId w:val="6"/>
  </w:num>
  <w:num w:numId="11" w16cid:durableId="1282608523">
    <w:abstractNumId w:val="3"/>
  </w:num>
  <w:num w:numId="12" w16cid:durableId="536281450">
    <w:abstractNumId w:val="2"/>
  </w:num>
  <w:num w:numId="13" w16cid:durableId="683023282">
    <w:abstractNumId w:val="17"/>
  </w:num>
  <w:num w:numId="14" w16cid:durableId="514267943">
    <w:abstractNumId w:val="8"/>
  </w:num>
  <w:num w:numId="15" w16cid:durableId="1897666252">
    <w:abstractNumId w:val="13"/>
  </w:num>
  <w:num w:numId="16" w16cid:durableId="1113209281">
    <w:abstractNumId w:val="5"/>
  </w:num>
  <w:num w:numId="17" w16cid:durableId="480846910">
    <w:abstractNumId w:val="15"/>
  </w:num>
  <w:num w:numId="18" w16cid:durableId="1891720936">
    <w:abstractNumId w:val="1"/>
  </w:num>
  <w:num w:numId="19" w16cid:durableId="1825705793">
    <w:abstractNumId w:val="3"/>
  </w:num>
  <w:num w:numId="20" w16cid:durableId="13397752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0751486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27A"/>
    <w:rsid w:val="0016134D"/>
    <w:rsid w:val="005E503D"/>
    <w:rsid w:val="007D0A4B"/>
    <w:rsid w:val="0089514F"/>
    <w:rsid w:val="00F272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164F"/>
  <w15:docId w15:val="{3E4C3BC9-78BD-4410-BD6E-40EEAEA4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GB" w:eastAsia="en-US" w:bidi="ar-SA"/>
      </w:rPr>
    </w:rPrDefault>
    <w:pPrDefault>
      <w:pPr>
        <w:spacing w:line="260" w:lineRule="atLeast"/>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unhideWhenUsed="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ONormal"/>
    <w:pPr>
      <w:spacing w:line="240" w:lineRule="auto"/>
    </w:pPr>
    <w:rPr>
      <w:rFonts w:cs="Times New Roman"/>
    </w:rPr>
  </w:style>
  <w:style w:type="paragraph" w:styleId="Heading1">
    <w:name w:val="heading 1"/>
    <w:basedOn w:val="AOHeadings"/>
    <w:next w:val="AODocTxt"/>
    <w:link w:val="Heading1Char"/>
    <w:uiPriority w:val="9"/>
    <w:pPr>
      <w:keepNext/>
      <w:outlineLvl w:val="0"/>
    </w:pPr>
    <w:rPr>
      <w:rFonts w:eastAsia="Times New Roman"/>
      <w:b/>
      <w:bCs/>
      <w:caps/>
      <w:szCs w:val="28"/>
    </w:rPr>
  </w:style>
  <w:style w:type="paragraph" w:styleId="Heading2">
    <w:name w:val="heading 2"/>
    <w:basedOn w:val="AOHeadings"/>
    <w:next w:val="AODocTxt"/>
    <w:link w:val="Heading2Char"/>
    <w:uiPriority w:val="9"/>
    <w:semiHidden/>
    <w:unhideWhenUsed/>
    <w:pPr>
      <w:keepNext/>
      <w:outlineLvl w:val="1"/>
    </w:pPr>
    <w:rPr>
      <w:rFonts w:eastAsia="Times New Roman"/>
      <w:b/>
      <w:bCs/>
      <w:szCs w:val="26"/>
    </w:rPr>
  </w:style>
  <w:style w:type="paragraph" w:styleId="Heading3">
    <w:name w:val="heading 3"/>
    <w:basedOn w:val="AOHeadings"/>
    <w:next w:val="AODocTxt"/>
    <w:link w:val="Heading3Char"/>
    <w:uiPriority w:val="9"/>
    <w:semiHidden/>
    <w:unhideWhenUsed/>
    <w:qFormat/>
    <w:pPr>
      <w:outlineLvl w:val="2"/>
    </w:pPr>
    <w:rPr>
      <w:rFonts w:eastAsia="Times New Roman"/>
      <w:bCs/>
    </w:rPr>
  </w:style>
  <w:style w:type="paragraph" w:styleId="Heading4">
    <w:name w:val="heading 4"/>
    <w:basedOn w:val="AOHeadings"/>
    <w:next w:val="AODocTxt"/>
    <w:link w:val="Heading4Char"/>
    <w:uiPriority w:val="9"/>
    <w:semiHidden/>
    <w:unhideWhenUsed/>
    <w:qFormat/>
    <w:pPr>
      <w:outlineLvl w:val="3"/>
    </w:pPr>
    <w:rPr>
      <w:rFonts w:eastAsia="Times New Roman"/>
      <w:bCs/>
      <w:iCs/>
    </w:rPr>
  </w:style>
  <w:style w:type="paragraph" w:styleId="Heading5">
    <w:name w:val="heading 5"/>
    <w:basedOn w:val="AOHeadings"/>
    <w:next w:val="AODocTxt"/>
    <w:link w:val="Heading5Char"/>
    <w:uiPriority w:val="9"/>
    <w:semiHidden/>
    <w:unhideWhenUsed/>
    <w:qFormat/>
    <w:pPr>
      <w:outlineLvl w:val="4"/>
    </w:pPr>
    <w:rPr>
      <w:rFonts w:eastAsia="Times New Roman"/>
    </w:rPr>
  </w:style>
  <w:style w:type="paragraph" w:styleId="Heading6">
    <w:name w:val="heading 6"/>
    <w:basedOn w:val="AOHeadings"/>
    <w:next w:val="AODocTxt"/>
    <w:link w:val="Heading6Char"/>
    <w:uiPriority w:val="9"/>
    <w:semiHidden/>
    <w:unhideWhenUsed/>
    <w:qFormat/>
    <w:pPr>
      <w:outlineLvl w:val="5"/>
    </w:pPr>
    <w:rPr>
      <w:rFonts w:eastAsia="Times New Roman"/>
      <w:iCs/>
    </w:rPr>
  </w:style>
  <w:style w:type="paragraph" w:styleId="Heading7">
    <w:name w:val="heading 7"/>
    <w:basedOn w:val="AOHeadings"/>
    <w:next w:val="AODocTxt"/>
    <w:link w:val="Heading7Char"/>
    <w:uiPriority w:val="9"/>
    <w:semiHidden/>
    <w:unhideWhenUsed/>
    <w:qFormat/>
    <w:pPr>
      <w:outlineLvl w:val="6"/>
    </w:pPr>
    <w:rPr>
      <w:rFonts w:eastAsia="Times New Roman"/>
      <w:iCs/>
    </w:rPr>
  </w:style>
  <w:style w:type="paragraph" w:styleId="Heading8">
    <w:name w:val="heading 8"/>
    <w:basedOn w:val="AOHeadings"/>
    <w:next w:val="AODocTxt"/>
    <w:link w:val="Heading8Char"/>
    <w:uiPriority w:val="9"/>
    <w:semiHidden/>
    <w:unhideWhenUsed/>
    <w:qFormat/>
    <w:pPr>
      <w:outlineLvl w:val="7"/>
    </w:pPr>
    <w:rPr>
      <w:rFonts w:eastAsia="Times New Roman"/>
      <w:szCs w:val="20"/>
    </w:rPr>
  </w:style>
  <w:style w:type="paragraph" w:styleId="Heading9">
    <w:name w:val="heading 9"/>
    <w:basedOn w:val="AOHeadings"/>
    <w:next w:val="AODocTxt"/>
    <w:link w:val="Heading9Char"/>
    <w:uiPriority w:val="9"/>
    <w:semiHidden/>
    <w:qFormat/>
    <w:pPr>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ONormal">
    <w:name w:val="AONormal"/>
    <w:rPr>
      <w:rFonts w:cs="Times New Roman"/>
    </w:rPr>
  </w:style>
  <w:style w:type="paragraph" w:customStyle="1" w:styleId="AOBodyTxt">
    <w:name w:val="AOBodyTxt"/>
    <w:basedOn w:val="AONormal"/>
    <w:next w:val="AODocTxt"/>
    <w:pPr>
      <w:spacing w:before="240"/>
      <w:jc w:val="both"/>
    </w:pPr>
  </w:style>
  <w:style w:type="paragraph" w:customStyle="1" w:styleId="AODocTxt">
    <w:name w:val="AODocTxt"/>
    <w:basedOn w:val="AOBodyTxt"/>
    <w:qFormat/>
  </w:style>
  <w:style w:type="paragraph" w:customStyle="1" w:styleId="AODocTxtL1">
    <w:name w:val="AODocTxtL1"/>
    <w:basedOn w:val="AODocTxt"/>
    <w:pPr>
      <w:ind w:left="720"/>
    </w:pPr>
  </w:style>
  <w:style w:type="paragraph" w:customStyle="1" w:styleId="AODocTxtL2">
    <w:name w:val="AODocTxtL2"/>
    <w:basedOn w:val="AODocTxt"/>
    <w:pPr>
      <w:ind w:left="1440"/>
    </w:pPr>
  </w:style>
  <w:style w:type="paragraph" w:customStyle="1" w:styleId="AODocTxtL3">
    <w:name w:val="AODocTxtL3"/>
    <w:basedOn w:val="AODocTxt"/>
    <w:pPr>
      <w:ind w:left="2160"/>
    </w:pPr>
  </w:style>
  <w:style w:type="paragraph" w:customStyle="1" w:styleId="AODocTxtL4">
    <w:name w:val="AODocTxtL4"/>
    <w:basedOn w:val="AODocTxt"/>
    <w:pPr>
      <w:ind w:left="2880"/>
    </w:pPr>
  </w:style>
  <w:style w:type="paragraph" w:customStyle="1" w:styleId="AODocTxtL5">
    <w:name w:val="AODocTxtL5"/>
    <w:basedOn w:val="AODocTxt"/>
    <w:pPr>
      <w:ind w:left="3600"/>
    </w:pPr>
  </w:style>
  <w:style w:type="paragraph" w:customStyle="1" w:styleId="AODocTxtL6">
    <w:name w:val="AODocTxtL6"/>
    <w:basedOn w:val="AODocTxt"/>
    <w:pPr>
      <w:ind w:left="4320"/>
    </w:pPr>
  </w:style>
  <w:style w:type="paragraph" w:customStyle="1" w:styleId="AODocTxtL7">
    <w:name w:val="AODocTxtL7"/>
    <w:basedOn w:val="AODocTxt"/>
    <w:pPr>
      <w:ind w:left="5040"/>
    </w:pPr>
  </w:style>
  <w:style w:type="paragraph" w:customStyle="1" w:styleId="AODocTxtL8">
    <w:name w:val="AODocTxtL8"/>
    <w:basedOn w:val="AODocTxt"/>
    <w:pPr>
      <w:ind w:left="5760"/>
    </w:pPr>
  </w:style>
  <w:style w:type="paragraph" w:customStyle="1" w:styleId="AO1">
    <w:name w:val="AO(1)"/>
    <w:basedOn w:val="AOBodyTxt"/>
    <w:next w:val="AODocTxt"/>
    <w:pPr>
      <w:numPr>
        <w:numId w:val="2"/>
      </w:numPr>
      <w:tabs>
        <w:tab w:val="clear" w:pos="720"/>
      </w:tabs>
    </w:pPr>
  </w:style>
  <w:style w:type="paragraph" w:customStyle="1" w:styleId="AOA">
    <w:name w:val="AO(A)"/>
    <w:basedOn w:val="AOBodyTxt"/>
    <w:next w:val="AODocTxt"/>
    <w:pPr>
      <w:numPr>
        <w:numId w:val="3"/>
      </w:numPr>
    </w:pPr>
  </w:style>
  <w:style w:type="paragraph" w:customStyle="1" w:styleId="AOHeadings">
    <w:name w:val="AOHeadings"/>
    <w:basedOn w:val="AOBodyTxt"/>
    <w:next w:val="AODocTxt"/>
  </w:style>
  <w:style w:type="paragraph" w:customStyle="1" w:styleId="AOHead1">
    <w:name w:val="AOHead1"/>
    <w:basedOn w:val="AOHeadings"/>
    <w:next w:val="AODocTxtL1"/>
    <w:pPr>
      <w:keepNext/>
      <w:numPr>
        <w:numId w:val="1"/>
      </w:numPr>
      <w:outlineLvl w:val="0"/>
    </w:pPr>
    <w:rPr>
      <w:b/>
      <w:caps/>
      <w:kern w:val="28"/>
    </w:rPr>
  </w:style>
  <w:style w:type="paragraph" w:customStyle="1" w:styleId="AOHead2">
    <w:name w:val="AOHead2"/>
    <w:basedOn w:val="AOHeadings"/>
    <w:next w:val="AODocTxtL1"/>
    <w:pPr>
      <w:keepNext/>
      <w:numPr>
        <w:ilvl w:val="1"/>
        <w:numId w:val="1"/>
      </w:numPr>
      <w:outlineLvl w:val="1"/>
    </w:pPr>
    <w:rPr>
      <w:b/>
    </w:rPr>
  </w:style>
  <w:style w:type="paragraph" w:customStyle="1" w:styleId="AOHead3">
    <w:name w:val="AOHead3"/>
    <w:basedOn w:val="AOHeadings"/>
    <w:next w:val="AODocTxtL2"/>
    <w:pPr>
      <w:numPr>
        <w:ilvl w:val="2"/>
        <w:numId w:val="1"/>
      </w:numPr>
      <w:outlineLvl w:val="2"/>
    </w:pPr>
  </w:style>
  <w:style w:type="paragraph" w:customStyle="1" w:styleId="AOHead4">
    <w:name w:val="AOHead4"/>
    <w:basedOn w:val="AOHeadings"/>
    <w:next w:val="AODocTxtL3"/>
    <w:pPr>
      <w:numPr>
        <w:ilvl w:val="3"/>
        <w:numId w:val="1"/>
      </w:numPr>
      <w:outlineLvl w:val="3"/>
    </w:pPr>
  </w:style>
  <w:style w:type="paragraph" w:customStyle="1" w:styleId="AOHead5">
    <w:name w:val="AOHead5"/>
    <w:basedOn w:val="AOHeadings"/>
    <w:next w:val="AODocTxtL4"/>
    <w:pPr>
      <w:numPr>
        <w:ilvl w:val="4"/>
        <w:numId w:val="1"/>
      </w:numPr>
      <w:outlineLvl w:val="4"/>
    </w:pPr>
  </w:style>
  <w:style w:type="paragraph" w:customStyle="1" w:styleId="AOHead6">
    <w:name w:val="AOHead6"/>
    <w:basedOn w:val="AOHeadings"/>
    <w:next w:val="AODocTxtL5"/>
    <w:pPr>
      <w:numPr>
        <w:ilvl w:val="5"/>
        <w:numId w:val="1"/>
      </w:numPr>
      <w:outlineLvl w:val="5"/>
    </w:pPr>
  </w:style>
  <w:style w:type="paragraph" w:customStyle="1" w:styleId="AOAltHead1">
    <w:name w:val="AOAltHead1"/>
    <w:basedOn w:val="AOHead1"/>
    <w:next w:val="AODocTxtL1"/>
    <w:pPr>
      <w:keepNext w:val="0"/>
      <w:tabs>
        <w:tab w:val="clear" w:pos="720"/>
      </w:tabs>
    </w:pPr>
    <w:rPr>
      <w:b w:val="0"/>
      <w:caps w:val="0"/>
    </w:rPr>
  </w:style>
  <w:style w:type="paragraph" w:customStyle="1" w:styleId="AOAltHead2">
    <w:name w:val="AOAltHead2"/>
    <w:basedOn w:val="AOHead2"/>
    <w:next w:val="AODocTxtL1"/>
    <w:pPr>
      <w:keepNext w:val="0"/>
      <w:tabs>
        <w:tab w:val="clear" w:pos="720"/>
      </w:tabs>
    </w:pPr>
    <w:rPr>
      <w:b w:val="0"/>
    </w:rPr>
  </w:style>
  <w:style w:type="paragraph" w:customStyle="1" w:styleId="AOAltHead3">
    <w:name w:val="AOAltHead3"/>
    <w:basedOn w:val="AOHead3"/>
    <w:next w:val="AODocTxtL1"/>
    <w:pPr>
      <w:tabs>
        <w:tab w:val="clear" w:pos="1440"/>
      </w:tabs>
      <w:ind w:left="720"/>
    </w:pPr>
  </w:style>
  <w:style w:type="paragraph" w:customStyle="1" w:styleId="AOAltHead4">
    <w:name w:val="AOAltHead4"/>
    <w:basedOn w:val="AOHead4"/>
    <w:next w:val="AODocTxtL2"/>
    <w:pPr>
      <w:tabs>
        <w:tab w:val="clear" w:pos="2160"/>
      </w:tabs>
      <w:ind w:left="1440"/>
    </w:pPr>
  </w:style>
  <w:style w:type="paragraph" w:customStyle="1" w:styleId="AOAltHead5">
    <w:name w:val="AOAltHead5"/>
    <w:basedOn w:val="AOHead5"/>
    <w:next w:val="AODocTxtL3"/>
    <w:pPr>
      <w:tabs>
        <w:tab w:val="clear" w:pos="2880"/>
      </w:tabs>
      <w:ind w:left="2160"/>
    </w:pPr>
  </w:style>
  <w:style w:type="paragraph" w:customStyle="1" w:styleId="AOAltHead6">
    <w:name w:val="AOAltHead6"/>
    <w:basedOn w:val="AOHead6"/>
    <w:next w:val="AODocTxtL4"/>
    <w:pPr>
      <w:tabs>
        <w:tab w:val="clear" w:pos="3600"/>
      </w:tabs>
      <w:ind w:left="2880"/>
    </w:pPr>
  </w:style>
  <w:style w:type="paragraph" w:customStyle="1" w:styleId="AOHeading1">
    <w:name w:val="AOHeading1"/>
    <w:basedOn w:val="AOHeadings"/>
    <w:next w:val="AODocTxt"/>
    <w:qFormat/>
    <w:pPr>
      <w:keepNext/>
      <w:outlineLvl w:val="0"/>
    </w:pPr>
    <w:rPr>
      <w:b/>
      <w:caps/>
      <w:kern w:val="28"/>
    </w:rPr>
  </w:style>
  <w:style w:type="paragraph" w:customStyle="1" w:styleId="AOHeading2">
    <w:name w:val="AOHeading2"/>
    <w:basedOn w:val="AOHeadings"/>
    <w:next w:val="AODocTxt"/>
    <w:qFormat/>
    <w:pPr>
      <w:keepNext/>
      <w:outlineLvl w:val="1"/>
    </w:pPr>
    <w:rPr>
      <w:b/>
    </w:rPr>
  </w:style>
  <w:style w:type="paragraph" w:customStyle="1" w:styleId="AOHeading3">
    <w:name w:val="AOHeading3"/>
    <w:basedOn w:val="AOHeadings"/>
    <w:next w:val="AODocTxtL1"/>
    <w:qFormat/>
    <w:pPr>
      <w:keepNext/>
      <w:ind w:left="720"/>
      <w:outlineLvl w:val="2"/>
    </w:pPr>
    <w:rPr>
      <w:b/>
    </w:rPr>
  </w:style>
  <w:style w:type="paragraph" w:customStyle="1" w:styleId="AOHeading4">
    <w:name w:val="AOHeading4"/>
    <w:basedOn w:val="AOHeadings"/>
    <w:next w:val="AODocTxt"/>
    <w:pPr>
      <w:keepNext/>
      <w:outlineLvl w:val="3"/>
    </w:pPr>
    <w:rPr>
      <w:i/>
    </w:rPr>
  </w:style>
  <w:style w:type="paragraph" w:styleId="Header">
    <w:name w:val="header"/>
    <w:basedOn w:val="Normal"/>
    <w:link w:val="HeaderChar"/>
    <w:uiPriority w:val="99"/>
    <w:semiHidden/>
    <w:pPr>
      <w:tabs>
        <w:tab w:val="center" w:pos="4150"/>
        <w:tab w:val="right" w:pos="8306"/>
      </w:tabs>
    </w:pPr>
  </w:style>
  <w:style w:type="character" w:customStyle="1" w:styleId="HeaderChar">
    <w:name w:val="Header Char"/>
    <w:basedOn w:val="DefaultParagraphFont"/>
    <w:link w:val="Header"/>
    <w:uiPriority w:val="99"/>
    <w:semiHidden/>
    <w:rPr>
      <w:rFonts w:cs="Times New Roman"/>
      <w:lang w:val="en-GB"/>
    </w:rPr>
  </w:style>
  <w:style w:type="paragraph" w:styleId="Footer">
    <w:name w:val="footer"/>
    <w:basedOn w:val="Normal"/>
    <w:link w:val="FooterChar"/>
    <w:uiPriority w:val="99"/>
    <w:pPr>
      <w:tabs>
        <w:tab w:val="center" w:pos="4150"/>
        <w:tab w:val="right" w:pos="8306"/>
      </w:tabs>
    </w:pPr>
  </w:style>
  <w:style w:type="character" w:customStyle="1" w:styleId="FooterChar">
    <w:name w:val="Footer Char"/>
    <w:basedOn w:val="DefaultParagraphFont"/>
    <w:link w:val="Footer"/>
    <w:uiPriority w:val="99"/>
    <w:rPr>
      <w:rFonts w:cs="Times New Roman"/>
      <w:lang w:val="en-GB"/>
    </w:rPr>
  </w:style>
  <w:style w:type="paragraph" w:customStyle="1" w:styleId="AOAttachments">
    <w:name w:val="AOAttachments"/>
    <w:basedOn w:val="AOBodyTxt"/>
    <w:next w:val="AODocTxt"/>
    <w:pPr>
      <w:jc w:val="center"/>
    </w:pPr>
    <w:rPr>
      <w:caps/>
    </w:rPr>
  </w:style>
  <w:style w:type="paragraph" w:customStyle="1" w:styleId="AOAppTitle">
    <w:name w:val="AOAppTitle"/>
    <w:basedOn w:val="AOAttachments"/>
    <w:next w:val="AODocTxt"/>
    <w:pPr>
      <w:outlineLvl w:val="1"/>
    </w:pPr>
    <w:rPr>
      <w:b/>
    </w:rPr>
  </w:style>
  <w:style w:type="paragraph" w:customStyle="1" w:styleId="AOAppPartTitle">
    <w:name w:val="AOAppPartTitle"/>
    <w:basedOn w:val="AOAppTitle"/>
    <w:next w:val="AODocTxt"/>
  </w:style>
  <w:style w:type="paragraph" w:customStyle="1" w:styleId="AOAppHead">
    <w:name w:val="AOAppHead"/>
    <w:basedOn w:val="AOAttachments"/>
    <w:next w:val="AOAppTitle"/>
    <w:pPr>
      <w:pageBreakBefore/>
      <w:numPr>
        <w:numId w:val="8"/>
      </w:numPr>
      <w:tabs>
        <w:tab w:val="clear" w:pos="0"/>
      </w:tabs>
      <w:outlineLvl w:val="0"/>
    </w:pPr>
  </w:style>
  <w:style w:type="paragraph" w:customStyle="1" w:styleId="AOAppPartHead">
    <w:name w:val="AOAppPartHead"/>
    <w:basedOn w:val="AOAppHead"/>
    <w:next w:val="AOAppPartTitle"/>
    <w:pPr>
      <w:pageBreakBefore w:val="0"/>
      <w:numPr>
        <w:ilvl w:val="1"/>
      </w:numPr>
      <w:tabs>
        <w:tab w:val="clear" w:pos="0"/>
      </w:tabs>
    </w:pPr>
  </w:style>
  <w:style w:type="paragraph" w:customStyle="1" w:styleId="AOAnxTitle">
    <w:name w:val="AOAnxTitle"/>
    <w:basedOn w:val="AOAttachments"/>
    <w:next w:val="AODocTxt"/>
    <w:pPr>
      <w:outlineLvl w:val="1"/>
    </w:pPr>
    <w:rPr>
      <w:b/>
    </w:rPr>
  </w:style>
  <w:style w:type="paragraph" w:customStyle="1" w:styleId="AOAnxPartTitle">
    <w:name w:val="AOAnxPartTitle"/>
    <w:basedOn w:val="AOAnxTitle"/>
    <w:next w:val="AODocTxt"/>
  </w:style>
  <w:style w:type="paragraph" w:customStyle="1" w:styleId="AOAnxHead">
    <w:name w:val="AOAnxHead"/>
    <w:basedOn w:val="AOAttachments"/>
    <w:next w:val="AOAnxTitle"/>
    <w:pPr>
      <w:pageBreakBefore/>
      <w:numPr>
        <w:numId w:val="9"/>
      </w:numPr>
      <w:tabs>
        <w:tab w:val="clear" w:pos="0"/>
      </w:tabs>
      <w:outlineLvl w:val="0"/>
    </w:pPr>
  </w:style>
  <w:style w:type="paragraph" w:customStyle="1" w:styleId="AOAnxPartHead">
    <w:name w:val="AOAnxPartHead"/>
    <w:basedOn w:val="AOAnxHead"/>
    <w:next w:val="AOAnxPartTitle"/>
    <w:pPr>
      <w:pageBreakBefore w:val="0"/>
      <w:numPr>
        <w:ilvl w:val="1"/>
      </w:numPr>
      <w:tabs>
        <w:tab w:val="clear" w:pos="0"/>
      </w:tabs>
    </w:pPr>
  </w:style>
  <w:style w:type="paragraph" w:customStyle="1" w:styleId="AOSchTitle">
    <w:name w:val="AOSchTitle"/>
    <w:basedOn w:val="AOAttachments"/>
    <w:next w:val="AODocTxt"/>
    <w:pPr>
      <w:outlineLvl w:val="1"/>
    </w:pPr>
    <w:rPr>
      <w:b/>
    </w:rPr>
  </w:style>
  <w:style w:type="paragraph" w:customStyle="1" w:styleId="AOSchPartTitle">
    <w:name w:val="AOSchPartTitle"/>
    <w:basedOn w:val="AOSchTitle"/>
    <w:next w:val="AODocTxt"/>
  </w:style>
  <w:style w:type="paragraph" w:customStyle="1" w:styleId="AOSchHead">
    <w:name w:val="AOSchHead"/>
    <w:basedOn w:val="AOAttachments"/>
    <w:next w:val="AOSchTitle"/>
    <w:pPr>
      <w:pageBreakBefore/>
      <w:numPr>
        <w:numId w:val="10"/>
      </w:numPr>
      <w:tabs>
        <w:tab w:val="clear" w:pos="0"/>
      </w:tabs>
      <w:outlineLvl w:val="0"/>
    </w:pPr>
  </w:style>
  <w:style w:type="paragraph" w:customStyle="1" w:styleId="AOSchPartHead">
    <w:name w:val="AOSchPartHead"/>
    <w:basedOn w:val="AOSchHead"/>
    <w:next w:val="AOSchPartTitle"/>
    <w:pPr>
      <w:pageBreakBefore w:val="0"/>
      <w:numPr>
        <w:ilvl w:val="1"/>
      </w:numPr>
      <w:tabs>
        <w:tab w:val="clear" w:pos="0"/>
      </w:tabs>
    </w:pPr>
  </w:style>
  <w:style w:type="paragraph" w:customStyle="1" w:styleId="AODefHead">
    <w:name w:val="AODefHead"/>
    <w:basedOn w:val="AOBodyTxt"/>
    <w:next w:val="AODefPara"/>
    <w:pPr>
      <w:numPr>
        <w:numId w:val="7"/>
      </w:numPr>
      <w:tabs>
        <w:tab w:val="clear" w:pos="720"/>
      </w:tabs>
      <w:outlineLvl w:val="5"/>
    </w:pPr>
  </w:style>
  <w:style w:type="paragraph" w:customStyle="1" w:styleId="AODefPara">
    <w:name w:val="AODefPara"/>
    <w:basedOn w:val="AODefHead"/>
    <w:pPr>
      <w:numPr>
        <w:ilvl w:val="1"/>
      </w:numPr>
      <w:tabs>
        <w:tab w:val="clear" w:pos="720"/>
      </w:tabs>
      <w:outlineLvl w:val="6"/>
    </w:pPr>
  </w:style>
  <w:style w:type="paragraph" w:customStyle="1" w:styleId="AOBullet">
    <w:name w:val="AOBullet"/>
    <w:basedOn w:val="AOBodyTxt"/>
    <w:pPr>
      <w:numPr>
        <w:numId w:val="11"/>
      </w:numPr>
      <w:tabs>
        <w:tab w:val="clear" w:pos="720"/>
      </w:tabs>
    </w:pPr>
  </w:style>
  <w:style w:type="paragraph" w:customStyle="1" w:styleId="AOBullet2">
    <w:name w:val="AOBullet2"/>
    <w:basedOn w:val="AOBullet"/>
    <w:pPr>
      <w:numPr>
        <w:numId w:val="12"/>
      </w:numPr>
      <w:tabs>
        <w:tab w:val="clear" w:pos="720"/>
      </w:tabs>
      <w:spacing w:before="120"/>
    </w:pPr>
  </w:style>
  <w:style w:type="paragraph" w:customStyle="1" w:styleId="AOBullet3">
    <w:name w:val="AOBullet3"/>
    <w:basedOn w:val="AOBodyTxt"/>
    <w:pPr>
      <w:numPr>
        <w:numId w:val="13"/>
      </w:numPr>
      <w:tabs>
        <w:tab w:val="clear" w:pos="720"/>
      </w:tabs>
      <w:spacing w:before="120"/>
    </w:pPr>
  </w:style>
  <w:style w:type="paragraph" w:customStyle="1" w:styleId="AOBullet4">
    <w:name w:val="AOBullet4"/>
    <w:basedOn w:val="AOBodyTxt"/>
    <w:pPr>
      <w:numPr>
        <w:numId w:val="14"/>
      </w:numPr>
      <w:tabs>
        <w:tab w:val="clear" w:pos="720"/>
      </w:tabs>
      <w:spacing w:before="120"/>
    </w:pPr>
  </w:style>
  <w:style w:type="paragraph" w:customStyle="1" w:styleId="AOGenNum1">
    <w:name w:val="AOGenNum1"/>
    <w:basedOn w:val="AOBodyTxt"/>
    <w:next w:val="AOGenNum1Para"/>
    <w:pPr>
      <w:keepNext/>
      <w:numPr>
        <w:numId w:val="4"/>
      </w:numPr>
    </w:pPr>
    <w:rPr>
      <w:b/>
      <w:caps/>
    </w:rPr>
  </w:style>
  <w:style w:type="paragraph" w:customStyle="1" w:styleId="AOGenNum1List">
    <w:name w:val="AOGenNum1List"/>
    <w:basedOn w:val="AOGenNum1"/>
    <w:pPr>
      <w:keepNext w:val="0"/>
      <w:numPr>
        <w:ilvl w:val="2"/>
      </w:numPr>
    </w:pPr>
    <w:rPr>
      <w:b w:val="0"/>
      <w:caps w:val="0"/>
    </w:rPr>
  </w:style>
  <w:style w:type="paragraph" w:customStyle="1" w:styleId="AOGenNum1Para">
    <w:name w:val="AOGenNum1Para"/>
    <w:basedOn w:val="AOGenNum1"/>
    <w:next w:val="AOGenNum1List"/>
    <w:pPr>
      <w:numPr>
        <w:ilvl w:val="1"/>
      </w:numPr>
    </w:pPr>
    <w:rPr>
      <w:caps w:val="0"/>
    </w:rPr>
  </w:style>
  <w:style w:type="paragraph" w:customStyle="1" w:styleId="AOGenNum2">
    <w:name w:val="AOGenNum2"/>
    <w:basedOn w:val="AOBodyTxt"/>
    <w:next w:val="AOGenNum2Para"/>
    <w:pPr>
      <w:keepNext/>
      <w:numPr>
        <w:numId w:val="5"/>
      </w:numPr>
    </w:pPr>
    <w:rPr>
      <w:b/>
    </w:rPr>
  </w:style>
  <w:style w:type="paragraph" w:customStyle="1" w:styleId="AOGenNum2List">
    <w:name w:val="AOGenNum2List"/>
    <w:basedOn w:val="AOGenNum2"/>
    <w:pPr>
      <w:keepNext w:val="0"/>
      <w:numPr>
        <w:ilvl w:val="2"/>
      </w:numPr>
    </w:pPr>
    <w:rPr>
      <w:b w:val="0"/>
    </w:rPr>
  </w:style>
  <w:style w:type="paragraph" w:customStyle="1" w:styleId="AOGenNum2Para">
    <w:name w:val="AOGenNum2Para"/>
    <w:basedOn w:val="AOGenNum2"/>
    <w:next w:val="AOGenNum2List"/>
    <w:pPr>
      <w:keepNext w:val="0"/>
      <w:numPr>
        <w:ilvl w:val="1"/>
      </w:numPr>
    </w:pPr>
    <w:rPr>
      <w:b w:val="0"/>
    </w:rPr>
  </w:style>
  <w:style w:type="paragraph" w:customStyle="1" w:styleId="AOGenNum3">
    <w:name w:val="AOGenNum3"/>
    <w:basedOn w:val="AOBodyTxt"/>
    <w:next w:val="AOGenNum3List"/>
    <w:pPr>
      <w:numPr>
        <w:numId w:val="6"/>
      </w:numPr>
    </w:pPr>
  </w:style>
  <w:style w:type="paragraph" w:customStyle="1" w:styleId="AOGenNum3List">
    <w:name w:val="AOGenNum3List"/>
    <w:basedOn w:val="AOGenNum3"/>
    <w:pPr>
      <w:numPr>
        <w:ilvl w:val="1"/>
      </w:numPr>
    </w:pPr>
  </w:style>
  <w:style w:type="paragraph" w:customStyle="1" w:styleId="AOTitle">
    <w:name w:val="AOTitle"/>
    <w:basedOn w:val="AOHeadings"/>
    <w:next w:val="AODocTxt"/>
    <w:pPr>
      <w:jc w:val="center"/>
    </w:pPr>
    <w:rPr>
      <w:b/>
      <w:caps/>
    </w:rPr>
  </w:style>
  <w:style w:type="paragraph" w:customStyle="1" w:styleId="AOTOCHeading">
    <w:name w:val="AOTOCHeading"/>
    <w:basedOn w:val="AOHeadings"/>
    <w:next w:val="AODocTxt"/>
    <w:pPr>
      <w:tabs>
        <w:tab w:val="right" w:pos="9609"/>
      </w:tabs>
      <w:spacing w:after="240"/>
    </w:pPr>
    <w:rPr>
      <w:b/>
    </w:rPr>
  </w:style>
  <w:style w:type="paragraph" w:customStyle="1" w:styleId="AOTOCs">
    <w:name w:val="AOTOCs"/>
    <w:basedOn w:val="AONormal"/>
    <w:next w:val="TOC1"/>
    <w:pPr>
      <w:tabs>
        <w:tab w:val="right" w:leader="dot" w:pos="9638"/>
      </w:tabs>
      <w:jc w:val="both"/>
    </w:pPr>
  </w:style>
  <w:style w:type="paragraph" w:styleId="TOC1">
    <w:name w:val="toc 1"/>
    <w:basedOn w:val="AOTOCs"/>
    <w:next w:val="AONormal"/>
    <w:autoRedefine/>
    <w:uiPriority w:val="39"/>
    <w:semiHidden/>
    <w:pPr>
      <w:tabs>
        <w:tab w:val="left" w:pos="720"/>
      </w:tabs>
      <w:ind w:left="720" w:hanging="720"/>
    </w:pPr>
  </w:style>
  <w:style w:type="paragraph" w:customStyle="1" w:styleId="AOTOC1">
    <w:name w:val="AOTOC1"/>
    <w:basedOn w:val="AOTOCs"/>
    <w:pPr>
      <w:tabs>
        <w:tab w:val="left" w:pos="720"/>
      </w:tabs>
    </w:pPr>
    <w:rPr>
      <w:b/>
      <w:caps/>
    </w:rPr>
  </w:style>
  <w:style w:type="paragraph" w:customStyle="1" w:styleId="AOTOC2">
    <w:name w:val="AOTOC2"/>
    <w:basedOn w:val="AOTOCs"/>
    <w:pPr>
      <w:tabs>
        <w:tab w:val="left" w:pos="720"/>
      </w:tabs>
    </w:pPr>
  </w:style>
  <w:style w:type="paragraph" w:customStyle="1" w:styleId="AOTOC3">
    <w:name w:val="AOTOC3"/>
    <w:basedOn w:val="AOTOCs"/>
    <w:pPr>
      <w:ind w:left="720"/>
    </w:pPr>
    <w:rPr>
      <w:b/>
    </w:rPr>
  </w:style>
  <w:style w:type="paragraph" w:customStyle="1" w:styleId="AOTOC4">
    <w:name w:val="AOTOC4"/>
    <w:basedOn w:val="AOTOCs"/>
    <w:pPr>
      <w:ind w:left="720"/>
    </w:pPr>
  </w:style>
  <w:style w:type="paragraph" w:customStyle="1" w:styleId="AOTOC5">
    <w:name w:val="AOTOC5"/>
    <w:basedOn w:val="AOTOCs"/>
    <w:pPr>
      <w:ind w:left="720"/>
    </w:pPr>
    <w:rPr>
      <w:i/>
    </w:rPr>
  </w:style>
  <w:style w:type="paragraph" w:styleId="TOC2">
    <w:name w:val="toc 2"/>
    <w:basedOn w:val="AOTOCs"/>
    <w:next w:val="AONormal"/>
    <w:autoRedefine/>
    <w:uiPriority w:val="39"/>
    <w:semiHidden/>
    <w:pPr>
      <w:tabs>
        <w:tab w:val="left" w:pos="1797"/>
      </w:tabs>
      <w:ind w:left="1797" w:right="720" w:hanging="1077"/>
    </w:pPr>
  </w:style>
  <w:style w:type="paragraph" w:styleId="TOC3">
    <w:name w:val="toc 3"/>
    <w:basedOn w:val="AOTOCs"/>
    <w:next w:val="AONormal"/>
    <w:autoRedefine/>
    <w:uiPriority w:val="39"/>
    <w:semiHidden/>
    <w:pPr>
      <w:numPr>
        <w:numId w:val="15"/>
      </w:numPr>
      <w:ind w:right="720"/>
    </w:pPr>
  </w:style>
  <w:style w:type="paragraph" w:styleId="TOC4">
    <w:name w:val="toc 4"/>
    <w:basedOn w:val="AOTOCs"/>
    <w:next w:val="AONormal"/>
    <w:autoRedefine/>
    <w:uiPriority w:val="39"/>
    <w:semiHidden/>
    <w:pPr>
      <w:numPr>
        <w:ilvl w:val="1"/>
        <w:numId w:val="15"/>
      </w:numPr>
      <w:tabs>
        <w:tab w:val="left" w:pos="1797"/>
      </w:tabs>
      <w:ind w:right="720"/>
    </w:pPr>
  </w:style>
  <w:style w:type="paragraph" w:styleId="TOC5">
    <w:name w:val="toc 5"/>
    <w:basedOn w:val="AOTOCs"/>
    <w:next w:val="AONormal"/>
    <w:autoRedefine/>
    <w:uiPriority w:val="39"/>
    <w:semiHidden/>
    <w:pPr>
      <w:spacing w:before="240"/>
    </w:pPr>
  </w:style>
  <w:style w:type="paragraph" w:styleId="TOC6">
    <w:name w:val="toc 6"/>
    <w:basedOn w:val="AOTOCs"/>
    <w:next w:val="AONormal"/>
    <w:autoRedefine/>
    <w:uiPriority w:val="39"/>
    <w:semiHidden/>
    <w:pPr>
      <w:numPr>
        <w:numId w:val="16"/>
      </w:numPr>
      <w:ind w:right="720"/>
    </w:pPr>
  </w:style>
  <w:style w:type="paragraph" w:styleId="TOC7">
    <w:name w:val="toc 7"/>
    <w:basedOn w:val="AOTOCs"/>
    <w:next w:val="AONormal"/>
    <w:autoRedefine/>
    <w:uiPriority w:val="39"/>
    <w:semiHidden/>
    <w:pPr>
      <w:numPr>
        <w:ilvl w:val="1"/>
        <w:numId w:val="16"/>
      </w:numPr>
      <w:tabs>
        <w:tab w:val="left" w:pos="1797"/>
      </w:tabs>
      <w:ind w:right="720"/>
    </w:pPr>
  </w:style>
  <w:style w:type="paragraph" w:styleId="TOC8">
    <w:name w:val="toc 8"/>
    <w:basedOn w:val="AOTOCs"/>
    <w:next w:val="AONormal"/>
    <w:autoRedefine/>
    <w:uiPriority w:val="39"/>
    <w:semiHidden/>
    <w:pPr>
      <w:numPr>
        <w:numId w:val="17"/>
      </w:numPr>
      <w:ind w:right="720"/>
    </w:pPr>
  </w:style>
  <w:style w:type="paragraph" w:styleId="TOC9">
    <w:name w:val="toc 9"/>
    <w:basedOn w:val="AOTOCs"/>
    <w:next w:val="AONormal"/>
    <w:autoRedefine/>
    <w:uiPriority w:val="39"/>
    <w:semiHidden/>
    <w:pPr>
      <w:numPr>
        <w:ilvl w:val="1"/>
        <w:numId w:val="17"/>
      </w:numPr>
      <w:tabs>
        <w:tab w:val="left" w:pos="1797"/>
      </w:tabs>
      <w:ind w:right="720"/>
    </w:pPr>
  </w:style>
  <w:style w:type="paragraph" w:styleId="FootnoteText">
    <w:name w:val="footnote text"/>
    <w:basedOn w:val="AONormal"/>
    <w:link w:val="FootnoteTextChar"/>
    <w:uiPriority w:val="99"/>
    <w:semiHidden/>
    <w:pPr>
      <w:spacing w:line="240" w:lineRule="auto"/>
      <w:ind w:left="720" w:hanging="720"/>
      <w:jc w:val="both"/>
    </w:pPr>
    <w:rPr>
      <w:sz w:val="16"/>
      <w:szCs w:val="20"/>
    </w:rPr>
  </w:style>
  <w:style w:type="character" w:customStyle="1" w:styleId="FootnoteTextChar">
    <w:name w:val="Footnote Text Char"/>
    <w:basedOn w:val="DefaultParagraphFont"/>
    <w:link w:val="FootnoteText"/>
    <w:uiPriority w:val="99"/>
    <w:semiHidden/>
    <w:rPr>
      <w:rFonts w:cs="Times New Roman"/>
      <w:sz w:val="16"/>
      <w:szCs w:val="20"/>
      <w:lang w:val="en-GB"/>
    </w:rPr>
  </w:style>
  <w:style w:type="paragraph" w:customStyle="1" w:styleId="AOFPBP">
    <w:name w:val="AOFPBP"/>
    <w:basedOn w:val="AONormal"/>
    <w:next w:val="AOFPTxt"/>
    <w:pPr>
      <w:jc w:val="center"/>
    </w:pPr>
  </w:style>
  <w:style w:type="paragraph" w:customStyle="1" w:styleId="AOFPTxt">
    <w:name w:val="AOFPTxt"/>
    <w:basedOn w:val="AOFPBP"/>
    <w:rPr>
      <w:b/>
    </w:rPr>
  </w:style>
  <w:style w:type="paragraph" w:customStyle="1" w:styleId="AOBPTitle">
    <w:name w:val="AOBPTitle"/>
    <w:basedOn w:val="AOFPBP"/>
    <w:rPr>
      <w:b/>
      <w:caps/>
    </w:rPr>
  </w:style>
  <w:style w:type="paragraph" w:customStyle="1" w:styleId="AOBPTxtC">
    <w:name w:val="AOBPTxtC"/>
    <w:basedOn w:val="AOFPBP"/>
  </w:style>
  <w:style w:type="paragraph" w:customStyle="1" w:styleId="AOBPTxtL">
    <w:name w:val="AOBPTxtL"/>
    <w:basedOn w:val="AOFPBP"/>
    <w:pPr>
      <w:jc w:val="left"/>
    </w:pPr>
  </w:style>
  <w:style w:type="paragraph" w:customStyle="1" w:styleId="AOBPTxtR">
    <w:name w:val="AOBPTxtR"/>
    <w:basedOn w:val="AOFPBP"/>
    <w:pPr>
      <w:jc w:val="right"/>
    </w:pPr>
  </w:style>
  <w:style w:type="paragraph" w:customStyle="1" w:styleId="AOLocation">
    <w:name w:val="AOLocation"/>
    <w:basedOn w:val="AOFPBP"/>
    <w:pPr>
      <w:spacing w:before="160"/>
    </w:pPr>
    <w:rPr>
      <w:b/>
      <w:caps/>
    </w:rPr>
  </w:style>
  <w:style w:type="paragraph" w:customStyle="1" w:styleId="AOFPTxtCaps">
    <w:name w:val="AOFPTxtCaps"/>
    <w:basedOn w:val="AOFPTxt"/>
    <w:rPr>
      <w:caps/>
    </w:rPr>
  </w:style>
  <w:style w:type="paragraph" w:customStyle="1" w:styleId="AOFPTitle">
    <w:name w:val="AOFPTitle"/>
    <w:basedOn w:val="AOFPTxt"/>
    <w:rPr>
      <w:caps/>
      <w:sz w:val="32"/>
    </w:rPr>
  </w:style>
  <w:style w:type="paragraph" w:customStyle="1" w:styleId="AOFPDate">
    <w:name w:val="AOFPDate"/>
    <w:basedOn w:val="AOFPTxt"/>
    <w:rPr>
      <w:caps/>
    </w:rPr>
  </w:style>
  <w:style w:type="paragraph" w:customStyle="1" w:styleId="AOFPCopyright">
    <w:name w:val="AOFPCopyright"/>
    <w:basedOn w:val="AOFPTxt"/>
    <w:pPr>
      <w:jc w:val="left"/>
    </w:pPr>
    <w:rPr>
      <w:caps/>
    </w:rPr>
  </w:style>
  <w:style w:type="paragraph" w:customStyle="1" w:styleId="AOHeading5">
    <w:name w:val="AOHeading5"/>
    <w:basedOn w:val="AOHeadings"/>
    <w:next w:val="AODocTxtL1"/>
    <w:pPr>
      <w:keepNext/>
      <w:ind w:left="720"/>
      <w:outlineLvl w:val="4"/>
    </w:pPr>
    <w:rPr>
      <w:i/>
    </w:rPr>
  </w:style>
  <w:style w:type="paragraph" w:customStyle="1" w:styleId="AOHeading6">
    <w:name w:val="AOHeading6"/>
    <w:basedOn w:val="AOHeadings"/>
    <w:next w:val="AODocTxt"/>
    <w:pPr>
      <w:keepNext/>
      <w:outlineLvl w:val="5"/>
    </w:pPr>
    <w:rPr>
      <w:b/>
      <w:i/>
    </w:rPr>
  </w:style>
  <w:style w:type="paragraph" w:customStyle="1" w:styleId="AOHeading7">
    <w:name w:val="AOHeading7"/>
    <w:basedOn w:val="AOHeadings"/>
    <w:next w:val="AODocTxtL1"/>
    <w:pPr>
      <w:keepNext/>
      <w:ind w:left="720"/>
      <w:outlineLvl w:val="6"/>
    </w:pPr>
    <w:rPr>
      <w:b/>
      <w:i/>
    </w:rPr>
  </w:style>
  <w:style w:type="paragraph" w:customStyle="1" w:styleId="AONormal10">
    <w:name w:val="AONormal10"/>
    <w:basedOn w:val="AONormal"/>
    <w:rPr>
      <w:sz w:val="20"/>
    </w:rPr>
  </w:style>
  <w:style w:type="paragraph" w:customStyle="1" w:styleId="AONormal8L">
    <w:name w:val="AONormal8L"/>
    <w:basedOn w:val="AONormal"/>
    <w:pPr>
      <w:spacing w:line="220" w:lineRule="atLeast"/>
    </w:pPr>
    <w:rPr>
      <w:rFonts w:ascii="Arial" w:hAnsi="Arial" w:cs="Arial"/>
      <w:sz w:val="16"/>
    </w:rPr>
  </w:style>
  <w:style w:type="paragraph" w:customStyle="1" w:styleId="AONormal8LBold">
    <w:name w:val="AONormal8LBold"/>
    <w:basedOn w:val="AONormal8L"/>
    <w:rPr>
      <w:b/>
    </w:rPr>
  </w:style>
  <w:style w:type="paragraph" w:customStyle="1" w:styleId="AONormal8C">
    <w:name w:val="AONormal8C"/>
    <w:basedOn w:val="AONormal8L"/>
    <w:pPr>
      <w:jc w:val="center"/>
    </w:pPr>
  </w:style>
  <w:style w:type="paragraph" w:customStyle="1" w:styleId="AONormal8R">
    <w:name w:val="AONormal8R"/>
    <w:basedOn w:val="AONormal8L"/>
    <w:pPr>
      <w:jc w:val="right"/>
    </w:pPr>
  </w:style>
  <w:style w:type="paragraph" w:customStyle="1" w:styleId="AONormalBold">
    <w:name w:val="AONormalBold"/>
    <w:basedOn w:val="AONormal"/>
    <w:rPr>
      <w:b/>
    </w:rPr>
  </w:style>
  <w:style w:type="paragraph" w:customStyle="1" w:styleId="AONormal6L">
    <w:name w:val="AONormal6L"/>
    <w:basedOn w:val="AONormal8L"/>
    <w:pPr>
      <w:spacing w:line="160" w:lineRule="atLeast"/>
      <w:jc w:val="both"/>
    </w:pPr>
    <w:rPr>
      <w:sz w:val="12"/>
    </w:rPr>
  </w:style>
  <w:style w:type="paragraph" w:customStyle="1" w:styleId="AONormal6C">
    <w:name w:val="AONormal6C"/>
    <w:basedOn w:val="AONormal6L"/>
    <w:pPr>
      <w:jc w:val="center"/>
    </w:pPr>
  </w:style>
  <w:style w:type="paragraph" w:customStyle="1" w:styleId="AONormal6R">
    <w:name w:val="AONormal6R"/>
    <w:basedOn w:val="AONormal6L"/>
    <w:pPr>
      <w:jc w:val="right"/>
    </w:pPr>
  </w:style>
  <w:style w:type="paragraph" w:customStyle="1" w:styleId="AOTitle18">
    <w:name w:val="AOTitle18"/>
    <w:basedOn w:val="AONormal"/>
    <w:rPr>
      <w:b/>
      <w:sz w:val="36"/>
    </w:rPr>
  </w:style>
  <w:style w:type="paragraph" w:customStyle="1" w:styleId="AOSignatory">
    <w:name w:val="AOSignatory"/>
    <w:basedOn w:val="AOBodyTxt"/>
    <w:next w:val="AODocTxt"/>
    <w:pPr>
      <w:pageBreakBefore/>
      <w:spacing w:after="240"/>
      <w:jc w:val="center"/>
    </w:pPr>
    <w:rPr>
      <w:b/>
      <w:caps/>
    </w:rPr>
  </w:style>
  <w:style w:type="paragraph" w:customStyle="1" w:styleId="AOTOCTitle">
    <w:name w:val="AOTOCTitle"/>
    <w:basedOn w:val="AOHeadings"/>
    <w:next w:val="AOTOCHeading"/>
    <w:pPr>
      <w:jc w:val="center"/>
    </w:pPr>
    <w:rPr>
      <w:b/>
      <w:caps/>
    </w:rPr>
  </w:style>
  <w:style w:type="paragraph" w:customStyle="1" w:styleId="AOHidden">
    <w:name w:val="AOHidden"/>
    <w:basedOn w:val="AONormal"/>
    <w:pPr>
      <w:spacing w:before="240"/>
      <w:jc w:val="both"/>
    </w:pPr>
    <w:rPr>
      <w:vanish/>
    </w:rPr>
  </w:style>
  <w:style w:type="paragraph" w:styleId="CommentText">
    <w:name w:val="annotation text"/>
    <w:basedOn w:val="AONormal"/>
    <w:link w:val="CommentTextChar"/>
    <w:uiPriority w:val="99"/>
    <w:semiHidden/>
    <w:pPr>
      <w:spacing w:line="240" w:lineRule="auto"/>
    </w:pPr>
    <w:rPr>
      <w:sz w:val="16"/>
      <w:szCs w:val="20"/>
    </w:rPr>
  </w:style>
  <w:style w:type="character" w:customStyle="1" w:styleId="CommentTextChar">
    <w:name w:val="Comment Text Char"/>
    <w:basedOn w:val="DefaultParagraphFont"/>
    <w:link w:val="CommentText"/>
    <w:uiPriority w:val="99"/>
    <w:semiHidden/>
    <w:rPr>
      <w:rFonts w:cs="Times New Roman"/>
      <w:sz w:val="16"/>
      <w:szCs w:val="20"/>
      <w:lang w:val="en-GB"/>
    </w:rPr>
  </w:style>
  <w:style w:type="paragraph" w:styleId="EndnoteText">
    <w:name w:val="endnote text"/>
    <w:basedOn w:val="AONormal"/>
    <w:link w:val="EndnoteTextChar"/>
    <w:uiPriority w:val="99"/>
    <w:semiHidden/>
    <w:pPr>
      <w:spacing w:line="240" w:lineRule="auto"/>
      <w:ind w:left="720" w:hanging="720"/>
      <w:jc w:val="both"/>
    </w:pPr>
    <w:rPr>
      <w:sz w:val="16"/>
      <w:szCs w:val="20"/>
    </w:rPr>
  </w:style>
  <w:style w:type="character" w:customStyle="1" w:styleId="EndnoteTextChar">
    <w:name w:val="Endnote Text Char"/>
    <w:basedOn w:val="DefaultParagraphFont"/>
    <w:link w:val="EndnoteText"/>
    <w:uiPriority w:val="99"/>
    <w:semiHidden/>
    <w:rPr>
      <w:rFonts w:cs="Times New Roman"/>
      <w:sz w:val="16"/>
      <w:szCs w:val="20"/>
      <w:lang w:val="en-GB"/>
    </w:rPr>
  </w:style>
  <w:style w:type="character" w:customStyle="1" w:styleId="Heading1Char">
    <w:name w:val="Heading 1 Char"/>
    <w:basedOn w:val="DefaultParagraphFont"/>
    <w:link w:val="Heading1"/>
    <w:uiPriority w:val="9"/>
    <w:rPr>
      <w:rFonts w:eastAsia="Times New Roman" w:cs="Times New Roman"/>
      <w:b/>
      <w:bCs/>
      <w:caps/>
      <w:szCs w:val="28"/>
      <w:lang w:val="en-GB"/>
    </w:rPr>
  </w:style>
  <w:style w:type="character" w:customStyle="1" w:styleId="Heading2Char">
    <w:name w:val="Heading 2 Char"/>
    <w:basedOn w:val="DefaultParagraphFont"/>
    <w:link w:val="Heading2"/>
    <w:uiPriority w:val="9"/>
    <w:semiHidden/>
    <w:rPr>
      <w:rFonts w:eastAsia="Times New Roman" w:cs="Times New Roman"/>
      <w:b/>
      <w:bCs/>
      <w:szCs w:val="26"/>
      <w:lang w:val="en-GB"/>
    </w:rPr>
  </w:style>
  <w:style w:type="character" w:customStyle="1" w:styleId="Heading3Char">
    <w:name w:val="Heading 3 Char"/>
    <w:basedOn w:val="DefaultParagraphFont"/>
    <w:link w:val="Heading3"/>
    <w:uiPriority w:val="9"/>
    <w:semiHidden/>
    <w:rPr>
      <w:rFonts w:eastAsia="Times New Roman" w:cs="Times New Roman"/>
      <w:bCs/>
      <w:lang w:val="en-GB"/>
    </w:rPr>
  </w:style>
  <w:style w:type="character" w:customStyle="1" w:styleId="Heading4Char">
    <w:name w:val="Heading 4 Char"/>
    <w:basedOn w:val="DefaultParagraphFont"/>
    <w:link w:val="Heading4"/>
    <w:uiPriority w:val="9"/>
    <w:semiHidden/>
    <w:rPr>
      <w:rFonts w:eastAsia="Times New Roman" w:cs="Times New Roman"/>
      <w:bCs/>
      <w:iCs/>
      <w:lang w:val="en-GB"/>
    </w:rPr>
  </w:style>
  <w:style w:type="character" w:customStyle="1" w:styleId="Heading5Char">
    <w:name w:val="Heading 5 Char"/>
    <w:basedOn w:val="DefaultParagraphFont"/>
    <w:link w:val="Heading5"/>
    <w:uiPriority w:val="9"/>
    <w:semiHidden/>
    <w:rPr>
      <w:rFonts w:eastAsia="Times New Roman" w:cs="Times New Roman"/>
      <w:lang w:val="en-GB"/>
    </w:rPr>
  </w:style>
  <w:style w:type="character" w:customStyle="1" w:styleId="Heading6Char">
    <w:name w:val="Heading 6 Char"/>
    <w:basedOn w:val="DefaultParagraphFont"/>
    <w:link w:val="Heading6"/>
    <w:uiPriority w:val="9"/>
    <w:semiHidden/>
    <w:rPr>
      <w:rFonts w:eastAsia="Times New Roman" w:cs="Times New Roman"/>
      <w:iCs/>
      <w:lang w:val="en-GB"/>
    </w:rPr>
  </w:style>
  <w:style w:type="character" w:customStyle="1" w:styleId="Heading7Char">
    <w:name w:val="Heading 7 Char"/>
    <w:basedOn w:val="DefaultParagraphFont"/>
    <w:link w:val="Heading7"/>
    <w:uiPriority w:val="9"/>
    <w:semiHidden/>
    <w:rPr>
      <w:rFonts w:eastAsia="Times New Roman" w:cs="Times New Roman"/>
      <w:iCs/>
      <w:lang w:val="en-GB"/>
    </w:rPr>
  </w:style>
  <w:style w:type="character" w:customStyle="1" w:styleId="Heading8Char">
    <w:name w:val="Heading 8 Char"/>
    <w:basedOn w:val="DefaultParagraphFont"/>
    <w:link w:val="Heading8"/>
    <w:uiPriority w:val="9"/>
    <w:semiHidden/>
    <w:rPr>
      <w:rFonts w:eastAsia="Times New Roman" w:cs="Times New Roman"/>
      <w:szCs w:val="20"/>
      <w:lang w:val="en-GB"/>
    </w:rPr>
  </w:style>
  <w:style w:type="character" w:customStyle="1" w:styleId="Heading9Char">
    <w:name w:val="Heading 9 Char"/>
    <w:basedOn w:val="DefaultParagraphFont"/>
    <w:link w:val="Heading9"/>
    <w:uiPriority w:val="9"/>
    <w:semiHidden/>
    <w:rPr>
      <w:rFonts w:eastAsia="Times New Roman" w:cs="Times New Roman"/>
      <w:iCs/>
      <w:szCs w:val="20"/>
      <w:lang w:val="en-GB"/>
    </w:rPr>
  </w:style>
  <w:style w:type="paragraph" w:styleId="TOAHeading">
    <w:name w:val="toa heading"/>
    <w:basedOn w:val="AONormal"/>
    <w:next w:val="TableofAuthorities"/>
    <w:uiPriority w:val="99"/>
    <w:semiHidden/>
    <w:pPr>
      <w:tabs>
        <w:tab w:val="right" w:leader="dot" w:pos="9490"/>
      </w:tabs>
      <w:spacing w:before="240" w:after="120" w:line="240" w:lineRule="auto"/>
    </w:pPr>
    <w:rPr>
      <w:rFonts w:eastAsia="Times New Roman"/>
      <w:b/>
      <w:bCs/>
      <w:szCs w:val="24"/>
    </w:rPr>
  </w:style>
  <w:style w:type="paragraph" w:styleId="TableofAuthorities">
    <w:name w:val="table of authorities"/>
    <w:basedOn w:val="AONormal"/>
    <w:uiPriority w:val="99"/>
    <w:semiHidden/>
    <w:pPr>
      <w:tabs>
        <w:tab w:val="right" w:leader="dot" w:pos="9490"/>
      </w:tabs>
      <w:spacing w:before="240" w:line="240" w:lineRule="auto"/>
      <w:ind w:left="720" w:hanging="720"/>
    </w:pPr>
  </w:style>
  <w:style w:type="paragraph" w:styleId="EnvelopeAddress">
    <w:name w:val="envelope address"/>
    <w:basedOn w:val="Normal"/>
    <w:uiPriority w:val="99"/>
    <w:semiHidden/>
    <w:pPr>
      <w:ind w:left="2880"/>
    </w:pPr>
    <w:rPr>
      <w:rFonts w:eastAsia="Times New Roman"/>
      <w:szCs w:val="24"/>
    </w:rPr>
  </w:style>
  <w:style w:type="paragraph" w:styleId="EnvelopeReturn">
    <w:name w:val="envelope return"/>
    <w:basedOn w:val="Normal"/>
    <w:uiPriority w:val="99"/>
    <w:semiHidden/>
    <w:rPr>
      <w:rFonts w:eastAsia="Times New Roman"/>
      <w:sz w:val="20"/>
      <w:szCs w:val="20"/>
    </w:rPr>
  </w:style>
  <w:style w:type="paragraph" w:customStyle="1" w:styleId="AOListNumber">
    <w:name w:val="AOListNumber"/>
    <w:basedOn w:val="AOBodyTxt"/>
    <w:pPr>
      <w:numPr>
        <w:numId w:val="18"/>
      </w:numPr>
      <w:tabs>
        <w:tab w:val="clear" w:pos="720"/>
      </w:tabs>
    </w:pPr>
  </w:style>
  <w:style w:type="character" w:styleId="PlaceholderText">
    <w:name w:val="Placeholder Text"/>
    <w:basedOn w:val="DefaultParagraphFont"/>
    <w:uiPriority w:val="99"/>
    <w:semiHidden/>
    <w:rPr>
      <w:color w:val="808080"/>
      <w:lang w:val="en-GB"/>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table" w:styleId="TableGrid">
    <w:name w:val="Table Grid"/>
    <w:basedOn w:val="TableNormal"/>
    <w:uiPriority w:val="39"/>
    <w:pPr>
      <w:spacing w:line="240" w:lineRule="auto"/>
    </w:pPr>
    <w:tblPr>
      <w:tblCellMar>
        <w:left w:w="0" w:type="dxa"/>
        <w:right w:w="0" w:type="dxa"/>
      </w:tblCellMar>
    </w:tblPr>
    <w:tcPr>
      <w:shd w:val="clear" w:color="auto" w:fill="auto"/>
    </w:tcPr>
  </w:style>
  <w:style w:type="paragraph" w:styleId="ListBullet">
    <w:name w:val="List Bullet"/>
    <w:basedOn w:val="Normal"/>
    <w:uiPriority w:val="99"/>
    <w:semiHidden/>
    <w:pPr>
      <w:tabs>
        <w:tab w:val="num" w:pos="720"/>
      </w:tabs>
      <w:ind w:left="720" w:hanging="720"/>
      <w:contextualSpacing/>
    </w:pPr>
  </w:style>
  <w:style w:type="paragraph" w:styleId="ListNumber">
    <w:name w:val="List Number"/>
    <w:basedOn w:val="Normal"/>
    <w:uiPriority w:val="99"/>
    <w:semiHidden/>
    <w:pPr>
      <w:tabs>
        <w:tab w:val="num" w:pos="720"/>
      </w:tabs>
      <w:ind w:left="720" w:hanging="720"/>
      <w:contextualSpacing/>
    </w:pPr>
  </w:style>
  <w:style w:type="table" w:customStyle="1" w:styleId="AOHdrFtrTblStyle">
    <w:name w:val="AOHdrFtrTblStyle"/>
    <w:basedOn w:val="TableGrid"/>
    <w:tblPr/>
    <w:tcPr>
      <w:shd w:val="clear" w:color="auto" w:fill="auto"/>
    </w:tcPr>
  </w:style>
  <w:style w:type="paragraph" w:customStyle="1" w:styleId="WWBodyText">
    <w:name w:val="WW_BodyText"/>
    <w:basedOn w:val="Normal"/>
    <w:pPr>
      <w:suppressAutoHyphens/>
      <w:spacing w:after="240" w:line="360" w:lineRule="auto"/>
      <w:jc w:val="both"/>
    </w:pPr>
    <w:rPr>
      <w:rFonts w:ascii="Arial" w:eastAsia="Times New Roman" w:hAnsi="Arial"/>
      <w:szCs w:val="24"/>
      <w:lang w:eastAsia="en-GB"/>
    </w:rPr>
  </w:style>
  <w:style w:type="character" w:styleId="Hyperlink">
    <w:name w:val="Hyperlink"/>
    <w:basedOn w:val="DefaultParagraphFont"/>
    <w:uiPriority w:val="99"/>
    <w:rPr>
      <w:color w:val="5C6F7B" w:themeColor="hyperlink"/>
      <w:u w:val="single"/>
    </w:rPr>
  </w:style>
  <w:style w:type="character" w:styleId="CommentReference">
    <w:name w:val="annotation reference"/>
    <w:basedOn w:val="DefaultParagraphFont"/>
    <w:uiPriority w:val="99"/>
    <w:semiHidden/>
    <w:rPr>
      <w:sz w:val="16"/>
      <w:szCs w:val="16"/>
    </w:rPr>
  </w:style>
  <w:style w:type="paragraph" w:styleId="CommentSubject">
    <w:name w:val="annotation subject"/>
    <w:basedOn w:val="CommentText"/>
    <w:next w:val="CommentText"/>
    <w:link w:val="CommentSubjectChar"/>
    <w:uiPriority w:val="99"/>
    <w:semiHidden/>
    <w:unhideWhenUsed/>
    <w:rPr>
      <w:b/>
      <w:bCs/>
      <w:sz w:val="20"/>
    </w:rPr>
  </w:style>
  <w:style w:type="character" w:customStyle="1" w:styleId="CommentSubjectChar">
    <w:name w:val="Comment Subject Char"/>
    <w:basedOn w:val="CommentTextChar"/>
    <w:link w:val="CommentSubject"/>
    <w:uiPriority w:val="99"/>
    <w:semiHidden/>
    <w:rPr>
      <w:rFonts w:cs="Times New Roman"/>
      <w:b/>
      <w:bCs/>
      <w:sz w:val="20"/>
      <w:szCs w:val="20"/>
      <w:lang w:val="en-GB"/>
    </w:rPr>
  </w:style>
  <w:style w:type="character"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rPr>
      <w:color w:val="9AD7DB" w:themeColor="followedHyperlink"/>
      <w:u w:val="single"/>
    </w:rPr>
  </w:style>
  <w:style w:type="paragraph" w:styleId="Revision">
    <w:name w:val="Revision"/>
    <w:hidden/>
    <w:uiPriority w:val="99"/>
    <w:semiHidden/>
    <w:pPr>
      <w:spacing w:line="240" w:lineRule="auto"/>
    </w:pPr>
    <w:rPr>
      <w:rFonts w:cs="Times New Roman"/>
    </w:rPr>
  </w:style>
  <w:style w:type="paragraph" w:styleId="BodyText">
    <w:name w:val="Body Text"/>
    <w:basedOn w:val="Normal"/>
    <w:link w:val="BodyTextChar"/>
    <w:pPr>
      <w:widowControl w:val="0"/>
      <w:spacing w:line="300" w:lineRule="exact"/>
    </w:pPr>
    <w:rPr>
      <w:rFonts w:eastAsia="Times New Roman"/>
      <w:szCs w:val="20"/>
      <w:lang w:val="nl-NL" w:eastAsia="en-GB"/>
    </w:rPr>
  </w:style>
  <w:style w:type="character" w:customStyle="1" w:styleId="BodyTextChar">
    <w:name w:val="Body Text Char"/>
    <w:basedOn w:val="DefaultParagraphFont"/>
    <w:link w:val="BodyText"/>
    <w:rPr>
      <w:rFonts w:eastAsia="Times New Roman" w:cs="Times New Roman"/>
      <w:szCs w:val="20"/>
      <w:lang w:val="nl-NL"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prosus.com" TargetMode="External"/><Relationship Id="rId3" Type="http://schemas.openxmlformats.org/officeDocument/2006/relationships/customXml" Target="../customXml/item2.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Allen &amp; Overy">
      <a:dk1>
        <a:srgbClr val="000000"/>
      </a:dk1>
      <a:lt1>
        <a:srgbClr val="FFFFFF"/>
      </a:lt1>
      <a:dk2>
        <a:srgbClr val="B23427"/>
      </a:dk2>
      <a:lt2>
        <a:srgbClr val="636467"/>
      </a:lt2>
      <a:accent1>
        <a:srgbClr val="006595"/>
      </a:accent1>
      <a:accent2>
        <a:srgbClr val="679146"/>
      </a:accent2>
      <a:accent3>
        <a:srgbClr val="5C6F7B"/>
      </a:accent3>
      <a:accent4>
        <a:srgbClr val="569BBE"/>
      </a:accent4>
      <a:accent5>
        <a:srgbClr val="C7C8CA"/>
      </a:accent5>
      <a:accent6>
        <a:srgbClr val="9E6614"/>
      </a:accent6>
      <a:hlink>
        <a:srgbClr val="5C6F7B"/>
      </a:hlink>
      <a:folHlink>
        <a:srgbClr val="9AD7DB"/>
      </a:folHlink>
    </a:clrScheme>
    <a:fontScheme name="Allen &amp; Overy">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ession xmlns="http://schemas.business-integrity.com/dealbuilder/2006/answers"/>
</file>

<file path=customXml/item2.xml><?xml version="1.0" encoding="utf-8"?>
<ct:contentTypeSchema xmlns:ct="http://schemas.microsoft.com/office/2006/metadata/contentType" xmlns:ma="http://schemas.microsoft.com/office/2006/metadata/properties/metaAttributes" ct:_="" ma:_="" ma:contentTypeName="Document" ma:contentTypeID="0x010100ABDCB0C64831414DABABF09C05DE95E2" ma:contentTypeVersion="16" ma:contentTypeDescription="Create a new document." ma:contentTypeScope="" ma:versionID="a03eb80941f803d172a6418420c95ac8">
  <xsd:schema xmlns:xsd="http://www.w3.org/2001/XMLSchema" xmlns:xs="http://www.w3.org/2001/XMLSchema" xmlns:p="http://schemas.microsoft.com/office/2006/metadata/properties" xmlns:ns2="943f1af2-e785-4394-9b2d-dfaf95e92f60" xmlns:ns3="d830a163-2bd2-4904-a356-455e0fdb518a" targetNamespace="http://schemas.microsoft.com/office/2006/metadata/properties" ma:root="true" ma:fieldsID="e66a8292eb05a86d7fbf78feb4937e25" ns2:_="" ns3:_="">
    <xsd:import namespace="943f1af2-e785-4394-9b2d-dfaf95e92f60"/>
    <xsd:import namespace="d830a163-2bd2-4904-a356-455e0fdb51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f1af2-e785-4394-9b2d-dfaf95e92f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b0b32f-e310-49b4-ae0d-6de30dafcd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830a163-2bd2-4904-a356-455e0fdb51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e03a627-04b7-47c3-ba6b-59e14afa6e89}" ma:internalName="TaxCatchAll" ma:showField="CatchAllData" ma:web="d830a163-2bd2-4904-a356-455e0fdb51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3f1af2-e785-4394-9b2d-dfaf95e92f60">
      <Terms xmlns="http://schemas.microsoft.com/office/infopath/2007/PartnerControls"/>
    </lcf76f155ced4ddcb4097134ff3c332f>
    <TaxCatchAll xmlns="d830a163-2bd2-4904-a356-455e0fdb518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Dictionary xmlns="http://schemas.business-integrity.com/dealbuilder/2006/dictionary" SavedByVersion="8.10.34622.1" MinimumVersion="7.2.0.0"/>
</file>

<file path=customXml/itemProps1.xml><?xml version="1.0" encoding="utf-8"?>
<ds:datastoreItem xmlns:ds="http://schemas.openxmlformats.org/officeDocument/2006/customXml" ds:itemID="{6585741E-14F8-47B5-814A-0F6BDAD94F79}">
  <ds:schemaRefs/>
</ds:datastoreItem>
</file>

<file path=customXml/itemProps2.xml><?xml version="1.0" encoding="utf-8"?>
<ds:datastoreItem xmlns:ds="http://schemas.openxmlformats.org/officeDocument/2006/customXml" ds:itemID="{EA810287-2C83-452D-AD9B-1C8DA5D80A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f1af2-e785-4394-9b2d-dfaf95e92f60"/>
    <ds:schemaRef ds:uri="d830a163-2bd2-4904-a356-455e0fdb51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A67540-6851-446B-8198-F192AD23836A}">
  <ds:schemaRefs>
    <ds:schemaRef ds:uri="http://schemas.microsoft.com/office/2006/metadata/properties"/>
    <ds:schemaRef ds:uri="http://schemas.microsoft.com/office/infopath/2007/PartnerControls"/>
    <ds:schemaRef ds:uri="943f1af2-e785-4394-9b2d-dfaf95e92f60"/>
    <ds:schemaRef ds:uri="d830a163-2bd2-4904-a356-455e0fdb518a"/>
  </ds:schemaRefs>
</ds:datastoreItem>
</file>

<file path=customXml/itemProps4.xml><?xml version="1.0" encoding="utf-8"?>
<ds:datastoreItem xmlns:ds="http://schemas.openxmlformats.org/officeDocument/2006/customXml" ds:itemID="{EA8BE93E-84F5-40D5-B57C-3166153BB4CA}">
  <ds:schemaRefs>
    <ds:schemaRef ds:uri="http://schemas.microsoft.com/sharepoint/v3/contenttype/forms"/>
  </ds:schemaRefs>
</ds:datastoreItem>
</file>

<file path=customXml/itemProps5.xml><?xml version="1.0" encoding="utf-8"?>
<ds:datastoreItem xmlns:ds="http://schemas.openxmlformats.org/officeDocument/2006/customXml" ds:itemID="{4C316017-3513-4168-8FDB-EADE548DECBB}">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875</Words>
  <Characters>4992</Characters>
  <Application>Microsoft Office Word</Application>
  <DocSecurity>0</DocSecurity>
  <Lines>41</Lines>
  <Paragraphs>11</Paragraphs>
  <ScaleCrop>false</ScaleCrop>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Prosus - Buyback announcement - 10 April 2023 - 14 April 2023</dc:title>
  <cp:lastModifiedBy>Pieter Carnelley</cp:lastModifiedBy>
  <cp:revision>2</cp:revision>
  <dcterms:created xsi:type="dcterms:W3CDTF">2023-04-17T12:36:00Z</dcterms:created>
  <dcterms:modified xsi:type="dcterms:W3CDTF">2023-04-17T12:37:00Z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0x010100ABDCB0C64831414DABABF09C05DE95E2</vt:lpwstr>
  </property>
  <property fmtid="{D5CDD505-2E9C-101B-9397-08002B2CF9AE}" pid="3" name="db_contract_version">
    <vt:lpwstr>AAAAAAAJMbM=</vt:lpwstr>
  </property>
  <property fmtid="{D5CDD505-2E9C-101B-9397-08002B2CF9AE}" pid="4" name="db_document_id">
    <vt:lpwstr>9819</vt:lpwstr>
  </property>
  <property fmtid="{D5CDD505-2E9C-101B-9397-08002B2CF9AE}" pid="5" name="MediaServiceImageTags">
    <vt:lpwstr/>
  </property>
</Properties>
</file>