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165E" w14:textId="77777777" w:rsidR="005E503D" w:rsidRDefault="00383BC9">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383BC9">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383BC9">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383BC9">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383BC9">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5CB6E0A" w:rsidR="005E503D" w:rsidRDefault="00383BC9">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r w:rsidR="008A7A93">
        <w:rPr>
          <w:rFonts w:ascii="Verdana" w:hAnsi="Verdana"/>
          <w:sz w:val="20"/>
          <w:szCs w:val="20"/>
        </w:rPr>
        <w:t xml:space="preserve"> AND NOTIFICATION TO THE HKMA</w:t>
      </w:r>
    </w:p>
    <w:p w14:paraId="2742C075" w14:textId="2100BBE6" w:rsidR="00862871" w:rsidRDefault="00862871" w:rsidP="00862871">
      <w:pPr>
        <w:pStyle w:val="AODocTxt"/>
        <w:rPr>
          <w:rFonts w:ascii="Verdana" w:hAnsi="Verdana"/>
          <w:sz w:val="20"/>
          <w:szCs w:val="20"/>
        </w:rPr>
      </w:pPr>
      <w:r w:rsidRPr="00862871">
        <w:rPr>
          <w:rFonts w:ascii="Verdana" w:hAnsi="Verdana"/>
          <w:sz w:val="20"/>
          <w:szCs w:val="20"/>
        </w:rPr>
        <w:t>Shareholders are referred to the announcement issued by Prosus on 27 June 2022 and other announcements thereafter ("</w:t>
      </w:r>
      <w:r w:rsidRPr="00862871">
        <w:rPr>
          <w:rFonts w:ascii="Verdana" w:hAnsi="Verdana"/>
          <w:b/>
          <w:bCs/>
          <w:sz w:val="20"/>
          <w:szCs w:val="20"/>
        </w:rPr>
        <w:t>Repurchase Programme Announcements</w:t>
      </w:r>
      <w:r w:rsidRPr="00862871">
        <w:rPr>
          <w:rFonts w:ascii="Verdana" w:hAnsi="Verdana"/>
          <w:sz w:val="20"/>
          <w:szCs w:val="20"/>
        </w:rPr>
        <w:t>") in respect of the open-ended repurchase programme in respect of the ordinary shares N (“</w:t>
      </w:r>
      <w:r w:rsidRPr="00862871">
        <w:rPr>
          <w:rFonts w:ascii="Verdana" w:hAnsi="Verdana"/>
          <w:b/>
          <w:bCs/>
          <w:sz w:val="20"/>
          <w:szCs w:val="20"/>
        </w:rPr>
        <w:t>Prosus Shares</w:t>
      </w:r>
      <w:r w:rsidRPr="00862871">
        <w:rPr>
          <w:rFonts w:ascii="Verdana" w:hAnsi="Verdana"/>
          <w:sz w:val="20"/>
          <w:szCs w:val="20"/>
        </w:rPr>
        <w:t>”) in the capital of Prosus, from the Prosus free-float shareholders (the “</w:t>
      </w:r>
      <w:r w:rsidRPr="00862871">
        <w:rPr>
          <w:rFonts w:ascii="Verdana" w:hAnsi="Verdana"/>
          <w:b/>
          <w:bCs/>
          <w:sz w:val="20"/>
          <w:szCs w:val="20"/>
        </w:rPr>
        <w:t>Repurchase Programme</w:t>
      </w:r>
      <w:r w:rsidRPr="00862871">
        <w:rPr>
          <w:rFonts w:ascii="Verdana" w:hAnsi="Verdana"/>
          <w:sz w:val="20"/>
          <w:szCs w:val="20"/>
        </w:rPr>
        <w:t xml:space="preserve">”). Capitalised words used in this announcement shall have the meanings ascribed to them in the Repurchase Programme Announcements. </w:t>
      </w:r>
    </w:p>
    <w:p w14:paraId="11B17EE2" w14:textId="77777777" w:rsidR="008A7A93" w:rsidRPr="008A7A93" w:rsidRDefault="008A7A93" w:rsidP="008A7A93">
      <w:pPr>
        <w:pStyle w:val="AODocTxt"/>
        <w:rPr>
          <w:rFonts w:ascii="Verdana" w:hAnsi="Verdana"/>
          <w:sz w:val="20"/>
          <w:szCs w:val="20"/>
        </w:rPr>
      </w:pPr>
      <w:r w:rsidRPr="008A7A93">
        <w:rPr>
          <w:rFonts w:ascii="Verdana" w:hAnsi="Verdana"/>
          <w:sz w:val="20"/>
          <w:szCs w:val="20"/>
        </w:rPr>
        <w:t xml:space="preserve">As part of the Repurchase Programme, for the period between 17 April 2023 and 21 April 2023, Prosus repurchased 2,651,096 Prosus Shares at an average price of €69.8795 per share for a total consideration of €185,257,395 (US$203,003,940). </w:t>
      </w:r>
    </w:p>
    <w:p w14:paraId="343518C2" w14:textId="75262A42" w:rsidR="008A7A93" w:rsidRPr="00862871" w:rsidRDefault="008A7A93" w:rsidP="008A7A93">
      <w:pPr>
        <w:pStyle w:val="AODocTxt"/>
        <w:jc w:val="left"/>
        <w:rPr>
          <w:rFonts w:ascii="Verdana" w:hAnsi="Verdana"/>
          <w:sz w:val="20"/>
          <w:szCs w:val="20"/>
        </w:rPr>
      </w:pPr>
      <w:r w:rsidRPr="008A7A93">
        <w:rPr>
          <w:rFonts w:ascii="Verdana" w:hAnsi="Verdana"/>
          <w:sz w:val="20"/>
          <w:szCs w:val="20"/>
        </w:rPr>
        <w:t>More information on the Repurchase Programme is available on</w:t>
      </w:r>
      <w:r>
        <w:rPr>
          <w:rFonts w:ascii="Verdana" w:hAnsi="Verdana"/>
          <w:sz w:val="20"/>
          <w:szCs w:val="20"/>
        </w:rPr>
        <w:t>:</w:t>
      </w:r>
      <w:r>
        <w:rPr>
          <w:rFonts w:ascii="Verdana" w:hAnsi="Verdana"/>
          <w:sz w:val="20"/>
          <w:szCs w:val="20"/>
        </w:rPr>
        <w:br/>
      </w:r>
      <w:r w:rsidRPr="008A7A93">
        <w:rPr>
          <w:rFonts w:ascii="Verdana" w:hAnsi="Verdana"/>
          <w:sz w:val="20"/>
          <w:szCs w:val="20"/>
        </w:rPr>
        <w:t>www.prosus.com/news/investors-shareholder-information/.</w:t>
      </w:r>
    </w:p>
    <w:p w14:paraId="1CB6B013" w14:textId="5782325E" w:rsidR="00862871" w:rsidRDefault="00862871" w:rsidP="00862871">
      <w:pPr>
        <w:pStyle w:val="AODocTxt"/>
        <w:rPr>
          <w:rFonts w:ascii="Verdana" w:hAnsi="Verdana"/>
          <w:sz w:val="20"/>
          <w:szCs w:val="20"/>
        </w:rPr>
      </w:pPr>
      <w:r w:rsidRPr="00862871">
        <w:rPr>
          <w:rFonts w:ascii="Verdana" w:hAnsi="Verdana"/>
          <w:sz w:val="20"/>
          <w:szCs w:val="20"/>
        </w:rPr>
        <w:t xml:space="preserve">Shareholders are hereby advised that in connection with the continued implementation of the Repurchase Programme, on </w:t>
      </w:r>
      <w:r w:rsidR="008A7A93" w:rsidRPr="008A7A93">
        <w:rPr>
          <w:rFonts w:ascii="Verdana" w:hAnsi="Verdana"/>
          <w:sz w:val="20"/>
          <w:szCs w:val="20"/>
        </w:rPr>
        <w:t xml:space="preserve">25 </w:t>
      </w:r>
      <w:r w:rsidRPr="008A7A93">
        <w:rPr>
          <w:rFonts w:ascii="Verdana" w:hAnsi="Verdana"/>
          <w:sz w:val="20"/>
          <w:szCs w:val="20"/>
        </w:rPr>
        <w:t>A</w:t>
      </w:r>
      <w:r>
        <w:rPr>
          <w:rFonts w:ascii="Verdana" w:hAnsi="Verdana"/>
          <w:sz w:val="20"/>
          <w:szCs w:val="20"/>
        </w:rPr>
        <w:t xml:space="preserve">pril </w:t>
      </w:r>
      <w:r w:rsidRPr="00862871">
        <w:rPr>
          <w:rFonts w:ascii="Verdana" w:hAnsi="Verdana"/>
          <w:sz w:val="20"/>
          <w:szCs w:val="20"/>
        </w:rPr>
        <w:t>202</w:t>
      </w:r>
      <w:r>
        <w:rPr>
          <w:rFonts w:ascii="Verdana" w:hAnsi="Verdana"/>
          <w:sz w:val="20"/>
          <w:szCs w:val="20"/>
        </w:rPr>
        <w:t xml:space="preserve">3 </w:t>
      </w:r>
      <w:r w:rsidRPr="00862871">
        <w:rPr>
          <w:rFonts w:ascii="Verdana" w:hAnsi="Verdana"/>
          <w:sz w:val="20"/>
          <w:szCs w:val="20"/>
        </w:rPr>
        <w:t xml:space="preserve">Prosus sold </w:t>
      </w:r>
      <w:r w:rsidR="00143669" w:rsidRPr="00143669">
        <w:rPr>
          <w:rFonts w:ascii="Verdana" w:hAnsi="Verdana"/>
          <w:sz w:val="20"/>
          <w:szCs w:val="20"/>
        </w:rPr>
        <w:t>789,600</w:t>
      </w:r>
      <w:r w:rsidRPr="00862871">
        <w:rPr>
          <w:rFonts w:ascii="Verdana" w:hAnsi="Verdana"/>
          <w:sz w:val="20"/>
          <w:szCs w:val="20"/>
        </w:rPr>
        <w:t xml:space="preserve"> ordinary shares in Tencent, bringing its total ownership in Tencent to 2</w:t>
      </w:r>
      <w:r>
        <w:rPr>
          <w:rFonts w:ascii="Verdana" w:hAnsi="Verdana"/>
          <w:sz w:val="20"/>
          <w:szCs w:val="20"/>
        </w:rPr>
        <w:t>5</w:t>
      </w:r>
      <w:r w:rsidRPr="00862871">
        <w:rPr>
          <w:rFonts w:ascii="Verdana" w:hAnsi="Verdana"/>
          <w:sz w:val="20"/>
          <w:szCs w:val="20"/>
        </w:rPr>
        <w:t xml:space="preserve">.99%.  This requires that each of Prosus and Naspers make a Disclosure of Interest notification to the Stock Exchange of Hong Kong Limited, which Prosus and Naspers </w:t>
      </w:r>
      <w:r w:rsidR="00172A10">
        <w:rPr>
          <w:rFonts w:ascii="Verdana" w:hAnsi="Verdana"/>
          <w:sz w:val="20"/>
          <w:szCs w:val="20"/>
        </w:rPr>
        <w:t>will</w:t>
      </w:r>
      <w:r w:rsidRPr="00862871">
        <w:rPr>
          <w:rFonts w:ascii="Verdana" w:hAnsi="Verdana"/>
          <w:sz w:val="20"/>
          <w:szCs w:val="20"/>
        </w:rPr>
        <w:t xml:space="preserve"> </w:t>
      </w:r>
      <w:r w:rsidR="00172A10">
        <w:rPr>
          <w:rFonts w:ascii="Verdana" w:hAnsi="Verdana"/>
          <w:sz w:val="20"/>
          <w:szCs w:val="20"/>
        </w:rPr>
        <w:t xml:space="preserve">make </w:t>
      </w:r>
      <w:r w:rsidRPr="00862871">
        <w:rPr>
          <w:rFonts w:ascii="Verdana" w:hAnsi="Verdana"/>
          <w:sz w:val="20"/>
          <w:szCs w:val="20"/>
        </w:rPr>
        <w:t xml:space="preserve">today. Disclosure of Interest notifications are required to be made every time Prosus’s shareholding percentage in Tencent crosses over a whole percentage number.   </w:t>
      </w:r>
    </w:p>
    <w:p w14:paraId="0737BBC0" w14:textId="5AC91C00" w:rsidR="00496B63" w:rsidRDefault="00496B63" w:rsidP="00862871">
      <w:pPr>
        <w:pStyle w:val="AODocTxt"/>
        <w:rPr>
          <w:rFonts w:ascii="Verdana" w:hAnsi="Verdana"/>
          <w:sz w:val="20"/>
          <w:szCs w:val="20"/>
        </w:rPr>
      </w:pPr>
      <w:r>
        <w:rPr>
          <w:rFonts w:ascii="Verdana" w:hAnsi="Verdana"/>
          <w:sz w:val="20"/>
          <w:szCs w:val="20"/>
        </w:rPr>
        <w:t>T</w:t>
      </w:r>
      <w:r w:rsidRPr="00496B63">
        <w:rPr>
          <w:rFonts w:ascii="Verdana" w:hAnsi="Verdana"/>
          <w:sz w:val="20"/>
          <w:szCs w:val="20"/>
        </w:rPr>
        <w:t xml:space="preserve">he open-ended </w:t>
      </w:r>
      <w:r>
        <w:rPr>
          <w:rFonts w:ascii="Verdana" w:hAnsi="Verdana"/>
          <w:sz w:val="20"/>
          <w:szCs w:val="20"/>
        </w:rPr>
        <w:t>R</w:t>
      </w:r>
      <w:r w:rsidRPr="00496B63">
        <w:rPr>
          <w:rFonts w:ascii="Verdana" w:hAnsi="Verdana"/>
          <w:sz w:val="20"/>
          <w:szCs w:val="20"/>
        </w:rPr>
        <w:t xml:space="preserve">epurchase </w:t>
      </w:r>
      <w:r>
        <w:rPr>
          <w:rFonts w:ascii="Verdana" w:hAnsi="Verdana"/>
          <w:sz w:val="20"/>
          <w:szCs w:val="20"/>
        </w:rPr>
        <w:t>P</w:t>
      </w:r>
      <w:r w:rsidRPr="00496B63">
        <w:rPr>
          <w:rFonts w:ascii="Verdana" w:hAnsi="Verdana"/>
          <w:sz w:val="20"/>
          <w:szCs w:val="20"/>
        </w:rPr>
        <w:t xml:space="preserve">rogram continues </w:t>
      </w:r>
      <w:r>
        <w:rPr>
          <w:rFonts w:ascii="Verdana" w:hAnsi="Verdana"/>
          <w:sz w:val="20"/>
          <w:szCs w:val="20"/>
        </w:rPr>
        <w:t xml:space="preserve">on the same basis as before </w:t>
      </w:r>
      <w:r w:rsidRPr="00496B63">
        <w:rPr>
          <w:rFonts w:ascii="Verdana" w:hAnsi="Verdana"/>
          <w:sz w:val="20"/>
          <w:szCs w:val="20"/>
        </w:rPr>
        <w:t>with no modifications</w:t>
      </w:r>
      <w:r>
        <w:rPr>
          <w:rFonts w:ascii="Verdana" w:hAnsi="Verdana"/>
          <w:sz w:val="20"/>
          <w:szCs w:val="20"/>
        </w:rPr>
        <w:t xml:space="preserve">.  </w:t>
      </w:r>
    </w:p>
    <w:p w14:paraId="0BE3166C" w14:textId="2B74037E" w:rsidR="005E503D" w:rsidRDefault="00383BC9" w:rsidP="00862871">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604307301"/>
      </w:sdtPr>
      <w:sdtEndPr/>
      <w:sdtContent>
        <w:p w14:paraId="0BE3166D" w14:textId="5C0EB922" w:rsidR="005E503D" w:rsidRDefault="008A7A93">
          <w:pPr>
            <w:pStyle w:val="AODocTxt"/>
            <w:spacing w:before="0"/>
            <w:rPr>
              <w:rFonts w:ascii="Verdana" w:hAnsi="Verdana"/>
              <w:sz w:val="20"/>
              <w:szCs w:val="20"/>
            </w:rPr>
          </w:pPr>
          <w:r>
            <w:rPr>
              <w:rFonts w:ascii="Verdana" w:hAnsi="Verdana"/>
              <w:sz w:val="20"/>
              <w:szCs w:val="20"/>
            </w:rPr>
            <w:t>25</w:t>
          </w:r>
          <w:r w:rsidR="00383BC9">
            <w:rPr>
              <w:rFonts w:ascii="Verdana" w:hAnsi="Verdana"/>
              <w:sz w:val="20"/>
              <w:szCs w:val="20"/>
            </w:rPr>
            <w:t xml:space="preserve"> April 2023</w:t>
          </w:r>
        </w:p>
      </w:sdtContent>
    </w:sdt>
    <w:p w14:paraId="0BE3166E" w14:textId="77777777" w:rsidR="005E503D" w:rsidRDefault="00383BC9">
      <w:pPr>
        <w:pStyle w:val="AODocTxt"/>
        <w:rPr>
          <w:rFonts w:ascii="Verdana" w:hAnsi="Verdana"/>
          <w:sz w:val="20"/>
          <w:szCs w:val="20"/>
        </w:rPr>
      </w:pPr>
      <w:r>
        <w:rPr>
          <w:rFonts w:ascii="Verdana" w:hAnsi="Verdana"/>
          <w:sz w:val="20"/>
          <w:szCs w:val="20"/>
        </w:rPr>
        <w:t>JSE sponsor to Prosus</w:t>
      </w:r>
    </w:p>
    <w:p w14:paraId="0BE3166F" w14:textId="77777777" w:rsidR="005E503D" w:rsidRDefault="00383BC9">
      <w:pPr>
        <w:pStyle w:val="AODocTxt"/>
        <w:spacing w:before="0"/>
        <w:rPr>
          <w:rFonts w:ascii="Verdana" w:hAnsi="Verdana"/>
          <w:sz w:val="20"/>
          <w:szCs w:val="20"/>
        </w:rPr>
      </w:pPr>
      <w:r>
        <w:rPr>
          <w:rFonts w:ascii="Verdana" w:hAnsi="Verdana"/>
          <w:sz w:val="20"/>
          <w:szCs w:val="20"/>
        </w:rPr>
        <w:t>Investec Bank Limited</w:t>
      </w:r>
    </w:p>
    <w:p w14:paraId="0BE31670" w14:textId="77777777" w:rsidR="005E503D" w:rsidRDefault="005E503D">
      <w:pPr>
        <w:suppressAutoHyphens/>
        <w:jc w:val="both"/>
        <w:rPr>
          <w:rFonts w:ascii="Calibri" w:eastAsia="Arial" w:hAnsi="Calibri" w:cs="Calibri"/>
          <w:lang w:eastAsia="en-GB"/>
        </w:rPr>
      </w:pPr>
    </w:p>
    <w:p w14:paraId="0BE31671" w14:textId="77777777" w:rsidR="005E503D" w:rsidRDefault="00383BC9">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91240C" w14:paraId="0BE31675" w14:textId="77777777">
        <w:tc>
          <w:tcPr>
            <w:tcW w:w="4815" w:type="dxa"/>
            <w:tcBorders>
              <w:top w:val="nil"/>
              <w:left w:val="nil"/>
              <w:bottom w:val="nil"/>
              <w:right w:val="nil"/>
            </w:tcBorders>
            <w:shd w:val="clear" w:color="auto" w:fill="auto"/>
            <w:hideMark/>
          </w:tcPr>
          <w:p w14:paraId="0BE31672" w14:textId="77777777" w:rsidR="005E503D" w:rsidRDefault="00383BC9">
            <w:pPr>
              <w:spacing w:after="160" w:line="256" w:lineRule="auto"/>
              <w:jc w:val="both"/>
              <w:textAlignment w:val="baseline"/>
              <w:rPr>
                <w:rFonts w:ascii="Verdana" w:eastAsia="Calibri" w:hAnsi="Verdana"/>
                <w:sz w:val="20"/>
                <w:szCs w:val="20"/>
                <w:lang w:val="en-ZA"/>
              </w:rPr>
            </w:pPr>
            <w:r>
              <w:rPr>
                <w:rFonts w:ascii="Verdana" w:eastAsia="Calibri" w:hAnsi="Verdana"/>
                <w:b/>
                <w:bCs/>
                <w:sz w:val="20"/>
                <w:szCs w:val="20"/>
                <w:lang w:val="en-ZA"/>
              </w:rPr>
              <w:t>Investor Enquiries</w:t>
            </w:r>
            <w:r>
              <w:rPr>
                <w:rFonts w:ascii="Verdana" w:eastAsia="Calibri" w:hAnsi="Verdana"/>
                <w:sz w:val="20"/>
                <w:szCs w:val="20"/>
                <w:lang w:val="en-ZA"/>
              </w:rPr>
              <w:t> </w:t>
            </w:r>
          </w:p>
          <w:p w14:paraId="0BE31673" w14:textId="77777777" w:rsidR="005E503D" w:rsidRDefault="00383BC9">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0BE31674" w14:textId="77777777" w:rsidR="005E503D" w:rsidRDefault="00383BC9">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+1 347-210-4305 </w:t>
            </w:r>
          </w:p>
        </w:tc>
      </w:tr>
      <w:tr w:rsidR="0091240C" w14:paraId="0BE31679" w14:textId="77777777">
        <w:trPr>
          <w:trHeight w:val="110"/>
        </w:trPr>
        <w:tc>
          <w:tcPr>
            <w:tcW w:w="4815" w:type="dxa"/>
            <w:tcBorders>
              <w:top w:val="nil"/>
              <w:left w:val="nil"/>
              <w:bottom w:val="nil"/>
              <w:right w:val="nil"/>
            </w:tcBorders>
            <w:shd w:val="clear" w:color="auto" w:fill="auto"/>
            <w:hideMark/>
          </w:tcPr>
          <w:p w14:paraId="0BE31676" w14:textId="77777777" w:rsidR="005E503D" w:rsidRDefault="00383BC9">
            <w:pPr>
              <w:spacing w:after="160" w:line="256" w:lineRule="auto"/>
              <w:jc w:val="both"/>
              <w:textAlignment w:val="baseline"/>
              <w:rPr>
                <w:rFonts w:ascii="Verdana" w:eastAsia="Calibri" w:hAnsi="Verdana"/>
                <w:sz w:val="20"/>
                <w:szCs w:val="20"/>
                <w:lang w:val="en-ZA"/>
              </w:rPr>
            </w:pPr>
            <w:r>
              <w:rPr>
                <w:rFonts w:ascii="Verdana" w:eastAsia="Calibri" w:hAnsi="Verdana"/>
                <w:b/>
                <w:bCs/>
                <w:sz w:val="20"/>
                <w:szCs w:val="20"/>
                <w:lang w:val="en-ZA"/>
              </w:rPr>
              <w:t>Media Enquiries</w:t>
            </w:r>
            <w:r>
              <w:rPr>
                <w:rFonts w:ascii="Verdana" w:eastAsia="Calibri" w:hAnsi="Verdana"/>
                <w:sz w:val="20"/>
                <w:szCs w:val="20"/>
                <w:lang w:val="en-ZA"/>
              </w:rPr>
              <w:t> </w:t>
            </w:r>
          </w:p>
          <w:p w14:paraId="0BE31677" w14:textId="54D5A45C" w:rsidR="005E503D" w:rsidRDefault="00383BC9">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Charlie Pemberton</w:t>
            </w:r>
            <w:r w:rsidRPr="005B6CB4">
              <w:rPr>
                <w:rFonts w:ascii="Verdana" w:eastAsia="Calibri" w:hAnsi="Verdana"/>
                <w:sz w:val="20"/>
                <w:szCs w:val="20"/>
                <w:lang w:val="en-ZA"/>
              </w:rPr>
              <w:t xml:space="preserve">, </w:t>
            </w:r>
            <w:r>
              <w:rPr>
                <w:rFonts w:ascii="Verdana" w:eastAsia="Calibri" w:hAnsi="Verdana"/>
                <w:sz w:val="20"/>
                <w:szCs w:val="20"/>
                <w:lang w:val="en-ZA"/>
              </w:rPr>
              <w:t>Communications</w:t>
            </w:r>
            <w:r w:rsidRPr="005B6CB4">
              <w:rPr>
                <w:rFonts w:ascii="Verdana" w:eastAsia="Calibri" w:hAnsi="Verdana"/>
                <w:sz w:val="20"/>
                <w:szCs w:val="20"/>
                <w:lang w:val="en-ZA"/>
              </w:rPr>
              <w:t xml:space="preserve"> Director</w:t>
            </w:r>
          </w:p>
        </w:tc>
        <w:tc>
          <w:tcPr>
            <w:tcW w:w="4380" w:type="dxa"/>
            <w:tcBorders>
              <w:top w:val="nil"/>
              <w:left w:val="nil"/>
              <w:bottom w:val="nil"/>
              <w:right w:val="nil"/>
            </w:tcBorders>
            <w:shd w:val="clear" w:color="auto" w:fill="auto"/>
            <w:hideMark/>
          </w:tcPr>
          <w:p w14:paraId="0BE31678" w14:textId="41D19CB6" w:rsidR="005E503D" w:rsidRDefault="00383BC9">
            <w:pPr>
              <w:spacing w:after="160" w:line="256" w:lineRule="auto"/>
              <w:jc w:val="both"/>
              <w:textAlignment w:val="baseline"/>
              <w:rPr>
                <w:rFonts w:ascii="Verdana" w:eastAsia="Calibri" w:hAnsi="Verdana"/>
                <w:sz w:val="20"/>
                <w:szCs w:val="20"/>
                <w:lang w:val="en-ZA"/>
              </w:rPr>
            </w:pPr>
            <w:r w:rsidRPr="005B6CB4">
              <w:rPr>
                <w:rFonts w:ascii="Verdana" w:eastAsia="Calibri" w:hAnsi="Verdana"/>
                <w:sz w:val="20"/>
                <w:szCs w:val="20"/>
                <w:lang w:val="en-ZA"/>
              </w:rPr>
              <w:t>+</w:t>
            </w:r>
            <w:r>
              <w:rPr>
                <w:rFonts w:ascii="Verdana" w:eastAsia="Calibri" w:hAnsi="Verdana"/>
                <w:sz w:val="20"/>
                <w:szCs w:val="20"/>
                <w:lang w:val="en-ZA"/>
              </w:rPr>
              <w:t>31 6 15494359</w:t>
            </w:r>
            <w:r w:rsidRPr="005B6CB4">
              <w:rPr>
                <w:rFonts w:ascii="Verdana" w:eastAsia="Calibri" w:hAnsi="Verdana"/>
                <w:sz w:val="20"/>
                <w:szCs w:val="20"/>
                <w:lang w:val="en-ZA"/>
              </w:rPr>
              <w:t> </w:t>
            </w:r>
          </w:p>
        </w:tc>
      </w:tr>
      <w:bookmarkEnd w:id="0"/>
    </w:tbl>
    <w:p w14:paraId="0BE3167A" w14:textId="77777777" w:rsidR="005E503D" w:rsidRDefault="005E503D">
      <w:pPr>
        <w:suppressAutoHyphens/>
        <w:rPr>
          <w:rFonts w:ascii="Verdana" w:eastAsia="Verdana" w:hAnsi="Verdana" w:cs="Verdana"/>
          <w:b/>
          <w:color w:val="000000"/>
          <w:sz w:val="20"/>
          <w:szCs w:val="20"/>
          <w:lang w:eastAsia="en-GB"/>
        </w:rPr>
      </w:pPr>
    </w:p>
    <w:p w14:paraId="0BE3167B" w14:textId="77777777" w:rsidR="005E503D" w:rsidRDefault="00383BC9">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0BE3167C" w14:textId="77777777" w:rsidR="005E503D" w:rsidRDefault="00383BC9">
      <w:pPr>
        <w:spacing w:after="160" w:line="257" w:lineRule="auto"/>
        <w:jc w:val="both"/>
        <w:rPr>
          <w:rFonts w:ascii="Calibri" w:eastAsia="Calibri" w:hAnsi="Calibri" w:cs="Arial"/>
          <w:color w:val="000000"/>
          <w:sz w:val="16"/>
          <w:szCs w:val="16"/>
          <w:lang w:val="en-US"/>
        </w:rPr>
      </w:pPr>
      <w:bookmarkStart w:id="1" w:name="_Hlk107580844"/>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0BE3167D" w14:textId="77777777" w:rsidR="005E503D" w:rsidRDefault="00383BC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0BE3167E" w14:textId="77777777" w:rsidR="005E503D" w:rsidRDefault="00383BC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Every day, billions of customers use the products and services of companies that Prosus has invested in, acquired or built, including 99minutos, Airmeet, Aruna, AutoTrader, Autovit.ro, Azos, BandLab, Bibit, Bilt, Biome Makers, Borneo, Brainly, BUX, BYJU'S, Bykea, Captain Fresh, Codecademy, Collective Benefits, Creditas, DappRadar, DeHaat, Detect Technologies, dott, EduMe, ElasticRun, eMAG, Endowus, Eruditus, EVERY, Facily, Fashinza, Flink, Foodics, Good Glamm Group, GoodHabitz, GoStudent, Honor, iFood, Imovirtual, Klar, Kovi, LazyPay, letgo, Luno, Mensa Brands, Meesho, merXu, Movile, Oda, OLX, Otodom, OTOMOTO, Oxford Ionics, PaySense, PayU, Pharmeasy, Platzi, Property24, Quick Ride, Red Dot Payment, Republic, Sharebite, Shipper, ShopUp, SoloLearn, Stack Overflow, Standvirtual, Superside, Swiggy, Thndr, Tonik, Ula, Urban Company, Virgio, Vegrow, watchTowr, and Wayflyer.</w:t>
      </w:r>
    </w:p>
    <w:p w14:paraId="0BE3167F" w14:textId="77777777" w:rsidR="005E503D" w:rsidRDefault="00383BC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Hundreds of millions of people have made the platforms of Prosus’s associates a part of their daily lives. For listed companies where we have an interest, please see: Tencent, Delivery Hero, Remitly, Trip.com, Udemy, Skillsoft, and SimilarWeb.</w:t>
      </w:r>
    </w:p>
    <w:p w14:paraId="0BE31680" w14:textId="77777777" w:rsidR="005E503D" w:rsidRDefault="00383BC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0BE31681" w14:textId="77777777" w:rsidR="005E503D" w:rsidRDefault="00383BC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0BE31682" w14:textId="77777777" w:rsidR="005E503D" w:rsidRDefault="00383BC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0BE31683" w14:textId="77777777" w:rsidR="005E503D" w:rsidRDefault="00383BC9">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BE31684" w14:textId="77777777" w:rsidR="005E503D" w:rsidRDefault="00383BC9">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programmes and stabilisation measures (the “Delegated Regulation”). This document is issued in connection with the disclosure and reporting obligation set out in Article 2(1) of the Delegated Regulation.</w:t>
      </w:r>
    </w:p>
    <w:p w14:paraId="0BE31685" w14:textId="77777777" w:rsidR="005E503D" w:rsidRDefault="00383BC9">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0BE31686" w14:textId="77777777" w:rsidR="005E503D" w:rsidRDefault="00383BC9">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BE31687" w14:textId="77777777" w:rsidR="005E503D" w:rsidRDefault="00383BC9">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0BE31688" w14:textId="77777777" w:rsidR="005E503D" w:rsidRDefault="00383BC9">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1"/>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0B21A" w14:textId="77777777" w:rsidR="0074539A" w:rsidRDefault="00383BC9">
      <w:r>
        <w:separator/>
      </w:r>
    </w:p>
  </w:endnote>
  <w:endnote w:type="continuationSeparator" w:id="0">
    <w:p w14:paraId="74E685B6" w14:textId="77777777" w:rsidR="0074539A" w:rsidRDefault="00383BC9">
      <w:r>
        <w:continuationSeparator/>
      </w:r>
    </w:p>
  </w:endnote>
  <w:endnote w:type="continuationNotice" w:id="1">
    <w:p w14:paraId="0C3D5536" w14:textId="77777777" w:rsidR="00A32382" w:rsidRDefault="00A32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44761"/>
      <w:docPartObj>
        <w:docPartGallery w:val="Page Numbers (Bottom of Page)"/>
        <w:docPartUnique/>
      </w:docPartObj>
    </w:sdtPr>
    <w:sdtEndPr>
      <w:rPr>
        <w:noProof/>
      </w:rPr>
    </w:sdtEndPr>
    <w:sdtContent>
      <w:p w14:paraId="0BE3168D" w14:textId="77777777" w:rsidR="005E503D" w:rsidRDefault="00383BC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C921" w14:textId="77777777" w:rsidR="0074539A" w:rsidRDefault="00383BC9">
      <w:r>
        <w:separator/>
      </w:r>
    </w:p>
  </w:footnote>
  <w:footnote w:type="continuationSeparator" w:id="0">
    <w:p w14:paraId="43A34E01" w14:textId="77777777" w:rsidR="0074539A" w:rsidRDefault="00383BC9">
      <w:r>
        <w:continuationSeparator/>
      </w:r>
    </w:p>
  </w:footnote>
  <w:footnote w:type="continuationNotice" w:id="1">
    <w:p w14:paraId="1F8F1D1D" w14:textId="77777777" w:rsidR="00A32382" w:rsidRDefault="00A323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BEAC6168">
      <w:start w:val="1"/>
      <w:numFmt w:val="bullet"/>
      <w:lvlText w:val=""/>
      <w:lvlJc w:val="left"/>
      <w:pPr>
        <w:ind w:left="720" w:hanging="360"/>
      </w:pPr>
      <w:rPr>
        <w:rFonts w:ascii="Symbol" w:hAnsi="Symbol" w:hint="default"/>
      </w:rPr>
    </w:lvl>
    <w:lvl w:ilvl="1" w:tplc="61A8CD0E" w:tentative="1">
      <w:start w:val="1"/>
      <w:numFmt w:val="bullet"/>
      <w:lvlText w:val="o"/>
      <w:lvlJc w:val="left"/>
      <w:pPr>
        <w:ind w:left="1440" w:hanging="360"/>
      </w:pPr>
      <w:rPr>
        <w:rFonts w:ascii="Courier New" w:hAnsi="Courier New" w:cs="Courier New" w:hint="default"/>
      </w:rPr>
    </w:lvl>
    <w:lvl w:ilvl="2" w:tplc="44468BD8" w:tentative="1">
      <w:start w:val="1"/>
      <w:numFmt w:val="bullet"/>
      <w:lvlText w:val=""/>
      <w:lvlJc w:val="left"/>
      <w:pPr>
        <w:ind w:left="2160" w:hanging="360"/>
      </w:pPr>
      <w:rPr>
        <w:rFonts w:ascii="Wingdings" w:hAnsi="Wingdings" w:hint="default"/>
      </w:rPr>
    </w:lvl>
    <w:lvl w:ilvl="3" w:tplc="6510AB24" w:tentative="1">
      <w:start w:val="1"/>
      <w:numFmt w:val="bullet"/>
      <w:lvlText w:val=""/>
      <w:lvlJc w:val="left"/>
      <w:pPr>
        <w:ind w:left="2880" w:hanging="360"/>
      </w:pPr>
      <w:rPr>
        <w:rFonts w:ascii="Symbol" w:hAnsi="Symbol" w:hint="default"/>
      </w:rPr>
    </w:lvl>
    <w:lvl w:ilvl="4" w:tplc="37AE9F3A" w:tentative="1">
      <w:start w:val="1"/>
      <w:numFmt w:val="bullet"/>
      <w:lvlText w:val="o"/>
      <w:lvlJc w:val="left"/>
      <w:pPr>
        <w:ind w:left="3600" w:hanging="360"/>
      </w:pPr>
      <w:rPr>
        <w:rFonts w:ascii="Courier New" w:hAnsi="Courier New" w:cs="Courier New" w:hint="default"/>
      </w:rPr>
    </w:lvl>
    <w:lvl w:ilvl="5" w:tplc="F16E8A0A" w:tentative="1">
      <w:start w:val="1"/>
      <w:numFmt w:val="bullet"/>
      <w:lvlText w:val=""/>
      <w:lvlJc w:val="left"/>
      <w:pPr>
        <w:ind w:left="4320" w:hanging="360"/>
      </w:pPr>
      <w:rPr>
        <w:rFonts w:ascii="Wingdings" w:hAnsi="Wingdings" w:hint="default"/>
      </w:rPr>
    </w:lvl>
    <w:lvl w:ilvl="6" w:tplc="0786EBBE" w:tentative="1">
      <w:start w:val="1"/>
      <w:numFmt w:val="bullet"/>
      <w:lvlText w:val=""/>
      <w:lvlJc w:val="left"/>
      <w:pPr>
        <w:ind w:left="5040" w:hanging="360"/>
      </w:pPr>
      <w:rPr>
        <w:rFonts w:ascii="Symbol" w:hAnsi="Symbol" w:hint="default"/>
      </w:rPr>
    </w:lvl>
    <w:lvl w:ilvl="7" w:tplc="6A98E98E" w:tentative="1">
      <w:start w:val="1"/>
      <w:numFmt w:val="bullet"/>
      <w:lvlText w:val="o"/>
      <w:lvlJc w:val="left"/>
      <w:pPr>
        <w:ind w:left="5760" w:hanging="360"/>
      </w:pPr>
      <w:rPr>
        <w:rFonts w:ascii="Courier New" w:hAnsi="Courier New" w:cs="Courier New" w:hint="default"/>
      </w:rPr>
    </w:lvl>
    <w:lvl w:ilvl="8" w:tplc="7684208A"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40C"/>
    <w:rsid w:val="00143669"/>
    <w:rsid w:val="00172A10"/>
    <w:rsid w:val="00383BC9"/>
    <w:rsid w:val="00496B63"/>
    <w:rsid w:val="005E503D"/>
    <w:rsid w:val="0074539A"/>
    <w:rsid w:val="00862871"/>
    <w:rsid w:val="00893395"/>
    <w:rsid w:val="008A6B0A"/>
    <w:rsid w:val="008A7A93"/>
    <w:rsid w:val="0091240C"/>
    <w:rsid w:val="00A32382"/>
    <w:rsid w:val="00C72DBD"/>
    <w:rsid w:val="00CC2585"/>
    <w:rsid w:val="00DD2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936551">
      <w:bodyDiv w:val="1"/>
      <w:marLeft w:val="0"/>
      <w:marRight w:val="0"/>
      <w:marTop w:val="0"/>
      <w:marBottom w:val="0"/>
      <w:divBdr>
        <w:top w:val="none" w:sz="0" w:space="0" w:color="auto"/>
        <w:left w:val="none" w:sz="0" w:space="0" w:color="auto"/>
        <w:bottom w:val="none" w:sz="0" w:space="0" w:color="auto"/>
        <w:right w:val="none" w:sz="0" w:space="0" w:color="auto"/>
      </w:divBdr>
      <w:divsChild>
        <w:div w:id="537395699">
          <w:marLeft w:val="0"/>
          <w:marRight w:val="0"/>
          <w:marTop w:val="0"/>
          <w:marBottom w:val="0"/>
          <w:divBdr>
            <w:top w:val="none" w:sz="0" w:space="0" w:color="auto"/>
            <w:left w:val="none" w:sz="0" w:space="0" w:color="auto"/>
            <w:bottom w:val="none" w:sz="0" w:space="0" w:color="auto"/>
            <w:right w:val="none" w:sz="0" w:space="0" w:color="auto"/>
          </w:divBdr>
        </w:div>
        <w:div w:id="1243294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10.34622.1"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6" ma:contentTypeDescription="Create a new document." ma:contentTypeScope="" ma:versionID="a03eb80941f803d172a6418420c95ac8">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e66a8292eb05a86d7fbf78feb4937e25"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1CF2B-5E61-4AB4-9AAE-5165A86281E0}">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10287-2C83-452D-AD9B-1C8DA5D80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Prosus - Buyback announcement - 3 April 2023 - 6 April 2023</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April 2023 - 6 April 2023</dc:title>
  <cp:lastModifiedBy>Pieter Carnelley</cp:lastModifiedBy>
  <cp:revision>10</cp:revision>
  <dcterms:created xsi:type="dcterms:W3CDTF">2023-04-11T10:48:00Z</dcterms:created>
  <dcterms:modified xsi:type="dcterms:W3CDTF">2023-04-25T12:49:00Z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AAAAAAAJMWI=</vt:lpwstr>
  </property>
  <property fmtid="{D5CDD505-2E9C-101B-9397-08002B2CF9AE}" pid="4" name="db_document_id">
    <vt:lpwstr>9747</vt:lpwstr>
  </property>
  <property fmtid="{D5CDD505-2E9C-101B-9397-08002B2CF9AE}" pid="5" name="MediaServiceImageTags">
    <vt:lpwstr/>
  </property>
</Properties>
</file>