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3165E" w14:textId="77777777" w:rsidR="005E503D" w:rsidRDefault="00D90A85">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D90A85">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D90A85">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D90A85">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D90A85">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D90A85">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5" w14:textId="4FEEAD13" w:rsidR="005E503D" w:rsidRDefault="00D90A85" w:rsidP="004F3B72">
      <w:pPr>
        <w:pStyle w:val="AODocTxt"/>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 xml:space="preserve">the open-ended, repurchase </w:t>
      </w:r>
      <w:r>
        <w:rPr>
          <w:rFonts w:ascii="Verdana" w:hAnsi="Verdana"/>
          <w:sz w:val="20"/>
          <w:szCs w:val="20"/>
        </w:rPr>
        <w:t>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w:t>
      </w:r>
      <w:r>
        <w:rPr>
          <w:rFonts w:ascii="Verdana" w:hAnsi="Verdana"/>
          <w:sz w:val="20"/>
          <w:szCs w:val="20"/>
        </w:rPr>
        <w:t>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0BE31667" w14:textId="024621F1" w:rsidR="005E503D" w:rsidRPr="004F3B72" w:rsidRDefault="00D90A85" w:rsidP="004F3B72">
      <w:pPr>
        <w:pStyle w:val="AODocTxt"/>
        <w:rPr>
          <w:rFonts w:ascii="Verdana" w:hAnsi="Verdana"/>
          <w:sz w:val="20"/>
          <w:szCs w:val="20"/>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1410902939"/>
        </w:sdtPr>
        <w:sdtEndPr/>
        <w:sdtContent>
          <w:r>
            <w:rPr>
              <w:rFonts w:ascii="Verdana" w:hAnsi="Verdana"/>
              <w:sz w:val="20"/>
              <w:szCs w:val="20"/>
            </w:rPr>
            <w:t>24 April 2023</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1051142305"/>
        </w:sdtPr>
        <w:sdtEndPr/>
        <w:sdtContent>
          <w:r>
            <w:rPr>
              <w:rFonts w:ascii="Verdana" w:hAnsi="Verdana"/>
              <w:sz w:val="20"/>
              <w:szCs w:val="20"/>
            </w:rPr>
            <w:t>28 April 2023</w:t>
          </w:r>
        </w:sdtContent>
      </w:sdt>
      <w:r>
        <w:rPr>
          <w:rFonts w:ascii="Verdana" w:hAnsi="Verdana"/>
          <w:sz w:val="20"/>
          <w:szCs w:val="20"/>
        </w:rPr>
        <w:t xml:space="preserve">, Prosus repurchased </w:t>
      </w:r>
      <w:sdt>
        <w:sdtPr>
          <w:rPr>
            <w:rFonts w:ascii="Verdana" w:hAnsi="Verdana"/>
            <w:sz w:val="20"/>
            <w:szCs w:val="20"/>
          </w:rPr>
          <w:alias w:val="Contract Express"/>
          <w:tag w:val="d=ProsusSharesRepurchaseNumber%20Format%20%22thousands%22&amp;r="/>
          <w:id w:val="41000588"/>
        </w:sdtPr>
        <w:sdtEndPr/>
        <w:sdtContent>
          <w:r>
            <w:rPr>
              <w:rFonts w:ascii="Verdana" w:hAnsi="Verdana"/>
              <w:sz w:val="20"/>
              <w:szCs w:val="20"/>
            </w:rPr>
            <w:t>2,439,269</w:t>
          </w:r>
        </w:sdtContent>
      </w:sdt>
      <w:r>
        <w:rPr>
          <w:rFonts w:ascii="Verdana" w:hAnsi="Verdana"/>
          <w:sz w:val="20"/>
          <w:szCs w:val="20"/>
        </w:rPr>
        <w:t xml:space="preserve"> Prosus Shares at an average price of €</w:t>
      </w:r>
      <w:sdt>
        <w:sdtPr>
          <w:rPr>
            <w:rFonts w:ascii="Verdana" w:hAnsi="Verdana"/>
            <w:sz w:val="20"/>
            <w:szCs w:val="20"/>
          </w:rPr>
          <w:alias w:val="Contract Express"/>
          <w:tag w:val="d=ProsusAverageSharePrice%20Format%20%22thousands%22&amp;r="/>
          <w:id w:val="969468673"/>
        </w:sdtPr>
        <w:sdtEndPr/>
        <w:sdtContent>
          <w:r>
            <w:rPr>
              <w:rFonts w:ascii="Verdana" w:hAnsi="Verdana"/>
              <w:sz w:val="20"/>
              <w:szCs w:val="20"/>
            </w:rPr>
            <w:t>67.0866</w:t>
          </w:r>
        </w:sdtContent>
      </w:sdt>
      <w:r>
        <w:rPr>
          <w:rFonts w:ascii="Verdana" w:hAnsi="Verdana"/>
          <w:sz w:val="20"/>
          <w:szCs w:val="20"/>
        </w:rPr>
        <w:t xml:space="preserve"> per share for a total</w:t>
      </w:r>
      <w:r>
        <w:rPr>
          <w:rFonts w:ascii="Verdana" w:hAnsi="Verdana"/>
          <w:sz w:val="20"/>
          <w:szCs w:val="20"/>
        </w:rPr>
        <w:t xml:space="preserve"> consideration of €</w:t>
      </w:r>
      <w:sdt>
        <w:sdtPr>
          <w:rPr>
            <w:rFonts w:ascii="Verdana" w:hAnsi="Verdana"/>
            <w:sz w:val="20"/>
            <w:szCs w:val="20"/>
          </w:rPr>
          <w:alias w:val="Contract Express"/>
          <w:tag w:val="d=int%28ProsusSharesTotalConsiderationEuros%29%20Format%20%22thousands%22&amp;r="/>
          <w:id w:val="86335806"/>
        </w:sdtPr>
        <w:sdtEndPr/>
        <w:sdtContent>
          <w:r>
            <w:rPr>
              <w:rFonts w:ascii="Verdana" w:hAnsi="Verdana"/>
              <w:sz w:val="20"/>
              <w:szCs w:val="20"/>
            </w:rPr>
            <w:t>163,642,147</w:t>
          </w:r>
        </w:sdtContent>
      </w:sdt>
      <w:r>
        <w:rPr>
          <w:rFonts w:ascii="Verdana" w:hAnsi="Verdana"/>
          <w:sz w:val="20"/>
          <w:szCs w:val="20"/>
        </w:rPr>
        <w:t xml:space="preserve"> (US$</w:t>
      </w:r>
      <w:sdt>
        <w:sdtPr>
          <w:rPr>
            <w:rFonts w:ascii="Verdana" w:hAnsi="Verdana"/>
            <w:sz w:val="20"/>
            <w:szCs w:val="20"/>
          </w:rPr>
          <w:alias w:val="Contract Express"/>
          <w:tag w:val="d=int%28ProsusSharesTotalConsiderationDollar%29%20Format%20%22thousands%22&amp;r="/>
          <w:id w:val="1266732622"/>
        </w:sdtPr>
        <w:sdtEndPr/>
        <w:sdtContent>
          <w:r>
            <w:rPr>
              <w:rFonts w:ascii="Verdana" w:hAnsi="Verdana"/>
              <w:sz w:val="20"/>
              <w:szCs w:val="20"/>
            </w:rPr>
            <w:t>180,304,686</w:t>
          </w:r>
        </w:sdtContent>
      </w:sdt>
      <w:r>
        <w:rPr>
          <w:rFonts w:ascii="Verdana" w:hAnsi="Verdana"/>
          <w:sz w:val="20"/>
          <w:szCs w:val="20"/>
        </w:rPr>
        <w:t xml:space="preserve">). </w:t>
      </w:r>
    </w:p>
    <w:p w14:paraId="0BE3166B" w14:textId="24EC67E3" w:rsidR="005E503D" w:rsidRDefault="00D90A85" w:rsidP="004F3B72">
      <w:pPr>
        <w:pStyle w:val="AODocTxt"/>
        <w:jc w:val="left"/>
        <w:rPr>
          <w:rFonts w:ascii="Verdana" w:hAnsi="Verdana"/>
          <w:sz w:val="20"/>
          <w:szCs w:val="20"/>
        </w:rPr>
      </w:pPr>
      <w:r>
        <w:rPr>
          <w:rFonts w:ascii="Verdana" w:hAnsi="Verdana"/>
          <w:sz w:val="20"/>
          <w:szCs w:val="20"/>
        </w:rPr>
        <w:t>M</w:t>
      </w:r>
      <w:r>
        <w:rPr>
          <w:rFonts w:ascii="Verdana" w:hAnsi="Verdana"/>
          <w:sz w:val="20"/>
          <w:szCs w:val="20"/>
        </w:rPr>
        <w:t>ore information on the Repurchase Programme is available on</w:t>
      </w:r>
      <w:r w:rsidR="004F3B72">
        <w:rPr>
          <w:rFonts w:ascii="Verdana" w:hAnsi="Verdana"/>
          <w:sz w:val="20"/>
          <w:szCs w:val="20"/>
        </w:rPr>
        <w:t>:</w:t>
      </w:r>
      <w:r w:rsidR="004F3B72">
        <w:rPr>
          <w:rFonts w:ascii="Verdana" w:hAnsi="Verdana"/>
          <w:sz w:val="20"/>
          <w:szCs w:val="20"/>
        </w:rPr>
        <w:br/>
      </w:r>
      <w:r>
        <w:rPr>
          <w:rFonts w:ascii="Verdana" w:hAnsi="Verdana"/>
          <w:sz w:val="20"/>
          <w:szCs w:val="20"/>
        </w:rPr>
        <w:t>www.prosus.com/news/investors-shareholder-information/.</w:t>
      </w:r>
    </w:p>
    <w:p w14:paraId="0BE3166C" w14:textId="77777777" w:rsidR="005E503D" w:rsidRDefault="00D90A85">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740069205"/>
      </w:sdtPr>
      <w:sdtEndPr/>
      <w:sdtContent>
        <w:p w14:paraId="0BE3166D" w14:textId="77777777" w:rsidR="005E503D" w:rsidRDefault="00D90A85">
          <w:pPr>
            <w:pStyle w:val="AODocTxt"/>
            <w:spacing w:before="0"/>
            <w:rPr>
              <w:rFonts w:ascii="Verdana" w:hAnsi="Verdana"/>
              <w:sz w:val="20"/>
              <w:szCs w:val="20"/>
            </w:rPr>
          </w:pPr>
          <w:r>
            <w:rPr>
              <w:rFonts w:ascii="Verdana" w:hAnsi="Verdana"/>
              <w:sz w:val="20"/>
              <w:szCs w:val="20"/>
            </w:rPr>
            <w:t>2 May 2023</w:t>
          </w:r>
        </w:p>
      </w:sdtContent>
    </w:sdt>
    <w:p w14:paraId="0BE3166E" w14:textId="77777777" w:rsidR="005E503D" w:rsidRDefault="00D90A85">
      <w:pPr>
        <w:pStyle w:val="AODocTxt"/>
        <w:rPr>
          <w:rFonts w:ascii="Verdana" w:hAnsi="Verdana"/>
          <w:sz w:val="20"/>
          <w:szCs w:val="20"/>
        </w:rPr>
      </w:pPr>
      <w:r>
        <w:rPr>
          <w:rFonts w:ascii="Verdana" w:hAnsi="Verdana"/>
          <w:sz w:val="20"/>
          <w:szCs w:val="20"/>
        </w:rPr>
        <w:t>JSE sponsor to Prosus</w:t>
      </w:r>
    </w:p>
    <w:p w14:paraId="0BE3166F" w14:textId="77777777" w:rsidR="005E503D" w:rsidRDefault="00D90A85">
      <w:pPr>
        <w:pStyle w:val="AODocTxt"/>
        <w:spacing w:before="0"/>
        <w:rPr>
          <w:rFonts w:ascii="Verdana" w:hAnsi="Verdana"/>
          <w:sz w:val="20"/>
          <w:szCs w:val="20"/>
        </w:rPr>
      </w:pPr>
      <w:r>
        <w:rPr>
          <w:rFonts w:ascii="Verdana" w:hAnsi="Verdana"/>
          <w:sz w:val="20"/>
          <w:szCs w:val="20"/>
        </w:rPr>
        <w:t>Investec Bank Limited</w:t>
      </w:r>
    </w:p>
    <w:p w14:paraId="0BE31670" w14:textId="77777777" w:rsidR="005E503D" w:rsidRDefault="005E503D">
      <w:pPr>
        <w:suppressAutoHyphens/>
        <w:jc w:val="both"/>
        <w:rPr>
          <w:rFonts w:ascii="Calibri" w:eastAsia="Arial" w:hAnsi="Calibri" w:cs="Calibri"/>
          <w:lang w:eastAsia="en-GB"/>
        </w:rPr>
      </w:pPr>
    </w:p>
    <w:p w14:paraId="0BE31671" w14:textId="77777777" w:rsidR="005E503D" w:rsidRDefault="00D90A85">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F3164E" w14:paraId="0BE31675" w14:textId="77777777">
        <w:tc>
          <w:tcPr>
            <w:tcW w:w="4815" w:type="dxa"/>
            <w:tcBorders>
              <w:top w:val="nil"/>
              <w:left w:val="nil"/>
              <w:bottom w:val="nil"/>
              <w:right w:val="nil"/>
            </w:tcBorders>
            <w:shd w:val="clear" w:color="auto" w:fill="auto"/>
            <w:hideMark/>
          </w:tcPr>
          <w:p w14:paraId="0BE31672" w14:textId="77777777" w:rsidR="005E503D" w:rsidRDefault="00D90A85">
            <w:pPr>
              <w:spacing w:after="160" w:line="256" w:lineRule="auto"/>
              <w:jc w:val="both"/>
              <w:textAlignment w:val="baseline"/>
              <w:rPr>
                <w:rFonts w:ascii="Verdana" w:eastAsia="Calibri" w:hAnsi="Verdana"/>
                <w:sz w:val="20"/>
                <w:szCs w:val="20"/>
                <w:lang w:val="en-ZA"/>
              </w:rPr>
            </w:pPr>
            <w:r>
              <w:rPr>
                <w:rFonts w:ascii="Verdana" w:eastAsia="Calibri" w:hAnsi="Verdana"/>
                <w:b/>
                <w:bCs/>
                <w:sz w:val="20"/>
                <w:szCs w:val="20"/>
                <w:lang w:val="en-ZA"/>
              </w:rPr>
              <w:t>Investor Enquiries</w:t>
            </w:r>
            <w:r>
              <w:rPr>
                <w:rFonts w:ascii="Verdana" w:eastAsia="Calibri" w:hAnsi="Verdana"/>
                <w:sz w:val="20"/>
                <w:szCs w:val="20"/>
                <w:lang w:val="en-ZA"/>
              </w:rPr>
              <w:t> </w:t>
            </w:r>
          </w:p>
          <w:p w14:paraId="0BE31673" w14:textId="77777777" w:rsidR="005E503D" w:rsidRDefault="00D90A85">
            <w:pPr>
              <w:spacing w:after="160" w:line="256" w:lineRule="auto"/>
              <w:jc w:val="both"/>
              <w:textAlignment w:val="baseline"/>
              <w:rPr>
                <w:rFonts w:ascii="Verdana" w:eastAsia="Calibri" w:hAnsi="Verdana"/>
                <w:sz w:val="20"/>
                <w:szCs w:val="20"/>
                <w:lang w:val="en-ZA"/>
              </w:rPr>
            </w:pPr>
            <w:r>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0BE31674" w14:textId="77777777" w:rsidR="005E503D" w:rsidRDefault="00D90A85">
            <w:pPr>
              <w:spacing w:after="160" w:line="256" w:lineRule="auto"/>
              <w:jc w:val="both"/>
              <w:textAlignment w:val="baseline"/>
              <w:rPr>
                <w:rFonts w:ascii="Verdana" w:eastAsia="Calibri" w:hAnsi="Verdana"/>
                <w:sz w:val="20"/>
                <w:szCs w:val="20"/>
                <w:lang w:val="en-ZA"/>
              </w:rPr>
            </w:pPr>
            <w:r>
              <w:rPr>
                <w:rFonts w:ascii="Verdana" w:eastAsia="Calibri" w:hAnsi="Verdana"/>
                <w:sz w:val="20"/>
                <w:szCs w:val="20"/>
                <w:lang w:val="en-ZA"/>
              </w:rPr>
              <w:t>+1 347-210-4305 </w:t>
            </w:r>
          </w:p>
        </w:tc>
      </w:tr>
      <w:tr w:rsidR="00732ABE" w14:paraId="0BE31679" w14:textId="77777777">
        <w:trPr>
          <w:trHeight w:val="110"/>
        </w:trPr>
        <w:tc>
          <w:tcPr>
            <w:tcW w:w="4815" w:type="dxa"/>
            <w:tcBorders>
              <w:top w:val="nil"/>
              <w:left w:val="nil"/>
              <w:bottom w:val="nil"/>
              <w:right w:val="nil"/>
            </w:tcBorders>
            <w:shd w:val="clear" w:color="auto" w:fill="auto"/>
            <w:hideMark/>
          </w:tcPr>
          <w:p w14:paraId="2FD5B990" w14:textId="77777777" w:rsidR="00732ABE" w:rsidRDefault="00732ABE" w:rsidP="00732ABE">
            <w:pPr>
              <w:spacing w:after="160" w:line="256" w:lineRule="auto"/>
              <w:jc w:val="both"/>
              <w:textAlignment w:val="baseline"/>
              <w:rPr>
                <w:rFonts w:ascii="Verdana" w:eastAsia="Calibri" w:hAnsi="Verdana"/>
                <w:sz w:val="20"/>
                <w:szCs w:val="20"/>
                <w:lang w:val="en-ZA"/>
              </w:rPr>
            </w:pPr>
            <w:r>
              <w:rPr>
                <w:rFonts w:ascii="Verdana" w:eastAsia="Calibri" w:hAnsi="Verdana"/>
                <w:b/>
                <w:bCs/>
                <w:sz w:val="20"/>
                <w:szCs w:val="20"/>
                <w:lang w:val="en-ZA"/>
              </w:rPr>
              <w:t>Media Enquiries</w:t>
            </w:r>
            <w:r>
              <w:rPr>
                <w:rFonts w:ascii="Verdana" w:eastAsia="Calibri" w:hAnsi="Verdana"/>
                <w:sz w:val="20"/>
                <w:szCs w:val="20"/>
                <w:lang w:val="en-ZA"/>
              </w:rPr>
              <w:t> </w:t>
            </w:r>
          </w:p>
          <w:p w14:paraId="0BE31677" w14:textId="353C8B40" w:rsidR="00732ABE" w:rsidRDefault="00732ABE" w:rsidP="00732ABE">
            <w:pPr>
              <w:spacing w:after="160" w:line="256" w:lineRule="auto"/>
              <w:jc w:val="both"/>
              <w:textAlignment w:val="baseline"/>
              <w:rPr>
                <w:rFonts w:ascii="Verdana" w:eastAsia="Calibri" w:hAnsi="Verdana"/>
                <w:sz w:val="20"/>
                <w:szCs w:val="20"/>
                <w:lang w:val="en-ZA"/>
              </w:rPr>
            </w:pPr>
            <w:r>
              <w:rPr>
                <w:rFonts w:ascii="Verdana" w:eastAsia="Calibri" w:hAnsi="Verdana"/>
                <w:sz w:val="20"/>
                <w:szCs w:val="20"/>
                <w:lang w:val="en-ZA"/>
              </w:rPr>
              <w:t>Charlie Pemberton</w:t>
            </w:r>
            <w:r w:rsidRPr="005B6CB4">
              <w:rPr>
                <w:rFonts w:ascii="Verdana" w:eastAsia="Calibri" w:hAnsi="Verdana"/>
                <w:sz w:val="20"/>
                <w:szCs w:val="20"/>
                <w:lang w:val="en-ZA"/>
              </w:rPr>
              <w:t xml:space="preserve">, </w:t>
            </w:r>
            <w:r>
              <w:rPr>
                <w:rFonts w:ascii="Verdana" w:eastAsia="Calibri" w:hAnsi="Verdana"/>
                <w:sz w:val="20"/>
                <w:szCs w:val="20"/>
                <w:lang w:val="en-ZA"/>
              </w:rPr>
              <w:t>Communications</w:t>
            </w:r>
            <w:r w:rsidRPr="005B6CB4">
              <w:rPr>
                <w:rFonts w:ascii="Verdana" w:eastAsia="Calibri" w:hAnsi="Verdana"/>
                <w:sz w:val="20"/>
                <w:szCs w:val="20"/>
                <w:lang w:val="en-ZA"/>
              </w:rPr>
              <w:t xml:space="preserve"> Director</w:t>
            </w:r>
          </w:p>
        </w:tc>
        <w:tc>
          <w:tcPr>
            <w:tcW w:w="4380" w:type="dxa"/>
            <w:tcBorders>
              <w:top w:val="nil"/>
              <w:left w:val="nil"/>
              <w:bottom w:val="nil"/>
              <w:right w:val="nil"/>
            </w:tcBorders>
            <w:shd w:val="clear" w:color="auto" w:fill="auto"/>
            <w:hideMark/>
          </w:tcPr>
          <w:p w14:paraId="0BE31678" w14:textId="7A3F7E5F" w:rsidR="00732ABE" w:rsidRDefault="00732ABE" w:rsidP="00732ABE">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w:t>
            </w:r>
            <w:r>
              <w:rPr>
                <w:rFonts w:ascii="Verdana" w:eastAsia="Calibri" w:hAnsi="Verdana"/>
                <w:sz w:val="20"/>
                <w:szCs w:val="20"/>
                <w:lang w:val="en-ZA"/>
              </w:rPr>
              <w:t>31 6 15494359</w:t>
            </w:r>
            <w:r w:rsidRPr="005B6CB4">
              <w:rPr>
                <w:rFonts w:ascii="Verdana" w:eastAsia="Calibri" w:hAnsi="Verdana"/>
                <w:sz w:val="20"/>
                <w:szCs w:val="20"/>
                <w:lang w:val="en-ZA"/>
              </w:rPr>
              <w:t> </w:t>
            </w:r>
          </w:p>
        </w:tc>
      </w:tr>
      <w:bookmarkEnd w:id="2"/>
    </w:tbl>
    <w:p w14:paraId="0BE3167A" w14:textId="77777777" w:rsidR="005E503D" w:rsidRDefault="005E503D">
      <w:pPr>
        <w:suppressAutoHyphens/>
        <w:rPr>
          <w:rFonts w:ascii="Verdana" w:eastAsia="Verdana" w:hAnsi="Verdana" w:cs="Verdana"/>
          <w:b/>
          <w:color w:val="000000"/>
          <w:sz w:val="20"/>
          <w:szCs w:val="20"/>
          <w:lang w:eastAsia="en-GB"/>
        </w:rPr>
      </w:pPr>
    </w:p>
    <w:p w14:paraId="0BE3167B" w14:textId="77777777" w:rsidR="005E503D" w:rsidRDefault="00D90A85">
      <w:pPr>
        <w:spacing w:after="160" w:line="256"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About Prosus</w:t>
      </w:r>
    </w:p>
    <w:p w14:paraId="0BE3167C" w14:textId="77777777" w:rsidR="005E503D" w:rsidRDefault="00D90A85">
      <w:pPr>
        <w:spacing w:after="160" w:line="257" w:lineRule="auto"/>
        <w:jc w:val="both"/>
        <w:rPr>
          <w:rFonts w:ascii="Calibri" w:eastAsia="Calibri" w:hAnsi="Calibri" w:cs="Arial"/>
          <w:color w:val="000000"/>
          <w:sz w:val="16"/>
          <w:szCs w:val="16"/>
          <w:lang w:val="en-US"/>
        </w:rPr>
      </w:pPr>
      <w:bookmarkStart w:id="3" w:name="_Hlk107580844"/>
      <w:r>
        <w:rPr>
          <w:rFonts w:ascii="Calibri" w:eastAsia="Calibri" w:hAnsi="Calibri" w:cs="Arial"/>
          <w:color w:val="000000"/>
          <w:sz w:val="16"/>
          <w:szCs w:val="16"/>
          <w:lang w:val="en-US"/>
        </w:rPr>
        <w:t>Prosus is a global consumer internet group and one of the largest technology investors in the world. Operating and investing globally in markets with long-term growth potential, Prosus builds leading consumer internet companies that empower people and enri</w:t>
      </w:r>
      <w:r>
        <w:rPr>
          <w:rFonts w:ascii="Calibri" w:eastAsia="Calibri" w:hAnsi="Calibri" w:cs="Arial"/>
          <w:color w:val="000000"/>
          <w:sz w:val="16"/>
          <w:szCs w:val="16"/>
          <w:lang w:val="en-US"/>
        </w:rPr>
        <w:t>ch communities.</w:t>
      </w:r>
    </w:p>
    <w:p w14:paraId="0BE3167D" w14:textId="77777777" w:rsidR="005E503D" w:rsidRDefault="00D90A85">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group is focused on building meaningful businesses in the online classifieds, food delivery, payments and fintech, and education technology sectors in markets including India and Brazil. Through its ventures team, Prosus invests in area</w:t>
      </w:r>
      <w:r>
        <w:rPr>
          <w:rFonts w:ascii="Calibri" w:eastAsia="Calibri" w:hAnsi="Calibri" w:cs="Arial"/>
          <w:color w:val="000000"/>
          <w:sz w:val="16"/>
          <w:szCs w:val="16"/>
          <w:lang w:val="en-US"/>
        </w:rPr>
        <w:t>s including health, logistics, blockchain, and social commerce. Prosus actively seeks new opportunities to partner with exceptional entrepreneurs using technology to improve people’s everyday lives.</w:t>
      </w:r>
    </w:p>
    <w:p w14:paraId="0BE3167E" w14:textId="77777777" w:rsidR="005E503D" w:rsidRDefault="00D90A85">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Every day, billions of customers use the products and ser</w:t>
      </w:r>
      <w:r>
        <w:rPr>
          <w:rFonts w:ascii="Calibri" w:eastAsia="Calibri" w:hAnsi="Calibri" w:cs="Arial"/>
          <w:color w:val="000000"/>
          <w:sz w:val="16"/>
          <w:szCs w:val="16"/>
          <w:lang w:val="en-US"/>
        </w:rPr>
        <w:t>vices of companies that Prosus has invested in, acquired or built, including 99minutos, Airmeet, Aruna, AutoTrader, Autovit.ro, Azos, BandLab, Bibit, Bilt, Biome Makers, Borneo, Brainly, BUX, BYJU'S, Bykea, Captain Fresh, Codecademy, Collective Benefits, C</w:t>
      </w:r>
      <w:r>
        <w:rPr>
          <w:rFonts w:ascii="Calibri" w:eastAsia="Calibri" w:hAnsi="Calibri" w:cs="Arial"/>
          <w:color w:val="000000"/>
          <w:sz w:val="16"/>
          <w:szCs w:val="16"/>
          <w:lang w:val="en-US"/>
        </w:rPr>
        <w:t>reditas, DappRadar, DeHaat, Detect Technologies, dott, EduMe, ElasticRun, eMAG, Endowus, Eruditus, EVERY, Facily, Fashinza, Flink, Foodics, Good Glamm Group, GoodHabitz, GoStudent, Honor, iFood, Imovirtual, Klar, Kovi, LazyPay, letgo, Luno, Mensa Brands, M</w:t>
      </w:r>
      <w:r>
        <w:rPr>
          <w:rFonts w:ascii="Calibri" w:eastAsia="Calibri" w:hAnsi="Calibri" w:cs="Arial"/>
          <w:color w:val="000000"/>
          <w:sz w:val="16"/>
          <w:szCs w:val="16"/>
          <w:lang w:val="en-US"/>
        </w:rPr>
        <w:t>eesho, merXu, Movile, Oda, OLX, Otodom, OTOMOTO, Oxford Ionics, PaySense, PayU, Pharmeasy, Platzi, Property24, Quick Ride, Red Dot Payment, Republic, Sharebite, Shipper, ShopUp, SoloLearn, Stack Overflow, Standvirtual, Superside, Swiggy, Thndr, Tonik, Ula,</w:t>
      </w:r>
      <w:r>
        <w:rPr>
          <w:rFonts w:ascii="Calibri" w:eastAsia="Calibri" w:hAnsi="Calibri" w:cs="Arial"/>
          <w:color w:val="000000"/>
          <w:sz w:val="16"/>
          <w:szCs w:val="16"/>
          <w:lang w:val="en-US"/>
        </w:rPr>
        <w:t xml:space="preserve"> Urban Company, Virgio, Vegrow, watchTowr, and Wayflyer.</w:t>
      </w:r>
    </w:p>
    <w:p w14:paraId="0BE3167F" w14:textId="77777777" w:rsidR="005E503D" w:rsidRDefault="00D90A85">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Hundreds of millions of people have made the platforms of Prosus’s associates a part of their daily lives. For listed companies where we have an interest, please see: Tencent, Delivery Hero, Remitly,</w:t>
      </w:r>
      <w:r>
        <w:rPr>
          <w:rFonts w:ascii="Calibri" w:eastAsia="Calibri" w:hAnsi="Calibri" w:cs="Arial"/>
          <w:color w:val="000000"/>
          <w:sz w:val="16"/>
          <w:szCs w:val="16"/>
          <w:lang w:val="en-US"/>
        </w:rPr>
        <w:t xml:space="preserve"> Trip.com, Udemy, Skillsoft, and SimilarWeb.</w:t>
      </w:r>
    </w:p>
    <w:p w14:paraId="0BE31680" w14:textId="77777777" w:rsidR="005E503D" w:rsidRDefault="00D90A85">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Today, Prosus companies and associates help improve the lives of more than two billion people around the world.</w:t>
      </w:r>
    </w:p>
    <w:p w14:paraId="0BE31681" w14:textId="77777777" w:rsidR="005E503D" w:rsidRDefault="00D90A85">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has a primary listing on Euronext Amsterdam (AEX:PRX) and secondary listings on the Johannes</w:t>
      </w:r>
      <w:r>
        <w:rPr>
          <w:rFonts w:ascii="Calibri" w:eastAsia="Calibri" w:hAnsi="Calibri" w:cs="Arial"/>
          <w:color w:val="000000"/>
          <w:sz w:val="16"/>
          <w:szCs w:val="16"/>
          <w:lang w:val="en-US"/>
        </w:rPr>
        <w:t>burg Stock Exchange (XJSE:PRX) and a2X Markets (PRX.AJ). Prosus is majority-owned by Naspers.</w:t>
      </w:r>
    </w:p>
    <w:p w14:paraId="0BE31682" w14:textId="77777777" w:rsidR="005E503D" w:rsidRDefault="00D90A85">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 xml:space="preserve">For more information, please visit </w:t>
      </w:r>
      <w:hyperlink r:id="rId13" w:history="1">
        <w:r>
          <w:rPr>
            <w:rStyle w:val="Hyperlink"/>
            <w:rFonts w:ascii="Calibri" w:eastAsia="Calibri" w:hAnsi="Calibri" w:cs="Arial"/>
            <w:sz w:val="16"/>
            <w:szCs w:val="16"/>
            <w:lang w:val="en-US"/>
          </w:rPr>
          <w:t>www.prosus.com</w:t>
        </w:r>
      </w:hyperlink>
      <w:r>
        <w:rPr>
          <w:rFonts w:ascii="Calibri" w:eastAsia="Calibri" w:hAnsi="Calibri" w:cs="Arial"/>
          <w:color w:val="000000"/>
          <w:sz w:val="16"/>
          <w:szCs w:val="16"/>
          <w:lang w:val="en-US"/>
        </w:rPr>
        <w:t>.</w:t>
      </w:r>
    </w:p>
    <w:p w14:paraId="0BE31683" w14:textId="77777777" w:rsidR="005E503D" w:rsidRDefault="00D90A85">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0BE31684" w14:textId="77777777" w:rsidR="005E503D" w:rsidRDefault="00D90A85">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Repurchase Programme is being conducted in accordance with</w:t>
      </w:r>
      <w:r>
        <w:rPr>
          <w:rFonts w:ascii="Calibri" w:eastAsia="Calibri" w:hAnsi="Calibri" w:cs="Arial"/>
          <w:color w:val="000000"/>
          <w:sz w:val="16"/>
          <w:szCs w:val="16"/>
          <w:lang w:val="en-US"/>
        </w:rPr>
        <w:t xml:space="preserve"> Articles 5(1) and 5(3) of Regulation (EU) No 596/2014 of the European Parliament and of the Council of 16 April 2014 on market abuse (“Market Abuse Regulation”) and Articles 2 to 4 of Commission Delegated Regulation (EU) 2016/1052 supplementing the Market</w:t>
      </w:r>
      <w:r>
        <w:rPr>
          <w:rFonts w:ascii="Calibri" w:eastAsia="Calibri" w:hAnsi="Calibri" w:cs="Arial"/>
          <w:color w:val="000000"/>
          <w:sz w:val="16"/>
          <w:szCs w:val="16"/>
          <w:lang w:val="en-US"/>
        </w:rPr>
        <w:t xml:space="preserve"> Abuse Regulation with regard to regulatory technical standards for the conditions applicable to buy-back programmes and stabilisation measures (the “Delegated Regulation”). This document is issued in connection with the disclosure and reporting obligation</w:t>
      </w:r>
      <w:r>
        <w:rPr>
          <w:rFonts w:ascii="Calibri" w:eastAsia="Calibri" w:hAnsi="Calibri" w:cs="Arial"/>
          <w:color w:val="000000"/>
          <w:sz w:val="16"/>
          <w:szCs w:val="16"/>
          <w:lang w:val="en-US"/>
        </w:rPr>
        <w:t xml:space="preserve"> set out in Article 2(1) of the Delegated Regulation.</w:t>
      </w:r>
    </w:p>
    <w:p w14:paraId="0BE31685" w14:textId="77777777" w:rsidR="005E503D" w:rsidRDefault="00D90A85">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0BE31686" w14:textId="77777777" w:rsidR="005E503D" w:rsidRDefault="00D90A85">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w:t>
      </w:r>
      <w:r>
        <w:rPr>
          <w:rFonts w:ascii="Calibri" w:eastAsia="Calibri" w:hAnsi="Calibri" w:cs="Arial"/>
          <w:color w:val="000000"/>
          <w:sz w:val="16"/>
          <w:szCs w:val="16"/>
          <w:lang w:val="en-US"/>
        </w:rPr>
        <w:t>r or any solicitation of an offer for securities in any jurisdiction.</w:t>
      </w:r>
    </w:p>
    <w:p w14:paraId="0BE31687" w14:textId="77777777" w:rsidR="005E503D" w:rsidRDefault="00D90A85">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 xml:space="preserve">The information contained in this announcement may contain forward-looking statements, estimates and projections.  Forward-looking statements involve all matters that are not historical </w:t>
      </w:r>
      <w:r>
        <w:rPr>
          <w:rFonts w:ascii="Calibri" w:eastAsia="Calibri" w:hAnsi="Calibri" w:cs="Arial"/>
          <w:color w:val="000000"/>
          <w:sz w:val="16"/>
          <w:szCs w:val="16"/>
          <w:lang w:val="en-US"/>
        </w:rPr>
        <w:t>and may be identified by the words “anticipate”, ”believe”, ”estimate”, ”expect”, ”intend”, ”may”, ”should”, ”will”, ”would” and similar expressions or their negatives, but the absence of these words does not necessarily mean that a statement is not forwar</w:t>
      </w:r>
      <w:r>
        <w:rPr>
          <w:rFonts w:ascii="Calibri" w:eastAsia="Calibri" w:hAnsi="Calibri" w:cs="Arial"/>
          <w:color w:val="000000"/>
          <w:sz w:val="16"/>
          <w:szCs w:val="16"/>
          <w:lang w:val="en-US"/>
        </w:rPr>
        <w:t>d-looking. These statements reflect Prosus’s intentions, beliefs or current expectations, involve elements of subjective judgement and analysis and are based upon the best judgement of Prosus as of the date of this announcement, but could prove to be wrong</w:t>
      </w:r>
      <w:r>
        <w:rPr>
          <w:rFonts w:ascii="Calibri" w:eastAsia="Calibri" w:hAnsi="Calibri" w:cs="Arial"/>
          <w:color w:val="000000"/>
          <w:sz w:val="16"/>
          <w:szCs w:val="16"/>
          <w:lang w:val="en-US"/>
        </w:rPr>
        <w:t>. These statements are subject to change without notice and are based on a number of assumptions and entail known and unknown risks and uncertainties. Therefore, you should not rely on these forward-looking statements as a prediction of actual results.</w:t>
      </w:r>
    </w:p>
    <w:p w14:paraId="0BE31688" w14:textId="77777777" w:rsidR="005E503D" w:rsidRDefault="00D90A85">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w:t>
      </w:r>
      <w:r>
        <w:rPr>
          <w:rFonts w:ascii="Calibri" w:eastAsia="Calibri" w:hAnsi="Calibri" w:cs="Arial"/>
          <w:color w:val="000000"/>
          <w:sz w:val="16"/>
          <w:szCs w:val="16"/>
          <w:lang w:val="en-US"/>
        </w:rPr>
        <w:t xml:space="preserve"> forward-looking statements are made only as of the date of this announcement and neither Prosus nor any other person gives any undertaking, or is under any obligation, to update these forward-looking statements for events or circumstances that occur subse</w:t>
      </w:r>
      <w:r>
        <w:rPr>
          <w:rFonts w:ascii="Calibri" w:eastAsia="Calibri" w:hAnsi="Calibri" w:cs="Arial"/>
          <w:color w:val="000000"/>
          <w:sz w:val="16"/>
          <w:szCs w:val="16"/>
          <w:lang w:val="en-US"/>
        </w:rPr>
        <w:t>quent to the date of this announcement or to update or keep current any of the information contained herein, any changes in assumptions or changes in factors affecting these statements and this announcement is not a representation by Prosus or any other pe</w:t>
      </w:r>
      <w:r>
        <w:rPr>
          <w:rFonts w:ascii="Calibri" w:eastAsia="Calibri" w:hAnsi="Calibri" w:cs="Arial"/>
          <w:color w:val="000000"/>
          <w:sz w:val="16"/>
          <w:szCs w:val="16"/>
          <w:lang w:val="en-US"/>
        </w:rPr>
        <w:t>rson that they will do so, except to the extent required by law.</w:t>
      </w:r>
      <w:bookmarkEnd w:id="3"/>
    </w:p>
    <w:sectPr w:rsidR="005E503D">
      <w:footerReference w:type="first" r:id="rId14"/>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45125" w14:textId="77777777" w:rsidR="00000000" w:rsidRDefault="00D90A85">
      <w:r>
        <w:separator/>
      </w:r>
    </w:p>
  </w:endnote>
  <w:endnote w:type="continuationSeparator" w:id="0">
    <w:p w14:paraId="58E92E96" w14:textId="77777777" w:rsidR="00000000" w:rsidRDefault="00D90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144761"/>
      <w:docPartObj>
        <w:docPartGallery w:val="Page Numbers (Bottom of Page)"/>
        <w:docPartUnique/>
      </w:docPartObj>
    </w:sdtPr>
    <w:sdtEndPr>
      <w:rPr>
        <w:noProof/>
      </w:rPr>
    </w:sdtEndPr>
    <w:sdtContent>
      <w:p w14:paraId="0BE3168D" w14:textId="77777777" w:rsidR="005E503D" w:rsidRDefault="00D90A85">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D2D71" w14:textId="77777777" w:rsidR="00000000" w:rsidRDefault="00D90A85">
      <w:r>
        <w:separator/>
      </w:r>
    </w:p>
  </w:footnote>
  <w:footnote w:type="continuationSeparator" w:id="0">
    <w:p w14:paraId="79431532" w14:textId="77777777" w:rsidR="00000000" w:rsidRDefault="00D90A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872055E6">
      <w:start w:val="1"/>
      <w:numFmt w:val="bullet"/>
      <w:lvlText w:val=""/>
      <w:lvlJc w:val="left"/>
      <w:pPr>
        <w:ind w:left="720" w:hanging="360"/>
      </w:pPr>
      <w:rPr>
        <w:rFonts w:ascii="Symbol" w:hAnsi="Symbol" w:hint="default"/>
      </w:rPr>
    </w:lvl>
    <w:lvl w:ilvl="1" w:tplc="C690FFFC" w:tentative="1">
      <w:start w:val="1"/>
      <w:numFmt w:val="bullet"/>
      <w:lvlText w:val="o"/>
      <w:lvlJc w:val="left"/>
      <w:pPr>
        <w:ind w:left="1440" w:hanging="360"/>
      </w:pPr>
      <w:rPr>
        <w:rFonts w:ascii="Courier New" w:hAnsi="Courier New" w:cs="Courier New" w:hint="default"/>
      </w:rPr>
    </w:lvl>
    <w:lvl w:ilvl="2" w:tplc="1BA29200" w:tentative="1">
      <w:start w:val="1"/>
      <w:numFmt w:val="bullet"/>
      <w:lvlText w:val=""/>
      <w:lvlJc w:val="left"/>
      <w:pPr>
        <w:ind w:left="2160" w:hanging="360"/>
      </w:pPr>
      <w:rPr>
        <w:rFonts w:ascii="Wingdings" w:hAnsi="Wingdings" w:hint="default"/>
      </w:rPr>
    </w:lvl>
    <w:lvl w:ilvl="3" w:tplc="A67EDBAA" w:tentative="1">
      <w:start w:val="1"/>
      <w:numFmt w:val="bullet"/>
      <w:lvlText w:val=""/>
      <w:lvlJc w:val="left"/>
      <w:pPr>
        <w:ind w:left="2880" w:hanging="360"/>
      </w:pPr>
      <w:rPr>
        <w:rFonts w:ascii="Symbol" w:hAnsi="Symbol" w:hint="default"/>
      </w:rPr>
    </w:lvl>
    <w:lvl w:ilvl="4" w:tplc="9A6A552A" w:tentative="1">
      <w:start w:val="1"/>
      <w:numFmt w:val="bullet"/>
      <w:lvlText w:val="o"/>
      <w:lvlJc w:val="left"/>
      <w:pPr>
        <w:ind w:left="3600" w:hanging="360"/>
      </w:pPr>
      <w:rPr>
        <w:rFonts w:ascii="Courier New" w:hAnsi="Courier New" w:cs="Courier New" w:hint="default"/>
      </w:rPr>
    </w:lvl>
    <w:lvl w:ilvl="5" w:tplc="A538D334" w:tentative="1">
      <w:start w:val="1"/>
      <w:numFmt w:val="bullet"/>
      <w:lvlText w:val=""/>
      <w:lvlJc w:val="left"/>
      <w:pPr>
        <w:ind w:left="4320" w:hanging="360"/>
      </w:pPr>
      <w:rPr>
        <w:rFonts w:ascii="Wingdings" w:hAnsi="Wingdings" w:hint="default"/>
      </w:rPr>
    </w:lvl>
    <w:lvl w:ilvl="6" w:tplc="1F567BE2" w:tentative="1">
      <w:start w:val="1"/>
      <w:numFmt w:val="bullet"/>
      <w:lvlText w:val=""/>
      <w:lvlJc w:val="left"/>
      <w:pPr>
        <w:ind w:left="5040" w:hanging="360"/>
      </w:pPr>
      <w:rPr>
        <w:rFonts w:ascii="Symbol" w:hAnsi="Symbol" w:hint="default"/>
      </w:rPr>
    </w:lvl>
    <w:lvl w:ilvl="7" w:tplc="0DEA2D4C" w:tentative="1">
      <w:start w:val="1"/>
      <w:numFmt w:val="bullet"/>
      <w:lvlText w:val="o"/>
      <w:lvlJc w:val="left"/>
      <w:pPr>
        <w:ind w:left="5760" w:hanging="360"/>
      </w:pPr>
      <w:rPr>
        <w:rFonts w:ascii="Courier New" w:hAnsi="Courier New" w:cs="Courier New" w:hint="default"/>
      </w:rPr>
    </w:lvl>
    <w:lvl w:ilvl="8" w:tplc="41944858"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64E"/>
    <w:rsid w:val="004F3B72"/>
    <w:rsid w:val="005E503D"/>
    <w:rsid w:val="00732ABE"/>
    <w:rsid w:val="00D90A85"/>
    <w:rsid w:val="00F316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tcPr>
      <w:shd w:val="clear" w:color="auto" w:fill="auto"/>
    </w:tc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prosus.com" TargetMode="Externa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6" ma:contentTypeDescription="Create a new document." ma:contentTypeScope="" ma:versionID="a03eb80941f803d172a6418420c95ac8">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e66a8292eb05a86d7fbf78feb4937e25"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ession xmlns="http://schemas.business-integrity.com/dealbuilder/2006/answers"/>
</file>

<file path=customXml/item4.xml><?xml version="1.0" encoding="utf-8"?>
<Dictionary xmlns="http://schemas.business-integrity.com/dealbuilder/2006/dictionary" SavedByVersion="8.10.34622.1" MinimumVersion="7.2.0.0"/>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2.xml><?xml version="1.0" encoding="utf-8"?>
<ds:datastoreItem xmlns:ds="http://schemas.openxmlformats.org/officeDocument/2006/customXml" ds:itemID="{EA810287-2C83-452D-AD9B-1C8DA5D80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6E33CE-F096-48CC-A369-E961066F28AE}">
  <ds:schemaRefs/>
</ds:datastoreItem>
</file>

<file path=customXml/itemProps4.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customXml/itemProps5.xml><?xml version="1.0" encoding="utf-8"?>
<ds:datastoreItem xmlns:ds="http://schemas.openxmlformats.org/officeDocument/2006/customXml" ds:itemID="{EA8BE93E-84F5-40D5-B57C-3166153BB4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875</Words>
  <Characters>4989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Prosus - Buyback announcement - 24 April 2023 - 28 April 2023</vt:lpstr>
    </vt:vector>
  </TitlesOfParts>
  <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- 24 April 2023 - 28 April 2023</dc:title>
  <cp:lastModifiedBy>Pieter Carnelley</cp:lastModifiedBy>
  <cp:revision>2</cp:revision>
  <dcterms:created xsi:type="dcterms:W3CDTF">2023-05-02T06:58:00Z</dcterms:created>
  <dcterms:modified xsi:type="dcterms:W3CDTF">2023-05-02T08:44:00Z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AAAAAAAJMcE=</vt:lpwstr>
  </property>
  <property fmtid="{D5CDD505-2E9C-101B-9397-08002B2CF9AE}" pid="4" name="db_document_id">
    <vt:lpwstr>9827</vt:lpwstr>
  </property>
  <property fmtid="{D5CDD505-2E9C-101B-9397-08002B2CF9AE}" pid="5" name="MediaServiceImageTags">
    <vt:lpwstr/>
  </property>
</Properties>
</file>