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3165E" w14:textId="77777777" w:rsidR="005E503D" w:rsidRDefault="00C57C04">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C57C04">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C57C04">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C57C04">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C57C04">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C57C04">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12D4E7EB" w14:textId="77777777" w:rsidR="00A05697" w:rsidRPr="00283B9C" w:rsidRDefault="00A05697" w:rsidP="00A05697">
      <w:pPr>
        <w:pStyle w:val="AODocTxt"/>
        <w:rPr>
          <w:rFonts w:ascii="Verdana" w:eastAsia="Times New Roman" w:hAnsi="Verdana" w:cstheme="minorHAnsi"/>
          <w:sz w:val="20"/>
          <w:szCs w:val="20"/>
          <w:lang w:val="en-ZA" w:eastAsia="en-GB"/>
        </w:rPr>
      </w:pPr>
      <w:r w:rsidRPr="00283B9C">
        <w:rPr>
          <w:rFonts w:ascii="Verdana" w:eastAsia="Times New Roman" w:hAnsi="Verdana" w:cstheme="minorHAnsi"/>
          <w:sz w:val="20"/>
          <w:szCs w:val="20"/>
          <w:lang w:val="en-ZA" w:eastAsia="en-GB"/>
        </w:rPr>
        <w:t>Prosus today announces an update to the open-ended, repurchase programme in respect of the</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ordinary shares N in the capital of Prosus ("</w:t>
      </w:r>
      <w:r w:rsidRPr="00283B9C">
        <w:rPr>
          <w:rFonts w:ascii="Verdana" w:eastAsia="Times New Roman" w:hAnsi="Verdana" w:cstheme="minorHAnsi"/>
          <w:b/>
          <w:bCs/>
          <w:sz w:val="20"/>
          <w:szCs w:val="20"/>
          <w:lang w:val="en-ZA" w:eastAsia="en-GB"/>
        </w:rPr>
        <w:t>Prosus Shares</w:t>
      </w:r>
      <w:r w:rsidRPr="00283B9C">
        <w:rPr>
          <w:rFonts w:ascii="Verdana" w:eastAsia="Times New Roman" w:hAnsi="Verdana" w:cstheme="minorHAnsi"/>
          <w:sz w:val="20"/>
          <w:szCs w:val="20"/>
          <w:lang w:val="en-ZA" w:eastAsia="en-GB"/>
        </w:rPr>
        <w:t>") and N ordinary shares in the share</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capital of Naspers ("</w:t>
      </w:r>
      <w:r w:rsidRPr="00283B9C">
        <w:rPr>
          <w:rFonts w:ascii="Verdana" w:eastAsia="Times New Roman" w:hAnsi="Verdana" w:cstheme="minorHAnsi"/>
          <w:b/>
          <w:bCs/>
          <w:sz w:val="20"/>
          <w:szCs w:val="20"/>
          <w:lang w:val="en-ZA" w:eastAsia="en-GB"/>
        </w:rPr>
        <w:t>Naspers Shares</w:t>
      </w:r>
      <w:r w:rsidRPr="00283B9C">
        <w:rPr>
          <w:rFonts w:ascii="Verdana" w:eastAsia="Times New Roman" w:hAnsi="Verdana" w:cstheme="minorHAnsi"/>
          <w:sz w:val="20"/>
          <w:szCs w:val="20"/>
          <w:lang w:val="en-ZA" w:eastAsia="en-GB"/>
        </w:rPr>
        <w:t>"), from the respective Prosus and Naspers (together the</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w:t>
      </w:r>
      <w:r w:rsidRPr="00283B9C">
        <w:rPr>
          <w:rFonts w:ascii="Verdana" w:eastAsia="Times New Roman" w:hAnsi="Verdana" w:cstheme="minorHAnsi"/>
          <w:b/>
          <w:bCs/>
          <w:sz w:val="20"/>
          <w:szCs w:val="20"/>
          <w:lang w:val="en-ZA" w:eastAsia="en-GB"/>
        </w:rPr>
        <w:t>Group</w:t>
      </w:r>
      <w:r w:rsidRPr="00283B9C">
        <w:rPr>
          <w:rFonts w:ascii="Verdana" w:eastAsia="Times New Roman" w:hAnsi="Verdana" w:cstheme="minorHAnsi"/>
          <w:sz w:val="20"/>
          <w:szCs w:val="20"/>
          <w:lang w:val="en-ZA" w:eastAsia="en-GB"/>
        </w:rPr>
        <w:t>") free-float shareholders (together the "</w:t>
      </w:r>
      <w:r w:rsidRPr="00283B9C">
        <w:rPr>
          <w:rFonts w:ascii="Verdana" w:eastAsia="Times New Roman" w:hAnsi="Verdana" w:cstheme="minorHAnsi"/>
          <w:b/>
          <w:bCs/>
          <w:sz w:val="20"/>
          <w:szCs w:val="20"/>
          <w:lang w:val="en-ZA" w:eastAsia="en-GB"/>
        </w:rPr>
        <w:t>Repurchase Programme</w:t>
      </w:r>
      <w:r w:rsidRPr="00283B9C">
        <w:rPr>
          <w:rFonts w:ascii="Verdana" w:eastAsia="Times New Roman" w:hAnsi="Verdana" w:cstheme="minorHAnsi"/>
          <w:sz w:val="20"/>
          <w:szCs w:val="20"/>
          <w:lang w:val="en-ZA" w:eastAsia="en-GB"/>
        </w:rPr>
        <w:t>") announced on</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27 June 2022.</w:t>
      </w:r>
    </w:p>
    <w:p w14:paraId="6BA0997F" w14:textId="013CDF2E" w:rsidR="00A05697" w:rsidRPr="00283B9C" w:rsidRDefault="00A05697" w:rsidP="00A05697">
      <w:pPr>
        <w:pStyle w:val="AODocTxt"/>
        <w:rPr>
          <w:rFonts w:ascii="Verdana" w:eastAsia="Times New Roman" w:hAnsi="Verdana" w:cstheme="minorHAnsi"/>
          <w:sz w:val="20"/>
          <w:szCs w:val="20"/>
          <w:lang w:val="en-ZA" w:eastAsia="en-GB"/>
        </w:rPr>
      </w:pPr>
      <w:r w:rsidRPr="00283B9C">
        <w:rPr>
          <w:rFonts w:ascii="Verdana" w:eastAsia="Times New Roman" w:hAnsi="Verdana" w:cstheme="minorHAnsi"/>
          <w:sz w:val="20"/>
          <w:szCs w:val="20"/>
          <w:lang w:val="en-ZA" w:eastAsia="en-GB"/>
        </w:rPr>
        <w:t>Shareholders are hereby advised that in connection with the continued implementation of the</w:t>
      </w:r>
      <w:r w:rsidR="000968FA">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 xml:space="preserve">Repurchase Programme, on </w:t>
      </w:r>
      <w:r w:rsidR="00730F9A">
        <w:rPr>
          <w:rFonts w:ascii="Verdana" w:eastAsia="Times New Roman" w:hAnsi="Verdana" w:cstheme="minorHAnsi"/>
          <w:sz w:val="20"/>
          <w:szCs w:val="20"/>
          <w:lang w:val="en-ZA" w:eastAsia="en-GB"/>
        </w:rPr>
        <w:t>Friday 6</w:t>
      </w:r>
      <w:r w:rsidR="000B53AE">
        <w:rPr>
          <w:rFonts w:ascii="Verdana" w:eastAsia="Times New Roman" w:hAnsi="Verdana" w:cstheme="minorHAnsi"/>
          <w:sz w:val="20"/>
          <w:szCs w:val="20"/>
          <w:lang w:val="en-ZA" w:eastAsia="en-GB"/>
        </w:rPr>
        <w:t xml:space="preserve"> December</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202</w:t>
      </w:r>
      <w:r>
        <w:rPr>
          <w:rFonts w:ascii="Verdana" w:eastAsia="Times New Roman" w:hAnsi="Verdana" w:cstheme="minorHAnsi"/>
          <w:sz w:val="20"/>
          <w:szCs w:val="20"/>
          <w:lang w:val="en-ZA" w:eastAsia="en-GB"/>
        </w:rPr>
        <w:t>4</w:t>
      </w:r>
      <w:r w:rsidRPr="00283B9C">
        <w:rPr>
          <w:rFonts w:ascii="Verdana" w:eastAsia="Times New Roman" w:hAnsi="Verdana" w:cstheme="minorHAnsi"/>
          <w:sz w:val="20"/>
          <w:szCs w:val="20"/>
          <w:lang w:val="en-ZA" w:eastAsia="en-GB"/>
        </w:rPr>
        <w:t xml:space="preserve">, Prosus sold </w:t>
      </w:r>
      <w:r w:rsidR="000B53AE">
        <w:rPr>
          <w:rFonts w:ascii="Verdana" w:eastAsia="Times New Roman" w:hAnsi="Verdana" w:cstheme="minorHAnsi"/>
          <w:sz w:val="20"/>
          <w:szCs w:val="20"/>
          <w:lang w:val="en-ZA" w:eastAsia="en-GB"/>
        </w:rPr>
        <w:t>474 000</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ordinary shares</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in Tencent, bringing its total ownership in Tencent to 2</w:t>
      </w:r>
      <w:r>
        <w:rPr>
          <w:rFonts w:ascii="Verdana" w:eastAsia="Times New Roman" w:hAnsi="Verdana" w:cstheme="minorHAnsi"/>
          <w:sz w:val="20"/>
          <w:szCs w:val="20"/>
          <w:lang w:val="en-ZA" w:eastAsia="en-GB"/>
        </w:rPr>
        <w:t>3</w:t>
      </w:r>
      <w:r w:rsidRPr="00283B9C">
        <w:rPr>
          <w:rFonts w:ascii="Verdana" w:eastAsia="Times New Roman" w:hAnsi="Verdana" w:cstheme="minorHAnsi"/>
          <w:sz w:val="20"/>
          <w:szCs w:val="20"/>
          <w:lang w:val="en-ZA" w:eastAsia="en-GB"/>
        </w:rPr>
        <w:t>.</w:t>
      </w:r>
      <w:r w:rsidR="000B53AE">
        <w:rPr>
          <w:rFonts w:ascii="Verdana" w:eastAsia="Times New Roman" w:hAnsi="Verdana" w:cstheme="minorHAnsi"/>
          <w:sz w:val="20"/>
          <w:szCs w:val="20"/>
          <w:lang w:val="en-ZA" w:eastAsia="en-GB"/>
        </w:rPr>
        <w:t>995</w:t>
      </w:r>
      <w:r w:rsidRPr="00283B9C">
        <w:rPr>
          <w:rFonts w:ascii="Verdana" w:eastAsia="Times New Roman" w:hAnsi="Verdana" w:cstheme="minorHAnsi"/>
          <w:sz w:val="20"/>
          <w:szCs w:val="20"/>
          <w:lang w:val="en-ZA" w:eastAsia="en-GB"/>
        </w:rPr>
        <w:t>%. This requires that each of Prosus</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and Naspers make a Disclosure of Interest notification to the Stock Exchange of Hong Kong</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Limited, which Prosus and Naspers will make today. Disclosure of Interest notifications are</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 xml:space="preserve">required to be made every time </w:t>
      </w:r>
      <w:proofErr w:type="spellStart"/>
      <w:r w:rsidRPr="00283B9C">
        <w:rPr>
          <w:rFonts w:ascii="Verdana" w:eastAsia="Times New Roman" w:hAnsi="Verdana" w:cstheme="minorHAnsi"/>
          <w:sz w:val="20"/>
          <w:szCs w:val="20"/>
          <w:lang w:val="en-ZA" w:eastAsia="en-GB"/>
        </w:rPr>
        <w:t>Prosus's</w:t>
      </w:r>
      <w:proofErr w:type="spellEnd"/>
      <w:r w:rsidRPr="00283B9C">
        <w:rPr>
          <w:rFonts w:ascii="Verdana" w:eastAsia="Times New Roman" w:hAnsi="Verdana" w:cstheme="minorHAnsi"/>
          <w:sz w:val="20"/>
          <w:szCs w:val="20"/>
          <w:lang w:val="en-ZA" w:eastAsia="en-GB"/>
        </w:rPr>
        <w:t xml:space="preserve"> shareholding percentage in Tencent crosses over a</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whole percentage number.</w:t>
      </w:r>
    </w:p>
    <w:p w14:paraId="705B9FF4" w14:textId="360174E9" w:rsidR="00A05697" w:rsidRDefault="00A05697" w:rsidP="005F2084">
      <w:pPr>
        <w:pStyle w:val="AODocTxt"/>
        <w:rPr>
          <w:rFonts w:ascii="Verdana" w:eastAsia="Times New Roman" w:hAnsi="Verdana" w:cstheme="minorHAnsi"/>
          <w:sz w:val="20"/>
          <w:szCs w:val="20"/>
          <w:lang w:val="en-ZA" w:eastAsia="en-GB"/>
        </w:rPr>
      </w:pPr>
      <w:r w:rsidRPr="00283B9C">
        <w:rPr>
          <w:rFonts w:ascii="Verdana" w:eastAsia="Times New Roman" w:hAnsi="Verdana" w:cstheme="minorHAnsi"/>
          <w:sz w:val="20"/>
          <w:szCs w:val="20"/>
          <w:lang w:val="en-ZA" w:eastAsia="en-GB"/>
        </w:rPr>
        <w:t>The open-ended Repurchase Program</w:t>
      </w:r>
      <w:r w:rsidR="000B53AE">
        <w:rPr>
          <w:rFonts w:ascii="Verdana" w:eastAsia="Times New Roman" w:hAnsi="Verdana" w:cstheme="minorHAnsi"/>
          <w:sz w:val="20"/>
          <w:szCs w:val="20"/>
          <w:lang w:val="en-ZA" w:eastAsia="en-GB"/>
        </w:rPr>
        <w:t>me</w:t>
      </w:r>
      <w:r w:rsidRPr="00283B9C">
        <w:rPr>
          <w:rFonts w:ascii="Verdana" w:eastAsia="Times New Roman" w:hAnsi="Verdana" w:cstheme="minorHAnsi"/>
          <w:sz w:val="20"/>
          <w:szCs w:val="20"/>
          <w:lang w:val="en-ZA" w:eastAsia="en-GB"/>
        </w:rPr>
        <w:t xml:space="preserve"> continues on the same basis as before with no</w:t>
      </w:r>
      <w:r w:rsidR="005F2084">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modifications.</w:t>
      </w:r>
    </w:p>
    <w:p w14:paraId="0BE3166C" w14:textId="77777777" w:rsidR="005E503D" w:rsidRDefault="00C57C04" w:rsidP="00EC7C4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261480451"/>
      </w:sdtPr>
      <w:sdtEndPr/>
      <w:sdtContent>
        <w:p w14:paraId="0BE3166D" w14:textId="5CC24F42" w:rsidR="005E503D" w:rsidRDefault="000B53AE">
          <w:pPr>
            <w:pStyle w:val="AODocTxt"/>
            <w:spacing w:before="0"/>
            <w:rPr>
              <w:rFonts w:ascii="Verdana" w:hAnsi="Verdana"/>
              <w:sz w:val="20"/>
              <w:szCs w:val="20"/>
            </w:rPr>
          </w:pPr>
          <w:r>
            <w:rPr>
              <w:rFonts w:ascii="Verdana" w:hAnsi="Verdana"/>
              <w:sz w:val="20"/>
              <w:szCs w:val="20"/>
            </w:rPr>
            <w:t>6 December</w:t>
          </w:r>
          <w:r w:rsidR="00C57C04">
            <w:rPr>
              <w:rFonts w:ascii="Verdana" w:hAnsi="Verdana"/>
              <w:sz w:val="20"/>
              <w:szCs w:val="20"/>
            </w:rPr>
            <w:t xml:space="preserve"> 2024</w:t>
          </w:r>
        </w:p>
      </w:sdtContent>
    </w:sdt>
    <w:p w14:paraId="2F442AE7" w14:textId="77777777" w:rsidR="00C57C04" w:rsidRDefault="00C57C04" w:rsidP="00C57C04">
      <w:pPr>
        <w:pStyle w:val="AODocTxt"/>
        <w:rPr>
          <w:rFonts w:ascii="Verdana" w:hAnsi="Verdana"/>
          <w:sz w:val="20"/>
          <w:szCs w:val="20"/>
        </w:rPr>
      </w:pPr>
      <w:r>
        <w:rPr>
          <w:rFonts w:ascii="Verdana" w:hAnsi="Verdana"/>
          <w:sz w:val="20"/>
          <w:szCs w:val="20"/>
        </w:rPr>
        <w:t>JSE sponsor to Prosus</w:t>
      </w:r>
    </w:p>
    <w:p w14:paraId="652EB615" w14:textId="77777777" w:rsidR="00C57C04" w:rsidRDefault="00C57C04" w:rsidP="00C57C04">
      <w:pPr>
        <w:pStyle w:val="AODocTxt"/>
        <w:spacing w:before="0"/>
        <w:rPr>
          <w:rFonts w:ascii="Verdana" w:hAnsi="Verdana"/>
          <w:sz w:val="20"/>
          <w:szCs w:val="20"/>
        </w:rPr>
      </w:pPr>
      <w:r>
        <w:rPr>
          <w:rFonts w:ascii="Verdana" w:hAnsi="Verdana"/>
          <w:sz w:val="20"/>
          <w:szCs w:val="20"/>
        </w:rPr>
        <w:t>Investec Bank Limited</w:t>
      </w:r>
    </w:p>
    <w:p w14:paraId="4C0C3F7C" w14:textId="77777777" w:rsidR="00C57C04" w:rsidRDefault="00C57C04" w:rsidP="00C57C04">
      <w:pPr>
        <w:suppressAutoHyphens/>
        <w:jc w:val="both"/>
        <w:rPr>
          <w:rFonts w:ascii="Calibri" w:eastAsia="Arial" w:hAnsi="Calibri" w:cs="Calibri"/>
          <w:lang w:eastAsia="en-GB"/>
        </w:rPr>
      </w:pPr>
    </w:p>
    <w:p w14:paraId="0CEC5B8E" w14:textId="77777777" w:rsidR="00C57C04" w:rsidRDefault="00C57C04" w:rsidP="00C57C04">
      <w:pPr>
        <w:spacing w:after="160" w:line="256" w:lineRule="auto"/>
        <w:jc w:val="both"/>
        <w:textAlignment w:val="baseline"/>
        <w:rPr>
          <w:rFonts w:ascii="Verdana" w:eastAsia="Calibri" w:hAnsi="Verdana" w:cs="Segoe UI"/>
          <w:sz w:val="20"/>
          <w:szCs w:val="20"/>
          <w:lang w:val="en-US"/>
        </w:rPr>
      </w:pPr>
      <w:bookmarkStart w:id="0"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C57C04" w14:paraId="0F2204A0" w14:textId="77777777" w:rsidTr="004271DC">
        <w:tc>
          <w:tcPr>
            <w:tcW w:w="4815" w:type="dxa"/>
            <w:tcBorders>
              <w:top w:val="nil"/>
              <w:left w:val="nil"/>
              <w:bottom w:val="nil"/>
              <w:right w:val="nil"/>
            </w:tcBorders>
            <w:shd w:val="clear" w:color="auto" w:fill="auto"/>
            <w:hideMark/>
          </w:tcPr>
          <w:p w14:paraId="62811274" w14:textId="77777777" w:rsidR="00C57C04" w:rsidRPr="005431FA" w:rsidRDefault="00C57C04" w:rsidP="004271DC">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CADCB01" w14:textId="77777777" w:rsidR="00C57C04" w:rsidRDefault="00C57C04" w:rsidP="004271DC">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02519732" w14:textId="77777777" w:rsidR="00C57C04" w:rsidRDefault="00C57C04" w:rsidP="004271DC">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C57C04" w14:paraId="6DED9489" w14:textId="77777777" w:rsidTr="004271DC">
        <w:trPr>
          <w:trHeight w:val="110"/>
        </w:trPr>
        <w:tc>
          <w:tcPr>
            <w:tcW w:w="4815" w:type="dxa"/>
            <w:tcBorders>
              <w:top w:val="nil"/>
              <w:left w:val="nil"/>
              <w:bottom w:val="nil"/>
              <w:right w:val="nil"/>
            </w:tcBorders>
            <w:shd w:val="clear" w:color="auto" w:fill="auto"/>
            <w:hideMark/>
          </w:tcPr>
          <w:p w14:paraId="27182F18" w14:textId="77777777" w:rsidR="00C57C04" w:rsidRPr="00B60C2F" w:rsidRDefault="00C57C04" w:rsidP="004271DC">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65D36257" w14:textId="77777777" w:rsidR="00C57C04" w:rsidRPr="00C6670E" w:rsidRDefault="00C57C04" w:rsidP="004271DC">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79708D67" w14:textId="77777777" w:rsidR="00C57C04" w:rsidRDefault="00C57C04" w:rsidP="004271DC">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0"/>
    </w:tbl>
    <w:p w14:paraId="4E68502B" w14:textId="77777777" w:rsidR="00C57C04" w:rsidRDefault="00C57C04" w:rsidP="00C57C04">
      <w:pPr>
        <w:suppressAutoHyphens/>
        <w:rPr>
          <w:rFonts w:ascii="Verdana" w:eastAsia="Verdana" w:hAnsi="Verdana" w:cs="Verdana"/>
          <w:b/>
          <w:color w:val="000000"/>
          <w:sz w:val="20"/>
          <w:szCs w:val="20"/>
          <w:lang w:eastAsia="en-GB"/>
        </w:rPr>
      </w:pPr>
    </w:p>
    <w:p w14:paraId="12D859F7" w14:textId="77777777" w:rsidR="00C57C04" w:rsidRDefault="00C57C04" w:rsidP="00C57C04">
      <w:pPr>
        <w:keepNext/>
        <w:spacing w:after="160" w:line="256" w:lineRule="auto"/>
        <w:jc w:val="both"/>
        <w:rPr>
          <w:rFonts w:ascii="Calibri" w:eastAsia="Calibri" w:hAnsi="Calibri" w:cs="Arial"/>
          <w:b/>
          <w:bCs/>
          <w:i/>
          <w:iCs/>
          <w:color w:val="000000"/>
          <w:sz w:val="16"/>
          <w:szCs w:val="16"/>
          <w:lang w:val="en-US"/>
        </w:rPr>
      </w:pPr>
      <w:bookmarkStart w:id="1" w:name="_Hlk179556295"/>
      <w:bookmarkStart w:id="2" w:name="_Hlk107580844"/>
      <w:r>
        <w:rPr>
          <w:rFonts w:ascii="Calibri" w:eastAsia="Calibri" w:hAnsi="Calibri" w:cs="Arial"/>
          <w:b/>
          <w:bCs/>
          <w:i/>
          <w:iCs/>
          <w:color w:val="000000"/>
          <w:sz w:val="16"/>
          <w:szCs w:val="16"/>
          <w:lang w:val="en-US"/>
        </w:rPr>
        <w:t>About Prosus</w:t>
      </w:r>
    </w:p>
    <w:bookmarkEnd w:id="1"/>
    <w:p w14:paraId="11001221" w14:textId="77777777" w:rsidR="00C57C04" w:rsidRPr="001C0750" w:rsidRDefault="00C57C04" w:rsidP="00C57C04">
      <w:pPr>
        <w:spacing w:after="160" w:line="257" w:lineRule="auto"/>
        <w:jc w:val="both"/>
        <w:rPr>
          <w:rFonts w:ascii="Calibri" w:eastAsia="Calibri" w:hAnsi="Calibri" w:cs="Arial"/>
          <w:color w:val="000000"/>
          <w:sz w:val="16"/>
          <w:szCs w:val="16"/>
        </w:rPr>
      </w:pPr>
      <w:r w:rsidRPr="001C0750">
        <w:rPr>
          <w:rFonts w:ascii="Calibri" w:eastAsia="Calibri" w:hAnsi="Calibri" w:cs="Arial"/>
          <w:color w:val="000000"/>
          <w:sz w:val="16"/>
          <w:szCs w:val="16"/>
        </w:rPr>
        <w:t>Prosus is a global consumer internet group and one of the largest technology investors in the world. Each month, over two billion customers across the globe use the products and services of companies that Prosus has invested in, acquired or built. Prosus builds leading consumer internet companies that empower people and enrich communities. The group is focused on online classifieds, food delivery, payments and fintech. The team actively backs exceptional entrepreneurs using technology to improve people's everyday lives.</w:t>
      </w:r>
    </w:p>
    <w:p w14:paraId="4AC434B5" w14:textId="77777777" w:rsidR="00C57C04" w:rsidRPr="001C0750" w:rsidRDefault="00C57C04" w:rsidP="00C57C04">
      <w:pPr>
        <w:spacing w:after="160" w:line="257" w:lineRule="auto"/>
        <w:jc w:val="both"/>
        <w:rPr>
          <w:rFonts w:ascii="Calibri" w:eastAsia="Calibri" w:hAnsi="Calibri" w:cs="Arial"/>
          <w:color w:val="000000"/>
          <w:sz w:val="16"/>
          <w:szCs w:val="16"/>
          <w:lang w:val="en-US"/>
        </w:rPr>
      </w:pPr>
      <w:r w:rsidRPr="001C0750">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6426F0D9" w14:textId="77777777" w:rsidR="00C57C04" w:rsidRPr="001C0750" w:rsidRDefault="00C57C04" w:rsidP="00C57C04">
      <w:pPr>
        <w:spacing w:after="160" w:line="257" w:lineRule="auto"/>
        <w:jc w:val="both"/>
        <w:rPr>
          <w:rFonts w:ascii="Calibri" w:eastAsia="Calibri" w:hAnsi="Calibri" w:cs="Arial"/>
          <w:color w:val="000000"/>
          <w:sz w:val="16"/>
          <w:szCs w:val="16"/>
          <w:lang w:val="en-US"/>
        </w:rPr>
      </w:pPr>
      <w:r w:rsidRPr="001C0750">
        <w:rPr>
          <w:rFonts w:ascii="Calibri" w:eastAsia="Calibri" w:hAnsi="Calibri" w:cs="Arial"/>
          <w:color w:val="000000"/>
          <w:sz w:val="16"/>
          <w:szCs w:val="16"/>
          <w:lang w:val="en-US"/>
        </w:rPr>
        <w:t xml:space="preserve">For more information, please visit </w:t>
      </w:r>
      <w:hyperlink r:id="rId13" w:history="1">
        <w:r w:rsidRPr="001C0750">
          <w:rPr>
            <w:rStyle w:val="Hyperlink"/>
            <w:rFonts w:ascii="Calibri" w:eastAsia="Calibri" w:hAnsi="Calibri" w:cs="Arial"/>
            <w:sz w:val="16"/>
            <w:szCs w:val="16"/>
            <w:lang w:val="en-US"/>
          </w:rPr>
          <w:t>www.prosus.com</w:t>
        </w:r>
      </w:hyperlink>
      <w:r w:rsidRPr="001C0750">
        <w:rPr>
          <w:rFonts w:ascii="Calibri" w:eastAsia="Calibri" w:hAnsi="Calibri" w:cs="Arial"/>
          <w:color w:val="000000"/>
          <w:sz w:val="16"/>
          <w:szCs w:val="16"/>
          <w:lang w:val="en-US"/>
        </w:rPr>
        <w:t>.</w:t>
      </w:r>
    </w:p>
    <w:p w14:paraId="44F2A0A7" w14:textId="77777777" w:rsidR="00C57C04" w:rsidRDefault="00C57C04" w:rsidP="00C57C04">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2B0A0F1F" w14:textId="77777777" w:rsidR="00C57C04" w:rsidRDefault="00C57C04" w:rsidP="00C57C0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3BF2D3AE" w14:textId="77777777" w:rsidR="00C57C04" w:rsidRDefault="00C57C04" w:rsidP="00C57C0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This document contains information that qualifies as inside information within the meaning of Article 7(1) of the Market Abuse Regulation.</w:t>
      </w:r>
    </w:p>
    <w:p w14:paraId="6DAF959F" w14:textId="77777777" w:rsidR="00C57C04" w:rsidRDefault="00C57C04" w:rsidP="00C57C0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40BE5AF" w14:textId="77777777" w:rsidR="00C57C04" w:rsidRDefault="00C57C04" w:rsidP="00C57C0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577713DC" w14:textId="77777777" w:rsidR="00C57C04" w:rsidRDefault="00C57C04" w:rsidP="00C57C0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2"/>
    </w:p>
    <w:p w14:paraId="0E41BBFC" w14:textId="77777777" w:rsidR="00C57C04" w:rsidRDefault="00C57C04" w:rsidP="00C57C04">
      <w:pPr>
        <w:pStyle w:val="AODocTxt"/>
        <w:rPr>
          <w:rFonts w:ascii="Calibri" w:eastAsia="Calibri" w:hAnsi="Calibri" w:cs="Arial"/>
          <w:color w:val="000000"/>
          <w:sz w:val="16"/>
          <w:szCs w:val="16"/>
          <w:lang w:val="en-US"/>
        </w:rPr>
      </w:pPr>
    </w:p>
    <w:p w14:paraId="0AD57CF4" w14:textId="77777777" w:rsidR="00C57C04" w:rsidRDefault="00C57C04" w:rsidP="00C57C04">
      <w:pPr>
        <w:pStyle w:val="AODocTxt"/>
        <w:rPr>
          <w:rFonts w:ascii="Calibri" w:eastAsia="Calibri" w:hAnsi="Calibri" w:cs="Arial"/>
          <w:color w:val="000000"/>
          <w:sz w:val="16"/>
          <w:szCs w:val="16"/>
          <w:lang w:val="en-US"/>
        </w:rPr>
      </w:pPr>
    </w:p>
    <w:p w14:paraId="0BE31688" w14:textId="46CFDC53" w:rsidR="005E503D" w:rsidRDefault="005E503D" w:rsidP="00C57C04">
      <w:pPr>
        <w:pStyle w:val="AODocTxt"/>
        <w:rPr>
          <w:rFonts w:ascii="Calibri" w:eastAsia="Calibri" w:hAnsi="Calibri" w:cs="Arial"/>
          <w:color w:val="000000"/>
          <w:sz w:val="16"/>
          <w:szCs w:val="16"/>
          <w:lang w:val="en-US"/>
        </w:rPr>
      </w:pPr>
    </w:p>
    <w:sectPr w:rsidR="005E503D">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98AD6" w14:textId="77777777" w:rsidR="00C57C04" w:rsidRDefault="00C57C04">
      <w:r>
        <w:separator/>
      </w:r>
    </w:p>
  </w:endnote>
  <w:endnote w:type="continuationSeparator" w:id="0">
    <w:p w14:paraId="14EC7632" w14:textId="77777777" w:rsidR="00C57C04" w:rsidRDefault="00C57C04">
      <w:r>
        <w:continuationSeparator/>
      </w:r>
    </w:p>
  </w:endnote>
  <w:endnote w:type="continuationNotice" w:id="1">
    <w:p w14:paraId="549E9C8B" w14:textId="77777777" w:rsidR="00C52E58" w:rsidRDefault="00C52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144761"/>
      <w:docPartObj>
        <w:docPartGallery w:val="Page Numbers (Bottom of Page)"/>
        <w:docPartUnique/>
      </w:docPartObj>
    </w:sdtPr>
    <w:sdtEndPr>
      <w:rPr>
        <w:noProof/>
      </w:rPr>
    </w:sdtEndPr>
    <w:sdtContent>
      <w:p w14:paraId="0BE3168D" w14:textId="77777777" w:rsidR="005E503D" w:rsidRDefault="00C57C0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ED041" w14:textId="77777777" w:rsidR="00C57C04" w:rsidRDefault="00C57C04">
      <w:r>
        <w:separator/>
      </w:r>
    </w:p>
  </w:footnote>
  <w:footnote w:type="continuationSeparator" w:id="0">
    <w:p w14:paraId="00F2544D" w14:textId="77777777" w:rsidR="00C57C04" w:rsidRDefault="00C57C04">
      <w:r>
        <w:continuationSeparator/>
      </w:r>
    </w:p>
  </w:footnote>
  <w:footnote w:type="continuationNotice" w:id="1">
    <w:p w14:paraId="23B10BF8" w14:textId="77777777" w:rsidR="00C52E58" w:rsidRDefault="00C52E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61EE61C0">
      <w:start w:val="1"/>
      <w:numFmt w:val="bullet"/>
      <w:lvlText w:val=""/>
      <w:lvlJc w:val="left"/>
      <w:pPr>
        <w:ind w:left="720" w:hanging="360"/>
      </w:pPr>
      <w:rPr>
        <w:rFonts w:ascii="Symbol" w:hAnsi="Symbol" w:hint="default"/>
      </w:rPr>
    </w:lvl>
    <w:lvl w:ilvl="1" w:tplc="652CB8E6" w:tentative="1">
      <w:start w:val="1"/>
      <w:numFmt w:val="bullet"/>
      <w:lvlText w:val="o"/>
      <w:lvlJc w:val="left"/>
      <w:pPr>
        <w:ind w:left="1440" w:hanging="360"/>
      </w:pPr>
      <w:rPr>
        <w:rFonts w:ascii="Courier New" w:hAnsi="Courier New" w:cs="Courier New" w:hint="default"/>
      </w:rPr>
    </w:lvl>
    <w:lvl w:ilvl="2" w:tplc="F80684CE" w:tentative="1">
      <w:start w:val="1"/>
      <w:numFmt w:val="bullet"/>
      <w:lvlText w:val=""/>
      <w:lvlJc w:val="left"/>
      <w:pPr>
        <w:ind w:left="2160" w:hanging="360"/>
      </w:pPr>
      <w:rPr>
        <w:rFonts w:ascii="Wingdings" w:hAnsi="Wingdings" w:hint="default"/>
      </w:rPr>
    </w:lvl>
    <w:lvl w:ilvl="3" w:tplc="78A03308" w:tentative="1">
      <w:start w:val="1"/>
      <w:numFmt w:val="bullet"/>
      <w:lvlText w:val=""/>
      <w:lvlJc w:val="left"/>
      <w:pPr>
        <w:ind w:left="2880" w:hanging="360"/>
      </w:pPr>
      <w:rPr>
        <w:rFonts w:ascii="Symbol" w:hAnsi="Symbol" w:hint="default"/>
      </w:rPr>
    </w:lvl>
    <w:lvl w:ilvl="4" w:tplc="0D40AC8E" w:tentative="1">
      <w:start w:val="1"/>
      <w:numFmt w:val="bullet"/>
      <w:lvlText w:val="o"/>
      <w:lvlJc w:val="left"/>
      <w:pPr>
        <w:ind w:left="3600" w:hanging="360"/>
      </w:pPr>
      <w:rPr>
        <w:rFonts w:ascii="Courier New" w:hAnsi="Courier New" w:cs="Courier New" w:hint="default"/>
      </w:rPr>
    </w:lvl>
    <w:lvl w:ilvl="5" w:tplc="4E4C39EC" w:tentative="1">
      <w:start w:val="1"/>
      <w:numFmt w:val="bullet"/>
      <w:lvlText w:val=""/>
      <w:lvlJc w:val="left"/>
      <w:pPr>
        <w:ind w:left="4320" w:hanging="360"/>
      </w:pPr>
      <w:rPr>
        <w:rFonts w:ascii="Wingdings" w:hAnsi="Wingdings" w:hint="default"/>
      </w:rPr>
    </w:lvl>
    <w:lvl w:ilvl="6" w:tplc="8EF6F0DE" w:tentative="1">
      <w:start w:val="1"/>
      <w:numFmt w:val="bullet"/>
      <w:lvlText w:val=""/>
      <w:lvlJc w:val="left"/>
      <w:pPr>
        <w:ind w:left="5040" w:hanging="360"/>
      </w:pPr>
      <w:rPr>
        <w:rFonts w:ascii="Symbol" w:hAnsi="Symbol" w:hint="default"/>
      </w:rPr>
    </w:lvl>
    <w:lvl w:ilvl="7" w:tplc="2EE8E1C2" w:tentative="1">
      <w:start w:val="1"/>
      <w:numFmt w:val="bullet"/>
      <w:lvlText w:val="o"/>
      <w:lvlJc w:val="left"/>
      <w:pPr>
        <w:ind w:left="5760" w:hanging="360"/>
      </w:pPr>
      <w:rPr>
        <w:rFonts w:ascii="Courier New" w:hAnsi="Courier New" w:cs="Courier New" w:hint="default"/>
      </w:rPr>
    </w:lvl>
    <w:lvl w:ilvl="8" w:tplc="7DAE084A"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19"/>
    <w:rsid w:val="000968FA"/>
    <w:rsid w:val="000B53AE"/>
    <w:rsid w:val="001154D4"/>
    <w:rsid w:val="002B6504"/>
    <w:rsid w:val="00305DAD"/>
    <w:rsid w:val="00360CF3"/>
    <w:rsid w:val="003C03A3"/>
    <w:rsid w:val="00424107"/>
    <w:rsid w:val="005128F0"/>
    <w:rsid w:val="005E503D"/>
    <w:rsid w:val="005F2084"/>
    <w:rsid w:val="006B302C"/>
    <w:rsid w:val="007061CE"/>
    <w:rsid w:val="00730F9A"/>
    <w:rsid w:val="00891032"/>
    <w:rsid w:val="009E6532"/>
    <w:rsid w:val="00A05697"/>
    <w:rsid w:val="00AE132E"/>
    <w:rsid w:val="00B11E19"/>
    <w:rsid w:val="00B7579C"/>
    <w:rsid w:val="00C52E58"/>
    <w:rsid w:val="00C57C04"/>
    <w:rsid w:val="00D627B8"/>
    <w:rsid w:val="00EC7C47"/>
    <w:rsid w:val="00EF1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18" Type="http://schemas.openxmlformats.org/officeDocument/2006/relationships/customXml" Target="../customXml/item7.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ession xmlns="http://schemas.business-integrity.com/dealbuilder/2006/answers"/>
</file>

<file path=customXml/item2.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57" ma:contentTypeDescription="" ma:contentTypeScope="" ma:versionID="3a7a3e102c5522a70ccf8bd0d9c90257">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fffb56d94848a92a0da77ae74e277cfa"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f4fe37-e138-4444-ac39-a91a26058e7e">
      <Value>4</Value>
      <Value>3</Value>
    </TaxCatchAll>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C2412-01525</AFM_dms_Zaaknummer>
    <AFM_dms_ZaakEinddatum xmlns="bedada9c-9ff6-4a90-bed1-7f262f8682ad" xsi:nil="true"/>
    <AFM_dms_NaamRelatie xmlns="bedada9c-9ff6-4a90-bed1-7f262f8682ad">Prosus N.V.</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Prosus - Buyback announcement (Tencent) - 6 December 2024.docx</AFM_dms_origineleBestandsnaam>
    <AFM_dms_Grondslag xmlns="bedada9c-9ff6-4a90-bed1-7f262f8682ad" xsi:nil="true"/>
    <AFM_dms_Melder xmlns="bedada9c-9ff6-4a90-bed1-7f262f8682ad" xsi:nil="true"/>
    <_dlc_DocId xmlns="5fe4e853-3417-48a7-a9b2-767e16cca7ad">MAR17MELD-955777008-77939</_dlc_DocId>
    <_dlc_DocIdUrl xmlns="5fe4e853-3417-48a7-a9b2-767e16cca7ad">
      <Url>https://afmap.sharepoint.com/sites/afmdms_mar17meldingen/_layouts/15/DocIdRedir.aspx?ID=MAR17MELD-955777008-77939</Url>
      <Description>MAR17MELD-955777008-77939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ictionary xmlns="http://schemas.business-integrity.com/dealbuilder/2006/dictionary" SavedByVersion="9.8.37389.0" MinimumVersion="7.2.0.0"/>
</file>

<file path=customXml/item6.xml><?xml version="1.0" encoding="utf-8"?>
<?mso-contentType ?>
<SharedContentType xmlns="Microsoft.SharePoint.Taxonomy.ContentTypeSync" SourceId="aa2fb73e-e83a-44df-bc25-39628a106fd3" ContentTypeId="0x010100D67FB3C8B9F44C9FB801D5E99C4AEC9B"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ABB60E77-09B8-48C8-850B-CF3D237AE6E2}"/>
</file>

<file path=customXml/itemProps3.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6.xml><?xml version="1.0" encoding="utf-8"?>
<ds:datastoreItem xmlns:ds="http://schemas.openxmlformats.org/officeDocument/2006/customXml" ds:itemID="{AFF1FEAB-EA71-4354-83CB-D06C609E94CB}"/>
</file>

<file path=customXml/itemProps7.xml><?xml version="1.0" encoding="utf-8"?>
<ds:datastoreItem xmlns:ds="http://schemas.openxmlformats.org/officeDocument/2006/customXml" ds:itemID="{783A9892-67B8-40A7-BA20-DEE241AAC333}"/>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dc:creator>Jaco van der Merwe</dc:creator>
  <cp:lastModifiedBy>Tonilee Lutz</cp:lastModifiedBy>
  <cp:revision>3</cp:revision>
  <dcterms:created xsi:type="dcterms:W3CDTF">2024-12-06T10:31:00Z</dcterms:created>
  <dcterms:modified xsi:type="dcterms:W3CDTF">2024-12-06T10:45:00Z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0x010100D67FB3C8B9F44C9FB801D5E99C4AEC9B008B32F997535F40B0A20F4493835B16FA00B6AFA36744523C48BBF919E941DFB204</vt:lpwstr>
  </property>
  <property fmtid="{D5CDD505-2E9C-101B-9397-08002B2CF9AE}" pid="3" name="db_contract_version">
    <vt:lpwstr>AAAAAAAZXMY=</vt:lpwstr>
  </property>
  <property fmtid="{D5CDD505-2E9C-101B-9397-08002B2CF9AE}" pid="4" name="db_document_id">
    <vt:lpwstr>12889</vt:lpwstr>
  </property>
  <property fmtid="{D5CDD505-2E9C-101B-9397-08002B2CF9AE}" pid="5" name="MediaServiceImageTags">
    <vt:lpwstr/>
  </property>
  <property fmtid="{D5CDD505-2E9C-101B-9397-08002B2CF9AE}" pid="6" name="_dlc_DocIdItemGuid">
    <vt:lpwstr>90e3c6aa-c7d2-4e21-9753-fca6ae7f3ae6</vt:lpwstr>
  </property>
  <property fmtid="{D5CDD505-2E9C-101B-9397-08002B2CF9AE}" pid="7" name="AFM_dms_Zaaktype">
    <vt:lpwstr>3;#EUIOVW|bd452f78-56ac-4048-8ad6-d473d26cf365</vt:lpwstr>
  </property>
  <property fmtid="{D5CDD505-2E9C-101B-9397-08002B2CF9AE}" pid="8" name="AFM_dms_Retentietermijn">
    <vt:lpwstr/>
  </property>
  <property fmtid="{D5CDD505-2E9C-101B-9397-08002B2CF9AE}" pid="9" name="AFM_dms_Documenttype">
    <vt:lpwstr>4;#Persbericht inkomend|29ae2195-941d-4ea3-be1c-3d43a11ff799</vt:lpwstr>
  </property>
</Properties>
</file>