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8C52B7">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8C52B7">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8C52B7">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8C52B7">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8C52B7">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411DA9F0" w:rsidR="005E503D" w:rsidRDefault="008C52B7" w:rsidP="00894D84">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1206638881"/>
        </w:sdtPr>
        <w:sdtEndPr/>
        <w:sdtContent>
          <w:r w:rsidR="000C3694">
            <w:rPr>
              <w:rFonts w:ascii="Verdana" w:hAnsi="Verdana"/>
              <w:sz w:val="20"/>
              <w:szCs w:val="20"/>
            </w:rPr>
            <w:t>30</w:t>
          </w:r>
          <w:r w:rsidR="00546725">
            <w:rPr>
              <w:rFonts w:ascii="Verdana" w:hAnsi="Verdana"/>
              <w:sz w:val="20"/>
              <w:szCs w:val="20"/>
            </w:rPr>
            <w:t xml:space="preserve"> </w:t>
          </w:r>
          <w:r w:rsidR="005F7B63">
            <w:rPr>
              <w:rFonts w:ascii="Verdana" w:hAnsi="Verdana"/>
              <w:sz w:val="20"/>
              <w:szCs w:val="20"/>
            </w:rPr>
            <w:t xml:space="preserve">June </w:t>
          </w:r>
          <w:r>
            <w:rPr>
              <w:rFonts w:ascii="Verdana" w:hAnsi="Verdana"/>
              <w:sz w:val="20"/>
              <w:szCs w:val="20"/>
            </w:rPr>
            <w:t>2025</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2040381276"/>
        </w:sdtPr>
        <w:sdtEndPr/>
        <w:sdtContent>
          <w:r w:rsidR="000C3694">
            <w:rPr>
              <w:rFonts w:ascii="Verdana" w:hAnsi="Verdana"/>
              <w:sz w:val="20"/>
              <w:szCs w:val="20"/>
            </w:rPr>
            <w:t>4 July</w:t>
          </w:r>
          <w:r>
            <w:rPr>
              <w:rFonts w:ascii="Verdana" w:hAnsi="Verdana"/>
              <w:sz w:val="20"/>
              <w:szCs w:val="20"/>
            </w:rPr>
            <w:t xml:space="preserve"> 2025</w:t>
          </w:r>
        </w:sdtContent>
      </w:sdt>
      <w:r>
        <w:rPr>
          <w:rFonts w:ascii="Verdana" w:hAnsi="Verdana"/>
          <w:sz w:val="20"/>
          <w:szCs w:val="20"/>
        </w:rPr>
        <w:t xml:space="preserve">, Prosus repurchased </w:t>
      </w:r>
      <w:r w:rsidR="000C3694">
        <w:rPr>
          <w:rFonts w:ascii="Verdana" w:hAnsi="Verdana"/>
          <w:sz w:val="20"/>
          <w:szCs w:val="20"/>
        </w:rPr>
        <w:t>2</w:t>
      </w:r>
      <w:r w:rsidR="0075273C">
        <w:rPr>
          <w:rFonts w:ascii="Verdana" w:hAnsi="Verdana"/>
          <w:sz w:val="20"/>
          <w:szCs w:val="20"/>
        </w:rPr>
        <w:t>,</w:t>
      </w:r>
      <w:r w:rsidR="000C3694">
        <w:rPr>
          <w:rFonts w:ascii="Verdana" w:hAnsi="Verdana"/>
          <w:sz w:val="20"/>
          <w:szCs w:val="20"/>
        </w:rPr>
        <w:t>272</w:t>
      </w:r>
      <w:r w:rsidR="0075273C">
        <w:rPr>
          <w:rFonts w:ascii="Verdana" w:hAnsi="Verdana"/>
          <w:sz w:val="20"/>
          <w:szCs w:val="20"/>
        </w:rPr>
        <w:t>,</w:t>
      </w:r>
      <w:r w:rsidR="001163F3">
        <w:rPr>
          <w:rFonts w:ascii="Verdana" w:hAnsi="Verdana"/>
          <w:sz w:val="20"/>
          <w:szCs w:val="20"/>
        </w:rPr>
        <w:t>998</w:t>
      </w:r>
      <w:r w:rsidR="00251164">
        <w:rPr>
          <w:rFonts w:ascii="Verdana" w:hAnsi="Verdana"/>
          <w:sz w:val="20"/>
          <w:szCs w:val="20"/>
        </w:rPr>
        <w:t xml:space="preserve"> </w:t>
      </w:r>
      <w:r>
        <w:rPr>
          <w:rFonts w:ascii="Verdana" w:hAnsi="Verdana"/>
          <w:sz w:val="20"/>
          <w:szCs w:val="20"/>
        </w:rPr>
        <w:t>Prosus Shares at an average price of €</w:t>
      </w:r>
      <w:sdt>
        <w:sdtPr>
          <w:rPr>
            <w:rFonts w:ascii="Verdana" w:hAnsi="Verdana"/>
            <w:sz w:val="20"/>
            <w:szCs w:val="20"/>
          </w:rPr>
          <w:alias w:val="Contract Express"/>
          <w:tag w:val="d=ProsusAverageSharePrice%20Format%20%22thousands%22&amp;r="/>
          <w:id w:val="383100525"/>
        </w:sdtPr>
        <w:sdtEndPr/>
        <w:sdtContent>
          <w:r w:rsidR="004D2D88">
            <w:rPr>
              <w:rFonts w:ascii="Verdana" w:hAnsi="Verdana"/>
              <w:sz w:val="20"/>
              <w:szCs w:val="20"/>
            </w:rPr>
            <w:t>4</w:t>
          </w:r>
          <w:r w:rsidR="001163F3">
            <w:rPr>
              <w:rFonts w:ascii="Verdana" w:hAnsi="Verdana"/>
              <w:sz w:val="20"/>
              <w:szCs w:val="20"/>
            </w:rPr>
            <w:t>6</w:t>
          </w:r>
          <w:r w:rsidR="00C739C6">
            <w:rPr>
              <w:rFonts w:ascii="Verdana" w:hAnsi="Verdana"/>
              <w:sz w:val="20"/>
              <w:szCs w:val="20"/>
            </w:rPr>
            <w:t>.</w:t>
          </w:r>
          <w:r w:rsidR="001163F3">
            <w:rPr>
              <w:rFonts w:ascii="Verdana" w:hAnsi="Verdana"/>
              <w:sz w:val="20"/>
              <w:szCs w:val="20"/>
            </w:rPr>
            <w:t>8890</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863174251"/>
        </w:sdtPr>
        <w:sdtEndPr/>
        <w:sdtContent>
          <w:r w:rsidR="00FC68D6">
            <w:rPr>
              <w:rFonts w:ascii="Verdana" w:hAnsi="Verdana"/>
              <w:sz w:val="20"/>
              <w:szCs w:val="20"/>
            </w:rPr>
            <w:t>1</w:t>
          </w:r>
          <w:r w:rsidR="001163F3">
            <w:rPr>
              <w:rFonts w:ascii="Verdana" w:hAnsi="Verdana"/>
              <w:sz w:val="20"/>
              <w:szCs w:val="20"/>
            </w:rPr>
            <w:t>06</w:t>
          </w:r>
          <w:r w:rsidR="006E493D">
            <w:rPr>
              <w:rFonts w:ascii="Verdana" w:hAnsi="Verdana"/>
              <w:sz w:val="20"/>
              <w:szCs w:val="20"/>
            </w:rPr>
            <w:t>,</w:t>
          </w:r>
          <w:r w:rsidR="006C0352">
            <w:rPr>
              <w:rFonts w:ascii="Verdana" w:hAnsi="Verdana"/>
              <w:sz w:val="20"/>
              <w:szCs w:val="20"/>
            </w:rPr>
            <w:t>578</w:t>
          </w:r>
          <w:r w:rsidR="006E493D">
            <w:rPr>
              <w:rFonts w:ascii="Verdana" w:hAnsi="Verdana"/>
              <w:sz w:val="20"/>
              <w:szCs w:val="20"/>
            </w:rPr>
            <w:t>,</w:t>
          </w:r>
          <w:r w:rsidR="006C0352">
            <w:rPr>
              <w:rFonts w:ascii="Verdana" w:hAnsi="Verdana"/>
              <w:sz w:val="20"/>
              <w:szCs w:val="20"/>
            </w:rPr>
            <w:t>603</w:t>
          </w:r>
          <w:r w:rsidR="0013439A">
            <w:rPr>
              <w:rFonts w:ascii="Verdana" w:hAnsi="Verdana"/>
              <w:sz w:val="20"/>
              <w:szCs w:val="20"/>
            </w:rPr>
            <w:t>.</w:t>
          </w:r>
          <w:r w:rsidR="006C0352">
            <w:rPr>
              <w:rFonts w:ascii="Verdana" w:hAnsi="Verdana"/>
              <w:sz w:val="20"/>
              <w:szCs w:val="20"/>
            </w:rPr>
            <w:t>82</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2066280125"/>
        </w:sdtPr>
        <w:sdtEndPr/>
        <w:sdtContent>
          <w:r w:rsidR="00E30B2A">
            <w:rPr>
              <w:rFonts w:ascii="Verdana" w:hAnsi="Verdana"/>
              <w:sz w:val="20"/>
              <w:szCs w:val="20"/>
            </w:rPr>
            <w:t>1</w:t>
          </w:r>
          <w:r w:rsidR="006C0352">
            <w:rPr>
              <w:rFonts w:ascii="Verdana" w:hAnsi="Verdana"/>
              <w:sz w:val="20"/>
              <w:szCs w:val="20"/>
            </w:rPr>
            <w:t>25</w:t>
          </w:r>
          <w:r w:rsidR="006E493D">
            <w:rPr>
              <w:rFonts w:ascii="Verdana" w:hAnsi="Verdana"/>
              <w:sz w:val="20"/>
              <w:szCs w:val="20"/>
            </w:rPr>
            <w:t>,</w:t>
          </w:r>
          <w:r w:rsidR="006C0352">
            <w:rPr>
              <w:rFonts w:ascii="Verdana" w:hAnsi="Verdana"/>
              <w:sz w:val="20"/>
              <w:szCs w:val="20"/>
            </w:rPr>
            <w:t>352</w:t>
          </w:r>
          <w:r w:rsidR="006E493D">
            <w:rPr>
              <w:rFonts w:ascii="Verdana" w:hAnsi="Verdana"/>
              <w:sz w:val="20"/>
              <w:szCs w:val="20"/>
            </w:rPr>
            <w:t>,</w:t>
          </w:r>
          <w:r w:rsidR="00EE6841">
            <w:rPr>
              <w:rFonts w:ascii="Verdana" w:hAnsi="Verdana"/>
              <w:sz w:val="20"/>
              <w:szCs w:val="20"/>
            </w:rPr>
            <w:t>058</w:t>
          </w:r>
          <w:r w:rsidR="006E493D">
            <w:rPr>
              <w:rFonts w:ascii="Verdana" w:hAnsi="Verdana"/>
              <w:sz w:val="20"/>
              <w:szCs w:val="20"/>
            </w:rPr>
            <w:t>.</w:t>
          </w:r>
          <w:r w:rsidR="00EE6841">
            <w:rPr>
              <w:rFonts w:ascii="Verdana" w:hAnsi="Verdana"/>
              <w:sz w:val="20"/>
              <w:szCs w:val="20"/>
            </w:rPr>
            <w:t>00</w:t>
          </w:r>
        </w:sdtContent>
      </w:sdt>
      <w:r>
        <w:rPr>
          <w:rFonts w:ascii="Verdana" w:hAnsi="Verdana"/>
          <w:sz w:val="20"/>
          <w:szCs w:val="20"/>
        </w:rPr>
        <w:t xml:space="preserve">). </w:t>
      </w:r>
    </w:p>
    <w:p w14:paraId="0BE3166B" w14:textId="77777777" w:rsidR="005E503D" w:rsidRDefault="008C52B7" w:rsidP="00894D84">
      <w:pPr>
        <w:pStyle w:val="AODocTxt"/>
        <w:jc w:val="left"/>
        <w:rPr>
          <w:rFonts w:ascii="Verdana" w:hAnsi="Verdana"/>
          <w:sz w:val="20"/>
          <w:szCs w:val="20"/>
        </w:rPr>
      </w:pPr>
      <w:r>
        <w:rPr>
          <w:rFonts w:ascii="Verdana" w:hAnsi="Verdana"/>
          <w:sz w:val="20"/>
          <w:szCs w:val="20"/>
        </w:rPr>
        <w:t>More information on the Repurchase Programme is available on www.prosus.com/news/investors-shareholder-information/.</w:t>
      </w:r>
    </w:p>
    <w:p w14:paraId="0BE3166C" w14:textId="77777777" w:rsidR="005E503D" w:rsidRDefault="008C52B7">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750654485"/>
      </w:sdtPr>
      <w:sdtEndPr/>
      <w:sdtContent>
        <w:p w14:paraId="0BE3166D" w14:textId="39FB5FBA" w:rsidR="005E503D" w:rsidRDefault="00EE6841">
          <w:pPr>
            <w:pStyle w:val="AODocTxt"/>
            <w:spacing w:before="0"/>
            <w:rPr>
              <w:rFonts w:ascii="Verdana" w:hAnsi="Verdana"/>
              <w:sz w:val="20"/>
              <w:szCs w:val="20"/>
            </w:rPr>
          </w:pPr>
          <w:r>
            <w:rPr>
              <w:rFonts w:ascii="Verdana" w:hAnsi="Verdana"/>
            </w:rPr>
            <w:t xml:space="preserve">8 </w:t>
          </w:r>
          <w:r w:rsidR="00516636">
            <w:rPr>
              <w:rFonts w:ascii="Verdana" w:hAnsi="Verdana"/>
            </w:rPr>
            <w:t>Ju</w:t>
          </w:r>
          <w:r w:rsidR="00804E5A">
            <w:rPr>
              <w:rFonts w:ascii="Verdana" w:hAnsi="Verdana"/>
            </w:rPr>
            <w:t>ly</w:t>
          </w:r>
          <w:r w:rsidR="00FA7239">
            <w:rPr>
              <w:rFonts w:ascii="Verdana" w:hAnsi="Verdana"/>
              <w:sz w:val="20"/>
              <w:szCs w:val="20"/>
            </w:rPr>
            <w:t xml:space="preserve"> 2</w:t>
          </w:r>
          <w:r w:rsidR="008C52B7">
            <w:rPr>
              <w:rFonts w:ascii="Verdana" w:hAnsi="Verdana"/>
              <w:sz w:val="20"/>
              <w:szCs w:val="20"/>
            </w:rPr>
            <w:t>025</w:t>
          </w:r>
        </w:p>
      </w:sdtContent>
    </w:sdt>
    <w:p w14:paraId="07DFBAF2" w14:textId="77777777" w:rsidR="008C52B7" w:rsidRDefault="008C52B7" w:rsidP="008C52B7">
      <w:pPr>
        <w:pStyle w:val="AODocTxt"/>
        <w:rPr>
          <w:rFonts w:ascii="Verdana" w:hAnsi="Verdana"/>
          <w:sz w:val="20"/>
          <w:szCs w:val="20"/>
        </w:rPr>
      </w:pPr>
      <w:r>
        <w:rPr>
          <w:rFonts w:ascii="Verdana" w:hAnsi="Verdana"/>
          <w:sz w:val="20"/>
          <w:szCs w:val="20"/>
        </w:rPr>
        <w:t>JSE sponsor to Prosus</w:t>
      </w:r>
    </w:p>
    <w:p w14:paraId="2D13839F" w14:textId="77777777" w:rsidR="008C52B7" w:rsidRDefault="008C52B7" w:rsidP="008C52B7">
      <w:pPr>
        <w:pStyle w:val="AODocTxt"/>
        <w:spacing w:before="0"/>
        <w:rPr>
          <w:rFonts w:ascii="Verdana" w:hAnsi="Verdana"/>
          <w:sz w:val="20"/>
          <w:szCs w:val="20"/>
        </w:rPr>
      </w:pPr>
      <w:r>
        <w:rPr>
          <w:rFonts w:ascii="Verdana" w:hAnsi="Verdana"/>
          <w:sz w:val="20"/>
          <w:szCs w:val="20"/>
        </w:rPr>
        <w:t>Investec Bank Limited</w:t>
      </w:r>
    </w:p>
    <w:p w14:paraId="60AD3CF5" w14:textId="77777777" w:rsidR="008C52B7" w:rsidRDefault="008C52B7" w:rsidP="008C52B7">
      <w:pPr>
        <w:suppressAutoHyphens/>
        <w:jc w:val="both"/>
        <w:rPr>
          <w:rFonts w:ascii="Calibri" w:eastAsia="Arial" w:hAnsi="Calibri" w:cs="Calibri"/>
          <w:lang w:eastAsia="en-GB"/>
        </w:rPr>
      </w:pPr>
    </w:p>
    <w:p w14:paraId="710866CE" w14:textId="77777777" w:rsidR="008C52B7" w:rsidRDefault="008C52B7" w:rsidP="008C52B7">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8C52B7" w14:paraId="6C595102" w14:textId="77777777" w:rsidTr="00696C33">
        <w:tc>
          <w:tcPr>
            <w:tcW w:w="4815" w:type="dxa"/>
            <w:tcBorders>
              <w:top w:val="nil"/>
              <w:left w:val="nil"/>
              <w:bottom w:val="nil"/>
              <w:right w:val="nil"/>
            </w:tcBorders>
            <w:shd w:val="clear" w:color="auto" w:fill="auto"/>
            <w:hideMark/>
          </w:tcPr>
          <w:p w14:paraId="6A5CEAF0" w14:textId="77777777" w:rsidR="008C52B7" w:rsidRPr="005431FA"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09ADEE01"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09056A8"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8C52B7" w14:paraId="16A645A1" w14:textId="77777777" w:rsidTr="00696C33">
        <w:trPr>
          <w:trHeight w:val="110"/>
        </w:trPr>
        <w:tc>
          <w:tcPr>
            <w:tcW w:w="4815" w:type="dxa"/>
            <w:tcBorders>
              <w:top w:val="nil"/>
              <w:left w:val="nil"/>
              <w:bottom w:val="nil"/>
              <w:right w:val="nil"/>
            </w:tcBorders>
            <w:shd w:val="clear" w:color="auto" w:fill="auto"/>
            <w:hideMark/>
          </w:tcPr>
          <w:p w14:paraId="39859BCF" w14:textId="77777777" w:rsidR="008C52B7" w:rsidRPr="00B60C2F" w:rsidRDefault="008C52B7" w:rsidP="00696C33">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55B72532" w14:textId="77777777" w:rsidR="008C52B7" w:rsidRPr="00C6670E" w:rsidRDefault="008C52B7" w:rsidP="00696C33">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Charlie Pemberton, Communications Director</w:t>
            </w:r>
          </w:p>
        </w:tc>
        <w:tc>
          <w:tcPr>
            <w:tcW w:w="4380" w:type="dxa"/>
            <w:tcBorders>
              <w:top w:val="nil"/>
              <w:left w:val="nil"/>
              <w:bottom w:val="nil"/>
              <w:right w:val="nil"/>
            </w:tcBorders>
            <w:shd w:val="clear" w:color="auto" w:fill="auto"/>
            <w:hideMark/>
          </w:tcPr>
          <w:p w14:paraId="6E1AD690" w14:textId="77777777" w:rsidR="008C52B7" w:rsidRDefault="008C52B7" w:rsidP="00696C33">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2"/>
    </w:tbl>
    <w:p w14:paraId="03C9F9F3" w14:textId="77777777" w:rsidR="008C52B7" w:rsidRDefault="008C52B7" w:rsidP="008C52B7">
      <w:pPr>
        <w:suppressAutoHyphens/>
        <w:rPr>
          <w:rFonts w:ascii="Verdana" w:eastAsia="Verdana" w:hAnsi="Verdana" w:cs="Verdana"/>
          <w:b/>
          <w:color w:val="000000"/>
          <w:sz w:val="20"/>
          <w:szCs w:val="20"/>
          <w:lang w:eastAsia="en-GB"/>
        </w:rPr>
      </w:pPr>
    </w:p>
    <w:p w14:paraId="76868530" w14:textId="77777777" w:rsidR="008C52B7" w:rsidRDefault="008C52B7" w:rsidP="008C52B7">
      <w:pPr>
        <w:keepNext/>
        <w:spacing w:after="160" w:line="256" w:lineRule="auto"/>
        <w:jc w:val="both"/>
        <w:rPr>
          <w:rFonts w:ascii="Calibri" w:eastAsia="Calibri" w:hAnsi="Calibri" w:cs="Arial"/>
          <w:b/>
          <w:bCs/>
          <w:i/>
          <w:iCs/>
          <w:color w:val="000000"/>
          <w:sz w:val="16"/>
          <w:szCs w:val="16"/>
          <w:lang w:val="en-US"/>
        </w:rPr>
      </w:pPr>
      <w:bookmarkStart w:id="3" w:name="_Hlk179556295"/>
      <w:bookmarkStart w:id="4" w:name="_Hlk107580844"/>
      <w:r>
        <w:rPr>
          <w:rFonts w:ascii="Calibri" w:eastAsia="Calibri" w:hAnsi="Calibri" w:cs="Arial"/>
          <w:b/>
          <w:bCs/>
          <w:i/>
          <w:iCs/>
          <w:color w:val="000000"/>
          <w:sz w:val="16"/>
          <w:szCs w:val="16"/>
          <w:lang w:val="en-US"/>
        </w:rPr>
        <w:t>About Prosus</w:t>
      </w:r>
    </w:p>
    <w:bookmarkEnd w:id="3"/>
    <w:p w14:paraId="21B07F32"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Prosus is a global technology company, unlocking an AI-first world for our 2 billion customers.  With investments in more than 100 companies across the world, we are building local ecommerce champions in growth markets.</w:t>
      </w:r>
    </w:p>
    <w:p w14:paraId="0B0C6547"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With leading positions in Food Delivery, Classifieds and Fintech, Prosus has created its own unique technology ecosystem, driving innovation, knowledge sharing and growth across our portfolio.</w:t>
      </w:r>
    </w:p>
    <w:p w14:paraId="75960C89"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Through the Prosus Ventures team, the group invests in new technology growth opportunities within AI, social and ecommerce platforms, fintech, B2B software, logistics, health, blockchain, agriculture and more. </w:t>
      </w:r>
    </w:p>
    <w:p w14:paraId="186BE95F"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 xml:space="preserve">The team actively backs exceptional entrepreneurs who are using technology to improve people’s everyday lives. </w:t>
      </w:r>
    </w:p>
    <w:p w14:paraId="7EE48FE4" w14:textId="77777777" w:rsidR="008C52B7" w:rsidRPr="00FD75AB" w:rsidRDefault="008C52B7" w:rsidP="008C52B7">
      <w:pPr>
        <w:spacing w:after="160" w:line="256" w:lineRule="auto"/>
        <w:jc w:val="both"/>
        <w:rPr>
          <w:rFonts w:ascii="Calibri" w:eastAsia="Calibri" w:hAnsi="Calibri" w:cs="Arial"/>
          <w:color w:val="000000"/>
          <w:sz w:val="16"/>
          <w:szCs w:val="16"/>
          <w:lang w:val="en-US"/>
        </w:rPr>
      </w:pPr>
      <w:r w:rsidRPr="00FD75AB">
        <w:rPr>
          <w:rFonts w:ascii="Calibri" w:eastAsia="Calibri" w:hAnsi="Calibri" w:cs="Arial"/>
          <w:color w:val="000000"/>
          <w:sz w:val="16"/>
          <w:szCs w:val="16"/>
          <w:lang w:val="en-US"/>
        </w:rPr>
        <w:t>To find out more, please visit www.prosus.com.</w:t>
      </w:r>
    </w:p>
    <w:p w14:paraId="21710861" w14:textId="77777777" w:rsidR="008C52B7" w:rsidRDefault="008C52B7" w:rsidP="008C52B7">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085B301B"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2D513E7F"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20D75AF1"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0C88A00"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w:t>
      </w:r>
      <w:proofErr w:type="spellStart"/>
      <w:r>
        <w:rPr>
          <w:rFonts w:ascii="Calibri" w:eastAsia="Calibri" w:hAnsi="Calibri" w:cs="Arial"/>
          <w:color w:val="000000"/>
          <w:sz w:val="16"/>
          <w:szCs w:val="16"/>
          <w:lang w:val="en-US"/>
        </w:rPr>
        <w:t>Prosus’s</w:t>
      </w:r>
      <w:proofErr w:type="spellEnd"/>
      <w:r>
        <w:rPr>
          <w:rFonts w:ascii="Calibri" w:eastAsia="Calibri" w:hAnsi="Calibri" w:cs="Arial"/>
          <w:color w:val="000000"/>
          <w:sz w:val="16"/>
          <w:szCs w:val="16"/>
          <w:lang w:val="en-US"/>
        </w:rPr>
        <w:t xml:space="preserve">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2862C930" w14:textId="77777777" w:rsidR="008C52B7" w:rsidRDefault="008C52B7" w:rsidP="008C52B7">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4"/>
    </w:p>
    <w:p w14:paraId="70CD1033" w14:textId="77777777" w:rsidR="008C52B7" w:rsidRDefault="008C52B7" w:rsidP="008C52B7">
      <w:pPr>
        <w:pStyle w:val="AODocTxt"/>
        <w:rPr>
          <w:rFonts w:ascii="Calibri" w:eastAsia="Calibri" w:hAnsi="Calibri" w:cs="Arial"/>
          <w:color w:val="000000"/>
          <w:sz w:val="16"/>
          <w:szCs w:val="16"/>
          <w:lang w:val="en-US"/>
        </w:rPr>
      </w:pPr>
    </w:p>
    <w:p w14:paraId="0BE31688" w14:textId="5D3CFDC1" w:rsidR="005E503D" w:rsidRDefault="005E503D" w:rsidP="008C52B7">
      <w:pPr>
        <w:pStyle w:val="AODocTxt"/>
        <w:rPr>
          <w:rFonts w:ascii="Calibri" w:eastAsia="Calibri" w:hAnsi="Calibri" w:cs="Arial"/>
          <w:color w:val="000000"/>
          <w:sz w:val="16"/>
          <w:szCs w:val="16"/>
          <w:lang w:val="en-US"/>
        </w:rPr>
      </w:pPr>
    </w:p>
    <w:sectPr w:rsidR="005E503D">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EB9B" w14:textId="77777777" w:rsidR="00DB1109" w:rsidRDefault="00DB1109">
      <w:r>
        <w:separator/>
      </w:r>
    </w:p>
  </w:endnote>
  <w:endnote w:type="continuationSeparator" w:id="0">
    <w:p w14:paraId="66D32A7A" w14:textId="77777777" w:rsidR="00DB1109" w:rsidRDefault="00DB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8C52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BE92" w14:textId="77777777" w:rsidR="00DB1109" w:rsidRDefault="00DB1109">
      <w:r>
        <w:separator/>
      </w:r>
    </w:p>
  </w:footnote>
  <w:footnote w:type="continuationSeparator" w:id="0">
    <w:p w14:paraId="431FDB84" w14:textId="77777777" w:rsidR="00DB1109" w:rsidRDefault="00DB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44006FA">
      <w:start w:val="1"/>
      <w:numFmt w:val="bullet"/>
      <w:lvlText w:val=""/>
      <w:lvlJc w:val="left"/>
      <w:pPr>
        <w:ind w:left="720" w:hanging="360"/>
      </w:pPr>
      <w:rPr>
        <w:rFonts w:ascii="Symbol" w:hAnsi="Symbol" w:hint="default"/>
      </w:rPr>
    </w:lvl>
    <w:lvl w:ilvl="1" w:tplc="15280838" w:tentative="1">
      <w:start w:val="1"/>
      <w:numFmt w:val="bullet"/>
      <w:lvlText w:val="o"/>
      <w:lvlJc w:val="left"/>
      <w:pPr>
        <w:ind w:left="1440" w:hanging="360"/>
      </w:pPr>
      <w:rPr>
        <w:rFonts w:ascii="Courier New" w:hAnsi="Courier New" w:cs="Courier New" w:hint="default"/>
      </w:rPr>
    </w:lvl>
    <w:lvl w:ilvl="2" w:tplc="97FC12AE" w:tentative="1">
      <w:start w:val="1"/>
      <w:numFmt w:val="bullet"/>
      <w:lvlText w:val=""/>
      <w:lvlJc w:val="left"/>
      <w:pPr>
        <w:ind w:left="2160" w:hanging="360"/>
      </w:pPr>
      <w:rPr>
        <w:rFonts w:ascii="Wingdings" w:hAnsi="Wingdings" w:hint="default"/>
      </w:rPr>
    </w:lvl>
    <w:lvl w:ilvl="3" w:tplc="0EA4E94C" w:tentative="1">
      <w:start w:val="1"/>
      <w:numFmt w:val="bullet"/>
      <w:lvlText w:val=""/>
      <w:lvlJc w:val="left"/>
      <w:pPr>
        <w:ind w:left="2880" w:hanging="360"/>
      </w:pPr>
      <w:rPr>
        <w:rFonts w:ascii="Symbol" w:hAnsi="Symbol" w:hint="default"/>
      </w:rPr>
    </w:lvl>
    <w:lvl w:ilvl="4" w:tplc="9042BCC8" w:tentative="1">
      <w:start w:val="1"/>
      <w:numFmt w:val="bullet"/>
      <w:lvlText w:val="o"/>
      <w:lvlJc w:val="left"/>
      <w:pPr>
        <w:ind w:left="3600" w:hanging="360"/>
      </w:pPr>
      <w:rPr>
        <w:rFonts w:ascii="Courier New" w:hAnsi="Courier New" w:cs="Courier New" w:hint="default"/>
      </w:rPr>
    </w:lvl>
    <w:lvl w:ilvl="5" w:tplc="E92252D8" w:tentative="1">
      <w:start w:val="1"/>
      <w:numFmt w:val="bullet"/>
      <w:lvlText w:val=""/>
      <w:lvlJc w:val="left"/>
      <w:pPr>
        <w:ind w:left="4320" w:hanging="360"/>
      </w:pPr>
      <w:rPr>
        <w:rFonts w:ascii="Wingdings" w:hAnsi="Wingdings" w:hint="default"/>
      </w:rPr>
    </w:lvl>
    <w:lvl w:ilvl="6" w:tplc="96943DF4" w:tentative="1">
      <w:start w:val="1"/>
      <w:numFmt w:val="bullet"/>
      <w:lvlText w:val=""/>
      <w:lvlJc w:val="left"/>
      <w:pPr>
        <w:ind w:left="5040" w:hanging="360"/>
      </w:pPr>
      <w:rPr>
        <w:rFonts w:ascii="Symbol" w:hAnsi="Symbol" w:hint="default"/>
      </w:rPr>
    </w:lvl>
    <w:lvl w:ilvl="7" w:tplc="2024689E" w:tentative="1">
      <w:start w:val="1"/>
      <w:numFmt w:val="bullet"/>
      <w:lvlText w:val="o"/>
      <w:lvlJc w:val="left"/>
      <w:pPr>
        <w:ind w:left="5760" w:hanging="360"/>
      </w:pPr>
      <w:rPr>
        <w:rFonts w:ascii="Courier New" w:hAnsi="Courier New" w:cs="Courier New" w:hint="default"/>
      </w:rPr>
    </w:lvl>
    <w:lvl w:ilvl="8" w:tplc="D5AA7C4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3"/>
    <w:rsid w:val="00013948"/>
    <w:rsid w:val="00027CAF"/>
    <w:rsid w:val="000466BE"/>
    <w:rsid w:val="00046E02"/>
    <w:rsid w:val="000A3AC1"/>
    <w:rsid w:val="000C3694"/>
    <w:rsid w:val="000C6FF4"/>
    <w:rsid w:val="00102DCA"/>
    <w:rsid w:val="0011376F"/>
    <w:rsid w:val="0011626C"/>
    <w:rsid w:val="001163F3"/>
    <w:rsid w:val="0013439A"/>
    <w:rsid w:val="001362D2"/>
    <w:rsid w:val="00144494"/>
    <w:rsid w:val="0014571A"/>
    <w:rsid w:val="00156B20"/>
    <w:rsid w:val="00183A70"/>
    <w:rsid w:val="00195F07"/>
    <w:rsid w:val="001B49A7"/>
    <w:rsid w:val="001C33E2"/>
    <w:rsid w:val="001C6E03"/>
    <w:rsid w:val="001D3126"/>
    <w:rsid w:val="001F7367"/>
    <w:rsid w:val="0020277B"/>
    <w:rsid w:val="002266AF"/>
    <w:rsid w:val="0022699B"/>
    <w:rsid w:val="00245DDB"/>
    <w:rsid w:val="00251164"/>
    <w:rsid w:val="002D5AE6"/>
    <w:rsid w:val="00342B79"/>
    <w:rsid w:val="00354B21"/>
    <w:rsid w:val="00357580"/>
    <w:rsid w:val="003D2AF2"/>
    <w:rsid w:val="003D720C"/>
    <w:rsid w:val="003F0B94"/>
    <w:rsid w:val="00424C22"/>
    <w:rsid w:val="004252ED"/>
    <w:rsid w:val="004617B5"/>
    <w:rsid w:val="004B47C7"/>
    <w:rsid w:val="004C18BF"/>
    <w:rsid w:val="004D2D88"/>
    <w:rsid w:val="004D2F8A"/>
    <w:rsid w:val="004E3B40"/>
    <w:rsid w:val="004E685E"/>
    <w:rsid w:val="00516636"/>
    <w:rsid w:val="00546725"/>
    <w:rsid w:val="005535E6"/>
    <w:rsid w:val="00573078"/>
    <w:rsid w:val="00580FBD"/>
    <w:rsid w:val="00585EF3"/>
    <w:rsid w:val="00587712"/>
    <w:rsid w:val="00592F6D"/>
    <w:rsid w:val="005B24A3"/>
    <w:rsid w:val="005E503D"/>
    <w:rsid w:val="005F2DFF"/>
    <w:rsid w:val="005F7B63"/>
    <w:rsid w:val="00613F61"/>
    <w:rsid w:val="00621001"/>
    <w:rsid w:val="006372E0"/>
    <w:rsid w:val="00663C31"/>
    <w:rsid w:val="0068336B"/>
    <w:rsid w:val="006C0352"/>
    <w:rsid w:val="006D1705"/>
    <w:rsid w:val="006E493D"/>
    <w:rsid w:val="006F135D"/>
    <w:rsid w:val="007006D7"/>
    <w:rsid w:val="00712A27"/>
    <w:rsid w:val="0073699B"/>
    <w:rsid w:val="0075273C"/>
    <w:rsid w:val="007C548B"/>
    <w:rsid w:val="007C5E54"/>
    <w:rsid w:val="007F7025"/>
    <w:rsid w:val="00804E5A"/>
    <w:rsid w:val="00854B42"/>
    <w:rsid w:val="00894D84"/>
    <w:rsid w:val="008A767B"/>
    <w:rsid w:val="008B39BC"/>
    <w:rsid w:val="008C4EF6"/>
    <w:rsid w:val="008C52B7"/>
    <w:rsid w:val="008C7FA3"/>
    <w:rsid w:val="008E5BE0"/>
    <w:rsid w:val="009345DF"/>
    <w:rsid w:val="00947889"/>
    <w:rsid w:val="009A0304"/>
    <w:rsid w:val="009E73FB"/>
    <w:rsid w:val="009F7786"/>
    <w:rsid w:val="00A31B41"/>
    <w:rsid w:val="00A400B0"/>
    <w:rsid w:val="00AC4FAD"/>
    <w:rsid w:val="00AF45CD"/>
    <w:rsid w:val="00AF5529"/>
    <w:rsid w:val="00B063CB"/>
    <w:rsid w:val="00B10AC5"/>
    <w:rsid w:val="00B216DD"/>
    <w:rsid w:val="00B46D67"/>
    <w:rsid w:val="00B62308"/>
    <w:rsid w:val="00BA6487"/>
    <w:rsid w:val="00BB32D4"/>
    <w:rsid w:val="00BB3730"/>
    <w:rsid w:val="00BC39F3"/>
    <w:rsid w:val="00BC45F6"/>
    <w:rsid w:val="00BC4F76"/>
    <w:rsid w:val="00BD1868"/>
    <w:rsid w:val="00BF0FC1"/>
    <w:rsid w:val="00C0610B"/>
    <w:rsid w:val="00C27A17"/>
    <w:rsid w:val="00C3681E"/>
    <w:rsid w:val="00C739C6"/>
    <w:rsid w:val="00C83A6A"/>
    <w:rsid w:val="00C8732C"/>
    <w:rsid w:val="00CA3CD3"/>
    <w:rsid w:val="00CB5195"/>
    <w:rsid w:val="00D35465"/>
    <w:rsid w:val="00D35D5F"/>
    <w:rsid w:val="00D64185"/>
    <w:rsid w:val="00D66D6E"/>
    <w:rsid w:val="00DB1109"/>
    <w:rsid w:val="00DC18A8"/>
    <w:rsid w:val="00DD53D7"/>
    <w:rsid w:val="00E24D6B"/>
    <w:rsid w:val="00E26341"/>
    <w:rsid w:val="00E30B2A"/>
    <w:rsid w:val="00E3338D"/>
    <w:rsid w:val="00E50A8B"/>
    <w:rsid w:val="00E64826"/>
    <w:rsid w:val="00EB36F9"/>
    <w:rsid w:val="00EB5094"/>
    <w:rsid w:val="00EE069F"/>
    <w:rsid w:val="00EE6841"/>
    <w:rsid w:val="00F25631"/>
    <w:rsid w:val="00FA43B6"/>
    <w:rsid w:val="00FA7239"/>
    <w:rsid w:val="00FB3D83"/>
    <w:rsid w:val="00FC68D6"/>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1.xml"/><Relationship Id="rId16"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C2507-00586</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Buyback announcement - 30 June 2025 - 04 July 2025.docx</AFM_dms_origineleBestandsnaam>
    <AFM_dms_Grondslag xmlns="bedada9c-9ff6-4a90-bed1-7f262f8682ad" xsi:nil="true"/>
    <AFM_dms_Melder xmlns="bedada9c-9ff6-4a90-bed1-7f262f8682ad" xsi:nil="true"/>
    <_dlc_DocId xmlns="5fe4e853-3417-48a7-a9b2-767e16cca7ad">MAR17MELD-955777008-82447</_dlc_DocId>
    <_dlc_DocIdUrl xmlns="5fe4e853-3417-48a7-a9b2-767e16cca7ad">
      <Url>https://afmap.sharepoint.com/sites/afmdms_mar17meldingen/_layouts/15/DocIdRedir.aspx?ID=MAR17MELD-955777008-82447</Url>
      <Description>MAR17MELD-955777008-82447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9.8.37389.0" MinimumVersion="7.2.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2.xml><?xml version="1.0" encoding="utf-8"?>
<ds:datastoreItem xmlns:ds="http://schemas.openxmlformats.org/officeDocument/2006/customXml" ds:itemID="{1EBBF35D-6226-4E89-A7B5-CC179437CA1B}"/>
</file>

<file path=customXml/itemProps3.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4.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5.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6.xml><?xml version="1.0" encoding="utf-8"?>
<ds:datastoreItem xmlns:ds="http://schemas.openxmlformats.org/officeDocument/2006/customXml" ds:itemID="{97C2BC9F-D31A-4B13-B466-06FFAC3D27FE}"/>
</file>

<file path=customXml/itemProps7.xml><?xml version="1.0" encoding="utf-8"?>
<ds:datastoreItem xmlns:ds="http://schemas.openxmlformats.org/officeDocument/2006/customXml" ds:itemID="{A1AA6FF1-EDFC-4FEC-AC2E-C15630D2AE00}"/>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3782</Characters>
  <Application>Microsoft Office Word</Application>
  <DocSecurity>0</DocSecurity>
  <Lines>60</Lines>
  <Paragraphs>37</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cp:lastModifiedBy>Tonilee Lutz</cp:lastModifiedBy>
  <cp:revision>53</cp:revision>
  <dcterms:created xsi:type="dcterms:W3CDTF">2025-04-22T14:10:00Z</dcterms:created>
  <dcterms:modified xsi:type="dcterms:W3CDTF">2025-07-08T08:16:00Z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AAAAAAAaGLE=</vt:lpwstr>
  </property>
  <property fmtid="{D5CDD505-2E9C-101B-9397-08002B2CF9AE}" pid="4" name="db_document_id">
    <vt:lpwstr>13360</vt:lpwstr>
  </property>
  <property fmtid="{D5CDD505-2E9C-101B-9397-08002B2CF9AE}" pid="5" name="MediaServiceImageTags">
    <vt:lpwstr/>
  </property>
  <property fmtid="{D5CDD505-2E9C-101B-9397-08002B2CF9AE}" pid="6" name="GrammarlyDocumentId">
    <vt:lpwstr>440a1789-573e-4045-bdcb-12ef0ea8b0fe</vt:lpwstr>
  </property>
  <property fmtid="{D5CDD505-2E9C-101B-9397-08002B2CF9AE}" pid="7" name="_dlc_DocIdItemGuid">
    <vt:lpwstr>84f3bfae-041e-40fc-8782-b27198321c33</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