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3165E" w14:textId="77777777" w:rsidR="005E503D" w:rsidRDefault="008C52B7">
      <w:pPr>
        <w:pStyle w:val="WWBodyText"/>
        <w:spacing w:after="0" w:line="240" w:lineRule="auto"/>
        <w:jc w:val="center"/>
        <w:rPr>
          <w:rFonts w:ascii="Verdana" w:hAnsi="Verdana"/>
          <w:b/>
          <w:sz w:val="20"/>
          <w:szCs w:val="20"/>
        </w:rPr>
      </w:pPr>
      <w:r>
        <w:rPr>
          <w:rFonts w:ascii="Verdana" w:hAnsi="Verdana"/>
          <w:b/>
          <w:sz w:val="20"/>
          <w:szCs w:val="20"/>
        </w:rPr>
        <w:t>Prosus N.V.</w:t>
      </w:r>
    </w:p>
    <w:p w14:paraId="0BE3165F" w14:textId="77777777" w:rsidR="005E503D" w:rsidRDefault="008C52B7">
      <w:pPr>
        <w:pStyle w:val="WWBodyText"/>
        <w:spacing w:after="0" w:line="240" w:lineRule="auto"/>
        <w:jc w:val="center"/>
        <w:rPr>
          <w:rFonts w:ascii="Verdana" w:hAnsi="Verdana"/>
          <w:sz w:val="20"/>
          <w:szCs w:val="20"/>
        </w:rPr>
      </w:pPr>
      <w:r>
        <w:rPr>
          <w:rFonts w:ascii="Verdana" w:hAnsi="Verdana"/>
          <w:sz w:val="20"/>
          <w:szCs w:val="20"/>
        </w:rPr>
        <w:t>(Incorporated in the Netherlands)</w:t>
      </w:r>
    </w:p>
    <w:p w14:paraId="0BE31660" w14:textId="77777777" w:rsidR="005E503D" w:rsidRDefault="008C52B7">
      <w:pPr>
        <w:pStyle w:val="WWBodyText"/>
        <w:spacing w:after="0" w:line="240" w:lineRule="auto"/>
        <w:jc w:val="center"/>
        <w:rPr>
          <w:rFonts w:ascii="Verdana" w:hAnsi="Verdana"/>
          <w:sz w:val="20"/>
          <w:szCs w:val="20"/>
        </w:rPr>
      </w:pPr>
      <w:r>
        <w:rPr>
          <w:rFonts w:ascii="Verdana" w:hAnsi="Verdana"/>
          <w:sz w:val="20"/>
          <w:szCs w:val="20"/>
        </w:rPr>
        <w:t>(Legal Entity Identifier: 635400Z5LQ5F9OLVT688)</w:t>
      </w:r>
    </w:p>
    <w:p w14:paraId="0BE31661" w14:textId="77777777" w:rsidR="005E503D" w:rsidRDefault="008C52B7">
      <w:pPr>
        <w:pStyle w:val="WWBodyText"/>
        <w:spacing w:after="0" w:line="240" w:lineRule="auto"/>
        <w:jc w:val="center"/>
        <w:rPr>
          <w:rFonts w:ascii="Verdana" w:hAnsi="Verdana"/>
          <w:sz w:val="20"/>
          <w:szCs w:val="20"/>
          <w:lang w:val="en-ZA"/>
        </w:rPr>
      </w:pPr>
      <w:r>
        <w:rPr>
          <w:rFonts w:ascii="Verdana" w:hAnsi="Verdana"/>
          <w:sz w:val="20"/>
          <w:szCs w:val="20"/>
          <w:lang w:val="en-ZA"/>
        </w:rPr>
        <w:t>AEX and JSE Share Code: PRX ISIN: NL0013654783</w:t>
      </w:r>
    </w:p>
    <w:p w14:paraId="0BE31662" w14:textId="77777777" w:rsidR="005E503D" w:rsidRDefault="008C52B7">
      <w:pPr>
        <w:pStyle w:val="WWBodyText"/>
        <w:spacing w:line="240" w:lineRule="auto"/>
        <w:jc w:val="center"/>
        <w:rPr>
          <w:rFonts w:ascii="Verdana" w:hAnsi="Verdana"/>
          <w:sz w:val="20"/>
          <w:szCs w:val="20"/>
          <w:lang w:val="en-ZA"/>
        </w:rPr>
      </w:pPr>
      <w:r>
        <w:rPr>
          <w:rFonts w:ascii="Verdana" w:hAnsi="Verdana"/>
          <w:sz w:val="20"/>
          <w:szCs w:val="20"/>
          <w:lang w:val="en-ZA"/>
        </w:rPr>
        <w:t>(</w:t>
      </w:r>
      <w:r>
        <w:rPr>
          <w:rFonts w:ascii="Verdana" w:hAnsi="Verdana"/>
          <w:b/>
          <w:sz w:val="20"/>
          <w:szCs w:val="20"/>
          <w:lang w:val="en-ZA"/>
        </w:rPr>
        <w:t>Prosus</w:t>
      </w:r>
      <w:r>
        <w:rPr>
          <w:rFonts w:ascii="Verdana" w:hAnsi="Verdana"/>
          <w:sz w:val="20"/>
          <w:szCs w:val="20"/>
          <w:lang w:val="en-ZA"/>
        </w:rPr>
        <w:t>)</w:t>
      </w:r>
    </w:p>
    <w:p w14:paraId="0BE31663" w14:textId="77777777" w:rsidR="005E503D" w:rsidRDefault="008C52B7">
      <w:pPr>
        <w:pStyle w:val="AOHead1"/>
        <w:numPr>
          <w:ilvl w:val="0"/>
          <w:numId w:val="0"/>
        </w:numPr>
        <w:ind w:left="720" w:hanging="720"/>
        <w:jc w:val="center"/>
        <w:rPr>
          <w:rFonts w:ascii="Verdana" w:hAnsi="Verdana"/>
          <w:sz w:val="20"/>
          <w:szCs w:val="20"/>
        </w:rPr>
      </w:pPr>
      <w:r>
        <w:rPr>
          <w:rFonts w:ascii="Verdana" w:hAnsi="Verdana"/>
          <w:sz w:val="20"/>
          <w:szCs w:val="20"/>
        </w:rPr>
        <w:t>Update on REPURCHASE Programme</w:t>
      </w:r>
    </w:p>
    <w:p w14:paraId="0BE31664" w14:textId="77777777" w:rsidR="005E503D" w:rsidRDefault="008C52B7">
      <w:pPr>
        <w:pStyle w:val="AODocTxt"/>
        <w:rPr>
          <w:rFonts w:ascii="Verdana" w:hAnsi="Verdana"/>
          <w:sz w:val="20"/>
          <w:szCs w:val="20"/>
        </w:rPr>
      </w:pPr>
      <w:r>
        <w:rPr>
          <w:rFonts w:ascii="Verdana" w:hAnsi="Verdana"/>
          <w:sz w:val="20"/>
          <w:szCs w:val="20"/>
        </w:rPr>
        <w:t xml:space="preserve">Prosus today announces an update to </w:t>
      </w:r>
      <w:bookmarkStart w:id="0" w:name="_Hlk107580913"/>
      <w:r>
        <w:rPr>
          <w:rFonts w:ascii="Verdana" w:hAnsi="Verdana"/>
          <w:sz w:val="20"/>
          <w:szCs w:val="20"/>
        </w:rPr>
        <w:t>the open-ended, repurchase programme in respect of the ordinary shares N in the capital of Prosus ("</w:t>
      </w:r>
      <w:r>
        <w:rPr>
          <w:rFonts w:ascii="Verdana" w:hAnsi="Verdana"/>
          <w:b/>
          <w:bCs/>
          <w:sz w:val="20"/>
          <w:szCs w:val="20"/>
        </w:rPr>
        <w:t>Prosus Shares</w:t>
      </w:r>
      <w:r>
        <w:rPr>
          <w:rFonts w:ascii="Verdana" w:hAnsi="Verdana"/>
          <w:sz w:val="20"/>
          <w:szCs w:val="20"/>
        </w:rPr>
        <w:t>") and N ordinary shares in the share capital of Naspers ("</w:t>
      </w:r>
      <w:r>
        <w:rPr>
          <w:rFonts w:ascii="Verdana" w:hAnsi="Verdana"/>
          <w:b/>
          <w:bCs/>
          <w:sz w:val="20"/>
          <w:szCs w:val="20"/>
        </w:rPr>
        <w:t>Naspers Shares</w:t>
      </w:r>
      <w:r>
        <w:rPr>
          <w:rFonts w:ascii="Verdana" w:hAnsi="Verdana"/>
          <w:sz w:val="20"/>
          <w:szCs w:val="20"/>
        </w:rPr>
        <w:t>"), from the respective Prosus and Naspers (together the “</w:t>
      </w:r>
      <w:r>
        <w:rPr>
          <w:rFonts w:ascii="Verdana" w:hAnsi="Verdana"/>
          <w:b/>
          <w:bCs/>
          <w:sz w:val="20"/>
          <w:szCs w:val="20"/>
        </w:rPr>
        <w:t>Group</w:t>
      </w:r>
      <w:r>
        <w:rPr>
          <w:rFonts w:ascii="Verdana" w:hAnsi="Verdana"/>
          <w:sz w:val="20"/>
          <w:szCs w:val="20"/>
        </w:rPr>
        <w:t>”) free-float shareholders</w:t>
      </w:r>
      <w:bookmarkEnd w:id="0"/>
      <w:r>
        <w:rPr>
          <w:rFonts w:ascii="Verdana" w:hAnsi="Verdana"/>
          <w:sz w:val="20"/>
          <w:szCs w:val="20"/>
        </w:rPr>
        <w:t xml:space="preserve"> </w:t>
      </w:r>
      <w:bookmarkStart w:id="1" w:name="_Hlk107580931"/>
      <w:r>
        <w:rPr>
          <w:rFonts w:ascii="Verdana" w:hAnsi="Verdana"/>
          <w:sz w:val="20"/>
          <w:szCs w:val="20"/>
        </w:rPr>
        <w:t>(together the “</w:t>
      </w:r>
      <w:r>
        <w:rPr>
          <w:rFonts w:ascii="Verdana" w:hAnsi="Verdana"/>
          <w:b/>
          <w:bCs/>
          <w:sz w:val="20"/>
          <w:szCs w:val="20"/>
        </w:rPr>
        <w:t>Repurchase Programme</w:t>
      </w:r>
      <w:r>
        <w:rPr>
          <w:rFonts w:ascii="Verdana" w:hAnsi="Verdana"/>
          <w:sz w:val="20"/>
          <w:szCs w:val="20"/>
        </w:rPr>
        <w:t xml:space="preserve">”) </w:t>
      </w:r>
      <w:bookmarkEnd w:id="1"/>
      <w:r>
        <w:rPr>
          <w:rFonts w:ascii="Verdana" w:hAnsi="Verdana"/>
          <w:sz w:val="20"/>
          <w:szCs w:val="20"/>
        </w:rPr>
        <w:t>announced on 27 June 2022.</w:t>
      </w:r>
    </w:p>
    <w:p w14:paraId="0BE31666" w14:textId="6AE039AD" w:rsidR="005E503D" w:rsidRDefault="008C52B7" w:rsidP="00894D84">
      <w:pPr>
        <w:pStyle w:val="AODocTxt"/>
        <w:rPr>
          <w:rFonts w:ascii="Verdana" w:hAnsi="Verdana"/>
          <w:sz w:val="20"/>
          <w:szCs w:val="20"/>
        </w:rPr>
      </w:pPr>
      <w:r>
        <w:rPr>
          <w:rFonts w:ascii="Verdana" w:hAnsi="Verdana"/>
          <w:sz w:val="20"/>
          <w:szCs w:val="20"/>
        </w:rPr>
        <w:t xml:space="preserve">As part of the Repurchase Programme, for the period between </w:t>
      </w:r>
      <w:sdt>
        <w:sdtPr>
          <w:rPr>
            <w:rFonts w:ascii="Verdana" w:hAnsi="Verdana"/>
            <w:sz w:val="20"/>
            <w:szCs w:val="20"/>
          </w:rPr>
          <w:alias w:val="Contract Express"/>
          <w:tag w:val="d=AnnouncementPeriodStartDate&amp;r="/>
          <w:id w:val="1206638881"/>
        </w:sdtPr>
        <w:sdtEndPr/>
        <w:sdtContent>
          <w:r w:rsidR="000E15D0">
            <w:rPr>
              <w:rFonts w:ascii="Verdana" w:hAnsi="Verdana"/>
              <w:sz w:val="20"/>
              <w:szCs w:val="20"/>
            </w:rPr>
            <w:t>21</w:t>
          </w:r>
          <w:r w:rsidR="00EB18E2">
            <w:rPr>
              <w:rFonts w:ascii="Verdana" w:hAnsi="Verdana"/>
              <w:sz w:val="20"/>
              <w:szCs w:val="20"/>
            </w:rPr>
            <w:t xml:space="preserve"> July</w:t>
          </w:r>
          <w:r w:rsidR="005F7B63">
            <w:rPr>
              <w:rFonts w:ascii="Verdana" w:hAnsi="Verdana"/>
              <w:sz w:val="20"/>
              <w:szCs w:val="20"/>
            </w:rPr>
            <w:t xml:space="preserve"> </w:t>
          </w:r>
          <w:r>
            <w:rPr>
              <w:rFonts w:ascii="Verdana" w:hAnsi="Verdana"/>
              <w:sz w:val="20"/>
              <w:szCs w:val="20"/>
            </w:rPr>
            <w:t>2025</w:t>
          </w:r>
        </w:sdtContent>
      </w:sdt>
      <w:r>
        <w:rPr>
          <w:rFonts w:ascii="Verdana" w:hAnsi="Verdana"/>
          <w:sz w:val="20"/>
          <w:szCs w:val="20"/>
        </w:rPr>
        <w:t xml:space="preserve"> and </w:t>
      </w:r>
      <w:sdt>
        <w:sdtPr>
          <w:rPr>
            <w:rFonts w:ascii="Verdana" w:hAnsi="Verdana"/>
            <w:sz w:val="20"/>
            <w:szCs w:val="20"/>
          </w:rPr>
          <w:alias w:val="Contract Express"/>
          <w:tag w:val="d=AnnouncementPeriodEndDate&amp;r="/>
          <w:id w:val="2040381276"/>
        </w:sdtPr>
        <w:sdtEndPr/>
        <w:sdtContent>
          <w:r w:rsidR="00F104EA">
            <w:rPr>
              <w:rFonts w:ascii="Verdana" w:hAnsi="Verdana"/>
              <w:sz w:val="20"/>
              <w:szCs w:val="20"/>
            </w:rPr>
            <w:t xml:space="preserve">25 </w:t>
          </w:r>
          <w:r w:rsidR="000C3694">
            <w:rPr>
              <w:rFonts w:ascii="Verdana" w:hAnsi="Verdana"/>
              <w:sz w:val="20"/>
              <w:szCs w:val="20"/>
            </w:rPr>
            <w:t>July</w:t>
          </w:r>
          <w:r>
            <w:rPr>
              <w:rFonts w:ascii="Verdana" w:hAnsi="Verdana"/>
              <w:sz w:val="20"/>
              <w:szCs w:val="20"/>
            </w:rPr>
            <w:t xml:space="preserve"> 2025</w:t>
          </w:r>
        </w:sdtContent>
      </w:sdt>
      <w:r>
        <w:rPr>
          <w:rFonts w:ascii="Verdana" w:hAnsi="Verdana"/>
          <w:sz w:val="20"/>
          <w:szCs w:val="20"/>
        </w:rPr>
        <w:t xml:space="preserve">, Prosus repurchased </w:t>
      </w:r>
      <w:r w:rsidR="000C3694">
        <w:rPr>
          <w:rFonts w:ascii="Verdana" w:hAnsi="Verdana"/>
          <w:sz w:val="20"/>
          <w:szCs w:val="20"/>
        </w:rPr>
        <w:t>2</w:t>
      </w:r>
      <w:r w:rsidR="0075273C">
        <w:rPr>
          <w:rFonts w:ascii="Verdana" w:hAnsi="Verdana"/>
          <w:sz w:val="20"/>
          <w:szCs w:val="20"/>
        </w:rPr>
        <w:t>,</w:t>
      </w:r>
      <w:r w:rsidR="000E15D0">
        <w:rPr>
          <w:rFonts w:ascii="Verdana" w:hAnsi="Verdana"/>
          <w:sz w:val="20"/>
          <w:szCs w:val="20"/>
        </w:rPr>
        <w:t>252</w:t>
      </w:r>
      <w:r w:rsidR="0075273C">
        <w:rPr>
          <w:rFonts w:ascii="Verdana" w:hAnsi="Verdana"/>
          <w:sz w:val="20"/>
          <w:szCs w:val="20"/>
        </w:rPr>
        <w:t>,</w:t>
      </w:r>
      <w:r w:rsidR="000E15D0">
        <w:rPr>
          <w:rFonts w:ascii="Verdana" w:hAnsi="Verdana"/>
          <w:sz w:val="20"/>
          <w:szCs w:val="20"/>
        </w:rPr>
        <w:t>449</w:t>
      </w:r>
      <w:r w:rsidR="00251164">
        <w:rPr>
          <w:rFonts w:ascii="Verdana" w:hAnsi="Verdana"/>
          <w:sz w:val="20"/>
          <w:szCs w:val="20"/>
        </w:rPr>
        <w:t xml:space="preserve"> </w:t>
      </w:r>
      <w:r>
        <w:rPr>
          <w:rFonts w:ascii="Verdana" w:hAnsi="Verdana"/>
          <w:sz w:val="20"/>
          <w:szCs w:val="20"/>
        </w:rPr>
        <w:t>Prosus Shares at an average price of €</w:t>
      </w:r>
      <w:sdt>
        <w:sdtPr>
          <w:rPr>
            <w:rFonts w:ascii="Verdana" w:hAnsi="Verdana"/>
            <w:sz w:val="20"/>
            <w:szCs w:val="20"/>
          </w:rPr>
          <w:alias w:val="Contract Express"/>
          <w:tag w:val="d=ProsusAverageSharePrice%20Format%20%22thousands%22&amp;r="/>
          <w:id w:val="383100525"/>
        </w:sdtPr>
        <w:sdtEndPr/>
        <w:sdtContent>
          <w:r w:rsidR="000E15D0">
            <w:rPr>
              <w:rFonts w:ascii="Verdana" w:hAnsi="Verdana"/>
              <w:sz w:val="20"/>
              <w:szCs w:val="20"/>
            </w:rPr>
            <w:t>51</w:t>
          </w:r>
          <w:r w:rsidR="00C739C6">
            <w:rPr>
              <w:rFonts w:ascii="Verdana" w:hAnsi="Verdana"/>
              <w:sz w:val="20"/>
              <w:szCs w:val="20"/>
            </w:rPr>
            <w:t>.</w:t>
          </w:r>
          <w:r w:rsidR="007927A5">
            <w:rPr>
              <w:rFonts w:ascii="Verdana" w:hAnsi="Verdana"/>
              <w:sz w:val="20"/>
              <w:szCs w:val="20"/>
            </w:rPr>
            <w:t>4684</w:t>
          </w:r>
        </w:sdtContent>
      </w:sdt>
      <w:r>
        <w:rPr>
          <w:rFonts w:ascii="Verdana" w:hAnsi="Verdana"/>
          <w:sz w:val="20"/>
          <w:szCs w:val="20"/>
        </w:rPr>
        <w:t xml:space="preserve"> per share for a total consideration of €</w:t>
      </w:r>
      <w:sdt>
        <w:sdtPr>
          <w:rPr>
            <w:rFonts w:ascii="Verdana" w:hAnsi="Verdana"/>
            <w:sz w:val="20"/>
            <w:szCs w:val="20"/>
          </w:rPr>
          <w:alias w:val="Contract Express"/>
          <w:tag w:val="d=int%28ProsusSharesTotalConsiderationEuros%29%20Format%20%22thousands%22&amp;r="/>
          <w:id w:val="863174251"/>
        </w:sdtPr>
        <w:sdtEndPr/>
        <w:sdtContent>
          <w:r w:rsidR="00FC68D6">
            <w:rPr>
              <w:rFonts w:ascii="Verdana" w:hAnsi="Verdana"/>
              <w:sz w:val="20"/>
              <w:szCs w:val="20"/>
            </w:rPr>
            <w:t>1</w:t>
          </w:r>
          <w:r w:rsidR="007927A5">
            <w:rPr>
              <w:rFonts w:ascii="Verdana" w:hAnsi="Verdana"/>
              <w:sz w:val="20"/>
              <w:szCs w:val="20"/>
            </w:rPr>
            <w:t>15</w:t>
          </w:r>
          <w:r w:rsidR="006E493D">
            <w:rPr>
              <w:rFonts w:ascii="Verdana" w:hAnsi="Verdana"/>
              <w:sz w:val="20"/>
              <w:szCs w:val="20"/>
            </w:rPr>
            <w:t>,</w:t>
          </w:r>
          <w:r w:rsidR="007927A5">
            <w:rPr>
              <w:rFonts w:ascii="Verdana" w:hAnsi="Verdana"/>
              <w:sz w:val="20"/>
              <w:szCs w:val="20"/>
            </w:rPr>
            <w:t>929</w:t>
          </w:r>
          <w:r w:rsidR="006E493D">
            <w:rPr>
              <w:rFonts w:ascii="Verdana" w:hAnsi="Verdana"/>
              <w:sz w:val="20"/>
              <w:szCs w:val="20"/>
            </w:rPr>
            <w:t>,</w:t>
          </w:r>
          <w:r w:rsidR="007927A5">
            <w:rPr>
              <w:rFonts w:ascii="Verdana" w:hAnsi="Verdana"/>
              <w:sz w:val="20"/>
              <w:szCs w:val="20"/>
            </w:rPr>
            <w:t>992</w:t>
          </w:r>
          <w:r w:rsidR="0013439A">
            <w:rPr>
              <w:rFonts w:ascii="Verdana" w:hAnsi="Verdana"/>
              <w:sz w:val="20"/>
              <w:szCs w:val="20"/>
            </w:rPr>
            <w:t>.</w:t>
          </w:r>
          <w:r w:rsidR="007927A5">
            <w:rPr>
              <w:rFonts w:ascii="Verdana" w:hAnsi="Verdana"/>
              <w:sz w:val="20"/>
              <w:szCs w:val="20"/>
            </w:rPr>
            <w:t>59</w:t>
          </w:r>
        </w:sdtContent>
      </w:sdt>
      <w:r>
        <w:rPr>
          <w:rFonts w:ascii="Verdana" w:hAnsi="Verdana"/>
          <w:sz w:val="20"/>
          <w:szCs w:val="20"/>
        </w:rPr>
        <w:t xml:space="preserve"> (US$</w:t>
      </w:r>
      <w:sdt>
        <w:sdtPr>
          <w:rPr>
            <w:rFonts w:ascii="Verdana" w:hAnsi="Verdana"/>
            <w:sz w:val="20"/>
            <w:szCs w:val="20"/>
          </w:rPr>
          <w:alias w:val="Contract Express"/>
          <w:tag w:val="d=int%28ProsusSharesTotalConsiderationDollar%29%20Format%20%22thousands%22&amp;r="/>
          <w:id w:val="2066280125"/>
        </w:sdtPr>
        <w:sdtEndPr/>
        <w:sdtContent>
          <w:r w:rsidR="00E30B2A">
            <w:rPr>
              <w:rFonts w:ascii="Verdana" w:hAnsi="Verdana"/>
              <w:sz w:val="20"/>
              <w:szCs w:val="20"/>
            </w:rPr>
            <w:t>1</w:t>
          </w:r>
          <w:r w:rsidR="00F104EA">
            <w:rPr>
              <w:rFonts w:ascii="Verdana" w:hAnsi="Verdana"/>
              <w:sz w:val="20"/>
              <w:szCs w:val="20"/>
            </w:rPr>
            <w:t>36</w:t>
          </w:r>
          <w:r w:rsidR="006E493D">
            <w:rPr>
              <w:rFonts w:ascii="Verdana" w:hAnsi="Verdana"/>
              <w:sz w:val="20"/>
              <w:szCs w:val="20"/>
            </w:rPr>
            <w:t>,</w:t>
          </w:r>
          <w:r w:rsidR="00F104EA">
            <w:rPr>
              <w:rFonts w:ascii="Verdana" w:hAnsi="Verdana"/>
              <w:sz w:val="20"/>
              <w:szCs w:val="20"/>
            </w:rPr>
            <w:t>031</w:t>
          </w:r>
          <w:r w:rsidR="006E493D">
            <w:rPr>
              <w:rFonts w:ascii="Verdana" w:hAnsi="Verdana"/>
              <w:sz w:val="20"/>
              <w:szCs w:val="20"/>
            </w:rPr>
            <w:t>,</w:t>
          </w:r>
          <w:r w:rsidR="00F104EA">
            <w:rPr>
              <w:rFonts w:ascii="Verdana" w:hAnsi="Verdana"/>
              <w:sz w:val="20"/>
              <w:szCs w:val="20"/>
            </w:rPr>
            <w:t>511</w:t>
          </w:r>
          <w:r w:rsidR="006E493D">
            <w:rPr>
              <w:rFonts w:ascii="Verdana" w:hAnsi="Verdana"/>
              <w:sz w:val="20"/>
              <w:szCs w:val="20"/>
            </w:rPr>
            <w:t>.</w:t>
          </w:r>
          <w:r w:rsidR="00F104EA">
            <w:rPr>
              <w:rFonts w:ascii="Verdana" w:hAnsi="Verdana"/>
              <w:sz w:val="20"/>
              <w:szCs w:val="20"/>
            </w:rPr>
            <w:t>48</w:t>
          </w:r>
        </w:sdtContent>
      </w:sdt>
      <w:r>
        <w:rPr>
          <w:rFonts w:ascii="Verdana" w:hAnsi="Verdana"/>
          <w:sz w:val="20"/>
          <w:szCs w:val="20"/>
        </w:rPr>
        <w:t xml:space="preserve">). </w:t>
      </w:r>
    </w:p>
    <w:p w14:paraId="0BE3166B" w14:textId="77777777" w:rsidR="005E503D" w:rsidRDefault="008C52B7" w:rsidP="00894D84">
      <w:pPr>
        <w:pStyle w:val="AODocTxt"/>
        <w:jc w:val="left"/>
        <w:rPr>
          <w:rFonts w:ascii="Verdana" w:hAnsi="Verdana"/>
          <w:sz w:val="20"/>
          <w:szCs w:val="20"/>
        </w:rPr>
      </w:pPr>
      <w:r>
        <w:rPr>
          <w:rFonts w:ascii="Verdana" w:hAnsi="Verdana"/>
          <w:sz w:val="20"/>
          <w:szCs w:val="20"/>
        </w:rPr>
        <w:t>More information on the Repurchase Programme is available on www.prosus.com/news/investors-shareholder-information/.</w:t>
      </w:r>
    </w:p>
    <w:p w14:paraId="0BE3166C" w14:textId="77777777" w:rsidR="005E503D" w:rsidRDefault="008C52B7">
      <w:pPr>
        <w:pStyle w:val="AODocTxt"/>
        <w:rPr>
          <w:rFonts w:ascii="Verdana" w:hAnsi="Verdana"/>
          <w:sz w:val="20"/>
          <w:szCs w:val="20"/>
        </w:rPr>
      </w:pPr>
      <w:r>
        <w:rPr>
          <w:rFonts w:ascii="Verdana" w:hAnsi="Verdana"/>
          <w:sz w:val="20"/>
          <w:szCs w:val="20"/>
        </w:rPr>
        <w:t>Amsterdam, the Netherlands</w:t>
      </w:r>
    </w:p>
    <w:sdt>
      <w:sdtPr>
        <w:alias w:val="Contract Express"/>
        <w:tag w:val="d=BuyBackDateOfAnnouncement&amp;r="/>
        <w:id w:val="1750654485"/>
      </w:sdtPr>
      <w:sdtEndPr/>
      <w:sdtContent>
        <w:p w14:paraId="0BE3166D" w14:textId="0BFE04A7" w:rsidR="005E503D" w:rsidRDefault="00CE7DC5">
          <w:pPr>
            <w:pStyle w:val="AODocTxt"/>
            <w:spacing w:before="0"/>
            <w:rPr>
              <w:rFonts w:ascii="Verdana" w:hAnsi="Verdana"/>
              <w:sz w:val="20"/>
              <w:szCs w:val="20"/>
            </w:rPr>
          </w:pPr>
          <w:r>
            <w:rPr>
              <w:rFonts w:ascii="Verdana" w:hAnsi="Verdana"/>
            </w:rPr>
            <w:t>2</w:t>
          </w:r>
          <w:r w:rsidR="00F104EA">
            <w:rPr>
              <w:rFonts w:ascii="Verdana" w:hAnsi="Verdana"/>
            </w:rPr>
            <w:t xml:space="preserve">9 </w:t>
          </w:r>
          <w:r w:rsidR="00516636">
            <w:rPr>
              <w:rFonts w:ascii="Verdana" w:hAnsi="Verdana"/>
            </w:rPr>
            <w:t>Ju</w:t>
          </w:r>
          <w:r w:rsidR="00804E5A">
            <w:rPr>
              <w:rFonts w:ascii="Verdana" w:hAnsi="Verdana"/>
            </w:rPr>
            <w:t>ly</w:t>
          </w:r>
          <w:r w:rsidR="00FA7239">
            <w:rPr>
              <w:rFonts w:ascii="Verdana" w:hAnsi="Verdana"/>
              <w:sz w:val="20"/>
              <w:szCs w:val="20"/>
            </w:rPr>
            <w:t xml:space="preserve"> 2</w:t>
          </w:r>
          <w:r w:rsidR="008C52B7">
            <w:rPr>
              <w:rFonts w:ascii="Verdana" w:hAnsi="Verdana"/>
              <w:sz w:val="20"/>
              <w:szCs w:val="20"/>
            </w:rPr>
            <w:t>025</w:t>
          </w:r>
        </w:p>
      </w:sdtContent>
    </w:sdt>
    <w:p w14:paraId="07DFBAF2" w14:textId="77777777" w:rsidR="008C52B7" w:rsidRDefault="008C52B7" w:rsidP="008C52B7">
      <w:pPr>
        <w:pStyle w:val="AODocTxt"/>
        <w:rPr>
          <w:rFonts w:ascii="Verdana" w:hAnsi="Verdana"/>
          <w:sz w:val="20"/>
          <w:szCs w:val="20"/>
        </w:rPr>
      </w:pPr>
      <w:r>
        <w:rPr>
          <w:rFonts w:ascii="Verdana" w:hAnsi="Verdana"/>
          <w:sz w:val="20"/>
          <w:szCs w:val="20"/>
        </w:rPr>
        <w:t>JSE sponsor to Prosus</w:t>
      </w:r>
    </w:p>
    <w:p w14:paraId="2D13839F" w14:textId="77777777" w:rsidR="008C52B7" w:rsidRDefault="008C52B7" w:rsidP="008C52B7">
      <w:pPr>
        <w:pStyle w:val="AODocTxt"/>
        <w:spacing w:before="0"/>
        <w:rPr>
          <w:rFonts w:ascii="Verdana" w:hAnsi="Verdana"/>
          <w:sz w:val="20"/>
          <w:szCs w:val="20"/>
        </w:rPr>
      </w:pPr>
      <w:r>
        <w:rPr>
          <w:rFonts w:ascii="Verdana" w:hAnsi="Verdana"/>
          <w:sz w:val="20"/>
          <w:szCs w:val="20"/>
        </w:rPr>
        <w:t>Investec Bank Limited</w:t>
      </w:r>
    </w:p>
    <w:p w14:paraId="60AD3CF5" w14:textId="77777777" w:rsidR="008C52B7" w:rsidRDefault="008C52B7" w:rsidP="008C52B7">
      <w:pPr>
        <w:suppressAutoHyphens/>
        <w:jc w:val="both"/>
        <w:rPr>
          <w:rFonts w:ascii="Calibri" w:eastAsia="Arial" w:hAnsi="Calibri" w:cs="Calibri"/>
          <w:lang w:eastAsia="en-GB"/>
        </w:rPr>
      </w:pPr>
    </w:p>
    <w:p w14:paraId="710866CE" w14:textId="77777777" w:rsidR="008C52B7" w:rsidRDefault="008C52B7" w:rsidP="008C52B7">
      <w:pPr>
        <w:spacing w:after="160" w:line="256" w:lineRule="auto"/>
        <w:jc w:val="both"/>
        <w:textAlignment w:val="baseline"/>
        <w:rPr>
          <w:rFonts w:ascii="Verdana" w:eastAsia="Calibri" w:hAnsi="Verdana" w:cs="Segoe UI"/>
          <w:sz w:val="20"/>
          <w:szCs w:val="20"/>
          <w:lang w:val="en-US"/>
        </w:rPr>
      </w:pPr>
      <w:bookmarkStart w:id="2" w:name="_Hlk107056137"/>
      <w:r>
        <w:rPr>
          <w:rFonts w:ascii="Verdana" w:eastAsia="Calibri" w:hAnsi="Verdana" w:cs="Segoe UI"/>
          <w:b/>
          <w:bCs/>
          <w:sz w:val="20"/>
          <w:szCs w:val="20"/>
          <w:lang w:val="en-ZA"/>
        </w:rPr>
        <w:t>Enquiries</w:t>
      </w:r>
      <w:r>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8C52B7" w14:paraId="6C595102" w14:textId="77777777" w:rsidTr="00696C33">
        <w:tc>
          <w:tcPr>
            <w:tcW w:w="4815" w:type="dxa"/>
            <w:tcBorders>
              <w:top w:val="nil"/>
              <w:left w:val="nil"/>
              <w:bottom w:val="nil"/>
              <w:right w:val="nil"/>
            </w:tcBorders>
            <w:shd w:val="clear" w:color="auto" w:fill="auto"/>
            <w:hideMark/>
          </w:tcPr>
          <w:p w14:paraId="6A5CEAF0" w14:textId="77777777" w:rsidR="008C52B7" w:rsidRPr="005431FA" w:rsidRDefault="008C52B7" w:rsidP="00696C33">
            <w:pPr>
              <w:spacing w:after="160" w:line="256" w:lineRule="auto"/>
              <w:jc w:val="both"/>
              <w:textAlignment w:val="baseline"/>
              <w:rPr>
                <w:rFonts w:ascii="Verdana" w:eastAsia="Calibri" w:hAnsi="Verdana"/>
                <w:sz w:val="20"/>
                <w:szCs w:val="20"/>
                <w:lang w:val="en-ZA"/>
              </w:rPr>
            </w:pPr>
            <w:r w:rsidRPr="005431FA">
              <w:rPr>
                <w:rFonts w:ascii="Verdana" w:eastAsia="Calibri" w:hAnsi="Verdana"/>
                <w:b/>
                <w:bCs/>
                <w:sz w:val="20"/>
                <w:szCs w:val="20"/>
                <w:lang w:val="en-ZA"/>
              </w:rPr>
              <w:t>Investor Enquiries</w:t>
            </w:r>
            <w:r w:rsidRPr="005431FA">
              <w:rPr>
                <w:rFonts w:ascii="Verdana" w:eastAsia="Calibri" w:hAnsi="Verdana"/>
                <w:sz w:val="20"/>
                <w:szCs w:val="20"/>
                <w:lang w:val="en-ZA"/>
              </w:rPr>
              <w:t> </w:t>
            </w:r>
          </w:p>
          <w:p w14:paraId="09ADEE01" w14:textId="77777777" w:rsidR="008C52B7" w:rsidRDefault="008C52B7" w:rsidP="00696C33">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709056A8" w14:textId="77777777" w:rsidR="008C52B7" w:rsidRDefault="008C52B7" w:rsidP="00696C33">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+1 347-210-4305 </w:t>
            </w:r>
          </w:p>
        </w:tc>
      </w:tr>
      <w:tr w:rsidR="008C52B7" w14:paraId="16A645A1" w14:textId="77777777" w:rsidTr="00696C33">
        <w:trPr>
          <w:trHeight w:val="110"/>
        </w:trPr>
        <w:tc>
          <w:tcPr>
            <w:tcW w:w="4815" w:type="dxa"/>
            <w:tcBorders>
              <w:top w:val="nil"/>
              <w:left w:val="nil"/>
              <w:bottom w:val="nil"/>
              <w:right w:val="nil"/>
            </w:tcBorders>
            <w:shd w:val="clear" w:color="auto" w:fill="auto"/>
            <w:hideMark/>
          </w:tcPr>
          <w:p w14:paraId="39859BCF" w14:textId="77777777" w:rsidR="008C52B7" w:rsidRPr="00B60C2F" w:rsidRDefault="008C52B7" w:rsidP="00696C33">
            <w:pPr>
              <w:spacing w:after="160" w:line="256" w:lineRule="auto"/>
              <w:jc w:val="both"/>
              <w:textAlignment w:val="baseline"/>
              <w:rPr>
                <w:rFonts w:ascii="Verdana" w:eastAsia="Calibri" w:hAnsi="Verdana"/>
                <w:sz w:val="20"/>
                <w:szCs w:val="20"/>
                <w:lang w:val="fr-FR"/>
              </w:rPr>
            </w:pPr>
            <w:r w:rsidRPr="00B60C2F">
              <w:rPr>
                <w:rFonts w:ascii="Verdana" w:eastAsia="Calibri" w:hAnsi="Verdana"/>
                <w:b/>
                <w:bCs/>
                <w:sz w:val="20"/>
                <w:szCs w:val="20"/>
                <w:lang w:val="fr-FR"/>
              </w:rPr>
              <w:t>Media Enquiries</w:t>
            </w:r>
            <w:r w:rsidRPr="00B60C2F">
              <w:rPr>
                <w:rFonts w:ascii="Verdana" w:eastAsia="Calibri" w:hAnsi="Verdana"/>
                <w:sz w:val="20"/>
                <w:szCs w:val="20"/>
                <w:lang w:val="fr-FR"/>
              </w:rPr>
              <w:t> </w:t>
            </w:r>
          </w:p>
          <w:p w14:paraId="55B72532" w14:textId="77777777" w:rsidR="008C52B7" w:rsidRPr="00C6670E" w:rsidRDefault="008C52B7" w:rsidP="00696C33">
            <w:pPr>
              <w:spacing w:after="160" w:line="256" w:lineRule="auto"/>
              <w:jc w:val="both"/>
              <w:textAlignment w:val="baseline"/>
              <w:rPr>
                <w:rFonts w:ascii="Verdana" w:eastAsia="Calibri" w:hAnsi="Verdana"/>
                <w:sz w:val="20"/>
                <w:szCs w:val="20"/>
                <w:lang w:val="fr-FR"/>
              </w:rPr>
            </w:pPr>
            <w:r w:rsidRPr="00B60C2F">
              <w:rPr>
                <w:rFonts w:ascii="Verdana" w:eastAsia="Calibri" w:hAnsi="Verdana"/>
                <w:sz w:val="20"/>
                <w:szCs w:val="20"/>
                <w:lang w:val="fr-FR"/>
              </w:rPr>
              <w:t>Charlie Pemberton, Communications Director</w:t>
            </w:r>
          </w:p>
        </w:tc>
        <w:tc>
          <w:tcPr>
            <w:tcW w:w="4380" w:type="dxa"/>
            <w:tcBorders>
              <w:top w:val="nil"/>
              <w:left w:val="nil"/>
              <w:bottom w:val="nil"/>
              <w:right w:val="nil"/>
            </w:tcBorders>
            <w:shd w:val="clear" w:color="auto" w:fill="auto"/>
            <w:hideMark/>
          </w:tcPr>
          <w:p w14:paraId="6E1AD690" w14:textId="77777777" w:rsidR="008C52B7" w:rsidRDefault="008C52B7" w:rsidP="00696C33">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+31 6 15494359 </w:t>
            </w:r>
          </w:p>
        </w:tc>
      </w:tr>
      <w:bookmarkEnd w:id="2"/>
    </w:tbl>
    <w:p w14:paraId="03C9F9F3" w14:textId="77777777" w:rsidR="008C52B7" w:rsidRDefault="008C52B7" w:rsidP="008C52B7">
      <w:pPr>
        <w:suppressAutoHyphens/>
        <w:rPr>
          <w:rFonts w:ascii="Verdana" w:eastAsia="Verdana" w:hAnsi="Verdana" w:cs="Verdana"/>
          <w:b/>
          <w:color w:val="000000"/>
          <w:sz w:val="20"/>
          <w:szCs w:val="20"/>
          <w:lang w:eastAsia="en-GB"/>
        </w:rPr>
      </w:pPr>
    </w:p>
    <w:p w14:paraId="76868530" w14:textId="77777777" w:rsidR="008C52B7" w:rsidRDefault="008C52B7" w:rsidP="008C52B7">
      <w:pPr>
        <w:keepNext/>
        <w:spacing w:after="160" w:line="256" w:lineRule="auto"/>
        <w:jc w:val="both"/>
        <w:rPr>
          <w:rFonts w:ascii="Calibri" w:eastAsia="Calibri" w:hAnsi="Calibri" w:cs="Arial"/>
          <w:b/>
          <w:bCs/>
          <w:i/>
          <w:iCs/>
          <w:color w:val="000000"/>
          <w:sz w:val="16"/>
          <w:szCs w:val="16"/>
          <w:lang w:val="en-US"/>
        </w:rPr>
      </w:pPr>
      <w:bookmarkStart w:id="3" w:name="_Hlk179556295"/>
      <w:bookmarkStart w:id="4" w:name="_Hlk107580844"/>
      <w:r>
        <w:rPr>
          <w:rFonts w:ascii="Calibri" w:eastAsia="Calibri" w:hAnsi="Calibri" w:cs="Arial"/>
          <w:b/>
          <w:bCs/>
          <w:i/>
          <w:iCs/>
          <w:color w:val="000000"/>
          <w:sz w:val="16"/>
          <w:szCs w:val="16"/>
          <w:lang w:val="en-US"/>
        </w:rPr>
        <w:t>About Prosus</w:t>
      </w:r>
    </w:p>
    <w:bookmarkEnd w:id="3"/>
    <w:p w14:paraId="21B07F32" w14:textId="77777777" w:rsidR="008C52B7" w:rsidRPr="00FD75AB" w:rsidRDefault="008C52B7" w:rsidP="008C52B7">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Prosus is a global technology company, unlocking an AI-first world for our 2 billion customers.  With investments in more than 100 companies across the world, we are building local ecommerce champions in growth markets.</w:t>
      </w:r>
    </w:p>
    <w:p w14:paraId="0B0C6547" w14:textId="77777777" w:rsidR="008C52B7" w:rsidRPr="00FD75AB" w:rsidRDefault="008C52B7" w:rsidP="008C52B7">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With leading positions in Food Delivery, Classifieds and Fintech, Prosus has created its own unique technology ecosystem, driving innovation, knowledge sharing and growth across our portfolio.</w:t>
      </w:r>
    </w:p>
    <w:p w14:paraId="75960C89" w14:textId="77777777" w:rsidR="008C52B7" w:rsidRPr="00FD75AB" w:rsidRDefault="008C52B7" w:rsidP="008C52B7">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 xml:space="preserve">Through the Prosus Ventures team, the group invests in new technology growth opportunities within AI, social and ecommerce platforms, fintech, B2B software, logistics, health, blockchain, agriculture and more. </w:t>
      </w:r>
    </w:p>
    <w:p w14:paraId="186BE95F" w14:textId="77777777" w:rsidR="008C52B7" w:rsidRPr="00FD75AB" w:rsidRDefault="008C52B7" w:rsidP="008C52B7">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 xml:space="preserve">The team actively backs exceptional entrepreneurs who are using technology to improve people’s everyday lives. </w:t>
      </w:r>
    </w:p>
    <w:p w14:paraId="7EE48FE4" w14:textId="77777777" w:rsidR="008C52B7" w:rsidRPr="00FD75AB" w:rsidRDefault="008C52B7" w:rsidP="008C52B7">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To find out more, please visit www.prosus.com.</w:t>
      </w:r>
    </w:p>
    <w:p w14:paraId="21710861" w14:textId="77777777" w:rsidR="008C52B7" w:rsidRDefault="008C52B7" w:rsidP="008C52B7">
      <w:pPr>
        <w:keepNext/>
        <w:spacing w:after="160" w:line="257"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t>Disclaimer</w:t>
      </w:r>
    </w:p>
    <w:p w14:paraId="085B301B" w14:textId="77777777" w:rsidR="008C52B7" w:rsidRDefault="008C52B7" w:rsidP="008C52B7">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The Repurchase Programme is being conducted in accordance with Articles 5(1) and 5(3) of Regulation (EU) No 596/2014 of the European Parliament and of the Council of 16 April 2014 on market abuse (“Market Abuse Regulation”) and Articles 2 to 4 of Commission Delegated Regulation (EU) 2016/1052 supplementing the Market Abuse Regulation with regard to regulatory technical standards for the conditions applicable to buy-back programmes and stabilisation measures (the “Delegated Regulation”). This document is issued in connection with the disclosure and reporting obligation set out in Article 2(1) of the Delegated Regulation.</w:t>
      </w:r>
    </w:p>
    <w:p w14:paraId="2D513E7F" w14:textId="77777777" w:rsidR="008C52B7" w:rsidRDefault="008C52B7" w:rsidP="008C52B7">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document contains information that qualifies as inside information within the meaning of Article 7(1) of the Market Abuse Regulation.</w:t>
      </w:r>
    </w:p>
    <w:p w14:paraId="20D75AF1" w14:textId="77777777" w:rsidR="008C52B7" w:rsidRDefault="008C52B7" w:rsidP="008C52B7">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announcement does not constitute, or form part of, an offer or any solicitation of an offer for securities in any jurisdiction.</w:t>
      </w:r>
    </w:p>
    <w:p w14:paraId="00C88A00" w14:textId="77777777" w:rsidR="008C52B7" w:rsidRDefault="008C52B7" w:rsidP="008C52B7">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lastRenderedPageBreak/>
        <w:t>The information contained in this announcement may contain forward-looking statements, estimates and projections.  Forward-looking statements involve all matters that are not historical and may be identified by the words “anticipate”, ”believe”, ”estimate”, ”expect”, ”intend”, ”may”, ”should”, ”will”, ”would” and similar expressions or their negatives, but the absence of these words does not necessarily mean that a statement is not forward-looking. These statements reflect Prosus’s intentions, beliefs or current expectations, involve elements of subjective judgement and analysis and are based upon the best judgement of Prosus as of the date of this announcement, but could prove to be wrong. These statements are subject to change without notice and are based on a number of assumptions and entail known and unknown risks and uncertainties. Therefore, you should not rely on these forward-looking statements as a prediction of actual results.</w:t>
      </w:r>
    </w:p>
    <w:p w14:paraId="2862C930" w14:textId="77777777" w:rsidR="008C52B7" w:rsidRDefault="008C52B7" w:rsidP="008C52B7">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Any forward-looking statements are made only as of the date of this announcement and neither Prosus nor any other person gives any undertaking, or is under any obligation, to update these forward-looking statements for events or circumstances that occur subsequent to the date of this announcement or to update or keep current any of the information contained herein, any changes in assumptions or changes in factors affecting these statements and this announcement is not a representation by Prosus or any other person that they will do so, except to the extent required by law.</w:t>
      </w:r>
      <w:bookmarkEnd w:id="4"/>
    </w:p>
    <w:p w14:paraId="70CD1033" w14:textId="77777777" w:rsidR="008C52B7" w:rsidRDefault="008C52B7" w:rsidP="008C52B7">
      <w:pPr>
        <w:pStyle w:val="AODocTxt"/>
        <w:rPr>
          <w:rFonts w:ascii="Calibri" w:eastAsia="Calibri" w:hAnsi="Calibri" w:cs="Arial"/>
          <w:color w:val="000000"/>
          <w:sz w:val="16"/>
          <w:szCs w:val="16"/>
          <w:lang w:val="en-US"/>
        </w:rPr>
      </w:pPr>
    </w:p>
    <w:p w14:paraId="0BE31688" w14:textId="5D3CFDC1" w:rsidR="005E503D" w:rsidRDefault="005E503D" w:rsidP="008C52B7">
      <w:pPr>
        <w:pStyle w:val="AODocTxt"/>
        <w:rPr>
          <w:rFonts w:ascii="Calibri" w:eastAsia="Calibri" w:hAnsi="Calibri" w:cs="Arial"/>
          <w:color w:val="000000"/>
          <w:sz w:val="16"/>
          <w:szCs w:val="16"/>
          <w:lang w:val="en-US"/>
        </w:rPr>
      </w:pPr>
    </w:p>
    <w:sectPr w:rsidR="005E503D">
      <w:footerReference w:type="first" r:id="rId13"/>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CB83A" w14:textId="77777777" w:rsidR="00ED4971" w:rsidRDefault="00ED4971">
      <w:r>
        <w:separator/>
      </w:r>
    </w:p>
  </w:endnote>
  <w:endnote w:type="continuationSeparator" w:id="0">
    <w:p w14:paraId="79B66C19" w14:textId="77777777" w:rsidR="00ED4971" w:rsidRDefault="00ED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144761"/>
      <w:docPartObj>
        <w:docPartGallery w:val="Page Numbers (Bottom of Page)"/>
        <w:docPartUnique/>
      </w:docPartObj>
    </w:sdtPr>
    <w:sdtEndPr>
      <w:rPr>
        <w:noProof/>
      </w:rPr>
    </w:sdtEndPr>
    <w:sdtContent>
      <w:p w14:paraId="0BE3168D" w14:textId="77777777" w:rsidR="005E503D" w:rsidRDefault="008C52B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E3168E" w14:textId="77777777" w:rsidR="005E503D" w:rsidRDefault="005E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E5DEF" w14:textId="77777777" w:rsidR="00ED4971" w:rsidRDefault="00ED4971">
      <w:r>
        <w:separator/>
      </w:r>
    </w:p>
  </w:footnote>
  <w:footnote w:type="continuationSeparator" w:id="0">
    <w:p w14:paraId="74D2E1BE" w14:textId="77777777" w:rsidR="00ED4971" w:rsidRDefault="00ED4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244006FA">
      <w:start w:val="1"/>
      <w:numFmt w:val="bullet"/>
      <w:lvlText w:val=""/>
      <w:lvlJc w:val="left"/>
      <w:pPr>
        <w:ind w:left="720" w:hanging="360"/>
      </w:pPr>
      <w:rPr>
        <w:rFonts w:ascii="Symbol" w:hAnsi="Symbol" w:hint="default"/>
      </w:rPr>
    </w:lvl>
    <w:lvl w:ilvl="1" w:tplc="15280838" w:tentative="1">
      <w:start w:val="1"/>
      <w:numFmt w:val="bullet"/>
      <w:lvlText w:val="o"/>
      <w:lvlJc w:val="left"/>
      <w:pPr>
        <w:ind w:left="1440" w:hanging="360"/>
      </w:pPr>
      <w:rPr>
        <w:rFonts w:ascii="Courier New" w:hAnsi="Courier New" w:cs="Courier New" w:hint="default"/>
      </w:rPr>
    </w:lvl>
    <w:lvl w:ilvl="2" w:tplc="97FC12AE" w:tentative="1">
      <w:start w:val="1"/>
      <w:numFmt w:val="bullet"/>
      <w:lvlText w:val=""/>
      <w:lvlJc w:val="left"/>
      <w:pPr>
        <w:ind w:left="2160" w:hanging="360"/>
      </w:pPr>
      <w:rPr>
        <w:rFonts w:ascii="Wingdings" w:hAnsi="Wingdings" w:hint="default"/>
      </w:rPr>
    </w:lvl>
    <w:lvl w:ilvl="3" w:tplc="0EA4E94C" w:tentative="1">
      <w:start w:val="1"/>
      <w:numFmt w:val="bullet"/>
      <w:lvlText w:val=""/>
      <w:lvlJc w:val="left"/>
      <w:pPr>
        <w:ind w:left="2880" w:hanging="360"/>
      </w:pPr>
      <w:rPr>
        <w:rFonts w:ascii="Symbol" w:hAnsi="Symbol" w:hint="default"/>
      </w:rPr>
    </w:lvl>
    <w:lvl w:ilvl="4" w:tplc="9042BCC8" w:tentative="1">
      <w:start w:val="1"/>
      <w:numFmt w:val="bullet"/>
      <w:lvlText w:val="o"/>
      <w:lvlJc w:val="left"/>
      <w:pPr>
        <w:ind w:left="3600" w:hanging="360"/>
      </w:pPr>
      <w:rPr>
        <w:rFonts w:ascii="Courier New" w:hAnsi="Courier New" w:cs="Courier New" w:hint="default"/>
      </w:rPr>
    </w:lvl>
    <w:lvl w:ilvl="5" w:tplc="E92252D8" w:tentative="1">
      <w:start w:val="1"/>
      <w:numFmt w:val="bullet"/>
      <w:lvlText w:val=""/>
      <w:lvlJc w:val="left"/>
      <w:pPr>
        <w:ind w:left="4320" w:hanging="360"/>
      </w:pPr>
      <w:rPr>
        <w:rFonts w:ascii="Wingdings" w:hAnsi="Wingdings" w:hint="default"/>
      </w:rPr>
    </w:lvl>
    <w:lvl w:ilvl="6" w:tplc="96943DF4" w:tentative="1">
      <w:start w:val="1"/>
      <w:numFmt w:val="bullet"/>
      <w:lvlText w:val=""/>
      <w:lvlJc w:val="left"/>
      <w:pPr>
        <w:ind w:left="5040" w:hanging="360"/>
      </w:pPr>
      <w:rPr>
        <w:rFonts w:ascii="Symbol" w:hAnsi="Symbol" w:hint="default"/>
      </w:rPr>
    </w:lvl>
    <w:lvl w:ilvl="7" w:tplc="2024689E" w:tentative="1">
      <w:start w:val="1"/>
      <w:numFmt w:val="bullet"/>
      <w:lvlText w:val="o"/>
      <w:lvlJc w:val="left"/>
      <w:pPr>
        <w:ind w:left="5760" w:hanging="360"/>
      </w:pPr>
      <w:rPr>
        <w:rFonts w:ascii="Courier New" w:hAnsi="Courier New" w:cs="Courier New" w:hint="default"/>
      </w:rPr>
    </w:lvl>
    <w:lvl w:ilvl="8" w:tplc="D5AA7C4C"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950158180">
    <w:abstractNumId w:val="12"/>
  </w:num>
  <w:num w:numId="2" w16cid:durableId="1858038158">
    <w:abstractNumId w:val="11"/>
  </w:num>
  <w:num w:numId="3" w16cid:durableId="861288154">
    <w:abstractNumId w:val="14"/>
  </w:num>
  <w:num w:numId="4" w16cid:durableId="942763838">
    <w:abstractNumId w:val="18"/>
  </w:num>
  <w:num w:numId="5" w16cid:durableId="982125977">
    <w:abstractNumId w:val="7"/>
  </w:num>
  <w:num w:numId="6" w16cid:durableId="1648969041">
    <w:abstractNumId w:val="9"/>
  </w:num>
  <w:num w:numId="7" w16cid:durableId="255675084">
    <w:abstractNumId w:val="16"/>
  </w:num>
  <w:num w:numId="8" w16cid:durableId="926580198">
    <w:abstractNumId w:val="0"/>
  </w:num>
  <w:num w:numId="9" w16cid:durableId="529294735">
    <w:abstractNumId w:val="10"/>
  </w:num>
  <w:num w:numId="10" w16cid:durableId="1082066787">
    <w:abstractNumId w:val="6"/>
  </w:num>
  <w:num w:numId="11" w16cid:durableId="1282608523">
    <w:abstractNumId w:val="3"/>
  </w:num>
  <w:num w:numId="12" w16cid:durableId="536281450">
    <w:abstractNumId w:val="2"/>
  </w:num>
  <w:num w:numId="13" w16cid:durableId="683023282">
    <w:abstractNumId w:val="17"/>
  </w:num>
  <w:num w:numId="14" w16cid:durableId="514267943">
    <w:abstractNumId w:val="8"/>
  </w:num>
  <w:num w:numId="15" w16cid:durableId="1897666252">
    <w:abstractNumId w:val="13"/>
  </w:num>
  <w:num w:numId="16" w16cid:durableId="1113209281">
    <w:abstractNumId w:val="5"/>
  </w:num>
  <w:num w:numId="17" w16cid:durableId="480846910">
    <w:abstractNumId w:val="15"/>
  </w:num>
  <w:num w:numId="18" w16cid:durableId="1891720936">
    <w:abstractNumId w:val="1"/>
  </w:num>
  <w:num w:numId="19" w16cid:durableId="1825705793">
    <w:abstractNumId w:val="3"/>
  </w:num>
  <w:num w:numId="20" w16cid:durableId="1339775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514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A3"/>
    <w:rsid w:val="00013948"/>
    <w:rsid w:val="00027CAF"/>
    <w:rsid w:val="000466BE"/>
    <w:rsid w:val="00046E02"/>
    <w:rsid w:val="000A3AC1"/>
    <w:rsid w:val="000C3694"/>
    <w:rsid w:val="000C6FF4"/>
    <w:rsid w:val="000E15D0"/>
    <w:rsid w:val="00102DCA"/>
    <w:rsid w:val="00104398"/>
    <w:rsid w:val="0011376F"/>
    <w:rsid w:val="0011626C"/>
    <w:rsid w:val="001163F3"/>
    <w:rsid w:val="0013439A"/>
    <w:rsid w:val="001362D2"/>
    <w:rsid w:val="00144494"/>
    <w:rsid w:val="0014571A"/>
    <w:rsid w:val="00156B20"/>
    <w:rsid w:val="00183A70"/>
    <w:rsid w:val="00195F07"/>
    <w:rsid w:val="001B49A7"/>
    <w:rsid w:val="001C33E2"/>
    <w:rsid w:val="001C6E03"/>
    <w:rsid w:val="001D3126"/>
    <w:rsid w:val="001F7367"/>
    <w:rsid w:val="0020277B"/>
    <w:rsid w:val="002266AF"/>
    <w:rsid w:val="0022699B"/>
    <w:rsid w:val="00245DDB"/>
    <w:rsid w:val="00251164"/>
    <w:rsid w:val="002D5AE6"/>
    <w:rsid w:val="00342B79"/>
    <w:rsid w:val="00354B21"/>
    <w:rsid w:val="00357580"/>
    <w:rsid w:val="003D2AF2"/>
    <w:rsid w:val="003D720C"/>
    <w:rsid w:val="003F0B94"/>
    <w:rsid w:val="00424C22"/>
    <w:rsid w:val="004252ED"/>
    <w:rsid w:val="004617B5"/>
    <w:rsid w:val="004B116F"/>
    <w:rsid w:val="004B47C7"/>
    <w:rsid w:val="004C18BF"/>
    <w:rsid w:val="004D2D88"/>
    <w:rsid w:val="004D2F8A"/>
    <w:rsid w:val="004E3B40"/>
    <w:rsid w:val="004E685E"/>
    <w:rsid w:val="00516636"/>
    <w:rsid w:val="00546725"/>
    <w:rsid w:val="005535E6"/>
    <w:rsid w:val="00573078"/>
    <w:rsid w:val="00580FBD"/>
    <w:rsid w:val="00585EF3"/>
    <w:rsid w:val="00587712"/>
    <w:rsid w:val="00592F6D"/>
    <w:rsid w:val="005B24A3"/>
    <w:rsid w:val="005E503D"/>
    <w:rsid w:val="005F2DFF"/>
    <w:rsid w:val="005F7B63"/>
    <w:rsid w:val="00613F61"/>
    <w:rsid w:val="00621001"/>
    <w:rsid w:val="006372E0"/>
    <w:rsid w:val="00663C31"/>
    <w:rsid w:val="0068336B"/>
    <w:rsid w:val="006C0352"/>
    <w:rsid w:val="006D1705"/>
    <w:rsid w:val="006E493D"/>
    <w:rsid w:val="006F135D"/>
    <w:rsid w:val="007006D7"/>
    <w:rsid w:val="00712A27"/>
    <w:rsid w:val="0073699B"/>
    <w:rsid w:val="0075273C"/>
    <w:rsid w:val="007927A5"/>
    <w:rsid w:val="007C548B"/>
    <w:rsid w:val="007C5E54"/>
    <w:rsid w:val="007F7025"/>
    <w:rsid w:val="00804E5A"/>
    <w:rsid w:val="0084632F"/>
    <w:rsid w:val="00854B42"/>
    <w:rsid w:val="00894D84"/>
    <w:rsid w:val="008A767B"/>
    <w:rsid w:val="008B39BC"/>
    <w:rsid w:val="008C4CF0"/>
    <w:rsid w:val="008C4EF6"/>
    <w:rsid w:val="008C52B7"/>
    <w:rsid w:val="008C7FA3"/>
    <w:rsid w:val="008E5BE0"/>
    <w:rsid w:val="009345DF"/>
    <w:rsid w:val="00947889"/>
    <w:rsid w:val="009A0304"/>
    <w:rsid w:val="009E73FB"/>
    <w:rsid w:val="009F7786"/>
    <w:rsid w:val="00A31B41"/>
    <w:rsid w:val="00A400B0"/>
    <w:rsid w:val="00AC4FAD"/>
    <w:rsid w:val="00AF45CD"/>
    <w:rsid w:val="00AF5529"/>
    <w:rsid w:val="00B063CB"/>
    <w:rsid w:val="00B10AC5"/>
    <w:rsid w:val="00B216DD"/>
    <w:rsid w:val="00B46D67"/>
    <w:rsid w:val="00B62308"/>
    <w:rsid w:val="00BA6487"/>
    <w:rsid w:val="00BB32D4"/>
    <w:rsid w:val="00BB3730"/>
    <w:rsid w:val="00BC39F3"/>
    <w:rsid w:val="00BC45F6"/>
    <w:rsid w:val="00BC4F76"/>
    <w:rsid w:val="00BD1868"/>
    <w:rsid w:val="00BF0FC1"/>
    <w:rsid w:val="00C0610B"/>
    <w:rsid w:val="00C27A17"/>
    <w:rsid w:val="00C3681E"/>
    <w:rsid w:val="00C739C6"/>
    <w:rsid w:val="00C83A6A"/>
    <w:rsid w:val="00C8732C"/>
    <w:rsid w:val="00CA3CD3"/>
    <w:rsid w:val="00CB5195"/>
    <w:rsid w:val="00CE7DC5"/>
    <w:rsid w:val="00D35465"/>
    <w:rsid w:val="00D35D5F"/>
    <w:rsid w:val="00D64185"/>
    <w:rsid w:val="00D66D6E"/>
    <w:rsid w:val="00DB1109"/>
    <w:rsid w:val="00DC18A8"/>
    <w:rsid w:val="00DD53D7"/>
    <w:rsid w:val="00E24D6B"/>
    <w:rsid w:val="00E26341"/>
    <w:rsid w:val="00E30B2A"/>
    <w:rsid w:val="00E3338D"/>
    <w:rsid w:val="00E50A8B"/>
    <w:rsid w:val="00E64826"/>
    <w:rsid w:val="00EB18E2"/>
    <w:rsid w:val="00EB36F9"/>
    <w:rsid w:val="00EB5094"/>
    <w:rsid w:val="00ED4971"/>
    <w:rsid w:val="00EE069F"/>
    <w:rsid w:val="00EE6841"/>
    <w:rsid w:val="00F104EA"/>
    <w:rsid w:val="00F25631"/>
    <w:rsid w:val="00FA43B6"/>
    <w:rsid w:val="00FA7239"/>
    <w:rsid w:val="00FB3D83"/>
    <w:rsid w:val="00FC68D6"/>
    <w:rsid w:val="00FD2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3164F"/>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pPr>
      <w:spacing w:line="240" w:lineRule="auto"/>
    </w:pPr>
    <w:rPr>
      <w:rFonts w:cs="Times New Roman"/>
    </w:rPr>
  </w:style>
  <w:style w:type="paragraph" w:styleId="Heading1">
    <w:name w:val="heading 1"/>
    <w:basedOn w:val="AOHeadings"/>
    <w:next w:val="AODocTxt"/>
    <w:link w:val="Heading1Char"/>
    <w:uiPriority w:val="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pPr>
      <w:outlineLvl w:val="2"/>
    </w:pPr>
    <w:rPr>
      <w:rFonts w:eastAsia="Times New Roman"/>
      <w:bCs/>
    </w:rPr>
  </w:style>
  <w:style w:type="paragraph" w:styleId="Heading4">
    <w:name w:val="heading 4"/>
    <w:basedOn w:val="AOHeadings"/>
    <w:next w:val="AODocTxt"/>
    <w:link w:val="Heading4Char"/>
    <w:uiPriority w:val="9"/>
    <w:semiHidden/>
    <w:unhideWhenUsed/>
    <w:qFormat/>
    <w:pPr>
      <w:outlineLvl w:val="3"/>
    </w:pPr>
    <w:rPr>
      <w:rFonts w:eastAsia="Times New Roman"/>
      <w:bCs/>
      <w:iCs/>
    </w:rPr>
  </w:style>
  <w:style w:type="paragraph" w:styleId="Heading5">
    <w:name w:val="heading 5"/>
    <w:basedOn w:val="AOHeadings"/>
    <w:next w:val="AODocTxt"/>
    <w:link w:val="Heading5Char"/>
    <w:uiPriority w:val="9"/>
    <w:semiHidden/>
    <w:unhideWhenUsed/>
    <w:qFormat/>
    <w:pPr>
      <w:outlineLvl w:val="4"/>
    </w:pPr>
    <w:rPr>
      <w:rFonts w:eastAsia="Times New Roman"/>
    </w:rPr>
  </w:style>
  <w:style w:type="paragraph" w:styleId="Heading6">
    <w:name w:val="heading 6"/>
    <w:basedOn w:val="AOHeadings"/>
    <w:next w:val="AODocTxt"/>
    <w:link w:val="Heading6Char"/>
    <w:uiPriority w:val="9"/>
    <w:semiHidden/>
    <w:unhideWhenUsed/>
    <w:qFormat/>
    <w:pPr>
      <w:outlineLvl w:val="5"/>
    </w:pPr>
    <w:rPr>
      <w:rFonts w:eastAsia="Times New Roman"/>
      <w:iCs/>
    </w:rPr>
  </w:style>
  <w:style w:type="paragraph" w:styleId="Heading7">
    <w:name w:val="heading 7"/>
    <w:basedOn w:val="AOHeadings"/>
    <w:next w:val="AODocTxt"/>
    <w:link w:val="Heading7Char"/>
    <w:uiPriority w:val="9"/>
    <w:semiHidden/>
    <w:unhideWhenUsed/>
    <w:qFormat/>
    <w:pPr>
      <w:outlineLvl w:val="6"/>
    </w:pPr>
    <w:rPr>
      <w:rFonts w:eastAsia="Times New Roman"/>
      <w:iCs/>
    </w:rPr>
  </w:style>
  <w:style w:type="paragraph" w:styleId="Heading8">
    <w:name w:val="heading 8"/>
    <w:basedOn w:val="AOHeadings"/>
    <w:next w:val="AODocTxt"/>
    <w:link w:val="Heading8Char"/>
    <w:uiPriority w:val="9"/>
    <w:semiHidden/>
    <w:unhideWhenUsed/>
    <w:qFormat/>
    <w:pPr>
      <w:outlineLvl w:val="7"/>
    </w:pPr>
    <w:rPr>
      <w:rFonts w:eastAsia="Times New Roman"/>
      <w:szCs w:val="20"/>
    </w:rPr>
  </w:style>
  <w:style w:type="paragraph" w:styleId="Heading9">
    <w:name w:val="heading 9"/>
    <w:basedOn w:val="AOHeadings"/>
    <w:next w:val="AODocTxt"/>
    <w:link w:val="Heading9Char"/>
    <w:uiPriority w:val="9"/>
    <w:semiHidden/>
    <w:qFormat/>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Pr>
      <w:rFonts w:cs="Times New Roman"/>
    </w:rPr>
  </w:style>
  <w:style w:type="paragraph" w:customStyle="1" w:styleId="AOBodyTxt">
    <w:name w:val="AOBodyTxt"/>
    <w:basedOn w:val="AONormal"/>
    <w:next w:val="AODocTxt"/>
    <w:pPr>
      <w:spacing w:before="240"/>
      <w:jc w:val="both"/>
    </w:pPr>
  </w:style>
  <w:style w:type="paragraph" w:customStyle="1" w:styleId="AODocTxt">
    <w:name w:val="AODocTxt"/>
    <w:basedOn w:val="AOBodyTxt"/>
    <w:qFormat/>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ind w:left="5040"/>
    </w:pPr>
  </w:style>
  <w:style w:type="paragraph" w:customStyle="1" w:styleId="AODocTxtL8">
    <w:name w:val="AODocTxtL8"/>
    <w:basedOn w:val="AODocTxt"/>
    <w:pPr>
      <w:ind w:left="5760"/>
    </w:pPr>
  </w:style>
  <w:style w:type="paragraph" w:customStyle="1" w:styleId="AO1">
    <w:name w:val="AO(1)"/>
    <w:basedOn w:val="AOBodyTxt"/>
    <w:next w:val="AODocTxt"/>
    <w:pPr>
      <w:numPr>
        <w:numId w:val="2"/>
      </w:numPr>
      <w:tabs>
        <w:tab w:val="clear" w:pos="720"/>
      </w:tabs>
    </w:pPr>
  </w:style>
  <w:style w:type="paragraph" w:customStyle="1" w:styleId="AOA">
    <w:name w:val="AO(A)"/>
    <w:basedOn w:val="AOBodyTxt"/>
    <w:next w:val="AODocTxt"/>
    <w:pPr>
      <w:numPr>
        <w:numId w:val="3"/>
      </w:numPr>
    </w:pPr>
  </w:style>
  <w:style w:type="paragraph" w:customStyle="1" w:styleId="AOHeadings">
    <w:name w:val="AOHeadings"/>
    <w:basedOn w:val="AOBodyTxt"/>
    <w:next w:val="AODocTxt"/>
  </w:style>
  <w:style w:type="paragraph" w:customStyle="1" w:styleId="AOHead1">
    <w:name w:val="AOHead1"/>
    <w:basedOn w:val="AOHeadings"/>
    <w:next w:val="AODocTxtL1"/>
    <w:pPr>
      <w:keepNext/>
      <w:numPr>
        <w:numId w:val="1"/>
      </w:numPr>
      <w:outlineLvl w:val="0"/>
    </w:pPr>
    <w:rPr>
      <w:b/>
      <w:caps/>
      <w:kern w:val="28"/>
    </w:rPr>
  </w:style>
  <w:style w:type="paragraph" w:customStyle="1" w:styleId="AOHead2">
    <w:name w:val="AOHead2"/>
    <w:basedOn w:val="AOHeadings"/>
    <w:next w:val="AODocTxtL1"/>
    <w:pPr>
      <w:keepNext/>
      <w:numPr>
        <w:ilvl w:val="1"/>
        <w:numId w:val="1"/>
      </w:numPr>
      <w:outlineLvl w:val="1"/>
    </w:pPr>
    <w:rPr>
      <w:b/>
    </w:rPr>
  </w:style>
  <w:style w:type="paragraph" w:customStyle="1" w:styleId="AOHead3">
    <w:name w:val="AOHead3"/>
    <w:basedOn w:val="AOHeadings"/>
    <w:next w:val="AODocTxtL2"/>
    <w:pPr>
      <w:numPr>
        <w:ilvl w:val="2"/>
        <w:numId w:val="1"/>
      </w:numPr>
      <w:outlineLvl w:val="2"/>
    </w:pPr>
  </w:style>
  <w:style w:type="paragraph" w:customStyle="1" w:styleId="AOHead4">
    <w:name w:val="AOHead4"/>
    <w:basedOn w:val="AOHeadings"/>
    <w:next w:val="AODocTxtL3"/>
    <w:pPr>
      <w:numPr>
        <w:ilvl w:val="3"/>
        <w:numId w:val="1"/>
      </w:numPr>
      <w:outlineLvl w:val="3"/>
    </w:pPr>
  </w:style>
  <w:style w:type="paragraph" w:customStyle="1" w:styleId="AOHead5">
    <w:name w:val="AOHead5"/>
    <w:basedOn w:val="AOHeadings"/>
    <w:next w:val="AODocTxtL4"/>
    <w:pPr>
      <w:numPr>
        <w:ilvl w:val="4"/>
        <w:numId w:val="1"/>
      </w:numPr>
      <w:outlineLvl w:val="4"/>
    </w:pPr>
  </w:style>
  <w:style w:type="paragraph" w:customStyle="1" w:styleId="AOHead6">
    <w:name w:val="AOHead6"/>
    <w:basedOn w:val="AOHeadings"/>
    <w:next w:val="AODocTxtL5"/>
    <w:pPr>
      <w:numPr>
        <w:ilvl w:val="5"/>
        <w:numId w:val="1"/>
      </w:numPr>
      <w:outlineLvl w:val="5"/>
    </w:pPr>
  </w:style>
  <w:style w:type="paragraph" w:customStyle="1" w:styleId="AOAltHead1">
    <w:name w:val="AOAltHead1"/>
    <w:basedOn w:val="AOHead1"/>
    <w:next w:val="AODocTxtL1"/>
    <w:pPr>
      <w:keepNext w:val="0"/>
      <w:tabs>
        <w:tab w:val="clear" w:pos="720"/>
      </w:tabs>
    </w:pPr>
    <w:rPr>
      <w:b w:val="0"/>
      <w:caps w:val="0"/>
    </w:rPr>
  </w:style>
  <w:style w:type="paragraph" w:customStyle="1" w:styleId="AOAltHead2">
    <w:name w:val="AOAltHead2"/>
    <w:basedOn w:val="AOHead2"/>
    <w:next w:val="AODocTxtL1"/>
    <w:pPr>
      <w:keepNext w:val="0"/>
      <w:tabs>
        <w:tab w:val="clear" w:pos="720"/>
      </w:tabs>
    </w:pPr>
    <w:rPr>
      <w:b w:val="0"/>
    </w:rPr>
  </w:style>
  <w:style w:type="paragraph" w:customStyle="1" w:styleId="AOAltHead3">
    <w:name w:val="AOAltHead3"/>
    <w:basedOn w:val="AOHead3"/>
    <w:next w:val="AODocTxtL1"/>
    <w:pPr>
      <w:tabs>
        <w:tab w:val="clear" w:pos="1440"/>
      </w:tabs>
      <w:ind w:left="720"/>
    </w:pPr>
  </w:style>
  <w:style w:type="paragraph" w:customStyle="1" w:styleId="AOAltHead4">
    <w:name w:val="AOAltHead4"/>
    <w:basedOn w:val="AOHead4"/>
    <w:next w:val="AODocTxtL2"/>
    <w:pPr>
      <w:tabs>
        <w:tab w:val="clear" w:pos="2160"/>
      </w:tabs>
      <w:ind w:left="1440"/>
    </w:pPr>
  </w:style>
  <w:style w:type="paragraph" w:customStyle="1" w:styleId="AOAltHead5">
    <w:name w:val="AOAltHead5"/>
    <w:basedOn w:val="AOHead5"/>
    <w:next w:val="AODocTxtL3"/>
    <w:pPr>
      <w:tabs>
        <w:tab w:val="clear" w:pos="2880"/>
      </w:tabs>
      <w:ind w:left="2160"/>
    </w:pPr>
  </w:style>
  <w:style w:type="paragraph" w:customStyle="1" w:styleId="AOAltHead6">
    <w:name w:val="AOAltHead6"/>
    <w:basedOn w:val="AOHead6"/>
    <w:next w:val="AODocTxtL4"/>
    <w:pPr>
      <w:tabs>
        <w:tab w:val="clear" w:pos="3600"/>
      </w:tabs>
      <w:ind w:left="2880"/>
    </w:pPr>
  </w:style>
  <w:style w:type="paragraph" w:customStyle="1" w:styleId="AOHeading1">
    <w:name w:val="AOHeading1"/>
    <w:basedOn w:val="AOHeadings"/>
    <w:next w:val="AODocTxt"/>
    <w:qFormat/>
    <w:pPr>
      <w:keepNext/>
      <w:outlineLvl w:val="0"/>
    </w:pPr>
    <w:rPr>
      <w:b/>
      <w:caps/>
      <w:kern w:val="28"/>
    </w:rPr>
  </w:style>
  <w:style w:type="paragraph" w:customStyle="1" w:styleId="AOHeading2">
    <w:name w:val="AOHeading2"/>
    <w:basedOn w:val="AOHeadings"/>
    <w:next w:val="AODocTxt"/>
    <w:qFormat/>
    <w:pPr>
      <w:keepNext/>
      <w:outlineLvl w:val="1"/>
    </w:pPr>
    <w:rPr>
      <w:b/>
    </w:rPr>
  </w:style>
  <w:style w:type="paragraph" w:customStyle="1" w:styleId="AOHeading3">
    <w:name w:val="AOHeading3"/>
    <w:basedOn w:val="AOHeadings"/>
    <w:next w:val="AODocTxtL1"/>
    <w:qFormat/>
    <w:pPr>
      <w:keepNext/>
      <w:ind w:left="720"/>
      <w:outlineLvl w:val="2"/>
    </w:pPr>
    <w:rPr>
      <w:b/>
    </w:rPr>
  </w:style>
  <w:style w:type="paragraph" w:customStyle="1" w:styleId="AOHeading4">
    <w:name w:val="AOHeading4"/>
    <w:basedOn w:val="AOHeadings"/>
    <w:next w:val="AODocTxt"/>
    <w:pPr>
      <w:keepNext/>
      <w:outlineLvl w:val="3"/>
    </w:pPr>
    <w:rPr>
      <w:i/>
    </w:rPr>
  </w:style>
  <w:style w:type="paragraph" w:styleId="Header">
    <w:name w:val="header"/>
    <w:basedOn w:val="Normal"/>
    <w:link w:val="HeaderChar"/>
    <w:uiPriority w:val="99"/>
    <w:semiHidden/>
    <w:pPr>
      <w:tabs>
        <w:tab w:val="center" w:pos="4150"/>
        <w:tab w:val="right" w:pos="8306"/>
      </w:tabs>
    </w:pPr>
  </w:style>
  <w:style w:type="character" w:customStyle="1" w:styleId="HeaderChar">
    <w:name w:val="Header Char"/>
    <w:basedOn w:val="DefaultParagraphFont"/>
    <w:link w:val="Header"/>
    <w:uiPriority w:val="99"/>
    <w:semiHidden/>
    <w:rPr>
      <w:rFonts w:cs="Times New Roman"/>
      <w:lang w:val="en-GB"/>
    </w:rPr>
  </w:style>
  <w:style w:type="paragraph" w:styleId="Footer">
    <w:name w:val="footer"/>
    <w:basedOn w:val="Normal"/>
    <w:link w:val="FooterChar"/>
    <w:uiPriority w:val="99"/>
    <w:pPr>
      <w:tabs>
        <w:tab w:val="center" w:pos="4150"/>
        <w:tab w:val="right" w:pos="8306"/>
      </w:tabs>
    </w:pPr>
  </w:style>
  <w:style w:type="character" w:customStyle="1" w:styleId="FooterChar">
    <w:name w:val="Footer Char"/>
    <w:basedOn w:val="DefaultParagraphFont"/>
    <w:link w:val="Footer"/>
    <w:uiPriority w:val="99"/>
    <w:rPr>
      <w:rFonts w:cs="Times New Roman"/>
      <w:lang w:val="en-GB"/>
    </w:rPr>
  </w:style>
  <w:style w:type="paragraph" w:customStyle="1" w:styleId="AOAttachments">
    <w:name w:val="AOAttachments"/>
    <w:basedOn w:val="AOBodyTxt"/>
    <w:next w:val="AODocTxt"/>
    <w:pPr>
      <w:jc w:val="center"/>
    </w:pPr>
    <w:rPr>
      <w:caps/>
    </w:rPr>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AppHead">
    <w:name w:val="AOAppHead"/>
    <w:basedOn w:val="AOAttachments"/>
    <w:next w:val="AOAppTitle"/>
    <w:pPr>
      <w:pageBreakBefore/>
      <w:numPr>
        <w:numId w:val="8"/>
      </w:numPr>
      <w:tabs>
        <w:tab w:val="clear" w:pos="0"/>
      </w:tabs>
      <w:outlineLvl w:val="0"/>
    </w:pPr>
  </w:style>
  <w:style w:type="paragraph" w:customStyle="1" w:styleId="AOAppPartHead">
    <w:name w:val="AOAppPartHead"/>
    <w:basedOn w:val="AOAppHead"/>
    <w:next w:val="AOAppPartTitle"/>
    <w:pPr>
      <w:pageBreakBefore w:val="0"/>
      <w:numPr>
        <w:ilvl w:val="1"/>
      </w:numPr>
      <w:tabs>
        <w:tab w:val="clear" w:pos="0"/>
      </w:tabs>
    </w:pPr>
  </w:style>
  <w:style w:type="paragraph" w:customStyle="1" w:styleId="AOAnxTitle">
    <w:name w:val="AOAnxTitle"/>
    <w:basedOn w:val="AOAttachments"/>
    <w:next w:val="AODocTxt"/>
    <w:pPr>
      <w:outlineLvl w:val="1"/>
    </w:pPr>
    <w:rPr>
      <w:b/>
    </w:rPr>
  </w:style>
  <w:style w:type="paragraph" w:customStyle="1" w:styleId="AOAnxPartTitle">
    <w:name w:val="AOAnxPartTitle"/>
    <w:basedOn w:val="AOAnxTitle"/>
    <w:next w:val="AODocTxt"/>
  </w:style>
  <w:style w:type="paragraph" w:customStyle="1" w:styleId="AOAnxHead">
    <w:name w:val="AOAnxHead"/>
    <w:basedOn w:val="AOAttachments"/>
    <w:next w:val="AOAnxTitle"/>
    <w:pPr>
      <w:pageBreakBefore/>
      <w:numPr>
        <w:numId w:val="9"/>
      </w:numPr>
      <w:tabs>
        <w:tab w:val="clear" w:pos="0"/>
      </w:tabs>
      <w:outlineLvl w:val="0"/>
    </w:pPr>
  </w:style>
  <w:style w:type="paragraph" w:customStyle="1" w:styleId="AOAnxPartHead">
    <w:name w:val="AOAnxPartHead"/>
    <w:basedOn w:val="AOAnxHead"/>
    <w:next w:val="AOAnxPartTitle"/>
    <w:pPr>
      <w:pageBreakBefore w:val="0"/>
      <w:numPr>
        <w:ilvl w:val="1"/>
      </w:numPr>
      <w:tabs>
        <w:tab w:val="clear" w:pos="0"/>
      </w:tabs>
    </w:p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chHead">
    <w:name w:val="AOSchHead"/>
    <w:basedOn w:val="AOAttachments"/>
    <w:next w:val="AOSchTitle"/>
    <w:pPr>
      <w:pageBreakBefore/>
      <w:numPr>
        <w:numId w:val="10"/>
      </w:numPr>
      <w:tabs>
        <w:tab w:val="clear" w:pos="0"/>
      </w:tabs>
      <w:outlineLvl w:val="0"/>
    </w:pPr>
  </w:style>
  <w:style w:type="paragraph" w:customStyle="1" w:styleId="AOSchPartHead">
    <w:name w:val="AOSchPartHead"/>
    <w:basedOn w:val="AOSchHead"/>
    <w:next w:val="AOSchPartTitle"/>
    <w:pPr>
      <w:pageBreakBefore w:val="0"/>
      <w:numPr>
        <w:ilvl w:val="1"/>
      </w:numPr>
      <w:tabs>
        <w:tab w:val="clear" w:pos="0"/>
      </w:tabs>
    </w:pPr>
  </w:style>
  <w:style w:type="paragraph" w:customStyle="1" w:styleId="AODefHead">
    <w:name w:val="AODefHead"/>
    <w:basedOn w:val="AOBodyTxt"/>
    <w:next w:val="AODefPara"/>
    <w:pPr>
      <w:numPr>
        <w:numId w:val="7"/>
      </w:numPr>
      <w:tabs>
        <w:tab w:val="clear" w:pos="720"/>
      </w:tabs>
      <w:outlineLvl w:val="5"/>
    </w:pPr>
  </w:style>
  <w:style w:type="paragraph" w:customStyle="1" w:styleId="AODefPara">
    <w:name w:val="AODefPara"/>
    <w:basedOn w:val="AODefHead"/>
    <w:pPr>
      <w:numPr>
        <w:ilvl w:val="1"/>
      </w:numPr>
      <w:tabs>
        <w:tab w:val="clear" w:pos="720"/>
      </w:tabs>
      <w:outlineLvl w:val="6"/>
    </w:pPr>
  </w:style>
  <w:style w:type="paragraph" w:customStyle="1" w:styleId="AOBullet">
    <w:name w:val="AOBullet"/>
    <w:basedOn w:val="AOBodyTxt"/>
    <w:pPr>
      <w:numPr>
        <w:numId w:val="11"/>
      </w:numPr>
      <w:tabs>
        <w:tab w:val="clear" w:pos="720"/>
      </w:tabs>
    </w:pPr>
  </w:style>
  <w:style w:type="paragraph" w:customStyle="1" w:styleId="AOBullet2">
    <w:name w:val="AOBullet2"/>
    <w:basedOn w:val="AOBullet"/>
    <w:pPr>
      <w:numPr>
        <w:numId w:val="12"/>
      </w:numPr>
      <w:tabs>
        <w:tab w:val="clear" w:pos="720"/>
      </w:tabs>
      <w:spacing w:before="120"/>
    </w:pPr>
  </w:style>
  <w:style w:type="paragraph" w:customStyle="1" w:styleId="AOBullet3">
    <w:name w:val="AOBullet3"/>
    <w:basedOn w:val="AOBodyTxt"/>
    <w:pPr>
      <w:numPr>
        <w:numId w:val="13"/>
      </w:numPr>
      <w:tabs>
        <w:tab w:val="clear" w:pos="720"/>
      </w:tabs>
      <w:spacing w:before="120"/>
    </w:pPr>
  </w:style>
  <w:style w:type="paragraph" w:customStyle="1" w:styleId="AOBullet4">
    <w:name w:val="AOBullet4"/>
    <w:basedOn w:val="AOBodyTxt"/>
    <w:pPr>
      <w:numPr>
        <w:numId w:val="14"/>
      </w:numPr>
      <w:tabs>
        <w:tab w:val="clear" w:pos="720"/>
      </w:tabs>
      <w:spacing w:before="120"/>
    </w:pPr>
  </w:style>
  <w:style w:type="paragraph" w:customStyle="1" w:styleId="AOGenNum1">
    <w:name w:val="AOGenNum1"/>
    <w:basedOn w:val="AOBodyTxt"/>
    <w:next w:val="AOGenNum1Para"/>
    <w:pPr>
      <w:keepNext/>
      <w:numPr>
        <w:numId w:val="4"/>
      </w:numPr>
    </w:pPr>
    <w:rPr>
      <w:b/>
      <w:caps/>
    </w:rPr>
  </w:style>
  <w:style w:type="paragraph" w:customStyle="1" w:styleId="AOGenNum1List">
    <w:name w:val="AOGenNum1List"/>
    <w:basedOn w:val="AOGenNum1"/>
    <w:pPr>
      <w:keepNext w:val="0"/>
      <w:numPr>
        <w:ilvl w:val="2"/>
      </w:numPr>
    </w:pPr>
    <w:rPr>
      <w:b w:val="0"/>
      <w:caps w:val="0"/>
    </w:rPr>
  </w:style>
  <w:style w:type="paragraph" w:customStyle="1" w:styleId="AOGenNum1Para">
    <w:name w:val="AOGenNum1Para"/>
    <w:basedOn w:val="AOGenNum1"/>
    <w:next w:val="AOGenNum1List"/>
    <w:pPr>
      <w:numPr>
        <w:ilvl w:val="1"/>
      </w:numPr>
    </w:pPr>
    <w:rPr>
      <w:caps w:val="0"/>
    </w:rPr>
  </w:style>
  <w:style w:type="paragraph" w:customStyle="1" w:styleId="AOGenNum2">
    <w:name w:val="AOGenNum2"/>
    <w:basedOn w:val="AOBodyTxt"/>
    <w:next w:val="AOGenNum2Para"/>
    <w:pPr>
      <w:keepNext/>
      <w:numPr>
        <w:numId w:val="5"/>
      </w:numPr>
    </w:pPr>
    <w:rPr>
      <w:b/>
    </w:rPr>
  </w:style>
  <w:style w:type="paragraph" w:customStyle="1" w:styleId="AOGenNum2List">
    <w:name w:val="AOGenNum2List"/>
    <w:basedOn w:val="AOGenNum2"/>
    <w:pPr>
      <w:keepNext w:val="0"/>
      <w:numPr>
        <w:ilvl w:val="2"/>
      </w:numPr>
    </w:pPr>
    <w:rPr>
      <w:b w:val="0"/>
    </w:rPr>
  </w:style>
  <w:style w:type="paragraph" w:customStyle="1" w:styleId="AOGenNum2Para">
    <w:name w:val="AOGenNum2Para"/>
    <w:basedOn w:val="AOGenNum2"/>
    <w:next w:val="AOGenNum2List"/>
    <w:pPr>
      <w:keepNext w:val="0"/>
      <w:numPr>
        <w:ilvl w:val="1"/>
      </w:numPr>
    </w:pPr>
    <w:rPr>
      <w:b w:val="0"/>
    </w:rPr>
  </w:style>
  <w:style w:type="paragraph" w:customStyle="1" w:styleId="AOGenNum3">
    <w:name w:val="AOGenNum3"/>
    <w:basedOn w:val="AOBodyTxt"/>
    <w:next w:val="AOGenNum3List"/>
    <w:pPr>
      <w:numPr>
        <w:numId w:val="6"/>
      </w:numPr>
    </w:pPr>
  </w:style>
  <w:style w:type="paragraph" w:customStyle="1" w:styleId="AOGenNum3List">
    <w:name w:val="AOGenNum3List"/>
    <w:basedOn w:val="AOGenNum3"/>
    <w:pPr>
      <w:numPr>
        <w:ilvl w:val="1"/>
      </w:numPr>
    </w:p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609"/>
      </w:tabs>
      <w:spacing w:after="240"/>
    </w:pPr>
    <w:rPr>
      <w:b/>
    </w:rPr>
  </w:style>
  <w:style w:type="paragraph" w:customStyle="1" w:styleId="AOTOCs">
    <w:name w:val="AOTOCs"/>
    <w:basedOn w:val="AONormal"/>
    <w:next w:val="TOC1"/>
    <w:pPr>
      <w:tabs>
        <w:tab w:val="right" w:leader="dot" w:pos="9638"/>
      </w:tabs>
      <w:jc w:val="both"/>
    </w:pPr>
  </w:style>
  <w:style w:type="paragraph" w:styleId="TOC1">
    <w:name w:val="toc 1"/>
    <w:basedOn w:val="AOTOCs"/>
    <w:next w:val="AONormal"/>
    <w:autoRedefine/>
    <w:uiPriority w:val="39"/>
    <w:semiHidden/>
    <w:pPr>
      <w:tabs>
        <w:tab w:val="left" w:pos="720"/>
      </w:tabs>
      <w:ind w:left="720" w:hanging="720"/>
    </w:pPr>
  </w:style>
  <w:style w:type="paragraph" w:customStyle="1" w:styleId="AOTOC1">
    <w:name w:val="AOTOC1"/>
    <w:basedOn w:val="AOTOCs"/>
    <w:pPr>
      <w:tabs>
        <w:tab w:val="left" w:pos="720"/>
      </w:tabs>
    </w:pPr>
    <w:rPr>
      <w:b/>
      <w:caps/>
    </w:rPr>
  </w:style>
  <w:style w:type="paragraph" w:customStyle="1" w:styleId="AOTOC2">
    <w:name w:val="AOTOC2"/>
    <w:basedOn w:val="AOTOCs"/>
    <w:pPr>
      <w:tabs>
        <w:tab w:val="left" w:pos="720"/>
      </w:tabs>
    </w:pPr>
  </w:style>
  <w:style w:type="paragraph" w:customStyle="1" w:styleId="AOTOC3">
    <w:name w:val="AOTOC3"/>
    <w:basedOn w:val="AOTOCs"/>
    <w:pPr>
      <w:ind w:left="720"/>
    </w:pPr>
    <w:rPr>
      <w:b/>
    </w:rPr>
  </w:style>
  <w:style w:type="paragraph" w:customStyle="1" w:styleId="AOTOC4">
    <w:name w:val="AOTOC4"/>
    <w:basedOn w:val="AOTOCs"/>
    <w:pPr>
      <w:ind w:left="720"/>
    </w:pPr>
  </w:style>
  <w:style w:type="paragraph" w:customStyle="1" w:styleId="AOTOC5">
    <w:name w:val="AOTOC5"/>
    <w:basedOn w:val="AOTOCs"/>
    <w:pPr>
      <w:ind w:left="720"/>
    </w:pPr>
    <w:rPr>
      <w:i/>
    </w:rPr>
  </w:style>
  <w:style w:type="paragraph" w:styleId="TOC2">
    <w:name w:val="toc 2"/>
    <w:basedOn w:val="AOTOCs"/>
    <w:next w:val="AONormal"/>
    <w:autoRedefine/>
    <w:uiPriority w:val="39"/>
    <w:semiHidden/>
    <w:pPr>
      <w:tabs>
        <w:tab w:val="left" w:pos="1797"/>
      </w:tabs>
      <w:ind w:left="1797" w:right="720" w:hanging="1077"/>
    </w:pPr>
  </w:style>
  <w:style w:type="paragraph" w:styleId="TOC3">
    <w:name w:val="toc 3"/>
    <w:basedOn w:val="AOTOCs"/>
    <w:next w:val="AONormal"/>
    <w:autoRedefine/>
    <w:uiPriority w:val="39"/>
    <w:semiHidden/>
    <w:pPr>
      <w:numPr>
        <w:numId w:val="15"/>
      </w:numPr>
      <w:ind w:right="720"/>
    </w:pPr>
  </w:style>
  <w:style w:type="paragraph" w:styleId="TOC4">
    <w:name w:val="toc 4"/>
    <w:basedOn w:val="AOTOCs"/>
    <w:next w:val="AONormal"/>
    <w:autoRedefine/>
    <w:uiPriority w:val="39"/>
    <w:semiHidden/>
    <w:pPr>
      <w:numPr>
        <w:ilvl w:val="1"/>
        <w:numId w:val="15"/>
      </w:numPr>
      <w:tabs>
        <w:tab w:val="left" w:pos="1797"/>
      </w:tabs>
      <w:ind w:right="720"/>
    </w:pPr>
  </w:style>
  <w:style w:type="paragraph" w:styleId="TOC5">
    <w:name w:val="toc 5"/>
    <w:basedOn w:val="AOTOCs"/>
    <w:next w:val="AONormal"/>
    <w:autoRedefine/>
    <w:uiPriority w:val="39"/>
    <w:semiHidden/>
    <w:pPr>
      <w:spacing w:before="240"/>
    </w:pPr>
  </w:style>
  <w:style w:type="paragraph" w:styleId="TOC6">
    <w:name w:val="toc 6"/>
    <w:basedOn w:val="AOTOCs"/>
    <w:next w:val="AONormal"/>
    <w:autoRedefine/>
    <w:uiPriority w:val="39"/>
    <w:semiHidden/>
    <w:pPr>
      <w:numPr>
        <w:numId w:val="16"/>
      </w:numPr>
      <w:ind w:right="720"/>
    </w:pPr>
  </w:style>
  <w:style w:type="paragraph" w:styleId="TOC7">
    <w:name w:val="toc 7"/>
    <w:basedOn w:val="AOTOCs"/>
    <w:next w:val="AONormal"/>
    <w:autoRedefine/>
    <w:uiPriority w:val="39"/>
    <w:semiHidden/>
    <w:pPr>
      <w:numPr>
        <w:ilvl w:val="1"/>
        <w:numId w:val="16"/>
      </w:numPr>
      <w:tabs>
        <w:tab w:val="left" w:pos="1797"/>
      </w:tabs>
      <w:ind w:right="720"/>
    </w:pPr>
  </w:style>
  <w:style w:type="paragraph" w:styleId="TOC8">
    <w:name w:val="toc 8"/>
    <w:basedOn w:val="AOTOCs"/>
    <w:next w:val="AONormal"/>
    <w:autoRedefine/>
    <w:uiPriority w:val="39"/>
    <w:semiHidden/>
    <w:pPr>
      <w:numPr>
        <w:numId w:val="17"/>
      </w:numPr>
      <w:ind w:right="720"/>
    </w:pPr>
  </w:style>
  <w:style w:type="paragraph" w:styleId="TOC9">
    <w:name w:val="toc 9"/>
    <w:basedOn w:val="AOTOCs"/>
    <w:next w:val="AONormal"/>
    <w:autoRedefine/>
    <w:uiPriority w:val="39"/>
    <w:semiHidden/>
    <w:pPr>
      <w:numPr>
        <w:ilvl w:val="1"/>
        <w:numId w:val="17"/>
      </w:numPr>
      <w:tabs>
        <w:tab w:val="left" w:pos="1797"/>
      </w:tabs>
      <w:ind w:right="720"/>
    </w:pPr>
  </w:style>
  <w:style w:type="paragraph" w:styleId="FootnoteText">
    <w:name w:val="footnote text"/>
    <w:basedOn w:val="AONormal"/>
    <w:link w:val="FootnoteTextChar"/>
    <w:uiPriority w:val="99"/>
    <w:semiHidden/>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Pr>
      <w:rFonts w:cs="Times New Roman"/>
      <w:sz w:val="16"/>
      <w:szCs w:val="20"/>
      <w:lang w:val="en-GB"/>
    </w:rPr>
  </w:style>
  <w:style w:type="paragraph" w:customStyle="1" w:styleId="AOFPBP">
    <w:name w:val="AOFPBP"/>
    <w:basedOn w:val="AONormal"/>
    <w:next w:val="AOFPTxt"/>
    <w:pPr>
      <w:jc w:val="center"/>
    </w:pPr>
  </w:style>
  <w:style w:type="paragraph" w:customStyle="1" w:styleId="AOFPTxt">
    <w:name w:val="AOFPTxt"/>
    <w:basedOn w:val="AOFPBP"/>
    <w:rPr>
      <w:b/>
    </w:rPr>
  </w:style>
  <w:style w:type="paragraph" w:customStyle="1" w:styleId="AOBPTitle">
    <w:name w:val="AOBPTitle"/>
    <w:basedOn w:val="AOFPBP"/>
    <w:rPr>
      <w:b/>
      <w:caps/>
    </w:rPr>
  </w:style>
  <w:style w:type="paragraph" w:customStyle="1" w:styleId="AOBPTxtC">
    <w:name w:val="AOBPTxtC"/>
    <w:basedOn w:val="AOFPBP"/>
  </w:style>
  <w:style w:type="paragraph" w:customStyle="1" w:styleId="AOBPTxtL">
    <w:name w:val="AOBPTxtL"/>
    <w:basedOn w:val="AOFPBP"/>
    <w:pPr>
      <w:jc w:val="left"/>
    </w:pPr>
  </w:style>
  <w:style w:type="paragraph" w:customStyle="1" w:styleId="AOBPTxtR">
    <w:name w:val="AOBPTxtR"/>
    <w:basedOn w:val="AOFPBP"/>
    <w:pPr>
      <w:jc w:val="right"/>
    </w:pPr>
  </w:style>
  <w:style w:type="paragraph" w:customStyle="1" w:styleId="AOLocation">
    <w:name w:val="AOLocation"/>
    <w:basedOn w:val="AOFPBP"/>
    <w:pPr>
      <w:spacing w:before="160"/>
    </w:pPr>
    <w:rPr>
      <w:b/>
      <w:caps/>
    </w:rPr>
  </w:style>
  <w:style w:type="paragraph" w:customStyle="1" w:styleId="AOFPTxtCaps">
    <w:name w:val="AOFPTxtCaps"/>
    <w:basedOn w:val="AOFPTxt"/>
    <w:rPr>
      <w:caps/>
    </w:rPr>
  </w:style>
  <w:style w:type="paragraph" w:customStyle="1" w:styleId="AOFPTitle">
    <w:name w:val="AOFPTitle"/>
    <w:basedOn w:val="AOFPTxt"/>
    <w:rPr>
      <w:caps/>
      <w:sz w:val="32"/>
    </w:rPr>
  </w:style>
  <w:style w:type="paragraph" w:customStyle="1" w:styleId="AOFPDate">
    <w:name w:val="AOFPDate"/>
    <w:basedOn w:val="AOFPTxt"/>
    <w:rPr>
      <w:caps/>
    </w:rPr>
  </w:style>
  <w:style w:type="paragraph" w:customStyle="1" w:styleId="AOFPCopyright">
    <w:name w:val="AOFPCopyright"/>
    <w:basedOn w:val="AOFPTxt"/>
    <w:pPr>
      <w:jc w:val="left"/>
    </w:pPr>
    <w:rPr>
      <w:caps/>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customStyle="1" w:styleId="AONormal10">
    <w:name w:val="AONormal10"/>
    <w:basedOn w:val="AONormal"/>
    <w:rPr>
      <w:sz w:val="20"/>
    </w:rPr>
  </w:style>
  <w:style w:type="paragraph" w:customStyle="1" w:styleId="AONormal8L">
    <w:name w:val="AONormal8L"/>
    <w:basedOn w:val="AONormal"/>
    <w:pPr>
      <w:spacing w:line="220" w:lineRule="atLeast"/>
    </w:pPr>
    <w:rPr>
      <w:rFonts w:ascii="Arial" w:hAnsi="Arial" w:cs="Arial"/>
      <w:sz w:val="16"/>
    </w:rPr>
  </w:style>
  <w:style w:type="paragraph" w:customStyle="1" w:styleId="AONormal8LBold">
    <w:name w:val="AONormal8LBold"/>
    <w:basedOn w:val="AONormal8L"/>
    <w:rPr>
      <w:b/>
    </w:rPr>
  </w:style>
  <w:style w:type="paragraph" w:customStyle="1" w:styleId="AONormal8C">
    <w:name w:val="AONormal8C"/>
    <w:basedOn w:val="AONormal8L"/>
    <w:pPr>
      <w:jc w:val="center"/>
    </w:pPr>
  </w:style>
  <w:style w:type="paragraph" w:customStyle="1" w:styleId="AONormal8R">
    <w:name w:val="AONormal8R"/>
    <w:basedOn w:val="AONormal8L"/>
    <w:pPr>
      <w:jc w:val="right"/>
    </w:pPr>
  </w:style>
  <w:style w:type="paragraph" w:customStyle="1" w:styleId="AONormalBold">
    <w:name w:val="AONormalBold"/>
    <w:basedOn w:val="AONormal"/>
    <w:rPr>
      <w:b/>
    </w:rPr>
  </w:style>
  <w:style w:type="paragraph" w:customStyle="1" w:styleId="AONormal6L">
    <w:name w:val="AONormal6L"/>
    <w:basedOn w:val="AONormal8L"/>
    <w:pPr>
      <w:spacing w:line="160" w:lineRule="atLeast"/>
      <w:jc w:val="both"/>
    </w:pPr>
    <w:rPr>
      <w:sz w:val="12"/>
    </w:rPr>
  </w:style>
  <w:style w:type="paragraph" w:customStyle="1" w:styleId="AONormal6C">
    <w:name w:val="AONormal6C"/>
    <w:basedOn w:val="AONormal6L"/>
    <w:pPr>
      <w:jc w:val="center"/>
    </w:pPr>
  </w:style>
  <w:style w:type="paragraph" w:customStyle="1" w:styleId="AONormal6R">
    <w:name w:val="AONormal6R"/>
    <w:basedOn w:val="AONormal6L"/>
    <w:pPr>
      <w:jc w:val="right"/>
    </w:pPr>
  </w:style>
  <w:style w:type="paragraph" w:customStyle="1" w:styleId="AOTitle18">
    <w:name w:val="AOTitle18"/>
    <w:basedOn w:val="AONormal"/>
    <w:rPr>
      <w:b/>
      <w:sz w:val="36"/>
    </w:rPr>
  </w:style>
  <w:style w:type="paragraph" w:customStyle="1" w:styleId="AOSignatory">
    <w:name w:val="AOSignatory"/>
    <w:basedOn w:val="AOBodyTxt"/>
    <w:next w:val="AODocTxt"/>
    <w:pPr>
      <w:pageBreakBefore/>
      <w:spacing w:after="240"/>
      <w:jc w:val="center"/>
    </w:pPr>
    <w:rPr>
      <w:b/>
      <w:caps/>
    </w:rPr>
  </w:style>
  <w:style w:type="paragraph" w:customStyle="1" w:styleId="AOTOCTitle">
    <w:name w:val="AOTOCTitle"/>
    <w:basedOn w:val="AOHeadings"/>
    <w:next w:val="AOTOCHeading"/>
    <w:pPr>
      <w:jc w:val="center"/>
    </w:pPr>
    <w:rPr>
      <w:b/>
      <w:caps/>
    </w:rPr>
  </w:style>
  <w:style w:type="paragraph" w:customStyle="1" w:styleId="AOHidden">
    <w:name w:val="AOHidden"/>
    <w:basedOn w:val="AONormal"/>
    <w:pPr>
      <w:spacing w:before="240"/>
      <w:jc w:val="both"/>
    </w:pPr>
    <w:rPr>
      <w:vanish/>
    </w:rPr>
  </w:style>
  <w:style w:type="paragraph" w:styleId="CommentText">
    <w:name w:val="annotation text"/>
    <w:basedOn w:val="AONormal"/>
    <w:link w:val="CommentTextChar"/>
    <w:uiPriority w:val="99"/>
    <w:semiHidden/>
    <w:pPr>
      <w:spacing w:line="240" w:lineRule="auto"/>
    </w:pPr>
    <w:rPr>
      <w:sz w:val="16"/>
      <w:szCs w:val="20"/>
    </w:rPr>
  </w:style>
  <w:style w:type="character" w:customStyle="1" w:styleId="CommentTextChar">
    <w:name w:val="Comment Text Char"/>
    <w:basedOn w:val="DefaultParagraphFont"/>
    <w:link w:val="CommentText"/>
    <w:uiPriority w:val="99"/>
    <w:semiHidden/>
    <w:rPr>
      <w:rFonts w:cs="Times New Roman"/>
      <w:sz w:val="16"/>
      <w:szCs w:val="20"/>
      <w:lang w:val="en-GB"/>
    </w:rPr>
  </w:style>
  <w:style w:type="paragraph" w:styleId="EndnoteText">
    <w:name w:val="endnote text"/>
    <w:basedOn w:val="AONormal"/>
    <w:link w:val="EndnoteTextChar"/>
    <w:uiPriority w:val="99"/>
    <w:semiHidden/>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Pr>
      <w:rFonts w:cs="Times New Roman"/>
      <w:sz w:val="16"/>
      <w:szCs w:val="20"/>
      <w:lang w:val="en-GB"/>
    </w:rPr>
  </w:style>
  <w:style w:type="character" w:customStyle="1" w:styleId="Heading1Char">
    <w:name w:val="Heading 1 Char"/>
    <w:basedOn w:val="DefaultParagraphFont"/>
    <w:link w:val="Heading1"/>
    <w:uiPriority w:val="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Pr>
      <w:rFonts w:eastAsia="Times New Roman" w:cs="Times New Roman"/>
      <w:b/>
      <w:bCs/>
      <w:szCs w:val="26"/>
      <w:lang w:val="en-GB"/>
    </w:rPr>
  </w:style>
  <w:style w:type="character" w:customStyle="1" w:styleId="Heading3Char">
    <w:name w:val="Heading 3 Char"/>
    <w:basedOn w:val="DefaultParagraphFont"/>
    <w:link w:val="Heading3"/>
    <w:uiPriority w:val="9"/>
    <w:semiHidden/>
    <w:rPr>
      <w:rFonts w:eastAsia="Times New Roman" w:cs="Times New Roman"/>
      <w:bCs/>
      <w:lang w:val="en-GB"/>
    </w:rPr>
  </w:style>
  <w:style w:type="character" w:customStyle="1" w:styleId="Heading4Char">
    <w:name w:val="Heading 4 Char"/>
    <w:basedOn w:val="DefaultParagraphFont"/>
    <w:link w:val="Heading4"/>
    <w:uiPriority w:val="9"/>
    <w:semiHidden/>
    <w:rPr>
      <w:rFonts w:eastAsia="Times New Roman" w:cs="Times New Roman"/>
      <w:bCs/>
      <w:iCs/>
      <w:lang w:val="en-GB"/>
    </w:rPr>
  </w:style>
  <w:style w:type="character" w:customStyle="1" w:styleId="Heading5Char">
    <w:name w:val="Heading 5 Char"/>
    <w:basedOn w:val="DefaultParagraphFont"/>
    <w:link w:val="Heading5"/>
    <w:uiPriority w:val="9"/>
    <w:semiHidden/>
    <w:rPr>
      <w:rFonts w:eastAsia="Times New Roman" w:cs="Times New Roman"/>
      <w:lang w:val="en-GB"/>
    </w:rPr>
  </w:style>
  <w:style w:type="character" w:customStyle="1" w:styleId="Heading6Char">
    <w:name w:val="Heading 6 Char"/>
    <w:basedOn w:val="DefaultParagraphFont"/>
    <w:link w:val="Heading6"/>
    <w:uiPriority w:val="9"/>
    <w:semiHidden/>
    <w:rPr>
      <w:rFonts w:eastAsia="Times New Roman" w:cs="Times New Roman"/>
      <w:iCs/>
      <w:lang w:val="en-GB"/>
    </w:rPr>
  </w:style>
  <w:style w:type="character" w:customStyle="1" w:styleId="Heading7Char">
    <w:name w:val="Heading 7 Char"/>
    <w:basedOn w:val="DefaultParagraphFont"/>
    <w:link w:val="Heading7"/>
    <w:uiPriority w:val="9"/>
    <w:semiHidden/>
    <w:rPr>
      <w:rFonts w:eastAsia="Times New Roman" w:cs="Times New Roman"/>
      <w:iCs/>
      <w:lang w:val="en-GB"/>
    </w:rPr>
  </w:style>
  <w:style w:type="character" w:customStyle="1" w:styleId="Heading8Char">
    <w:name w:val="Heading 8 Char"/>
    <w:basedOn w:val="DefaultParagraphFont"/>
    <w:link w:val="Heading8"/>
    <w:uiPriority w:val="9"/>
    <w:semiHidden/>
    <w:rPr>
      <w:rFonts w:eastAsia="Times New Roman" w:cs="Times New Roman"/>
      <w:szCs w:val="20"/>
      <w:lang w:val="en-GB"/>
    </w:rPr>
  </w:style>
  <w:style w:type="character" w:customStyle="1" w:styleId="Heading9Char">
    <w:name w:val="Heading 9 Char"/>
    <w:basedOn w:val="DefaultParagraphFont"/>
    <w:link w:val="Heading9"/>
    <w:uiPriority w:val="9"/>
    <w:semiHidden/>
    <w:rPr>
      <w:rFonts w:eastAsia="Times New Roman" w:cs="Times New Roman"/>
      <w:iCs/>
      <w:szCs w:val="20"/>
      <w:lang w:val="en-GB"/>
    </w:rPr>
  </w:style>
  <w:style w:type="paragraph" w:styleId="TOAHeading">
    <w:name w:val="toa heading"/>
    <w:basedOn w:val="AONormal"/>
    <w:next w:val="TableofAuthorities"/>
    <w:uiPriority w:val="99"/>
    <w:semiHidden/>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pPr>
      <w:tabs>
        <w:tab w:val="right" w:leader="dot" w:pos="9490"/>
      </w:tabs>
      <w:spacing w:before="240" w:line="240" w:lineRule="auto"/>
      <w:ind w:left="720" w:hanging="720"/>
    </w:pPr>
  </w:style>
  <w:style w:type="paragraph" w:styleId="EnvelopeAddress">
    <w:name w:val="envelope address"/>
    <w:basedOn w:val="Normal"/>
    <w:uiPriority w:val="99"/>
    <w:semiHidden/>
    <w:pPr>
      <w:ind w:left="2880"/>
    </w:pPr>
    <w:rPr>
      <w:rFonts w:eastAsia="Times New Roman"/>
      <w:szCs w:val="24"/>
    </w:rPr>
  </w:style>
  <w:style w:type="paragraph" w:styleId="EnvelopeReturn">
    <w:name w:val="envelope return"/>
    <w:basedOn w:val="Normal"/>
    <w:uiPriority w:val="99"/>
    <w:semiHidden/>
    <w:rPr>
      <w:rFonts w:eastAsia="Times New Roman"/>
      <w:sz w:val="20"/>
      <w:szCs w:val="20"/>
    </w:rPr>
  </w:style>
  <w:style w:type="paragraph" w:customStyle="1" w:styleId="AOListNumber">
    <w:name w:val="AOListNumber"/>
    <w:basedOn w:val="AOBodyTxt"/>
    <w:pPr>
      <w:numPr>
        <w:numId w:val="18"/>
      </w:numPr>
      <w:tabs>
        <w:tab w:val="clear" w:pos="720"/>
      </w:tabs>
    </w:pPr>
  </w:style>
  <w:style w:type="character" w:styleId="PlaceholderText">
    <w:name w:val="Placeholder Text"/>
    <w:basedOn w:val="DefaultParagraphFont"/>
    <w:uiPriority w:val="99"/>
    <w:semiHidden/>
    <w:rPr>
      <w:color w:val="808080"/>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3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pPr>
      <w:tabs>
        <w:tab w:val="num" w:pos="720"/>
      </w:tabs>
      <w:ind w:left="720" w:hanging="720"/>
      <w:contextualSpacing/>
    </w:pPr>
  </w:style>
  <w:style w:type="paragraph" w:styleId="ListNumber">
    <w:name w:val="List Number"/>
    <w:basedOn w:val="Normal"/>
    <w:uiPriority w:val="99"/>
    <w:semiHidden/>
    <w:pPr>
      <w:tabs>
        <w:tab w:val="num" w:pos="720"/>
      </w:tabs>
      <w:ind w:left="720" w:hanging="720"/>
      <w:contextualSpacing/>
    </w:pPr>
  </w:style>
  <w:style w:type="table" w:customStyle="1" w:styleId="AOHdrFtrTblStyle">
    <w:name w:val="AOHdrFtrTblStyle"/>
    <w:basedOn w:val="TableGrid"/>
    <w:tblPr/>
    <w:tcPr>
      <w:shd w:val="clear" w:color="auto" w:fill="auto"/>
    </w:tcPr>
  </w:style>
  <w:style w:type="paragraph" w:customStyle="1" w:styleId="WWBodyText">
    <w:name w:val="WW_BodyText"/>
    <w:basedOn w:val="Normal"/>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Pr>
      <w:color w:val="5C6F7B" w:themeColor="hyperlink"/>
      <w:u w:val="single"/>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basedOn w:val="CommentTextChar"/>
    <w:link w:val="CommentSubject"/>
    <w:uiPriority w:val="99"/>
    <w:semiHidden/>
    <w:rPr>
      <w:rFonts w:cs="Times New Roman"/>
      <w:b/>
      <w:bCs/>
      <w:sz w:val="20"/>
      <w:szCs w:val="20"/>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rPr>
      <w:color w:val="9AD7DB" w:themeColor="followedHyperlink"/>
      <w:u w:val="single"/>
    </w:rPr>
  </w:style>
  <w:style w:type="paragraph" w:styleId="Revision">
    <w:name w:val="Revision"/>
    <w:hidden/>
    <w:uiPriority w:val="99"/>
    <w:semiHidden/>
    <w:pPr>
      <w:spacing w:line="240" w:lineRule="auto"/>
    </w:pPr>
    <w:rPr>
      <w:rFonts w:cs="Times New Roman"/>
    </w:rPr>
  </w:style>
  <w:style w:type="paragraph" w:styleId="BodyText">
    <w:name w:val="Body Text"/>
    <w:basedOn w:val="Normal"/>
    <w:link w:val="BodyTextChar"/>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1.xml"/><Relationship Id="rId16" Type="http://schemas.openxmlformats.org/officeDocument/2006/relationships/customXml" Target="../customXml/item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Dictionary xmlns="http://schemas.business-integrity.com/dealbuilder/2006/dictionary" SavedByVersion="9.8.37389.0" MinimumVersion="7.2.0.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8e3599-69d8-463b-8bf2-ff1d054f3b5f">
      <Terms xmlns="http://schemas.microsoft.com/office/infopath/2007/PartnerControls"/>
    </lcf76f155ced4ddcb4097134ff3c332f>
    <TaxCatchAll xmlns="1af4fe37-e138-4444-ac39-a91a26058e7e">
      <Value>4</Value>
      <Value>3</Value>
    </TaxCatchAll>
    <AFM_dms_DatumEnTijdstipOntvangst xmlns="bedada9c-9ff6-4a90-bed1-7f262f8682ad" xsi:nil="true"/>
    <AFM_dms_RetentietermijnTaxHTField0 xmlns="bedada9c-9ff6-4a90-bed1-7f262f8682ad">
      <Terms xmlns="http://schemas.microsoft.com/office/infopath/2007/PartnerControls"/>
    </AFM_dms_RetentietermijnTaxHTField0>
    <AFM_dms_Zaaknummer xmlns="bedada9c-9ff6-4a90-bed1-7f262f8682ad">C2507-01993</AFM_dms_Zaaknummer>
    <AFM_dms_ZaakEinddatum xmlns="bedada9c-9ff6-4a90-bed1-7f262f8682ad" xsi:nil="true"/>
    <AFM_dms_NaamRelatie xmlns="bedada9c-9ff6-4a90-bed1-7f262f8682ad">Prosus N.V.</AFM_dms_NaamRelatie>
    <AFM_dms_Kanaal xmlns="bedada9c-9ff6-4a90-bed1-7f262f8682ad" xsi:nil="true"/>
    <AFM_dms_SoortBericht xmlns="bedada9c-9ff6-4a90-bed1-7f262f8682ad" xsi:nil="true"/>
    <AFM_dms_Resultaat xmlns="bedada9c-9ff6-4a90-bed1-7f262f8682ad" xsi:nil="true"/>
    <AFM_dms_MeldingId xmlns="bedada9c-9ff6-4a90-bed1-7f262f8682ad" xsi:nil="true"/>
    <AFM_dms_TitelPersbericht xmlns="bedada9c-9ff6-4a90-bed1-7f262f8682ad" xsi:nil="true"/>
    <AFM_dms_Relatienummer xmlns="bedada9c-9ff6-4a90-bed1-7f262f8682ad" xsi:nil="true"/>
    <AFM_dms_Beschrijving_grondslag xmlns="bedada9c-9ff6-4a90-bed1-7f262f8682ad" xsi:nil="true"/>
    <_dlc_DocIdPersistId xmlns="5fe4e853-3417-48a7-a9b2-767e16cca7ad" xsi:nil="true"/>
    <AFM_dms_Vernietigingsjaar xmlns="bedada9c-9ff6-4a90-bed1-7f262f8682ad" xsi:nil="true"/>
    <e8d0f44fb3804c52bd24bc545b2f2e67 xmlns="bedada9c-9ff6-4a90-bed1-7f262f8682ad">
      <Terms xmlns="http://schemas.microsoft.com/office/infopath/2007/PartnerControls">
        <TermInfo xmlns="http://schemas.microsoft.com/office/infopath/2007/PartnerControls">
          <TermName xmlns="http://schemas.microsoft.com/office/infopath/2007/PartnerControls">EUIOVW</TermName>
          <TermId xmlns="http://schemas.microsoft.com/office/infopath/2007/PartnerControls">bd452f78-56ac-4048-8ad6-d473d26cf365</TermId>
        </TermInfo>
      </Terms>
    </e8d0f44fb3804c52bd24bc545b2f2e67>
    <AFM_dms_Behandelaar xmlns="bedada9c-9ff6-4a90-bed1-7f262f8682ad" xsi:nil="true"/>
    <AFM_dms_ZaaktypeTaxHTField0 xmlns="bedada9c-9ff6-4a90-bed1-7f262f8682ad" xsi:nil="true"/>
    <AFM_dms_Authorization xmlns="bedada9c-9ff6-4a90-bed1-7f262f8682ad" xsi:nil="true"/>
    <AFM_dms_DocumenttypeTaxHTField0 xmlns="bedada9c-9ff6-4a90-bed1-7f262f8682ad">
      <Terms xmlns="http://schemas.microsoft.com/office/infopath/2007/PartnerControls">
        <TermInfo xmlns="http://schemas.microsoft.com/office/infopath/2007/PartnerControls">
          <TermName xmlns="http://schemas.microsoft.com/office/infopath/2007/PartnerControls">Persbericht inkomend</TermName>
          <TermId xmlns="http://schemas.microsoft.com/office/infopath/2007/PartnerControls">29ae2195-941d-4ea3-be1c-3d43a11ff799</TermId>
        </TermInfo>
      </Terms>
    </AFM_dms_DocumenttypeTaxHTField0>
    <AFM_dms_PublicatieTijdstip xmlns="bedada9c-9ff6-4a90-bed1-7f262f8682ad" xsi:nil="true"/>
    <AFM_dms_origineleBestandsnaam xmlns="bedada9c-9ff6-4a90-bed1-7f262f8682ad">Prosus - Buyback announcement - 21 July 2025 - 25 July 2025.docx</AFM_dms_origineleBestandsnaam>
    <AFM_dms_Grondslag xmlns="bedada9c-9ff6-4a90-bed1-7f262f8682ad" xsi:nil="true"/>
    <AFM_dms_Melder xmlns="bedada9c-9ff6-4a90-bed1-7f262f8682ad" xsi:nil="true"/>
    <_dlc_DocId xmlns="5fe4e853-3417-48a7-a9b2-767e16cca7ad">MAR17MELD-955777008-82866</_dlc_DocId>
    <_dlc_DocIdUrl xmlns="5fe4e853-3417-48a7-a9b2-767e16cca7ad">
      <Url>https://afmap.sharepoint.com/sites/afmdms_mar17meldingen/_layouts/15/DocIdRedir.aspx?ID=MAR17MELD-955777008-82866</Url>
      <Description>MAR17MELD-955777008-82866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MAR17Melding Document" ma:contentTypeID="0x010100D67FB3C8B9F44C9FB801D5E99C4AEC9B008B32F997535F40B0A20F4493835B16FA00B6AFA36744523C48BBF919E941DFB204" ma:contentTypeVersion="62" ma:contentTypeDescription="" ma:contentTypeScope="" ma:versionID="da8fdadf3952f1c8c515bbc4e0cf07e6">
  <xsd:schema xmlns:xsd="http://www.w3.org/2001/XMLSchema" xmlns:xs="http://www.w3.org/2001/XMLSchema" xmlns:p="http://schemas.microsoft.com/office/2006/metadata/properties" xmlns:ns2="5fe4e853-3417-48a7-a9b2-767e16cca7ad" xmlns:ns3="bedada9c-9ff6-4a90-bed1-7f262f8682ad" xmlns:ns4="1af4fe37-e138-4444-ac39-a91a26058e7e" xmlns:ns5="0c8e3599-69d8-463b-8bf2-ff1d054f3b5f" targetNamespace="http://schemas.microsoft.com/office/2006/metadata/properties" ma:root="true" ma:fieldsID="cec2b9c5357a24ed36d25d043b69ff76" ns2:_="" ns3:_="" ns4:_="" ns5:_="">
    <xsd:import namespace="5fe4e853-3417-48a7-a9b2-767e16cca7ad"/>
    <xsd:import namespace="bedada9c-9ff6-4a90-bed1-7f262f8682ad"/>
    <xsd:import namespace="1af4fe37-e138-4444-ac39-a91a26058e7e"/>
    <xsd:import namespace="0c8e3599-69d8-463b-8bf2-ff1d054f3b5f"/>
    <xsd:element name="properties">
      <xsd:complexType>
        <xsd:sequence>
          <xsd:element name="documentManagement">
            <xsd:complexType>
              <xsd:all>
                <xsd:element ref="ns2:_dlc_DocId" minOccurs="0"/>
                <xsd:element ref="ns2:_dlc_DocIdUrl" minOccurs="0"/>
                <xsd:element ref="ns2:_dlc_DocIdPersistId" minOccurs="0"/>
                <xsd:element ref="ns3:AFM_dms_Behandelaar" minOccurs="0"/>
                <xsd:element ref="ns3:AFM_dms_MeldingId" minOccurs="0"/>
                <xsd:element ref="ns3:AFM_dms_TitelPersbericht" minOccurs="0"/>
                <xsd:element ref="ns3:AFM_dms_NaamRelatie" minOccurs="0"/>
                <xsd:element ref="ns3:AFM_dms_Zaaknummer" minOccurs="0"/>
                <xsd:element ref="ns3:AFM_dms_ZaakEinddatum" minOccurs="0"/>
                <xsd:element ref="ns3:AFM_dms_DatumEnTijdstipOntvangst" minOccurs="0"/>
                <xsd:element ref="ns3:AFM_dms_Relatienummer" minOccurs="0"/>
                <xsd:element ref="ns3:AFM_dms_PublicatieTijdstip" minOccurs="0"/>
                <xsd:element ref="ns3:AFM_dms_Kanaal" minOccurs="0"/>
                <xsd:element ref="ns3:AFM_dms_Melder" minOccurs="0"/>
                <xsd:element ref="ns3:AFM_dms_SoortBericht" minOccurs="0"/>
                <xsd:element ref="ns3:AFM_dms_ZaaktypeTaxHTField0" minOccurs="0"/>
                <xsd:element ref="ns3:AFM_dms_Authorization" minOccurs="0"/>
                <xsd:element ref="ns3:AFM_dms_Resultaat" minOccurs="0"/>
                <xsd:element ref="ns3:AFM_dms_DocumenttypeTaxHTField0" minOccurs="0"/>
                <xsd:element ref="ns3:e8d0f44fb3804c52bd24bc545b2f2e67" minOccurs="0"/>
                <xsd:element ref="ns3:AFM_dms_origineleBestandsnaam" minOccurs="0"/>
                <xsd:element ref="ns3:AFM_dms_RetentietermijnTaxHTField0" minOccurs="0"/>
                <xsd:element ref="ns4:TaxCatchAll" minOccurs="0"/>
                <xsd:element ref="ns4:TaxCatchAllLabel" minOccurs="0"/>
                <xsd:element ref="ns3:AFM_dms_Vernietigingsjaar" minOccurs="0"/>
                <xsd:element ref="ns3:AFM_dms_Grondslag" minOccurs="0"/>
                <xsd:element ref="ns3:AFM_dms_Beschrijving_grondslag"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dada9c-9ff6-4a90-bed1-7f262f8682ad" elementFormDefault="qualified">
    <xsd:import namespace="http://schemas.microsoft.com/office/2006/documentManagement/types"/>
    <xsd:import namespace="http://schemas.microsoft.com/office/infopath/2007/PartnerControls"/>
    <xsd:element name="AFM_dms_Behandelaar" ma:index="11" nillable="true" ma:displayName="Behandelaar" ma:internalName="AFM_dms_Behandelaar" ma:readOnly="false">
      <xsd:simpleType>
        <xsd:restriction base="dms:Text"/>
      </xsd:simpleType>
    </xsd:element>
    <xsd:element name="AFM_dms_MeldingId" ma:index="12" nillable="true" ma:displayName="Melding ID" ma:internalName="AFM_dms_MeldingId" ma:readOnly="false">
      <xsd:simpleType>
        <xsd:restriction base="dms:Text"/>
      </xsd:simpleType>
    </xsd:element>
    <xsd:element name="AFM_dms_TitelPersbericht" ma:index="13" nillable="true" ma:displayName="Titel persbericht" ma:internalName="AFM_dms_TitelPersbericht" ma:readOnly="false">
      <xsd:simpleType>
        <xsd:restriction base="dms:Text"/>
      </xsd:simpleType>
    </xsd:element>
    <xsd:element name="AFM_dms_NaamRelatie" ma:index="14" nillable="true" ma:displayName="Naam relatie" ma:internalName="AFM_dms_NaamRelatie" ma:readOnly="false">
      <xsd:simpleType>
        <xsd:restriction base="dms:Text"/>
      </xsd:simpleType>
    </xsd:element>
    <xsd:element name="AFM_dms_Zaaknummer" ma:index="15" nillable="true" ma:displayName="Zaaknummer" ma:internalName="AFM_dms_Zaaknummer" ma:readOnly="false">
      <xsd:simpleType>
        <xsd:restriction base="dms:Text"/>
      </xsd:simpleType>
    </xsd:element>
    <xsd:element name="AFM_dms_ZaakEinddatum" ma:index="16" nillable="true" ma:displayName="Zaak einddatum" ma:format="DateOnly" ma:internalName="AFM_dms_ZaakEinddatum" ma:readOnly="false">
      <xsd:simpleType>
        <xsd:restriction base="dms:DateTime"/>
      </xsd:simpleType>
    </xsd:element>
    <xsd:element name="AFM_dms_DatumEnTijdstipOntvangst" ma:index="18" nillable="true" ma:displayName="Datum en tijdstip ontvangst" ma:format="DateTime" ma:indexed="true" ma:internalName="AFM_dms_DatumEnTijdstipOntvangst" ma:readOnly="false">
      <xsd:simpleType>
        <xsd:restriction base="dms:DateTime"/>
      </xsd:simpleType>
    </xsd:element>
    <xsd:element name="AFM_dms_Relatienummer" ma:index="19" nillable="true" ma:displayName="Relatienummer" ma:internalName="AFM_dms_Relatienummer" ma:readOnly="false">
      <xsd:simpleType>
        <xsd:restriction base="dms:Text"/>
      </xsd:simpleType>
    </xsd:element>
    <xsd:element name="AFM_dms_PublicatieTijdstip" ma:index="20" nillable="true" ma:displayName="Publicatie tijdstip" ma:format="DateTime" ma:internalName="AFM_dms_PublicatieTijdstip" ma:readOnly="false">
      <xsd:simpleType>
        <xsd:restriction base="dms:DateTime"/>
      </xsd:simpleType>
    </xsd:element>
    <xsd:element name="AFM_dms_Kanaal" ma:index="21" nillable="true" ma:displayName="Kanaal" ma:internalName="AFM_dms_Kanaal" ma:readOnly="false">
      <xsd:simpleType>
        <xsd:restriction base="dms:Text"/>
      </xsd:simpleType>
    </xsd:element>
    <xsd:element name="AFM_dms_Melder" ma:index="22" nillable="true" ma:displayName="Melder" ma:internalName="AFM_dms_Melder" ma:readOnly="false">
      <xsd:simpleType>
        <xsd:restriction base="dms:Text"/>
      </xsd:simpleType>
    </xsd:element>
    <xsd:element name="AFM_dms_SoortBericht" ma:index="23" nillable="true" ma:displayName="Soort bericht" ma:internalName="AFM_dms_SoortBericht" ma:readOnly="false">
      <xsd:simpleType>
        <xsd:restriction base="dms:Text"/>
      </xsd:simpleType>
    </xsd:element>
    <xsd:element name="AFM_dms_ZaaktypeTaxHTField0" ma:index="24" nillable="true" ma:displayName="AFM_dms_Zaaktype_0" ma:hidden="true" ma:internalName="AFM_dms_ZaaktypeTaxHTField0" ma:readOnly="false">
      <xsd:simpleType>
        <xsd:restriction base="dms:Note"/>
      </xsd:simpleType>
    </xsd:element>
    <xsd:element name="AFM_dms_Authorization" ma:index="25" nillable="true" ma:displayName="Authorization" ma:hidden="true" ma:internalName="AFM_dms_Authorization" ma:readOnly="false">
      <xsd:simpleType>
        <xsd:restriction base="dms:Text"/>
      </xsd:simpleType>
    </xsd:element>
    <xsd:element name="AFM_dms_Resultaat" ma:index="26" nillable="true" ma:displayName="Resultaat" ma:internalName="AFM_dms_Resultaat" ma:readOnly="false">
      <xsd:simpleType>
        <xsd:restriction base="dms:Text"/>
      </xsd:simpleType>
    </xsd:element>
    <xsd:element name="AFM_dms_DocumenttypeTaxHTField0" ma:index="28"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element name="e8d0f44fb3804c52bd24bc545b2f2e67" ma:index="29" nillable="true" ma:taxonomy="true" ma:internalName="e8d0f44fb3804c52bd24bc545b2f2e67" ma:taxonomyFieldName="AFM_dms_Zaaktype" ma:displayName="Zaaktype" ma:readOnly="false" ma:fieldId="{e8d0f44f-b380-4c52-bd24-bc545b2f2e67}" ma:sspId="aa2fb73e-e83a-44df-bc25-39628a106fd3" ma:termSetId="a543a553-767d-4eaa-88d1-444b203f0c53" ma:anchorId="00000000-0000-0000-0000-000000000000" ma:open="false" ma:isKeyword="false">
      <xsd:complexType>
        <xsd:sequence>
          <xsd:element ref="pc:Terms" minOccurs="0" maxOccurs="1"/>
        </xsd:sequence>
      </xsd:complexType>
    </xsd:element>
    <xsd:element name="AFM_dms_origineleBestandsnaam" ma:index="30" nillable="true" ma:displayName="Originele bestandsnaam" ma:internalName="AFM_dms_origineleBestandsnaam" ma:readOnly="false">
      <xsd:simpleType>
        <xsd:restriction base="dms:Text"/>
      </xsd:simpleType>
    </xsd:element>
    <xsd:element name="AFM_dms_RetentietermijnTaxHTField0" ma:index="31" nillable="true" ma:taxonomy="true" ma:internalName="AFM_dms_RetentietermijnTaxHTField0" ma:taxonomyFieldName="AFM_dms_Retentietermijn" ma:displayName="Retentietermijn" ma:readOnly="false" ma:fieldId="{6cfc6ed6-8921-41d4-8513-419a979b39ac}" ma:sspId="aa2fb73e-e83a-44df-bc25-39628a106fd3" ma:termSetId="542d2480-3123-4c09-88a6-151b2d4c607e" ma:anchorId="00000000-0000-0000-0000-000000000000" ma:open="false" ma:isKeyword="false">
      <xsd:complexType>
        <xsd:sequence>
          <xsd:element ref="pc:Terms" minOccurs="0" maxOccurs="1"/>
        </xsd:sequence>
      </xsd:complexType>
    </xsd:element>
    <xsd:element name="AFM_dms_Vernietigingsjaar" ma:index="35" nillable="true" ma:displayName="Vernietigingsjaar" ma:decimals="0" ma:internalName="AFM_dms_Vernietigingsjaar" ma:readOnly="false" ma:percentage="FALSE">
      <xsd:simpleType>
        <xsd:restriction base="dms:Number">
          <xsd:maxInclusive value="2050"/>
          <xsd:minInclusive value="1970"/>
        </xsd:restriction>
      </xsd:simpleType>
    </xsd:element>
    <xsd:element name="AFM_dms_Grondslag" ma:index="36" nillable="true" ma:displayName="Grondslag" ma:internalName="AFM_dms_Grondslag" ma:readOnly="false">
      <xsd:simpleType>
        <xsd:restriction base="dms:Text"/>
      </xsd:simpleType>
    </xsd:element>
    <xsd:element name="AFM_dms_Beschrijving_grondslag" ma:index="37" nillable="true" ma:displayName="Beschrijving Grondslag" ma:internalName="AFM_dms_Beschrijving_grondslag"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277d4bee-1e6c-4d04-a5f9-80cf83680855}" ma:internalName="TaxCatchAll" ma:showField="CatchAllData" ma:web="bedada9c-9ff6-4a90-bed1-7f262f8682ad">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277d4bee-1e6c-4d04-a5f9-80cf83680855}" ma:internalName="TaxCatchAllLabel" ma:readOnly="true" ma:showField="CatchAllDataLabel" ma:web="bedada9c-9ff6-4a90-bed1-7f262f8682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8e3599-69d8-463b-8bf2-ff1d054f3b5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description="" ma:hidden="true" ma:indexed="true" ma:internalName="MediaServiceDateTake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ession xmlns="http://schemas.business-integrity.com/dealbuilder/2006/answers"/>
</file>

<file path=customXml/item6.xml><?xml version="1.0" encoding="utf-8"?>
<?mso-contentType ?>
<SharedContentType xmlns="Microsoft.SharePoint.Taxonomy.ContentTypeSync" SourceId="aa2fb73e-e83a-44df-bc25-39628a106fd3" ContentTypeId="0x010100D67FB3C8B9F44C9FB801D5E99C4AEC9B"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316017-3513-4168-8FDB-EADE548DECBB}">
  <ds:schemaRefs>
    <ds:schemaRef ds:uri="http://schemas.business-integrity.com/dealbuilder/2006/dictionary"/>
  </ds:schemaRefs>
</ds:datastoreItem>
</file>

<file path=customXml/itemProps2.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3.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4.xml><?xml version="1.0" encoding="utf-8"?>
<ds:datastoreItem xmlns:ds="http://schemas.openxmlformats.org/officeDocument/2006/customXml" ds:itemID="{164453B0-1C52-4391-9FE6-94DCAFC72FC6}"/>
</file>

<file path=customXml/itemProps5.xml><?xml version="1.0" encoding="utf-8"?>
<ds:datastoreItem xmlns:ds="http://schemas.openxmlformats.org/officeDocument/2006/customXml" ds:itemID="{F17FC34B-9D02-4B5B-A31B-13A9CA5E2612}">
  <ds:schemaRefs>
    <ds:schemaRef ds:uri="http://schemas.business-integrity.com/dealbuilder/2006/answers"/>
  </ds:schemaRefs>
</ds:datastoreItem>
</file>

<file path=customXml/itemProps6.xml><?xml version="1.0" encoding="utf-8"?>
<ds:datastoreItem xmlns:ds="http://schemas.openxmlformats.org/officeDocument/2006/customXml" ds:itemID="{DC21281B-2244-48AE-84DE-6598CB7156E4}"/>
</file>

<file path=customXml/itemProps7.xml><?xml version="1.0" encoding="utf-8"?>
<ds:datastoreItem xmlns:ds="http://schemas.openxmlformats.org/officeDocument/2006/customXml" ds:itemID="{EF31B2FB-51AB-4192-A7F5-56012EA3E5F3}"/>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3784</Characters>
  <Application>Microsoft Office Word</Application>
  <DocSecurity>0</DocSecurity>
  <Lines>60</Lines>
  <Paragraphs>37</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notification</dc:title>
  <cp:lastModifiedBy>Tonilee Lutz</cp:lastModifiedBy>
  <cp:revision>60</cp:revision>
  <dcterms:created xsi:type="dcterms:W3CDTF">2025-04-22T14:10:00Z</dcterms:created>
  <dcterms:modified xsi:type="dcterms:W3CDTF">2025-07-29T13:06:00Z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0x010100D67FB3C8B9F44C9FB801D5E99C4AEC9B008B32F997535F40B0A20F4493835B16FA00B6AFA36744523C48BBF919E941DFB204</vt:lpwstr>
  </property>
  <property fmtid="{D5CDD505-2E9C-101B-9397-08002B2CF9AE}" pid="3" name="db_contract_version">
    <vt:lpwstr>AAAAAAAaGLE=</vt:lpwstr>
  </property>
  <property fmtid="{D5CDD505-2E9C-101B-9397-08002B2CF9AE}" pid="4" name="db_document_id">
    <vt:lpwstr>13360</vt:lpwstr>
  </property>
  <property fmtid="{D5CDD505-2E9C-101B-9397-08002B2CF9AE}" pid="5" name="MediaServiceImageTags">
    <vt:lpwstr/>
  </property>
  <property fmtid="{D5CDD505-2E9C-101B-9397-08002B2CF9AE}" pid="6" name="GrammarlyDocumentId">
    <vt:lpwstr>440a1789-573e-4045-bdcb-12ef0ea8b0fe</vt:lpwstr>
  </property>
  <property fmtid="{D5CDD505-2E9C-101B-9397-08002B2CF9AE}" pid="7" name="_dlc_DocIdItemGuid">
    <vt:lpwstr>35db4b43-30db-4da3-a6de-56483793f845</vt:lpwstr>
  </property>
  <property fmtid="{D5CDD505-2E9C-101B-9397-08002B2CF9AE}" pid="8" name="AFM_dms_Zaaktype">
    <vt:lpwstr>3;#EUIOVW|bd452f78-56ac-4048-8ad6-d473d26cf365</vt:lpwstr>
  </property>
  <property fmtid="{D5CDD505-2E9C-101B-9397-08002B2CF9AE}" pid="9" name="AFM_dms_Retentietermijn">
    <vt:lpwstr/>
  </property>
  <property fmtid="{D5CDD505-2E9C-101B-9397-08002B2CF9AE}" pid="10" name="AFM_dms_Documenttype">
    <vt:lpwstr>4;#Persbericht inkomend|29ae2195-941d-4ea3-be1c-3d43a11ff799</vt:lpwstr>
  </property>
</Properties>
</file>