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6472ADEC" w14:textId="77777777" w:rsidR="00FE66E6" w:rsidRDefault="00FE66E6" w:rsidP="00FE66E6">
      <w:pPr>
        <w:jc w:val="center"/>
        <w:rPr>
          <w:rFonts w:eastAsia="Times New Roman"/>
          <w:sz w:val="24"/>
          <w:szCs w:val="24"/>
        </w:rPr>
      </w:pPr>
      <w:r>
        <w:rPr>
          <w:rFonts w:ascii="Verdana" w:eastAsia="Verdana" w:hAnsi="Verdana" w:cs="Verdana"/>
          <w:b/>
          <w:bCs/>
          <w:sz w:val="20"/>
          <w:szCs w:val="20"/>
        </w:rPr>
        <w:t>PROSUS GIVES IRREVOCABLE UNDERTAKING TO SELL RESIDUAL STAKE IN DELIVERY HERO TO UBER</w:t>
      </w:r>
    </w:p>
    <w:p w14:paraId="1E872795" w14:textId="77777777" w:rsidR="00FE66E6" w:rsidRDefault="00FE66E6" w:rsidP="00FE66E6">
      <w:pPr>
        <w:rPr>
          <w:rFonts w:eastAsia="Times New Roman"/>
          <w:sz w:val="24"/>
          <w:szCs w:val="24"/>
        </w:rPr>
      </w:pPr>
    </w:p>
    <w:p w14:paraId="42062FC2" w14:textId="77777777" w:rsidR="00FE66E6" w:rsidRDefault="00FE66E6" w:rsidP="00FE66E6">
      <w:pPr>
        <w:rPr>
          <w:rFonts w:eastAsia="Times New Roman"/>
          <w:sz w:val="24"/>
          <w:szCs w:val="24"/>
        </w:rPr>
      </w:pPr>
    </w:p>
    <w:p w14:paraId="0262FAE6" w14:textId="77777777" w:rsidR="00FE66E6" w:rsidRDefault="00FE66E6" w:rsidP="00FE66E6">
      <w:pPr>
        <w:jc w:val="both"/>
        <w:rPr>
          <w:rFonts w:ascii="Verdana" w:eastAsia="Verdana" w:hAnsi="Verdana" w:cs="Verdana"/>
          <w:sz w:val="20"/>
          <w:szCs w:val="20"/>
        </w:rPr>
      </w:pPr>
      <w:r>
        <w:rPr>
          <w:rFonts w:ascii="Verdana" w:eastAsia="Verdana" w:hAnsi="Verdana" w:cs="Verdana"/>
          <w:sz w:val="20"/>
          <w:szCs w:val="20"/>
        </w:rPr>
        <w:t>Prosus N.V. (“Prosus”) announces that it has provided an irrevocable undertaking to Uber Technologies, Inc. (</w:t>
      </w:r>
      <w:r>
        <w:rPr>
          <w:rFonts w:ascii="Verdana" w:eastAsia="Verdana" w:hAnsi="Verdana" w:cs="Verdana"/>
          <w:b/>
          <w:bCs/>
          <w:sz w:val="20"/>
          <w:szCs w:val="20"/>
        </w:rPr>
        <w:t>“Uber”</w:t>
      </w:r>
      <w:r>
        <w:rPr>
          <w:rFonts w:ascii="Verdana" w:eastAsia="Verdana" w:hAnsi="Verdana" w:cs="Verdana"/>
          <w:sz w:val="20"/>
          <w:szCs w:val="20"/>
        </w:rPr>
        <w:t>) to sell all of its remaining 16.8% stake in Delivery Hero SE (“</w:t>
      </w:r>
      <w:r>
        <w:rPr>
          <w:rFonts w:ascii="Verdana" w:eastAsia="Verdana" w:hAnsi="Verdana" w:cs="Verdana"/>
          <w:b/>
          <w:bCs/>
          <w:sz w:val="20"/>
          <w:szCs w:val="20"/>
        </w:rPr>
        <w:t>Delivery Hero</w:t>
      </w:r>
      <w:r>
        <w:rPr>
          <w:rFonts w:ascii="Verdana" w:eastAsia="Verdana" w:hAnsi="Verdana" w:cs="Verdana"/>
          <w:sz w:val="20"/>
          <w:szCs w:val="20"/>
        </w:rPr>
        <w:t>”) to Uber upon completion of Uber’s recently announced offer to acquire the share capital in Delivery Hero at a purchase price of €41.50 per ordinary share (the “</w:t>
      </w:r>
      <w:r>
        <w:rPr>
          <w:rFonts w:ascii="Verdana" w:eastAsia="Verdana" w:hAnsi="Verdana" w:cs="Verdana"/>
          <w:b/>
          <w:bCs/>
          <w:sz w:val="20"/>
          <w:szCs w:val="20"/>
        </w:rPr>
        <w:t>Offer</w:t>
      </w:r>
      <w:r>
        <w:rPr>
          <w:rFonts w:ascii="Verdana" w:eastAsia="Verdana" w:hAnsi="Verdana" w:cs="Verdana"/>
          <w:sz w:val="20"/>
          <w:szCs w:val="20"/>
        </w:rPr>
        <w:t>”). Uber is headquartered in San Francisco, California, United States, and its issued shares are admitted to listing and trading on the New York Stock Exchange (NYSE: UBER), with secondary listings in several stock exchanges across Europe and the Americas.</w:t>
      </w:r>
    </w:p>
    <w:p w14:paraId="2A3FFFBB" w14:textId="77777777" w:rsidR="00FE66E6" w:rsidRDefault="00FE66E6" w:rsidP="00FE66E6">
      <w:pPr>
        <w:rPr>
          <w:rFonts w:eastAsia="Times New Roman"/>
          <w:sz w:val="24"/>
          <w:szCs w:val="24"/>
        </w:rPr>
      </w:pPr>
    </w:p>
    <w:p w14:paraId="744268EC" w14:textId="77777777" w:rsidR="00FE66E6" w:rsidRDefault="00FE66E6" w:rsidP="00FE66E6">
      <w:pPr>
        <w:jc w:val="both"/>
        <w:rPr>
          <w:rFonts w:ascii="Verdana" w:eastAsia="Verdana" w:hAnsi="Verdana" w:cs="Verdana"/>
          <w:sz w:val="20"/>
          <w:szCs w:val="20"/>
        </w:rPr>
      </w:pPr>
      <w:r>
        <w:rPr>
          <w:rFonts w:ascii="Verdana" w:eastAsia="Verdana" w:hAnsi="Verdana" w:cs="Verdana"/>
          <w:sz w:val="20"/>
          <w:szCs w:val="20"/>
        </w:rPr>
        <w:t xml:space="preserve">Under the terms of the European Commission’s approval of the acquisition by Prosus of Just Eat Takeaway.com, Prosus committed to significantly reduce its 26.5% shareholding in Delivery Hero. In compliance with those commitments, on 17 April 2026 Prosus announced the disposal of 13,582,342 ordinary shares it held in Delivery Hero SE to Uber, representing approximately 4.5% of Delivery Hero's issued share capital; and on 11 May 2026, Prosus announced a further disposal of 15,188,284 ordinary shares in Delivery Hero to </w:t>
      </w:r>
      <w:proofErr w:type="spellStart"/>
      <w:r>
        <w:rPr>
          <w:rFonts w:ascii="Verdana" w:eastAsia="Verdana" w:hAnsi="Verdana" w:cs="Verdana"/>
          <w:sz w:val="20"/>
          <w:szCs w:val="20"/>
        </w:rPr>
        <w:t>Aspex</w:t>
      </w:r>
      <w:proofErr w:type="spellEnd"/>
      <w:r>
        <w:rPr>
          <w:rFonts w:ascii="Verdana" w:eastAsia="Verdana" w:hAnsi="Verdana" w:cs="Verdana"/>
          <w:sz w:val="20"/>
          <w:szCs w:val="20"/>
        </w:rPr>
        <w:t xml:space="preserve"> Management representing approximately 5% of Delivery Hero's issued share capital. </w:t>
      </w:r>
    </w:p>
    <w:p w14:paraId="32C01B39" w14:textId="77777777" w:rsidR="00FE66E6" w:rsidRDefault="00FE66E6" w:rsidP="00FE66E6">
      <w:pPr>
        <w:jc w:val="both"/>
        <w:rPr>
          <w:rFonts w:ascii="Verdana" w:eastAsia="Verdana" w:hAnsi="Verdana" w:cs="Verdana"/>
          <w:sz w:val="20"/>
          <w:szCs w:val="20"/>
        </w:rPr>
      </w:pPr>
    </w:p>
    <w:p w14:paraId="0EE12C5B" w14:textId="77777777" w:rsidR="00FE66E6" w:rsidRDefault="00FE66E6" w:rsidP="00FE66E6">
      <w:pPr>
        <w:jc w:val="both"/>
        <w:rPr>
          <w:rFonts w:ascii="Verdana" w:eastAsia="Verdana" w:hAnsi="Verdana" w:cs="Verdana"/>
          <w:sz w:val="20"/>
          <w:szCs w:val="20"/>
        </w:rPr>
      </w:pPr>
      <w:r>
        <w:rPr>
          <w:rFonts w:ascii="Verdana" w:eastAsia="Verdana" w:hAnsi="Verdana" w:cs="Verdana"/>
          <w:sz w:val="20"/>
          <w:szCs w:val="20"/>
        </w:rPr>
        <w:t xml:space="preserve">Prosus now holds a minority stake of 16.8% in Delivery Hero, and Uber holds a stake of 24.99% with a further 11.8% held via instruments. Uber’s Offer represents a significant premium of 151% to Delivery Hero’s 1-month VWAP before the announcement of </w:t>
      </w:r>
      <w:proofErr w:type="spellStart"/>
      <w:r>
        <w:rPr>
          <w:rFonts w:ascii="Verdana" w:eastAsia="Verdana" w:hAnsi="Verdana" w:cs="Verdana"/>
          <w:sz w:val="20"/>
          <w:szCs w:val="20"/>
        </w:rPr>
        <w:t>Prosus’s</w:t>
      </w:r>
      <w:proofErr w:type="spellEnd"/>
      <w:r>
        <w:rPr>
          <w:rFonts w:ascii="Verdana" w:eastAsia="Verdana" w:hAnsi="Verdana" w:cs="Verdana"/>
          <w:sz w:val="20"/>
          <w:szCs w:val="20"/>
        </w:rPr>
        <w:t xml:space="preserve"> initial 4.5% stake sale to Uber. Prosus believes that Uber’s offer represents a fair price and effective way to comply with its commitments to the European Commission. Therefore, to support the offer, Prosus has entered into an irrevocable undertaking to Uber to dispose of its remaining interest in Delivery Hero. Prosus intends to use the proceeds of the disposal for general corporate purposes. </w:t>
      </w:r>
    </w:p>
    <w:p w14:paraId="6F6F5FF2" w14:textId="77777777" w:rsidR="00FE66E6" w:rsidRDefault="00FE66E6" w:rsidP="00FE66E6">
      <w:pPr>
        <w:jc w:val="both"/>
        <w:rPr>
          <w:rFonts w:ascii="Verdana" w:eastAsia="Verdana" w:hAnsi="Verdana" w:cs="Verdana"/>
          <w:sz w:val="20"/>
          <w:szCs w:val="20"/>
        </w:rPr>
      </w:pPr>
    </w:p>
    <w:p w14:paraId="1EC0AC4B" w14:textId="77777777" w:rsidR="00FE66E6" w:rsidRDefault="00FE66E6" w:rsidP="00FE66E6">
      <w:pPr>
        <w:jc w:val="both"/>
        <w:rPr>
          <w:rFonts w:ascii="Verdana" w:eastAsia="Verdana" w:hAnsi="Verdana" w:cs="Verdana"/>
          <w:sz w:val="20"/>
          <w:szCs w:val="20"/>
        </w:rPr>
      </w:pPr>
      <w:r>
        <w:rPr>
          <w:rFonts w:ascii="Verdana" w:eastAsia="Verdana" w:hAnsi="Verdana" w:cs="Verdana"/>
          <w:sz w:val="20"/>
          <w:szCs w:val="20"/>
        </w:rPr>
        <w:t xml:space="preserve">The Offer will be subject to, amongst other things, customary regulatory conditions and the Offer then becoming unconditional and proceeding to implementation in accordance with its terms. As such there is no certainty that the Offer will be implemented. The details of the Offer, including the outstanding conditions, are available on Uber’s website: </w:t>
      </w:r>
      <w:hyperlink r:id="rId13">
        <w:r>
          <w:rPr>
            <w:rFonts w:ascii="Verdana" w:eastAsia="Verdana" w:hAnsi="Verdana" w:cs="Verdana"/>
            <w:color w:val="0000FF"/>
            <w:sz w:val="20"/>
            <w:szCs w:val="20"/>
            <w:u w:val="single"/>
          </w:rPr>
          <w:t>www.uber.com</w:t>
        </w:r>
      </w:hyperlink>
      <w:r>
        <w:rPr>
          <w:rFonts w:ascii="Verdana" w:eastAsia="Verdana" w:hAnsi="Verdana" w:cs="Verdana"/>
          <w:sz w:val="20"/>
          <w:szCs w:val="20"/>
        </w:rPr>
        <w:t>. The Offer will become effective when all of the conditions thereto are fulfilled or waived, as applicable.</w:t>
      </w:r>
    </w:p>
    <w:p w14:paraId="609E89F1" w14:textId="77777777" w:rsidR="00FE66E6" w:rsidRDefault="00FE66E6" w:rsidP="00FE66E6">
      <w:pPr>
        <w:spacing w:before="240"/>
        <w:jc w:val="both"/>
        <w:rPr>
          <w:rFonts w:ascii="Verdana" w:eastAsia="Verdana" w:hAnsi="Verdana" w:cs="Verdana"/>
          <w:sz w:val="20"/>
          <w:szCs w:val="20"/>
        </w:rPr>
      </w:pPr>
      <w:r>
        <w:rPr>
          <w:rFonts w:ascii="Verdana" w:eastAsia="Verdana" w:hAnsi="Verdana" w:cs="Verdana"/>
          <w:sz w:val="20"/>
          <w:szCs w:val="20"/>
        </w:rPr>
        <w:t>Information relating to Delivery Hero, its business, its net assets, and its profits or losses as at 31 December 2025 can be accessed through the following weblink:</w:t>
      </w:r>
      <w:hyperlink r:id="rId14">
        <w:r>
          <w:rPr>
            <w:rFonts w:ascii="Verdana" w:eastAsia="Verdana" w:hAnsi="Verdana" w:cs="Verdana"/>
            <w:sz w:val="20"/>
            <w:szCs w:val="20"/>
          </w:rPr>
          <w:t xml:space="preserve"> </w:t>
        </w:r>
      </w:hyperlink>
      <w:hyperlink r:id="rId15">
        <w:r>
          <w:rPr>
            <w:rFonts w:ascii="Verdana" w:eastAsia="Verdana" w:hAnsi="Verdana" w:cs="Verdana"/>
            <w:color w:val="1155CC"/>
            <w:sz w:val="20"/>
            <w:szCs w:val="20"/>
            <w:u w:val="single"/>
          </w:rPr>
          <w:t>https://ir.deliveryhero.com/financial-reports-and-presentations</w:t>
        </w:r>
      </w:hyperlink>
      <w:r>
        <w:rPr>
          <w:rFonts w:ascii="Verdana" w:eastAsia="Verdana" w:hAnsi="Verdana" w:cs="Verdana"/>
          <w:sz w:val="20"/>
          <w:szCs w:val="20"/>
        </w:rPr>
        <w:t xml:space="preserve">. </w:t>
      </w:r>
    </w:p>
    <w:p w14:paraId="58DFB4C5" w14:textId="514058AD" w:rsidR="00FE66E6" w:rsidRPr="006E0E76" w:rsidRDefault="00FE66E6" w:rsidP="006E0E76">
      <w:pPr>
        <w:spacing w:before="240"/>
        <w:jc w:val="both"/>
        <w:rPr>
          <w:rFonts w:eastAsia="Times New Roman"/>
          <w:sz w:val="24"/>
          <w:szCs w:val="24"/>
        </w:rPr>
      </w:pPr>
      <w:r>
        <w:rPr>
          <w:rFonts w:ascii="Verdana" w:eastAsia="Verdana" w:hAnsi="Verdana" w:cs="Verdana"/>
          <w:sz w:val="20"/>
          <w:szCs w:val="20"/>
        </w:rPr>
        <w:t>The transaction constitutes a category 2 transaction for Naspers under the JSE Listings Requirements.</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31BBCDF8" w:rsidR="005E503D" w:rsidRDefault="00C75987">
          <w:pPr>
            <w:pStyle w:val="AODocTxt"/>
            <w:spacing w:before="0"/>
            <w:rPr>
              <w:rFonts w:ascii="Verdana" w:hAnsi="Verdana"/>
              <w:sz w:val="20"/>
              <w:szCs w:val="20"/>
            </w:rPr>
          </w:pPr>
          <w:r>
            <w:rPr>
              <w:rFonts w:ascii="Verdana" w:hAnsi="Verdana"/>
              <w:sz w:val="20"/>
              <w:szCs w:val="20"/>
            </w:rPr>
            <w:t>1</w:t>
          </w:r>
          <w:r w:rsidR="006E0E76">
            <w:rPr>
              <w:rFonts w:ascii="Verdana" w:hAnsi="Verdana"/>
              <w:sz w:val="20"/>
              <w:szCs w:val="20"/>
            </w:rPr>
            <w:t>6</w:t>
          </w:r>
          <w:r w:rsidR="00D7205D" w:rsidRPr="00D7205D">
            <w:rPr>
              <w:rFonts w:ascii="Verdana" w:hAnsi="Verdana"/>
              <w:sz w:val="20"/>
              <w:szCs w:val="20"/>
            </w:rPr>
            <w:t xml:space="preserve"> </w:t>
          </w:r>
          <w:r w:rsidR="00401695" w:rsidRPr="00D7205D">
            <w:rPr>
              <w:rFonts w:ascii="Verdana" w:hAnsi="Verdana"/>
              <w:sz w:val="20"/>
              <w:szCs w:val="20"/>
            </w:rPr>
            <w:t>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00C0CE2E" w14:textId="77777777" w:rsidR="006E0E76" w:rsidRDefault="006E0E76" w:rsidP="006E0E76">
      <w:pPr>
        <w:keepNext/>
        <w:jc w:val="both"/>
        <w:rPr>
          <w:rFonts w:ascii="Verdana" w:eastAsia="Verdana" w:hAnsi="Verdana" w:cs="Verdana"/>
          <w:b/>
          <w:bCs/>
          <w:sz w:val="20"/>
          <w:szCs w:val="20"/>
        </w:rPr>
      </w:pPr>
      <w:bookmarkStart w:id="0" w:name="_Hlk179556295"/>
      <w:bookmarkStart w:id="1" w:name="_Hlk107580844"/>
      <w:r>
        <w:rPr>
          <w:rFonts w:ascii="Verdana" w:eastAsia="Verdana" w:hAnsi="Verdana" w:cs="Verdana"/>
          <w:b/>
          <w:bCs/>
          <w:sz w:val="20"/>
          <w:szCs w:val="20"/>
        </w:rPr>
        <w:lastRenderedPageBreak/>
        <w:t>Eoin Ryan</w:t>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t>Charlie Pemberton</w:t>
      </w:r>
    </w:p>
    <w:p w14:paraId="7FB2766D" w14:textId="77777777" w:rsidR="006E0E76" w:rsidRDefault="006E0E76" w:rsidP="006E0E76">
      <w:pPr>
        <w:keepNext/>
        <w:jc w:val="both"/>
        <w:rPr>
          <w:rFonts w:ascii="Verdana" w:eastAsia="Verdana" w:hAnsi="Verdana" w:cs="Verdana"/>
          <w:sz w:val="20"/>
          <w:szCs w:val="20"/>
        </w:rPr>
      </w:pPr>
      <w:r>
        <w:rPr>
          <w:rFonts w:ascii="Verdana" w:eastAsia="Verdana" w:hAnsi="Verdana" w:cs="Verdana"/>
          <w:sz w:val="20"/>
          <w:szCs w:val="20"/>
        </w:rPr>
        <w:t>Head of Investor Relations</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Group Communications Director</w:t>
      </w:r>
    </w:p>
    <w:p w14:paraId="7C762AE2" w14:textId="77777777" w:rsidR="006E0E76" w:rsidRDefault="006E0E76" w:rsidP="006E0E76">
      <w:pPr>
        <w:keepNext/>
        <w:jc w:val="both"/>
        <w:rPr>
          <w:rFonts w:ascii="Verdana" w:eastAsia="Verdana" w:hAnsi="Verdana" w:cs="Verdana"/>
          <w:sz w:val="20"/>
          <w:szCs w:val="20"/>
        </w:rPr>
      </w:pPr>
      <w:hyperlink r:id="rId16">
        <w:r>
          <w:rPr>
            <w:rFonts w:ascii="Verdana" w:eastAsia="Verdana" w:hAnsi="Verdana" w:cs="Verdana"/>
            <w:color w:val="1155CC"/>
            <w:sz w:val="20"/>
            <w:szCs w:val="20"/>
            <w:u w:val="single"/>
          </w:rPr>
          <w:t>eoin.ryan@prosus.com</w:t>
        </w:r>
      </w:hyperlink>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hyperlink r:id="rId17">
        <w:r>
          <w:rPr>
            <w:rFonts w:ascii="Verdana" w:eastAsia="Verdana" w:hAnsi="Verdana" w:cs="Verdana"/>
            <w:color w:val="1155CC"/>
            <w:sz w:val="20"/>
            <w:szCs w:val="20"/>
            <w:u w:val="single"/>
          </w:rPr>
          <w:t>charlie.pemberton@prosus.com</w:t>
        </w:r>
      </w:hyperlink>
      <w:r>
        <w:rPr>
          <w:rFonts w:ascii="Verdana" w:eastAsia="Verdana" w:hAnsi="Verdana" w:cs="Verdana"/>
          <w:sz w:val="20"/>
          <w:szCs w:val="20"/>
        </w:rPr>
        <w:t xml:space="preserve"> </w:t>
      </w:r>
    </w:p>
    <w:p w14:paraId="5C580C12" w14:textId="7FAF3AF3" w:rsidR="006E0E76" w:rsidRDefault="006E0E76" w:rsidP="006E0E76">
      <w:pPr>
        <w:keepNext/>
        <w:jc w:val="both"/>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M: +31 615 494</w:t>
      </w:r>
      <w:r>
        <w:rPr>
          <w:rFonts w:ascii="Verdana" w:eastAsia="Verdana" w:hAnsi="Verdana" w:cs="Verdana"/>
          <w:sz w:val="20"/>
          <w:szCs w:val="20"/>
        </w:rPr>
        <w:t> </w:t>
      </w:r>
      <w:r>
        <w:rPr>
          <w:rFonts w:ascii="Verdana" w:eastAsia="Verdana" w:hAnsi="Verdana" w:cs="Verdana"/>
          <w:sz w:val="20"/>
          <w:szCs w:val="20"/>
        </w:rPr>
        <w:t>359</w:t>
      </w: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bookmarkEnd w:id="0"/>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bookmarkEnd w:id="1"/>
    <w:p w14:paraId="3B173CA9" w14:textId="77777777" w:rsidR="006E0E76" w:rsidRDefault="006E0E76" w:rsidP="006E0E76">
      <w:pPr>
        <w:jc w:val="both"/>
        <w:rPr>
          <w:rFonts w:ascii="Verdana" w:eastAsia="Verdana" w:hAnsi="Verdana" w:cs="Verdana"/>
          <w:b/>
          <w:bCs/>
          <w:i/>
          <w:iCs/>
          <w:sz w:val="16"/>
          <w:szCs w:val="16"/>
        </w:rPr>
      </w:pPr>
      <w:r>
        <w:rPr>
          <w:rFonts w:ascii="Verdana" w:eastAsia="Verdana" w:hAnsi="Verdana" w:cs="Verdana"/>
          <w:b/>
          <w:bCs/>
          <w:i/>
          <w:iCs/>
          <w:sz w:val="16"/>
          <w:szCs w:val="16"/>
        </w:rPr>
        <w:t>Disclaimer</w:t>
      </w:r>
    </w:p>
    <w:p w14:paraId="057EE2AF"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6FCB0B65"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The information contained in this announcement has not been audited, reviewed, or reported on by the Company’s external auditors.</w:t>
      </w:r>
    </w:p>
    <w:p w14:paraId="5B8107E4"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0018ACBE"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This announcement is for information purposes only and does not constitute an offer to sell or issue, or the solicitation of an offer to buy or acquire, any securities of Prosus or Delivery Hero in any jurisdiction.</w:t>
      </w:r>
    </w:p>
    <w:p w14:paraId="4DA7B29D"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357C16B7"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The distribution of this announcement may, in some countries, be restricted by law or regulation. Persons who come into possession of this announcement should inform themselves of and observe any such restrictions.</w:t>
      </w:r>
    </w:p>
    <w:p w14:paraId="74803E3F"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76E0F9EF"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Any reference to a company’s website URL (including Prosus, Naspers, Delivery Hero and Uber) or any other website links within this announcement is provided for informational purposes only. The contents of the Company’s website, or any other company cited in this announcement, or any website accessible via hyperlinks in this announcement, are not incorporated by reference into, and do not form part of, this announcement. The Company accepts no responsibility or liability for the accuracy, completeness, or updating of any information contained on such websites.</w:t>
      </w:r>
    </w:p>
    <w:p w14:paraId="2FE13A30" w14:textId="77777777" w:rsidR="006E0E76" w:rsidRDefault="006E0E76" w:rsidP="006E0E76">
      <w:pPr>
        <w:jc w:val="both"/>
        <w:rPr>
          <w:rFonts w:ascii="Verdana" w:eastAsia="Verdana" w:hAnsi="Verdana" w:cs="Verdana"/>
          <w:b/>
          <w:bCs/>
          <w:i/>
          <w:iCs/>
          <w:sz w:val="16"/>
          <w:szCs w:val="16"/>
        </w:rPr>
      </w:pPr>
      <w:r>
        <w:rPr>
          <w:rFonts w:ascii="Verdana" w:eastAsia="Verdana" w:hAnsi="Verdana" w:cs="Verdana"/>
          <w:b/>
          <w:bCs/>
          <w:i/>
          <w:iCs/>
          <w:sz w:val="16"/>
          <w:szCs w:val="16"/>
        </w:rPr>
        <w:t xml:space="preserve"> </w:t>
      </w:r>
    </w:p>
    <w:p w14:paraId="6E8220B9"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Forward-looking statements</w:t>
      </w:r>
    </w:p>
    <w:p w14:paraId="112E3885"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353AFB97"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Verdana" w:eastAsia="Verdana" w:hAnsi="Verdana" w:cs="Verdana"/>
          <w:i/>
          <w:iCs/>
          <w:sz w:val="16"/>
          <w:szCs w:val="16"/>
        </w:rPr>
        <w:t>Prosus's</w:t>
      </w:r>
      <w:proofErr w:type="spellEnd"/>
      <w:r>
        <w:rPr>
          <w:rFonts w:ascii="Verdana" w:eastAsia="Verdana" w:hAnsi="Verdana" w:cs="Verdana"/>
          <w:i/>
          <w:iCs/>
          <w:sz w:val="16"/>
          <w:szCs w:val="16"/>
        </w:rPr>
        <w:t xml:space="preserve"> intentions, beliefs or current expectations, involve elements of subjective judgement and analysis and are based upon the best judgement of Prosus as of the date of this announcement, but could prove to be wrong. These include statement statements in relation to the Offer and whether it will proceed and/or be implemented.</w:t>
      </w:r>
    </w:p>
    <w:p w14:paraId="32D2AF51"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579C79A3"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These statements are subject to change without notice and are based on a number of assumptions and entail known and unknown risks and uncertainties. Therefore, you should not rely on these forward-looking statements as a prediction of actual results.</w:t>
      </w:r>
    </w:p>
    <w:p w14:paraId="28F3396F"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 xml:space="preserve"> </w:t>
      </w:r>
    </w:p>
    <w:p w14:paraId="15EF1B49" w14:textId="77777777" w:rsidR="006E0E76" w:rsidRDefault="006E0E76" w:rsidP="006E0E76">
      <w:pPr>
        <w:jc w:val="both"/>
        <w:rPr>
          <w:rFonts w:ascii="Verdana" w:eastAsia="Verdana" w:hAnsi="Verdana" w:cs="Verdana"/>
          <w:i/>
          <w:iCs/>
          <w:sz w:val="16"/>
          <w:szCs w:val="16"/>
        </w:rPr>
      </w:pPr>
      <w:r>
        <w:rPr>
          <w:rFonts w:ascii="Verdana" w:eastAsia="Verdana" w:hAnsi="Verdana" w:cs="Verdana"/>
          <w:i/>
          <w:iCs/>
          <w:sz w:val="16"/>
          <w:szCs w:val="16"/>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0BE31688" w14:textId="5D3CFDC1" w:rsidR="005E503D" w:rsidRPr="006E0E76" w:rsidRDefault="005E503D" w:rsidP="008C52B7">
      <w:pPr>
        <w:pStyle w:val="AODocTxt"/>
        <w:rPr>
          <w:rFonts w:ascii="Calibri" w:eastAsia="Calibri" w:hAnsi="Calibri" w:cs="Arial"/>
          <w:color w:val="000000"/>
          <w:sz w:val="16"/>
          <w:szCs w:val="16"/>
        </w:rPr>
      </w:pPr>
    </w:p>
    <w:sectPr w:rsidR="005E503D" w:rsidRPr="006E0E76">
      <w:footerReference w:type="first" r:id="rId18"/>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F7793" w14:textId="77777777" w:rsidR="00416156" w:rsidRDefault="00416156">
      <w:r>
        <w:separator/>
      </w:r>
    </w:p>
  </w:endnote>
  <w:endnote w:type="continuationSeparator" w:id="0">
    <w:p w14:paraId="672E5BF7" w14:textId="77777777" w:rsidR="00416156" w:rsidRDefault="00416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9CF1" w14:textId="77777777" w:rsidR="00416156" w:rsidRDefault="00416156">
      <w:r>
        <w:separator/>
      </w:r>
    </w:p>
  </w:footnote>
  <w:footnote w:type="continuationSeparator" w:id="0">
    <w:p w14:paraId="22D99527" w14:textId="77777777" w:rsidR="00416156" w:rsidRDefault="00416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7577E"/>
    <w:rsid w:val="00085A6D"/>
    <w:rsid w:val="000A3AC1"/>
    <w:rsid w:val="000C21B0"/>
    <w:rsid w:val="000C3694"/>
    <w:rsid w:val="000C6FF4"/>
    <w:rsid w:val="000D1D5F"/>
    <w:rsid w:val="000E15D0"/>
    <w:rsid w:val="000E1E7D"/>
    <w:rsid w:val="00100B35"/>
    <w:rsid w:val="00102957"/>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726D3"/>
    <w:rsid w:val="00280DD1"/>
    <w:rsid w:val="002944B2"/>
    <w:rsid w:val="002B20D4"/>
    <w:rsid w:val="002C158E"/>
    <w:rsid w:val="002D5AE6"/>
    <w:rsid w:val="002E5FAB"/>
    <w:rsid w:val="0031149C"/>
    <w:rsid w:val="00314047"/>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74DE"/>
    <w:rsid w:val="003A5FC2"/>
    <w:rsid w:val="003B60DA"/>
    <w:rsid w:val="003D2AF2"/>
    <w:rsid w:val="003D720C"/>
    <w:rsid w:val="003F0B94"/>
    <w:rsid w:val="004007F3"/>
    <w:rsid w:val="00401695"/>
    <w:rsid w:val="00410A4E"/>
    <w:rsid w:val="00416156"/>
    <w:rsid w:val="00424C22"/>
    <w:rsid w:val="004252ED"/>
    <w:rsid w:val="00437B6C"/>
    <w:rsid w:val="00453B81"/>
    <w:rsid w:val="004617B5"/>
    <w:rsid w:val="00462508"/>
    <w:rsid w:val="0046385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0E76"/>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1EBD"/>
    <w:rsid w:val="008C4CF0"/>
    <w:rsid w:val="008C4EF6"/>
    <w:rsid w:val="008C52B7"/>
    <w:rsid w:val="008C7FA3"/>
    <w:rsid w:val="008D221B"/>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81D6E"/>
    <w:rsid w:val="009857E1"/>
    <w:rsid w:val="009974AC"/>
    <w:rsid w:val="009A0304"/>
    <w:rsid w:val="009C06E8"/>
    <w:rsid w:val="009D057B"/>
    <w:rsid w:val="009D3961"/>
    <w:rsid w:val="009D78B3"/>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A5874"/>
    <w:rsid w:val="00AC4FAD"/>
    <w:rsid w:val="00AD30C6"/>
    <w:rsid w:val="00AE03E7"/>
    <w:rsid w:val="00AF45CD"/>
    <w:rsid w:val="00AF5529"/>
    <w:rsid w:val="00B063CB"/>
    <w:rsid w:val="00B06E32"/>
    <w:rsid w:val="00B10AC5"/>
    <w:rsid w:val="00B12EE7"/>
    <w:rsid w:val="00B216DD"/>
    <w:rsid w:val="00B23FE5"/>
    <w:rsid w:val="00B46D67"/>
    <w:rsid w:val="00B62308"/>
    <w:rsid w:val="00B65A40"/>
    <w:rsid w:val="00B72412"/>
    <w:rsid w:val="00B9635B"/>
    <w:rsid w:val="00BA3327"/>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27A17"/>
    <w:rsid w:val="00C313AB"/>
    <w:rsid w:val="00C3681E"/>
    <w:rsid w:val="00C5656F"/>
    <w:rsid w:val="00C624BF"/>
    <w:rsid w:val="00C739C6"/>
    <w:rsid w:val="00C75987"/>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64185"/>
    <w:rsid w:val="00D64EC6"/>
    <w:rsid w:val="00D65534"/>
    <w:rsid w:val="00D65FEE"/>
    <w:rsid w:val="00D66D6E"/>
    <w:rsid w:val="00D7205D"/>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5D7"/>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EE6958"/>
    <w:rsid w:val="00F104EA"/>
    <w:rsid w:val="00F163F3"/>
    <w:rsid w:val="00F17B24"/>
    <w:rsid w:val="00F23CDC"/>
    <w:rsid w:val="00F25631"/>
    <w:rsid w:val="00F25AE4"/>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 w:val="00FE6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ber.com"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customXml" Target="../customXml/item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harlie.pemberton@prosus.com" TargetMode="External"/><Relationship Id="rId2" Type="http://schemas.openxmlformats.org/officeDocument/2006/relationships/customXml" Target="../customXml/item1.xml"/><Relationship Id="rId16" Type="http://schemas.openxmlformats.org/officeDocument/2006/relationships/hyperlink" Target="mailto:eoin.ryan@prosus.com"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s://ir.deliveryhero.com/financial-reports-and-presentation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ir.deliveryhero.com/financial-reports-and-presentations" TargetMode="External"/><Relationship Id="rId22" Type="http://schemas.openxmlformats.org/officeDocument/2006/relationships/customXml" Target="../customXml/item7.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C2607-00966</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SENS announcement Project Pace 16 July 2026.docx</AFM_dms_origineleBestandsnaam>
    <AFM_dms_Grondslag xmlns="bedada9c-9ff6-4a90-bed1-7f262f8682ad" xsi:nil="true"/>
    <AFM_dms_Melder xmlns="bedada9c-9ff6-4a90-bed1-7f262f8682ad" xsi:nil="true"/>
    <_dlc_DocId xmlns="5fe4e853-3417-48a7-a9b2-767e16cca7ad">MAR17MELD-955777008-90103</_dlc_DocId>
    <_dlc_DocIdUrl xmlns="5fe4e853-3417-48a7-a9b2-767e16cca7ad">
      <Url>https://afmap.sharepoint.com/sites/afmdms_mar17meldingen/_layouts/15/DocIdRedir.aspx?ID=MAR17MELD-955777008-90103</Url>
      <Description>MAR17MELD-955777008-90103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ession xmlns="http://schemas.business-integrity.com/dealbuilder/2006/answers"/>
</file>

<file path=customXml/item5.xml><?xml version="1.0" encoding="utf-8"?>
<Dictionary xmlns="http://schemas.business-integrity.com/dealbuilder/2006/dictionary" SavedByVersion="9.8.37389.0" MinimumVersion="7.2.0.0"/>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3EAA6B6D-2A51-465F-BAB5-9A2B5C0E7275}"/>
</file>

<file path=customXml/itemProps4.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5.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6.xml><?xml version="1.0" encoding="utf-8"?>
<ds:datastoreItem xmlns:ds="http://schemas.openxmlformats.org/officeDocument/2006/customXml" ds:itemID="{1066045B-898A-4B52-A1E9-B228692AE5E6}"/>
</file>

<file path=customXml/itemProps7.xml><?xml version="1.0" encoding="utf-8"?>
<ds:datastoreItem xmlns:ds="http://schemas.openxmlformats.org/officeDocument/2006/customXml" ds:itemID="{4D93DA7F-3571-4820-94AE-EAA3CDA26E6A}"/>
</file>

<file path=docProps/app.xml><?xml version="1.0" encoding="utf-8"?>
<Properties xmlns="http://schemas.openxmlformats.org/officeDocument/2006/extended-properties" xmlns:vt="http://schemas.openxmlformats.org/officeDocument/2006/docPropsVTypes">
  <Template>Normal</Template>
  <TotalTime>0</TotalTime>
  <Pages>2</Pages>
  <Words>1056</Words>
  <Characters>6056</Characters>
  <Application>Microsoft Office Word</Application>
  <DocSecurity>0</DocSecurity>
  <Lines>99</Lines>
  <Paragraphs>45</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20</cp:revision>
  <cp:lastPrinted>2026-04-14T13:51:00Z</cp:lastPrinted>
  <dcterms:created xsi:type="dcterms:W3CDTF">2026-06-30T09:49:00Z</dcterms:created>
  <dcterms:modified xsi:type="dcterms:W3CDTF">2026-07-16T05:05:00Z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d58f3042-a222-4139-b792-905148ca4162</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