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9D1F69" w:rsidRDefault="00C9486C" w:rsidP="00C9486C">
      <w:pPr>
        <w:pStyle w:val="berschrift1"/>
        <w:rPr>
          <w:rFonts w:ascii="Verdana" w:hAnsi="Verdana" w:cs="Arial"/>
          <w:color w:val="B71234"/>
          <w:sz w:val="28"/>
          <w:szCs w:val="28"/>
        </w:rPr>
      </w:pPr>
      <w:r w:rsidRPr="009D1F69">
        <w:rPr>
          <w:rFonts w:ascii="Verdana" w:hAnsi="Verdana" w:cs="Arial"/>
          <w:color w:val="B71234"/>
          <w:sz w:val="28"/>
          <w:szCs w:val="28"/>
        </w:rPr>
        <w:t>PERSBERICHT</w:t>
      </w: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 w:val="20"/>
        </w:rPr>
      </w:pPr>
    </w:p>
    <w:p w:rsidR="00C9486C" w:rsidRPr="009D1F69" w:rsidRDefault="00C9486C" w:rsidP="00C9486C">
      <w:pPr>
        <w:rPr>
          <w:rFonts w:ascii="Verdana" w:hAnsi="Verdana" w:cs="Arial"/>
          <w:szCs w:val="22"/>
        </w:rPr>
      </w:pPr>
      <w:r w:rsidRPr="009D1F69">
        <w:rPr>
          <w:rFonts w:ascii="Verdana" w:hAnsi="Verdana" w:cs="Arial"/>
          <w:szCs w:val="22"/>
        </w:rPr>
        <w:t xml:space="preserve">Zwolle, </w:t>
      </w:r>
      <w:r w:rsidR="009A01FA" w:rsidRPr="009D1F69">
        <w:rPr>
          <w:rFonts w:ascii="Verdana" w:hAnsi="Verdana" w:cs="Arial"/>
          <w:szCs w:val="22"/>
        </w:rPr>
        <w:t>10 januari 2013</w:t>
      </w:r>
    </w:p>
    <w:p w:rsidR="00C9486C" w:rsidRPr="009D1F69" w:rsidRDefault="00C9486C" w:rsidP="00C9486C">
      <w:pPr>
        <w:autoSpaceDE w:val="0"/>
        <w:autoSpaceDN w:val="0"/>
        <w:adjustRightInd w:val="0"/>
        <w:rPr>
          <w:rFonts w:ascii="Verdana" w:hAnsi="Verdana"/>
          <w:sz w:val="20"/>
        </w:rPr>
      </w:pPr>
    </w:p>
    <w:p w:rsidR="00C9486C" w:rsidRPr="009D1F69" w:rsidRDefault="00C9486C" w:rsidP="00C9486C">
      <w:pPr>
        <w:autoSpaceDE w:val="0"/>
        <w:autoSpaceDN w:val="0"/>
        <w:adjustRightInd w:val="0"/>
        <w:rPr>
          <w:rFonts w:ascii="Verdana" w:hAnsi="Verdana"/>
          <w:sz w:val="20"/>
        </w:rPr>
      </w:pPr>
    </w:p>
    <w:p w:rsidR="009D1F69" w:rsidRPr="009D1F69" w:rsidRDefault="009D1F69" w:rsidP="009D1F69">
      <w:pPr>
        <w:rPr>
          <w:rFonts w:ascii="Verdana" w:hAnsi="Verdana"/>
          <w:b/>
          <w:color w:val="B71234"/>
          <w:sz w:val="28"/>
          <w:szCs w:val="28"/>
        </w:rPr>
      </w:pPr>
      <w:r w:rsidRPr="009D1F69">
        <w:rPr>
          <w:rFonts w:ascii="Verdana" w:hAnsi="Verdana"/>
          <w:b/>
          <w:color w:val="B71234"/>
          <w:sz w:val="28"/>
          <w:szCs w:val="28"/>
        </w:rPr>
        <w:t>RoodMicrotec: 11% omzetgroei in het tweede half</w:t>
      </w:r>
      <w:bookmarkStart w:id="0" w:name="_GoBack"/>
      <w:bookmarkEnd w:id="0"/>
      <w:r w:rsidRPr="009D1F69">
        <w:rPr>
          <w:rFonts w:ascii="Verdana" w:hAnsi="Verdana"/>
          <w:b/>
          <w:color w:val="B71234"/>
          <w:sz w:val="28"/>
          <w:szCs w:val="28"/>
        </w:rPr>
        <w:t>jaar 2012</w:t>
      </w:r>
    </w:p>
    <w:p w:rsidR="00C9486C" w:rsidRPr="009D1F69" w:rsidRDefault="00C9486C" w:rsidP="00C9486C">
      <w:pPr>
        <w:rPr>
          <w:rFonts w:ascii="Verdana" w:hAnsi="Verdana"/>
          <w:b/>
          <w:sz w:val="20"/>
        </w:rPr>
      </w:pPr>
    </w:p>
    <w:p w:rsidR="009D1F69" w:rsidRPr="009D1F69" w:rsidRDefault="009D1F69" w:rsidP="009D1F69">
      <w:pPr>
        <w:rPr>
          <w:rFonts w:ascii="Verdana" w:hAnsi="Verdana" w:cs="Verdana"/>
          <w:sz w:val="20"/>
        </w:rPr>
      </w:pPr>
    </w:p>
    <w:p w:rsidR="009D1F69" w:rsidRPr="009D1F69" w:rsidRDefault="009D1F69" w:rsidP="009D1F69">
      <w:pPr>
        <w:rPr>
          <w:rFonts w:ascii="Verdana" w:hAnsi="Verdana"/>
          <w:b/>
          <w:sz w:val="20"/>
        </w:rPr>
      </w:pPr>
      <w:r w:rsidRPr="009D1F69">
        <w:rPr>
          <w:rFonts w:ascii="Verdana" w:hAnsi="Verdana"/>
          <w:b/>
          <w:sz w:val="20"/>
        </w:rPr>
        <w:t>Voorlopige omzet 2012</w:t>
      </w: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s="Verdana"/>
          <w:sz w:val="20"/>
        </w:rPr>
      </w:pPr>
      <w:r w:rsidRPr="009D1F69">
        <w:rPr>
          <w:rFonts w:ascii="Verdana" w:hAnsi="Verdana"/>
          <w:color w:val="000000"/>
          <w:sz w:val="20"/>
        </w:rPr>
        <w:t>De voorlopige jaaromzet 2012 van RoodMicrotec N.V. bedraagt EUR 11,978 miljoen (2011: EUR 15,717 miljoen), een afname van 24% ten opzichte van2011</w:t>
      </w:r>
      <w:r w:rsidRPr="009D1F69">
        <w:rPr>
          <w:rFonts w:ascii="Verdana" w:hAnsi="Verdana" w:cs="Verdana"/>
          <w:sz w:val="20"/>
        </w:rPr>
        <w:t>. Het totale niveau van de semiconductorindustrie ligt nog duidelijk onder dat van 2011.</w:t>
      </w: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olor w:val="000000"/>
          <w:sz w:val="20"/>
        </w:rPr>
      </w:pPr>
      <w:r w:rsidRPr="009D1F69">
        <w:rPr>
          <w:rFonts w:ascii="Verdana" w:hAnsi="Verdana"/>
          <w:color w:val="000000"/>
          <w:sz w:val="20"/>
        </w:rPr>
        <w:t xml:space="preserve">In de tweede helft van 2012 realiseerden wij een omzet van EUR 6,290 miljoen. </w:t>
      </w:r>
    </w:p>
    <w:p w:rsidR="009D1F69" w:rsidRPr="009D1F69" w:rsidRDefault="009D1F69" w:rsidP="009D1F69">
      <w:pPr>
        <w:rPr>
          <w:rFonts w:ascii="Verdana" w:hAnsi="Verdana"/>
          <w:color w:val="000000"/>
          <w:sz w:val="20"/>
        </w:rPr>
      </w:pPr>
      <w:r w:rsidRPr="009D1F69">
        <w:rPr>
          <w:rFonts w:ascii="Verdana" w:hAnsi="Verdana"/>
          <w:color w:val="000000"/>
          <w:sz w:val="20"/>
        </w:rPr>
        <w:t xml:space="preserve">Dit is een toename van 11% ten opzichte van de omzet over de eerste helft van 2012 </w:t>
      </w:r>
    </w:p>
    <w:p w:rsidR="009D1F69" w:rsidRPr="009D1F69" w:rsidRDefault="009D1F69" w:rsidP="009D1F69">
      <w:pPr>
        <w:rPr>
          <w:rFonts w:ascii="Verdana" w:hAnsi="Verdana" w:cs="Verdana"/>
          <w:sz w:val="20"/>
        </w:rPr>
      </w:pPr>
      <w:r w:rsidRPr="009D1F69">
        <w:rPr>
          <w:rFonts w:ascii="Verdana" w:hAnsi="Verdana"/>
          <w:color w:val="000000"/>
          <w:sz w:val="20"/>
        </w:rPr>
        <w:t>(EUR 5,688 miljoen)</w:t>
      </w:r>
      <w:r w:rsidRPr="009D1F69">
        <w:rPr>
          <w:rFonts w:ascii="Verdana" w:hAnsi="Verdana" w:cs="Verdana"/>
          <w:sz w:val="20"/>
        </w:rPr>
        <w:t>. Dit is in lijn met de wereldwijde semiconductorindustrie, die in de tweede helft van 2012 eveneens een positieve ontwikkeling liet zien.</w:t>
      </w: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b/>
          <w:color w:val="000000"/>
          <w:szCs w:val="22"/>
        </w:rPr>
      </w:pPr>
      <w:r w:rsidRPr="009D1F69">
        <w:rPr>
          <w:rFonts w:ascii="Verdana" w:hAnsi="Verdana"/>
          <w:b/>
          <w:color w:val="000000"/>
          <w:szCs w:val="22"/>
        </w:rPr>
        <w:t>Business Units</w:t>
      </w: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b/>
          <w:bCs/>
          <w:sz w:val="20"/>
        </w:rPr>
      </w:pPr>
      <w:r w:rsidRPr="009D1F69">
        <w:rPr>
          <w:rFonts w:ascii="Verdana" w:hAnsi="Verdana"/>
          <w:b/>
          <w:color w:val="000000"/>
          <w:sz w:val="20"/>
        </w:rPr>
        <w:t>Voorlopig omzetresultaat op halfjaarbasis:</w:t>
      </w:r>
    </w:p>
    <w:p w:rsidR="009D1F69" w:rsidRPr="009D1F69" w:rsidRDefault="009D1F69" w:rsidP="009D1F69">
      <w:pPr>
        <w:rPr>
          <w:rFonts w:ascii="Verdana" w:hAnsi="Verdana"/>
          <w:color w:val="000000"/>
          <w:sz w:val="20"/>
        </w:rPr>
      </w:pPr>
    </w:p>
    <w:tbl>
      <w:tblPr>
        <w:tblStyle w:val="Tabellengitternetz"/>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113" w:type="dxa"/>
        </w:tblCellMar>
        <w:tblLook w:val="04A0"/>
      </w:tblPr>
      <w:tblGrid>
        <w:gridCol w:w="3652"/>
        <w:gridCol w:w="142"/>
        <w:gridCol w:w="1701"/>
        <w:gridCol w:w="709"/>
        <w:gridCol w:w="1559"/>
        <w:gridCol w:w="533"/>
        <w:gridCol w:w="1310"/>
        <w:gridCol w:w="322"/>
      </w:tblGrid>
      <w:tr w:rsidR="009D1F69" w:rsidRPr="009D1F69" w:rsidTr="0060017C">
        <w:trPr>
          <w:trHeight w:val="284"/>
        </w:trPr>
        <w:tc>
          <w:tcPr>
            <w:tcW w:w="3794" w:type="dxa"/>
            <w:gridSpan w:val="2"/>
          </w:tcPr>
          <w:p w:rsidR="009D1F69" w:rsidRPr="009D1F69" w:rsidRDefault="009D1F69" w:rsidP="0060017C">
            <w:pPr>
              <w:rPr>
                <w:rFonts w:ascii="Verdana" w:hAnsi="Verdana"/>
              </w:rPr>
            </w:pPr>
            <w:r w:rsidRPr="009D1F69">
              <w:rPr>
                <w:rFonts w:ascii="Verdana" w:hAnsi="Verdana"/>
              </w:rPr>
              <w:t>(x EUR 1.000)</w:t>
            </w:r>
          </w:p>
        </w:tc>
        <w:tc>
          <w:tcPr>
            <w:tcW w:w="2410" w:type="dxa"/>
            <w:gridSpan w:val="2"/>
          </w:tcPr>
          <w:p w:rsidR="009D1F69" w:rsidRPr="009D1F69" w:rsidRDefault="009D1F69" w:rsidP="0060017C">
            <w:pPr>
              <w:rPr>
                <w:rFonts w:ascii="Verdana" w:hAnsi="Verdana"/>
              </w:rPr>
            </w:pPr>
            <w:r w:rsidRPr="009D1F69">
              <w:rPr>
                <w:rFonts w:ascii="Verdana" w:hAnsi="Verdana"/>
                <w:b/>
              </w:rPr>
              <w:t>2e halfjaar</w:t>
            </w:r>
            <w:r w:rsidRPr="009D1F69">
              <w:rPr>
                <w:rFonts w:ascii="Verdana" w:hAnsi="Verdana"/>
                <w:b/>
                <w:bCs/>
              </w:rPr>
              <w:t xml:space="preserve"> 2012</w:t>
            </w:r>
          </w:p>
        </w:tc>
        <w:tc>
          <w:tcPr>
            <w:tcW w:w="2092" w:type="dxa"/>
            <w:gridSpan w:val="2"/>
          </w:tcPr>
          <w:p w:rsidR="009D1F69" w:rsidRPr="009D1F69" w:rsidRDefault="009D1F69" w:rsidP="0060017C">
            <w:pPr>
              <w:rPr>
                <w:rFonts w:ascii="Verdana" w:hAnsi="Verdana"/>
              </w:rPr>
            </w:pPr>
            <w:r w:rsidRPr="009D1F69">
              <w:rPr>
                <w:rFonts w:ascii="Verdana" w:hAnsi="Verdana"/>
                <w:b/>
                <w:bCs/>
              </w:rPr>
              <w:t>1</w:t>
            </w:r>
            <w:r w:rsidRPr="009D1F69">
              <w:rPr>
                <w:rFonts w:ascii="Verdana" w:hAnsi="Verdana"/>
                <w:b/>
                <w:bCs/>
                <w:vertAlign w:val="superscript"/>
              </w:rPr>
              <w:t>e</w:t>
            </w:r>
            <w:r w:rsidRPr="009D1F69">
              <w:rPr>
                <w:rFonts w:ascii="Verdana" w:hAnsi="Verdana"/>
                <w:b/>
                <w:bCs/>
              </w:rPr>
              <w:t xml:space="preserve"> halfjaar 2012</w:t>
            </w:r>
          </w:p>
        </w:tc>
        <w:tc>
          <w:tcPr>
            <w:tcW w:w="1632" w:type="dxa"/>
            <w:gridSpan w:val="2"/>
          </w:tcPr>
          <w:p w:rsidR="009D1F69" w:rsidRPr="009D1F69" w:rsidRDefault="009D1F69" w:rsidP="0060017C">
            <w:pPr>
              <w:rPr>
                <w:rFonts w:ascii="Verdana" w:hAnsi="Verdana"/>
              </w:rPr>
            </w:pPr>
            <w:r w:rsidRPr="009D1F69">
              <w:rPr>
                <w:rFonts w:ascii="Verdana" w:hAnsi="Verdana"/>
                <w:b/>
                <w:bCs/>
              </w:rPr>
              <w:t xml:space="preserve">  Mutatie ca.</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rPr>
              <w:t>Test</w:t>
            </w:r>
          </w:p>
        </w:tc>
        <w:tc>
          <w:tcPr>
            <w:tcW w:w="1843" w:type="dxa"/>
            <w:gridSpan w:val="2"/>
          </w:tcPr>
          <w:p w:rsidR="009D1F69" w:rsidRPr="009D1F69" w:rsidRDefault="009D1F69" w:rsidP="0060017C">
            <w:pPr>
              <w:tabs>
                <w:tab w:val="right" w:pos="1588"/>
              </w:tabs>
              <w:jc w:val="right"/>
              <w:rPr>
                <w:rFonts w:ascii="Verdana" w:hAnsi="Verdana"/>
              </w:rPr>
            </w:pPr>
            <w:r w:rsidRPr="009D1F69">
              <w:rPr>
                <w:rFonts w:ascii="Verdana" w:hAnsi="Verdana"/>
              </w:rPr>
              <w:t>2.193</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rPr>
              <w:t>2.360</w:t>
            </w:r>
          </w:p>
        </w:tc>
        <w:tc>
          <w:tcPr>
            <w:tcW w:w="1843" w:type="dxa"/>
            <w:gridSpan w:val="2"/>
          </w:tcPr>
          <w:p w:rsidR="009D1F69" w:rsidRPr="009D1F69" w:rsidRDefault="009D1F69" w:rsidP="0060017C">
            <w:pPr>
              <w:jc w:val="right"/>
              <w:rPr>
                <w:rFonts w:ascii="Verdana" w:hAnsi="Verdana"/>
              </w:rPr>
            </w:pPr>
            <w:r w:rsidRPr="009D1F69">
              <w:rPr>
                <w:rFonts w:ascii="Verdana" w:hAnsi="Verdana"/>
              </w:rPr>
              <w:t>-7,1%</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noProof/>
              </w:rPr>
              <w:t>Supply Chain Management</w:t>
            </w:r>
          </w:p>
        </w:tc>
        <w:tc>
          <w:tcPr>
            <w:tcW w:w="1843" w:type="dxa"/>
            <w:gridSpan w:val="2"/>
          </w:tcPr>
          <w:p w:rsidR="009D1F69" w:rsidRPr="009D1F69" w:rsidRDefault="009D1F69" w:rsidP="0060017C">
            <w:pPr>
              <w:jc w:val="right"/>
              <w:rPr>
                <w:rFonts w:ascii="Verdana" w:hAnsi="Verdana"/>
              </w:rPr>
            </w:pPr>
            <w:r w:rsidRPr="009D1F69">
              <w:rPr>
                <w:rFonts w:ascii="Verdana" w:hAnsi="Verdana"/>
              </w:rPr>
              <w:t>1.465</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rPr>
              <w:t>992</w:t>
            </w:r>
          </w:p>
        </w:tc>
        <w:tc>
          <w:tcPr>
            <w:tcW w:w="1843" w:type="dxa"/>
            <w:gridSpan w:val="2"/>
          </w:tcPr>
          <w:p w:rsidR="009D1F69" w:rsidRPr="009D1F69" w:rsidRDefault="009D1F69" w:rsidP="0060017C">
            <w:pPr>
              <w:jc w:val="right"/>
              <w:rPr>
                <w:rFonts w:ascii="Verdana" w:hAnsi="Verdana"/>
              </w:rPr>
            </w:pPr>
            <w:r w:rsidRPr="009D1F69">
              <w:rPr>
                <w:rFonts w:ascii="Verdana" w:hAnsi="Verdana"/>
              </w:rPr>
              <w:t xml:space="preserve">  +47,7%</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noProof/>
              </w:rPr>
              <w:t>Failure &amp; Technology Analysis</w:t>
            </w:r>
          </w:p>
        </w:tc>
        <w:tc>
          <w:tcPr>
            <w:tcW w:w="1843" w:type="dxa"/>
            <w:gridSpan w:val="2"/>
          </w:tcPr>
          <w:p w:rsidR="009D1F69" w:rsidRPr="009D1F69" w:rsidRDefault="009D1F69" w:rsidP="0060017C">
            <w:pPr>
              <w:jc w:val="right"/>
              <w:rPr>
                <w:rFonts w:ascii="Verdana" w:hAnsi="Verdana"/>
              </w:rPr>
            </w:pPr>
            <w:r w:rsidRPr="009D1F69">
              <w:rPr>
                <w:rFonts w:ascii="Verdana" w:hAnsi="Verdana"/>
              </w:rPr>
              <w:t>1.139</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rPr>
              <w:t>778</w:t>
            </w:r>
          </w:p>
        </w:tc>
        <w:tc>
          <w:tcPr>
            <w:tcW w:w="1843" w:type="dxa"/>
            <w:gridSpan w:val="2"/>
          </w:tcPr>
          <w:p w:rsidR="009D1F69" w:rsidRPr="009D1F69" w:rsidRDefault="009D1F69" w:rsidP="0060017C">
            <w:pPr>
              <w:jc w:val="right"/>
              <w:rPr>
                <w:rFonts w:ascii="Verdana" w:hAnsi="Verdana"/>
              </w:rPr>
            </w:pPr>
            <w:r w:rsidRPr="009D1F69">
              <w:rPr>
                <w:rFonts w:ascii="Verdana" w:hAnsi="Verdana"/>
              </w:rPr>
              <w:t xml:space="preserve">  +46,4%</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noProof/>
              </w:rPr>
              <w:t>Test Engineering</w:t>
            </w:r>
          </w:p>
        </w:tc>
        <w:tc>
          <w:tcPr>
            <w:tcW w:w="1843" w:type="dxa"/>
            <w:gridSpan w:val="2"/>
          </w:tcPr>
          <w:p w:rsidR="009D1F69" w:rsidRPr="009D1F69" w:rsidRDefault="009D1F69" w:rsidP="0060017C">
            <w:pPr>
              <w:jc w:val="right"/>
              <w:rPr>
                <w:rFonts w:ascii="Verdana" w:hAnsi="Verdana"/>
              </w:rPr>
            </w:pPr>
            <w:r w:rsidRPr="009D1F69">
              <w:rPr>
                <w:rFonts w:ascii="Verdana" w:hAnsi="Verdana"/>
              </w:rPr>
              <w:t>352</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rPr>
              <w:t>353</w:t>
            </w:r>
          </w:p>
        </w:tc>
        <w:tc>
          <w:tcPr>
            <w:tcW w:w="1843" w:type="dxa"/>
            <w:gridSpan w:val="2"/>
          </w:tcPr>
          <w:p w:rsidR="009D1F69" w:rsidRPr="009D1F69" w:rsidRDefault="009D1F69" w:rsidP="0060017C">
            <w:pPr>
              <w:jc w:val="right"/>
              <w:rPr>
                <w:rFonts w:ascii="Verdana" w:hAnsi="Verdana"/>
              </w:rPr>
            </w:pPr>
            <w:r w:rsidRPr="009D1F69">
              <w:rPr>
                <w:rFonts w:ascii="Verdana" w:hAnsi="Verdana"/>
              </w:rPr>
              <w:t>+0,0%</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noProof/>
              </w:rPr>
              <w:t>Qualification &amp; Reliability</w:t>
            </w:r>
          </w:p>
        </w:tc>
        <w:tc>
          <w:tcPr>
            <w:tcW w:w="1843" w:type="dxa"/>
            <w:gridSpan w:val="2"/>
          </w:tcPr>
          <w:p w:rsidR="009D1F69" w:rsidRPr="009D1F69" w:rsidRDefault="009D1F69" w:rsidP="0060017C">
            <w:pPr>
              <w:jc w:val="right"/>
              <w:rPr>
                <w:rFonts w:ascii="Verdana" w:hAnsi="Verdana"/>
              </w:rPr>
            </w:pPr>
            <w:r w:rsidRPr="009D1F69">
              <w:rPr>
                <w:rFonts w:ascii="Verdana" w:hAnsi="Verdana"/>
              </w:rPr>
              <w:t>1.141</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rPr>
              <w:t>1.205</w:t>
            </w:r>
          </w:p>
        </w:tc>
        <w:tc>
          <w:tcPr>
            <w:tcW w:w="1843" w:type="dxa"/>
            <w:gridSpan w:val="2"/>
          </w:tcPr>
          <w:p w:rsidR="009D1F69" w:rsidRPr="009D1F69" w:rsidRDefault="009D1F69" w:rsidP="0060017C">
            <w:pPr>
              <w:jc w:val="right"/>
              <w:rPr>
                <w:rFonts w:ascii="Verdana" w:hAnsi="Verdana"/>
              </w:rPr>
            </w:pPr>
            <w:r w:rsidRPr="009D1F69">
              <w:rPr>
                <w:rFonts w:ascii="Verdana" w:hAnsi="Verdana"/>
              </w:rPr>
              <w:t>-5,3%</w:t>
            </w:r>
          </w:p>
        </w:tc>
      </w:tr>
      <w:tr w:rsidR="009D1F69" w:rsidRPr="009D1F69" w:rsidTr="0060017C">
        <w:trPr>
          <w:gridAfter w:val="1"/>
          <w:wAfter w:w="322" w:type="dxa"/>
          <w:trHeight w:val="284"/>
        </w:trPr>
        <w:tc>
          <w:tcPr>
            <w:tcW w:w="3652" w:type="dxa"/>
          </w:tcPr>
          <w:p w:rsidR="009D1F69" w:rsidRPr="009D1F69" w:rsidRDefault="009D1F69" w:rsidP="0060017C">
            <w:pPr>
              <w:rPr>
                <w:rFonts w:ascii="Verdana" w:hAnsi="Verdana"/>
              </w:rPr>
            </w:pPr>
            <w:r w:rsidRPr="009D1F69">
              <w:rPr>
                <w:rFonts w:ascii="Verdana" w:hAnsi="Verdana"/>
                <w:b/>
              </w:rPr>
              <w:t>Total</w:t>
            </w:r>
          </w:p>
        </w:tc>
        <w:tc>
          <w:tcPr>
            <w:tcW w:w="1843" w:type="dxa"/>
            <w:gridSpan w:val="2"/>
          </w:tcPr>
          <w:p w:rsidR="009D1F69" w:rsidRPr="009D1F69" w:rsidRDefault="009D1F69" w:rsidP="0060017C">
            <w:pPr>
              <w:jc w:val="right"/>
              <w:rPr>
                <w:rFonts w:ascii="Verdana" w:hAnsi="Verdana"/>
              </w:rPr>
            </w:pPr>
            <w:r w:rsidRPr="009D1F69">
              <w:rPr>
                <w:rFonts w:ascii="Verdana" w:hAnsi="Verdana"/>
                <w:b/>
              </w:rPr>
              <w:t>6.290</w:t>
            </w:r>
          </w:p>
        </w:tc>
        <w:tc>
          <w:tcPr>
            <w:tcW w:w="2268" w:type="dxa"/>
            <w:gridSpan w:val="2"/>
          </w:tcPr>
          <w:p w:rsidR="009D1F69" w:rsidRPr="009D1F69" w:rsidRDefault="009D1F69" w:rsidP="0060017C">
            <w:pPr>
              <w:tabs>
                <w:tab w:val="right" w:pos="1572"/>
              </w:tabs>
              <w:jc w:val="right"/>
              <w:rPr>
                <w:rFonts w:ascii="Verdana" w:hAnsi="Verdana"/>
              </w:rPr>
            </w:pPr>
            <w:r w:rsidRPr="009D1F69">
              <w:rPr>
                <w:rFonts w:ascii="Verdana" w:hAnsi="Verdana"/>
                <w:b/>
              </w:rPr>
              <w:t>5.688</w:t>
            </w:r>
          </w:p>
        </w:tc>
        <w:tc>
          <w:tcPr>
            <w:tcW w:w="1843" w:type="dxa"/>
            <w:gridSpan w:val="2"/>
          </w:tcPr>
          <w:p w:rsidR="009D1F69" w:rsidRPr="009D1F69" w:rsidRDefault="009D1F69" w:rsidP="0060017C">
            <w:pPr>
              <w:jc w:val="right"/>
              <w:rPr>
                <w:rFonts w:ascii="Verdana" w:hAnsi="Verdana"/>
              </w:rPr>
            </w:pPr>
            <w:r w:rsidRPr="009D1F69">
              <w:rPr>
                <w:rFonts w:ascii="Verdana" w:hAnsi="Verdana"/>
                <w:b/>
              </w:rPr>
              <w:t xml:space="preserve">   10,6%</w:t>
            </w:r>
          </w:p>
        </w:tc>
      </w:tr>
    </w:tbl>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b/>
          <w:color w:val="000000"/>
          <w:sz w:val="20"/>
        </w:rPr>
      </w:pPr>
      <w:r w:rsidRPr="009D1F69">
        <w:rPr>
          <w:rFonts w:ascii="Verdana" w:hAnsi="Verdana"/>
          <w:b/>
          <w:color w:val="000000"/>
          <w:sz w:val="20"/>
        </w:rPr>
        <w:t>Voorlopig omzetresultaat in vergelijking met 2011:</w:t>
      </w:r>
    </w:p>
    <w:p w:rsidR="009D1F69" w:rsidRPr="009D1F69" w:rsidRDefault="009D1F69" w:rsidP="009D1F69">
      <w:pPr>
        <w:rPr>
          <w:rFonts w:ascii="Verdana" w:hAnsi="Verdana"/>
          <w:color w:val="000000"/>
          <w:sz w:val="20"/>
        </w:rPr>
      </w:pPr>
    </w:p>
    <w:tbl>
      <w:tblPr>
        <w:tblStyle w:val="Tabellengitternetz"/>
        <w:tblW w:w="10104" w:type="dxa"/>
        <w:tblCellMar>
          <w:right w:w="113" w:type="dxa"/>
        </w:tblCellMar>
        <w:tblLook w:val="04A0"/>
      </w:tblPr>
      <w:tblGrid>
        <w:gridCol w:w="3652"/>
        <w:gridCol w:w="992"/>
        <w:gridCol w:w="851"/>
        <w:gridCol w:w="1276"/>
        <w:gridCol w:w="816"/>
        <w:gridCol w:w="885"/>
        <w:gridCol w:w="1134"/>
        <w:gridCol w:w="498"/>
      </w:tblGrid>
      <w:tr w:rsidR="009D1F69" w:rsidRPr="009D1F69" w:rsidTr="0060017C">
        <w:trPr>
          <w:trHeight w:val="284"/>
        </w:trPr>
        <w:tc>
          <w:tcPr>
            <w:tcW w:w="4644" w:type="dxa"/>
            <w:gridSpan w:val="2"/>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 xml:space="preserve"> (x EUR 1.000)</w:t>
            </w:r>
          </w:p>
        </w:tc>
        <w:tc>
          <w:tcPr>
            <w:tcW w:w="2127" w:type="dxa"/>
            <w:gridSpan w:val="2"/>
            <w:tcBorders>
              <w:top w:val="nil"/>
              <w:left w:val="nil"/>
              <w:bottom w:val="nil"/>
              <w:right w:val="nil"/>
            </w:tcBorders>
          </w:tcPr>
          <w:p w:rsidR="009D1F69" w:rsidRPr="009D1F69" w:rsidRDefault="009D1F69" w:rsidP="0060017C">
            <w:pPr>
              <w:rPr>
                <w:rFonts w:ascii="Verdana" w:hAnsi="Verdana"/>
                <w:b/>
              </w:rPr>
            </w:pPr>
            <w:r w:rsidRPr="009D1F69">
              <w:rPr>
                <w:rFonts w:ascii="Verdana" w:hAnsi="Verdana"/>
                <w:b/>
              </w:rPr>
              <w:t>2012</w:t>
            </w:r>
          </w:p>
        </w:tc>
        <w:tc>
          <w:tcPr>
            <w:tcW w:w="1701" w:type="dxa"/>
            <w:gridSpan w:val="2"/>
            <w:tcBorders>
              <w:top w:val="nil"/>
              <w:left w:val="nil"/>
              <w:bottom w:val="nil"/>
              <w:right w:val="nil"/>
            </w:tcBorders>
          </w:tcPr>
          <w:p w:rsidR="009D1F69" w:rsidRPr="009D1F69" w:rsidRDefault="009D1F69" w:rsidP="0060017C">
            <w:pPr>
              <w:rPr>
                <w:rFonts w:ascii="Verdana" w:hAnsi="Verdana"/>
                <w:b/>
              </w:rPr>
            </w:pPr>
            <w:r w:rsidRPr="009D1F69">
              <w:rPr>
                <w:rFonts w:ascii="Verdana" w:hAnsi="Verdana"/>
                <w:b/>
              </w:rPr>
              <w:t>2011</w:t>
            </w:r>
          </w:p>
        </w:tc>
        <w:tc>
          <w:tcPr>
            <w:tcW w:w="1632" w:type="dxa"/>
            <w:gridSpan w:val="2"/>
            <w:tcBorders>
              <w:top w:val="nil"/>
              <w:left w:val="nil"/>
              <w:bottom w:val="nil"/>
              <w:right w:val="nil"/>
            </w:tcBorders>
          </w:tcPr>
          <w:p w:rsidR="009D1F69" w:rsidRPr="009D1F69" w:rsidRDefault="009D1F69" w:rsidP="0060017C">
            <w:pPr>
              <w:rPr>
                <w:rFonts w:ascii="Verdana" w:hAnsi="Verdana"/>
                <w:b/>
              </w:rPr>
            </w:pPr>
            <w:r w:rsidRPr="009D1F69">
              <w:rPr>
                <w:rFonts w:ascii="Verdana" w:hAnsi="Verdana"/>
                <w:b/>
              </w:rPr>
              <w:t>Mutatie ca.</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Test</w:t>
            </w:r>
          </w:p>
        </w:tc>
        <w:tc>
          <w:tcPr>
            <w:tcW w:w="1843"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4.553</w:t>
            </w:r>
          </w:p>
        </w:tc>
        <w:tc>
          <w:tcPr>
            <w:tcW w:w="2092"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7.264</w:t>
            </w:r>
          </w:p>
        </w:tc>
        <w:tc>
          <w:tcPr>
            <w:tcW w:w="2019"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 xml:space="preserve">  -37,3%</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Supply Chain Management</w:t>
            </w:r>
          </w:p>
        </w:tc>
        <w:tc>
          <w:tcPr>
            <w:tcW w:w="1843"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2.457</w:t>
            </w:r>
          </w:p>
        </w:tc>
        <w:tc>
          <w:tcPr>
            <w:tcW w:w="2092"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3.556</w:t>
            </w:r>
          </w:p>
        </w:tc>
        <w:tc>
          <w:tcPr>
            <w:tcW w:w="2019"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-30,9%</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Failure &amp; Technology Analysis</w:t>
            </w:r>
          </w:p>
        </w:tc>
        <w:tc>
          <w:tcPr>
            <w:tcW w:w="1843"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1.917</w:t>
            </w:r>
          </w:p>
        </w:tc>
        <w:tc>
          <w:tcPr>
            <w:tcW w:w="2092"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1.667</w:t>
            </w:r>
          </w:p>
        </w:tc>
        <w:tc>
          <w:tcPr>
            <w:tcW w:w="2019"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 xml:space="preserve">  +15,0%</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Test Engineering</w:t>
            </w:r>
          </w:p>
        </w:tc>
        <w:tc>
          <w:tcPr>
            <w:tcW w:w="1843"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705</w:t>
            </w:r>
          </w:p>
        </w:tc>
        <w:tc>
          <w:tcPr>
            <w:tcW w:w="2092"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887</w:t>
            </w:r>
          </w:p>
        </w:tc>
        <w:tc>
          <w:tcPr>
            <w:tcW w:w="2019"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-20,5%</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rPr>
            </w:pPr>
            <w:r w:rsidRPr="009D1F69">
              <w:rPr>
                <w:rFonts w:ascii="Verdana" w:hAnsi="Verdana"/>
              </w:rPr>
              <w:t>Qualification &amp; Reliability</w:t>
            </w:r>
          </w:p>
        </w:tc>
        <w:tc>
          <w:tcPr>
            <w:tcW w:w="1843"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2.346</w:t>
            </w:r>
          </w:p>
        </w:tc>
        <w:tc>
          <w:tcPr>
            <w:tcW w:w="2092"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2.343</w:t>
            </w:r>
          </w:p>
        </w:tc>
        <w:tc>
          <w:tcPr>
            <w:tcW w:w="2019" w:type="dxa"/>
            <w:gridSpan w:val="2"/>
            <w:tcBorders>
              <w:top w:val="nil"/>
              <w:left w:val="nil"/>
              <w:bottom w:val="nil"/>
              <w:right w:val="nil"/>
            </w:tcBorders>
          </w:tcPr>
          <w:p w:rsidR="009D1F69" w:rsidRPr="009D1F69" w:rsidRDefault="009D1F69" w:rsidP="0060017C">
            <w:pPr>
              <w:jc w:val="right"/>
              <w:rPr>
                <w:rFonts w:ascii="Verdana" w:hAnsi="Verdana"/>
              </w:rPr>
            </w:pPr>
            <w:r w:rsidRPr="009D1F69">
              <w:rPr>
                <w:rFonts w:ascii="Verdana" w:hAnsi="Verdana"/>
              </w:rPr>
              <w:t>+0,0%</w:t>
            </w:r>
          </w:p>
        </w:tc>
      </w:tr>
      <w:tr w:rsidR="009D1F69" w:rsidRPr="009D1F69" w:rsidTr="0060017C">
        <w:trPr>
          <w:gridAfter w:val="1"/>
          <w:wAfter w:w="498" w:type="dxa"/>
          <w:trHeight w:val="284"/>
        </w:trPr>
        <w:tc>
          <w:tcPr>
            <w:tcW w:w="3652" w:type="dxa"/>
            <w:tcBorders>
              <w:top w:val="nil"/>
              <w:left w:val="nil"/>
              <w:bottom w:val="nil"/>
              <w:right w:val="nil"/>
            </w:tcBorders>
          </w:tcPr>
          <w:p w:rsidR="009D1F69" w:rsidRPr="009D1F69" w:rsidRDefault="009D1F69" w:rsidP="0060017C">
            <w:pPr>
              <w:rPr>
                <w:rFonts w:ascii="Verdana" w:hAnsi="Verdana"/>
                <w:b/>
              </w:rPr>
            </w:pPr>
            <w:r w:rsidRPr="009D1F69">
              <w:rPr>
                <w:rFonts w:ascii="Verdana" w:hAnsi="Verdana"/>
                <w:b/>
              </w:rPr>
              <w:t>Total</w:t>
            </w:r>
          </w:p>
        </w:tc>
        <w:tc>
          <w:tcPr>
            <w:tcW w:w="1843" w:type="dxa"/>
            <w:gridSpan w:val="2"/>
            <w:tcBorders>
              <w:top w:val="nil"/>
              <w:left w:val="nil"/>
              <w:bottom w:val="nil"/>
              <w:right w:val="nil"/>
            </w:tcBorders>
          </w:tcPr>
          <w:p w:rsidR="009D1F69" w:rsidRPr="009D1F69" w:rsidRDefault="009D1F69" w:rsidP="0060017C">
            <w:pPr>
              <w:jc w:val="right"/>
              <w:rPr>
                <w:rFonts w:ascii="Verdana" w:hAnsi="Verdana"/>
                <w:b/>
              </w:rPr>
            </w:pPr>
            <w:r w:rsidRPr="009D1F69">
              <w:rPr>
                <w:rFonts w:ascii="Verdana" w:hAnsi="Verdana"/>
                <w:b/>
              </w:rPr>
              <w:t>11.978</w:t>
            </w:r>
          </w:p>
        </w:tc>
        <w:tc>
          <w:tcPr>
            <w:tcW w:w="2092" w:type="dxa"/>
            <w:gridSpan w:val="2"/>
            <w:tcBorders>
              <w:top w:val="nil"/>
              <w:left w:val="nil"/>
              <w:bottom w:val="nil"/>
              <w:right w:val="nil"/>
            </w:tcBorders>
          </w:tcPr>
          <w:p w:rsidR="009D1F69" w:rsidRPr="009D1F69" w:rsidRDefault="009D1F69" w:rsidP="0060017C">
            <w:pPr>
              <w:jc w:val="right"/>
              <w:rPr>
                <w:rFonts w:ascii="Verdana" w:hAnsi="Verdana"/>
                <w:b/>
              </w:rPr>
            </w:pPr>
            <w:r w:rsidRPr="009D1F69">
              <w:rPr>
                <w:rFonts w:ascii="Verdana" w:hAnsi="Verdana"/>
                <w:b/>
              </w:rPr>
              <w:t>15.717</w:t>
            </w:r>
          </w:p>
        </w:tc>
        <w:tc>
          <w:tcPr>
            <w:tcW w:w="2019" w:type="dxa"/>
            <w:gridSpan w:val="2"/>
            <w:tcBorders>
              <w:top w:val="nil"/>
              <w:left w:val="nil"/>
              <w:bottom w:val="nil"/>
              <w:right w:val="nil"/>
            </w:tcBorders>
          </w:tcPr>
          <w:p w:rsidR="009D1F69" w:rsidRPr="009D1F69" w:rsidRDefault="009D1F69" w:rsidP="0060017C">
            <w:pPr>
              <w:jc w:val="right"/>
              <w:rPr>
                <w:rFonts w:ascii="Verdana" w:hAnsi="Verdana"/>
                <w:b/>
              </w:rPr>
            </w:pPr>
            <w:r w:rsidRPr="009D1F69">
              <w:rPr>
                <w:rFonts w:ascii="Verdana" w:hAnsi="Verdana"/>
                <w:b/>
              </w:rPr>
              <w:t>-23,8%</w:t>
            </w:r>
          </w:p>
        </w:tc>
      </w:tr>
    </w:tbl>
    <w:p w:rsidR="009D1F69" w:rsidRPr="009D1F69" w:rsidRDefault="009D1F69" w:rsidP="009D1F69">
      <w:pPr>
        <w:jc w:val="both"/>
        <w:rPr>
          <w:rFonts w:ascii="Verdana" w:hAnsi="Verdana"/>
          <w:b/>
          <w:color w:val="000000"/>
          <w:sz w:val="20"/>
        </w:rPr>
      </w:pP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olor w:val="000000"/>
          <w:sz w:val="20"/>
        </w:rPr>
      </w:pPr>
      <w:r w:rsidRPr="009D1F69">
        <w:rPr>
          <w:rFonts w:ascii="Verdana" w:hAnsi="Verdana"/>
          <w:color w:val="000000"/>
          <w:sz w:val="20"/>
        </w:rPr>
        <w:lastRenderedPageBreak/>
        <w:t>De markt was, integenstelling tot de oorspronkelijke verwachtingen, in de eerste helft van 2012 uiterst zwak. Bovendien werd onze omzet negatief beïnvloed door vervanging van oude producten van een grote IDM door nieuwe met een tot dusver minder grote omzet en een faillissement van een van onze grotere klanten.</w:t>
      </w: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cs="Verdana"/>
          <w:sz w:val="20"/>
        </w:rPr>
      </w:pPr>
      <w:r w:rsidRPr="009D1F69">
        <w:rPr>
          <w:rFonts w:ascii="Verdana" w:hAnsi="Verdana" w:cs="Verdana"/>
          <w:sz w:val="20"/>
        </w:rPr>
        <w:t xml:space="preserve">De omzet van RoodMicrotec lag zowel in het derde en vierde kwartaal van 2012 duidelijk boven de eerste twee kwartalen van 2012. De terughoudendheid van klanten en uitstel van projecten heeft het afgelopen kwartaal nog steeds een rol gespeeld. Dat bleek vooral het geval te zijn in de laatste weken van december. Zowel toeleveranciers als klanten sloten, relatief onverwachtsin de week voor kerst alsmede tussen kerst en nieuwjaar. Dat is een uitzondering in onze industrie. </w:t>
      </w:r>
    </w:p>
    <w:p w:rsidR="009D1F69" w:rsidRPr="009D1F69" w:rsidRDefault="009D1F69" w:rsidP="009D1F69">
      <w:pPr>
        <w:rPr>
          <w:rFonts w:ascii="Verdana" w:hAnsi="Verdana" w:cs="Verdana"/>
          <w:sz w:val="20"/>
        </w:rPr>
      </w:pPr>
    </w:p>
    <w:p w:rsidR="009D1F69" w:rsidRPr="009D1F69" w:rsidRDefault="009D1F69" w:rsidP="009D1F69">
      <w:pPr>
        <w:rPr>
          <w:rFonts w:ascii="Verdana" w:hAnsi="Verdana" w:cs="Verdana"/>
          <w:sz w:val="20"/>
        </w:rPr>
      </w:pPr>
      <w:r w:rsidRPr="009D1F69">
        <w:rPr>
          <w:rFonts w:ascii="Verdana" w:hAnsi="Verdana" w:cs="Verdana"/>
          <w:sz w:val="20"/>
        </w:rPr>
        <w:t xml:space="preserve">Desondanks is er tot dusver sprake van een positieve ontwikkeling in de orderportefeuille bij de verschillende business units. Ook was de omzet in alle sectoren in de tweede helft van het jaar gelijk aan of beter dan in het eerste helft van 2012. Vooral de business units Supply Chain Management en Failure &amp; Technology Analysis lieten een sterk herstel zien ten opzichte van het eerste halfjaar van 2012. </w:t>
      </w:r>
    </w:p>
    <w:p w:rsidR="009D1F69" w:rsidRPr="009D1F69" w:rsidRDefault="009D1F69" w:rsidP="009D1F69">
      <w:pPr>
        <w:rPr>
          <w:rFonts w:ascii="Verdana" w:hAnsi="Verdana" w:cs="Verdana"/>
          <w:sz w:val="20"/>
        </w:rPr>
      </w:pPr>
    </w:p>
    <w:p w:rsidR="009D1F69" w:rsidRPr="009D1F69" w:rsidRDefault="009D1F69" w:rsidP="009D1F69">
      <w:pPr>
        <w:rPr>
          <w:rFonts w:ascii="Verdana" w:hAnsi="Verdana"/>
          <w:color w:val="000000"/>
          <w:sz w:val="20"/>
        </w:rPr>
      </w:pPr>
    </w:p>
    <w:p w:rsidR="009D1F69" w:rsidRPr="009D1F69" w:rsidRDefault="009D1F69" w:rsidP="009D1F69">
      <w:pPr>
        <w:rPr>
          <w:rFonts w:ascii="Verdana" w:hAnsi="Verdana"/>
          <w:i/>
          <w:color w:val="000000"/>
          <w:sz w:val="20"/>
        </w:rPr>
      </w:pPr>
      <w:r w:rsidRPr="009D1F69">
        <w:rPr>
          <w:rFonts w:ascii="Verdana" w:hAnsi="Verdana" w:cs="Verdana"/>
          <w:i/>
          <w:sz w:val="20"/>
        </w:rPr>
        <w:t>‘De macro-economische onzekerheid beïnvloedt niet alleen de ontwikkelingen in de semiconductorindustrie, maar ook die van RoodMicrotec. Toch liet de semiconductorindustrie in de tweede helft van 2012 een positieve ontwikkeling zien, evenals RoodMircrotec. Terugkijkend op 2012 was het een spannend jaar en zeker de eerste helft van 2012 viel ons zwaar tegen. Ik blijf er echter van overtuigd dat wij met onze strategie op de goede weg zijn en dat wij kunnen profiteren van verdere groei in de wereldmarkt’</w:t>
      </w:r>
      <w:r w:rsidRPr="009D1F69">
        <w:rPr>
          <w:rFonts w:ascii="Verdana" w:hAnsi="Verdana"/>
          <w:i/>
          <w:color w:val="000000"/>
          <w:sz w:val="20"/>
        </w:rPr>
        <w:t>,</w:t>
      </w:r>
      <w:r w:rsidRPr="009D1F69">
        <w:rPr>
          <w:rFonts w:ascii="Verdana" w:hAnsi="Verdana" w:cs="Verdana"/>
          <w:iCs/>
          <w:sz w:val="20"/>
        </w:rPr>
        <w:t>aldus Philip Nijenhuis, CEO RoodMicrotec.</w:t>
      </w:r>
    </w:p>
    <w:p w:rsidR="009D1F69" w:rsidRPr="009D1F69" w:rsidRDefault="009D1F69" w:rsidP="009D1F69">
      <w:pPr>
        <w:rPr>
          <w:rFonts w:ascii="Verdana" w:hAnsi="Verdana"/>
          <w:i/>
          <w:color w:val="000000"/>
          <w:sz w:val="20"/>
        </w:rPr>
      </w:pPr>
    </w:p>
    <w:p w:rsidR="009D1F69" w:rsidRPr="009D1F69" w:rsidRDefault="009D1F69" w:rsidP="009D1F69">
      <w:pPr>
        <w:rPr>
          <w:rFonts w:ascii="Verdana" w:hAnsi="Verdana"/>
          <w:b/>
          <w:color w:val="000000"/>
          <w:sz w:val="20"/>
        </w:rPr>
      </w:pPr>
    </w:p>
    <w:p w:rsidR="009D1F69" w:rsidRPr="009D1F69" w:rsidRDefault="009D1F69" w:rsidP="009D1F69">
      <w:pPr>
        <w:rPr>
          <w:rFonts w:ascii="Verdana" w:hAnsi="Verdana"/>
          <w:b/>
          <w:color w:val="000000"/>
          <w:sz w:val="20"/>
        </w:rPr>
      </w:pPr>
      <w:r w:rsidRPr="009D1F69">
        <w:rPr>
          <w:rFonts w:ascii="Verdana" w:hAnsi="Verdana"/>
          <w:b/>
          <w:color w:val="000000"/>
          <w:sz w:val="20"/>
        </w:rPr>
        <w:t>Vooruitzichten</w:t>
      </w:r>
    </w:p>
    <w:p w:rsidR="009D1F69" w:rsidRPr="009D1F69" w:rsidRDefault="009D1F69" w:rsidP="009D1F69">
      <w:pPr>
        <w:rPr>
          <w:rFonts w:ascii="Verdana" w:hAnsi="Verdana"/>
          <w:b/>
          <w:color w:val="000000"/>
          <w:sz w:val="20"/>
        </w:rPr>
      </w:pPr>
    </w:p>
    <w:p w:rsidR="009D1F69" w:rsidRPr="009D1F69" w:rsidRDefault="009D1F69" w:rsidP="009D1F69">
      <w:pPr>
        <w:rPr>
          <w:rFonts w:ascii="Verdana" w:hAnsi="Verdana"/>
          <w:color w:val="000000"/>
          <w:sz w:val="20"/>
        </w:rPr>
      </w:pPr>
      <w:r w:rsidRPr="009D1F69">
        <w:rPr>
          <w:rFonts w:ascii="Verdana" w:hAnsi="Verdana"/>
          <w:color w:val="000000"/>
          <w:sz w:val="20"/>
        </w:rPr>
        <w:t>Na de teleurstellende marktontwikkelingen in 2012 wordtvoor 2013 weer een groei van 4,5%en voor 2014 een groei van 5,2% van de wereldmarkt verwacht, aldus de World Semiconductor Trade Statistics (WSTS). Deze groei ligt echter nog steeds onder het meerjaren gemiddelde van 6%.</w:t>
      </w:r>
      <w:r w:rsidRPr="009D1F69">
        <w:rPr>
          <w:rFonts w:ascii="Verdana" w:hAnsi="Verdana" w:cs="Verdana"/>
          <w:sz w:val="20"/>
        </w:rPr>
        <w:t xml:space="preserve">In analogie met de verwachtingen van de WSTS over 2013 en opvolgende jaren, verwacht RoodMicrotec een herstel te laten zien en haar groeidoelstellingen te realiseren. Hierbij streven wij ernaar sterker te groeien dan de wereldmarkt. De afgelopen 9 jaar hebben wij dit vrijwel altijd gerealiseerd. </w:t>
      </w:r>
    </w:p>
    <w:p w:rsidR="009D1F69" w:rsidRPr="009D1F69" w:rsidRDefault="009D1F69" w:rsidP="009D1F69">
      <w:pPr>
        <w:rPr>
          <w:rFonts w:ascii="Verdana" w:hAnsi="Verdana" w:cs="Verdana"/>
          <w:sz w:val="20"/>
        </w:rPr>
      </w:pPr>
      <w:r w:rsidRPr="009D1F69">
        <w:rPr>
          <w:rFonts w:ascii="Verdana" w:hAnsi="Verdana"/>
          <w:color w:val="000000"/>
          <w:sz w:val="20"/>
        </w:rPr>
        <w:t>Het nog steeds toenemend aantal aanvragen, staaft ons vertrouwenom in 2013 wederom sterker te groeien dan de markt</w:t>
      </w:r>
      <w:r w:rsidRPr="009D1F69">
        <w:rPr>
          <w:rFonts w:ascii="Verdana" w:hAnsi="Verdana" w:cs="Verdana"/>
          <w:sz w:val="20"/>
        </w:rPr>
        <w:t>.</w:t>
      </w:r>
    </w:p>
    <w:p w:rsidR="009D1F69" w:rsidRPr="009D1F69" w:rsidRDefault="009D1F69" w:rsidP="009D1F69">
      <w:pPr>
        <w:rPr>
          <w:rFonts w:ascii="Verdana" w:hAnsi="Verdana"/>
          <w:color w:val="000000"/>
          <w:sz w:val="20"/>
        </w:rPr>
      </w:pPr>
      <w:r w:rsidRPr="009D1F69">
        <w:rPr>
          <w:rFonts w:ascii="Verdana" w:hAnsi="Verdana"/>
          <w:color w:val="000000"/>
          <w:sz w:val="20"/>
        </w:rPr>
        <w:t xml:space="preserve">Dat neemt niet weg dat demacro-economische ontwikkelingen ons tot voorzichtigheid manen.Wijdoen dan ook voor 2013 nog geen concrete voorspellingen. </w:t>
      </w:r>
    </w:p>
    <w:p w:rsidR="009D1F69" w:rsidRPr="009D1F69" w:rsidRDefault="009D1F69" w:rsidP="009D1F69">
      <w:pPr>
        <w:rPr>
          <w:rFonts w:ascii="Verdana" w:hAnsi="Verdana" w:cs="Verdana"/>
          <w:sz w:val="20"/>
        </w:rPr>
      </w:pPr>
    </w:p>
    <w:p w:rsidR="009D1F69" w:rsidRPr="009D1F69" w:rsidRDefault="009D1F69" w:rsidP="009D1F69">
      <w:pPr>
        <w:rPr>
          <w:rFonts w:ascii="Verdana" w:hAnsi="Verdana" w:cs="Verdana"/>
          <w:sz w:val="20"/>
        </w:rPr>
      </w:pPr>
    </w:p>
    <w:p w:rsidR="009D1F69" w:rsidRPr="009D1F69" w:rsidRDefault="009D1F69" w:rsidP="009D1F69">
      <w:pPr>
        <w:rPr>
          <w:rFonts w:ascii="Verdana" w:hAnsi="Verdana" w:cs="Verdana"/>
          <w:b/>
          <w:bCs/>
          <w:sz w:val="20"/>
        </w:rPr>
      </w:pPr>
      <w:r w:rsidRPr="009D1F69">
        <w:rPr>
          <w:rFonts w:ascii="Verdana" w:hAnsi="Verdana" w:cs="Verdana"/>
          <w:b/>
          <w:bCs/>
          <w:sz w:val="20"/>
        </w:rPr>
        <w:t>Personeel</w:t>
      </w:r>
    </w:p>
    <w:p w:rsidR="009D1F69" w:rsidRPr="009D1F69" w:rsidRDefault="009D1F69" w:rsidP="009D1F69">
      <w:pPr>
        <w:rPr>
          <w:rFonts w:ascii="Verdana" w:hAnsi="Verdana" w:cs="Verdana"/>
          <w:b/>
          <w:bCs/>
          <w:sz w:val="20"/>
        </w:rPr>
      </w:pPr>
    </w:p>
    <w:p w:rsidR="009D1F69" w:rsidRPr="009D1F69" w:rsidRDefault="009D1F69" w:rsidP="009D1F69">
      <w:pPr>
        <w:rPr>
          <w:rFonts w:ascii="Verdana" w:hAnsi="Verdana" w:cs="Verdana"/>
          <w:sz w:val="20"/>
        </w:rPr>
      </w:pPr>
      <w:r w:rsidRPr="009D1F69">
        <w:rPr>
          <w:rFonts w:ascii="Verdana" w:hAnsi="Verdana" w:cs="Verdana"/>
          <w:bCs/>
          <w:sz w:val="20"/>
        </w:rPr>
        <w:t xml:space="preserve">Wij hebben onlangs een ervaren Sales en Marketing Manager aangetrokken, alsmede een ervaren Engineer. Desalniettemin blijft het werven van engineers, met electronica of natuurkundige achtergrond een van onze hoogste prioriteiten. </w:t>
      </w:r>
    </w:p>
    <w:p w:rsidR="009D1F69" w:rsidRPr="009D1F69" w:rsidRDefault="009D1F69" w:rsidP="009D1F69">
      <w:pPr>
        <w:rPr>
          <w:rFonts w:ascii="Verdana" w:hAnsi="Verdana" w:cs="Verdana"/>
          <w:sz w:val="20"/>
        </w:rPr>
      </w:pPr>
    </w:p>
    <w:p w:rsidR="009D1F69" w:rsidRPr="009D1F69" w:rsidRDefault="009D1F69">
      <w:pPr>
        <w:spacing w:after="200" w:line="276" w:lineRule="auto"/>
        <w:rPr>
          <w:rFonts w:ascii="Verdana" w:hAnsi="Verdana" w:cs="Verdana"/>
          <w:sz w:val="20"/>
        </w:rPr>
      </w:pPr>
      <w:r w:rsidRPr="009D1F69">
        <w:rPr>
          <w:rFonts w:ascii="Verdana" w:hAnsi="Verdana" w:cs="Verdana"/>
          <w:sz w:val="20"/>
        </w:rPr>
        <w:br w:type="page"/>
      </w:r>
    </w:p>
    <w:p w:rsidR="009D1F69" w:rsidRPr="009D1F69" w:rsidRDefault="009D1F69" w:rsidP="009D1F69">
      <w:pPr>
        <w:rPr>
          <w:rFonts w:ascii="Verdana" w:hAnsi="Verdana"/>
          <w:b/>
          <w:bCs/>
          <w:noProof/>
          <w:sz w:val="20"/>
          <w:szCs w:val="24"/>
        </w:rPr>
      </w:pPr>
      <w:r w:rsidRPr="009D1F69">
        <w:rPr>
          <w:rFonts w:ascii="Verdana" w:hAnsi="Verdana"/>
          <w:b/>
          <w:bCs/>
          <w:noProof/>
          <w:sz w:val="20"/>
          <w:szCs w:val="24"/>
        </w:rPr>
        <w:t>FINANCIËLE AGENDA 2013 / 2014</w:t>
      </w:r>
    </w:p>
    <w:p w:rsidR="009D1F69" w:rsidRPr="009D1F69" w:rsidRDefault="009D1F69" w:rsidP="009D1F69">
      <w:pPr>
        <w:rPr>
          <w:rFonts w:ascii="Verdana" w:hAnsi="Verdana"/>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4787"/>
      </w:tblGrid>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26 februari 2013 </w:t>
            </w:r>
          </w:p>
        </w:tc>
        <w:tc>
          <w:tcPr>
            <w:tcW w:w="4787" w:type="dxa"/>
          </w:tcPr>
          <w:p w:rsidR="009D1F69" w:rsidRPr="009D1F69" w:rsidRDefault="009D1F69" w:rsidP="0060017C">
            <w:pPr>
              <w:rPr>
                <w:rFonts w:ascii="Verdana" w:hAnsi="Verdana"/>
              </w:rPr>
            </w:pPr>
            <w:r w:rsidRPr="009D1F69">
              <w:rPr>
                <w:rFonts w:ascii="Verdana" w:hAnsi="Verdana"/>
              </w:rPr>
              <w:t xml:space="preserve">Publicatie jaarcijfers 2012 </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26 februari 2013 </w:t>
            </w:r>
          </w:p>
        </w:tc>
        <w:tc>
          <w:tcPr>
            <w:tcW w:w="4787" w:type="dxa"/>
          </w:tcPr>
          <w:p w:rsidR="009D1F69" w:rsidRPr="009D1F69" w:rsidRDefault="009D1F69" w:rsidP="0060017C">
            <w:pPr>
              <w:rPr>
                <w:rFonts w:ascii="Verdana" w:hAnsi="Verdana"/>
              </w:rPr>
            </w:pPr>
            <w:r w:rsidRPr="009D1F69">
              <w:rPr>
                <w:rFonts w:ascii="Verdana" w:hAnsi="Verdana"/>
              </w:rPr>
              <w:t xml:space="preserve">Conference call pers en analisten </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14 maart 2013 </w:t>
            </w:r>
          </w:p>
        </w:tc>
        <w:tc>
          <w:tcPr>
            <w:tcW w:w="4787" w:type="dxa"/>
          </w:tcPr>
          <w:p w:rsidR="009D1F69" w:rsidRPr="009D1F69" w:rsidRDefault="009D1F69" w:rsidP="0060017C">
            <w:pPr>
              <w:rPr>
                <w:rFonts w:ascii="Verdana" w:hAnsi="Verdana"/>
              </w:rPr>
            </w:pPr>
            <w:r w:rsidRPr="009D1F69">
              <w:rPr>
                <w:rFonts w:ascii="Verdana" w:hAnsi="Verdana"/>
              </w:rPr>
              <w:t xml:space="preserve">Publicatie jaarverslag 2012 </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25 april 2013 </w:t>
            </w:r>
          </w:p>
        </w:tc>
        <w:tc>
          <w:tcPr>
            <w:tcW w:w="4787" w:type="dxa"/>
          </w:tcPr>
          <w:p w:rsidR="009D1F69" w:rsidRPr="009D1F69" w:rsidRDefault="009D1F69" w:rsidP="0060017C">
            <w:pPr>
              <w:rPr>
                <w:rFonts w:ascii="Verdana" w:hAnsi="Verdana"/>
              </w:rPr>
            </w:pPr>
            <w:r w:rsidRPr="009D1F69">
              <w:rPr>
                <w:rFonts w:ascii="Verdana" w:hAnsi="Verdana"/>
              </w:rPr>
              <w:t>Algemene vergadering van aandeelhouders</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14 mei 2013 </w:t>
            </w:r>
          </w:p>
        </w:tc>
        <w:tc>
          <w:tcPr>
            <w:tcW w:w="4787" w:type="dxa"/>
          </w:tcPr>
          <w:p w:rsidR="009D1F69" w:rsidRPr="009D1F69" w:rsidRDefault="009D1F69" w:rsidP="0060017C">
            <w:pPr>
              <w:rPr>
                <w:rFonts w:ascii="Verdana" w:hAnsi="Verdana"/>
              </w:rPr>
            </w:pPr>
            <w:r w:rsidRPr="009D1F69">
              <w:rPr>
                <w:rFonts w:ascii="Verdana" w:hAnsi="Verdana"/>
              </w:rPr>
              <w:t>Publicatie tussentijdse update</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9 juli 2013 </w:t>
            </w:r>
          </w:p>
        </w:tc>
        <w:tc>
          <w:tcPr>
            <w:tcW w:w="4787" w:type="dxa"/>
          </w:tcPr>
          <w:p w:rsidR="009D1F69" w:rsidRPr="009D1F69" w:rsidRDefault="009D1F69" w:rsidP="0060017C">
            <w:pPr>
              <w:rPr>
                <w:rFonts w:ascii="Verdana" w:hAnsi="Verdana"/>
              </w:rPr>
            </w:pPr>
            <w:r w:rsidRPr="009D1F69">
              <w:rPr>
                <w:rFonts w:ascii="Verdana" w:hAnsi="Verdana"/>
              </w:rPr>
              <w:t>Publicatie halfjaaromzetcijfers 2013</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29 augustus 2013 </w:t>
            </w:r>
          </w:p>
        </w:tc>
        <w:tc>
          <w:tcPr>
            <w:tcW w:w="4787" w:type="dxa"/>
          </w:tcPr>
          <w:p w:rsidR="009D1F69" w:rsidRPr="009D1F69" w:rsidRDefault="009D1F69" w:rsidP="0060017C">
            <w:pPr>
              <w:rPr>
                <w:rFonts w:ascii="Verdana" w:hAnsi="Verdana"/>
              </w:rPr>
            </w:pPr>
            <w:r w:rsidRPr="009D1F69">
              <w:rPr>
                <w:rFonts w:ascii="Verdana" w:hAnsi="Verdana"/>
              </w:rPr>
              <w:t>Publicatie halfjaarverslag 2013</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29 augustus 2013 </w:t>
            </w:r>
          </w:p>
        </w:tc>
        <w:tc>
          <w:tcPr>
            <w:tcW w:w="4787" w:type="dxa"/>
          </w:tcPr>
          <w:p w:rsidR="009D1F69" w:rsidRPr="009D1F69" w:rsidRDefault="009D1F69" w:rsidP="0060017C">
            <w:pPr>
              <w:rPr>
                <w:rFonts w:ascii="Verdana" w:hAnsi="Verdana"/>
              </w:rPr>
            </w:pPr>
            <w:r w:rsidRPr="009D1F69">
              <w:rPr>
                <w:rFonts w:ascii="Verdana" w:hAnsi="Verdana"/>
              </w:rPr>
              <w:t>Conference call pers en analisten</w:t>
            </w:r>
          </w:p>
        </w:tc>
      </w:tr>
      <w:tr w:rsidR="009D1F69" w:rsidRPr="009D1F69" w:rsidTr="0060017C">
        <w:trPr>
          <w:trHeight w:val="284"/>
        </w:trPr>
        <w:tc>
          <w:tcPr>
            <w:tcW w:w="3259" w:type="dxa"/>
          </w:tcPr>
          <w:p w:rsidR="009D1F69" w:rsidRPr="009D1F69" w:rsidRDefault="009D1F69" w:rsidP="0060017C">
            <w:pPr>
              <w:rPr>
                <w:rFonts w:ascii="Verdana" w:hAnsi="Verdana"/>
              </w:rPr>
            </w:pPr>
            <w:r w:rsidRPr="009D1F69">
              <w:rPr>
                <w:rFonts w:ascii="Verdana" w:hAnsi="Verdana"/>
              </w:rPr>
              <w:t xml:space="preserve">14 november 2013 </w:t>
            </w:r>
          </w:p>
        </w:tc>
        <w:tc>
          <w:tcPr>
            <w:tcW w:w="4787" w:type="dxa"/>
          </w:tcPr>
          <w:p w:rsidR="009D1F69" w:rsidRPr="009D1F69" w:rsidRDefault="009D1F69" w:rsidP="0060017C">
            <w:pPr>
              <w:rPr>
                <w:rFonts w:ascii="Verdana" w:hAnsi="Verdana"/>
              </w:rPr>
            </w:pPr>
            <w:r w:rsidRPr="009D1F69">
              <w:rPr>
                <w:rFonts w:ascii="Verdana" w:hAnsi="Verdana"/>
              </w:rPr>
              <w:t>Publicatie tussentijdse update</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9 januari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jaaromzetcijfers 2013</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27 februari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jaarcijfers 2013</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27 februari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Conference call pers en analisten</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13 maart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jaarverslag 2013</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24 april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Algemene vergadering van aandeelhouders</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13 mei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tussentijdse update</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10 juli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omzetcijfers</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28 augustus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halfjaarverslag 2014</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28 augustus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Conference call pers en analisten</w:t>
            </w:r>
          </w:p>
        </w:tc>
      </w:tr>
      <w:tr w:rsidR="009D1F69" w:rsidRPr="009D1F69" w:rsidTr="0060017C">
        <w:trPr>
          <w:trHeight w:val="284"/>
        </w:trPr>
        <w:tc>
          <w:tcPr>
            <w:tcW w:w="3259"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13 november 2014</w:t>
            </w:r>
          </w:p>
        </w:tc>
        <w:tc>
          <w:tcPr>
            <w:tcW w:w="4787" w:type="dxa"/>
          </w:tcPr>
          <w:p w:rsidR="009D1F69" w:rsidRPr="009D1F69" w:rsidRDefault="009D1F69" w:rsidP="0060017C">
            <w:pPr>
              <w:pStyle w:val="ecxmsonormal"/>
              <w:spacing w:after="0"/>
              <w:rPr>
                <w:rFonts w:ascii="Verdana" w:hAnsi="Verdana" w:cs="Tahoma"/>
                <w:color w:val="2A2A2A"/>
                <w:sz w:val="20"/>
                <w:szCs w:val="20"/>
                <w:lang w:val="nl-NL"/>
              </w:rPr>
            </w:pPr>
            <w:r w:rsidRPr="009D1F69">
              <w:rPr>
                <w:rFonts w:ascii="Verdana" w:hAnsi="Verdana" w:cs="Tahoma"/>
                <w:color w:val="2A2A2A"/>
                <w:sz w:val="20"/>
                <w:szCs w:val="20"/>
                <w:lang w:val="nl-NL"/>
              </w:rPr>
              <w:t>Publicatie tussentijdse update</w:t>
            </w:r>
          </w:p>
        </w:tc>
      </w:tr>
    </w:tbl>
    <w:p w:rsidR="009D1F69" w:rsidRPr="009D1F69" w:rsidRDefault="009D1F69" w:rsidP="009D1F69">
      <w:pPr>
        <w:tabs>
          <w:tab w:val="left" w:pos="2835"/>
        </w:tabs>
        <w:rPr>
          <w:rFonts w:ascii="Verdana" w:hAnsi="Verdana"/>
          <w:b/>
          <w:color w:val="000000"/>
          <w:sz w:val="20"/>
        </w:rPr>
      </w:pPr>
    </w:p>
    <w:p w:rsidR="009D1F69" w:rsidRPr="009D1F69" w:rsidRDefault="009D1F69" w:rsidP="009D1F69">
      <w:pPr>
        <w:rPr>
          <w:rFonts w:ascii="Verdana" w:hAnsi="Verdana"/>
          <w:sz w:val="20"/>
        </w:rPr>
      </w:pPr>
    </w:p>
    <w:p w:rsidR="009D1F69" w:rsidRPr="009D1F69" w:rsidRDefault="009D1F69" w:rsidP="009D1F69">
      <w:pPr>
        <w:rPr>
          <w:rFonts w:ascii="Verdana" w:hAnsi="Verdana"/>
          <w:b/>
          <w:sz w:val="20"/>
        </w:rPr>
      </w:pPr>
      <w:r w:rsidRPr="009D1F69">
        <w:rPr>
          <w:rFonts w:ascii="Verdana" w:hAnsi="Verdana"/>
          <w:b/>
          <w:sz w:val="20"/>
        </w:rPr>
        <w:t>Accountantscontrole</w:t>
      </w:r>
    </w:p>
    <w:p w:rsidR="009D1F69" w:rsidRPr="009D1F69" w:rsidRDefault="009D1F69" w:rsidP="009D1F69">
      <w:pPr>
        <w:rPr>
          <w:rFonts w:ascii="Verdana" w:hAnsi="Verdana"/>
          <w:sz w:val="20"/>
        </w:rPr>
      </w:pPr>
      <w:r w:rsidRPr="009D1F69">
        <w:rPr>
          <w:rFonts w:ascii="Verdana" w:hAnsi="Verdana"/>
          <w:sz w:val="20"/>
        </w:rPr>
        <w:t xml:space="preserve">Op de financiële gegevens is geen accountantscontrole toegepast. </w:t>
      </w:r>
    </w:p>
    <w:p w:rsidR="009D1F69" w:rsidRPr="009D1F69" w:rsidRDefault="009D1F69" w:rsidP="009D1F69">
      <w:pPr>
        <w:rPr>
          <w:rFonts w:ascii="Verdana" w:hAnsi="Verdana"/>
          <w:sz w:val="20"/>
        </w:rPr>
      </w:pPr>
    </w:p>
    <w:p w:rsidR="009D1F69" w:rsidRPr="009D1F69" w:rsidRDefault="009D1F69" w:rsidP="009D1F69">
      <w:pPr>
        <w:rPr>
          <w:rFonts w:ascii="Verdana" w:hAnsi="Verdana"/>
          <w:b/>
          <w:sz w:val="20"/>
        </w:rPr>
      </w:pPr>
    </w:p>
    <w:p w:rsidR="009D1F69" w:rsidRPr="009D1F69" w:rsidRDefault="009D1F69" w:rsidP="009D1F69">
      <w:pPr>
        <w:rPr>
          <w:rFonts w:ascii="Verdana" w:hAnsi="Verdana"/>
          <w:sz w:val="20"/>
        </w:rPr>
      </w:pPr>
      <w:r w:rsidRPr="009D1F69">
        <w:rPr>
          <w:rFonts w:ascii="Verdana" w:hAnsi="Verdana"/>
          <w:b/>
          <w:sz w:val="20"/>
        </w:rPr>
        <w:t>Toekomstgerichte uitspraken</w:t>
      </w:r>
    </w:p>
    <w:p w:rsidR="009D1F69" w:rsidRPr="009D1F69" w:rsidRDefault="009D1F69" w:rsidP="009D1F69">
      <w:pPr>
        <w:rPr>
          <w:rFonts w:ascii="Verdana" w:hAnsi="Verdana"/>
          <w:sz w:val="20"/>
        </w:rPr>
      </w:pPr>
      <w:r w:rsidRPr="009D1F69">
        <w:rPr>
          <w:rFonts w:ascii="Verdana" w:hAnsi="Verdana"/>
          <w:sz w:val="20"/>
        </w:rPr>
        <w:t>Dit persbericht bevat een aantal toekomstgerichte uitspraken. Deze uitspraken zijn gebaseerd op de huidige verwachtingen, inschattingen en prognoses van het management en de informatie die de onderneming momenteel ter beschikking staat. De uitspraken zijn onderhevig aan bepaalde risico’s en onzekerheden die moeilijk zijn in te schatten, zoals algemene economische omstandigheden, rentepercentages, wisselkoersen en veranderingen in wet- en regelgevingen. Het management van RoodMicrotec kan dan ook niet garanderen dat haar verwachtingen zullen uitkomen. Verder aanvaardt RoodMicrotec geen verplichtingen om de in dit persbericht gedane uitspraken te actualiseren.</w:t>
      </w:r>
    </w:p>
    <w:p w:rsidR="009D1F69" w:rsidRPr="009D1F69" w:rsidRDefault="009D1F69" w:rsidP="009D1F69">
      <w:pPr>
        <w:autoSpaceDE w:val="0"/>
        <w:autoSpaceDN w:val="0"/>
        <w:adjustRightInd w:val="0"/>
        <w:rPr>
          <w:rFonts w:ascii="Verdana" w:hAnsi="Verdana"/>
          <w:sz w:val="20"/>
        </w:rPr>
      </w:pPr>
    </w:p>
    <w:p w:rsidR="009D1F69" w:rsidRPr="009D1F69" w:rsidRDefault="009D1F69" w:rsidP="009D1F69">
      <w:pPr>
        <w:autoSpaceDE w:val="0"/>
        <w:autoSpaceDN w:val="0"/>
        <w:adjustRightInd w:val="0"/>
        <w:rPr>
          <w:rFonts w:ascii="Verdana" w:hAnsi="Verdana"/>
          <w:sz w:val="20"/>
        </w:rPr>
      </w:pPr>
    </w:p>
    <w:p w:rsidR="009D1F69" w:rsidRPr="009D1F69" w:rsidRDefault="009D1F69" w:rsidP="009D1F69">
      <w:pPr>
        <w:rPr>
          <w:rFonts w:ascii="Verdana" w:hAnsi="Verdana"/>
          <w:b/>
          <w:sz w:val="20"/>
        </w:rPr>
      </w:pPr>
      <w:r w:rsidRPr="009D1F69">
        <w:rPr>
          <w:rFonts w:ascii="Verdana" w:hAnsi="Verdana"/>
          <w:b/>
          <w:sz w:val="20"/>
        </w:rPr>
        <w:t xml:space="preserve">Over </w:t>
      </w:r>
      <w:r w:rsidRPr="009D1F69">
        <w:rPr>
          <w:rFonts w:ascii="Verdana" w:hAnsi="Verdana"/>
          <w:b/>
          <w:color w:val="B71234"/>
          <w:sz w:val="20"/>
        </w:rPr>
        <w:t>Rood</w:t>
      </w:r>
      <w:r w:rsidRPr="009D1F69">
        <w:rPr>
          <w:rFonts w:ascii="Verdana" w:hAnsi="Verdana"/>
          <w:b/>
          <w:sz w:val="20"/>
        </w:rPr>
        <w:t>Microtec</w:t>
      </w:r>
    </w:p>
    <w:p w:rsidR="009D1F69" w:rsidRPr="009D1F69" w:rsidRDefault="009D1F69" w:rsidP="009D1F69">
      <w:pPr>
        <w:rPr>
          <w:rFonts w:ascii="Verdana" w:hAnsi="Verdana"/>
          <w:sz w:val="20"/>
        </w:rPr>
      </w:pPr>
      <w:r w:rsidRPr="009D1F69">
        <w:rPr>
          <w:rFonts w:ascii="Verdana" w:hAnsi="Verdana"/>
          <w:sz w:val="20"/>
        </w:rPr>
        <w:t xml:space="preserve">Met 40 jaar ervaring als een onafhankelijke value-added dienstverlener op het gebied van micro- en optoelectronica biedt </w:t>
      </w:r>
      <w:r w:rsidRPr="009D1F69">
        <w:rPr>
          <w:rFonts w:ascii="Verdana" w:hAnsi="Verdana"/>
          <w:color w:val="B71234"/>
          <w:sz w:val="20"/>
        </w:rPr>
        <w:t>Rood</w:t>
      </w:r>
      <w:r w:rsidRPr="009D1F69">
        <w:rPr>
          <w:rFonts w:ascii="Verdana" w:hAnsi="Verdana"/>
          <w:sz w:val="20"/>
        </w:rPr>
        <w:t xml:space="preserve">Microtecfabless companies, OEM’s en andere ondernemingen een one-stop shopping propositie. Met haar </w:t>
      </w:r>
      <w:r w:rsidRPr="009D1F69">
        <w:rPr>
          <w:rFonts w:ascii="Verdana" w:hAnsi="Verdana"/>
          <w:i/>
          <w:iCs/>
          <w:sz w:val="20"/>
        </w:rPr>
        <w:t>powerfulsolutions</w:t>
      </w:r>
      <w:r w:rsidRPr="009D1F69">
        <w:rPr>
          <w:rFonts w:ascii="Verdana" w:hAnsi="Verdana"/>
          <w:sz w:val="20"/>
        </w:rPr>
        <w:t xml:space="preserve">heeft </w:t>
      </w:r>
      <w:r w:rsidRPr="009D1F69">
        <w:rPr>
          <w:rFonts w:ascii="Verdana" w:hAnsi="Verdana"/>
          <w:color w:val="B71234"/>
          <w:sz w:val="20"/>
        </w:rPr>
        <w:t>Rood</w:t>
      </w:r>
      <w:r w:rsidRPr="009D1F69">
        <w:rPr>
          <w:rFonts w:ascii="Verdana" w:hAnsi="Verdana"/>
          <w:sz w:val="20"/>
        </w:rPr>
        <w:t>Microtec een sterke positie in Europa opgebouwd.</w:t>
      </w:r>
    </w:p>
    <w:p w:rsidR="009D1F69" w:rsidRPr="009D1F69" w:rsidRDefault="009D1F69" w:rsidP="009D1F69">
      <w:pPr>
        <w:rPr>
          <w:rFonts w:ascii="Verdana" w:hAnsi="Verdana"/>
          <w:sz w:val="20"/>
        </w:rPr>
      </w:pPr>
    </w:p>
    <w:p w:rsidR="009D1F69" w:rsidRPr="009D1F69" w:rsidRDefault="009D1F69" w:rsidP="009D1F69">
      <w:pPr>
        <w:rPr>
          <w:rFonts w:ascii="Verdana" w:hAnsi="Verdana"/>
          <w:sz w:val="20"/>
        </w:rPr>
      </w:pPr>
      <w:r w:rsidRPr="009D1F69">
        <w:rPr>
          <w:rFonts w:ascii="Verdana" w:hAnsi="Verdana"/>
          <w:sz w:val="20"/>
        </w:rPr>
        <w:t>De diensten voldoen aan de industriële en kwaliteitseisen van de high-reliability/ruimtevaart, automobiel-, telecommunicatie-, medische, IT- andelectronicasectoren.</w:t>
      </w:r>
    </w:p>
    <w:p w:rsidR="009D1F69" w:rsidRPr="009D1F69" w:rsidRDefault="009D1F69" w:rsidP="009D1F69">
      <w:pPr>
        <w:rPr>
          <w:rFonts w:ascii="Verdana" w:hAnsi="Verdana"/>
          <w:sz w:val="20"/>
        </w:rPr>
      </w:pPr>
      <w:r w:rsidRPr="009D1F69">
        <w:rPr>
          <w:rFonts w:ascii="Verdana" w:hAnsi="Verdana"/>
          <w:i/>
          <w:iCs/>
          <w:sz w:val="20"/>
        </w:rPr>
        <w:t>Certifiedby</w:t>
      </w:r>
      <w:r w:rsidRPr="009D1F69">
        <w:rPr>
          <w:rFonts w:ascii="Verdana" w:hAnsi="Verdana"/>
          <w:i/>
          <w:iCs/>
          <w:color w:val="B71234"/>
          <w:sz w:val="20"/>
        </w:rPr>
        <w:t>Rood</w:t>
      </w:r>
      <w:r w:rsidRPr="009D1F69">
        <w:rPr>
          <w:rFonts w:ascii="Verdana" w:hAnsi="Verdana"/>
          <w:i/>
          <w:iCs/>
          <w:sz w:val="20"/>
        </w:rPr>
        <w:t>Microtec</w:t>
      </w:r>
      <w:r w:rsidRPr="009D1F69">
        <w:rPr>
          <w:rFonts w:ascii="Verdana" w:hAnsi="Verdana"/>
          <w:sz w:val="20"/>
        </w:rPr>
        <w:t xml:space="preserve"> betreft onder andere certificatie van producten volgens de strenge ISO/TS 16949-norm die geldt voor toeleveranciers van de automobielindustrie. De onderneming beschikt tevens over een geaccrediteerd laboratorium voor testactiviteiten en kalibrering volgens ISO/IEC 17025.</w:t>
      </w:r>
    </w:p>
    <w:p w:rsidR="009D1F69" w:rsidRPr="009D1F69" w:rsidRDefault="009D1F69" w:rsidP="009D1F69">
      <w:pPr>
        <w:rPr>
          <w:rFonts w:ascii="Verdana" w:hAnsi="Verdana"/>
          <w:sz w:val="20"/>
        </w:rPr>
      </w:pPr>
    </w:p>
    <w:p w:rsidR="009D1F69" w:rsidRPr="009D1F69" w:rsidRDefault="009D1F69" w:rsidP="009D1F69">
      <w:pPr>
        <w:rPr>
          <w:rFonts w:ascii="Verdana" w:hAnsi="Verdana"/>
          <w:sz w:val="20"/>
        </w:rPr>
      </w:pPr>
      <w:r w:rsidRPr="009D1F69">
        <w:rPr>
          <w:rFonts w:ascii="Verdana" w:hAnsi="Verdana"/>
          <w:sz w:val="20"/>
        </w:rPr>
        <w:t>The value-added diensten omvatten ondermeer</w:t>
      </w:r>
      <w:r>
        <w:rPr>
          <w:rFonts w:ascii="Verdana" w:hAnsi="Verdana"/>
          <w:sz w:val="20"/>
        </w:rPr>
        <w:t xml:space="preserve"> </w:t>
      </w:r>
      <w:r w:rsidRPr="009D1F69">
        <w:rPr>
          <w:rFonts w:ascii="Verdana" w:hAnsi="Verdana"/>
          <w:sz w:val="20"/>
        </w:rPr>
        <w:t>extende</w:t>
      </w:r>
      <w:r>
        <w:rPr>
          <w:rFonts w:ascii="Verdana" w:hAnsi="Verdana"/>
          <w:sz w:val="20"/>
        </w:rPr>
        <w:t>d</w:t>
      </w:r>
      <w:r w:rsidRPr="009D1F69">
        <w:rPr>
          <w:rFonts w:ascii="Verdana" w:hAnsi="Verdana"/>
          <w:sz w:val="20"/>
        </w:rPr>
        <w:t xml:space="preserve"> supply chain management, failure &amp; technology analysis, qualification &amp; burn-in, test- &amp; product engineering, production test (waaronder device programming en end-of-line service), ESD/ESDFOS assessment &amp; training, quality &amp; reliability consulting, supply chain management en total manufacturing solutions met partners.</w:t>
      </w:r>
    </w:p>
    <w:p w:rsidR="009D1F69" w:rsidRPr="009D1F69" w:rsidRDefault="009D1F69" w:rsidP="009D1F69">
      <w:pPr>
        <w:rPr>
          <w:rFonts w:ascii="Verdana" w:hAnsi="Verdana"/>
          <w:sz w:val="20"/>
        </w:rPr>
      </w:pPr>
    </w:p>
    <w:p w:rsidR="009D1F69" w:rsidRPr="009D1F69" w:rsidRDefault="009D1F69" w:rsidP="009D1F69">
      <w:pPr>
        <w:rPr>
          <w:rFonts w:ascii="Verdana" w:hAnsi="Verdana"/>
          <w:b/>
          <w:sz w:val="20"/>
        </w:rPr>
      </w:pPr>
      <w:r w:rsidRPr="009D1F69">
        <w:rPr>
          <w:rFonts w:ascii="Verdana" w:hAnsi="Verdana"/>
          <w:color w:val="B71234"/>
          <w:sz w:val="20"/>
        </w:rPr>
        <w:t>Rood</w:t>
      </w:r>
      <w:r w:rsidRPr="009D1F69">
        <w:rPr>
          <w:rFonts w:ascii="Verdana" w:hAnsi="Verdana"/>
          <w:sz w:val="20"/>
        </w:rPr>
        <w:t xml:space="preserve">Microtec heeft vestigingen in Duitsland (Dresden, Nördlingen, Stuttgart), Engeland (Bath) en Nederland (Zwolle). </w:t>
      </w:r>
    </w:p>
    <w:p w:rsidR="009D1F69" w:rsidRPr="009D1F69" w:rsidRDefault="009D1F69" w:rsidP="009D1F69"/>
    <w:p w:rsidR="009D1F69" w:rsidRPr="009D1F69" w:rsidRDefault="009D1F69" w:rsidP="009D1F69"/>
    <w:p w:rsidR="009D1F69" w:rsidRPr="009D1F69" w:rsidRDefault="009D1F69" w:rsidP="009D1F69">
      <w:pPr>
        <w:tabs>
          <w:tab w:val="left" w:pos="3969"/>
          <w:tab w:val="left" w:pos="6804"/>
        </w:tabs>
        <w:jc w:val="both"/>
        <w:rPr>
          <w:rFonts w:ascii="Verdana" w:hAnsi="Verdana" w:cs="Arial"/>
          <w:b/>
          <w:bCs/>
          <w:sz w:val="20"/>
        </w:rPr>
      </w:pPr>
      <w:r w:rsidRPr="009D1F69">
        <w:rPr>
          <w:rFonts w:ascii="Verdana" w:hAnsi="Verdana" w:cs="Arial"/>
          <w:b/>
          <w:bCs/>
          <w:sz w:val="20"/>
        </w:rPr>
        <w:t>Voor nadere informatie:</w:t>
      </w:r>
    </w:p>
    <w:p w:rsidR="009D1F69" w:rsidRPr="009D1F69" w:rsidRDefault="009D1F69" w:rsidP="009D1F69">
      <w:pPr>
        <w:tabs>
          <w:tab w:val="left" w:pos="2552"/>
          <w:tab w:val="left" w:pos="3402"/>
          <w:tab w:val="left" w:pos="4962"/>
          <w:tab w:val="left" w:pos="6804"/>
        </w:tabs>
        <w:jc w:val="both"/>
        <w:rPr>
          <w:rFonts w:ascii="Verdana" w:hAnsi="Verdana" w:cs="Arial"/>
          <w:color w:val="000000"/>
          <w:sz w:val="20"/>
        </w:rPr>
      </w:pPr>
      <w:r w:rsidRPr="009D1F69">
        <w:rPr>
          <w:rFonts w:ascii="Verdana" w:hAnsi="Verdana" w:cs="Arial"/>
          <w:color w:val="000000"/>
          <w:sz w:val="20"/>
        </w:rPr>
        <w:t xml:space="preserve">Philip Nijenhuis, CEO </w:t>
      </w:r>
    </w:p>
    <w:p w:rsidR="009D1F69" w:rsidRPr="009D1F69" w:rsidRDefault="009D1F69" w:rsidP="009D1F69">
      <w:pPr>
        <w:tabs>
          <w:tab w:val="left" w:pos="1701"/>
          <w:tab w:val="left" w:pos="3402"/>
          <w:tab w:val="left" w:pos="4962"/>
          <w:tab w:val="left" w:pos="6804"/>
        </w:tabs>
        <w:jc w:val="both"/>
        <w:rPr>
          <w:rFonts w:ascii="Verdana" w:hAnsi="Verdana" w:cs="Arial"/>
          <w:color w:val="000000"/>
          <w:sz w:val="20"/>
        </w:rPr>
      </w:pPr>
      <w:r w:rsidRPr="009D1F69">
        <w:rPr>
          <w:rFonts w:ascii="Verdana" w:hAnsi="Verdana" w:cs="Arial"/>
          <w:color w:val="000000"/>
          <w:sz w:val="20"/>
        </w:rPr>
        <w:t>Telefoon:</w:t>
      </w:r>
      <w:r w:rsidRPr="009D1F69">
        <w:rPr>
          <w:rFonts w:ascii="Verdana" w:hAnsi="Verdana" w:cs="Arial"/>
          <w:color w:val="000000"/>
          <w:sz w:val="20"/>
        </w:rPr>
        <w:tab/>
        <w:t>+31 (0) 38 4215216</w:t>
      </w:r>
    </w:p>
    <w:p w:rsidR="009D1F69" w:rsidRPr="009D1F69" w:rsidRDefault="009D1F69" w:rsidP="009D1F69">
      <w:pPr>
        <w:tabs>
          <w:tab w:val="left" w:pos="1701"/>
          <w:tab w:val="left" w:pos="3969"/>
          <w:tab w:val="left" w:pos="4962"/>
        </w:tabs>
        <w:jc w:val="both"/>
        <w:rPr>
          <w:rFonts w:ascii="Verdana" w:hAnsi="Verdana" w:cs="Arial"/>
          <w:color w:val="000000"/>
          <w:sz w:val="20"/>
        </w:rPr>
      </w:pPr>
      <w:r w:rsidRPr="009D1F69">
        <w:rPr>
          <w:rFonts w:ascii="Verdana" w:hAnsi="Verdana" w:cs="Arial"/>
          <w:color w:val="000000"/>
          <w:sz w:val="20"/>
        </w:rPr>
        <w:t>E-mail:</w:t>
      </w:r>
      <w:r w:rsidRPr="009D1F69">
        <w:rPr>
          <w:rFonts w:ascii="Verdana" w:hAnsi="Verdana" w:cs="Arial"/>
          <w:color w:val="000000"/>
          <w:sz w:val="20"/>
        </w:rPr>
        <w:tab/>
      </w:r>
      <w:hyperlink r:id="rId7" w:history="1">
        <w:r w:rsidRPr="009D1F69">
          <w:rPr>
            <w:rStyle w:val="Hyperlink"/>
            <w:rFonts w:ascii="Verdana" w:hAnsi="Verdana" w:cs="Arial"/>
            <w:sz w:val="20"/>
          </w:rPr>
          <w:t>investor-relations@roodmicrotec.com</w:t>
        </w:r>
      </w:hyperlink>
    </w:p>
    <w:p w:rsidR="009D1F69" w:rsidRPr="009D1F69" w:rsidRDefault="009D1F69" w:rsidP="009D1F69">
      <w:pPr>
        <w:tabs>
          <w:tab w:val="left" w:pos="1701"/>
          <w:tab w:val="left" w:pos="3969"/>
          <w:tab w:val="left" w:pos="4962"/>
        </w:tabs>
        <w:jc w:val="both"/>
      </w:pPr>
      <w:r w:rsidRPr="009D1F69">
        <w:rPr>
          <w:rFonts w:ascii="Verdana" w:hAnsi="Verdana" w:cs="Arial"/>
          <w:color w:val="000000"/>
          <w:sz w:val="20"/>
        </w:rPr>
        <w:t>Website:</w:t>
      </w:r>
      <w:r w:rsidRPr="009D1F69">
        <w:rPr>
          <w:rFonts w:ascii="Verdana" w:hAnsi="Verdana" w:cs="Arial"/>
          <w:color w:val="000000"/>
          <w:sz w:val="20"/>
        </w:rPr>
        <w:tab/>
      </w:r>
      <w:hyperlink r:id="rId8" w:history="1">
        <w:r w:rsidRPr="009D1F69">
          <w:rPr>
            <w:rStyle w:val="Hyperlink"/>
            <w:rFonts w:ascii="Verdana" w:hAnsi="Verdana" w:cs="Arial"/>
            <w:sz w:val="20"/>
          </w:rPr>
          <w:t>www.roodmicrotec.com</w:t>
        </w:r>
      </w:hyperlink>
    </w:p>
    <w:sectPr w:rsidR="009D1F69" w:rsidRPr="009D1F69" w:rsidSect="00C9486C">
      <w:headerReference w:type="default" r:id="rId9"/>
      <w:footerReference w:type="default" r:id="rId10"/>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1DD" w:rsidRDefault="007B01DD" w:rsidP="00C9486C">
      <w:r>
        <w:separator/>
      </w:r>
    </w:p>
  </w:endnote>
  <w:endnote w:type="continuationSeparator" w:id="1">
    <w:p w:rsidR="007B01DD" w:rsidRDefault="007B01DD" w:rsidP="00C948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6C" w:rsidRPr="00537E53" w:rsidRDefault="00C9486C" w:rsidP="00C9486C">
    <w:pPr>
      <w:pStyle w:val="Fuzeile"/>
      <w:pBdr>
        <w:top w:val="single" w:sz="12" w:space="0" w:color="B71234"/>
      </w:pBdr>
      <w:tabs>
        <w:tab w:val="clear" w:pos="9072"/>
        <w:tab w:val="right" w:pos="9639"/>
      </w:tabs>
      <w:rPr>
        <w:rStyle w:val="Seitenzahl"/>
        <w:rFonts w:ascii="Verdana" w:hAnsi="Verdana"/>
        <w:sz w:val="18"/>
        <w:szCs w:val="18"/>
      </w:rPr>
    </w:pPr>
  </w:p>
  <w:p w:rsidR="00C9486C" w:rsidRPr="00C9486C" w:rsidRDefault="00EB4B4C" w:rsidP="00C9486C">
    <w:pPr>
      <w:pStyle w:val="Fuzeile1"/>
      <w:tabs>
        <w:tab w:val="clear" w:pos="9072"/>
        <w:tab w:val="right" w:pos="9498"/>
      </w:tabs>
      <w:rPr>
        <w:sz w:val="18"/>
        <w:szCs w:val="18"/>
      </w:rPr>
    </w:pPr>
    <w:r w:rsidRPr="00537E53">
      <w:rPr>
        <w:rStyle w:val="Seitenzahl"/>
        <w:sz w:val="18"/>
        <w:szCs w:val="18"/>
      </w:rPr>
      <w:fldChar w:fldCharType="begin"/>
    </w:r>
    <w:r w:rsidR="00C9486C" w:rsidRPr="00537E53">
      <w:rPr>
        <w:rStyle w:val="Seitenzahl"/>
        <w:sz w:val="18"/>
        <w:szCs w:val="18"/>
      </w:rPr>
      <w:instrText xml:space="preserve"> PAGE </w:instrText>
    </w:r>
    <w:r w:rsidRPr="00537E53">
      <w:rPr>
        <w:rStyle w:val="Seitenzahl"/>
        <w:sz w:val="18"/>
        <w:szCs w:val="18"/>
      </w:rPr>
      <w:fldChar w:fldCharType="separate"/>
    </w:r>
    <w:r w:rsidR="0040500E">
      <w:rPr>
        <w:rStyle w:val="Seitenzahl"/>
        <w:noProof/>
        <w:sz w:val="18"/>
        <w:szCs w:val="18"/>
      </w:rPr>
      <w:t>4</w:t>
    </w:r>
    <w:r w:rsidRPr="00537E53">
      <w:rPr>
        <w:rStyle w:val="Seitenzahl"/>
        <w:sz w:val="18"/>
        <w:szCs w:val="18"/>
      </w:rPr>
      <w:fldChar w:fldCharType="end"/>
    </w:r>
    <w:r w:rsidR="00C9486C" w:rsidRPr="00537E53">
      <w:rPr>
        <w:rStyle w:val="Seitenzahl"/>
        <w:sz w:val="18"/>
        <w:szCs w:val="18"/>
      </w:rPr>
      <w:t xml:space="preserve"> </w:t>
    </w:r>
    <w:r w:rsidR="00C9486C" w:rsidRPr="00537E53">
      <w:rPr>
        <w:rStyle w:val="Seitenzahl"/>
        <w:sz w:val="18"/>
        <w:szCs w:val="18"/>
      </w:rPr>
      <w:t xml:space="preserve">/ </w:t>
    </w:r>
    <w:r w:rsidRPr="00537E53">
      <w:rPr>
        <w:rStyle w:val="Seitenzahl"/>
        <w:sz w:val="18"/>
        <w:szCs w:val="18"/>
      </w:rPr>
      <w:fldChar w:fldCharType="begin"/>
    </w:r>
    <w:r w:rsidR="00C9486C" w:rsidRPr="00537E53">
      <w:rPr>
        <w:rStyle w:val="Seitenzahl"/>
        <w:sz w:val="18"/>
        <w:szCs w:val="18"/>
      </w:rPr>
      <w:instrText xml:space="preserve"> NUMPAGES </w:instrText>
    </w:r>
    <w:r w:rsidRPr="00537E53">
      <w:rPr>
        <w:rStyle w:val="Seitenzahl"/>
        <w:sz w:val="18"/>
        <w:szCs w:val="18"/>
      </w:rPr>
      <w:fldChar w:fldCharType="separate"/>
    </w:r>
    <w:r w:rsidR="0040500E">
      <w:rPr>
        <w:rStyle w:val="Seitenzahl"/>
        <w:noProof/>
        <w:sz w:val="18"/>
        <w:szCs w:val="18"/>
      </w:rPr>
      <w:t>4</w:t>
    </w:r>
    <w:r w:rsidRPr="00537E53">
      <w:rPr>
        <w:rStyle w:val="Seitenzahl"/>
        <w:sz w:val="18"/>
        <w:szCs w:val="18"/>
      </w:rPr>
      <w:fldChar w:fldCharType="end"/>
    </w:r>
    <w:r w:rsidR="00C9486C" w:rsidRPr="00C85AD9">
      <w:rPr>
        <w:rStyle w:val="Seitenzahl"/>
        <w:sz w:val="18"/>
        <w:szCs w:val="18"/>
      </w:rPr>
      <w:tab/>
    </w:r>
    <w:r w:rsidR="009D1F69">
      <w:rPr>
        <w:bCs/>
        <w:noProof/>
        <w:sz w:val="18"/>
        <w:szCs w:val="18"/>
      </w:rPr>
      <w:t>Voorlopige omzet 2012</w:t>
    </w:r>
    <w:r w:rsidR="00C9486C" w:rsidRPr="00C85AD9">
      <w:rPr>
        <w:rStyle w:val="Seitenzahl"/>
        <w:sz w:val="18"/>
        <w:szCs w:val="18"/>
      </w:rPr>
      <w:tab/>
    </w:r>
    <w:r w:rsidR="00C9486C" w:rsidRPr="00C85AD9">
      <w:rPr>
        <w:color w:val="B71234"/>
        <w:sz w:val="18"/>
        <w:szCs w:val="18"/>
      </w:rPr>
      <w:t>… certified by Rood</w:t>
    </w:r>
    <w:r w:rsidR="00C9486C">
      <w:rPr>
        <w:sz w:val="18"/>
        <w:szCs w:val="18"/>
      </w:rPr>
      <w:t>Microtec.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1DD" w:rsidRDefault="007B01DD" w:rsidP="00C9486C">
      <w:r>
        <w:separator/>
      </w:r>
    </w:p>
  </w:footnote>
  <w:footnote w:type="continuationSeparator" w:id="1">
    <w:p w:rsidR="007B01DD" w:rsidRDefault="007B01DD"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86C" w:rsidRPr="007272B9" w:rsidRDefault="00C9486C" w:rsidP="00C9486C">
    <w:pPr>
      <w:pStyle w:val="Kopfzeile"/>
      <w:tabs>
        <w:tab w:val="clear" w:pos="9072"/>
        <w:tab w:val="right" w:pos="9639"/>
      </w:tabs>
      <w:rPr>
        <w:rFonts w:ascii="Verdana" w:hAnsi="Verdana"/>
      </w:rPr>
    </w:pPr>
  </w:p>
  <w:p w:rsidR="00C9486C" w:rsidRPr="007272B9" w:rsidRDefault="00C9486C" w:rsidP="00C9486C">
    <w:pPr>
      <w:pStyle w:val="Kopfzeile"/>
      <w:tabs>
        <w:tab w:val="clear" w:pos="9072"/>
        <w:tab w:val="right" w:pos="9639"/>
      </w:tabs>
      <w:rPr>
        <w:rFonts w:ascii="Verdana" w:hAnsi="Verdana"/>
      </w:rPr>
    </w:pPr>
  </w:p>
  <w:p w:rsidR="00C9486C" w:rsidRPr="007272B9" w:rsidRDefault="00C9486C" w:rsidP="00C9486C">
    <w:pPr>
      <w:pStyle w:val="Kopfzeile"/>
      <w:tabs>
        <w:tab w:val="clear" w:pos="9072"/>
        <w:tab w:val="right" w:pos="9639"/>
      </w:tabs>
      <w:rPr>
        <w:rFonts w:ascii="Verdana" w:hAnsi="Verdana"/>
      </w:rPr>
    </w:pPr>
  </w:p>
  <w:p w:rsidR="00C9486C" w:rsidRPr="007272B9" w:rsidRDefault="00C9486C" w:rsidP="00C9486C">
    <w:pPr>
      <w:pStyle w:val="Kopfzeile"/>
      <w:tabs>
        <w:tab w:val="clear" w:pos="9072"/>
        <w:tab w:val="right" w:pos="9639"/>
      </w:tabs>
      <w:rPr>
        <w:rFonts w:ascii="Verdana" w:hAnsi="Verdana"/>
      </w:rPr>
    </w:pPr>
    <w:r>
      <w:rPr>
        <w:rFonts w:ascii="Verdana" w:hAnsi="Verdana"/>
        <w:noProof/>
        <w:lang w:eastAsia="de-DE"/>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C9486C" w:rsidRPr="007272B9" w:rsidRDefault="00C9486C" w:rsidP="00C9486C">
    <w:pPr>
      <w:pStyle w:val="Kopfzeile"/>
      <w:tabs>
        <w:tab w:val="clear" w:pos="9072"/>
        <w:tab w:val="right" w:pos="9639"/>
      </w:tabs>
      <w:rPr>
        <w:rFonts w:ascii="Verdana" w:hAnsi="Verdana"/>
      </w:rPr>
    </w:pPr>
  </w:p>
  <w:p w:rsidR="00C9486C" w:rsidRPr="007272B9" w:rsidRDefault="00C9486C" w:rsidP="00C9486C">
    <w:pPr>
      <w:pStyle w:val="Kopfzeile"/>
      <w:tabs>
        <w:tab w:val="clear" w:pos="9072"/>
        <w:tab w:val="right" w:pos="9639"/>
      </w:tabs>
      <w:rPr>
        <w:rFonts w:ascii="Verdana" w:hAnsi="Verdana"/>
      </w:rPr>
    </w:pPr>
  </w:p>
  <w:p w:rsidR="00C9486C" w:rsidRPr="007272B9" w:rsidRDefault="00C9486C" w:rsidP="00C9486C">
    <w:pPr>
      <w:pStyle w:val="Kopfzeile"/>
      <w:pBdr>
        <w:top w:val="single" w:sz="12" w:space="1" w:color="B71234"/>
      </w:pBdr>
      <w:tabs>
        <w:tab w:val="clear" w:pos="9072"/>
        <w:tab w:val="right" w:pos="9639"/>
      </w:tabs>
      <w:rPr>
        <w:rFonts w:ascii="Verdana" w:hAnsi="Verdana"/>
      </w:rPr>
    </w:pPr>
  </w:p>
  <w:p w:rsidR="00C9486C" w:rsidRPr="007272B9" w:rsidRDefault="00C9486C" w:rsidP="00C9486C">
    <w:pPr>
      <w:rPr>
        <w:rFonts w:ascii="Verdana" w:hAnsi="Verdana"/>
        <w:szCs w:val="22"/>
      </w:rPr>
    </w:pPr>
  </w:p>
  <w:p w:rsidR="00C9486C" w:rsidRDefault="00C9486C">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attachedTemplate r:id="rId1"/>
  <w:defaultTabStop w:val="708"/>
  <w:hyphenationZone w:val="425"/>
  <w:characterSpacingControl w:val="doNotCompress"/>
  <w:savePreviewPicture/>
  <w:hdrShapeDefaults>
    <o:shapedefaults v:ext="edit" spidmax="11265"/>
  </w:hdrShapeDefaults>
  <w:footnotePr>
    <w:footnote w:id="0"/>
    <w:footnote w:id="1"/>
  </w:footnotePr>
  <w:endnotePr>
    <w:endnote w:id="0"/>
    <w:endnote w:id="1"/>
  </w:endnotePr>
  <w:compat/>
  <w:rsids>
    <w:rsidRoot w:val="00C333A8"/>
    <w:rsid w:val="000808CF"/>
    <w:rsid w:val="0014103A"/>
    <w:rsid w:val="00195EC0"/>
    <w:rsid w:val="001E3224"/>
    <w:rsid w:val="00401E02"/>
    <w:rsid w:val="0040500E"/>
    <w:rsid w:val="004E26E1"/>
    <w:rsid w:val="00673683"/>
    <w:rsid w:val="007B01DD"/>
    <w:rsid w:val="009A01FA"/>
    <w:rsid w:val="009D1F69"/>
    <w:rsid w:val="00A43BBC"/>
    <w:rsid w:val="00AA2847"/>
    <w:rsid w:val="00AE3DA6"/>
    <w:rsid w:val="00B81B27"/>
    <w:rsid w:val="00BE63BF"/>
    <w:rsid w:val="00C21D46"/>
    <w:rsid w:val="00C333A8"/>
    <w:rsid w:val="00C9486C"/>
    <w:rsid w:val="00EB4B4C"/>
    <w:rsid w:val="00FC1BD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rsid w:val="0014103A"/>
    <w:rPr>
      <w:color w:val="0000FF"/>
      <w:u w:val="single"/>
    </w:rPr>
  </w:style>
  <w:style w:type="paragraph" w:customStyle="1" w:styleId="ecxmsonormal">
    <w:name w:val="ecxmsonormal"/>
    <w:basedOn w:val="Standard"/>
    <w:rsid w:val="009D1F69"/>
    <w:pPr>
      <w:spacing w:after="324"/>
    </w:pPr>
    <w:rPr>
      <w:sz w:val="24"/>
      <w:szCs w:val="24"/>
      <w:lang w:val="de-DE"/>
    </w:rPr>
  </w:style>
  <w:style w:type="table" w:styleId="Tabellengitternetz">
    <w:name w:val="Table Grid"/>
    <w:basedOn w:val="NormaleTabelle"/>
    <w:rsid w:val="009D1F69"/>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oodmicrotec.com" TargetMode="External"/><Relationship Id="rId3" Type="http://schemas.openxmlformats.org/officeDocument/2006/relationships/settings" Target="settings.xml"/><Relationship Id="rId7" Type="http://schemas.openxmlformats.org/officeDocument/2006/relationships/hyperlink" Target="mailto:investor-relations@roodmicrotec.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RM-NV\PRESSE\Vorlagen\2013_PR-Vorlage%20NL.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B2DF0-D60D-47DF-BA3E-9CCB755C9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2013_PR-Vorlage NL.dotm</Template>
  <TotalTime>0</TotalTime>
  <Pages>4</Pages>
  <Words>1024</Words>
  <Characters>6457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RoodMicrotec</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dc:creator>
  <cp:lastModifiedBy>bayerle@BAYERLE-PC</cp:lastModifiedBy>
  <cp:revision>3</cp:revision>
  <cp:lastPrinted>2013-01-10T06:12:00Z</cp:lastPrinted>
  <dcterms:created xsi:type="dcterms:W3CDTF">2013-01-10T06:12:00Z</dcterms:created>
  <dcterms:modified xsi:type="dcterms:W3CDTF">2013-01-10T06:12:00Z</dcterms:modified>
</cp:coreProperties>
</file>