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1644F0" w:rsidRDefault="0073499F" w:rsidP="00C9486C">
      <w:pPr>
        <w:pStyle w:val="berschrift1"/>
        <w:rPr>
          <w:rFonts w:ascii="Verdana" w:hAnsi="Verdana" w:cs="Arial"/>
          <w:color w:val="B71234"/>
          <w:sz w:val="28"/>
          <w:szCs w:val="28"/>
        </w:rPr>
      </w:pPr>
      <w:r>
        <w:rPr>
          <w:rFonts w:ascii="Verdana" w:hAnsi="Verdana"/>
          <w:color w:val="B71234"/>
          <w:sz w:val="28"/>
        </w:rPr>
        <w:t>PERSBERICHT</w:t>
      </w:r>
    </w:p>
    <w:p w:rsidR="00C9486C" w:rsidRPr="001644F0" w:rsidRDefault="00C9486C" w:rsidP="00C9486C">
      <w:pPr>
        <w:rPr>
          <w:rFonts w:ascii="Verdana" w:hAnsi="Verdana" w:cs="Arial"/>
          <w:sz w:val="20"/>
        </w:rPr>
      </w:pPr>
    </w:p>
    <w:p w:rsidR="00C9486C" w:rsidRPr="001644F0" w:rsidRDefault="00C9486C" w:rsidP="00C9486C">
      <w:pPr>
        <w:rPr>
          <w:rFonts w:ascii="Verdana" w:hAnsi="Verdana" w:cs="Arial"/>
          <w:sz w:val="20"/>
        </w:rPr>
      </w:pPr>
    </w:p>
    <w:p w:rsidR="00C9486C" w:rsidRPr="001644F0" w:rsidRDefault="00C9486C" w:rsidP="00C9486C">
      <w:pPr>
        <w:rPr>
          <w:rFonts w:ascii="Verdana" w:hAnsi="Verdana" w:cs="Arial"/>
          <w:sz w:val="20"/>
        </w:rPr>
      </w:pPr>
    </w:p>
    <w:p w:rsidR="00C9486C" w:rsidRPr="001644F0" w:rsidRDefault="00C9486C" w:rsidP="00C9486C">
      <w:pPr>
        <w:rPr>
          <w:rFonts w:ascii="Verdana" w:hAnsi="Verdana" w:cs="Arial"/>
          <w:sz w:val="20"/>
        </w:rPr>
      </w:pPr>
    </w:p>
    <w:p w:rsidR="00C9486C" w:rsidRPr="001644F0" w:rsidRDefault="00C9486C" w:rsidP="00C9486C">
      <w:pPr>
        <w:rPr>
          <w:rFonts w:ascii="Verdana" w:hAnsi="Verdana" w:cs="Arial"/>
          <w:sz w:val="20"/>
        </w:rPr>
      </w:pPr>
    </w:p>
    <w:p w:rsidR="00826D34" w:rsidRDefault="00826D34" w:rsidP="00826D34">
      <w:pPr>
        <w:rPr>
          <w:rFonts w:ascii="Verdana" w:hAnsi="Verdana"/>
          <w:b/>
          <w:color w:val="B71234"/>
          <w:sz w:val="28"/>
          <w:szCs w:val="28"/>
        </w:rPr>
      </w:pPr>
      <w:r>
        <w:rPr>
          <w:rFonts w:ascii="Verdana" w:hAnsi="Verdana"/>
          <w:b/>
          <w:color w:val="B71234"/>
          <w:sz w:val="28"/>
          <w:szCs w:val="28"/>
        </w:rPr>
        <w:t>RoodMicrotec: 9% omzetgroei in tweede helft 2014</w:t>
      </w:r>
    </w:p>
    <w:p w:rsidR="000802DD" w:rsidRDefault="000802DD" w:rsidP="00826D34">
      <w:pPr>
        <w:spacing w:line="276" w:lineRule="auto"/>
      </w:pPr>
    </w:p>
    <w:p w:rsidR="002159B4" w:rsidRDefault="002159B4" w:rsidP="00826D34">
      <w:pPr>
        <w:spacing w:line="276" w:lineRule="auto"/>
      </w:pPr>
    </w:p>
    <w:p w:rsidR="00E63498" w:rsidRDefault="00E63498" w:rsidP="00826D34">
      <w:pPr>
        <w:spacing w:line="276" w:lineRule="auto"/>
        <w:rPr>
          <w:rFonts w:ascii="Verdana" w:hAnsi="Verdana" w:cs="Arial"/>
          <w:b/>
          <w:sz w:val="20"/>
        </w:rPr>
      </w:pPr>
      <w:r>
        <w:rPr>
          <w:rFonts w:ascii="Verdana" w:hAnsi="Verdana"/>
          <w:b/>
          <w:sz w:val="20"/>
        </w:rPr>
        <w:t xml:space="preserve">Zwolle, </w:t>
      </w:r>
      <w:r w:rsidR="004B30A9">
        <w:rPr>
          <w:rFonts w:ascii="Verdana" w:hAnsi="Verdana"/>
          <w:b/>
          <w:sz w:val="20"/>
        </w:rPr>
        <w:t>08 januari 2015</w:t>
      </w:r>
    </w:p>
    <w:p w:rsidR="00826D34" w:rsidRDefault="00826D34" w:rsidP="00826D34">
      <w:pPr>
        <w:spacing w:line="276" w:lineRule="auto"/>
      </w:pPr>
    </w:p>
    <w:p w:rsidR="002159B4" w:rsidRPr="004B30A9" w:rsidRDefault="002159B4" w:rsidP="00826D34">
      <w:pPr>
        <w:spacing w:line="276" w:lineRule="auto"/>
      </w:pPr>
    </w:p>
    <w:p w:rsidR="00826D34" w:rsidRPr="00826D34" w:rsidRDefault="00826D34" w:rsidP="00826D34">
      <w:pPr>
        <w:spacing w:line="276" w:lineRule="auto"/>
        <w:rPr>
          <w:rFonts w:ascii="Verdana" w:hAnsi="Verdana"/>
          <w:b/>
          <w:sz w:val="20"/>
        </w:rPr>
      </w:pPr>
      <w:r w:rsidRPr="00826D34">
        <w:rPr>
          <w:rFonts w:ascii="Verdana" w:hAnsi="Verdana"/>
          <w:b/>
          <w:sz w:val="20"/>
        </w:rPr>
        <w:t>Voorlopige omzet 2014</w:t>
      </w:r>
    </w:p>
    <w:p w:rsidR="00826D34" w:rsidRPr="00826D34" w:rsidRDefault="00826D34" w:rsidP="00826D34">
      <w:pPr>
        <w:spacing w:line="276" w:lineRule="auto"/>
        <w:rPr>
          <w:rFonts w:ascii="Verdana" w:hAnsi="Verdana"/>
          <w:color w:val="000000"/>
          <w:sz w:val="20"/>
        </w:rPr>
      </w:pPr>
      <w:r w:rsidRPr="00826D34">
        <w:rPr>
          <w:rFonts w:ascii="Verdana" w:hAnsi="Verdana"/>
          <w:color w:val="000000"/>
          <w:sz w:val="20"/>
        </w:rPr>
        <w:t>De voorlopige jaaromzet 2014 van RoodMicrotec N.V. bedraagt EUR 9,972 miljoen (2013: EUR 11,179 miljoen), een afname van 11% ten opzichte van 2013</w:t>
      </w:r>
      <w:r w:rsidRPr="00826D34">
        <w:rPr>
          <w:rFonts w:ascii="Verdana" w:hAnsi="Verdana" w:cs="Verdana"/>
          <w:sz w:val="20"/>
        </w:rPr>
        <w:t xml:space="preserve">. </w:t>
      </w:r>
    </w:p>
    <w:p w:rsidR="00826D34" w:rsidRPr="00826D34" w:rsidRDefault="00826D34" w:rsidP="00826D34">
      <w:pPr>
        <w:spacing w:line="276" w:lineRule="auto"/>
        <w:rPr>
          <w:rFonts w:ascii="Verdana" w:hAnsi="Verdana"/>
          <w:color w:val="000000"/>
          <w:sz w:val="20"/>
        </w:rPr>
      </w:pPr>
    </w:p>
    <w:p w:rsidR="00826D34" w:rsidRPr="00826D34" w:rsidRDefault="00826D34" w:rsidP="00826D34">
      <w:pPr>
        <w:spacing w:line="276" w:lineRule="auto"/>
        <w:rPr>
          <w:rFonts w:ascii="Verdana" w:hAnsi="Verdana" w:cs="Verdana"/>
          <w:sz w:val="20"/>
        </w:rPr>
      </w:pPr>
      <w:r w:rsidRPr="00826D34">
        <w:rPr>
          <w:rFonts w:ascii="Verdana" w:hAnsi="Verdana"/>
          <w:color w:val="000000"/>
          <w:sz w:val="20"/>
        </w:rPr>
        <w:t>In de tweede helft van 2014 realiseerden wij een omzet van EUR 5,202 miljoen. Dit is een toename van 9% ten opzichte van de omzet over de eerste helft van 2014 (EUR 4,770 miljoen)</w:t>
      </w:r>
      <w:r w:rsidRPr="00826D34">
        <w:rPr>
          <w:rFonts w:ascii="Verdana" w:hAnsi="Verdana" w:cs="Verdana"/>
          <w:sz w:val="20"/>
        </w:rPr>
        <w:t xml:space="preserve">. </w:t>
      </w:r>
    </w:p>
    <w:p w:rsidR="00826D34" w:rsidRDefault="00826D34" w:rsidP="00826D34">
      <w:pPr>
        <w:spacing w:line="276" w:lineRule="auto"/>
        <w:rPr>
          <w:rFonts w:ascii="Verdana" w:hAnsi="Verdana" w:cs="Verdana"/>
          <w:sz w:val="20"/>
        </w:rPr>
      </w:pPr>
    </w:p>
    <w:p w:rsidR="002159B4" w:rsidRPr="00826D34" w:rsidRDefault="002159B4" w:rsidP="00826D34">
      <w:pPr>
        <w:spacing w:line="276" w:lineRule="auto"/>
        <w:rPr>
          <w:rFonts w:ascii="Verdana" w:hAnsi="Verdana" w:cs="Verdana"/>
          <w:sz w:val="20"/>
        </w:rPr>
      </w:pPr>
    </w:p>
    <w:p w:rsidR="00826D34" w:rsidRPr="00826D34" w:rsidRDefault="00826D34" w:rsidP="00826D34">
      <w:pPr>
        <w:spacing w:line="276" w:lineRule="auto"/>
        <w:rPr>
          <w:rFonts w:ascii="Verdana" w:hAnsi="Verdana" w:cs="Verdana"/>
          <w:sz w:val="20"/>
        </w:rPr>
      </w:pPr>
      <w:r w:rsidRPr="00826D34">
        <w:rPr>
          <w:rFonts w:ascii="Verdana" w:hAnsi="Verdana"/>
          <w:b/>
          <w:color w:val="000000"/>
          <w:sz w:val="20"/>
        </w:rPr>
        <w:t>Business Units</w:t>
      </w:r>
    </w:p>
    <w:p w:rsidR="00826D34" w:rsidRPr="00826D34" w:rsidRDefault="00826D34" w:rsidP="00826D34">
      <w:pPr>
        <w:spacing w:line="276" w:lineRule="auto"/>
        <w:rPr>
          <w:rFonts w:ascii="Verdana" w:hAnsi="Verdana"/>
          <w:b/>
          <w:color w:val="000000"/>
          <w:sz w:val="20"/>
        </w:rPr>
      </w:pPr>
      <w:r w:rsidRPr="00826D34">
        <w:rPr>
          <w:rFonts w:ascii="Verdana" w:hAnsi="Verdana"/>
          <w:b/>
          <w:color w:val="000000"/>
          <w:sz w:val="20"/>
        </w:rPr>
        <w:t>Voorlopig omzet op halfjaarbasis:</w:t>
      </w:r>
    </w:p>
    <w:p w:rsidR="00826D34" w:rsidRPr="00826D34" w:rsidRDefault="00826D34" w:rsidP="00826D34">
      <w:pPr>
        <w:spacing w:line="276" w:lineRule="auto"/>
        <w:rPr>
          <w:rFonts w:ascii="Verdana" w:hAnsi="Verdana"/>
          <w:color w:val="000000"/>
          <w:sz w:val="20"/>
        </w:rPr>
      </w:pPr>
    </w:p>
    <w:tbl>
      <w:tblPr>
        <w:tblW w:w="10353" w:type="dxa"/>
        <w:tblCellMar>
          <w:right w:w="113" w:type="dxa"/>
        </w:tblCellMar>
        <w:tblLook w:val="04A0"/>
      </w:tblPr>
      <w:tblGrid>
        <w:gridCol w:w="3652"/>
        <w:gridCol w:w="142"/>
        <w:gridCol w:w="1559"/>
        <w:gridCol w:w="851"/>
        <w:gridCol w:w="1842"/>
        <w:gridCol w:w="533"/>
        <w:gridCol w:w="1452"/>
        <w:gridCol w:w="322"/>
      </w:tblGrid>
      <w:tr w:rsidR="00826D34" w:rsidRPr="00826D34" w:rsidTr="00557EFE">
        <w:trPr>
          <w:trHeight w:val="284"/>
        </w:trPr>
        <w:tc>
          <w:tcPr>
            <w:tcW w:w="3794" w:type="dxa"/>
            <w:gridSpan w:val="2"/>
          </w:tcPr>
          <w:p w:rsidR="00826D34" w:rsidRPr="00826D34" w:rsidRDefault="00826D34" w:rsidP="00557EFE">
            <w:pPr>
              <w:rPr>
                <w:rFonts w:ascii="Verdana" w:hAnsi="Verdana"/>
                <w:sz w:val="20"/>
              </w:rPr>
            </w:pPr>
            <w:r w:rsidRPr="00826D34">
              <w:rPr>
                <w:rFonts w:ascii="Verdana" w:hAnsi="Verdana"/>
                <w:sz w:val="20"/>
              </w:rPr>
              <w:t>(x EUR 1.000)</w:t>
            </w:r>
          </w:p>
        </w:tc>
        <w:tc>
          <w:tcPr>
            <w:tcW w:w="2410" w:type="dxa"/>
            <w:gridSpan w:val="2"/>
          </w:tcPr>
          <w:p w:rsidR="00826D34" w:rsidRPr="00826D34" w:rsidRDefault="00826D34" w:rsidP="00557EFE">
            <w:pPr>
              <w:rPr>
                <w:rFonts w:ascii="Verdana" w:hAnsi="Verdana"/>
                <w:sz w:val="20"/>
              </w:rPr>
            </w:pPr>
            <w:r w:rsidRPr="00826D34">
              <w:rPr>
                <w:rFonts w:ascii="Verdana" w:hAnsi="Verdana"/>
                <w:b/>
                <w:sz w:val="20"/>
              </w:rPr>
              <w:t>2e halfjaar</w:t>
            </w:r>
            <w:r w:rsidRPr="00826D34">
              <w:rPr>
                <w:rFonts w:ascii="Verdana" w:hAnsi="Verdana"/>
                <w:b/>
                <w:bCs/>
                <w:sz w:val="20"/>
              </w:rPr>
              <w:t xml:space="preserve"> 2014</w:t>
            </w:r>
          </w:p>
        </w:tc>
        <w:tc>
          <w:tcPr>
            <w:tcW w:w="2375" w:type="dxa"/>
            <w:gridSpan w:val="2"/>
          </w:tcPr>
          <w:p w:rsidR="00826D34" w:rsidRPr="00826D34" w:rsidRDefault="00826D34" w:rsidP="00557EFE">
            <w:pPr>
              <w:rPr>
                <w:rFonts w:ascii="Verdana" w:hAnsi="Verdana"/>
                <w:sz w:val="20"/>
              </w:rPr>
            </w:pPr>
            <w:r w:rsidRPr="00826D34">
              <w:rPr>
                <w:rFonts w:ascii="Verdana" w:hAnsi="Verdana"/>
                <w:b/>
                <w:bCs/>
                <w:sz w:val="20"/>
              </w:rPr>
              <w:t>1</w:t>
            </w:r>
            <w:r w:rsidRPr="00826D34">
              <w:rPr>
                <w:rFonts w:ascii="Verdana" w:hAnsi="Verdana"/>
                <w:b/>
                <w:bCs/>
                <w:sz w:val="20"/>
                <w:vertAlign w:val="superscript"/>
              </w:rPr>
              <w:t>e</w:t>
            </w:r>
            <w:r w:rsidRPr="00826D34">
              <w:rPr>
                <w:rFonts w:ascii="Verdana" w:hAnsi="Verdana"/>
                <w:b/>
                <w:bCs/>
                <w:sz w:val="20"/>
              </w:rPr>
              <w:t xml:space="preserve"> halfjaar 2014*</w:t>
            </w:r>
          </w:p>
        </w:tc>
        <w:tc>
          <w:tcPr>
            <w:tcW w:w="1774" w:type="dxa"/>
            <w:gridSpan w:val="2"/>
          </w:tcPr>
          <w:p w:rsidR="00826D34" w:rsidRPr="00826D34" w:rsidRDefault="00826D34" w:rsidP="00557EFE">
            <w:pPr>
              <w:rPr>
                <w:rFonts w:ascii="Verdana" w:hAnsi="Verdana"/>
                <w:sz w:val="20"/>
              </w:rPr>
            </w:pPr>
            <w:r w:rsidRPr="00826D34">
              <w:rPr>
                <w:rFonts w:ascii="Verdana" w:hAnsi="Verdana"/>
                <w:b/>
                <w:bCs/>
                <w:sz w:val="20"/>
              </w:rPr>
              <w:t xml:space="preserve">  Mutatie ca.</w:t>
            </w:r>
          </w:p>
        </w:tc>
      </w:tr>
      <w:tr w:rsidR="00826D34" w:rsidRPr="00826D34" w:rsidTr="00557EFE">
        <w:trPr>
          <w:gridAfter w:val="1"/>
          <w:wAfter w:w="322" w:type="dxa"/>
          <w:trHeight w:val="284"/>
        </w:trPr>
        <w:tc>
          <w:tcPr>
            <w:tcW w:w="3652" w:type="dxa"/>
          </w:tcPr>
          <w:p w:rsidR="00826D34" w:rsidRPr="00826D34" w:rsidRDefault="00826D34" w:rsidP="00557EFE">
            <w:pPr>
              <w:rPr>
                <w:rFonts w:ascii="Verdana" w:hAnsi="Verdana"/>
                <w:sz w:val="20"/>
              </w:rPr>
            </w:pPr>
            <w:r w:rsidRPr="00826D34">
              <w:rPr>
                <w:rFonts w:ascii="Verdana" w:hAnsi="Verdana"/>
                <w:sz w:val="20"/>
              </w:rPr>
              <w:t>Test</w:t>
            </w:r>
          </w:p>
        </w:tc>
        <w:tc>
          <w:tcPr>
            <w:tcW w:w="1701" w:type="dxa"/>
            <w:gridSpan w:val="2"/>
          </w:tcPr>
          <w:p w:rsidR="00826D34" w:rsidRPr="00826D34" w:rsidRDefault="00826D34" w:rsidP="00557EFE">
            <w:pPr>
              <w:tabs>
                <w:tab w:val="right" w:pos="1588"/>
              </w:tabs>
              <w:jc w:val="right"/>
              <w:rPr>
                <w:rFonts w:ascii="Verdana" w:hAnsi="Verdana"/>
                <w:sz w:val="20"/>
              </w:rPr>
            </w:pPr>
            <w:r w:rsidRPr="00826D34">
              <w:rPr>
                <w:rFonts w:ascii="Verdana" w:hAnsi="Verdana"/>
                <w:sz w:val="20"/>
                <w:lang w:val="en-US"/>
              </w:rPr>
              <w:t>1.796</w:t>
            </w:r>
          </w:p>
        </w:tc>
        <w:tc>
          <w:tcPr>
            <w:tcW w:w="2693" w:type="dxa"/>
            <w:gridSpan w:val="2"/>
          </w:tcPr>
          <w:p w:rsidR="00826D34" w:rsidRPr="00826D34" w:rsidRDefault="00826D34" w:rsidP="00557EFE">
            <w:pPr>
              <w:tabs>
                <w:tab w:val="right" w:pos="1572"/>
              </w:tabs>
              <w:jc w:val="right"/>
              <w:rPr>
                <w:rFonts w:ascii="Verdana" w:hAnsi="Verdana"/>
                <w:sz w:val="20"/>
              </w:rPr>
            </w:pPr>
            <w:r w:rsidRPr="00826D34">
              <w:rPr>
                <w:rFonts w:ascii="Verdana" w:hAnsi="Verdana"/>
                <w:sz w:val="20"/>
                <w:lang w:val="en-US"/>
              </w:rPr>
              <w:t>1.708</w:t>
            </w:r>
          </w:p>
        </w:tc>
        <w:tc>
          <w:tcPr>
            <w:tcW w:w="1985" w:type="dxa"/>
            <w:gridSpan w:val="2"/>
          </w:tcPr>
          <w:p w:rsidR="00826D34" w:rsidRPr="00826D34" w:rsidRDefault="00826D34" w:rsidP="00557EFE">
            <w:pPr>
              <w:jc w:val="right"/>
              <w:rPr>
                <w:rFonts w:ascii="Verdana" w:hAnsi="Verdana"/>
                <w:sz w:val="20"/>
              </w:rPr>
            </w:pPr>
            <w:r w:rsidRPr="00826D34">
              <w:rPr>
                <w:rFonts w:ascii="Verdana" w:hAnsi="Verdana"/>
                <w:sz w:val="20"/>
                <w:lang w:val="en-US"/>
              </w:rPr>
              <w:t>+5,2%</w:t>
            </w:r>
          </w:p>
        </w:tc>
      </w:tr>
      <w:tr w:rsidR="00826D34" w:rsidRPr="00826D34" w:rsidTr="00557EFE">
        <w:trPr>
          <w:gridAfter w:val="1"/>
          <w:wAfter w:w="322" w:type="dxa"/>
          <w:trHeight w:val="284"/>
        </w:trPr>
        <w:tc>
          <w:tcPr>
            <w:tcW w:w="3652" w:type="dxa"/>
          </w:tcPr>
          <w:p w:rsidR="00826D34" w:rsidRPr="00826D34" w:rsidRDefault="00826D34" w:rsidP="00557EFE">
            <w:pPr>
              <w:rPr>
                <w:rFonts w:ascii="Verdana" w:hAnsi="Verdana"/>
                <w:sz w:val="20"/>
              </w:rPr>
            </w:pPr>
            <w:r w:rsidRPr="00826D34">
              <w:rPr>
                <w:rFonts w:ascii="Verdana" w:hAnsi="Verdana"/>
                <w:noProof/>
                <w:sz w:val="20"/>
              </w:rPr>
              <w:t>Supply Chain Management</w:t>
            </w:r>
          </w:p>
        </w:tc>
        <w:tc>
          <w:tcPr>
            <w:tcW w:w="1701" w:type="dxa"/>
            <w:gridSpan w:val="2"/>
          </w:tcPr>
          <w:p w:rsidR="00826D34" w:rsidRPr="00826D34" w:rsidRDefault="00826D34" w:rsidP="00557EFE">
            <w:pPr>
              <w:jc w:val="right"/>
              <w:rPr>
                <w:rFonts w:ascii="Verdana" w:hAnsi="Verdana"/>
                <w:sz w:val="20"/>
              </w:rPr>
            </w:pPr>
            <w:r w:rsidRPr="00826D34">
              <w:rPr>
                <w:rFonts w:ascii="Verdana" w:hAnsi="Verdana"/>
                <w:sz w:val="20"/>
                <w:lang w:val="en-GB"/>
              </w:rPr>
              <w:t>1.532</w:t>
            </w:r>
          </w:p>
        </w:tc>
        <w:tc>
          <w:tcPr>
            <w:tcW w:w="2693" w:type="dxa"/>
            <w:gridSpan w:val="2"/>
          </w:tcPr>
          <w:p w:rsidR="00826D34" w:rsidRPr="00826D34" w:rsidRDefault="00826D34" w:rsidP="00557EFE">
            <w:pPr>
              <w:tabs>
                <w:tab w:val="right" w:pos="1572"/>
              </w:tabs>
              <w:jc w:val="right"/>
              <w:rPr>
                <w:rFonts w:ascii="Verdana" w:hAnsi="Verdana"/>
                <w:sz w:val="20"/>
              </w:rPr>
            </w:pPr>
            <w:r w:rsidRPr="00826D34">
              <w:rPr>
                <w:rFonts w:ascii="Verdana" w:hAnsi="Verdana"/>
                <w:sz w:val="20"/>
                <w:lang w:val="en-US"/>
              </w:rPr>
              <w:t>1.318</w:t>
            </w:r>
          </w:p>
        </w:tc>
        <w:tc>
          <w:tcPr>
            <w:tcW w:w="1985" w:type="dxa"/>
            <w:gridSpan w:val="2"/>
          </w:tcPr>
          <w:p w:rsidR="00826D34" w:rsidRPr="00826D34" w:rsidRDefault="00826D34" w:rsidP="00557EFE">
            <w:pPr>
              <w:jc w:val="right"/>
              <w:rPr>
                <w:rFonts w:ascii="Verdana" w:hAnsi="Verdana"/>
                <w:sz w:val="20"/>
              </w:rPr>
            </w:pPr>
            <w:r w:rsidRPr="00826D34">
              <w:rPr>
                <w:rFonts w:ascii="Verdana" w:hAnsi="Verdana"/>
                <w:sz w:val="20"/>
                <w:lang w:val="en-US"/>
              </w:rPr>
              <w:t>+16,2</w:t>
            </w:r>
            <w:r w:rsidRPr="00826D34">
              <w:rPr>
                <w:rFonts w:ascii="Verdana" w:hAnsi="Verdana"/>
                <w:sz w:val="20"/>
                <w:lang w:val="en-GB"/>
              </w:rPr>
              <w:t>%</w:t>
            </w:r>
          </w:p>
        </w:tc>
      </w:tr>
      <w:tr w:rsidR="00826D34" w:rsidRPr="00826D34" w:rsidTr="00557EFE">
        <w:trPr>
          <w:gridAfter w:val="1"/>
          <w:wAfter w:w="322" w:type="dxa"/>
          <w:trHeight w:val="284"/>
        </w:trPr>
        <w:tc>
          <w:tcPr>
            <w:tcW w:w="3652" w:type="dxa"/>
          </w:tcPr>
          <w:p w:rsidR="00826D34" w:rsidRPr="00826D34" w:rsidRDefault="00826D34" w:rsidP="00557EFE">
            <w:pPr>
              <w:rPr>
                <w:rFonts w:ascii="Verdana" w:hAnsi="Verdana"/>
                <w:sz w:val="20"/>
              </w:rPr>
            </w:pPr>
            <w:r w:rsidRPr="00826D34">
              <w:rPr>
                <w:rFonts w:ascii="Verdana" w:hAnsi="Verdana"/>
                <w:noProof/>
                <w:sz w:val="20"/>
              </w:rPr>
              <w:t>Failure &amp; Technology Analysis</w:t>
            </w:r>
          </w:p>
        </w:tc>
        <w:tc>
          <w:tcPr>
            <w:tcW w:w="1701" w:type="dxa"/>
            <w:gridSpan w:val="2"/>
          </w:tcPr>
          <w:p w:rsidR="00826D34" w:rsidRPr="00826D34" w:rsidRDefault="00826D34" w:rsidP="00557EFE">
            <w:pPr>
              <w:jc w:val="right"/>
              <w:rPr>
                <w:rFonts w:ascii="Verdana" w:hAnsi="Verdana"/>
                <w:sz w:val="20"/>
              </w:rPr>
            </w:pPr>
            <w:r w:rsidRPr="00826D34">
              <w:rPr>
                <w:rFonts w:ascii="Verdana" w:hAnsi="Verdana"/>
                <w:sz w:val="20"/>
                <w:lang w:val="en-US"/>
              </w:rPr>
              <w:t>813</w:t>
            </w:r>
          </w:p>
        </w:tc>
        <w:tc>
          <w:tcPr>
            <w:tcW w:w="2693" w:type="dxa"/>
            <w:gridSpan w:val="2"/>
          </w:tcPr>
          <w:p w:rsidR="00826D34" w:rsidRPr="00826D34" w:rsidRDefault="00826D34" w:rsidP="00557EFE">
            <w:pPr>
              <w:tabs>
                <w:tab w:val="right" w:pos="1572"/>
              </w:tabs>
              <w:jc w:val="right"/>
              <w:rPr>
                <w:rFonts w:ascii="Verdana" w:hAnsi="Verdana"/>
                <w:sz w:val="20"/>
              </w:rPr>
            </w:pPr>
            <w:r w:rsidRPr="00826D34">
              <w:rPr>
                <w:rFonts w:ascii="Verdana" w:hAnsi="Verdana"/>
                <w:sz w:val="20"/>
                <w:lang w:val="en-US"/>
              </w:rPr>
              <w:t>704</w:t>
            </w:r>
          </w:p>
        </w:tc>
        <w:tc>
          <w:tcPr>
            <w:tcW w:w="1985" w:type="dxa"/>
            <w:gridSpan w:val="2"/>
          </w:tcPr>
          <w:p w:rsidR="00826D34" w:rsidRPr="00826D34" w:rsidRDefault="00826D34" w:rsidP="00557EFE">
            <w:pPr>
              <w:jc w:val="right"/>
              <w:rPr>
                <w:rFonts w:ascii="Verdana" w:hAnsi="Verdana"/>
                <w:sz w:val="20"/>
              </w:rPr>
            </w:pPr>
            <w:r w:rsidRPr="00826D34">
              <w:rPr>
                <w:rFonts w:ascii="Verdana" w:hAnsi="Verdana"/>
                <w:sz w:val="20"/>
                <w:lang w:val="en-US"/>
              </w:rPr>
              <w:t>+15,4</w:t>
            </w:r>
            <w:r w:rsidRPr="00826D34">
              <w:rPr>
                <w:rFonts w:ascii="Verdana" w:hAnsi="Verdana"/>
                <w:sz w:val="20"/>
                <w:lang w:val="en-GB"/>
              </w:rPr>
              <w:t>%</w:t>
            </w:r>
          </w:p>
        </w:tc>
      </w:tr>
      <w:tr w:rsidR="00826D34" w:rsidRPr="00826D34" w:rsidTr="00557EFE">
        <w:trPr>
          <w:gridAfter w:val="1"/>
          <w:wAfter w:w="322" w:type="dxa"/>
          <w:trHeight w:val="284"/>
        </w:trPr>
        <w:tc>
          <w:tcPr>
            <w:tcW w:w="3652" w:type="dxa"/>
          </w:tcPr>
          <w:p w:rsidR="00826D34" w:rsidRPr="00826D34" w:rsidRDefault="00826D34" w:rsidP="00557EFE">
            <w:pPr>
              <w:rPr>
                <w:rFonts w:ascii="Verdana" w:hAnsi="Verdana"/>
                <w:sz w:val="20"/>
              </w:rPr>
            </w:pPr>
            <w:r w:rsidRPr="00826D34">
              <w:rPr>
                <w:rFonts w:ascii="Verdana" w:hAnsi="Verdana"/>
                <w:noProof/>
                <w:sz w:val="20"/>
              </w:rPr>
              <w:t>Test Engineering</w:t>
            </w:r>
          </w:p>
        </w:tc>
        <w:tc>
          <w:tcPr>
            <w:tcW w:w="1701" w:type="dxa"/>
            <w:gridSpan w:val="2"/>
          </w:tcPr>
          <w:p w:rsidR="00826D34" w:rsidRPr="00826D34" w:rsidRDefault="00826D34" w:rsidP="00557EFE">
            <w:pPr>
              <w:jc w:val="right"/>
              <w:rPr>
                <w:rFonts w:ascii="Verdana" w:hAnsi="Verdana"/>
                <w:sz w:val="20"/>
              </w:rPr>
            </w:pPr>
            <w:r w:rsidRPr="00826D34">
              <w:rPr>
                <w:rFonts w:ascii="Verdana" w:hAnsi="Verdana"/>
                <w:sz w:val="20"/>
                <w:lang w:val="en-US"/>
              </w:rPr>
              <w:t>252</w:t>
            </w:r>
          </w:p>
        </w:tc>
        <w:tc>
          <w:tcPr>
            <w:tcW w:w="2693" w:type="dxa"/>
            <w:gridSpan w:val="2"/>
          </w:tcPr>
          <w:p w:rsidR="00826D34" w:rsidRPr="00826D34" w:rsidRDefault="00826D34" w:rsidP="00557EFE">
            <w:pPr>
              <w:tabs>
                <w:tab w:val="right" w:pos="1572"/>
              </w:tabs>
              <w:jc w:val="right"/>
              <w:rPr>
                <w:rFonts w:ascii="Verdana" w:hAnsi="Verdana"/>
                <w:sz w:val="20"/>
              </w:rPr>
            </w:pPr>
            <w:r w:rsidRPr="00826D34">
              <w:rPr>
                <w:rFonts w:ascii="Verdana" w:hAnsi="Verdana"/>
                <w:sz w:val="20"/>
                <w:lang w:val="en-US"/>
              </w:rPr>
              <w:t>264</w:t>
            </w:r>
          </w:p>
        </w:tc>
        <w:tc>
          <w:tcPr>
            <w:tcW w:w="1985" w:type="dxa"/>
            <w:gridSpan w:val="2"/>
          </w:tcPr>
          <w:p w:rsidR="00826D34" w:rsidRPr="00826D34" w:rsidRDefault="00826D34" w:rsidP="00557EFE">
            <w:pPr>
              <w:jc w:val="right"/>
              <w:rPr>
                <w:rFonts w:ascii="Verdana" w:hAnsi="Verdana"/>
                <w:sz w:val="20"/>
              </w:rPr>
            </w:pPr>
            <w:r w:rsidRPr="00826D34">
              <w:rPr>
                <w:rFonts w:ascii="Verdana" w:hAnsi="Verdana"/>
                <w:sz w:val="20"/>
                <w:lang w:val="en-US"/>
              </w:rPr>
              <w:t>-4,5</w:t>
            </w:r>
            <w:r w:rsidRPr="00826D34">
              <w:rPr>
                <w:rFonts w:ascii="Verdana" w:hAnsi="Verdana"/>
                <w:sz w:val="20"/>
                <w:lang w:val="en-GB"/>
              </w:rPr>
              <w:t>%</w:t>
            </w:r>
          </w:p>
        </w:tc>
      </w:tr>
      <w:tr w:rsidR="00826D34" w:rsidRPr="00826D34" w:rsidTr="00557EFE">
        <w:trPr>
          <w:gridAfter w:val="1"/>
          <w:wAfter w:w="322" w:type="dxa"/>
          <w:trHeight w:val="284"/>
        </w:trPr>
        <w:tc>
          <w:tcPr>
            <w:tcW w:w="3652" w:type="dxa"/>
          </w:tcPr>
          <w:p w:rsidR="00826D34" w:rsidRPr="00826D34" w:rsidRDefault="00826D34" w:rsidP="00557EFE">
            <w:pPr>
              <w:rPr>
                <w:rFonts w:ascii="Verdana" w:hAnsi="Verdana"/>
                <w:sz w:val="20"/>
              </w:rPr>
            </w:pPr>
            <w:r w:rsidRPr="00826D34">
              <w:rPr>
                <w:rFonts w:ascii="Verdana" w:hAnsi="Verdana"/>
                <w:noProof/>
                <w:sz w:val="20"/>
              </w:rPr>
              <w:t>Qualification &amp; Reliability</w:t>
            </w:r>
          </w:p>
        </w:tc>
        <w:tc>
          <w:tcPr>
            <w:tcW w:w="1701" w:type="dxa"/>
            <w:gridSpan w:val="2"/>
          </w:tcPr>
          <w:p w:rsidR="00826D34" w:rsidRPr="00826D34" w:rsidRDefault="00826D34" w:rsidP="00557EFE">
            <w:pPr>
              <w:jc w:val="right"/>
              <w:rPr>
                <w:rFonts w:ascii="Verdana" w:hAnsi="Verdana"/>
                <w:sz w:val="20"/>
              </w:rPr>
            </w:pPr>
            <w:r w:rsidRPr="00826D34">
              <w:rPr>
                <w:rFonts w:ascii="Verdana" w:hAnsi="Verdana"/>
                <w:sz w:val="20"/>
                <w:lang w:val="en-US"/>
              </w:rPr>
              <w:t>809</w:t>
            </w:r>
          </w:p>
        </w:tc>
        <w:tc>
          <w:tcPr>
            <w:tcW w:w="2693" w:type="dxa"/>
            <w:gridSpan w:val="2"/>
          </w:tcPr>
          <w:p w:rsidR="00826D34" w:rsidRPr="00826D34" w:rsidRDefault="00826D34" w:rsidP="00557EFE">
            <w:pPr>
              <w:tabs>
                <w:tab w:val="right" w:pos="1572"/>
              </w:tabs>
              <w:jc w:val="right"/>
              <w:rPr>
                <w:rFonts w:ascii="Verdana" w:hAnsi="Verdana"/>
                <w:sz w:val="20"/>
              </w:rPr>
            </w:pPr>
            <w:r w:rsidRPr="00826D34">
              <w:rPr>
                <w:rFonts w:ascii="Verdana" w:hAnsi="Verdana"/>
                <w:sz w:val="20"/>
              </w:rPr>
              <w:t>776</w:t>
            </w:r>
          </w:p>
        </w:tc>
        <w:tc>
          <w:tcPr>
            <w:tcW w:w="1985" w:type="dxa"/>
            <w:gridSpan w:val="2"/>
          </w:tcPr>
          <w:p w:rsidR="00826D34" w:rsidRPr="00826D34" w:rsidRDefault="00826D34" w:rsidP="00557EFE">
            <w:pPr>
              <w:jc w:val="right"/>
              <w:rPr>
                <w:rFonts w:ascii="Verdana" w:hAnsi="Verdana"/>
                <w:sz w:val="20"/>
              </w:rPr>
            </w:pPr>
            <w:r w:rsidRPr="00826D34">
              <w:rPr>
                <w:rFonts w:ascii="Verdana" w:hAnsi="Verdana"/>
                <w:sz w:val="20"/>
                <w:lang w:val="en-US"/>
              </w:rPr>
              <w:t xml:space="preserve"> +4,3%</w:t>
            </w:r>
          </w:p>
        </w:tc>
      </w:tr>
      <w:tr w:rsidR="00826D34" w:rsidRPr="00826D34" w:rsidTr="00557EFE">
        <w:trPr>
          <w:gridAfter w:val="1"/>
          <w:wAfter w:w="322" w:type="dxa"/>
          <w:trHeight w:val="284"/>
        </w:trPr>
        <w:tc>
          <w:tcPr>
            <w:tcW w:w="3652" w:type="dxa"/>
          </w:tcPr>
          <w:p w:rsidR="00826D34" w:rsidRPr="00826D34" w:rsidRDefault="00826D34" w:rsidP="00557EFE">
            <w:pPr>
              <w:rPr>
                <w:rFonts w:ascii="Verdana" w:hAnsi="Verdana"/>
                <w:b/>
                <w:sz w:val="20"/>
              </w:rPr>
            </w:pPr>
            <w:r w:rsidRPr="00826D34">
              <w:rPr>
                <w:rFonts w:ascii="Verdana" w:hAnsi="Verdana"/>
                <w:b/>
                <w:sz w:val="20"/>
              </w:rPr>
              <w:t>Total</w:t>
            </w:r>
          </w:p>
        </w:tc>
        <w:tc>
          <w:tcPr>
            <w:tcW w:w="1701" w:type="dxa"/>
            <w:gridSpan w:val="2"/>
          </w:tcPr>
          <w:p w:rsidR="00826D34" w:rsidRPr="00826D34" w:rsidRDefault="00826D34" w:rsidP="00557EFE">
            <w:pPr>
              <w:jc w:val="right"/>
              <w:rPr>
                <w:rFonts w:ascii="Verdana" w:hAnsi="Verdana"/>
                <w:b/>
                <w:sz w:val="20"/>
              </w:rPr>
            </w:pPr>
            <w:r w:rsidRPr="00826D34">
              <w:rPr>
                <w:rFonts w:ascii="Verdana" w:hAnsi="Verdana"/>
                <w:b/>
                <w:sz w:val="20"/>
                <w:lang w:val="en-US"/>
              </w:rPr>
              <w:t>5.202</w:t>
            </w:r>
          </w:p>
        </w:tc>
        <w:tc>
          <w:tcPr>
            <w:tcW w:w="2693" w:type="dxa"/>
            <w:gridSpan w:val="2"/>
          </w:tcPr>
          <w:p w:rsidR="00826D34" w:rsidRPr="00826D34" w:rsidRDefault="00826D34" w:rsidP="00557EFE">
            <w:pPr>
              <w:tabs>
                <w:tab w:val="right" w:pos="1572"/>
              </w:tabs>
              <w:jc w:val="right"/>
              <w:rPr>
                <w:rFonts w:ascii="Verdana" w:hAnsi="Verdana"/>
                <w:b/>
                <w:sz w:val="20"/>
              </w:rPr>
            </w:pPr>
            <w:r w:rsidRPr="00826D34">
              <w:rPr>
                <w:rFonts w:ascii="Verdana" w:hAnsi="Verdana"/>
                <w:b/>
                <w:sz w:val="20"/>
                <w:lang w:val="en-US"/>
              </w:rPr>
              <w:t>4.770</w:t>
            </w:r>
          </w:p>
        </w:tc>
        <w:tc>
          <w:tcPr>
            <w:tcW w:w="1985" w:type="dxa"/>
            <w:gridSpan w:val="2"/>
          </w:tcPr>
          <w:p w:rsidR="00826D34" w:rsidRPr="00826D34" w:rsidRDefault="00826D34" w:rsidP="00557EFE">
            <w:pPr>
              <w:jc w:val="right"/>
              <w:rPr>
                <w:rFonts w:ascii="Verdana" w:hAnsi="Verdana"/>
                <w:b/>
                <w:sz w:val="20"/>
              </w:rPr>
            </w:pPr>
            <w:r w:rsidRPr="00826D34">
              <w:rPr>
                <w:rFonts w:ascii="Verdana" w:hAnsi="Verdana"/>
                <w:b/>
                <w:sz w:val="20"/>
                <w:lang w:val="en-US"/>
              </w:rPr>
              <w:t>+9,0%</w:t>
            </w:r>
          </w:p>
        </w:tc>
      </w:tr>
    </w:tbl>
    <w:p w:rsidR="00826D34" w:rsidRPr="00826D34" w:rsidRDefault="00826D34" w:rsidP="00826D34">
      <w:pPr>
        <w:rPr>
          <w:rFonts w:ascii="Verdana" w:hAnsi="Verdana"/>
          <w:sz w:val="20"/>
        </w:rPr>
      </w:pPr>
    </w:p>
    <w:p w:rsidR="00826D34" w:rsidRPr="00826D34" w:rsidRDefault="00826D34" w:rsidP="00826D34">
      <w:pPr>
        <w:spacing w:line="276" w:lineRule="auto"/>
        <w:rPr>
          <w:rFonts w:ascii="Verdana" w:hAnsi="Verdana"/>
          <w:sz w:val="18"/>
          <w:szCs w:val="18"/>
        </w:rPr>
      </w:pPr>
      <w:r w:rsidRPr="00AB3AC9">
        <w:rPr>
          <w:rFonts w:ascii="Verdana" w:hAnsi="Verdana"/>
          <w:sz w:val="18"/>
          <w:szCs w:val="18"/>
        </w:rPr>
        <w:t>*) Door een aangescherpte definitie van de omzet per BU, heeft er een verschuiving</w:t>
      </w:r>
      <w:r>
        <w:rPr>
          <w:rFonts w:ascii="Verdana" w:hAnsi="Verdana"/>
          <w:sz w:val="18"/>
          <w:szCs w:val="18"/>
        </w:rPr>
        <w:t xml:space="preserve"> van de omzet</w:t>
      </w:r>
      <w:r w:rsidRPr="00AB3AC9">
        <w:rPr>
          <w:rFonts w:ascii="Verdana" w:hAnsi="Verdana"/>
          <w:sz w:val="18"/>
          <w:szCs w:val="18"/>
        </w:rPr>
        <w:t xml:space="preserve"> plaatsgevonden tussen de BU’s</w:t>
      </w:r>
      <w:r>
        <w:rPr>
          <w:rFonts w:ascii="Verdana" w:hAnsi="Verdana"/>
          <w:sz w:val="18"/>
          <w:szCs w:val="18"/>
        </w:rPr>
        <w:t xml:space="preserve"> en zijn derhalve de omzetcijfers voor het eerste half jaar aangepast. De </w:t>
      </w:r>
      <w:r w:rsidRPr="00826D34">
        <w:rPr>
          <w:rFonts w:ascii="Verdana" w:hAnsi="Verdana"/>
          <w:sz w:val="18"/>
          <w:szCs w:val="18"/>
        </w:rPr>
        <w:t>totale halfjaar omzet is niet aangepast.</w:t>
      </w:r>
    </w:p>
    <w:p w:rsidR="00826D34" w:rsidRPr="00826D34" w:rsidRDefault="00826D34" w:rsidP="00826D34">
      <w:pPr>
        <w:spacing w:line="276" w:lineRule="auto"/>
        <w:rPr>
          <w:rFonts w:ascii="Verdana" w:hAnsi="Verdana"/>
          <w:sz w:val="20"/>
        </w:rPr>
      </w:pPr>
    </w:p>
    <w:p w:rsidR="00826D34" w:rsidRPr="00826D34" w:rsidRDefault="00826D34" w:rsidP="00826D34">
      <w:pPr>
        <w:spacing w:line="276" w:lineRule="auto"/>
        <w:rPr>
          <w:rFonts w:ascii="Verdana" w:hAnsi="Verdana"/>
          <w:sz w:val="20"/>
        </w:rPr>
      </w:pPr>
    </w:p>
    <w:p w:rsidR="00826D34" w:rsidRPr="00826D34" w:rsidRDefault="00826D34" w:rsidP="00826D34">
      <w:pPr>
        <w:spacing w:line="276" w:lineRule="auto"/>
        <w:rPr>
          <w:rFonts w:ascii="Verdana" w:hAnsi="Verdana" w:cs="Verdana"/>
          <w:sz w:val="20"/>
        </w:rPr>
      </w:pPr>
      <w:r w:rsidRPr="00826D34">
        <w:rPr>
          <w:rFonts w:ascii="Verdana" w:hAnsi="Verdana" w:cs="Verdana"/>
          <w:sz w:val="20"/>
        </w:rPr>
        <w:t xml:space="preserve">De omzet is in de tweede helft van 2014 duidelijk gestegen ten opzichte van het gemiddelde over de eerste helft van 2014. De omzet wordt echter nog steeds flink geraakt door uitstel van opdrachten. </w:t>
      </w:r>
    </w:p>
    <w:p w:rsidR="00826D34" w:rsidRPr="00826D34" w:rsidRDefault="00826D34" w:rsidP="00826D34">
      <w:pPr>
        <w:spacing w:line="276" w:lineRule="auto"/>
        <w:rPr>
          <w:rFonts w:ascii="Verdana" w:hAnsi="Verdana" w:cs="Verdana"/>
          <w:sz w:val="20"/>
        </w:rPr>
      </w:pPr>
    </w:p>
    <w:p w:rsidR="00826D34" w:rsidRPr="00826D34" w:rsidRDefault="00826D34" w:rsidP="00826D34">
      <w:pPr>
        <w:spacing w:line="276" w:lineRule="auto"/>
        <w:rPr>
          <w:rFonts w:ascii="Verdana" w:hAnsi="Verdana" w:cs="Verdana"/>
          <w:sz w:val="20"/>
        </w:rPr>
      </w:pPr>
      <w:r w:rsidRPr="00826D34">
        <w:rPr>
          <w:rFonts w:ascii="Verdana" w:hAnsi="Verdana" w:cs="Verdana"/>
          <w:sz w:val="20"/>
        </w:rPr>
        <w:t xml:space="preserve">Hier tegenover staat dat het aantal aanvragen voor offertes met meer dan EUR 10 miljoen onveranderd hoog is. Daarnaast leidt circa 90% van de aanvragen tot offertes en de trend van de totale hitrate (offertes omgezet in orders) die boven 50% ligt laat bovendien nog steeds een stijgende lijn zien. De book-to-bill ratio was in 2014 ieder kwartaal boven de 1,0 en gemiddeld over het gehele jaar tussen de 1,1 en 1,2. Dat is belangrijk hoger dan in het verleden.  </w:t>
      </w:r>
    </w:p>
    <w:p w:rsidR="00826D34" w:rsidRPr="00826D34" w:rsidRDefault="00826D34" w:rsidP="00826D34">
      <w:pPr>
        <w:spacing w:line="276" w:lineRule="auto"/>
        <w:rPr>
          <w:rFonts w:ascii="Verdana" w:hAnsi="Verdana" w:cs="Verdana"/>
          <w:sz w:val="20"/>
        </w:rPr>
      </w:pPr>
    </w:p>
    <w:p w:rsidR="00826D34" w:rsidRPr="00826D34" w:rsidRDefault="00826D34" w:rsidP="00826D34">
      <w:pPr>
        <w:spacing w:line="276" w:lineRule="auto"/>
        <w:rPr>
          <w:rFonts w:ascii="Verdana" w:hAnsi="Verdana" w:cs="Verdana"/>
          <w:sz w:val="20"/>
        </w:rPr>
      </w:pPr>
      <w:r w:rsidRPr="00826D34">
        <w:rPr>
          <w:rFonts w:ascii="Verdana" w:hAnsi="Verdana" w:cs="Verdana"/>
          <w:sz w:val="20"/>
        </w:rPr>
        <w:lastRenderedPageBreak/>
        <w:t xml:space="preserve">Dat bovengenoemde factoren nog niet tot een wezenlijke omzetstijging hebben geleid, heeft te maken met de benodigde lange voorbereidingstijd van de meeste projecten. Echter op het moment dat deze project omzet gaan genereren, betreft het recurring omzet. Deze recurring omzet geeft ons een veel stabielere positie dan wij in het verleden konden realiseren. </w:t>
      </w:r>
    </w:p>
    <w:p w:rsidR="00826D34" w:rsidRPr="00826D34" w:rsidRDefault="00826D34" w:rsidP="00826D34">
      <w:pPr>
        <w:spacing w:line="276" w:lineRule="auto"/>
        <w:rPr>
          <w:rFonts w:ascii="Verdana" w:hAnsi="Verdana" w:cs="Verdana"/>
          <w:sz w:val="20"/>
        </w:rPr>
      </w:pPr>
      <w:r w:rsidRPr="00826D34">
        <w:rPr>
          <w:rFonts w:ascii="Verdana" w:hAnsi="Verdana" w:cs="Verdana"/>
          <w:sz w:val="20"/>
        </w:rPr>
        <w:t xml:space="preserve">De verwachting is dat wij binnen nu en de komende 7-8 maanden voor verschillende projecten de fase voorafgaand aan de productie  zullen afronden. Dan gaan wij met deze projecten ook daadwerkelijk omzet realiseren. </w:t>
      </w:r>
    </w:p>
    <w:p w:rsidR="00826D34" w:rsidRPr="000B1962" w:rsidRDefault="00826D34" w:rsidP="00826D34">
      <w:pPr>
        <w:spacing w:line="276" w:lineRule="auto"/>
        <w:rPr>
          <w:rFonts w:ascii="Verdana" w:hAnsi="Verdana" w:cs="Verdana"/>
          <w:sz w:val="20"/>
        </w:rPr>
      </w:pPr>
    </w:p>
    <w:p w:rsidR="00826D34" w:rsidRDefault="00826D34" w:rsidP="00826D34">
      <w:pPr>
        <w:spacing w:line="276" w:lineRule="auto"/>
        <w:rPr>
          <w:rFonts w:ascii="Verdana" w:hAnsi="Verdana" w:cs="Verdana"/>
          <w:i/>
          <w:sz w:val="20"/>
        </w:rPr>
      </w:pPr>
      <w:r w:rsidRPr="000B1962">
        <w:rPr>
          <w:rFonts w:ascii="Verdana" w:hAnsi="Verdana" w:cs="Verdana"/>
          <w:i/>
          <w:sz w:val="20"/>
        </w:rPr>
        <w:t>‘</w:t>
      </w:r>
      <w:r>
        <w:rPr>
          <w:rFonts w:ascii="Verdana" w:hAnsi="Verdana" w:cs="Verdana"/>
          <w:i/>
          <w:sz w:val="20"/>
        </w:rPr>
        <w:t xml:space="preserve">Momenteel staan alle indicatoren op groen en wij verwachten hier in 2015 de vruchten van de plukken. Wij hebben in 2014 hard aan de weg getimmerd, zowel wat betreft het binnenhalen van projecten, als wat betreft de (personele) inrichting van de onderneming. Een interessant initiatief in dit kader is de inrichting van een Automotive Competence Centre. OEMs en FCs hebben hier zeer enthousiast op gereageerd omdat zij geïnteresseerd zijn in de high tech markt. Hiermee onderscheiden wij ons duidelijk van andere partijen in de markt’, aldus Philip Nijenhuis, CEO RoodMicrotec.  </w:t>
      </w:r>
    </w:p>
    <w:p w:rsidR="00826D34" w:rsidRDefault="00826D34" w:rsidP="00826D34">
      <w:pPr>
        <w:spacing w:line="276" w:lineRule="auto"/>
        <w:rPr>
          <w:rFonts w:ascii="Verdana" w:hAnsi="Verdana" w:cs="Verdana"/>
          <w:sz w:val="20"/>
        </w:rPr>
      </w:pPr>
    </w:p>
    <w:p w:rsidR="00826D34" w:rsidRPr="00826D34" w:rsidRDefault="00826D34" w:rsidP="00826D34">
      <w:pPr>
        <w:rPr>
          <w:rFonts w:ascii="Verdana" w:hAnsi="Verdana"/>
          <w:b/>
          <w:color w:val="000000"/>
          <w:sz w:val="20"/>
        </w:rPr>
      </w:pPr>
      <w:r w:rsidRPr="00826D34">
        <w:rPr>
          <w:rFonts w:ascii="Verdana" w:hAnsi="Verdana"/>
          <w:b/>
          <w:color w:val="000000"/>
          <w:sz w:val="20"/>
        </w:rPr>
        <w:t>Voorlopig omzet in vergelijking met 2013*):</w:t>
      </w:r>
    </w:p>
    <w:p w:rsidR="00826D34" w:rsidRPr="00826D34" w:rsidRDefault="00826D34" w:rsidP="00826D34">
      <w:pPr>
        <w:rPr>
          <w:rFonts w:ascii="Verdana" w:hAnsi="Verdana"/>
          <w:color w:val="000000"/>
          <w:sz w:val="20"/>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right w:w="113" w:type="dxa"/>
        </w:tblCellMar>
        <w:tblLook w:val="04A0"/>
      </w:tblPr>
      <w:tblGrid>
        <w:gridCol w:w="3652"/>
        <w:gridCol w:w="992"/>
        <w:gridCol w:w="851"/>
        <w:gridCol w:w="1276"/>
        <w:gridCol w:w="708"/>
        <w:gridCol w:w="709"/>
        <w:gridCol w:w="1242"/>
        <w:gridCol w:w="425"/>
      </w:tblGrid>
      <w:tr w:rsidR="00826D34" w:rsidRPr="00826D34" w:rsidTr="00557EFE">
        <w:trPr>
          <w:trHeight w:val="284"/>
        </w:trPr>
        <w:tc>
          <w:tcPr>
            <w:tcW w:w="4644" w:type="dxa"/>
            <w:gridSpan w:val="2"/>
            <w:tcBorders>
              <w:top w:val="nil"/>
              <w:left w:val="nil"/>
              <w:bottom w:val="nil"/>
              <w:right w:val="nil"/>
            </w:tcBorders>
          </w:tcPr>
          <w:p w:rsidR="00826D34" w:rsidRPr="00826D34" w:rsidRDefault="00826D34" w:rsidP="00557EFE">
            <w:pPr>
              <w:rPr>
                <w:rFonts w:ascii="Verdana" w:hAnsi="Verdana"/>
                <w:sz w:val="20"/>
              </w:rPr>
            </w:pPr>
            <w:r w:rsidRPr="00826D34">
              <w:rPr>
                <w:rFonts w:ascii="Verdana" w:hAnsi="Verdana"/>
                <w:sz w:val="20"/>
              </w:rPr>
              <w:t>(x EUR 1.000)</w:t>
            </w:r>
          </w:p>
        </w:tc>
        <w:tc>
          <w:tcPr>
            <w:tcW w:w="2127" w:type="dxa"/>
            <w:gridSpan w:val="2"/>
            <w:tcBorders>
              <w:top w:val="nil"/>
              <w:left w:val="nil"/>
              <w:bottom w:val="nil"/>
              <w:right w:val="nil"/>
            </w:tcBorders>
          </w:tcPr>
          <w:p w:rsidR="00826D34" w:rsidRPr="00826D34" w:rsidRDefault="00826D34" w:rsidP="00557EFE">
            <w:pPr>
              <w:rPr>
                <w:rFonts w:ascii="Verdana" w:hAnsi="Verdana"/>
                <w:b/>
                <w:sz w:val="20"/>
              </w:rPr>
            </w:pPr>
            <w:r w:rsidRPr="00826D34">
              <w:rPr>
                <w:rFonts w:ascii="Verdana" w:hAnsi="Verdana"/>
                <w:b/>
                <w:sz w:val="20"/>
              </w:rPr>
              <w:t>2014</w:t>
            </w:r>
          </w:p>
        </w:tc>
        <w:tc>
          <w:tcPr>
            <w:tcW w:w="1417" w:type="dxa"/>
            <w:gridSpan w:val="2"/>
            <w:tcBorders>
              <w:top w:val="nil"/>
              <w:left w:val="nil"/>
              <w:bottom w:val="nil"/>
              <w:right w:val="nil"/>
            </w:tcBorders>
          </w:tcPr>
          <w:p w:rsidR="00826D34" w:rsidRPr="00826D34" w:rsidRDefault="00826D34" w:rsidP="00557EFE">
            <w:pPr>
              <w:ind w:right="63"/>
              <w:rPr>
                <w:rFonts w:ascii="Verdana" w:hAnsi="Verdana"/>
                <w:b/>
                <w:sz w:val="20"/>
              </w:rPr>
            </w:pPr>
            <w:r w:rsidRPr="00826D34">
              <w:rPr>
                <w:rFonts w:ascii="Verdana" w:hAnsi="Verdana"/>
                <w:b/>
                <w:sz w:val="20"/>
              </w:rPr>
              <w:t>2013</w:t>
            </w:r>
          </w:p>
        </w:tc>
        <w:tc>
          <w:tcPr>
            <w:tcW w:w="1667" w:type="dxa"/>
            <w:gridSpan w:val="2"/>
            <w:tcBorders>
              <w:top w:val="nil"/>
              <w:left w:val="nil"/>
              <w:bottom w:val="nil"/>
              <w:right w:val="nil"/>
            </w:tcBorders>
          </w:tcPr>
          <w:p w:rsidR="00826D34" w:rsidRPr="00826D34" w:rsidRDefault="00826D34" w:rsidP="00557EFE">
            <w:pPr>
              <w:rPr>
                <w:rFonts w:ascii="Verdana" w:hAnsi="Verdana"/>
                <w:b/>
                <w:sz w:val="20"/>
              </w:rPr>
            </w:pPr>
            <w:r w:rsidRPr="00826D34">
              <w:rPr>
                <w:rFonts w:ascii="Verdana" w:hAnsi="Verdana"/>
                <w:b/>
                <w:sz w:val="20"/>
              </w:rPr>
              <w:t>Mutatie ca.</w:t>
            </w:r>
          </w:p>
        </w:tc>
      </w:tr>
      <w:tr w:rsidR="00826D34" w:rsidRPr="00826D34" w:rsidTr="00557EFE">
        <w:trPr>
          <w:gridAfter w:val="1"/>
          <w:wAfter w:w="425" w:type="dxa"/>
          <w:trHeight w:val="284"/>
        </w:trPr>
        <w:tc>
          <w:tcPr>
            <w:tcW w:w="3652" w:type="dxa"/>
            <w:tcBorders>
              <w:top w:val="nil"/>
              <w:left w:val="nil"/>
              <w:bottom w:val="nil"/>
              <w:right w:val="nil"/>
            </w:tcBorders>
          </w:tcPr>
          <w:p w:rsidR="00826D34" w:rsidRPr="00826D34" w:rsidRDefault="00826D34" w:rsidP="00557EFE">
            <w:pPr>
              <w:rPr>
                <w:rFonts w:ascii="Verdana" w:hAnsi="Verdana"/>
                <w:sz w:val="20"/>
              </w:rPr>
            </w:pPr>
            <w:r w:rsidRPr="00826D34">
              <w:rPr>
                <w:rFonts w:ascii="Verdana" w:hAnsi="Verdana"/>
                <w:sz w:val="20"/>
              </w:rPr>
              <w:t>Test</w:t>
            </w:r>
          </w:p>
        </w:tc>
        <w:tc>
          <w:tcPr>
            <w:tcW w:w="1843" w:type="dxa"/>
            <w:gridSpan w:val="2"/>
            <w:tcBorders>
              <w:top w:val="nil"/>
              <w:left w:val="nil"/>
              <w:bottom w:val="nil"/>
              <w:right w:val="nil"/>
            </w:tcBorders>
          </w:tcPr>
          <w:p w:rsidR="00826D34" w:rsidRPr="00826D34" w:rsidRDefault="00826D34" w:rsidP="00557EFE">
            <w:pPr>
              <w:ind w:left="708"/>
              <w:jc w:val="right"/>
              <w:rPr>
                <w:rFonts w:ascii="Verdana" w:hAnsi="Verdana"/>
                <w:sz w:val="20"/>
              </w:rPr>
            </w:pPr>
            <w:r w:rsidRPr="00826D34">
              <w:rPr>
                <w:rFonts w:ascii="Verdana" w:hAnsi="Verdana"/>
                <w:sz w:val="20"/>
                <w:lang w:val="en-US"/>
              </w:rPr>
              <w:t>3.504</w:t>
            </w:r>
          </w:p>
        </w:tc>
        <w:tc>
          <w:tcPr>
            <w:tcW w:w="1984" w:type="dxa"/>
            <w:gridSpan w:val="2"/>
            <w:tcBorders>
              <w:top w:val="nil"/>
              <w:left w:val="nil"/>
              <w:bottom w:val="nil"/>
              <w:right w:val="nil"/>
            </w:tcBorders>
          </w:tcPr>
          <w:p w:rsidR="00826D34" w:rsidRPr="00826D34" w:rsidRDefault="00826D34" w:rsidP="00557EFE">
            <w:pPr>
              <w:ind w:left="708"/>
              <w:jc w:val="right"/>
              <w:rPr>
                <w:rFonts w:ascii="Verdana" w:hAnsi="Verdana"/>
                <w:sz w:val="20"/>
              </w:rPr>
            </w:pPr>
            <w:r w:rsidRPr="00826D34">
              <w:rPr>
                <w:rFonts w:ascii="Verdana" w:hAnsi="Verdana"/>
                <w:sz w:val="20"/>
                <w:lang w:val="en-US"/>
              </w:rPr>
              <w:t>4.526</w:t>
            </w:r>
          </w:p>
        </w:tc>
        <w:tc>
          <w:tcPr>
            <w:tcW w:w="1951"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-23</w:t>
            </w:r>
            <w:r w:rsidRPr="00826D34">
              <w:rPr>
                <w:rFonts w:ascii="Verdana" w:hAnsi="Verdana"/>
                <w:sz w:val="20"/>
                <w:lang w:val="en-GB"/>
              </w:rPr>
              <w:t>%</w:t>
            </w:r>
          </w:p>
        </w:tc>
      </w:tr>
      <w:tr w:rsidR="00826D34" w:rsidRPr="00826D34" w:rsidTr="00557EFE">
        <w:trPr>
          <w:gridAfter w:val="1"/>
          <w:wAfter w:w="425" w:type="dxa"/>
          <w:trHeight w:val="284"/>
        </w:trPr>
        <w:tc>
          <w:tcPr>
            <w:tcW w:w="3652" w:type="dxa"/>
            <w:tcBorders>
              <w:top w:val="nil"/>
              <w:left w:val="nil"/>
              <w:bottom w:val="nil"/>
              <w:right w:val="nil"/>
            </w:tcBorders>
          </w:tcPr>
          <w:p w:rsidR="00826D34" w:rsidRPr="00826D34" w:rsidRDefault="00826D34" w:rsidP="00557EFE">
            <w:pPr>
              <w:rPr>
                <w:rFonts w:ascii="Verdana" w:hAnsi="Verdana"/>
                <w:sz w:val="20"/>
              </w:rPr>
            </w:pPr>
            <w:r w:rsidRPr="00826D34">
              <w:rPr>
                <w:rFonts w:ascii="Verdana" w:hAnsi="Verdana"/>
                <w:sz w:val="20"/>
              </w:rPr>
              <w:t>Supply Chain Management</w:t>
            </w:r>
          </w:p>
        </w:tc>
        <w:tc>
          <w:tcPr>
            <w:tcW w:w="1843"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2.850</w:t>
            </w:r>
          </w:p>
        </w:tc>
        <w:tc>
          <w:tcPr>
            <w:tcW w:w="1984"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2.464</w:t>
            </w:r>
          </w:p>
        </w:tc>
        <w:tc>
          <w:tcPr>
            <w:tcW w:w="1951"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+16</w:t>
            </w:r>
            <w:r w:rsidRPr="00826D34">
              <w:rPr>
                <w:rFonts w:ascii="Verdana" w:hAnsi="Verdana"/>
                <w:sz w:val="20"/>
                <w:lang w:val="en-GB"/>
              </w:rPr>
              <w:t>%</w:t>
            </w:r>
          </w:p>
        </w:tc>
      </w:tr>
      <w:tr w:rsidR="00826D34" w:rsidRPr="00826D34" w:rsidTr="00557EFE">
        <w:trPr>
          <w:gridAfter w:val="1"/>
          <w:wAfter w:w="425" w:type="dxa"/>
          <w:trHeight w:val="284"/>
        </w:trPr>
        <w:tc>
          <w:tcPr>
            <w:tcW w:w="3652" w:type="dxa"/>
            <w:tcBorders>
              <w:top w:val="nil"/>
              <w:left w:val="nil"/>
              <w:bottom w:val="nil"/>
              <w:right w:val="nil"/>
            </w:tcBorders>
          </w:tcPr>
          <w:p w:rsidR="00826D34" w:rsidRPr="00826D34" w:rsidRDefault="00826D34" w:rsidP="00557EFE">
            <w:pPr>
              <w:rPr>
                <w:rFonts w:ascii="Verdana" w:hAnsi="Verdana"/>
                <w:sz w:val="20"/>
              </w:rPr>
            </w:pPr>
            <w:r w:rsidRPr="00826D34">
              <w:rPr>
                <w:rFonts w:ascii="Verdana" w:hAnsi="Verdana"/>
                <w:sz w:val="20"/>
              </w:rPr>
              <w:t>Failure &amp; Technology Analysis</w:t>
            </w:r>
          </w:p>
        </w:tc>
        <w:tc>
          <w:tcPr>
            <w:tcW w:w="1843"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1.517</w:t>
            </w:r>
          </w:p>
        </w:tc>
        <w:tc>
          <w:tcPr>
            <w:tcW w:w="1984"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1.447</w:t>
            </w:r>
          </w:p>
        </w:tc>
        <w:tc>
          <w:tcPr>
            <w:tcW w:w="1951"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+5</w:t>
            </w:r>
            <w:r w:rsidRPr="00826D34">
              <w:rPr>
                <w:rFonts w:ascii="Verdana" w:hAnsi="Verdana"/>
                <w:sz w:val="20"/>
                <w:lang w:val="en-GB"/>
              </w:rPr>
              <w:t>%</w:t>
            </w:r>
          </w:p>
        </w:tc>
      </w:tr>
      <w:tr w:rsidR="00826D34" w:rsidRPr="00826D34" w:rsidTr="00557EFE">
        <w:trPr>
          <w:gridAfter w:val="1"/>
          <w:wAfter w:w="425" w:type="dxa"/>
          <w:trHeight w:val="284"/>
        </w:trPr>
        <w:tc>
          <w:tcPr>
            <w:tcW w:w="3652" w:type="dxa"/>
            <w:tcBorders>
              <w:top w:val="nil"/>
              <w:left w:val="nil"/>
              <w:bottom w:val="nil"/>
              <w:right w:val="nil"/>
            </w:tcBorders>
          </w:tcPr>
          <w:p w:rsidR="00826D34" w:rsidRPr="00826D34" w:rsidRDefault="00826D34" w:rsidP="00557EFE">
            <w:pPr>
              <w:rPr>
                <w:rFonts w:ascii="Verdana" w:hAnsi="Verdana"/>
                <w:sz w:val="20"/>
              </w:rPr>
            </w:pPr>
            <w:r w:rsidRPr="00826D34">
              <w:rPr>
                <w:rFonts w:ascii="Verdana" w:hAnsi="Verdana"/>
                <w:sz w:val="20"/>
              </w:rPr>
              <w:t>Test Engineering</w:t>
            </w:r>
          </w:p>
        </w:tc>
        <w:tc>
          <w:tcPr>
            <w:tcW w:w="1843"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516</w:t>
            </w:r>
          </w:p>
        </w:tc>
        <w:tc>
          <w:tcPr>
            <w:tcW w:w="1984"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584</w:t>
            </w:r>
          </w:p>
        </w:tc>
        <w:tc>
          <w:tcPr>
            <w:tcW w:w="1951"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-12%</w:t>
            </w:r>
          </w:p>
        </w:tc>
      </w:tr>
      <w:tr w:rsidR="00826D34" w:rsidRPr="00826D34" w:rsidTr="00557EFE">
        <w:trPr>
          <w:gridAfter w:val="1"/>
          <w:wAfter w:w="425" w:type="dxa"/>
          <w:trHeight w:val="284"/>
        </w:trPr>
        <w:tc>
          <w:tcPr>
            <w:tcW w:w="3652" w:type="dxa"/>
            <w:tcBorders>
              <w:top w:val="nil"/>
              <w:left w:val="nil"/>
              <w:bottom w:val="nil"/>
              <w:right w:val="nil"/>
            </w:tcBorders>
          </w:tcPr>
          <w:p w:rsidR="00826D34" w:rsidRPr="00826D34" w:rsidRDefault="00826D34" w:rsidP="00557EFE">
            <w:pPr>
              <w:rPr>
                <w:rFonts w:ascii="Verdana" w:hAnsi="Verdana"/>
                <w:sz w:val="20"/>
              </w:rPr>
            </w:pPr>
            <w:r w:rsidRPr="00826D34">
              <w:rPr>
                <w:rFonts w:ascii="Verdana" w:hAnsi="Verdana"/>
                <w:sz w:val="20"/>
              </w:rPr>
              <w:t>Qualification &amp; Reliability</w:t>
            </w:r>
          </w:p>
        </w:tc>
        <w:tc>
          <w:tcPr>
            <w:tcW w:w="1843"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1.585</w:t>
            </w:r>
          </w:p>
        </w:tc>
        <w:tc>
          <w:tcPr>
            <w:tcW w:w="1984"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2.158</w:t>
            </w:r>
          </w:p>
        </w:tc>
        <w:tc>
          <w:tcPr>
            <w:tcW w:w="1951" w:type="dxa"/>
            <w:gridSpan w:val="2"/>
            <w:tcBorders>
              <w:top w:val="nil"/>
              <w:left w:val="nil"/>
              <w:bottom w:val="nil"/>
              <w:right w:val="nil"/>
            </w:tcBorders>
          </w:tcPr>
          <w:p w:rsidR="00826D34" w:rsidRPr="00826D34" w:rsidRDefault="00826D34" w:rsidP="00557EFE">
            <w:pPr>
              <w:jc w:val="right"/>
              <w:rPr>
                <w:rFonts w:ascii="Verdana" w:hAnsi="Verdana"/>
                <w:sz w:val="20"/>
              </w:rPr>
            </w:pPr>
            <w:r w:rsidRPr="00826D34">
              <w:rPr>
                <w:rFonts w:ascii="Verdana" w:hAnsi="Verdana"/>
                <w:sz w:val="20"/>
                <w:lang w:val="en-US"/>
              </w:rPr>
              <w:t>-27%</w:t>
            </w:r>
          </w:p>
        </w:tc>
      </w:tr>
      <w:tr w:rsidR="00826D34" w:rsidRPr="00826D34" w:rsidTr="00557EFE">
        <w:trPr>
          <w:gridAfter w:val="1"/>
          <w:wAfter w:w="425" w:type="dxa"/>
          <w:trHeight w:val="284"/>
        </w:trPr>
        <w:tc>
          <w:tcPr>
            <w:tcW w:w="3652" w:type="dxa"/>
            <w:tcBorders>
              <w:top w:val="nil"/>
              <w:left w:val="nil"/>
              <w:bottom w:val="nil"/>
              <w:right w:val="nil"/>
            </w:tcBorders>
          </w:tcPr>
          <w:p w:rsidR="00826D34" w:rsidRPr="00826D34" w:rsidRDefault="00826D34" w:rsidP="00557EFE">
            <w:pPr>
              <w:rPr>
                <w:rFonts w:ascii="Verdana" w:hAnsi="Verdana"/>
                <w:b/>
                <w:sz w:val="20"/>
              </w:rPr>
            </w:pPr>
            <w:r w:rsidRPr="00826D34">
              <w:rPr>
                <w:rFonts w:ascii="Verdana" w:hAnsi="Verdana"/>
                <w:b/>
                <w:sz w:val="20"/>
              </w:rPr>
              <w:t>Totaal</w:t>
            </w:r>
          </w:p>
          <w:p w:rsidR="00826D34" w:rsidRPr="00826D34" w:rsidRDefault="00826D34" w:rsidP="00557EFE">
            <w:pPr>
              <w:rPr>
                <w:rFonts w:ascii="Verdana" w:hAnsi="Verdana"/>
                <w:b/>
                <w:sz w:val="20"/>
              </w:rPr>
            </w:pPr>
          </w:p>
        </w:tc>
        <w:tc>
          <w:tcPr>
            <w:tcW w:w="1843" w:type="dxa"/>
            <w:gridSpan w:val="2"/>
            <w:tcBorders>
              <w:top w:val="nil"/>
              <w:left w:val="nil"/>
              <w:bottom w:val="nil"/>
              <w:right w:val="nil"/>
            </w:tcBorders>
          </w:tcPr>
          <w:p w:rsidR="00826D34" w:rsidRPr="00826D34" w:rsidRDefault="00826D34" w:rsidP="00557EFE">
            <w:pPr>
              <w:jc w:val="right"/>
              <w:rPr>
                <w:rFonts w:ascii="Verdana" w:hAnsi="Verdana"/>
                <w:b/>
                <w:sz w:val="20"/>
              </w:rPr>
            </w:pPr>
            <w:r w:rsidRPr="00826D34">
              <w:rPr>
                <w:rFonts w:ascii="Verdana" w:hAnsi="Verdana"/>
                <w:b/>
                <w:sz w:val="20"/>
                <w:lang w:val="en-US"/>
              </w:rPr>
              <w:t>9.972</w:t>
            </w:r>
          </w:p>
        </w:tc>
        <w:tc>
          <w:tcPr>
            <w:tcW w:w="1984" w:type="dxa"/>
            <w:gridSpan w:val="2"/>
            <w:tcBorders>
              <w:top w:val="nil"/>
              <w:left w:val="nil"/>
              <w:bottom w:val="nil"/>
              <w:right w:val="nil"/>
            </w:tcBorders>
          </w:tcPr>
          <w:p w:rsidR="00826D34" w:rsidRPr="00826D34" w:rsidRDefault="00826D34" w:rsidP="00557EFE">
            <w:pPr>
              <w:jc w:val="right"/>
              <w:rPr>
                <w:rFonts w:ascii="Verdana" w:hAnsi="Verdana"/>
                <w:b/>
                <w:sz w:val="20"/>
              </w:rPr>
            </w:pPr>
            <w:r w:rsidRPr="00826D34">
              <w:rPr>
                <w:rFonts w:ascii="Verdana" w:hAnsi="Verdana"/>
                <w:b/>
                <w:sz w:val="20"/>
                <w:lang w:val="en-US"/>
              </w:rPr>
              <w:t>11.179</w:t>
            </w:r>
          </w:p>
        </w:tc>
        <w:tc>
          <w:tcPr>
            <w:tcW w:w="1951" w:type="dxa"/>
            <w:gridSpan w:val="2"/>
            <w:tcBorders>
              <w:top w:val="nil"/>
              <w:left w:val="nil"/>
              <w:bottom w:val="nil"/>
              <w:right w:val="nil"/>
            </w:tcBorders>
          </w:tcPr>
          <w:p w:rsidR="00826D34" w:rsidRPr="00826D34" w:rsidRDefault="00826D34" w:rsidP="00557EFE">
            <w:pPr>
              <w:jc w:val="right"/>
              <w:rPr>
                <w:rFonts w:ascii="Verdana" w:hAnsi="Verdana"/>
                <w:b/>
                <w:sz w:val="20"/>
              </w:rPr>
            </w:pPr>
            <w:r w:rsidRPr="00826D34">
              <w:rPr>
                <w:rFonts w:ascii="Verdana" w:hAnsi="Verdana"/>
                <w:b/>
                <w:sz w:val="20"/>
                <w:lang w:val="en-US"/>
              </w:rPr>
              <w:t>-11%</w:t>
            </w:r>
          </w:p>
        </w:tc>
      </w:tr>
    </w:tbl>
    <w:p w:rsidR="00826D34" w:rsidRPr="00826D34" w:rsidRDefault="00826D34" w:rsidP="00826D34">
      <w:pPr>
        <w:rPr>
          <w:rFonts w:ascii="Verdana" w:hAnsi="Verdana"/>
          <w:color w:val="000000"/>
          <w:sz w:val="18"/>
          <w:szCs w:val="18"/>
        </w:rPr>
      </w:pPr>
      <w:r w:rsidRPr="00826D34">
        <w:rPr>
          <w:rFonts w:ascii="Verdana" w:hAnsi="Verdana"/>
          <w:sz w:val="18"/>
          <w:szCs w:val="18"/>
        </w:rPr>
        <w:t xml:space="preserve">*) Door een aangescherpte definitie van de omzet per BU, heeft er een verschuiving plaatsgevonden tussen de BU’s </w:t>
      </w:r>
    </w:p>
    <w:p w:rsidR="00826D34" w:rsidRDefault="00826D34" w:rsidP="00826D34">
      <w:pPr>
        <w:spacing w:line="276" w:lineRule="auto"/>
        <w:rPr>
          <w:rFonts w:ascii="Verdana" w:hAnsi="Verdana" w:cs="Verdana"/>
          <w:sz w:val="20"/>
        </w:rPr>
      </w:pPr>
    </w:p>
    <w:p w:rsidR="00826D34" w:rsidRPr="00826D34" w:rsidRDefault="00826D34" w:rsidP="00826D34">
      <w:pPr>
        <w:spacing w:line="276" w:lineRule="auto"/>
        <w:rPr>
          <w:rFonts w:ascii="Verdana" w:hAnsi="Verdana" w:cs="Verdana"/>
          <w:sz w:val="20"/>
        </w:rPr>
      </w:pPr>
    </w:p>
    <w:p w:rsidR="00826D34" w:rsidRPr="00826D34" w:rsidRDefault="00826D34" w:rsidP="00826D34">
      <w:pPr>
        <w:spacing w:line="276" w:lineRule="auto"/>
        <w:rPr>
          <w:rFonts w:ascii="Verdana" w:hAnsi="Verdana" w:cs="Verdana"/>
          <w:b/>
          <w:bCs/>
          <w:sz w:val="20"/>
        </w:rPr>
      </w:pPr>
      <w:r w:rsidRPr="00826D34">
        <w:rPr>
          <w:rFonts w:ascii="Verdana" w:hAnsi="Verdana" w:cs="Verdana"/>
          <w:b/>
          <w:bCs/>
          <w:sz w:val="20"/>
        </w:rPr>
        <w:t>Vooruitzichten 2015</w:t>
      </w:r>
    </w:p>
    <w:p w:rsidR="00826D34" w:rsidRPr="00826D34" w:rsidRDefault="00826D34" w:rsidP="00826D34">
      <w:pPr>
        <w:spacing w:line="276" w:lineRule="auto"/>
        <w:rPr>
          <w:rFonts w:ascii="Verdana" w:hAnsi="Verdana" w:cs="Verdana"/>
          <w:sz w:val="20"/>
        </w:rPr>
      </w:pPr>
      <w:r w:rsidRPr="00826D34">
        <w:rPr>
          <w:rFonts w:ascii="Verdana" w:hAnsi="Verdana"/>
          <w:sz w:val="20"/>
        </w:rPr>
        <w:t xml:space="preserve">Het aanhoudende uitstel van opdrachten maakt het moeilijk exact aan te geven wanneer wij met onze hoge hitrate de verwachte omzetgroei zullen realiseren. Zoals gebruikelijk verwachten wij dat de omzetgroei in de twee helft van 2015 hoger zal zijn dan in de eerste helft van het jaar. Hoeveel hoger is nog onduidelijk. </w:t>
      </w:r>
    </w:p>
    <w:p w:rsidR="00826D34" w:rsidRPr="00826D34" w:rsidRDefault="00826D34" w:rsidP="00826D34">
      <w:pPr>
        <w:spacing w:line="276" w:lineRule="auto"/>
        <w:rPr>
          <w:rFonts w:ascii="Verdana" w:hAnsi="Verdana" w:cs="Verdana"/>
          <w:sz w:val="20"/>
        </w:rPr>
      </w:pPr>
      <w:r w:rsidRPr="00826D34">
        <w:rPr>
          <w:rFonts w:ascii="Verdana" w:hAnsi="Verdana" w:cs="Verdana"/>
          <w:sz w:val="20"/>
        </w:rPr>
        <w:t xml:space="preserve">Wij handhaven onze eerder gedefinieerde langetermijndoelstelling om autonoom tussen 3 en 13% per jaar te groeien bij een gemiddelde groei van de semiconductormarkt van 6% en het bedrijfs- en nettoresultaat te verbeteren. </w:t>
      </w:r>
    </w:p>
    <w:p w:rsidR="00826D34" w:rsidRPr="00826D34" w:rsidRDefault="00826D34" w:rsidP="00826D34">
      <w:pPr>
        <w:spacing w:line="276" w:lineRule="auto"/>
        <w:rPr>
          <w:rFonts w:ascii="Verdana" w:hAnsi="Verdana" w:cs="Verdana"/>
          <w:sz w:val="20"/>
        </w:rPr>
      </w:pPr>
    </w:p>
    <w:p w:rsidR="002159B4" w:rsidRDefault="002159B4">
      <w:pPr>
        <w:spacing w:after="200" w:line="276" w:lineRule="auto"/>
        <w:rPr>
          <w:rFonts w:ascii="Verdana" w:hAnsi="Verdana" w:cs="Verdana"/>
          <w:sz w:val="20"/>
        </w:rPr>
      </w:pPr>
      <w:r>
        <w:rPr>
          <w:rFonts w:ascii="Verdana" w:hAnsi="Verdana" w:cs="Verdana"/>
          <w:sz w:val="20"/>
        </w:rPr>
        <w:br w:type="page"/>
      </w:r>
    </w:p>
    <w:p w:rsidR="00826D34" w:rsidRDefault="00826D34" w:rsidP="00826D34">
      <w:pPr>
        <w:rPr>
          <w:rFonts w:ascii="Verdana" w:hAnsi="Verdana"/>
          <w:sz w:val="20"/>
        </w:rPr>
      </w:pPr>
      <w:r>
        <w:rPr>
          <w:rFonts w:ascii="Verdana" w:hAnsi="Verdana"/>
          <w:b/>
          <w:sz w:val="20"/>
        </w:rPr>
        <w:t>Financiële agenda 2015</w:t>
      </w:r>
      <w:r>
        <w:rPr>
          <w:rFonts w:ascii="Verdana" w:hAnsi="Verdana"/>
          <w:sz w:val="20"/>
        </w:rPr>
        <w:t xml:space="preserve"> </w:t>
      </w:r>
    </w:p>
    <w:p w:rsidR="00826D34" w:rsidRDefault="00826D34" w:rsidP="00826D34">
      <w:pPr>
        <w:rPr>
          <w:rFonts w:ascii="Verdana" w:hAnsi="Verdana"/>
          <w:sz w:val="20"/>
        </w:rPr>
      </w:pPr>
    </w:p>
    <w:tbl>
      <w:tblPr>
        <w:tblW w:w="0" w:type="auto"/>
        <w:tblInd w:w="2" w:type="dxa"/>
        <w:tblLook w:val="00A0"/>
      </w:tblPr>
      <w:tblGrid>
        <w:gridCol w:w="2658"/>
        <w:gridCol w:w="6946"/>
      </w:tblGrid>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bookmarkStart w:id="0" w:name="_GoBack"/>
            <w:bookmarkEnd w:id="0"/>
            <w:r>
              <w:rPr>
                <w:rFonts w:ascii="Verdana" w:hAnsi="Verdana"/>
                <w:sz w:val="20"/>
              </w:rPr>
              <w:t>23</w:t>
            </w:r>
            <w:r w:rsidRPr="00A2748B">
              <w:rPr>
                <w:rFonts w:ascii="Verdana" w:hAnsi="Verdana"/>
                <w:sz w:val="20"/>
              </w:rPr>
              <w:t xml:space="preserve"> januari 2015</w:t>
            </w:r>
          </w:p>
        </w:tc>
        <w:tc>
          <w:tcPr>
            <w:tcW w:w="6946" w:type="dxa"/>
          </w:tcPr>
          <w:p w:rsidR="00826D34" w:rsidRPr="00A2748B" w:rsidRDefault="00826D34" w:rsidP="00826D34">
            <w:pPr>
              <w:spacing w:line="276" w:lineRule="auto"/>
              <w:jc w:val="both"/>
              <w:rPr>
                <w:rFonts w:ascii="Verdana" w:hAnsi="Verdana" w:cs="Verdana"/>
                <w:sz w:val="20"/>
              </w:rPr>
            </w:pPr>
            <w:r>
              <w:rPr>
                <w:rFonts w:ascii="Verdana" w:hAnsi="Verdana" w:cs="Verdana"/>
                <w:sz w:val="20"/>
              </w:rPr>
              <w:t>Buitengewone algemene vergadering van aandeelhouders</w:t>
            </w:r>
          </w:p>
        </w:tc>
      </w:tr>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26 februari 2015</w:t>
            </w:r>
          </w:p>
        </w:tc>
        <w:tc>
          <w:tcPr>
            <w:tcW w:w="6946"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Publicatie jaarcijfers 2014</w:t>
            </w:r>
          </w:p>
        </w:tc>
      </w:tr>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26 februari 2015</w:t>
            </w:r>
          </w:p>
        </w:tc>
        <w:tc>
          <w:tcPr>
            <w:tcW w:w="6946"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Conference call pers en analisten</w:t>
            </w:r>
          </w:p>
        </w:tc>
      </w:tr>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1</w:t>
            </w:r>
            <w:r>
              <w:rPr>
                <w:rFonts w:ascii="Verdana" w:hAnsi="Verdana"/>
                <w:sz w:val="20"/>
              </w:rPr>
              <w:t>3</w:t>
            </w:r>
            <w:r w:rsidRPr="00A2748B">
              <w:rPr>
                <w:rFonts w:ascii="Verdana" w:hAnsi="Verdana"/>
                <w:sz w:val="20"/>
              </w:rPr>
              <w:t xml:space="preserve"> maart 2015</w:t>
            </w:r>
          </w:p>
        </w:tc>
        <w:tc>
          <w:tcPr>
            <w:tcW w:w="6946"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Publicatie jaarverslag 2014</w:t>
            </w:r>
          </w:p>
        </w:tc>
      </w:tr>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23 april 2015</w:t>
            </w:r>
          </w:p>
        </w:tc>
        <w:tc>
          <w:tcPr>
            <w:tcW w:w="6946"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Algemene vergadering van aandeelhouders</w:t>
            </w:r>
          </w:p>
        </w:tc>
      </w:tr>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14 mei 2015</w:t>
            </w:r>
          </w:p>
        </w:tc>
        <w:tc>
          <w:tcPr>
            <w:tcW w:w="6946"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Publicatie tussentijdse update</w:t>
            </w:r>
          </w:p>
        </w:tc>
      </w:tr>
      <w:tr w:rsidR="00826D34" w:rsidRPr="00A2748B" w:rsidTr="00826D34">
        <w:trPr>
          <w:trHeight w:val="340"/>
        </w:trPr>
        <w:tc>
          <w:tcPr>
            <w:tcW w:w="2658"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9 juli 2015</w:t>
            </w:r>
          </w:p>
        </w:tc>
        <w:tc>
          <w:tcPr>
            <w:tcW w:w="6946" w:type="dxa"/>
          </w:tcPr>
          <w:p w:rsidR="00826D34" w:rsidRPr="00A2748B" w:rsidRDefault="00826D34" w:rsidP="00826D34">
            <w:pPr>
              <w:spacing w:line="276" w:lineRule="auto"/>
              <w:jc w:val="both"/>
              <w:rPr>
                <w:rFonts w:ascii="Verdana" w:hAnsi="Verdana" w:cs="Verdana"/>
                <w:sz w:val="20"/>
              </w:rPr>
            </w:pPr>
            <w:r w:rsidRPr="00A2748B">
              <w:rPr>
                <w:rFonts w:ascii="Verdana" w:hAnsi="Verdana"/>
                <w:sz w:val="20"/>
              </w:rPr>
              <w:t>Publicatie omzetcijfers eerste halfjaar 2015</w:t>
            </w:r>
          </w:p>
        </w:tc>
      </w:tr>
      <w:tr w:rsidR="00826D34" w:rsidRPr="00A2748B" w:rsidTr="00826D34">
        <w:trPr>
          <w:trHeight w:val="340"/>
        </w:trPr>
        <w:tc>
          <w:tcPr>
            <w:tcW w:w="2658" w:type="dxa"/>
          </w:tcPr>
          <w:p w:rsidR="00826D34" w:rsidRPr="00A2748B" w:rsidRDefault="00826D34" w:rsidP="00557EFE">
            <w:pPr>
              <w:spacing w:line="276" w:lineRule="auto"/>
              <w:jc w:val="both"/>
              <w:rPr>
                <w:rFonts w:ascii="Verdana" w:hAnsi="Verdana" w:cs="Verdana"/>
                <w:sz w:val="20"/>
              </w:rPr>
            </w:pPr>
            <w:r w:rsidRPr="00A2748B">
              <w:rPr>
                <w:rFonts w:ascii="Verdana" w:hAnsi="Verdana"/>
                <w:sz w:val="20"/>
              </w:rPr>
              <w:t>27 augustus 2015</w:t>
            </w:r>
          </w:p>
        </w:tc>
        <w:tc>
          <w:tcPr>
            <w:tcW w:w="6946" w:type="dxa"/>
          </w:tcPr>
          <w:p w:rsidR="00826D34" w:rsidRPr="00A2748B" w:rsidRDefault="00826D34" w:rsidP="00557EFE">
            <w:pPr>
              <w:spacing w:line="276" w:lineRule="auto"/>
              <w:jc w:val="both"/>
              <w:rPr>
                <w:rFonts w:ascii="Verdana" w:hAnsi="Verdana" w:cs="Verdana"/>
                <w:sz w:val="20"/>
              </w:rPr>
            </w:pPr>
            <w:r w:rsidRPr="00A2748B">
              <w:rPr>
                <w:rFonts w:ascii="Verdana" w:hAnsi="Verdana"/>
                <w:sz w:val="20"/>
              </w:rPr>
              <w:t>Publicatie halfjaarbericht 2015</w:t>
            </w:r>
          </w:p>
        </w:tc>
      </w:tr>
      <w:tr w:rsidR="00826D34" w:rsidRPr="00A2748B" w:rsidTr="00826D34">
        <w:trPr>
          <w:trHeight w:val="340"/>
        </w:trPr>
        <w:tc>
          <w:tcPr>
            <w:tcW w:w="2658" w:type="dxa"/>
          </w:tcPr>
          <w:p w:rsidR="00826D34" w:rsidRPr="00A2748B" w:rsidRDefault="00826D34" w:rsidP="00557EFE">
            <w:pPr>
              <w:spacing w:line="276" w:lineRule="auto"/>
              <w:jc w:val="both"/>
              <w:rPr>
                <w:rFonts w:ascii="Verdana" w:hAnsi="Verdana" w:cs="Verdana"/>
                <w:sz w:val="20"/>
              </w:rPr>
            </w:pPr>
            <w:r w:rsidRPr="00A2748B">
              <w:rPr>
                <w:rFonts w:ascii="Verdana" w:hAnsi="Verdana"/>
                <w:sz w:val="20"/>
              </w:rPr>
              <w:t>27 augustus 2015</w:t>
            </w:r>
          </w:p>
        </w:tc>
        <w:tc>
          <w:tcPr>
            <w:tcW w:w="6946" w:type="dxa"/>
          </w:tcPr>
          <w:p w:rsidR="00826D34" w:rsidRPr="00A2748B" w:rsidRDefault="00826D34" w:rsidP="00557EFE">
            <w:pPr>
              <w:spacing w:line="276" w:lineRule="auto"/>
              <w:jc w:val="both"/>
              <w:rPr>
                <w:rFonts w:ascii="Verdana" w:hAnsi="Verdana" w:cs="Verdana"/>
                <w:sz w:val="20"/>
              </w:rPr>
            </w:pPr>
            <w:r w:rsidRPr="00A2748B">
              <w:rPr>
                <w:rFonts w:ascii="Verdana" w:hAnsi="Verdana"/>
                <w:sz w:val="20"/>
              </w:rPr>
              <w:t>Conference call pers en analisten</w:t>
            </w:r>
          </w:p>
        </w:tc>
      </w:tr>
      <w:tr w:rsidR="00826D34" w:rsidRPr="00A2748B" w:rsidTr="00826D34">
        <w:trPr>
          <w:trHeight w:val="340"/>
        </w:trPr>
        <w:tc>
          <w:tcPr>
            <w:tcW w:w="2658" w:type="dxa"/>
          </w:tcPr>
          <w:p w:rsidR="00826D34" w:rsidRPr="00A2748B" w:rsidRDefault="00826D34" w:rsidP="00557EFE">
            <w:pPr>
              <w:spacing w:line="276" w:lineRule="auto"/>
              <w:jc w:val="both"/>
              <w:rPr>
                <w:rFonts w:ascii="Verdana" w:hAnsi="Verdana" w:cs="Verdana"/>
                <w:sz w:val="20"/>
              </w:rPr>
            </w:pPr>
            <w:r w:rsidRPr="00A2748B">
              <w:rPr>
                <w:rFonts w:ascii="Verdana" w:hAnsi="Verdana"/>
                <w:sz w:val="20"/>
              </w:rPr>
              <w:t>12 november 2015</w:t>
            </w:r>
          </w:p>
        </w:tc>
        <w:tc>
          <w:tcPr>
            <w:tcW w:w="6946" w:type="dxa"/>
          </w:tcPr>
          <w:p w:rsidR="00826D34" w:rsidRPr="00A2748B" w:rsidRDefault="00826D34" w:rsidP="00557EFE">
            <w:pPr>
              <w:spacing w:line="276" w:lineRule="auto"/>
              <w:jc w:val="both"/>
              <w:rPr>
                <w:rFonts w:ascii="Verdana" w:hAnsi="Verdana" w:cs="Verdana"/>
                <w:sz w:val="20"/>
              </w:rPr>
            </w:pPr>
            <w:r w:rsidRPr="00A2748B">
              <w:rPr>
                <w:rFonts w:ascii="Verdana" w:hAnsi="Verdana"/>
                <w:sz w:val="20"/>
              </w:rPr>
              <w:t>Publicatie tussentijdse update</w:t>
            </w:r>
          </w:p>
        </w:tc>
      </w:tr>
    </w:tbl>
    <w:p w:rsidR="00826D34" w:rsidRPr="00826D34" w:rsidRDefault="00826D34" w:rsidP="00826D34">
      <w:pPr>
        <w:rPr>
          <w:rFonts w:ascii="Verdana" w:hAnsi="Verdana" w:cs="Verdana"/>
          <w:sz w:val="20"/>
          <w:highlight w:val="yellow"/>
        </w:rPr>
      </w:pPr>
    </w:p>
    <w:p w:rsidR="00826D34" w:rsidRPr="00826D34" w:rsidRDefault="00826D34" w:rsidP="00826D34">
      <w:pPr>
        <w:rPr>
          <w:rFonts w:ascii="Verdana" w:hAnsi="Verdana" w:cs="Verdana"/>
          <w:sz w:val="20"/>
          <w:highlight w:val="yellow"/>
        </w:rPr>
      </w:pPr>
    </w:p>
    <w:p w:rsidR="00826D34" w:rsidRPr="00826D34" w:rsidRDefault="00826D34" w:rsidP="00826D34">
      <w:pPr>
        <w:spacing w:line="276" w:lineRule="auto"/>
        <w:rPr>
          <w:rFonts w:ascii="Verdana" w:hAnsi="Verdana"/>
          <w:b/>
          <w:sz w:val="20"/>
        </w:rPr>
      </w:pPr>
      <w:r w:rsidRPr="00826D34">
        <w:rPr>
          <w:rFonts w:ascii="Verdana" w:hAnsi="Verdana"/>
          <w:b/>
          <w:sz w:val="20"/>
        </w:rPr>
        <w:t>Accountantscontrole</w:t>
      </w:r>
    </w:p>
    <w:p w:rsidR="00826D34" w:rsidRPr="00826D34" w:rsidRDefault="00826D34" w:rsidP="00826D34">
      <w:pPr>
        <w:spacing w:line="276" w:lineRule="auto"/>
        <w:rPr>
          <w:rFonts w:ascii="Verdana" w:hAnsi="Verdana"/>
          <w:sz w:val="20"/>
        </w:rPr>
      </w:pPr>
      <w:r w:rsidRPr="00826D34">
        <w:rPr>
          <w:rFonts w:ascii="Verdana" w:hAnsi="Verdana"/>
          <w:sz w:val="20"/>
        </w:rPr>
        <w:t xml:space="preserve">Op de financiële gegevens is geen accountantscontrole toegepast. </w:t>
      </w:r>
    </w:p>
    <w:p w:rsidR="00826D34" w:rsidRPr="00826D34" w:rsidRDefault="00826D34" w:rsidP="00826D34">
      <w:pPr>
        <w:spacing w:line="276" w:lineRule="auto"/>
        <w:rPr>
          <w:rFonts w:ascii="Verdana" w:hAnsi="Verdana"/>
          <w:sz w:val="20"/>
        </w:rPr>
      </w:pPr>
    </w:p>
    <w:p w:rsidR="00826D34" w:rsidRPr="00826D34" w:rsidRDefault="00826D34" w:rsidP="00826D34">
      <w:pPr>
        <w:spacing w:line="276" w:lineRule="auto"/>
        <w:rPr>
          <w:rFonts w:ascii="Verdana" w:hAnsi="Verdana"/>
          <w:sz w:val="20"/>
        </w:rPr>
      </w:pPr>
    </w:p>
    <w:p w:rsidR="00826D34" w:rsidRPr="00826D34" w:rsidRDefault="00826D34" w:rsidP="00826D34">
      <w:pPr>
        <w:spacing w:line="276" w:lineRule="auto"/>
        <w:rPr>
          <w:rFonts w:ascii="Verdana" w:hAnsi="Verdana"/>
          <w:sz w:val="20"/>
        </w:rPr>
      </w:pPr>
      <w:r w:rsidRPr="00826D34">
        <w:rPr>
          <w:rFonts w:ascii="Verdana" w:hAnsi="Verdana"/>
          <w:b/>
          <w:sz w:val="20"/>
        </w:rPr>
        <w:t>Toekomstgerichte uitspraken</w:t>
      </w:r>
    </w:p>
    <w:p w:rsidR="00826D34" w:rsidRDefault="00826D34" w:rsidP="00826D34">
      <w:pPr>
        <w:spacing w:line="276" w:lineRule="auto"/>
        <w:rPr>
          <w:rFonts w:ascii="Verdana" w:hAnsi="Verdana"/>
          <w:sz w:val="20"/>
        </w:rPr>
      </w:pPr>
      <w:r w:rsidRPr="00826D34">
        <w:rPr>
          <w:rFonts w:ascii="Verdana" w:hAnsi="Verdana"/>
          <w:sz w:val="20"/>
        </w:rPr>
        <w:t>Dit persbericht bevat een aantal toekomstgerichte uitspraken. Deze uitspraken zijn gebaseerd op de huidige verwachtingen, inschattingen en prognoses van het management en de informatie die de onderneming momenteel ter beschikking staat. De uitspraken zijn onderhevig aan bepaalde risico’s en onzekerheden die moeilijk zijn in te schatten, zoals algemene economische omstandigheden, rentepercentages, wisselkoersen en veranderingen in wet- en regelgevingen. Het management van RoodMicrotec kan dan ook niet garanderen dat haar verwachtingen zullen uitkomen. Verder aanvaardt RoodMicrotec geen verplichtingen om de in dit persbericht gedane uitspraken te actualiseren.</w:t>
      </w:r>
    </w:p>
    <w:p w:rsidR="00826D34" w:rsidRDefault="00826D34" w:rsidP="00826D34">
      <w:pPr>
        <w:spacing w:line="276" w:lineRule="auto"/>
        <w:rPr>
          <w:rFonts w:ascii="Verdana" w:hAnsi="Verdana"/>
          <w:sz w:val="20"/>
        </w:rPr>
      </w:pPr>
    </w:p>
    <w:p w:rsidR="00826D34" w:rsidRPr="00826D34" w:rsidRDefault="00826D34" w:rsidP="00826D34">
      <w:pPr>
        <w:spacing w:line="276" w:lineRule="auto"/>
        <w:rPr>
          <w:rFonts w:ascii="Verdana" w:hAnsi="Verdana"/>
          <w:sz w:val="20"/>
        </w:rPr>
      </w:pPr>
    </w:p>
    <w:p w:rsidR="00486DBA" w:rsidRPr="001644F0" w:rsidRDefault="00486DBA" w:rsidP="009B5216">
      <w:pPr>
        <w:spacing w:line="276" w:lineRule="auto"/>
        <w:rPr>
          <w:rFonts w:ascii="Verdana" w:hAnsi="Verdana"/>
          <w:b/>
          <w:bCs/>
          <w:sz w:val="20"/>
        </w:rPr>
      </w:pPr>
      <w:r>
        <w:rPr>
          <w:rFonts w:ascii="Verdana" w:hAnsi="Verdana"/>
          <w:b/>
          <w:sz w:val="20"/>
        </w:rPr>
        <w:t xml:space="preserve">Over </w:t>
      </w:r>
      <w:r>
        <w:rPr>
          <w:rFonts w:ascii="Verdana" w:hAnsi="Verdana"/>
          <w:b/>
          <w:color w:val="B71234"/>
          <w:sz w:val="20"/>
        </w:rPr>
        <w:t>Rood</w:t>
      </w:r>
      <w:r>
        <w:rPr>
          <w:rFonts w:ascii="Verdana" w:hAnsi="Verdana"/>
          <w:b/>
          <w:sz w:val="20"/>
        </w:rPr>
        <w:t>Microtec</w:t>
      </w:r>
    </w:p>
    <w:p w:rsidR="00486DBA" w:rsidRPr="001644F0" w:rsidRDefault="00486DBA" w:rsidP="009B5216">
      <w:pPr>
        <w:spacing w:line="276" w:lineRule="auto"/>
        <w:rPr>
          <w:rFonts w:ascii="Verdana" w:hAnsi="Verdana"/>
          <w:sz w:val="20"/>
        </w:rPr>
      </w:pPr>
      <w:r>
        <w:rPr>
          <w:rFonts w:ascii="Verdana" w:hAnsi="Verdana"/>
          <w:sz w:val="20"/>
        </w:rPr>
        <w:t xml:space="preserve">Met 45 jaar ervaring als een onafhankelijke value-added dienstverlener op het gebied van micro- en optoelectronica biedt </w:t>
      </w:r>
      <w:r>
        <w:rPr>
          <w:rFonts w:ascii="Verdana" w:hAnsi="Verdana"/>
          <w:color w:val="B71234"/>
          <w:sz w:val="20"/>
        </w:rPr>
        <w:t>Rood</w:t>
      </w:r>
      <w:r>
        <w:rPr>
          <w:rFonts w:ascii="Verdana" w:hAnsi="Verdana"/>
          <w:sz w:val="20"/>
        </w:rPr>
        <w:t xml:space="preserve">Microtec fabless companies, OEM’s en andere ondernemingen een one-stop shop propositie. Met haar </w:t>
      </w:r>
      <w:r>
        <w:rPr>
          <w:rFonts w:ascii="Verdana" w:hAnsi="Verdana"/>
          <w:i/>
          <w:sz w:val="20"/>
        </w:rPr>
        <w:t xml:space="preserve">powerful solutions </w:t>
      </w:r>
      <w:r>
        <w:rPr>
          <w:rFonts w:ascii="Verdana" w:hAnsi="Verdana"/>
          <w:sz w:val="20"/>
        </w:rPr>
        <w:t xml:space="preserve">heeft </w:t>
      </w:r>
      <w:r>
        <w:rPr>
          <w:rFonts w:ascii="Verdana" w:hAnsi="Verdana"/>
          <w:color w:val="B71234"/>
          <w:sz w:val="20"/>
        </w:rPr>
        <w:t>Rood</w:t>
      </w:r>
      <w:r>
        <w:rPr>
          <w:rFonts w:ascii="Verdana" w:hAnsi="Verdana"/>
          <w:sz w:val="20"/>
        </w:rPr>
        <w:t>Microtec een sterke positie in Europa opgebouwd.</w:t>
      </w:r>
    </w:p>
    <w:p w:rsidR="00826D34" w:rsidRDefault="00826D34" w:rsidP="009B5216">
      <w:pPr>
        <w:spacing w:line="276" w:lineRule="auto"/>
        <w:rPr>
          <w:rFonts w:ascii="Verdana" w:hAnsi="Verdana"/>
          <w:sz w:val="20"/>
        </w:rPr>
      </w:pPr>
    </w:p>
    <w:p w:rsidR="00486DBA" w:rsidRPr="001644F0" w:rsidRDefault="00486DBA" w:rsidP="009B5216">
      <w:pPr>
        <w:spacing w:line="276" w:lineRule="auto"/>
        <w:rPr>
          <w:rFonts w:ascii="Verdana" w:hAnsi="Verdana"/>
          <w:sz w:val="20"/>
        </w:rPr>
      </w:pPr>
      <w:r>
        <w:rPr>
          <w:rFonts w:ascii="Verdana" w:hAnsi="Verdana"/>
          <w:sz w:val="20"/>
        </w:rPr>
        <w:t>De diensten voldoen aan de industriële en kwaliteitseisen van de high-reliability/ruimtevaart, automobiel-, telecommunicatie-, medische-, IT- and elektronicasectoren.</w:t>
      </w:r>
    </w:p>
    <w:p w:rsidR="00486DBA" w:rsidRPr="001644F0" w:rsidRDefault="00486DBA" w:rsidP="009B5216">
      <w:pPr>
        <w:spacing w:line="276" w:lineRule="auto"/>
        <w:rPr>
          <w:rFonts w:ascii="Verdana" w:hAnsi="Verdana"/>
          <w:sz w:val="20"/>
        </w:rPr>
      </w:pPr>
    </w:p>
    <w:p w:rsidR="00486DBA" w:rsidRPr="001644F0" w:rsidRDefault="00486DBA" w:rsidP="009B5216">
      <w:pPr>
        <w:spacing w:line="276" w:lineRule="auto"/>
        <w:rPr>
          <w:rFonts w:ascii="Verdana" w:hAnsi="Verdana"/>
          <w:sz w:val="20"/>
        </w:rPr>
      </w:pPr>
      <w:r>
        <w:rPr>
          <w:rFonts w:ascii="Verdana" w:hAnsi="Verdana"/>
          <w:i/>
          <w:sz w:val="20"/>
        </w:rPr>
        <w:t xml:space="preserve">'Certified by </w:t>
      </w:r>
      <w:r>
        <w:rPr>
          <w:rFonts w:ascii="Verdana" w:hAnsi="Verdana"/>
          <w:i/>
          <w:color w:val="B71234"/>
          <w:sz w:val="20"/>
        </w:rPr>
        <w:t>Rood</w:t>
      </w:r>
      <w:r>
        <w:rPr>
          <w:rFonts w:ascii="Verdana" w:hAnsi="Verdana"/>
          <w:i/>
          <w:sz w:val="20"/>
        </w:rPr>
        <w:t>Microtec'</w:t>
      </w:r>
      <w:r>
        <w:rPr>
          <w:rFonts w:ascii="Verdana" w:hAnsi="Verdana"/>
          <w:sz w:val="20"/>
        </w:rPr>
        <w:t xml:space="preserve"> betreft onder andere testen van producten volgens de strenge ISO/TS 16949-norm die geldt voor toeleveranciers van de automobielindustrie. De onderneming beschikt tevens over een geaccrediteerd laboratorium voor testactiviteiten en kalibrering volgens ISO/IEC 17025.</w:t>
      </w:r>
    </w:p>
    <w:p w:rsidR="00486DBA" w:rsidRPr="001644F0" w:rsidRDefault="00486DBA" w:rsidP="009B5216">
      <w:pPr>
        <w:spacing w:line="276" w:lineRule="auto"/>
        <w:rPr>
          <w:rFonts w:ascii="Verdana" w:hAnsi="Verdana"/>
          <w:sz w:val="20"/>
        </w:rPr>
      </w:pPr>
    </w:p>
    <w:p w:rsidR="00486DBA" w:rsidRPr="003E21A6" w:rsidRDefault="00486DBA" w:rsidP="009B5216">
      <w:pPr>
        <w:spacing w:line="276" w:lineRule="auto"/>
        <w:rPr>
          <w:rFonts w:ascii="Verdana" w:hAnsi="Verdana"/>
          <w:sz w:val="20"/>
          <w:lang w:val="en-GB"/>
        </w:rPr>
      </w:pPr>
      <w:r w:rsidRPr="003E21A6">
        <w:rPr>
          <w:rFonts w:ascii="Verdana" w:hAnsi="Verdana"/>
          <w:sz w:val="20"/>
          <w:lang w:val="en-GB"/>
        </w:rPr>
        <w:t xml:space="preserve">The value-added </w:t>
      </w:r>
      <w:proofErr w:type="spellStart"/>
      <w:r w:rsidRPr="003E21A6">
        <w:rPr>
          <w:rFonts w:ascii="Verdana" w:hAnsi="Verdana"/>
          <w:sz w:val="20"/>
          <w:lang w:val="en-GB"/>
        </w:rPr>
        <w:t>diensten</w:t>
      </w:r>
      <w:proofErr w:type="spellEnd"/>
      <w:r w:rsidRPr="003E21A6">
        <w:rPr>
          <w:rFonts w:ascii="Verdana" w:hAnsi="Verdana"/>
          <w:sz w:val="20"/>
          <w:lang w:val="en-GB"/>
        </w:rPr>
        <w:t xml:space="preserve"> </w:t>
      </w:r>
      <w:proofErr w:type="spellStart"/>
      <w:r w:rsidRPr="003E21A6">
        <w:rPr>
          <w:rFonts w:ascii="Verdana" w:hAnsi="Verdana"/>
          <w:sz w:val="20"/>
          <w:lang w:val="en-GB"/>
        </w:rPr>
        <w:t>omvatten</w:t>
      </w:r>
      <w:proofErr w:type="spellEnd"/>
      <w:r w:rsidRPr="003E21A6">
        <w:rPr>
          <w:rFonts w:ascii="Verdana" w:hAnsi="Verdana"/>
          <w:sz w:val="20"/>
          <w:lang w:val="en-GB"/>
        </w:rPr>
        <w:t xml:space="preserve"> </w:t>
      </w:r>
      <w:proofErr w:type="spellStart"/>
      <w:r w:rsidRPr="003E21A6">
        <w:rPr>
          <w:rFonts w:ascii="Verdana" w:hAnsi="Verdana"/>
          <w:sz w:val="20"/>
          <w:lang w:val="en-GB"/>
        </w:rPr>
        <w:t>onder</w:t>
      </w:r>
      <w:proofErr w:type="spellEnd"/>
      <w:r w:rsidRPr="003E21A6">
        <w:rPr>
          <w:rFonts w:ascii="Verdana" w:hAnsi="Verdana"/>
          <w:sz w:val="20"/>
          <w:lang w:val="en-GB"/>
        </w:rPr>
        <w:t xml:space="preserve"> </w:t>
      </w:r>
      <w:proofErr w:type="spellStart"/>
      <w:r w:rsidRPr="003E21A6">
        <w:rPr>
          <w:rFonts w:ascii="Verdana" w:hAnsi="Verdana"/>
          <w:sz w:val="20"/>
          <w:lang w:val="en-GB"/>
        </w:rPr>
        <w:t>meer</w:t>
      </w:r>
      <w:proofErr w:type="spellEnd"/>
      <w:r w:rsidRPr="003E21A6">
        <w:rPr>
          <w:rFonts w:ascii="Verdana" w:hAnsi="Verdana"/>
          <w:sz w:val="20"/>
          <w:lang w:val="en-GB"/>
        </w:rPr>
        <w:t xml:space="preserve"> (</w:t>
      </w:r>
      <w:proofErr w:type="spellStart"/>
      <w:r w:rsidRPr="003E21A6">
        <w:rPr>
          <w:rFonts w:ascii="Verdana" w:hAnsi="Verdana"/>
          <w:sz w:val="20"/>
          <w:lang w:val="en-GB"/>
        </w:rPr>
        <w:t>e</w:t>
      </w:r>
      <w:r w:rsidRPr="003E21A6">
        <w:rPr>
          <w:rFonts w:ascii="Verdana" w:hAnsi="Verdana"/>
          <w:color w:val="FF0000"/>
          <w:sz w:val="20"/>
          <w:lang w:val="en-GB"/>
        </w:rPr>
        <w:t>X</w:t>
      </w:r>
      <w:r w:rsidRPr="003E21A6">
        <w:rPr>
          <w:rFonts w:ascii="Verdana" w:hAnsi="Verdana"/>
          <w:sz w:val="20"/>
          <w:lang w:val="en-GB"/>
        </w:rPr>
        <w:t>tended</w:t>
      </w:r>
      <w:proofErr w:type="spellEnd"/>
      <w:r w:rsidRPr="003E21A6">
        <w:rPr>
          <w:rFonts w:ascii="Verdana" w:hAnsi="Verdana"/>
          <w:sz w:val="20"/>
          <w:lang w:val="en-GB"/>
        </w:rPr>
        <w:t>) supply chain management, failure &amp; technology analysis, qualification &amp; burn-in, test &amp; product engineering, production test (</w:t>
      </w:r>
      <w:proofErr w:type="spellStart"/>
      <w:r w:rsidRPr="003E21A6">
        <w:rPr>
          <w:rFonts w:ascii="Verdana" w:hAnsi="Verdana"/>
          <w:sz w:val="20"/>
          <w:lang w:val="en-GB"/>
        </w:rPr>
        <w:t>waaronder</w:t>
      </w:r>
      <w:proofErr w:type="spellEnd"/>
      <w:r w:rsidRPr="003E21A6">
        <w:rPr>
          <w:rFonts w:ascii="Verdana" w:hAnsi="Verdana"/>
          <w:sz w:val="20"/>
          <w:lang w:val="en-GB"/>
        </w:rPr>
        <w:t xml:space="preserve"> device programming en end-of-line service), ESD/ESDFOS assessment &amp; training, quality &amp; reliability consulting en total manufacturing solutions met partners.</w:t>
      </w:r>
    </w:p>
    <w:p w:rsidR="00486DBA" w:rsidRPr="003E21A6" w:rsidRDefault="00486DBA" w:rsidP="009B5216">
      <w:pPr>
        <w:spacing w:line="276" w:lineRule="auto"/>
        <w:rPr>
          <w:rFonts w:ascii="Verdana" w:hAnsi="Verdana"/>
          <w:sz w:val="20"/>
          <w:lang w:val="en-GB"/>
        </w:rPr>
      </w:pPr>
    </w:p>
    <w:p w:rsidR="00486DBA" w:rsidRPr="001644F0" w:rsidRDefault="00486DBA" w:rsidP="009B5216">
      <w:pPr>
        <w:spacing w:line="276" w:lineRule="auto"/>
        <w:rPr>
          <w:rFonts w:ascii="Verdana" w:hAnsi="Verdana"/>
          <w:b/>
          <w:bCs/>
          <w:sz w:val="20"/>
        </w:rPr>
      </w:pPr>
      <w:r>
        <w:rPr>
          <w:rFonts w:ascii="Verdana" w:hAnsi="Verdana"/>
          <w:color w:val="B71234"/>
          <w:sz w:val="20"/>
        </w:rPr>
        <w:t>Rood</w:t>
      </w:r>
      <w:r>
        <w:rPr>
          <w:rFonts w:ascii="Verdana" w:hAnsi="Verdana"/>
          <w:sz w:val="20"/>
        </w:rPr>
        <w:t xml:space="preserve">Microtec heeft vestigingen in Duitsland (Dresden, Nördlingen, Stuttgart), in het VK (Bath) en in Nederland (Zwolle). </w:t>
      </w:r>
    </w:p>
    <w:p w:rsidR="00486DBA" w:rsidRDefault="00486DBA" w:rsidP="009B5216">
      <w:pPr>
        <w:spacing w:line="276" w:lineRule="auto"/>
        <w:rPr>
          <w:rFonts w:ascii="Verdana" w:hAnsi="Verdana"/>
          <w:sz w:val="20"/>
        </w:rPr>
      </w:pPr>
    </w:p>
    <w:p w:rsidR="00826D34" w:rsidRPr="001644F0" w:rsidRDefault="00826D34" w:rsidP="009B5216">
      <w:pPr>
        <w:spacing w:line="276" w:lineRule="auto"/>
        <w:rPr>
          <w:rFonts w:ascii="Verdana" w:hAnsi="Verdana"/>
          <w:sz w:val="20"/>
        </w:rPr>
      </w:pPr>
    </w:p>
    <w:p w:rsidR="00486DBA" w:rsidRPr="001644F0" w:rsidRDefault="00486DBA" w:rsidP="009B5216">
      <w:pPr>
        <w:tabs>
          <w:tab w:val="left" w:pos="3969"/>
          <w:tab w:val="left" w:pos="6804"/>
        </w:tabs>
        <w:spacing w:line="276" w:lineRule="auto"/>
        <w:jc w:val="both"/>
        <w:rPr>
          <w:rFonts w:ascii="Verdana" w:hAnsi="Verdana"/>
          <w:b/>
          <w:bCs/>
          <w:sz w:val="20"/>
        </w:rPr>
      </w:pPr>
      <w:r>
        <w:rPr>
          <w:rFonts w:ascii="Verdana" w:hAnsi="Verdana"/>
          <w:b/>
          <w:sz w:val="20"/>
        </w:rPr>
        <w:t>Voor nadere informatie:</w:t>
      </w:r>
    </w:p>
    <w:p w:rsidR="00486DBA" w:rsidRPr="001644F0" w:rsidRDefault="00486DBA" w:rsidP="009B5216">
      <w:pPr>
        <w:tabs>
          <w:tab w:val="left" w:pos="2552"/>
          <w:tab w:val="left" w:pos="3402"/>
          <w:tab w:val="left" w:pos="4962"/>
          <w:tab w:val="left" w:pos="6804"/>
        </w:tabs>
        <w:spacing w:line="276" w:lineRule="auto"/>
        <w:jc w:val="both"/>
        <w:rPr>
          <w:rFonts w:ascii="Verdana" w:hAnsi="Verdana"/>
          <w:sz w:val="20"/>
        </w:rPr>
      </w:pPr>
      <w:r>
        <w:rPr>
          <w:rFonts w:ascii="Verdana" w:hAnsi="Verdana"/>
          <w:sz w:val="20"/>
        </w:rPr>
        <w:t>Philip Nijenhuis, CEO</w:t>
      </w:r>
      <w:r>
        <w:rPr>
          <w:rFonts w:ascii="Verdana" w:hAnsi="Verdana"/>
          <w:color w:val="000000"/>
          <w:sz w:val="20"/>
        </w:rPr>
        <w:t xml:space="preserve"> </w:t>
      </w:r>
    </w:p>
    <w:p w:rsidR="00486DBA" w:rsidRPr="001644F0" w:rsidRDefault="00486DBA" w:rsidP="009B5216">
      <w:pPr>
        <w:tabs>
          <w:tab w:val="left" w:pos="1701"/>
          <w:tab w:val="left" w:pos="3402"/>
          <w:tab w:val="left" w:pos="4962"/>
          <w:tab w:val="left" w:pos="6804"/>
        </w:tabs>
        <w:spacing w:line="276" w:lineRule="auto"/>
        <w:jc w:val="both"/>
        <w:rPr>
          <w:rFonts w:ascii="Verdana" w:hAnsi="Verdana"/>
          <w:sz w:val="20"/>
        </w:rPr>
      </w:pPr>
      <w:r>
        <w:rPr>
          <w:rFonts w:ascii="Verdana" w:hAnsi="Verdana"/>
          <w:sz w:val="20"/>
        </w:rPr>
        <w:t>Telefoon</w:t>
      </w:r>
      <w:r>
        <w:tab/>
      </w:r>
      <w:r>
        <w:rPr>
          <w:rFonts w:ascii="Verdana" w:hAnsi="Verdana"/>
          <w:color w:val="000000"/>
          <w:sz w:val="20"/>
        </w:rPr>
        <w:t>+31 (0) 38 4215216</w:t>
      </w:r>
    </w:p>
    <w:p w:rsidR="00486DBA" w:rsidRPr="001644F0" w:rsidRDefault="00486DBA" w:rsidP="009B5216">
      <w:pPr>
        <w:tabs>
          <w:tab w:val="left" w:pos="1701"/>
          <w:tab w:val="left" w:pos="3969"/>
          <w:tab w:val="left" w:pos="4962"/>
        </w:tabs>
        <w:spacing w:line="276" w:lineRule="auto"/>
        <w:jc w:val="both"/>
        <w:rPr>
          <w:rFonts w:ascii="Verdana" w:hAnsi="Verdana"/>
          <w:color w:val="000000"/>
          <w:sz w:val="20"/>
        </w:rPr>
      </w:pPr>
      <w:r>
        <w:rPr>
          <w:rFonts w:ascii="Verdana" w:hAnsi="Verdana"/>
          <w:noProof/>
          <w:color w:val="000000"/>
          <w:sz w:val="20"/>
        </w:rPr>
        <w:t>E-mail:</w:t>
      </w:r>
      <w:r>
        <w:tab/>
      </w:r>
      <w:hyperlink r:id="rId8">
        <w:r>
          <w:rPr>
            <w:rStyle w:val="Hyperlink"/>
            <w:rFonts w:ascii="Verdana" w:hAnsi="Verdana"/>
            <w:noProof/>
            <w:sz w:val="20"/>
          </w:rPr>
          <w:t>investor-relations@roodmicrotec.com</w:t>
        </w:r>
      </w:hyperlink>
    </w:p>
    <w:p w:rsidR="00486DBA" w:rsidRPr="003E21A6" w:rsidRDefault="00486DBA" w:rsidP="009B5216">
      <w:pPr>
        <w:tabs>
          <w:tab w:val="left" w:pos="1701"/>
          <w:tab w:val="left" w:pos="3969"/>
          <w:tab w:val="left" w:pos="4962"/>
        </w:tabs>
        <w:spacing w:line="276" w:lineRule="auto"/>
        <w:jc w:val="both"/>
        <w:rPr>
          <w:lang w:val="de-DE"/>
        </w:rPr>
      </w:pPr>
      <w:r w:rsidRPr="003E21A6">
        <w:rPr>
          <w:rFonts w:ascii="Verdana" w:hAnsi="Verdana"/>
          <w:noProof/>
          <w:color w:val="000000"/>
          <w:sz w:val="20"/>
          <w:lang w:val="de-DE"/>
        </w:rPr>
        <w:t>Website:</w:t>
      </w:r>
      <w:r w:rsidRPr="003E21A6">
        <w:rPr>
          <w:lang w:val="de-DE"/>
        </w:rPr>
        <w:tab/>
      </w:r>
      <w:hyperlink r:id="rId9">
        <w:r w:rsidRPr="003E21A6">
          <w:rPr>
            <w:rStyle w:val="Hyperlink"/>
            <w:rFonts w:ascii="Verdana" w:hAnsi="Verdana"/>
            <w:noProof/>
            <w:sz w:val="20"/>
            <w:lang w:val="de-DE"/>
          </w:rPr>
          <w:t>www.roodmicrotec.com</w:t>
        </w:r>
      </w:hyperlink>
    </w:p>
    <w:sectPr w:rsidR="00486DBA" w:rsidRPr="003E21A6" w:rsidSect="00C9486C">
      <w:headerReference w:type="default" r:id="rId10"/>
      <w:footerReference w:type="default" r:id="rId11"/>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06F" w:rsidRDefault="00DB706F" w:rsidP="00C9486C">
      <w:r>
        <w:separator/>
      </w:r>
    </w:p>
  </w:endnote>
  <w:endnote w:type="continuationSeparator" w:id="0">
    <w:p w:rsidR="00DB706F" w:rsidRDefault="00DB706F"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456">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216" w:rsidRPr="00537E53" w:rsidRDefault="009B5216" w:rsidP="00C9486C">
    <w:pPr>
      <w:pStyle w:val="Fuzeile"/>
      <w:pBdr>
        <w:top w:val="single" w:sz="12" w:space="0" w:color="B71234"/>
      </w:pBdr>
      <w:tabs>
        <w:tab w:val="clear" w:pos="9072"/>
        <w:tab w:val="right" w:pos="9639"/>
      </w:tabs>
      <w:rPr>
        <w:rStyle w:val="Seitenzahl"/>
        <w:rFonts w:ascii="Verdana" w:hAnsi="Verdana"/>
        <w:sz w:val="18"/>
        <w:szCs w:val="18"/>
      </w:rPr>
    </w:pPr>
  </w:p>
  <w:p w:rsidR="009B5216" w:rsidRPr="00826D34" w:rsidRDefault="008B499F" w:rsidP="00783E7C">
    <w:pPr>
      <w:pStyle w:val="Fuzeile1"/>
      <w:tabs>
        <w:tab w:val="clear" w:pos="4536"/>
        <w:tab w:val="clear" w:pos="9072"/>
        <w:tab w:val="center" w:pos="4253"/>
        <w:tab w:val="right" w:pos="9923"/>
      </w:tabs>
      <w:rPr>
        <w:sz w:val="18"/>
        <w:szCs w:val="18"/>
      </w:rPr>
    </w:pPr>
    <w:r w:rsidRPr="00537E53">
      <w:rPr>
        <w:rStyle w:val="Seitenzahl"/>
        <w:sz w:val="18"/>
        <w:szCs w:val="18"/>
      </w:rPr>
      <w:fldChar w:fldCharType="begin"/>
    </w:r>
    <w:r w:rsidR="009B5216" w:rsidRPr="00826D34">
      <w:rPr>
        <w:rStyle w:val="Seitenzahl"/>
        <w:sz w:val="18"/>
        <w:szCs w:val="18"/>
      </w:rPr>
      <w:instrText xml:space="preserve"> PAGE </w:instrText>
    </w:r>
    <w:r w:rsidRPr="00537E53">
      <w:rPr>
        <w:rStyle w:val="Seitenzahl"/>
        <w:sz w:val="18"/>
        <w:szCs w:val="18"/>
      </w:rPr>
      <w:fldChar w:fldCharType="separate"/>
    </w:r>
    <w:r w:rsidR="00582E9A">
      <w:rPr>
        <w:rStyle w:val="Seitenzahl"/>
        <w:noProof/>
        <w:sz w:val="18"/>
        <w:szCs w:val="18"/>
      </w:rPr>
      <w:t>3</w:t>
    </w:r>
    <w:r w:rsidRPr="00537E53">
      <w:rPr>
        <w:rStyle w:val="Seitenzahl"/>
        <w:sz w:val="18"/>
        <w:szCs w:val="18"/>
      </w:rPr>
      <w:fldChar w:fldCharType="end"/>
    </w:r>
    <w:r w:rsidR="008932C1" w:rsidRPr="00826D34">
      <w:rPr>
        <w:rStyle w:val="Seitenzahl"/>
        <w:sz w:val="18"/>
      </w:rPr>
      <w:t xml:space="preserve"> / </w:t>
    </w:r>
    <w:r w:rsidRPr="00537E53">
      <w:rPr>
        <w:rStyle w:val="Seitenzahl"/>
        <w:sz w:val="18"/>
        <w:szCs w:val="18"/>
      </w:rPr>
      <w:fldChar w:fldCharType="begin"/>
    </w:r>
    <w:r w:rsidR="009B5216" w:rsidRPr="00826D34">
      <w:rPr>
        <w:rStyle w:val="Seitenzahl"/>
        <w:sz w:val="18"/>
        <w:szCs w:val="18"/>
      </w:rPr>
      <w:instrText xml:space="preserve"> NUMPAGES </w:instrText>
    </w:r>
    <w:r w:rsidRPr="00537E53">
      <w:rPr>
        <w:rStyle w:val="Seitenzahl"/>
        <w:sz w:val="18"/>
        <w:szCs w:val="18"/>
      </w:rPr>
      <w:fldChar w:fldCharType="separate"/>
    </w:r>
    <w:r w:rsidR="00582E9A">
      <w:rPr>
        <w:rStyle w:val="Seitenzahl"/>
        <w:noProof/>
        <w:sz w:val="18"/>
        <w:szCs w:val="18"/>
      </w:rPr>
      <w:t>4</w:t>
    </w:r>
    <w:r w:rsidRPr="00537E53">
      <w:rPr>
        <w:rStyle w:val="Seitenzahl"/>
        <w:sz w:val="18"/>
        <w:szCs w:val="18"/>
      </w:rPr>
      <w:fldChar w:fldCharType="end"/>
    </w:r>
    <w:r w:rsidR="008932C1" w:rsidRPr="00826D34">
      <w:tab/>
    </w:r>
    <w:r w:rsidR="004B30A9" w:rsidRPr="00826D34">
      <w:rPr>
        <w:noProof/>
        <w:sz w:val="18"/>
      </w:rPr>
      <w:t xml:space="preserve">RoodMicrotec </w:t>
    </w:r>
    <w:r w:rsidR="00826D34" w:rsidRPr="00826D34">
      <w:rPr>
        <w:noProof/>
        <w:sz w:val="18"/>
      </w:rPr>
      <w:t>–</w:t>
    </w:r>
    <w:r w:rsidR="004B30A9" w:rsidRPr="00826D34">
      <w:rPr>
        <w:noProof/>
        <w:sz w:val="18"/>
      </w:rPr>
      <w:t xml:space="preserve"> </w:t>
    </w:r>
    <w:r w:rsidR="00826D34" w:rsidRPr="00826D34">
      <w:rPr>
        <w:noProof/>
        <w:sz w:val="18"/>
      </w:rPr>
      <w:t>Voorlopige omzet 2014</w:t>
    </w:r>
    <w:r w:rsidR="008932C1" w:rsidRPr="00826D34">
      <w:tab/>
    </w:r>
    <w:r w:rsidR="008932C1" w:rsidRPr="00826D34">
      <w:rPr>
        <w:color w:val="B71234"/>
        <w:sz w:val="18"/>
      </w:rPr>
      <w:t>… certified by Rood</w:t>
    </w:r>
    <w:r w:rsidR="008932C1" w:rsidRPr="00826D34">
      <w:rPr>
        <w:sz w:val="18"/>
      </w:rPr>
      <w:t>Microtec.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06F" w:rsidRDefault="00DB706F" w:rsidP="00C9486C">
      <w:r>
        <w:separator/>
      </w:r>
    </w:p>
  </w:footnote>
  <w:footnote w:type="continuationSeparator" w:id="0">
    <w:p w:rsidR="00DB706F" w:rsidRDefault="00DB706F"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216" w:rsidRPr="007272B9" w:rsidRDefault="009B5216" w:rsidP="00C9486C">
    <w:pPr>
      <w:pStyle w:val="Kopfzeile"/>
      <w:tabs>
        <w:tab w:val="clear" w:pos="9072"/>
        <w:tab w:val="right" w:pos="9639"/>
      </w:tabs>
      <w:rPr>
        <w:rFonts w:ascii="Verdana" w:hAnsi="Verdana"/>
      </w:rPr>
    </w:pPr>
  </w:p>
  <w:p w:rsidR="009B5216" w:rsidRPr="007272B9" w:rsidRDefault="009B5216" w:rsidP="00C9486C">
    <w:pPr>
      <w:pStyle w:val="Kopfzeile"/>
      <w:tabs>
        <w:tab w:val="clear" w:pos="9072"/>
        <w:tab w:val="right" w:pos="9639"/>
      </w:tabs>
      <w:rPr>
        <w:rFonts w:ascii="Verdana" w:hAnsi="Verdana"/>
      </w:rPr>
    </w:pPr>
  </w:p>
  <w:p w:rsidR="009B5216" w:rsidRPr="007272B9" w:rsidRDefault="009B5216" w:rsidP="00C9486C">
    <w:pPr>
      <w:pStyle w:val="Kopfzeile"/>
      <w:tabs>
        <w:tab w:val="clear" w:pos="9072"/>
        <w:tab w:val="right" w:pos="9639"/>
      </w:tabs>
      <w:rPr>
        <w:rFonts w:ascii="Verdana" w:hAnsi="Verdana"/>
      </w:rPr>
    </w:pPr>
  </w:p>
  <w:p w:rsidR="009B5216" w:rsidRPr="007272B9" w:rsidRDefault="009B5216" w:rsidP="00C9486C">
    <w:pPr>
      <w:pStyle w:val="Kopfzeile"/>
      <w:tabs>
        <w:tab w:val="clear" w:pos="9072"/>
        <w:tab w:val="right" w:pos="9639"/>
      </w:tabs>
      <w:rPr>
        <w:rFonts w:ascii="Verdana" w:hAnsi="Verdana"/>
      </w:rPr>
    </w:pPr>
    <w:r>
      <w:rPr>
        <w:rFonts w:ascii="Verdana" w:hAnsi="Verdana"/>
        <w:noProof/>
        <w:lang w:val="en-GB" w:eastAsia="en-GB"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9B5216" w:rsidRPr="007272B9" w:rsidRDefault="009B5216" w:rsidP="00C9486C">
    <w:pPr>
      <w:pStyle w:val="Kopfzeile"/>
      <w:tabs>
        <w:tab w:val="clear" w:pos="9072"/>
        <w:tab w:val="right" w:pos="9639"/>
      </w:tabs>
      <w:rPr>
        <w:rFonts w:ascii="Verdana" w:hAnsi="Verdana"/>
      </w:rPr>
    </w:pPr>
  </w:p>
  <w:p w:rsidR="009B5216" w:rsidRPr="007272B9" w:rsidRDefault="009B5216" w:rsidP="00C9486C">
    <w:pPr>
      <w:pStyle w:val="Kopfzeile"/>
      <w:tabs>
        <w:tab w:val="clear" w:pos="9072"/>
        <w:tab w:val="right" w:pos="9639"/>
      </w:tabs>
      <w:rPr>
        <w:rFonts w:ascii="Verdana" w:hAnsi="Verdana"/>
      </w:rPr>
    </w:pPr>
  </w:p>
  <w:p w:rsidR="009B5216" w:rsidRPr="007272B9" w:rsidRDefault="009B5216" w:rsidP="00C9486C">
    <w:pPr>
      <w:pStyle w:val="Kopfzeile"/>
      <w:pBdr>
        <w:top w:val="single" w:sz="12" w:space="1" w:color="B71234"/>
      </w:pBdr>
      <w:tabs>
        <w:tab w:val="clear" w:pos="9072"/>
        <w:tab w:val="right" w:pos="9639"/>
      </w:tabs>
      <w:rPr>
        <w:rFonts w:ascii="Verdana" w:hAnsi="Verdana"/>
      </w:rPr>
    </w:pPr>
  </w:p>
  <w:p w:rsidR="009B5216" w:rsidRPr="007272B9" w:rsidRDefault="009B5216"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hyphenationZone w:val="425"/>
  <w:characterSpacingControl w:val="doNotCompress"/>
  <w:savePreviewPicture/>
  <w:hdrShapeDefaults>
    <o:shapedefaults v:ext="edit" spidmax="37889"/>
  </w:hdrShapeDefaults>
  <w:footnotePr>
    <w:footnote w:id="-1"/>
    <w:footnote w:id="0"/>
  </w:footnotePr>
  <w:endnotePr>
    <w:endnote w:id="-1"/>
    <w:endnote w:id="0"/>
  </w:endnotePr>
  <w:compat/>
  <w:rsids>
    <w:rsidRoot w:val="009B5216"/>
    <w:rsid w:val="00040A35"/>
    <w:rsid w:val="00052619"/>
    <w:rsid w:val="000802DD"/>
    <w:rsid w:val="000808CF"/>
    <w:rsid w:val="00095935"/>
    <w:rsid w:val="000B5BC2"/>
    <w:rsid w:val="000F05BC"/>
    <w:rsid w:val="001020A2"/>
    <w:rsid w:val="001141BC"/>
    <w:rsid w:val="0012703F"/>
    <w:rsid w:val="00135744"/>
    <w:rsid w:val="001427A6"/>
    <w:rsid w:val="001501B7"/>
    <w:rsid w:val="001639C7"/>
    <w:rsid w:val="001644F0"/>
    <w:rsid w:val="001A04CE"/>
    <w:rsid w:val="001A2E12"/>
    <w:rsid w:val="001D5C57"/>
    <w:rsid w:val="001E2CD4"/>
    <w:rsid w:val="001E3224"/>
    <w:rsid w:val="001E5824"/>
    <w:rsid w:val="002159B4"/>
    <w:rsid w:val="00247192"/>
    <w:rsid w:val="00263B21"/>
    <w:rsid w:val="00271DFB"/>
    <w:rsid w:val="0027249F"/>
    <w:rsid w:val="002738AA"/>
    <w:rsid w:val="00276D7B"/>
    <w:rsid w:val="00277B80"/>
    <w:rsid w:val="00292700"/>
    <w:rsid w:val="002C59A6"/>
    <w:rsid w:val="002E6005"/>
    <w:rsid w:val="002E6CE0"/>
    <w:rsid w:val="002F1A2F"/>
    <w:rsid w:val="003152A8"/>
    <w:rsid w:val="003465E1"/>
    <w:rsid w:val="00355C06"/>
    <w:rsid w:val="00355D66"/>
    <w:rsid w:val="00362DBB"/>
    <w:rsid w:val="0037279D"/>
    <w:rsid w:val="00385146"/>
    <w:rsid w:val="003B5255"/>
    <w:rsid w:val="003D66FE"/>
    <w:rsid w:val="003D701B"/>
    <w:rsid w:val="003E21A6"/>
    <w:rsid w:val="00401E02"/>
    <w:rsid w:val="0040485D"/>
    <w:rsid w:val="00410F97"/>
    <w:rsid w:val="00421DB0"/>
    <w:rsid w:val="00422782"/>
    <w:rsid w:val="00453172"/>
    <w:rsid w:val="00486DBA"/>
    <w:rsid w:val="004B30A9"/>
    <w:rsid w:val="004B7090"/>
    <w:rsid w:val="004C2097"/>
    <w:rsid w:val="004E13E2"/>
    <w:rsid w:val="004F0B5D"/>
    <w:rsid w:val="0051782D"/>
    <w:rsid w:val="00525205"/>
    <w:rsid w:val="00531C5E"/>
    <w:rsid w:val="00572860"/>
    <w:rsid w:val="00582E9A"/>
    <w:rsid w:val="005B109A"/>
    <w:rsid w:val="005C1BAD"/>
    <w:rsid w:val="005C2E03"/>
    <w:rsid w:val="005D02A5"/>
    <w:rsid w:val="005F0633"/>
    <w:rsid w:val="005F72CF"/>
    <w:rsid w:val="006055BA"/>
    <w:rsid w:val="00614E19"/>
    <w:rsid w:val="00615BB3"/>
    <w:rsid w:val="006440A7"/>
    <w:rsid w:val="00673683"/>
    <w:rsid w:val="00673F38"/>
    <w:rsid w:val="006769E8"/>
    <w:rsid w:val="006A7B0D"/>
    <w:rsid w:val="006D163C"/>
    <w:rsid w:val="00703A69"/>
    <w:rsid w:val="00712633"/>
    <w:rsid w:val="007225B5"/>
    <w:rsid w:val="0073499F"/>
    <w:rsid w:val="00743273"/>
    <w:rsid w:val="00753F73"/>
    <w:rsid w:val="00773F54"/>
    <w:rsid w:val="00777969"/>
    <w:rsid w:val="00783E7C"/>
    <w:rsid w:val="00794273"/>
    <w:rsid w:val="007B2894"/>
    <w:rsid w:val="007C22B4"/>
    <w:rsid w:val="007D6365"/>
    <w:rsid w:val="007E32F7"/>
    <w:rsid w:val="007E4CD4"/>
    <w:rsid w:val="00826D34"/>
    <w:rsid w:val="00833A0E"/>
    <w:rsid w:val="00844416"/>
    <w:rsid w:val="00853184"/>
    <w:rsid w:val="008819B2"/>
    <w:rsid w:val="008932C1"/>
    <w:rsid w:val="008A5E07"/>
    <w:rsid w:val="008B499F"/>
    <w:rsid w:val="008B7413"/>
    <w:rsid w:val="00911EAB"/>
    <w:rsid w:val="00913A95"/>
    <w:rsid w:val="00913F45"/>
    <w:rsid w:val="00942C63"/>
    <w:rsid w:val="0099652F"/>
    <w:rsid w:val="009A01FA"/>
    <w:rsid w:val="009B5216"/>
    <w:rsid w:val="00A01435"/>
    <w:rsid w:val="00A01553"/>
    <w:rsid w:val="00A02028"/>
    <w:rsid w:val="00A15927"/>
    <w:rsid w:val="00A2560D"/>
    <w:rsid w:val="00A33D82"/>
    <w:rsid w:val="00A42E75"/>
    <w:rsid w:val="00A43BBC"/>
    <w:rsid w:val="00A44020"/>
    <w:rsid w:val="00A642B8"/>
    <w:rsid w:val="00A74624"/>
    <w:rsid w:val="00A807BE"/>
    <w:rsid w:val="00A83354"/>
    <w:rsid w:val="00A90243"/>
    <w:rsid w:val="00AA0C9B"/>
    <w:rsid w:val="00AB2F20"/>
    <w:rsid w:val="00AB4B4E"/>
    <w:rsid w:val="00AC1CF8"/>
    <w:rsid w:val="00AE3DA6"/>
    <w:rsid w:val="00AE47FD"/>
    <w:rsid w:val="00AF18EB"/>
    <w:rsid w:val="00AF2C69"/>
    <w:rsid w:val="00AF4CCA"/>
    <w:rsid w:val="00B2554F"/>
    <w:rsid w:val="00B258D3"/>
    <w:rsid w:val="00B4349E"/>
    <w:rsid w:val="00B62023"/>
    <w:rsid w:val="00B81B27"/>
    <w:rsid w:val="00B86960"/>
    <w:rsid w:val="00C05104"/>
    <w:rsid w:val="00C06CF8"/>
    <w:rsid w:val="00C1651E"/>
    <w:rsid w:val="00C21D46"/>
    <w:rsid w:val="00C263C1"/>
    <w:rsid w:val="00C51B15"/>
    <w:rsid w:val="00C51D62"/>
    <w:rsid w:val="00C9486C"/>
    <w:rsid w:val="00CE4B0E"/>
    <w:rsid w:val="00CF603E"/>
    <w:rsid w:val="00CF7F8E"/>
    <w:rsid w:val="00D47AF3"/>
    <w:rsid w:val="00D7088D"/>
    <w:rsid w:val="00DB32A7"/>
    <w:rsid w:val="00DB706F"/>
    <w:rsid w:val="00DE4C01"/>
    <w:rsid w:val="00E1301E"/>
    <w:rsid w:val="00E23299"/>
    <w:rsid w:val="00E627DF"/>
    <w:rsid w:val="00E63498"/>
    <w:rsid w:val="00E97C59"/>
    <w:rsid w:val="00EB0B1F"/>
    <w:rsid w:val="00EB4F3E"/>
    <w:rsid w:val="00EC7376"/>
    <w:rsid w:val="00ED0F57"/>
    <w:rsid w:val="00ED631C"/>
    <w:rsid w:val="00EE2043"/>
    <w:rsid w:val="00EE52EE"/>
    <w:rsid w:val="00EF0CF1"/>
    <w:rsid w:val="00F076C4"/>
    <w:rsid w:val="00F1735A"/>
    <w:rsid w:val="00F272C0"/>
    <w:rsid w:val="00F46BC4"/>
    <w:rsid w:val="00F566B7"/>
    <w:rsid w:val="00F60F4A"/>
    <w:rsid w:val="00F659B7"/>
    <w:rsid w:val="00FC1B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nl-NL"/>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rPr>
  </w:style>
  <w:style w:type="character" w:styleId="Hyperlink">
    <w:name w:val="Hyperlink"/>
    <w:basedOn w:val="Absatz-Standardschriftart"/>
    <w:semiHidden/>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nl-NL" w:eastAsia="de-DE"/>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semiHidden/>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raster">
    <w:name w:val="Table Grid"/>
    <w:basedOn w:val="NormaleTabelle"/>
    <w:rsid w:val="00913F45"/>
    <w:pPr>
      <w:spacing w:after="0" w:line="240" w:lineRule="auto"/>
    </w:pPr>
    <w:rPr>
      <w:rFonts w:ascii="Times New Roman" w:eastAsia="Times New Roman" w:hAnsi="Times New Roman" w:cs="Times New Roman"/>
      <w:sz w:val="20"/>
      <w:szCs w:val="20"/>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styleId="Sprechblasentext">
    <w:name w:val="Balloon Text"/>
    <w:basedOn w:val="Standard"/>
    <w:link w:val="SprechblasentextZchn"/>
    <w:uiPriority w:val="99"/>
    <w:semiHidden/>
    <w:unhideWhenUsed/>
    <w:rsid w:val="007D636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D6365"/>
    <w:rPr>
      <w:rFonts w:ascii="Tahoma" w:eastAsia="Times New Roman" w:hAnsi="Tahoma" w:cs="Tahoma"/>
      <w:sz w:val="16"/>
      <w:szCs w:val="16"/>
      <w:lang w:val="nl-NL" w:eastAsia="de-DE"/>
    </w:rPr>
  </w:style>
</w:styles>
</file>

<file path=word/webSettings.xml><?xml version="1.0" encoding="utf-8"?>
<w:webSettings xmlns:r="http://schemas.openxmlformats.org/officeDocument/2006/relationships" xmlns:w="http://schemas.openxmlformats.org/wordprocessingml/2006/main">
  <w:divs>
    <w:div w:id="201066219">
      <w:bodyDiv w:val="1"/>
      <w:marLeft w:val="0"/>
      <w:marRight w:val="0"/>
      <w:marTop w:val="0"/>
      <w:marBottom w:val="0"/>
      <w:divBdr>
        <w:top w:val="none" w:sz="0" w:space="0" w:color="auto"/>
        <w:left w:val="none" w:sz="0" w:space="0" w:color="auto"/>
        <w:bottom w:val="none" w:sz="0" w:space="0" w:color="auto"/>
        <w:right w:val="none" w:sz="0" w:space="0" w:color="auto"/>
      </w:divBdr>
      <w:divsChild>
        <w:div w:id="397439274">
          <w:marLeft w:val="0"/>
          <w:marRight w:val="0"/>
          <w:marTop w:val="0"/>
          <w:marBottom w:val="0"/>
          <w:divBdr>
            <w:top w:val="none" w:sz="0" w:space="0" w:color="auto"/>
            <w:left w:val="none" w:sz="0" w:space="0" w:color="auto"/>
            <w:bottom w:val="none" w:sz="0" w:space="0" w:color="auto"/>
            <w:right w:val="none" w:sz="0" w:space="0" w:color="auto"/>
          </w:divBdr>
        </w:div>
        <w:div w:id="2023779194">
          <w:marLeft w:val="0"/>
          <w:marRight w:val="0"/>
          <w:marTop w:val="0"/>
          <w:marBottom w:val="0"/>
          <w:divBdr>
            <w:top w:val="none" w:sz="0" w:space="0" w:color="auto"/>
            <w:left w:val="none" w:sz="0" w:space="0" w:color="auto"/>
            <w:bottom w:val="none" w:sz="0" w:space="0" w:color="auto"/>
            <w:right w:val="none" w:sz="0" w:space="0" w:color="auto"/>
          </w:divBdr>
        </w:div>
        <w:div w:id="1342121299">
          <w:marLeft w:val="0"/>
          <w:marRight w:val="0"/>
          <w:marTop w:val="0"/>
          <w:marBottom w:val="0"/>
          <w:divBdr>
            <w:top w:val="none" w:sz="0" w:space="0" w:color="auto"/>
            <w:left w:val="none" w:sz="0" w:space="0" w:color="auto"/>
            <w:bottom w:val="none" w:sz="0" w:space="0" w:color="auto"/>
            <w:right w:val="none" w:sz="0" w:space="0" w:color="auto"/>
          </w:divBdr>
        </w:div>
        <w:div w:id="15544519">
          <w:marLeft w:val="0"/>
          <w:marRight w:val="0"/>
          <w:marTop w:val="0"/>
          <w:marBottom w:val="0"/>
          <w:divBdr>
            <w:top w:val="none" w:sz="0" w:space="0" w:color="auto"/>
            <w:left w:val="none" w:sz="0" w:space="0" w:color="auto"/>
            <w:bottom w:val="none" w:sz="0" w:space="0" w:color="auto"/>
            <w:right w:val="none" w:sz="0" w:space="0" w:color="auto"/>
          </w:divBdr>
        </w:div>
        <w:div w:id="1222667287">
          <w:marLeft w:val="0"/>
          <w:marRight w:val="0"/>
          <w:marTop w:val="0"/>
          <w:marBottom w:val="0"/>
          <w:divBdr>
            <w:top w:val="none" w:sz="0" w:space="0" w:color="auto"/>
            <w:left w:val="none" w:sz="0" w:space="0" w:color="auto"/>
            <w:bottom w:val="none" w:sz="0" w:space="0" w:color="auto"/>
            <w:right w:val="none" w:sz="0" w:space="0" w:color="auto"/>
          </w:divBdr>
        </w:div>
        <w:div w:id="1188759820">
          <w:marLeft w:val="0"/>
          <w:marRight w:val="0"/>
          <w:marTop w:val="0"/>
          <w:marBottom w:val="0"/>
          <w:divBdr>
            <w:top w:val="none" w:sz="0" w:space="0" w:color="auto"/>
            <w:left w:val="none" w:sz="0" w:space="0" w:color="auto"/>
            <w:bottom w:val="none" w:sz="0" w:space="0" w:color="auto"/>
            <w:right w:val="none" w:sz="0" w:space="0" w:color="auto"/>
          </w:divBdr>
        </w:div>
        <w:div w:id="728068333">
          <w:marLeft w:val="0"/>
          <w:marRight w:val="0"/>
          <w:marTop w:val="0"/>
          <w:marBottom w:val="0"/>
          <w:divBdr>
            <w:top w:val="none" w:sz="0" w:space="0" w:color="auto"/>
            <w:left w:val="none" w:sz="0" w:space="0" w:color="auto"/>
            <w:bottom w:val="none" w:sz="0" w:space="0" w:color="auto"/>
            <w:right w:val="none" w:sz="0" w:space="0" w:color="auto"/>
          </w:divBdr>
        </w:div>
        <w:div w:id="1706564967">
          <w:marLeft w:val="0"/>
          <w:marRight w:val="0"/>
          <w:marTop w:val="0"/>
          <w:marBottom w:val="0"/>
          <w:divBdr>
            <w:top w:val="none" w:sz="0" w:space="0" w:color="auto"/>
            <w:left w:val="none" w:sz="0" w:space="0" w:color="auto"/>
            <w:bottom w:val="none" w:sz="0" w:space="0" w:color="auto"/>
            <w:right w:val="none" w:sz="0" w:space="0" w:color="auto"/>
          </w:divBdr>
        </w:div>
        <w:div w:id="245962186">
          <w:marLeft w:val="0"/>
          <w:marRight w:val="0"/>
          <w:marTop w:val="0"/>
          <w:marBottom w:val="0"/>
          <w:divBdr>
            <w:top w:val="none" w:sz="0" w:space="0" w:color="auto"/>
            <w:left w:val="none" w:sz="0" w:space="0" w:color="auto"/>
            <w:bottom w:val="none" w:sz="0" w:space="0" w:color="auto"/>
            <w:right w:val="none" w:sz="0" w:space="0" w:color="auto"/>
          </w:divBdr>
        </w:div>
        <w:div w:id="125588698">
          <w:marLeft w:val="0"/>
          <w:marRight w:val="0"/>
          <w:marTop w:val="0"/>
          <w:marBottom w:val="0"/>
          <w:divBdr>
            <w:top w:val="none" w:sz="0" w:space="0" w:color="auto"/>
            <w:left w:val="none" w:sz="0" w:space="0" w:color="auto"/>
            <w:bottom w:val="none" w:sz="0" w:space="0" w:color="auto"/>
            <w:right w:val="none" w:sz="0" w:space="0" w:color="auto"/>
          </w:divBdr>
        </w:div>
        <w:div w:id="1414472383">
          <w:marLeft w:val="0"/>
          <w:marRight w:val="0"/>
          <w:marTop w:val="0"/>
          <w:marBottom w:val="0"/>
          <w:divBdr>
            <w:top w:val="none" w:sz="0" w:space="0" w:color="auto"/>
            <w:left w:val="none" w:sz="0" w:space="0" w:color="auto"/>
            <w:bottom w:val="none" w:sz="0" w:space="0" w:color="auto"/>
            <w:right w:val="none" w:sz="0" w:space="0" w:color="auto"/>
          </w:divBdr>
        </w:div>
        <w:div w:id="52974366">
          <w:marLeft w:val="0"/>
          <w:marRight w:val="0"/>
          <w:marTop w:val="0"/>
          <w:marBottom w:val="0"/>
          <w:divBdr>
            <w:top w:val="none" w:sz="0" w:space="0" w:color="auto"/>
            <w:left w:val="none" w:sz="0" w:space="0" w:color="auto"/>
            <w:bottom w:val="none" w:sz="0" w:space="0" w:color="auto"/>
            <w:right w:val="none" w:sz="0" w:space="0" w:color="auto"/>
          </w:divBdr>
        </w:div>
        <w:div w:id="920674098">
          <w:marLeft w:val="0"/>
          <w:marRight w:val="0"/>
          <w:marTop w:val="0"/>
          <w:marBottom w:val="0"/>
          <w:divBdr>
            <w:top w:val="none" w:sz="0" w:space="0" w:color="auto"/>
            <w:left w:val="none" w:sz="0" w:space="0" w:color="auto"/>
            <w:bottom w:val="none" w:sz="0" w:space="0" w:color="auto"/>
            <w:right w:val="none" w:sz="0" w:space="0" w:color="auto"/>
          </w:divBdr>
        </w:div>
        <w:div w:id="946498727">
          <w:marLeft w:val="0"/>
          <w:marRight w:val="0"/>
          <w:marTop w:val="0"/>
          <w:marBottom w:val="0"/>
          <w:divBdr>
            <w:top w:val="none" w:sz="0" w:space="0" w:color="auto"/>
            <w:left w:val="none" w:sz="0" w:space="0" w:color="auto"/>
            <w:bottom w:val="none" w:sz="0" w:space="0" w:color="auto"/>
            <w:right w:val="none" w:sz="0" w:space="0" w:color="auto"/>
          </w:divBdr>
        </w:div>
        <w:div w:id="1645430237">
          <w:marLeft w:val="0"/>
          <w:marRight w:val="0"/>
          <w:marTop w:val="0"/>
          <w:marBottom w:val="0"/>
          <w:divBdr>
            <w:top w:val="none" w:sz="0" w:space="0" w:color="auto"/>
            <w:left w:val="none" w:sz="0" w:space="0" w:color="auto"/>
            <w:bottom w:val="none" w:sz="0" w:space="0" w:color="auto"/>
            <w:right w:val="none" w:sz="0" w:space="0" w:color="auto"/>
          </w:divBdr>
        </w:div>
        <w:div w:id="1158888384">
          <w:marLeft w:val="0"/>
          <w:marRight w:val="0"/>
          <w:marTop w:val="0"/>
          <w:marBottom w:val="0"/>
          <w:divBdr>
            <w:top w:val="none" w:sz="0" w:space="0" w:color="auto"/>
            <w:left w:val="none" w:sz="0" w:space="0" w:color="auto"/>
            <w:bottom w:val="none" w:sz="0" w:space="0" w:color="auto"/>
            <w:right w:val="none" w:sz="0" w:space="0" w:color="auto"/>
          </w:divBdr>
        </w:div>
        <w:div w:id="1620795223">
          <w:marLeft w:val="0"/>
          <w:marRight w:val="0"/>
          <w:marTop w:val="0"/>
          <w:marBottom w:val="0"/>
          <w:divBdr>
            <w:top w:val="none" w:sz="0" w:space="0" w:color="auto"/>
            <w:left w:val="none" w:sz="0" w:space="0" w:color="auto"/>
            <w:bottom w:val="none" w:sz="0" w:space="0" w:color="auto"/>
            <w:right w:val="none" w:sz="0" w:space="0" w:color="auto"/>
          </w:divBdr>
        </w:div>
        <w:div w:id="1062555419">
          <w:marLeft w:val="0"/>
          <w:marRight w:val="0"/>
          <w:marTop w:val="0"/>
          <w:marBottom w:val="0"/>
          <w:divBdr>
            <w:top w:val="none" w:sz="0" w:space="0" w:color="auto"/>
            <w:left w:val="none" w:sz="0" w:space="0" w:color="auto"/>
            <w:bottom w:val="none" w:sz="0" w:space="0" w:color="auto"/>
            <w:right w:val="none" w:sz="0" w:space="0" w:color="auto"/>
          </w:divBdr>
        </w:div>
        <w:div w:id="1715080097">
          <w:marLeft w:val="0"/>
          <w:marRight w:val="0"/>
          <w:marTop w:val="0"/>
          <w:marBottom w:val="0"/>
          <w:divBdr>
            <w:top w:val="none" w:sz="0" w:space="0" w:color="auto"/>
            <w:left w:val="none" w:sz="0" w:space="0" w:color="auto"/>
            <w:bottom w:val="none" w:sz="0" w:space="0" w:color="auto"/>
            <w:right w:val="none" w:sz="0" w:space="0" w:color="auto"/>
          </w:divBdr>
        </w:div>
        <w:div w:id="666326729">
          <w:marLeft w:val="0"/>
          <w:marRight w:val="0"/>
          <w:marTop w:val="0"/>
          <w:marBottom w:val="0"/>
          <w:divBdr>
            <w:top w:val="none" w:sz="0" w:space="0" w:color="auto"/>
            <w:left w:val="none" w:sz="0" w:space="0" w:color="auto"/>
            <w:bottom w:val="none" w:sz="0" w:space="0" w:color="auto"/>
            <w:right w:val="none" w:sz="0" w:space="0" w:color="auto"/>
          </w:divBdr>
        </w:div>
        <w:div w:id="1968196095">
          <w:marLeft w:val="0"/>
          <w:marRight w:val="0"/>
          <w:marTop w:val="0"/>
          <w:marBottom w:val="0"/>
          <w:divBdr>
            <w:top w:val="none" w:sz="0" w:space="0" w:color="auto"/>
            <w:left w:val="none" w:sz="0" w:space="0" w:color="auto"/>
            <w:bottom w:val="none" w:sz="0" w:space="0" w:color="auto"/>
            <w:right w:val="none" w:sz="0" w:space="0" w:color="auto"/>
          </w:divBdr>
        </w:div>
        <w:div w:id="1513035140">
          <w:marLeft w:val="0"/>
          <w:marRight w:val="0"/>
          <w:marTop w:val="0"/>
          <w:marBottom w:val="0"/>
          <w:divBdr>
            <w:top w:val="none" w:sz="0" w:space="0" w:color="auto"/>
            <w:left w:val="none" w:sz="0" w:space="0" w:color="auto"/>
            <w:bottom w:val="none" w:sz="0" w:space="0" w:color="auto"/>
            <w:right w:val="none" w:sz="0" w:space="0" w:color="auto"/>
          </w:divBdr>
        </w:div>
        <w:div w:id="2108425533">
          <w:marLeft w:val="0"/>
          <w:marRight w:val="0"/>
          <w:marTop w:val="0"/>
          <w:marBottom w:val="0"/>
          <w:divBdr>
            <w:top w:val="none" w:sz="0" w:space="0" w:color="auto"/>
            <w:left w:val="none" w:sz="0" w:space="0" w:color="auto"/>
            <w:bottom w:val="none" w:sz="0" w:space="0" w:color="auto"/>
            <w:right w:val="none" w:sz="0" w:space="0" w:color="auto"/>
          </w:divBdr>
        </w:div>
        <w:div w:id="1975483271">
          <w:marLeft w:val="0"/>
          <w:marRight w:val="0"/>
          <w:marTop w:val="0"/>
          <w:marBottom w:val="0"/>
          <w:divBdr>
            <w:top w:val="none" w:sz="0" w:space="0" w:color="auto"/>
            <w:left w:val="none" w:sz="0" w:space="0" w:color="auto"/>
            <w:bottom w:val="none" w:sz="0" w:space="0" w:color="auto"/>
            <w:right w:val="none" w:sz="0" w:space="0" w:color="auto"/>
          </w:divBdr>
        </w:div>
        <w:div w:id="470026454">
          <w:marLeft w:val="0"/>
          <w:marRight w:val="0"/>
          <w:marTop w:val="0"/>
          <w:marBottom w:val="0"/>
          <w:divBdr>
            <w:top w:val="none" w:sz="0" w:space="0" w:color="auto"/>
            <w:left w:val="none" w:sz="0" w:space="0" w:color="auto"/>
            <w:bottom w:val="none" w:sz="0" w:space="0" w:color="auto"/>
            <w:right w:val="none" w:sz="0" w:space="0" w:color="auto"/>
          </w:divBdr>
        </w:div>
        <w:div w:id="128790947">
          <w:marLeft w:val="0"/>
          <w:marRight w:val="0"/>
          <w:marTop w:val="0"/>
          <w:marBottom w:val="0"/>
          <w:divBdr>
            <w:top w:val="none" w:sz="0" w:space="0" w:color="auto"/>
            <w:left w:val="none" w:sz="0" w:space="0" w:color="auto"/>
            <w:bottom w:val="none" w:sz="0" w:space="0" w:color="auto"/>
            <w:right w:val="none" w:sz="0" w:space="0" w:color="auto"/>
          </w:divBdr>
        </w:div>
        <w:div w:id="1589540519">
          <w:marLeft w:val="0"/>
          <w:marRight w:val="0"/>
          <w:marTop w:val="0"/>
          <w:marBottom w:val="0"/>
          <w:divBdr>
            <w:top w:val="none" w:sz="0" w:space="0" w:color="auto"/>
            <w:left w:val="none" w:sz="0" w:space="0" w:color="auto"/>
            <w:bottom w:val="none" w:sz="0" w:space="0" w:color="auto"/>
            <w:right w:val="none" w:sz="0" w:space="0" w:color="auto"/>
          </w:divBdr>
        </w:div>
        <w:div w:id="315576658">
          <w:marLeft w:val="0"/>
          <w:marRight w:val="0"/>
          <w:marTop w:val="0"/>
          <w:marBottom w:val="0"/>
          <w:divBdr>
            <w:top w:val="none" w:sz="0" w:space="0" w:color="auto"/>
            <w:left w:val="none" w:sz="0" w:space="0" w:color="auto"/>
            <w:bottom w:val="none" w:sz="0" w:space="0" w:color="auto"/>
            <w:right w:val="none" w:sz="0" w:space="0" w:color="auto"/>
          </w:divBdr>
        </w:div>
        <w:div w:id="1721125589">
          <w:marLeft w:val="0"/>
          <w:marRight w:val="0"/>
          <w:marTop w:val="0"/>
          <w:marBottom w:val="0"/>
          <w:divBdr>
            <w:top w:val="none" w:sz="0" w:space="0" w:color="auto"/>
            <w:left w:val="none" w:sz="0" w:space="0" w:color="auto"/>
            <w:bottom w:val="none" w:sz="0" w:space="0" w:color="auto"/>
            <w:right w:val="none" w:sz="0" w:space="0" w:color="auto"/>
          </w:divBdr>
        </w:div>
        <w:div w:id="2047440549">
          <w:marLeft w:val="0"/>
          <w:marRight w:val="0"/>
          <w:marTop w:val="0"/>
          <w:marBottom w:val="0"/>
          <w:divBdr>
            <w:top w:val="none" w:sz="0" w:space="0" w:color="auto"/>
            <w:left w:val="none" w:sz="0" w:space="0" w:color="auto"/>
            <w:bottom w:val="none" w:sz="0" w:space="0" w:color="auto"/>
            <w:right w:val="none" w:sz="0" w:space="0" w:color="auto"/>
          </w:divBdr>
        </w:div>
        <w:div w:id="1179076603">
          <w:marLeft w:val="0"/>
          <w:marRight w:val="0"/>
          <w:marTop w:val="0"/>
          <w:marBottom w:val="0"/>
          <w:divBdr>
            <w:top w:val="none" w:sz="0" w:space="0" w:color="auto"/>
            <w:left w:val="none" w:sz="0" w:space="0" w:color="auto"/>
            <w:bottom w:val="none" w:sz="0" w:space="0" w:color="auto"/>
            <w:right w:val="none" w:sz="0" w:space="0" w:color="auto"/>
          </w:divBdr>
        </w:div>
        <w:div w:id="2139491793">
          <w:marLeft w:val="0"/>
          <w:marRight w:val="0"/>
          <w:marTop w:val="0"/>
          <w:marBottom w:val="0"/>
          <w:divBdr>
            <w:top w:val="none" w:sz="0" w:space="0" w:color="auto"/>
            <w:left w:val="none" w:sz="0" w:space="0" w:color="auto"/>
            <w:bottom w:val="none" w:sz="0" w:space="0" w:color="auto"/>
            <w:right w:val="none" w:sz="0" w:space="0" w:color="auto"/>
          </w:divBdr>
        </w:div>
        <w:div w:id="331496434">
          <w:marLeft w:val="0"/>
          <w:marRight w:val="0"/>
          <w:marTop w:val="0"/>
          <w:marBottom w:val="0"/>
          <w:divBdr>
            <w:top w:val="none" w:sz="0" w:space="0" w:color="auto"/>
            <w:left w:val="none" w:sz="0" w:space="0" w:color="auto"/>
            <w:bottom w:val="none" w:sz="0" w:space="0" w:color="auto"/>
            <w:right w:val="none" w:sz="0" w:space="0" w:color="auto"/>
          </w:divBdr>
        </w:div>
        <w:div w:id="1553538387">
          <w:marLeft w:val="0"/>
          <w:marRight w:val="0"/>
          <w:marTop w:val="0"/>
          <w:marBottom w:val="0"/>
          <w:divBdr>
            <w:top w:val="none" w:sz="0" w:space="0" w:color="auto"/>
            <w:left w:val="none" w:sz="0" w:space="0" w:color="auto"/>
            <w:bottom w:val="none" w:sz="0" w:space="0" w:color="auto"/>
            <w:right w:val="none" w:sz="0" w:space="0" w:color="auto"/>
          </w:divBdr>
        </w:div>
        <w:div w:id="2134788922">
          <w:marLeft w:val="0"/>
          <w:marRight w:val="0"/>
          <w:marTop w:val="0"/>
          <w:marBottom w:val="0"/>
          <w:divBdr>
            <w:top w:val="none" w:sz="0" w:space="0" w:color="auto"/>
            <w:left w:val="none" w:sz="0" w:space="0" w:color="auto"/>
            <w:bottom w:val="none" w:sz="0" w:space="0" w:color="auto"/>
            <w:right w:val="none" w:sz="0" w:space="0" w:color="auto"/>
          </w:divBdr>
        </w:div>
        <w:div w:id="382800740">
          <w:marLeft w:val="0"/>
          <w:marRight w:val="0"/>
          <w:marTop w:val="0"/>
          <w:marBottom w:val="0"/>
          <w:divBdr>
            <w:top w:val="none" w:sz="0" w:space="0" w:color="auto"/>
            <w:left w:val="none" w:sz="0" w:space="0" w:color="auto"/>
            <w:bottom w:val="none" w:sz="0" w:space="0" w:color="auto"/>
            <w:right w:val="none" w:sz="0" w:space="0" w:color="auto"/>
          </w:divBdr>
        </w:div>
        <w:div w:id="2065323362">
          <w:marLeft w:val="0"/>
          <w:marRight w:val="0"/>
          <w:marTop w:val="0"/>
          <w:marBottom w:val="0"/>
          <w:divBdr>
            <w:top w:val="none" w:sz="0" w:space="0" w:color="auto"/>
            <w:left w:val="none" w:sz="0" w:space="0" w:color="auto"/>
            <w:bottom w:val="none" w:sz="0" w:space="0" w:color="auto"/>
            <w:right w:val="none" w:sz="0" w:space="0" w:color="auto"/>
          </w:divBdr>
        </w:div>
        <w:div w:id="1065883067">
          <w:marLeft w:val="0"/>
          <w:marRight w:val="0"/>
          <w:marTop w:val="0"/>
          <w:marBottom w:val="0"/>
          <w:divBdr>
            <w:top w:val="none" w:sz="0" w:space="0" w:color="auto"/>
            <w:left w:val="none" w:sz="0" w:space="0" w:color="auto"/>
            <w:bottom w:val="none" w:sz="0" w:space="0" w:color="auto"/>
            <w:right w:val="none" w:sz="0" w:space="0" w:color="auto"/>
          </w:divBdr>
        </w:div>
        <w:div w:id="998191336">
          <w:marLeft w:val="0"/>
          <w:marRight w:val="0"/>
          <w:marTop w:val="0"/>
          <w:marBottom w:val="0"/>
          <w:divBdr>
            <w:top w:val="none" w:sz="0" w:space="0" w:color="auto"/>
            <w:left w:val="none" w:sz="0" w:space="0" w:color="auto"/>
            <w:bottom w:val="none" w:sz="0" w:space="0" w:color="auto"/>
            <w:right w:val="none" w:sz="0" w:space="0" w:color="auto"/>
          </w:divBdr>
        </w:div>
        <w:div w:id="1401094963">
          <w:marLeft w:val="0"/>
          <w:marRight w:val="0"/>
          <w:marTop w:val="0"/>
          <w:marBottom w:val="0"/>
          <w:divBdr>
            <w:top w:val="none" w:sz="0" w:space="0" w:color="auto"/>
            <w:left w:val="none" w:sz="0" w:space="0" w:color="auto"/>
            <w:bottom w:val="none" w:sz="0" w:space="0" w:color="auto"/>
            <w:right w:val="none" w:sz="0" w:space="0" w:color="auto"/>
          </w:divBdr>
        </w:div>
        <w:div w:id="891386667">
          <w:marLeft w:val="0"/>
          <w:marRight w:val="0"/>
          <w:marTop w:val="0"/>
          <w:marBottom w:val="0"/>
          <w:divBdr>
            <w:top w:val="none" w:sz="0" w:space="0" w:color="auto"/>
            <w:left w:val="none" w:sz="0" w:space="0" w:color="auto"/>
            <w:bottom w:val="none" w:sz="0" w:space="0" w:color="auto"/>
            <w:right w:val="none" w:sz="0" w:space="0" w:color="auto"/>
          </w:divBdr>
        </w:div>
        <w:div w:id="1503276173">
          <w:marLeft w:val="0"/>
          <w:marRight w:val="0"/>
          <w:marTop w:val="0"/>
          <w:marBottom w:val="0"/>
          <w:divBdr>
            <w:top w:val="none" w:sz="0" w:space="0" w:color="auto"/>
            <w:left w:val="none" w:sz="0" w:space="0" w:color="auto"/>
            <w:bottom w:val="none" w:sz="0" w:space="0" w:color="auto"/>
            <w:right w:val="none" w:sz="0" w:space="0" w:color="auto"/>
          </w:divBdr>
        </w:div>
        <w:div w:id="1000160849">
          <w:marLeft w:val="0"/>
          <w:marRight w:val="0"/>
          <w:marTop w:val="0"/>
          <w:marBottom w:val="0"/>
          <w:divBdr>
            <w:top w:val="none" w:sz="0" w:space="0" w:color="auto"/>
            <w:left w:val="none" w:sz="0" w:space="0" w:color="auto"/>
            <w:bottom w:val="none" w:sz="0" w:space="0" w:color="auto"/>
            <w:right w:val="none" w:sz="0" w:space="0" w:color="auto"/>
          </w:divBdr>
        </w:div>
        <w:div w:id="1455712211">
          <w:marLeft w:val="0"/>
          <w:marRight w:val="0"/>
          <w:marTop w:val="0"/>
          <w:marBottom w:val="0"/>
          <w:divBdr>
            <w:top w:val="none" w:sz="0" w:space="0" w:color="auto"/>
            <w:left w:val="none" w:sz="0" w:space="0" w:color="auto"/>
            <w:bottom w:val="none" w:sz="0" w:space="0" w:color="auto"/>
            <w:right w:val="none" w:sz="0" w:space="0" w:color="auto"/>
          </w:divBdr>
        </w:div>
        <w:div w:id="1090389246">
          <w:marLeft w:val="0"/>
          <w:marRight w:val="0"/>
          <w:marTop w:val="0"/>
          <w:marBottom w:val="0"/>
          <w:divBdr>
            <w:top w:val="none" w:sz="0" w:space="0" w:color="auto"/>
            <w:left w:val="none" w:sz="0" w:space="0" w:color="auto"/>
            <w:bottom w:val="none" w:sz="0" w:space="0" w:color="auto"/>
            <w:right w:val="none" w:sz="0" w:space="0" w:color="auto"/>
          </w:divBdr>
        </w:div>
        <w:div w:id="477261508">
          <w:marLeft w:val="0"/>
          <w:marRight w:val="0"/>
          <w:marTop w:val="0"/>
          <w:marBottom w:val="0"/>
          <w:divBdr>
            <w:top w:val="none" w:sz="0" w:space="0" w:color="auto"/>
            <w:left w:val="none" w:sz="0" w:space="0" w:color="auto"/>
            <w:bottom w:val="none" w:sz="0" w:space="0" w:color="auto"/>
            <w:right w:val="none" w:sz="0" w:space="0" w:color="auto"/>
          </w:divBdr>
        </w:div>
      </w:divsChild>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investor-relations@roodmicrotec.com"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odmicrot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RM-NV\PRESSE\Vorlagen\2014_E_XXX.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578DE-B4D6-4348-BB30-932FB214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2014_E_XXX.dotx</Template>
  <TotalTime>0</TotalTime>
  <Pages>4</Pages>
  <Words>994</Words>
  <Characters>5668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RoodMicrotec</Company>
  <LinksUpToDate>false</LinksUpToDate>
  <CharactersWithSpaces>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Sauerer</dc:creator>
  <cp:lastModifiedBy>bayerle@BAYERLE-PC1</cp:lastModifiedBy>
  <cp:revision>3</cp:revision>
  <cp:lastPrinted>2015-01-08T05:19:00Z</cp:lastPrinted>
  <dcterms:created xsi:type="dcterms:W3CDTF">2015-01-08T05:16:00Z</dcterms:created>
  <dcterms:modified xsi:type="dcterms:W3CDTF">2015-01-08T05:20:00Z</dcterms:modified>
</cp:coreProperties>
</file>