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7E0CF7" w:rsidRDefault="00773F54" w:rsidP="00283B18">
      <w:pPr>
        <w:pStyle w:val="berschrift1"/>
        <w:rPr>
          <w:rFonts w:ascii="Verdana" w:hAnsi="Verdana" w:cs="Arial"/>
          <w:color w:val="B71234"/>
          <w:sz w:val="28"/>
          <w:szCs w:val="28"/>
        </w:rPr>
      </w:pPr>
      <w:r w:rsidRPr="007E0CF7">
        <w:rPr>
          <w:rFonts w:ascii="Verdana" w:hAnsi="Verdana"/>
          <w:color w:val="B71234"/>
          <w:sz w:val="28"/>
          <w:szCs w:val="28"/>
        </w:rPr>
        <w:t xml:space="preserve">PRESS RELEASE </w:t>
      </w:r>
    </w:p>
    <w:p w:rsidR="00C9486C" w:rsidRPr="007E0CF7" w:rsidRDefault="00C9486C" w:rsidP="00283B18">
      <w:pPr>
        <w:rPr>
          <w:rFonts w:ascii="Verdana" w:hAnsi="Verdana" w:cs="Arial"/>
          <w:sz w:val="18"/>
          <w:szCs w:val="18"/>
        </w:rPr>
      </w:pPr>
    </w:p>
    <w:p w:rsidR="0091109A" w:rsidRPr="007E0CF7" w:rsidRDefault="0091109A" w:rsidP="00283B18">
      <w:pPr>
        <w:autoSpaceDE w:val="0"/>
        <w:autoSpaceDN w:val="0"/>
        <w:adjustRightInd w:val="0"/>
        <w:rPr>
          <w:rFonts w:ascii="Verdana" w:hAnsi="Verdana"/>
          <w:sz w:val="18"/>
          <w:szCs w:val="18"/>
        </w:rPr>
      </w:pPr>
    </w:p>
    <w:p w:rsidR="00C9486C" w:rsidRPr="007E0CF7" w:rsidRDefault="00C9486C" w:rsidP="00283B18">
      <w:pPr>
        <w:rPr>
          <w:rFonts w:ascii="Verdana" w:hAnsi="Verdana" w:cs="Arial"/>
          <w:sz w:val="18"/>
          <w:szCs w:val="18"/>
        </w:rPr>
      </w:pPr>
    </w:p>
    <w:p w:rsidR="00C9486C" w:rsidRPr="007E0CF7" w:rsidRDefault="00C9486C" w:rsidP="00283B18">
      <w:pPr>
        <w:rPr>
          <w:rFonts w:ascii="Verdana" w:hAnsi="Verdana" w:cs="Arial"/>
          <w:sz w:val="18"/>
          <w:szCs w:val="18"/>
        </w:rPr>
      </w:pPr>
    </w:p>
    <w:p w:rsidR="00C9486C" w:rsidRPr="007E0CF7" w:rsidRDefault="00C9486C" w:rsidP="00283B18">
      <w:pPr>
        <w:rPr>
          <w:rFonts w:ascii="Verdana" w:hAnsi="Verdana" w:cs="Arial"/>
          <w:sz w:val="18"/>
          <w:szCs w:val="18"/>
        </w:rPr>
      </w:pPr>
    </w:p>
    <w:p w:rsidR="00C9486C" w:rsidRPr="007E0CF7" w:rsidRDefault="00C9486C" w:rsidP="00283B18">
      <w:pPr>
        <w:rPr>
          <w:rFonts w:ascii="Verdana" w:hAnsi="Verdana" w:cs="Arial"/>
          <w:sz w:val="18"/>
          <w:szCs w:val="18"/>
        </w:rPr>
      </w:pPr>
    </w:p>
    <w:p w:rsidR="00C9486C" w:rsidRPr="007E0CF7" w:rsidRDefault="00BC5D9A" w:rsidP="00283B18">
      <w:pPr>
        <w:rPr>
          <w:rFonts w:ascii="Verdana" w:hAnsi="Verdana"/>
          <w:sz w:val="18"/>
          <w:szCs w:val="18"/>
        </w:rPr>
      </w:pPr>
      <w:r>
        <w:rPr>
          <w:rFonts w:ascii="Verdana" w:hAnsi="Verdana"/>
          <w:sz w:val="18"/>
          <w:szCs w:val="18"/>
        </w:rPr>
        <w:t>Zwolle,</w:t>
      </w:r>
      <w:r w:rsidR="00C9486C" w:rsidRPr="007E0CF7">
        <w:rPr>
          <w:rFonts w:ascii="Verdana" w:hAnsi="Verdana"/>
          <w:sz w:val="18"/>
          <w:szCs w:val="18"/>
        </w:rPr>
        <w:t xml:space="preserve"> </w:t>
      </w:r>
      <w:r w:rsidR="005A27D1" w:rsidRPr="007E0CF7">
        <w:rPr>
          <w:rFonts w:ascii="Verdana" w:hAnsi="Verdana"/>
          <w:sz w:val="18"/>
          <w:szCs w:val="18"/>
        </w:rPr>
        <w:t>10 March 2016</w:t>
      </w:r>
      <w:r w:rsidR="00C9486C" w:rsidRPr="007E0CF7">
        <w:rPr>
          <w:rFonts w:ascii="Verdana" w:hAnsi="Verdana"/>
          <w:sz w:val="18"/>
          <w:szCs w:val="18"/>
        </w:rPr>
        <w:t xml:space="preserve"> </w:t>
      </w:r>
    </w:p>
    <w:p w:rsidR="00C9486C" w:rsidRPr="007E0CF7" w:rsidRDefault="00C9486C" w:rsidP="00283B18">
      <w:pPr>
        <w:autoSpaceDE w:val="0"/>
        <w:autoSpaceDN w:val="0"/>
        <w:adjustRightInd w:val="0"/>
        <w:rPr>
          <w:rFonts w:ascii="Verdana" w:hAnsi="Verdana"/>
          <w:sz w:val="18"/>
          <w:szCs w:val="18"/>
        </w:rPr>
      </w:pPr>
    </w:p>
    <w:p w:rsidR="00572860" w:rsidRPr="007E0CF7" w:rsidRDefault="00572860" w:rsidP="00283B18">
      <w:pPr>
        <w:rPr>
          <w:rFonts w:ascii="Verdana" w:hAnsi="Verdana"/>
          <w:b/>
          <w:color w:val="B71234"/>
          <w:sz w:val="28"/>
          <w:szCs w:val="28"/>
        </w:rPr>
      </w:pPr>
      <w:proofErr w:type="spellStart"/>
      <w:r w:rsidRPr="007E0CF7">
        <w:rPr>
          <w:rFonts w:ascii="Verdana" w:hAnsi="Verdana"/>
          <w:b/>
          <w:color w:val="B71234"/>
          <w:sz w:val="28"/>
          <w:szCs w:val="28"/>
        </w:rPr>
        <w:t>RoodMicrotec</w:t>
      </w:r>
      <w:proofErr w:type="spellEnd"/>
      <w:r w:rsidRPr="007E0CF7">
        <w:rPr>
          <w:rFonts w:ascii="Verdana" w:hAnsi="Verdana"/>
          <w:b/>
          <w:color w:val="B71234"/>
          <w:sz w:val="28"/>
          <w:szCs w:val="28"/>
        </w:rPr>
        <w:t xml:space="preserve">: </w:t>
      </w:r>
      <w:r w:rsidR="0072255D">
        <w:rPr>
          <w:rFonts w:ascii="Verdana" w:hAnsi="Verdana"/>
          <w:b/>
          <w:color w:val="B71234"/>
          <w:sz w:val="28"/>
          <w:szCs w:val="28"/>
        </w:rPr>
        <w:t>EBITDA</w:t>
      </w:r>
      <w:r w:rsidR="00DE4BE8">
        <w:rPr>
          <w:rFonts w:ascii="Verdana" w:hAnsi="Verdana"/>
          <w:b/>
          <w:color w:val="B71234"/>
          <w:sz w:val="28"/>
          <w:szCs w:val="28"/>
        </w:rPr>
        <w:t xml:space="preserve"> </w:t>
      </w:r>
      <w:r w:rsidR="0072255D">
        <w:rPr>
          <w:rFonts w:ascii="Verdana" w:hAnsi="Verdana"/>
          <w:b/>
          <w:color w:val="B71234"/>
          <w:sz w:val="28"/>
          <w:szCs w:val="28"/>
        </w:rPr>
        <w:t xml:space="preserve">improved </w:t>
      </w:r>
      <w:r w:rsidR="00DE4BE8">
        <w:rPr>
          <w:rFonts w:ascii="Verdana" w:hAnsi="Verdana"/>
          <w:b/>
          <w:color w:val="B71234"/>
          <w:sz w:val="28"/>
          <w:szCs w:val="28"/>
        </w:rPr>
        <w:t>in 2015; new contracts boos</w:t>
      </w:r>
      <w:r w:rsidR="001C75D3">
        <w:rPr>
          <w:rFonts w:ascii="Verdana" w:hAnsi="Verdana"/>
          <w:b/>
          <w:color w:val="B71234"/>
          <w:sz w:val="28"/>
          <w:szCs w:val="28"/>
        </w:rPr>
        <w:t>t</w:t>
      </w:r>
      <w:r w:rsidR="00DE4BE8">
        <w:rPr>
          <w:rFonts w:ascii="Verdana" w:hAnsi="Verdana"/>
          <w:b/>
          <w:color w:val="B71234"/>
          <w:sz w:val="28"/>
          <w:szCs w:val="28"/>
        </w:rPr>
        <w:t xml:space="preserve"> our</w:t>
      </w:r>
      <w:r w:rsidR="00A670FC">
        <w:rPr>
          <w:rFonts w:ascii="Verdana" w:hAnsi="Verdana"/>
          <w:b/>
          <w:color w:val="B71234"/>
          <w:sz w:val="28"/>
          <w:szCs w:val="28"/>
        </w:rPr>
        <w:t xml:space="preserve"> future</w:t>
      </w:r>
      <w:r w:rsidR="004B0FE9">
        <w:rPr>
          <w:rFonts w:ascii="Verdana" w:hAnsi="Verdana"/>
          <w:b/>
          <w:color w:val="B71234"/>
          <w:sz w:val="28"/>
          <w:szCs w:val="28"/>
        </w:rPr>
        <w:t xml:space="preserve"> </w:t>
      </w:r>
      <w:r w:rsidR="00DE4BE8">
        <w:rPr>
          <w:rFonts w:ascii="Verdana" w:hAnsi="Verdana"/>
          <w:b/>
          <w:color w:val="B71234"/>
          <w:sz w:val="28"/>
          <w:szCs w:val="28"/>
        </w:rPr>
        <w:t>sales expectations</w:t>
      </w:r>
    </w:p>
    <w:p w:rsidR="003152A8" w:rsidRPr="007E0CF7" w:rsidRDefault="003152A8" w:rsidP="00283B18">
      <w:pPr>
        <w:rPr>
          <w:rFonts w:ascii="Verdana" w:hAnsi="Verdana" w:cs="Arial"/>
          <w:sz w:val="20"/>
        </w:rPr>
      </w:pPr>
    </w:p>
    <w:p w:rsidR="00572860" w:rsidRPr="007E0CF7" w:rsidRDefault="00572860" w:rsidP="00283B18">
      <w:pPr>
        <w:rPr>
          <w:rFonts w:ascii="Verdana" w:hAnsi="Verdana" w:cs="Arial"/>
          <w:sz w:val="20"/>
        </w:rPr>
      </w:pPr>
    </w:p>
    <w:p w:rsidR="008348AA" w:rsidRPr="007E0CF7" w:rsidRDefault="007A739C" w:rsidP="00283B18">
      <w:pPr>
        <w:spacing w:line="276" w:lineRule="auto"/>
        <w:rPr>
          <w:rFonts w:ascii="Verdana" w:hAnsi="Verdana"/>
          <w:b/>
          <w:color w:val="B71234"/>
          <w:sz w:val="18"/>
          <w:szCs w:val="18"/>
        </w:rPr>
      </w:pPr>
      <w:bookmarkStart w:id="0" w:name="_Toc254768887"/>
      <w:bookmarkStart w:id="1" w:name="_Toc254769027"/>
      <w:bookmarkStart w:id="2" w:name="_Toc254769046"/>
      <w:r w:rsidRPr="007E0CF7">
        <w:rPr>
          <w:rFonts w:ascii="Verdana" w:hAnsi="Verdana"/>
          <w:b/>
          <w:color w:val="B71234"/>
          <w:sz w:val="18"/>
          <w:szCs w:val="18"/>
        </w:rPr>
        <w:t>2015</w:t>
      </w:r>
      <w:r w:rsidR="008348AA" w:rsidRPr="007E0CF7">
        <w:rPr>
          <w:rFonts w:ascii="Verdana" w:hAnsi="Verdana"/>
          <w:b/>
          <w:color w:val="B71234"/>
          <w:sz w:val="18"/>
          <w:szCs w:val="18"/>
        </w:rPr>
        <w:t xml:space="preserve"> HIGHLIGHTS</w:t>
      </w:r>
      <w:bookmarkEnd w:id="0"/>
      <w:bookmarkEnd w:id="1"/>
      <w:bookmarkEnd w:id="2"/>
    </w:p>
    <w:p w:rsidR="008348AA" w:rsidRPr="007E0CF7" w:rsidRDefault="008348AA" w:rsidP="00283B18">
      <w:pPr>
        <w:tabs>
          <w:tab w:val="left" w:pos="709"/>
        </w:tabs>
        <w:spacing w:line="276" w:lineRule="auto"/>
        <w:rPr>
          <w:rFonts w:ascii="Verdana" w:hAnsi="Verdana" w:cs="Verdana"/>
          <w:b/>
          <w:bCs/>
          <w:sz w:val="18"/>
          <w:szCs w:val="18"/>
          <w:highlight w:val="yellow"/>
        </w:rPr>
      </w:pPr>
    </w:p>
    <w:p w:rsidR="007A739C" w:rsidRPr="007E0CF7" w:rsidRDefault="007A739C" w:rsidP="00283B18">
      <w:pPr>
        <w:tabs>
          <w:tab w:val="left" w:pos="709"/>
        </w:tabs>
        <w:spacing w:line="360" w:lineRule="auto"/>
        <w:rPr>
          <w:rFonts w:ascii="Verdana" w:hAnsi="Verdana"/>
          <w:b/>
          <w:sz w:val="18"/>
          <w:szCs w:val="18"/>
        </w:rPr>
      </w:pPr>
      <w:r w:rsidRPr="007E0CF7">
        <w:rPr>
          <w:rFonts w:ascii="Verdana" w:hAnsi="Verdana"/>
          <w:b/>
          <w:sz w:val="18"/>
          <w:szCs w:val="18"/>
        </w:rPr>
        <w:t>Commercial/operational</w:t>
      </w:r>
    </w:p>
    <w:p w:rsidR="00682A32" w:rsidRPr="007E0CF7" w:rsidRDefault="007A739C" w:rsidP="00283B18">
      <w:pPr>
        <w:pStyle w:val="Listenabsatz"/>
        <w:numPr>
          <w:ilvl w:val="0"/>
          <w:numId w:val="8"/>
        </w:numPr>
        <w:spacing w:line="360" w:lineRule="auto"/>
        <w:rPr>
          <w:rFonts w:ascii="Verdana" w:hAnsi="Verdana"/>
          <w:sz w:val="18"/>
          <w:szCs w:val="18"/>
          <w:lang w:val="en-GB"/>
        </w:rPr>
      </w:pPr>
      <w:r w:rsidRPr="007E0CF7">
        <w:rPr>
          <w:rFonts w:ascii="Verdana" w:hAnsi="Verdana"/>
          <w:sz w:val="18"/>
          <w:szCs w:val="18"/>
          <w:lang w:val="en-GB"/>
        </w:rPr>
        <w:t xml:space="preserve">Two </w:t>
      </w:r>
      <w:r w:rsidR="007E0CF7" w:rsidRPr="007E0CF7">
        <w:rPr>
          <w:rFonts w:ascii="Verdana" w:hAnsi="Verdana"/>
          <w:sz w:val="18"/>
          <w:szCs w:val="18"/>
          <w:lang w:val="en-GB"/>
        </w:rPr>
        <w:t xml:space="preserve">big </w:t>
      </w:r>
      <w:r w:rsidRPr="007E0CF7">
        <w:rPr>
          <w:rFonts w:ascii="Verdana" w:hAnsi="Verdana"/>
          <w:sz w:val="18"/>
          <w:szCs w:val="18"/>
          <w:lang w:val="en-GB"/>
        </w:rPr>
        <w:t xml:space="preserve">contracts in automotive sector, </w:t>
      </w:r>
      <w:r w:rsidR="00942A3B">
        <w:rPr>
          <w:rFonts w:ascii="Verdana" w:hAnsi="Verdana"/>
          <w:sz w:val="18"/>
          <w:szCs w:val="18"/>
          <w:lang w:val="en-GB"/>
        </w:rPr>
        <w:t xml:space="preserve">EUR </w:t>
      </w:r>
      <w:r w:rsidRPr="007E0CF7">
        <w:rPr>
          <w:rFonts w:ascii="Verdana" w:hAnsi="Verdana"/>
          <w:sz w:val="18"/>
          <w:szCs w:val="18"/>
          <w:lang w:val="en-GB"/>
        </w:rPr>
        <w:t xml:space="preserve">25 million and </w:t>
      </w:r>
      <w:r w:rsidR="00942A3B">
        <w:rPr>
          <w:rFonts w:ascii="Verdana" w:hAnsi="Verdana"/>
          <w:sz w:val="18"/>
          <w:szCs w:val="18"/>
          <w:lang w:val="en-GB"/>
        </w:rPr>
        <w:t xml:space="preserve">EUR </w:t>
      </w:r>
      <w:r w:rsidRPr="007E0CF7">
        <w:rPr>
          <w:rFonts w:ascii="Verdana" w:hAnsi="Verdana"/>
          <w:sz w:val="18"/>
          <w:szCs w:val="18"/>
          <w:lang w:val="en-GB"/>
        </w:rPr>
        <w:t>20 million over 10 years</w:t>
      </w:r>
    </w:p>
    <w:p w:rsidR="007A739C" w:rsidRPr="007E0CF7" w:rsidRDefault="007A739C" w:rsidP="00283B18">
      <w:pPr>
        <w:pStyle w:val="Listenabsatz"/>
        <w:numPr>
          <w:ilvl w:val="0"/>
          <w:numId w:val="8"/>
        </w:numPr>
        <w:spacing w:line="360" w:lineRule="auto"/>
        <w:rPr>
          <w:rFonts w:ascii="Verdana" w:hAnsi="Verdana"/>
          <w:sz w:val="18"/>
          <w:szCs w:val="18"/>
          <w:lang w:val="en-GB"/>
        </w:rPr>
      </w:pPr>
      <w:r w:rsidRPr="007E0CF7">
        <w:rPr>
          <w:rFonts w:ascii="Verdana" w:hAnsi="Verdana"/>
          <w:sz w:val="18"/>
          <w:szCs w:val="18"/>
          <w:lang w:val="en-GB"/>
        </w:rPr>
        <w:t xml:space="preserve">Contract with OEM in the industrial sector, approximately </w:t>
      </w:r>
      <w:r w:rsidR="00942A3B">
        <w:rPr>
          <w:rFonts w:ascii="Verdana" w:hAnsi="Verdana"/>
          <w:sz w:val="18"/>
          <w:szCs w:val="18"/>
          <w:lang w:val="en-GB"/>
        </w:rPr>
        <w:t xml:space="preserve">EUR </w:t>
      </w:r>
      <w:r w:rsidRPr="007E0CF7">
        <w:rPr>
          <w:rFonts w:ascii="Verdana" w:hAnsi="Verdana"/>
          <w:sz w:val="18"/>
          <w:szCs w:val="18"/>
          <w:lang w:val="en-GB"/>
        </w:rPr>
        <w:t>9 million over 10 years</w:t>
      </w:r>
    </w:p>
    <w:p w:rsidR="007A739C" w:rsidRPr="007E0CF7" w:rsidRDefault="007A739C" w:rsidP="00283B18">
      <w:pPr>
        <w:pStyle w:val="Listenabsatz"/>
        <w:numPr>
          <w:ilvl w:val="0"/>
          <w:numId w:val="8"/>
        </w:numPr>
        <w:spacing w:line="360" w:lineRule="auto"/>
        <w:rPr>
          <w:rFonts w:ascii="Verdana" w:hAnsi="Verdana"/>
          <w:sz w:val="18"/>
          <w:szCs w:val="18"/>
          <w:lang w:val="en-GB"/>
        </w:rPr>
      </w:pPr>
      <w:r w:rsidRPr="007E0CF7">
        <w:rPr>
          <w:rFonts w:ascii="Verdana" w:hAnsi="Verdana"/>
          <w:sz w:val="18"/>
          <w:szCs w:val="18"/>
          <w:lang w:val="en-GB"/>
        </w:rPr>
        <w:t>Strengthen</w:t>
      </w:r>
      <w:r w:rsidR="007E0CF7" w:rsidRPr="007E0CF7">
        <w:rPr>
          <w:rFonts w:ascii="Verdana" w:hAnsi="Verdana"/>
          <w:sz w:val="18"/>
          <w:szCs w:val="18"/>
          <w:lang w:val="en-GB"/>
        </w:rPr>
        <w:t>ed</w:t>
      </w:r>
      <w:r w:rsidRPr="007E0CF7">
        <w:rPr>
          <w:rFonts w:ascii="Verdana" w:hAnsi="Verdana"/>
          <w:sz w:val="18"/>
          <w:szCs w:val="18"/>
          <w:lang w:val="en-GB"/>
        </w:rPr>
        <w:t xml:space="preserve"> relationship with large players (wafer foundries, assembly houses and design houses)</w:t>
      </w:r>
    </w:p>
    <w:p w:rsidR="007A739C" w:rsidRPr="007E0CF7" w:rsidRDefault="0072255D" w:rsidP="00283B18">
      <w:pPr>
        <w:pStyle w:val="Listenabsatz"/>
        <w:numPr>
          <w:ilvl w:val="0"/>
          <w:numId w:val="8"/>
        </w:numPr>
        <w:spacing w:line="360" w:lineRule="auto"/>
        <w:rPr>
          <w:rFonts w:ascii="Verdana" w:hAnsi="Verdana"/>
          <w:sz w:val="18"/>
          <w:szCs w:val="18"/>
          <w:lang w:val="en-GB"/>
        </w:rPr>
      </w:pPr>
      <w:r>
        <w:rPr>
          <w:rFonts w:ascii="Verdana" w:hAnsi="Verdana"/>
          <w:sz w:val="18"/>
          <w:szCs w:val="18"/>
          <w:lang w:val="en-GB"/>
        </w:rPr>
        <w:t xml:space="preserve">Collaboration agreement with </w:t>
      </w:r>
      <w:r w:rsidR="007A739C" w:rsidRPr="007E0CF7">
        <w:rPr>
          <w:rFonts w:ascii="Verdana" w:hAnsi="Verdana"/>
          <w:sz w:val="18"/>
          <w:szCs w:val="18"/>
          <w:lang w:val="en-GB"/>
        </w:rPr>
        <w:t>leading design house</w:t>
      </w:r>
      <w:r>
        <w:rPr>
          <w:rFonts w:ascii="Verdana" w:hAnsi="Verdana"/>
          <w:sz w:val="18"/>
          <w:szCs w:val="18"/>
          <w:lang w:val="en-GB"/>
        </w:rPr>
        <w:t>s</w:t>
      </w:r>
      <w:r w:rsidR="007A739C" w:rsidRPr="007E0CF7">
        <w:rPr>
          <w:rFonts w:ascii="Verdana" w:hAnsi="Verdana"/>
          <w:sz w:val="18"/>
          <w:szCs w:val="18"/>
          <w:lang w:val="en-GB"/>
        </w:rPr>
        <w:t xml:space="preserve"> in Europe</w:t>
      </w:r>
    </w:p>
    <w:p w:rsidR="007A739C" w:rsidRPr="00BE2B36" w:rsidRDefault="007A739C" w:rsidP="00283B18">
      <w:pPr>
        <w:pStyle w:val="Listenabsatz"/>
        <w:numPr>
          <w:ilvl w:val="0"/>
          <w:numId w:val="8"/>
        </w:numPr>
        <w:spacing w:line="360" w:lineRule="auto"/>
        <w:rPr>
          <w:rFonts w:ascii="Verdana" w:hAnsi="Verdana"/>
          <w:sz w:val="18"/>
          <w:szCs w:val="18"/>
          <w:lang w:val="en-GB"/>
        </w:rPr>
      </w:pPr>
      <w:r w:rsidRPr="007E0CF7">
        <w:rPr>
          <w:rFonts w:ascii="Verdana" w:hAnsi="Verdana"/>
          <w:sz w:val="18"/>
          <w:szCs w:val="18"/>
          <w:lang w:val="en-GB"/>
        </w:rPr>
        <w:t>Two public</w:t>
      </w:r>
      <w:r w:rsidR="007E0CF7" w:rsidRPr="007E0CF7">
        <w:rPr>
          <w:rFonts w:ascii="Verdana" w:hAnsi="Verdana"/>
          <w:sz w:val="18"/>
          <w:szCs w:val="18"/>
          <w:lang w:val="en-GB"/>
        </w:rPr>
        <w:t>ly</w:t>
      </w:r>
      <w:r w:rsidRPr="007E0CF7">
        <w:rPr>
          <w:rFonts w:ascii="Verdana" w:hAnsi="Verdana"/>
          <w:sz w:val="18"/>
          <w:szCs w:val="18"/>
          <w:lang w:val="en-GB"/>
        </w:rPr>
        <w:t xml:space="preserve"> funded </w:t>
      </w:r>
      <w:r w:rsidRPr="00BE2B36">
        <w:rPr>
          <w:rFonts w:ascii="Verdana" w:hAnsi="Verdana"/>
          <w:sz w:val="18"/>
          <w:szCs w:val="18"/>
          <w:lang w:val="en-GB"/>
        </w:rPr>
        <w:t>projects</w:t>
      </w:r>
      <w:r w:rsidR="006A5F45" w:rsidRPr="00BE2B36">
        <w:rPr>
          <w:rFonts w:ascii="Verdana" w:hAnsi="Verdana"/>
          <w:sz w:val="18"/>
          <w:szCs w:val="18"/>
          <w:lang w:val="en-GB"/>
        </w:rPr>
        <w:t xml:space="preserve"> in the area of Indus</w:t>
      </w:r>
      <w:r w:rsidR="00EA5793" w:rsidRPr="00BE2B36">
        <w:rPr>
          <w:rFonts w:ascii="Verdana" w:hAnsi="Verdana"/>
          <w:sz w:val="18"/>
          <w:szCs w:val="18"/>
          <w:lang w:val="en-GB"/>
        </w:rPr>
        <w:t>try</w:t>
      </w:r>
      <w:r w:rsidR="006A5F45" w:rsidRPr="00BE2B36">
        <w:rPr>
          <w:rFonts w:ascii="Verdana" w:hAnsi="Verdana"/>
          <w:sz w:val="18"/>
          <w:szCs w:val="18"/>
          <w:lang w:val="en-GB"/>
        </w:rPr>
        <w:t xml:space="preserve"> 4.0 / </w:t>
      </w:r>
      <w:proofErr w:type="spellStart"/>
      <w:r w:rsidR="006A5F45" w:rsidRPr="00BE2B36">
        <w:rPr>
          <w:rFonts w:ascii="Verdana" w:hAnsi="Verdana"/>
          <w:sz w:val="18"/>
          <w:szCs w:val="18"/>
          <w:lang w:val="en-GB"/>
        </w:rPr>
        <w:t>Io</w:t>
      </w:r>
      <w:r w:rsidR="00BE2B36">
        <w:rPr>
          <w:rFonts w:ascii="Verdana" w:hAnsi="Verdana"/>
          <w:sz w:val="18"/>
          <w:szCs w:val="18"/>
          <w:lang w:val="en-GB"/>
        </w:rPr>
        <w:t>T</w:t>
      </w:r>
      <w:proofErr w:type="spellEnd"/>
    </w:p>
    <w:p w:rsidR="007A739C" w:rsidRPr="007E0CF7" w:rsidRDefault="007E0CF7" w:rsidP="00283B18">
      <w:pPr>
        <w:pStyle w:val="Listenabsatz"/>
        <w:numPr>
          <w:ilvl w:val="0"/>
          <w:numId w:val="8"/>
        </w:numPr>
        <w:spacing w:line="360" w:lineRule="auto"/>
        <w:rPr>
          <w:rFonts w:ascii="Verdana" w:hAnsi="Verdana"/>
          <w:sz w:val="18"/>
          <w:szCs w:val="18"/>
          <w:lang w:val="en-GB"/>
        </w:rPr>
      </w:pPr>
      <w:r w:rsidRPr="007E0CF7">
        <w:rPr>
          <w:rFonts w:ascii="Verdana" w:hAnsi="Verdana"/>
          <w:sz w:val="18"/>
          <w:szCs w:val="18"/>
          <w:lang w:val="en-GB"/>
        </w:rPr>
        <w:t xml:space="preserve">Several </w:t>
      </w:r>
      <w:r w:rsidR="007A739C" w:rsidRPr="007E0CF7">
        <w:rPr>
          <w:rFonts w:ascii="Verdana" w:hAnsi="Verdana"/>
          <w:sz w:val="18"/>
          <w:szCs w:val="18"/>
          <w:lang w:val="en-GB"/>
        </w:rPr>
        <w:t xml:space="preserve">new </w:t>
      </w:r>
      <w:r w:rsidR="004B0FE9">
        <w:rPr>
          <w:rFonts w:ascii="Verdana" w:hAnsi="Verdana"/>
          <w:sz w:val="18"/>
          <w:szCs w:val="18"/>
          <w:lang w:val="en-GB"/>
        </w:rPr>
        <w:t xml:space="preserve">qualification orders according automotive standard </w:t>
      </w:r>
      <w:r w:rsidR="007A739C" w:rsidRPr="007E0CF7">
        <w:rPr>
          <w:rFonts w:ascii="Verdana" w:hAnsi="Verdana"/>
          <w:sz w:val="18"/>
          <w:szCs w:val="18"/>
          <w:lang w:val="en-GB"/>
        </w:rPr>
        <w:t xml:space="preserve">AEC-Q100 </w:t>
      </w:r>
    </w:p>
    <w:p w:rsidR="007A739C" w:rsidRPr="007E0CF7" w:rsidRDefault="007A739C" w:rsidP="00283B18">
      <w:pPr>
        <w:pStyle w:val="Listenabsatz"/>
        <w:numPr>
          <w:ilvl w:val="0"/>
          <w:numId w:val="8"/>
        </w:numPr>
        <w:spacing w:line="360" w:lineRule="auto"/>
        <w:rPr>
          <w:rFonts w:ascii="Verdana" w:hAnsi="Verdana"/>
          <w:sz w:val="18"/>
          <w:szCs w:val="18"/>
          <w:lang w:val="en-GB"/>
        </w:rPr>
      </w:pPr>
      <w:r w:rsidRPr="007E0CF7">
        <w:rPr>
          <w:rFonts w:ascii="Verdana" w:hAnsi="Verdana"/>
          <w:sz w:val="18"/>
          <w:szCs w:val="18"/>
          <w:lang w:val="en-GB"/>
        </w:rPr>
        <w:t xml:space="preserve">Strengthened management team with addition of Martin </w:t>
      </w:r>
      <w:proofErr w:type="spellStart"/>
      <w:r w:rsidRPr="007E0CF7">
        <w:rPr>
          <w:rFonts w:ascii="Verdana" w:hAnsi="Verdana"/>
          <w:sz w:val="18"/>
          <w:szCs w:val="18"/>
          <w:lang w:val="en-GB"/>
        </w:rPr>
        <w:t>Sallenhag</w:t>
      </w:r>
      <w:proofErr w:type="spellEnd"/>
      <w:r w:rsidRPr="007E0CF7">
        <w:rPr>
          <w:rFonts w:ascii="Verdana" w:hAnsi="Verdana"/>
          <w:sz w:val="18"/>
          <w:szCs w:val="18"/>
          <w:lang w:val="en-GB"/>
        </w:rPr>
        <w:t xml:space="preserve"> as CTO</w:t>
      </w:r>
    </w:p>
    <w:p w:rsidR="007A739C" w:rsidRDefault="007A739C" w:rsidP="00283B18">
      <w:pPr>
        <w:pStyle w:val="Listenabsatz"/>
        <w:numPr>
          <w:ilvl w:val="0"/>
          <w:numId w:val="8"/>
        </w:numPr>
        <w:spacing w:line="360" w:lineRule="auto"/>
        <w:rPr>
          <w:rFonts w:ascii="Verdana" w:hAnsi="Verdana"/>
          <w:sz w:val="18"/>
          <w:szCs w:val="18"/>
          <w:lang w:val="en-GB"/>
        </w:rPr>
      </w:pPr>
      <w:r w:rsidRPr="007E0CF7">
        <w:rPr>
          <w:rFonts w:ascii="Verdana" w:hAnsi="Verdana"/>
          <w:sz w:val="18"/>
          <w:szCs w:val="18"/>
          <w:lang w:val="en-GB"/>
        </w:rPr>
        <w:t>Continued focus on supply chain management activities by addition of experienced project manager</w:t>
      </w:r>
    </w:p>
    <w:p w:rsidR="00BC5D9A" w:rsidRPr="007E0CF7" w:rsidRDefault="00BC5D9A" w:rsidP="00283B18">
      <w:pPr>
        <w:pStyle w:val="Listenabsatz"/>
        <w:numPr>
          <w:ilvl w:val="0"/>
          <w:numId w:val="8"/>
        </w:numPr>
        <w:spacing w:line="360" w:lineRule="auto"/>
        <w:rPr>
          <w:rFonts w:ascii="Verdana" w:hAnsi="Verdana"/>
          <w:sz w:val="18"/>
          <w:szCs w:val="18"/>
          <w:lang w:val="en-GB"/>
        </w:rPr>
      </w:pPr>
      <w:r>
        <w:rPr>
          <w:rFonts w:ascii="Verdana" w:hAnsi="Verdana"/>
          <w:sz w:val="18"/>
          <w:szCs w:val="18"/>
          <w:lang w:val="en-GB"/>
        </w:rPr>
        <w:t xml:space="preserve">Investments in </w:t>
      </w:r>
      <w:r w:rsidR="002A0F4E">
        <w:rPr>
          <w:rFonts w:ascii="Verdana" w:hAnsi="Verdana"/>
          <w:sz w:val="18"/>
          <w:szCs w:val="18"/>
          <w:lang w:val="en-GB"/>
        </w:rPr>
        <w:t xml:space="preserve">Automotive Competence </w:t>
      </w:r>
      <w:proofErr w:type="spellStart"/>
      <w:r w:rsidR="002A0F4E">
        <w:rPr>
          <w:rFonts w:ascii="Verdana" w:hAnsi="Verdana"/>
          <w:sz w:val="18"/>
          <w:szCs w:val="18"/>
          <w:lang w:val="en-GB"/>
        </w:rPr>
        <w:t>Center</w:t>
      </w:r>
      <w:proofErr w:type="spellEnd"/>
      <w:r w:rsidR="00252EC9">
        <w:rPr>
          <w:rFonts w:ascii="Verdana" w:hAnsi="Verdana"/>
          <w:sz w:val="18"/>
          <w:szCs w:val="18"/>
          <w:lang w:val="en-GB"/>
        </w:rPr>
        <w:t xml:space="preserve"> that resulted in new contracts</w:t>
      </w:r>
      <w:r w:rsidR="002A0F4E">
        <w:rPr>
          <w:rFonts w:ascii="Verdana" w:hAnsi="Verdana"/>
          <w:sz w:val="18"/>
          <w:szCs w:val="18"/>
          <w:lang w:val="en-GB"/>
        </w:rPr>
        <w:t xml:space="preserve"> and new </w:t>
      </w:r>
      <w:r w:rsidR="00252EC9">
        <w:rPr>
          <w:rFonts w:ascii="Verdana" w:hAnsi="Verdana"/>
          <w:sz w:val="18"/>
          <w:szCs w:val="18"/>
          <w:lang w:val="en-GB"/>
        </w:rPr>
        <w:t>prospects</w:t>
      </w:r>
    </w:p>
    <w:p w:rsidR="008348AA" w:rsidRPr="00BC5D9A" w:rsidRDefault="007A739C" w:rsidP="00283B18">
      <w:pPr>
        <w:pStyle w:val="Listenabsatz"/>
        <w:numPr>
          <w:ilvl w:val="0"/>
          <w:numId w:val="8"/>
        </w:numPr>
        <w:spacing w:line="360" w:lineRule="auto"/>
        <w:rPr>
          <w:rFonts w:ascii="Verdana" w:hAnsi="Verdana" w:cs="Verdana"/>
          <w:sz w:val="18"/>
          <w:szCs w:val="18"/>
          <w:lang w:val="en-US"/>
        </w:rPr>
      </w:pPr>
      <w:r w:rsidRPr="00942A3B">
        <w:rPr>
          <w:rFonts w:ascii="Verdana" w:hAnsi="Verdana"/>
          <w:sz w:val="18"/>
          <w:szCs w:val="18"/>
          <w:lang w:val="en-GB"/>
        </w:rPr>
        <w:t xml:space="preserve">Successful seminar </w:t>
      </w:r>
      <w:r w:rsidR="007E0CF7" w:rsidRPr="00942A3B">
        <w:rPr>
          <w:rFonts w:ascii="Verdana" w:hAnsi="Verdana"/>
          <w:sz w:val="18"/>
          <w:szCs w:val="18"/>
          <w:lang w:val="en-GB"/>
        </w:rPr>
        <w:t xml:space="preserve">on </w:t>
      </w:r>
      <w:r w:rsidRPr="00942A3B">
        <w:rPr>
          <w:rFonts w:ascii="Verdana" w:hAnsi="Verdana"/>
          <w:sz w:val="18"/>
          <w:szCs w:val="18"/>
          <w:lang w:val="en-GB"/>
        </w:rPr>
        <w:t>automotive qualification held with many industry participants</w:t>
      </w:r>
    </w:p>
    <w:p w:rsidR="008348AA" w:rsidRPr="007E0CF7" w:rsidRDefault="008348AA" w:rsidP="00283B18">
      <w:pPr>
        <w:tabs>
          <w:tab w:val="left" w:pos="709"/>
        </w:tabs>
        <w:spacing w:line="360" w:lineRule="auto"/>
        <w:rPr>
          <w:rFonts w:ascii="Verdana" w:hAnsi="Verdana"/>
          <w:b/>
          <w:color w:val="B71234"/>
          <w:sz w:val="18"/>
          <w:szCs w:val="18"/>
        </w:rPr>
      </w:pPr>
      <w:r w:rsidRPr="00942A3B">
        <w:rPr>
          <w:rFonts w:ascii="Verdana" w:hAnsi="Verdana"/>
          <w:b/>
          <w:sz w:val="18"/>
          <w:szCs w:val="18"/>
        </w:rPr>
        <w:t>Financials</w:t>
      </w:r>
    </w:p>
    <w:p w:rsidR="008348AA" w:rsidRPr="007E0CF7" w:rsidRDefault="00422213" w:rsidP="00283B18">
      <w:pPr>
        <w:numPr>
          <w:ilvl w:val="0"/>
          <w:numId w:val="3"/>
        </w:numPr>
        <w:tabs>
          <w:tab w:val="left" w:pos="709"/>
        </w:tabs>
        <w:spacing w:line="360" w:lineRule="auto"/>
        <w:rPr>
          <w:rFonts w:ascii="Verdana" w:hAnsi="Verdana" w:cs="Verdana"/>
          <w:sz w:val="18"/>
          <w:szCs w:val="18"/>
        </w:rPr>
      </w:pPr>
      <w:r w:rsidRPr="007E0CF7">
        <w:rPr>
          <w:rFonts w:ascii="Verdana" w:hAnsi="Verdana"/>
          <w:sz w:val="18"/>
          <w:szCs w:val="18"/>
        </w:rPr>
        <w:t>Sales in 2015 of EUR 10.3 million</w:t>
      </w:r>
      <w:r w:rsidR="007E0CF7" w:rsidRPr="007E0CF7">
        <w:rPr>
          <w:rFonts w:ascii="Verdana" w:hAnsi="Verdana"/>
          <w:sz w:val="18"/>
          <w:szCs w:val="18"/>
        </w:rPr>
        <w:t>, 3%</w:t>
      </w:r>
      <w:r w:rsidRPr="007E0CF7">
        <w:rPr>
          <w:rFonts w:ascii="Verdana" w:hAnsi="Verdana"/>
          <w:sz w:val="18"/>
          <w:szCs w:val="18"/>
        </w:rPr>
        <w:t xml:space="preserve"> increase</w:t>
      </w:r>
      <w:r w:rsidR="007E0CF7" w:rsidRPr="007E0CF7">
        <w:rPr>
          <w:rFonts w:ascii="Verdana" w:hAnsi="Verdana"/>
          <w:sz w:val="18"/>
          <w:szCs w:val="18"/>
        </w:rPr>
        <w:t xml:space="preserve"> </w:t>
      </w:r>
      <w:r w:rsidRPr="007E0CF7">
        <w:rPr>
          <w:rFonts w:ascii="Verdana" w:hAnsi="Verdana"/>
          <w:sz w:val="18"/>
          <w:szCs w:val="18"/>
        </w:rPr>
        <w:t>compared to 2014 (EUR 10</w:t>
      </w:r>
      <w:r w:rsidR="002C0FAA" w:rsidRPr="007E0CF7">
        <w:rPr>
          <w:rFonts w:ascii="Verdana" w:hAnsi="Verdana"/>
          <w:sz w:val="18"/>
          <w:szCs w:val="18"/>
        </w:rPr>
        <w:t>.0</w:t>
      </w:r>
      <w:r w:rsidR="000D4B3B" w:rsidRPr="007E0CF7">
        <w:rPr>
          <w:rFonts w:ascii="Verdana" w:hAnsi="Verdana"/>
          <w:sz w:val="18"/>
          <w:szCs w:val="18"/>
        </w:rPr>
        <w:t xml:space="preserve"> million)</w:t>
      </w:r>
    </w:p>
    <w:p w:rsidR="00766144" w:rsidRPr="007E0CF7" w:rsidRDefault="00A85874" w:rsidP="00283B18">
      <w:pPr>
        <w:numPr>
          <w:ilvl w:val="0"/>
          <w:numId w:val="3"/>
        </w:numPr>
        <w:tabs>
          <w:tab w:val="left" w:pos="709"/>
        </w:tabs>
        <w:spacing w:line="360" w:lineRule="auto"/>
        <w:rPr>
          <w:rFonts w:ascii="Verdana" w:hAnsi="Verdana" w:cs="Verdana"/>
          <w:sz w:val="18"/>
          <w:szCs w:val="18"/>
        </w:rPr>
      </w:pPr>
      <w:r w:rsidRPr="007E0CF7">
        <w:rPr>
          <w:rFonts w:ascii="Verdana" w:hAnsi="Verdana"/>
          <w:sz w:val="18"/>
          <w:szCs w:val="18"/>
        </w:rPr>
        <w:t>Net</w:t>
      </w:r>
      <w:r w:rsidR="007E0CF7" w:rsidRPr="007E0CF7">
        <w:rPr>
          <w:rFonts w:ascii="Verdana" w:hAnsi="Verdana"/>
          <w:sz w:val="18"/>
          <w:szCs w:val="18"/>
        </w:rPr>
        <w:t xml:space="preserve"> </w:t>
      </w:r>
      <w:r w:rsidR="00D125D6" w:rsidRPr="007E0CF7">
        <w:rPr>
          <w:rFonts w:ascii="Verdana" w:hAnsi="Verdana"/>
          <w:sz w:val="18"/>
          <w:szCs w:val="18"/>
        </w:rPr>
        <w:t>d</w:t>
      </w:r>
      <w:r w:rsidR="000D4B3B" w:rsidRPr="007E0CF7">
        <w:rPr>
          <w:rFonts w:ascii="Verdana" w:hAnsi="Verdana"/>
          <w:sz w:val="18"/>
          <w:szCs w:val="18"/>
        </w:rPr>
        <w:t>ebt position decreased by 24%</w:t>
      </w:r>
      <w:r w:rsidR="00766144" w:rsidRPr="007E0CF7">
        <w:rPr>
          <w:rFonts w:ascii="Verdana" w:hAnsi="Verdana"/>
          <w:sz w:val="18"/>
          <w:szCs w:val="18"/>
        </w:rPr>
        <w:t xml:space="preserve"> to EUR</w:t>
      </w:r>
      <w:r w:rsidR="000D4B3B" w:rsidRPr="007E0CF7">
        <w:rPr>
          <w:rFonts w:ascii="Verdana" w:hAnsi="Verdana"/>
          <w:sz w:val="18"/>
          <w:szCs w:val="18"/>
        </w:rPr>
        <w:t xml:space="preserve"> 1.6 million (2014: </w:t>
      </w:r>
      <w:r w:rsidR="001A747C" w:rsidRPr="007E0CF7">
        <w:rPr>
          <w:rFonts w:ascii="Verdana" w:hAnsi="Verdana"/>
          <w:sz w:val="18"/>
          <w:szCs w:val="18"/>
        </w:rPr>
        <w:t xml:space="preserve">EUR </w:t>
      </w:r>
      <w:r w:rsidR="000D4B3B" w:rsidRPr="007E0CF7">
        <w:rPr>
          <w:rFonts w:ascii="Verdana" w:hAnsi="Verdana"/>
          <w:sz w:val="18"/>
          <w:szCs w:val="18"/>
        </w:rPr>
        <w:t>2.2</w:t>
      </w:r>
      <w:r w:rsidR="002C0FAA" w:rsidRPr="007E0CF7">
        <w:rPr>
          <w:rFonts w:ascii="Verdana" w:hAnsi="Verdana"/>
          <w:sz w:val="18"/>
          <w:szCs w:val="18"/>
        </w:rPr>
        <w:t xml:space="preserve"> million)</w:t>
      </w:r>
    </w:p>
    <w:p w:rsidR="008348AA" w:rsidRPr="0047321C" w:rsidRDefault="005E5733" w:rsidP="00283B18">
      <w:pPr>
        <w:numPr>
          <w:ilvl w:val="0"/>
          <w:numId w:val="3"/>
        </w:numPr>
        <w:tabs>
          <w:tab w:val="left" w:pos="709"/>
        </w:tabs>
        <w:spacing w:line="360" w:lineRule="auto"/>
        <w:rPr>
          <w:rFonts w:ascii="Verdana" w:hAnsi="Verdana" w:cs="Verdana"/>
          <w:sz w:val="18"/>
          <w:szCs w:val="18"/>
          <w:lang w:val="de-DE"/>
        </w:rPr>
      </w:pPr>
      <w:r>
        <w:rPr>
          <w:rFonts w:ascii="Verdana" w:hAnsi="Verdana"/>
          <w:sz w:val="18"/>
          <w:szCs w:val="18"/>
          <w:lang w:val="de-DE"/>
        </w:rPr>
        <w:t>EBITDA: EUR 0.3</w:t>
      </w:r>
      <w:r w:rsidR="008348AA" w:rsidRPr="0047321C">
        <w:rPr>
          <w:rFonts w:ascii="Verdana" w:hAnsi="Verdana"/>
          <w:sz w:val="18"/>
          <w:szCs w:val="18"/>
          <w:lang w:val="de-DE"/>
        </w:rPr>
        <w:t xml:space="preserve"> million</w:t>
      </w:r>
      <w:r w:rsidR="002F4A7C" w:rsidRPr="0047321C">
        <w:rPr>
          <w:rFonts w:ascii="Verdana" w:hAnsi="Verdana"/>
          <w:sz w:val="18"/>
          <w:szCs w:val="18"/>
          <w:lang w:val="de-DE"/>
        </w:rPr>
        <w:t xml:space="preserve"> negative (2014</w:t>
      </w:r>
      <w:r w:rsidR="008348AA" w:rsidRPr="0047321C">
        <w:rPr>
          <w:rFonts w:ascii="Verdana" w:hAnsi="Verdana"/>
          <w:sz w:val="18"/>
          <w:szCs w:val="18"/>
          <w:lang w:val="de-DE"/>
        </w:rPr>
        <w:t xml:space="preserve">: EUR </w:t>
      </w:r>
      <w:r w:rsidR="002C0FAA" w:rsidRPr="0047321C">
        <w:rPr>
          <w:rFonts w:ascii="Verdana" w:hAnsi="Verdana"/>
          <w:sz w:val="18"/>
          <w:szCs w:val="18"/>
          <w:lang w:val="de-DE"/>
        </w:rPr>
        <w:t xml:space="preserve">0.7 </w:t>
      </w:r>
      <w:r w:rsidR="000D4B3B" w:rsidRPr="0047321C">
        <w:rPr>
          <w:rFonts w:ascii="Verdana" w:hAnsi="Verdana"/>
          <w:sz w:val="18"/>
          <w:szCs w:val="18"/>
          <w:lang w:val="de-DE"/>
        </w:rPr>
        <w:t>million</w:t>
      </w:r>
      <w:r w:rsidR="002F4A7C" w:rsidRPr="0047321C">
        <w:rPr>
          <w:rFonts w:ascii="Verdana" w:hAnsi="Verdana"/>
          <w:sz w:val="18"/>
          <w:szCs w:val="18"/>
          <w:lang w:val="de-DE"/>
        </w:rPr>
        <w:t xml:space="preserve"> negative</w:t>
      </w:r>
      <w:r w:rsidR="000D4B3B" w:rsidRPr="0047321C">
        <w:rPr>
          <w:rFonts w:ascii="Verdana" w:hAnsi="Verdana"/>
          <w:sz w:val="18"/>
          <w:szCs w:val="18"/>
          <w:lang w:val="de-DE"/>
        </w:rPr>
        <w:t>)</w:t>
      </w:r>
    </w:p>
    <w:p w:rsidR="008348AA" w:rsidRPr="007E0CF7" w:rsidRDefault="008348AA" w:rsidP="00283B18">
      <w:pPr>
        <w:numPr>
          <w:ilvl w:val="0"/>
          <w:numId w:val="3"/>
        </w:numPr>
        <w:tabs>
          <w:tab w:val="left" w:pos="709"/>
        </w:tabs>
        <w:spacing w:line="360" w:lineRule="auto"/>
        <w:rPr>
          <w:rFonts w:ascii="Verdana" w:hAnsi="Verdana" w:cs="Verdana"/>
          <w:sz w:val="18"/>
          <w:szCs w:val="18"/>
        </w:rPr>
      </w:pPr>
      <w:r w:rsidRPr="007E0CF7">
        <w:rPr>
          <w:rFonts w:ascii="Verdana" w:hAnsi="Verdana"/>
          <w:sz w:val="18"/>
          <w:szCs w:val="18"/>
        </w:rPr>
        <w:t xml:space="preserve">EBIT (operating result) EUR </w:t>
      </w:r>
      <w:r w:rsidR="005E5733">
        <w:rPr>
          <w:rFonts w:ascii="Verdana" w:hAnsi="Verdana"/>
          <w:sz w:val="18"/>
          <w:szCs w:val="18"/>
        </w:rPr>
        <w:t>1.2</w:t>
      </w:r>
      <w:r w:rsidR="002C0FAA" w:rsidRPr="007E0CF7">
        <w:rPr>
          <w:rFonts w:ascii="Verdana" w:hAnsi="Verdana"/>
          <w:sz w:val="18"/>
          <w:szCs w:val="18"/>
        </w:rPr>
        <w:t xml:space="preserve"> million</w:t>
      </w:r>
      <w:r w:rsidR="002F4A7C" w:rsidRPr="007E0CF7">
        <w:rPr>
          <w:rFonts w:ascii="Verdana" w:hAnsi="Verdana"/>
          <w:sz w:val="18"/>
          <w:szCs w:val="18"/>
        </w:rPr>
        <w:t xml:space="preserve"> negative (2014</w:t>
      </w:r>
      <w:r w:rsidRPr="007E0CF7">
        <w:rPr>
          <w:rFonts w:ascii="Verdana" w:hAnsi="Verdana"/>
          <w:sz w:val="18"/>
          <w:szCs w:val="18"/>
        </w:rPr>
        <w:t xml:space="preserve">: EUR </w:t>
      </w:r>
      <w:r w:rsidR="002F4A7C" w:rsidRPr="007E0CF7">
        <w:rPr>
          <w:rFonts w:ascii="Verdana" w:hAnsi="Verdana"/>
          <w:sz w:val="18"/>
          <w:szCs w:val="18"/>
        </w:rPr>
        <w:t>1.5</w:t>
      </w:r>
      <w:r w:rsidR="002C0FAA" w:rsidRPr="007E0CF7">
        <w:rPr>
          <w:rFonts w:ascii="Verdana" w:hAnsi="Verdana"/>
          <w:sz w:val="18"/>
          <w:szCs w:val="18"/>
        </w:rPr>
        <w:t xml:space="preserve"> million </w:t>
      </w:r>
      <w:r w:rsidR="002F4A7C" w:rsidRPr="007E0CF7">
        <w:rPr>
          <w:rFonts w:ascii="Verdana" w:hAnsi="Verdana"/>
          <w:sz w:val="18"/>
          <w:szCs w:val="18"/>
        </w:rPr>
        <w:t>negative)</w:t>
      </w:r>
    </w:p>
    <w:p w:rsidR="008348AA" w:rsidRPr="007E0CF7" w:rsidRDefault="008348AA" w:rsidP="00283B18">
      <w:pPr>
        <w:numPr>
          <w:ilvl w:val="0"/>
          <w:numId w:val="3"/>
        </w:numPr>
        <w:tabs>
          <w:tab w:val="left" w:pos="709"/>
        </w:tabs>
        <w:spacing w:line="360" w:lineRule="auto"/>
        <w:rPr>
          <w:rFonts w:ascii="Verdana" w:hAnsi="Verdana" w:cs="Verdana"/>
          <w:sz w:val="18"/>
          <w:szCs w:val="18"/>
        </w:rPr>
      </w:pPr>
      <w:r w:rsidRPr="007E0CF7">
        <w:rPr>
          <w:rFonts w:ascii="Verdana" w:hAnsi="Verdana"/>
          <w:sz w:val="18"/>
          <w:szCs w:val="18"/>
        </w:rPr>
        <w:t>Net income: EUR</w:t>
      </w:r>
      <w:r w:rsidR="005E5733">
        <w:rPr>
          <w:rFonts w:ascii="Verdana" w:hAnsi="Verdana"/>
          <w:sz w:val="18"/>
          <w:szCs w:val="18"/>
        </w:rPr>
        <w:t xml:space="preserve"> 1.4</w:t>
      </w:r>
      <w:r w:rsidR="002C0FAA" w:rsidRPr="007E0CF7">
        <w:rPr>
          <w:rFonts w:ascii="Verdana" w:hAnsi="Verdana"/>
          <w:sz w:val="18"/>
          <w:szCs w:val="18"/>
        </w:rPr>
        <w:t xml:space="preserve"> million</w:t>
      </w:r>
      <w:r w:rsidR="000D4B3B" w:rsidRPr="007E0CF7">
        <w:rPr>
          <w:rFonts w:ascii="Verdana" w:hAnsi="Verdana"/>
          <w:sz w:val="18"/>
          <w:szCs w:val="18"/>
        </w:rPr>
        <w:t xml:space="preserve"> negative (2014</w:t>
      </w:r>
      <w:r w:rsidRPr="007E0CF7">
        <w:rPr>
          <w:rFonts w:ascii="Verdana" w:hAnsi="Verdana"/>
          <w:sz w:val="18"/>
          <w:szCs w:val="18"/>
        </w:rPr>
        <w:t xml:space="preserve">: </w:t>
      </w:r>
      <w:r w:rsidR="000D4B3B" w:rsidRPr="007E0CF7">
        <w:rPr>
          <w:rFonts w:ascii="Verdana" w:hAnsi="Verdana"/>
          <w:sz w:val="18"/>
          <w:szCs w:val="18"/>
        </w:rPr>
        <w:t>EUR 1.7 million negative)</w:t>
      </w:r>
    </w:p>
    <w:p w:rsidR="008348AA" w:rsidRPr="00942A3B" w:rsidRDefault="008348AA" w:rsidP="00283B18">
      <w:pPr>
        <w:numPr>
          <w:ilvl w:val="0"/>
          <w:numId w:val="3"/>
        </w:numPr>
        <w:tabs>
          <w:tab w:val="left" w:pos="709"/>
        </w:tabs>
        <w:spacing w:line="360" w:lineRule="auto"/>
        <w:rPr>
          <w:rFonts w:ascii="Verdana" w:hAnsi="Verdana" w:cs="Verdana"/>
          <w:sz w:val="18"/>
          <w:szCs w:val="18"/>
        </w:rPr>
      </w:pPr>
      <w:r w:rsidRPr="007E0CF7">
        <w:rPr>
          <w:rFonts w:ascii="Verdana" w:hAnsi="Verdana"/>
          <w:sz w:val="18"/>
          <w:szCs w:val="18"/>
        </w:rPr>
        <w:t>Solvency increased to</w:t>
      </w:r>
      <w:r w:rsidR="0064735F" w:rsidRPr="007E0CF7">
        <w:rPr>
          <w:rFonts w:ascii="Verdana" w:hAnsi="Verdana"/>
          <w:sz w:val="18"/>
          <w:szCs w:val="18"/>
        </w:rPr>
        <w:t xml:space="preserve"> </w:t>
      </w:r>
      <w:r w:rsidR="000D4B3B" w:rsidRPr="007E0CF7">
        <w:rPr>
          <w:rFonts w:ascii="Verdana" w:hAnsi="Verdana"/>
          <w:sz w:val="18"/>
          <w:szCs w:val="18"/>
        </w:rPr>
        <w:t>41%</w:t>
      </w:r>
      <w:r w:rsidR="001A747C" w:rsidRPr="007E0CF7">
        <w:rPr>
          <w:rFonts w:ascii="Verdana" w:hAnsi="Verdana"/>
          <w:sz w:val="18"/>
          <w:szCs w:val="18"/>
        </w:rPr>
        <w:t xml:space="preserve"> (2014: 27%)</w:t>
      </w:r>
    </w:p>
    <w:p w:rsidR="00942A3B" w:rsidRPr="007E0CF7" w:rsidRDefault="00942A3B" w:rsidP="00283B18">
      <w:pPr>
        <w:numPr>
          <w:ilvl w:val="0"/>
          <w:numId w:val="3"/>
        </w:numPr>
        <w:tabs>
          <w:tab w:val="left" w:pos="709"/>
        </w:tabs>
        <w:spacing w:line="360" w:lineRule="auto"/>
        <w:rPr>
          <w:rFonts w:ascii="Verdana" w:hAnsi="Verdana" w:cs="Verdana"/>
          <w:sz w:val="18"/>
          <w:szCs w:val="18"/>
        </w:rPr>
      </w:pPr>
      <w:r>
        <w:rPr>
          <w:rFonts w:ascii="Verdana" w:hAnsi="Verdana"/>
          <w:sz w:val="18"/>
          <w:szCs w:val="18"/>
        </w:rPr>
        <w:t>Balance sheet total decreased to EUR 11.3 million (2014: 13.6 million) due to netting of pension</w:t>
      </w:r>
      <w:r w:rsidR="00A670FC">
        <w:rPr>
          <w:rFonts w:ascii="Verdana" w:hAnsi="Verdana"/>
          <w:sz w:val="18"/>
          <w:szCs w:val="18"/>
        </w:rPr>
        <w:t xml:space="preserve"> liabilities and pension assets</w:t>
      </w:r>
      <w:r>
        <w:rPr>
          <w:rFonts w:ascii="Verdana" w:hAnsi="Verdana"/>
          <w:sz w:val="18"/>
          <w:szCs w:val="18"/>
        </w:rPr>
        <w:t xml:space="preserve"> </w:t>
      </w:r>
    </w:p>
    <w:p w:rsidR="00422213" w:rsidRPr="007E0CF7" w:rsidRDefault="00422213" w:rsidP="00283B18">
      <w:pPr>
        <w:numPr>
          <w:ilvl w:val="0"/>
          <w:numId w:val="3"/>
        </w:numPr>
        <w:tabs>
          <w:tab w:val="left" w:pos="709"/>
        </w:tabs>
        <w:spacing w:line="360" w:lineRule="auto"/>
        <w:rPr>
          <w:rFonts w:ascii="Verdana" w:hAnsi="Verdana" w:cs="Verdana"/>
          <w:sz w:val="18"/>
          <w:szCs w:val="18"/>
        </w:rPr>
      </w:pPr>
      <w:r w:rsidRPr="007E0CF7">
        <w:rPr>
          <w:rFonts w:ascii="Verdana" w:hAnsi="Verdana" w:cs="Verdana"/>
          <w:sz w:val="18"/>
          <w:szCs w:val="18"/>
        </w:rPr>
        <w:t>Early January 2016, a final agreement was made with Grant Thornton regarding the audit fee</w:t>
      </w:r>
      <w:r w:rsidR="008656F5">
        <w:rPr>
          <w:rFonts w:ascii="Verdana" w:hAnsi="Verdana" w:cs="Verdana"/>
          <w:sz w:val="18"/>
          <w:szCs w:val="18"/>
        </w:rPr>
        <w:t>s</w:t>
      </w:r>
      <w:r w:rsidRPr="007E0CF7">
        <w:rPr>
          <w:rFonts w:ascii="Verdana" w:hAnsi="Verdana" w:cs="Verdana"/>
          <w:sz w:val="18"/>
          <w:szCs w:val="18"/>
        </w:rPr>
        <w:t xml:space="preserve"> 2014. Total additional audit</w:t>
      </w:r>
      <w:r w:rsidR="007E0CF7">
        <w:rPr>
          <w:rFonts w:ascii="Verdana" w:hAnsi="Verdana" w:cs="Verdana"/>
          <w:sz w:val="18"/>
          <w:szCs w:val="18"/>
        </w:rPr>
        <w:t>-</w:t>
      </w:r>
      <w:r w:rsidRPr="007E0CF7">
        <w:rPr>
          <w:rFonts w:ascii="Verdana" w:hAnsi="Verdana" w:cs="Verdana"/>
          <w:sz w:val="18"/>
          <w:szCs w:val="18"/>
        </w:rPr>
        <w:t xml:space="preserve">related fees and </w:t>
      </w:r>
      <w:r w:rsidR="007E0CF7">
        <w:rPr>
          <w:rFonts w:ascii="Verdana" w:hAnsi="Verdana" w:cs="Verdana"/>
          <w:sz w:val="18"/>
          <w:szCs w:val="18"/>
        </w:rPr>
        <w:t>legal</w:t>
      </w:r>
      <w:r w:rsidR="007E0CF7" w:rsidRPr="007E0CF7">
        <w:rPr>
          <w:rFonts w:ascii="Verdana" w:hAnsi="Verdana" w:cs="Verdana"/>
          <w:sz w:val="18"/>
          <w:szCs w:val="18"/>
        </w:rPr>
        <w:t xml:space="preserve"> </w:t>
      </w:r>
      <w:r w:rsidRPr="007E0CF7">
        <w:rPr>
          <w:rFonts w:ascii="Verdana" w:hAnsi="Verdana" w:cs="Verdana"/>
          <w:sz w:val="18"/>
          <w:szCs w:val="18"/>
        </w:rPr>
        <w:t>fees to finalise the annual report 2014, accounted for in 2015</w:t>
      </w:r>
      <w:r w:rsidR="000D4B3B" w:rsidRPr="007E0CF7">
        <w:rPr>
          <w:rFonts w:ascii="Verdana" w:hAnsi="Verdana" w:cs="Verdana"/>
          <w:sz w:val="18"/>
          <w:szCs w:val="18"/>
        </w:rPr>
        <w:t xml:space="preserve">, </w:t>
      </w:r>
      <w:r w:rsidR="007E0CF7">
        <w:rPr>
          <w:rFonts w:ascii="Verdana" w:hAnsi="Verdana" w:cs="Verdana"/>
          <w:sz w:val="18"/>
          <w:szCs w:val="18"/>
        </w:rPr>
        <w:t>were</w:t>
      </w:r>
      <w:r w:rsidR="000D4B3B" w:rsidRPr="007E0CF7">
        <w:rPr>
          <w:rFonts w:ascii="Verdana" w:hAnsi="Verdana" w:cs="Verdana"/>
          <w:sz w:val="18"/>
          <w:szCs w:val="18"/>
        </w:rPr>
        <w:t xml:space="preserve"> </w:t>
      </w:r>
      <w:r w:rsidR="000D4B3B" w:rsidRPr="0072255D">
        <w:rPr>
          <w:rFonts w:ascii="Verdana" w:hAnsi="Verdana" w:cs="Verdana"/>
          <w:sz w:val="18"/>
          <w:szCs w:val="18"/>
        </w:rPr>
        <w:t>€ 0</w:t>
      </w:r>
      <w:r w:rsidR="005E5733" w:rsidRPr="0072255D">
        <w:rPr>
          <w:rFonts w:ascii="Verdana" w:hAnsi="Verdana" w:cs="Verdana"/>
          <w:sz w:val="18"/>
          <w:szCs w:val="18"/>
        </w:rPr>
        <w:t>.2</w:t>
      </w:r>
      <w:r w:rsidR="000D4B3B" w:rsidRPr="0072255D">
        <w:rPr>
          <w:rFonts w:ascii="Verdana" w:hAnsi="Verdana" w:cs="Verdana"/>
          <w:sz w:val="18"/>
          <w:szCs w:val="18"/>
        </w:rPr>
        <w:t xml:space="preserve"> million</w:t>
      </w:r>
      <w:r w:rsidRPr="007E0CF7">
        <w:rPr>
          <w:rFonts w:ascii="Verdana" w:hAnsi="Verdana" w:cs="Verdana"/>
          <w:sz w:val="18"/>
          <w:szCs w:val="18"/>
        </w:rPr>
        <w:t xml:space="preserve"> </w:t>
      </w:r>
    </w:p>
    <w:p w:rsidR="008348AA" w:rsidRPr="007E0CF7" w:rsidRDefault="00422213" w:rsidP="00283B18">
      <w:pPr>
        <w:numPr>
          <w:ilvl w:val="0"/>
          <w:numId w:val="3"/>
        </w:numPr>
        <w:tabs>
          <w:tab w:val="left" w:pos="709"/>
        </w:tabs>
        <w:spacing w:line="276" w:lineRule="auto"/>
        <w:rPr>
          <w:rFonts w:ascii="Verdana" w:hAnsi="Verdana" w:cs="Verdana"/>
          <w:sz w:val="18"/>
          <w:szCs w:val="18"/>
        </w:rPr>
      </w:pPr>
      <w:r w:rsidRPr="007E0CF7">
        <w:rPr>
          <w:rFonts w:ascii="Verdana" w:hAnsi="Verdana" w:cs="Verdana"/>
          <w:sz w:val="18"/>
          <w:szCs w:val="18"/>
        </w:rPr>
        <w:t>Early March 2016</w:t>
      </w:r>
      <w:r w:rsidR="000D4B3B" w:rsidRPr="007E0CF7">
        <w:rPr>
          <w:rFonts w:ascii="Verdana" w:hAnsi="Verdana" w:cs="Verdana"/>
          <w:sz w:val="18"/>
          <w:szCs w:val="18"/>
        </w:rPr>
        <w:t>,</w:t>
      </w:r>
      <w:r w:rsidRPr="007E0CF7">
        <w:rPr>
          <w:rFonts w:ascii="Verdana" w:hAnsi="Verdana" w:cs="Verdana"/>
          <w:sz w:val="18"/>
          <w:szCs w:val="18"/>
        </w:rPr>
        <w:t xml:space="preserve"> a group of investors committed to provide an amount of up to EUR 1.5 million to enable required investments in equipment in 2016 (s</w:t>
      </w:r>
      <w:r w:rsidR="000D4B3B" w:rsidRPr="007E0CF7">
        <w:rPr>
          <w:rFonts w:ascii="Verdana" w:hAnsi="Verdana" w:cs="Verdana"/>
          <w:sz w:val="18"/>
          <w:szCs w:val="18"/>
        </w:rPr>
        <w:t>ee press release 3 March 2016)</w:t>
      </w:r>
    </w:p>
    <w:p w:rsidR="00A42B2D" w:rsidRDefault="00A42B2D" w:rsidP="00283B18">
      <w:pPr>
        <w:tabs>
          <w:tab w:val="left" w:pos="709"/>
        </w:tabs>
        <w:spacing w:line="276" w:lineRule="auto"/>
        <w:rPr>
          <w:rFonts w:ascii="Verdana" w:hAnsi="Verdana" w:cs="Verdana"/>
          <w:b/>
          <w:bCs/>
          <w:sz w:val="18"/>
          <w:szCs w:val="18"/>
          <w:highlight w:val="yellow"/>
        </w:rPr>
      </w:pPr>
    </w:p>
    <w:p w:rsidR="00A42B2D" w:rsidRDefault="00A42B2D" w:rsidP="00283B18">
      <w:pPr>
        <w:tabs>
          <w:tab w:val="left" w:pos="709"/>
        </w:tabs>
        <w:spacing w:line="276" w:lineRule="auto"/>
        <w:rPr>
          <w:rFonts w:ascii="Verdana" w:hAnsi="Verdana" w:cs="Verdana"/>
          <w:b/>
          <w:bCs/>
          <w:sz w:val="18"/>
          <w:szCs w:val="18"/>
          <w:highlight w:val="yellow"/>
        </w:rPr>
      </w:pPr>
    </w:p>
    <w:p w:rsidR="00283B18" w:rsidRPr="004B0FE9" w:rsidRDefault="00283B18" w:rsidP="00283B18">
      <w:pPr>
        <w:tabs>
          <w:tab w:val="left" w:pos="709"/>
        </w:tabs>
        <w:spacing w:line="276" w:lineRule="auto"/>
        <w:rPr>
          <w:rFonts w:ascii="Verdana" w:hAnsi="Verdana" w:cs="Verdana"/>
          <w:b/>
          <w:bCs/>
          <w:sz w:val="18"/>
          <w:szCs w:val="18"/>
          <w:highlight w:val="yellow"/>
        </w:rPr>
      </w:pPr>
    </w:p>
    <w:p w:rsidR="000D4B3B" w:rsidRPr="007E0CF7" w:rsidRDefault="000D4B3B" w:rsidP="00283B18">
      <w:pPr>
        <w:spacing w:line="276" w:lineRule="auto"/>
        <w:rPr>
          <w:rFonts w:ascii="Verdana" w:hAnsi="Verdana"/>
          <w:b/>
          <w:color w:val="B71234"/>
          <w:sz w:val="18"/>
          <w:szCs w:val="18"/>
        </w:rPr>
      </w:pPr>
      <w:r w:rsidRPr="007E0CF7">
        <w:rPr>
          <w:rFonts w:ascii="Verdana" w:hAnsi="Verdana"/>
          <w:b/>
          <w:color w:val="B71234"/>
          <w:sz w:val="18"/>
          <w:szCs w:val="18"/>
        </w:rPr>
        <w:lastRenderedPageBreak/>
        <w:t xml:space="preserve">Key figures </w:t>
      </w:r>
    </w:p>
    <w:p w:rsidR="000D4B3B" w:rsidRPr="007E0CF7" w:rsidRDefault="000D4B3B" w:rsidP="00283B18">
      <w:pPr>
        <w:spacing w:line="276" w:lineRule="auto"/>
        <w:rPr>
          <w:rFonts w:ascii="Verdana" w:hAnsi="Verdana" w:cs="Verdana"/>
          <w:sz w:val="18"/>
          <w:szCs w:val="18"/>
        </w:rPr>
      </w:pPr>
      <w:r w:rsidRPr="007E0CF7">
        <w:rPr>
          <w:rFonts w:ascii="Verdana" w:hAnsi="Verdana"/>
          <w:sz w:val="18"/>
          <w:szCs w:val="18"/>
        </w:rPr>
        <w:t>(EUR x1</w:t>
      </w:r>
      <w:proofErr w:type="gramStart"/>
      <w:r w:rsidRPr="007E0CF7">
        <w:rPr>
          <w:rFonts w:ascii="Verdana" w:hAnsi="Verdana"/>
          <w:sz w:val="18"/>
          <w:szCs w:val="18"/>
        </w:rPr>
        <w:t>,000</w:t>
      </w:r>
      <w:proofErr w:type="gramEnd"/>
      <w:r w:rsidRPr="007E0CF7">
        <w:rPr>
          <w:rFonts w:ascii="Verdana" w:hAnsi="Verdana"/>
          <w:sz w:val="18"/>
          <w:szCs w:val="18"/>
        </w:rPr>
        <w:t xml:space="preserve"> unless stated otherwise) </w:t>
      </w:r>
      <w:r w:rsidRPr="007E0CF7">
        <w:rPr>
          <w:rFonts w:ascii="Verdana" w:hAnsi="Verdana"/>
          <w:sz w:val="18"/>
          <w:szCs w:val="18"/>
        </w:rPr>
        <w:tab/>
      </w:r>
      <w:r w:rsidRPr="007E0CF7">
        <w:rPr>
          <w:rFonts w:ascii="Verdana" w:hAnsi="Verdana"/>
          <w:sz w:val="18"/>
          <w:szCs w:val="18"/>
        </w:rPr>
        <w:tab/>
      </w:r>
      <w:r w:rsidRPr="007E0CF7">
        <w:rPr>
          <w:rFonts w:ascii="Verdana" w:hAnsi="Verdana"/>
          <w:sz w:val="18"/>
          <w:szCs w:val="18"/>
        </w:rPr>
        <w:tab/>
      </w:r>
      <w:r w:rsidRPr="007E0CF7">
        <w:rPr>
          <w:rFonts w:ascii="Verdana" w:hAnsi="Verdana"/>
          <w:sz w:val="18"/>
          <w:szCs w:val="18"/>
        </w:rPr>
        <w:tab/>
      </w:r>
      <w:r w:rsidRPr="007E0CF7">
        <w:rPr>
          <w:rFonts w:ascii="Verdana" w:hAnsi="Verdana"/>
          <w:sz w:val="18"/>
          <w:szCs w:val="18"/>
        </w:rPr>
        <w:tab/>
      </w:r>
      <w:r w:rsidRPr="007E0CF7">
        <w:rPr>
          <w:rFonts w:ascii="Verdana" w:hAnsi="Verdana"/>
          <w:sz w:val="18"/>
          <w:szCs w:val="18"/>
        </w:rPr>
        <w:tab/>
      </w:r>
      <w:r w:rsidRPr="007E0CF7">
        <w:rPr>
          <w:rFonts w:ascii="Verdana" w:hAnsi="Verdana"/>
          <w:sz w:val="18"/>
          <w:szCs w:val="18"/>
        </w:rPr>
        <w:tab/>
        <w:t>Unaudited</w:t>
      </w:r>
    </w:p>
    <w:tbl>
      <w:tblPr>
        <w:tblW w:w="8881" w:type="dxa"/>
        <w:tblCellMar>
          <w:left w:w="70" w:type="dxa"/>
          <w:right w:w="70" w:type="dxa"/>
        </w:tblCellMar>
        <w:tblLook w:val="04A0"/>
      </w:tblPr>
      <w:tblGrid>
        <w:gridCol w:w="3800"/>
        <w:gridCol w:w="1657"/>
        <w:gridCol w:w="1984"/>
        <w:gridCol w:w="1440"/>
      </w:tblGrid>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highlight w:val="yellow"/>
              </w:rPr>
            </w:pPr>
          </w:p>
        </w:tc>
        <w:tc>
          <w:tcPr>
            <w:tcW w:w="1657"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b/>
                <w:bCs/>
                <w:sz w:val="18"/>
                <w:szCs w:val="18"/>
              </w:rPr>
            </w:pPr>
            <w:r w:rsidRPr="007E0CF7">
              <w:rPr>
                <w:rFonts w:ascii="Verdana" w:hAnsi="Verdana"/>
                <w:b/>
                <w:sz w:val="18"/>
                <w:szCs w:val="18"/>
              </w:rPr>
              <w:t>IFRS</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b/>
                <w:bCs/>
                <w:sz w:val="18"/>
                <w:szCs w:val="18"/>
              </w:rPr>
            </w:pPr>
            <w:r w:rsidRPr="007E0CF7">
              <w:rPr>
                <w:rFonts w:ascii="Verdana" w:hAnsi="Verdana"/>
                <w:b/>
                <w:sz w:val="18"/>
                <w:szCs w:val="18"/>
              </w:rPr>
              <w:t>IFRS</w:t>
            </w:r>
          </w:p>
        </w:tc>
        <w:tc>
          <w:tcPr>
            <w:tcW w:w="144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b/>
                <w:bCs/>
                <w:sz w:val="18"/>
                <w:szCs w:val="18"/>
                <w:highlight w:val="yellow"/>
              </w:rPr>
            </w:pP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highlight w:val="yellow"/>
              </w:rPr>
            </w:pPr>
          </w:p>
        </w:tc>
        <w:tc>
          <w:tcPr>
            <w:tcW w:w="1657" w:type="dxa"/>
            <w:tcBorders>
              <w:top w:val="nil"/>
              <w:left w:val="nil"/>
              <w:bottom w:val="single" w:sz="4" w:space="0" w:color="000000"/>
              <w:right w:val="nil"/>
            </w:tcBorders>
            <w:shd w:val="clear" w:color="auto" w:fill="auto"/>
            <w:noWrap/>
            <w:vAlign w:val="bottom"/>
            <w:hideMark/>
          </w:tcPr>
          <w:p w:rsidR="000D4B3B" w:rsidRPr="007E0CF7" w:rsidRDefault="000D4B3B" w:rsidP="004F1D31">
            <w:pPr>
              <w:spacing w:line="276" w:lineRule="auto"/>
              <w:jc w:val="right"/>
              <w:rPr>
                <w:rFonts w:ascii="Verdana" w:hAnsi="Verdana"/>
                <w:b/>
                <w:bCs/>
                <w:sz w:val="18"/>
                <w:szCs w:val="18"/>
              </w:rPr>
            </w:pPr>
            <w:r w:rsidRPr="007E0CF7">
              <w:rPr>
                <w:rFonts w:ascii="Verdana" w:hAnsi="Verdana"/>
                <w:b/>
                <w:sz w:val="18"/>
                <w:szCs w:val="18"/>
              </w:rPr>
              <w:t>2015</w:t>
            </w:r>
          </w:p>
        </w:tc>
        <w:tc>
          <w:tcPr>
            <w:tcW w:w="1984" w:type="dxa"/>
            <w:tcBorders>
              <w:top w:val="nil"/>
              <w:left w:val="nil"/>
              <w:bottom w:val="single" w:sz="4" w:space="0" w:color="000000"/>
              <w:right w:val="nil"/>
            </w:tcBorders>
            <w:shd w:val="clear" w:color="auto" w:fill="auto"/>
            <w:noWrap/>
            <w:vAlign w:val="bottom"/>
            <w:hideMark/>
          </w:tcPr>
          <w:p w:rsidR="000D4B3B" w:rsidRPr="007E0CF7" w:rsidRDefault="000D4B3B" w:rsidP="004F1D31">
            <w:pPr>
              <w:spacing w:line="276" w:lineRule="auto"/>
              <w:jc w:val="right"/>
              <w:rPr>
                <w:rFonts w:ascii="Verdana" w:hAnsi="Verdana"/>
                <w:b/>
                <w:bCs/>
                <w:sz w:val="18"/>
                <w:szCs w:val="18"/>
              </w:rPr>
            </w:pPr>
            <w:r w:rsidRPr="007E0CF7">
              <w:rPr>
                <w:rFonts w:ascii="Verdana" w:hAnsi="Verdana"/>
                <w:b/>
                <w:sz w:val="18"/>
                <w:szCs w:val="18"/>
              </w:rPr>
              <w:t>2014</w:t>
            </w:r>
          </w:p>
        </w:tc>
        <w:tc>
          <w:tcPr>
            <w:tcW w:w="1440" w:type="dxa"/>
            <w:tcBorders>
              <w:top w:val="nil"/>
              <w:left w:val="nil"/>
              <w:bottom w:val="single" w:sz="4" w:space="0" w:color="000000"/>
              <w:right w:val="nil"/>
            </w:tcBorders>
            <w:shd w:val="clear" w:color="auto" w:fill="auto"/>
            <w:noWrap/>
            <w:vAlign w:val="bottom"/>
            <w:hideMark/>
          </w:tcPr>
          <w:p w:rsidR="000D4B3B" w:rsidRPr="007E0CF7" w:rsidRDefault="000D4B3B" w:rsidP="004F1D31">
            <w:pPr>
              <w:spacing w:line="276" w:lineRule="auto"/>
              <w:jc w:val="right"/>
              <w:rPr>
                <w:rFonts w:ascii="Verdana" w:hAnsi="Verdana"/>
                <w:b/>
                <w:bCs/>
                <w:sz w:val="18"/>
                <w:szCs w:val="18"/>
              </w:rPr>
            </w:pPr>
            <w:r w:rsidRPr="007E0CF7">
              <w:rPr>
                <w:rFonts w:ascii="Verdana" w:hAnsi="Verdana"/>
                <w:b/>
                <w:sz w:val="18"/>
                <w:szCs w:val="18"/>
              </w:rPr>
              <w:t>Change</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b/>
                <w:bCs/>
                <w:sz w:val="18"/>
                <w:szCs w:val="18"/>
              </w:rPr>
            </w:pPr>
            <w:r w:rsidRPr="007E0CF7">
              <w:rPr>
                <w:rFonts w:ascii="Verdana" w:hAnsi="Verdana"/>
                <w:b/>
                <w:sz w:val="18"/>
                <w:szCs w:val="18"/>
              </w:rPr>
              <w:t>Result</w:t>
            </w:r>
          </w:p>
        </w:tc>
        <w:tc>
          <w:tcPr>
            <w:tcW w:w="1657"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b/>
                <w:bCs/>
                <w:sz w:val="18"/>
                <w:szCs w:val="18"/>
              </w:rPr>
            </w:pPr>
          </w:p>
        </w:tc>
        <w:tc>
          <w:tcPr>
            <w:tcW w:w="1984"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b/>
                <w:bCs/>
                <w:sz w:val="18"/>
                <w:szCs w:val="18"/>
                <w:highlight w:val="yellow"/>
              </w:rPr>
            </w:pPr>
          </w:p>
        </w:tc>
        <w:tc>
          <w:tcPr>
            <w:tcW w:w="144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b/>
                <w:bCs/>
                <w:sz w:val="18"/>
                <w:szCs w:val="18"/>
                <w:highlight w:val="yellow"/>
              </w:rPr>
            </w:pP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Net sales</w:t>
            </w:r>
          </w:p>
        </w:tc>
        <w:tc>
          <w:tcPr>
            <w:tcW w:w="1657"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10,250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9,971 </w:t>
            </w:r>
          </w:p>
        </w:tc>
        <w:tc>
          <w:tcPr>
            <w:tcW w:w="1440"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3%</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Gross margin</w:t>
            </w:r>
          </w:p>
        </w:tc>
        <w:tc>
          <w:tcPr>
            <w:tcW w:w="1657"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8,431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8,184 </w:t>
            </w:r>
          </w:p>
        </w:tc>
        <w:tc>
          <w:tcPr>
            <w:tcW w:w="1440"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highlight w:val="yellow"/>
              </w:rPr>
            </w:pPr>
            <w:r w:rsidRPr="007E0CF7">
              <w:rPr>
                <w:rFonts w:ascii="Verdana" w:hAnsi="Verdana"/>
                <w:sz w:val="18"/>
                <w:szCs w:val="18"/>
              </w:rPr>
              <w:t>3%</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EBITDA</w:t>
            </w:r>
          </w:p>
        </w:tc>
        <w:tc>
          <w:tcPr>
            <w:tcW w:w="1657" w:type="dxa"/>
            <w:tcBorders>
              <w:top w:val="nil"/>
              <w:left w:val="nil"/>
              <w:bottom w:val="nil"/>
              <w:right w:val="nil"/>
            </w:tcBorders>
            <w:shd w:val="clear" w:color="auto" w:fill="auto"/>
            <w:noWrap/>
            <w:vAlign w:val="bottom"/>
            <w:hideMark/>
          </w:tcPr>
          <w:p w:rsidR="000D4B3B" w:rsidRPr="007E0CF7" w:rsidRDefault="00395A0B" w:rsidP="004F1D31">
            <w:pPr>
              <w:spacing w:line="276" w:lineRule="auto"/>
              <w:jc w:val="right"/>
              <w:rPr>
                <w:rFonts w:ascii="Verdana" w:hAnsi="Verdana"/>
                <w:sz w:val="18"/>
                <w:szCs w:val="18"/>
                <w:highlight w:val="yellow"/>
              </w:rPr>
            </w:pPr>
            <w:r>
              <w:rPr>
                <w:rFonts w:ascii="Verdana" w:hAnsi="Verdana"/>
                <w:sz w:val="18"/>
                <w:szCs w:val="18"/>
              </w:rPr>
              <w:t xml:space="preserve"> -31</w:t>
            </w:r>
            <w:r w:rsidR="000D4B3B" w:rsidRPr="007E0CF7">
              <w:rPr>
                <w:rFonts w:ascii="Verdana" w:hAnsi="Verdana"/>
                <w:sz w:val="18"/>
                <w:szCs w:val="18"/>
              </w:rPr>
              <w:t xml:space="preserve">3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-722 </w:t>
            </w:r>
          </w:p>
        </w:tc>
        <w:tc>
          <w:tcPr>
            <w:tcW w:w="1440" w:type="dxa"/>
            <w:tcBorders>
              <w:top w:val="nil"/>
              <w:left w:val="nil"/>
              <w:bottom w:val="nil"/>
              <w:right w:val="nil"/>
            </w:tcBorders>
            <w:shd w:val="clear" w:color="auto" w:fill="auto"/>
            <w:noWrap/>
            <w:vAlign w:val="bottom"/>
            <w:hideMark/>
          </w:tcPr>
          <w:p w:rsidR="000D4B3B" w:rsidRPr="007E0CF7" w:rsidRDefault="00CF7108" w:rsidP="004F1D31">
            <w:pPr>
              <w:spacing w:line="276" w:lineRule="auto"/>
              <w:jc w:val="right"/>
              <w:rPr>
                <w:rFonts w:ascii="Verdana" w:hAnsi="Verdana"/>
                <w:sz w:val="18"/>
                <w:szCs w:val="18"/>
                <w:highlight w:val="yellow"/>
              </w:rPr>
            </w:pPr>
            <w:r>
              <w:rPr>
                <w:rFonts w:ascii="Verdana" w:hAnsi="Verdana"/>
                <w:sz w:val="18"/>
                <w:szCs w:val="18"/>
              </w:rPr>
              <w:t>57</w:t>
            </w:r>
            <w:r w:rsidR="000D4B3B" w:rsidRPr="007E0CF7">
              <w:rPr>
                <w:rFonts w:ascii="Verdana" w:hAnsi="Verdana"/>
                <w:sz w:val="18"/>
                <w:szCs w:val="18"/>
              </w:rPr>
              <w:t>%</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EBIT (operating result)</w:t>
            </w:r>
          </w:p>
        </w:tc>
        <w:tc>
          <w:tcPr>
            <w:tcW w:w="1657" w:type="dxa"/>
            <w:tcBorders>
              <w:top w:val="nil"/>
              <w:left w:val="nil"/>
              <w:bottom w:val="nil"/>
              <w:right w:val="nil"/>
            </w:tcBorders>
            <w:shd w:val="clear" w:color="auto" w:fill="auto"/>
            <w:noWrap/>
            <w:vAlign w:val="bottom"/>
            <w:hideMark/>
          </w:tcPr>
          <w:p w:rsidR="000D4B3B" w:rsidRPr="007E0CF7" w:rsidRDefault="00395A0B" w:rsidP="004F1D31">
            <w:pPr>
              <w:spacing w:line="276" w:lineRule="auto"/>
              <w:jc w:val="right"/>
              <w:rPr>
                <w:rFonts w:ascii="Verdana" w:hAnsi="Verdana"/>
                <w:sz w:val="18"/>
                <w:szCs w:val="18"/>
                <w:highlight w:val="yellow"/>
              </w:rPr>
            </w:pPr>
            <w:r>
              <w:rPr>
                <w:rFonts w:ascii="Verdana" w:hAnsi="Verdana"/>
                <w:sz w:val="18"/>
                <w:szCs w:val="18"/>
              </w:rPr>
              <w:t xml:space="preserve">  -1,242</w:t>
            </w:r>
            <w:r w:rsidR="000D4B3B" w:rsidRPr="007E0CF7">
              <w:rPr>
                <w:rFonts w:ascii="Verdana" w:hAnsi="Verdana"/>
                <w:sz w:val="18"/>
                <w:szCs w:val="18"/>
              </w:rPr>
              <w:t xml:space="preserve">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-1,514 </w:t>
            </w:r>
          </w:p>
        </w:tc>
        <w:tc>
          <w:tcPr>
            <w:tcW w:w="1440" w:type="dxa"/>
            <w:tcBorders>
              <w:top w:val="nil"/>
              <w:left w:val="nil"/>
              <w:bottom w:val="nil"/>
              <w:right w:val="nil"/>
            </w:tcBorders>
            <w:shd w:val="clear" w:color="auto" w:fill="auto"/>
            <w:noWrap/>
            <w:vAlign w:val="bottom"/>
            <w:hideMark/>
          </w:tcPr>
          <w:p w:rsidR="000D4B3B" w:rsidRPr="007E0CF7" w:rsidRDefault="00395A0B" w:rsidP="004F1D31">
            <w:pPr>
              <w:spacing w:line="276" w:lineRule="auto"/>
              <w:jc w:val="right"/>
              <w:rPr>
                <w:rFonts w:ascii="Verdana" w:hAnsi="Verdana"/>
                <w:sz w:val="18"/>
                <w:szCs w:val="18"/>
              </w:rPr>
            </w:pPr>
            <w:r>
              <w:rPr>
                <w:rFonts w:ascii="Verdana" w:hAnsi="Verdana"/>
                <w:sz w:val="18"/>
                <w:szCs w:val="18"/>
              </w:rPr>
              <w:t>18</w:t>
            </w:r>
            <w:r w:rsidR="000D4B3B" w:rsidRPr="007E0CF7">
              <w:rPr>
                <w:rFonts w:ascii="Verdana" w:hAnsi="Verdana"/>
                <w:sz w:val="18"/>
                <w:szCs w:val="18"/>
              </w:rPr>
              <w:t>%</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EBT</w:t>
            </w:r>
          </w:p>
        </w:tc>
        <w:tc>
          <w:tcPr>
            <w:tcW w:w="1657" w:type="dxa"/>
            <w:tcBorders>
              <w:top w:val="nil"/>
              <w:left w:val="nil"/>
              <w:bottom w:val="nil"/>
              <w:right w:val="nil"/>
            </w:tcBorders>
            <w:shd w:val="clear" w:color="auto" w:fill="auto"/>
            <w:noWrap/>
            <w:vAlign w:val="bottom"/>
            <w:hideMark/>
          </w:tcPr>
          <w:p w:rsidR="000D4B3B" w:rsidRPr="007E0CF7" w:rsidRDefault="00395A0B" w:rsidP="004F1D31">
            <w:pPr>
              <w:spacing w:line="276" w:lineRule="auto"/>
              <w:jc w:val="right"/>
              <w:rPr>
                <w:rFonts w:ascii="Verdana" w:hAnsi="Verdana"/>
                <w:sz w:val="18"/>
                <w:szCs w:val="18"/>
              </w:rPr>
            </w:pPr>
            <w:r>
              <w:rPr>
                <w:rFonts w:ascii="Verdana" w:hAnsi="Verdana"/>
                <w:sz w:val="18"/>
                <w:szCs w:val="18"/>
              </w:rPr>
              <w:t xml:space="preserve"> -1,42</w:t>
            </w:r>
            <w:r w:rsidR="000D4B3B" w:rsidRPr="007E0CF7">
              <w:rPr>
                <w:rFonts w:ascii="Verdana" w:hAnsi="Verdana"/>
                <w:sz w:val="18"/>
                <w:szCs w:val="18"/>
              </w:rPr>
              <w:t xml:space="preserve">9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-1,675 </w:t>
            </w:r>
          </w:p>
        </w:tc>
        <w:tc>
          <w:tcPr>
            <w:tcW w:w="1440" w:type="dxa"/>
            <w:tcBorders>
              <w:top w:val="nil"/>
              <w:left w:val="nil"/>
              <w:bottom w:val="nil"/>
              <w:right w:val="nil"/>
            </w:tcBorders>
            <w:shd w:val="clear" w:color="auto" w:fill="auto"/>
            <w:noWrap/>
            <w:vAlign w:val="bottom"/>
            <w:hideMark/>
          </w:tcPr>
          <w:p w:rsidR="000D4B3B" w:rsidRPr="007E0CF7" w:rsidRDefault="00395A0B" w:rsidP="004F1D31">
            <w:pPr>
              <w:spacing w:line="276" w:lineRule="auto"/>
              <w:jc w:val="right"/>
              <w:rPr>
                <w:rFonts w:ascii="Verdana" w:hAnsi="Verdana"/>
                <w:sz w:val="18"/>
                <w:szCs w:val="18"/>
              </w:rPr>
            </w:pPr>
            <w:r>
              <w:rPr>
                <w:rFonts w:ascii="Verdana" w:hAnsi="Verdana"/>
                <w:sz w:val="18"/>
                <w:szCs w:val="18"/>
              </w:rPr>
              <w:t>15</w:t>
            </w:r>
            <w:r w:rsidR="000D4B3B" w:rsidRPr="007E0CF7">
              <w:rPr>
                <w:rFonts w:ascii="Verdana" w:hAnsi="Verdana"/>
                <w:sz w:val="18"/>
                <w:szCs w:val="18"/>
              </w:rPr>
              <w:t>%</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Net result</w:t>
            </w:r>
          </w:p>
        </w:tc>
        <w:tc>
          <w:tcPr>
            <w:tcW w:w="1657" w:type="dxa"/>
            <w:tcBorders>
              <w:top w:val="nil"/>
              <w:left w:val="nil"/>
              <w:bottom w:val="nil"/>
              <w:right w:val="nil"/>
            </w:tcBorders>
            <w:shd w:val="clear" w:color="auto" w:fill="auto"/>
            <w:noWrap/>
            <w:vAlign w:val="bottom"/>
            <w:hideMark/>
          </w:tcPr>
          <w:p w:rsidR="000D4B3B" w:rsidRPr="007E0CF7" w:rsidRDefault="00395A0B" w:rsidP="004F1D31">
            <w:pPr>
              <w:spacing w:line="276" w:lineRule="auto"/>
              <w:jc w:val="right"/>
              <w:rPr>
                <w:rFonts w:ascii="Verdana" w:hAnsi="Verdana"/>
                <w:sz w:val="18"/>
                <w:szCs w:val="18"/>
              </w:rPr>
            </w:pPr>
            <w:r>
              <w:rPr>
                <w:rFonts w:ascii="Verdana" w:hAnsi="Verdana"/>
                <w:sz w:val="18"/>
                <w:szCs w:val="18"/>
              </w:rPr>
              <w:t xml:space="preserve"> -1,43</w:t>
            </w:r>
            <w:r w:rsidR="000D4B3B" w:rsidRPr="007E0CF7">
              <w:rPr>
                <w:rFonts w:ascii="Verdana" w:hAnsi="Verdana"/>
                <w:sz w:val="18"/>
                <w:szCs w:val="18"/>
              </w:rPr>
              <w:t xml:space="preserve">9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-1,693 </w:t>
            </w:r>
          </w:p>
        </w:tc>
        <w:tc>
          <w:tcPr>
            <w:tcW w:w="1440" w:type="dxa"/>
            <w:tcBorders>
              <w:top w:val="nil"/>
              <w:left w:val="nil"/>
              <w:bottom w:val="nil"/>
              <w:right w:val="nil"/>
            </w:tcBorders>
            <w:shd w:val="clear" w:color="auto" w:fill="auto"/>
            <w:noWrap/>
            <w:vAlign w:val="bottom"/>
            <w:hideMark/>
          </w:tcPr>
          <w:p w:rsidR="000D4B3B" w:rsidRPr="007E0CF7" w:rsidRDefault="00395A0B" w:rsidP="004F1D31">
            <w:pPr>
              <w:spacing w:line="276" w:lineRule="auto"/>
              <w:jc w:val="right"/>
              <w:rPr>
                <w:rFonts w:ascii="Verdana" w:hAnsi="Verdana"/>
                <w:sz w:val="18"/>
                <w:szCs w:val="18"/>
              </w:rPr>
            </w:pPr>
            <w:r>
              <w:rPr>
                <w:rFonts w:ascii="Verdana" w:hAnsi="Verdana"/>
                <w:sz w:val="18"/>
                <w:szCs w:val="18"/>
              </w:rPr>
              <w:t>15</w:t>
            </w:r>
            <w:r w:rsidR="000D4B3B" w:rsidRPr="007E0CF7">
              <w:rPr>
                <w:rFonts w:ascii="Verdana" w:hAnsi="Verdana"/>
                <w:sz w:val="18"/>
                <w:szCs w:val="18"/>
              </w:rPr>
              <w:t>%</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p>
        </w:tc>
        <w:tc>
          <w:tcPr>
            <w:tcW w:w="1657"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highlight w:val="yellow"/>
              </w:rPr>
            </w:pP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p>
        </w:tc>
        <w:tc>
          <w:tcPr>
            <w:tcW w:w="1440"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highlight w:val="yellow"/>
              </w:rPr>
            </w:pP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b/>
                <w:bCs/>
                <w:sz w:val="18"/>
                <w:szCs w:val="18"/>
              </w:rPr>
            </w:pPr>
            <w:r w:rsidRPr="007E0CF7">
              <w:rPr>
                <w:rFonts w:ascii="Verdana" w:hAnsi="Verdana"/>
                <w:b/>
                <w:sz w:val="18"/>
                <w:szCs w:val="18"/>
              </w:rPr>
              <w:t>Capital, debt &amp; liquidity ratios</w:t>
            </w:r>
          </w:p>
        </w:tc>
        <w:tc>
          <w:tcPr>
            <w:tcW w:w="1657"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b/>
                <w:bCs/>
                <w:sz w:val="18"/>
                <w:szCs w:val="18"/>
                <w:highlight w:val="yellow"/>
              </w:rPr>
            </w:pP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b/>
                <w:bCs/>
                <w:sz w:val="18"/>
                <w:szCs w:val="18"/>
              </w:rPr>
            </w:pPr>
          </w:p>
        </w:tc>
        <w:tc>
          <w:tcPr>
            <w:tcW w:w="1440"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b/>
                <w:bCs/>
                <w:sz w:val="18"/>
                <w:szCs w:val="18"/>
                <w:highlight w:val="yellow"/>
              </w:rPr>
            </w:pP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Total assets</w:t>
            </w:r>
          </w:p>
        </w:tc>
        <w:tc>
          <w:tcPr>
            <w:tcW w:w="1657" w:type="dxa"/>
            <w:tcBorders>
              <w:top w:val="nil"/>
              <w:left w:val="nil"/>
              <w:bottom w:val="nil"/>
              <w:right w:val="nil"/>
            </w:tcBorders>
            <w:shd w:val="clear" w:color="auto" w:fill="auto"/>
            <w:noWrap/>
            <w:vAlign w:val="bottom"/>
            <w:hideMark/>
          </w:tcPr>
          <w:p w:rsidR="000D4B3B" w:rsidRPr="007E0CF7" w:rsidRDefault="00EC588C" w:rsidP="004F1D31">
            <w:pPr>
              <w:spacing w:line="276" w:lineRule="auto"/>
              <w:jc w:val="right"/>
              <w:rPr>
                <w:rFonts w:ascii="Verdana" w:hAnsi="Verdana"/>
                <w:sz w:val="18"/>
                <w:szCs w:val="18"/>
              </w:rPr>
            </w:pPr>
            <w:r>
              <w:rPr>
                <w:rFonts w:ascii="Verdana" w:hAnsi="Verdana"/>
                <w:sz w:val="18"/>
                <w:szCs w:val="18"/>
              </w:rPr>
              <w:t xml:space="preserve"> 11,347</w:t>
            </w:r>
            <w:r w:rsidR="000D4B3B" w:rsidRPr="007E0CF7">
              <w:rPr>
                <w:rFonts w:ascii="Verdana" w:hAnsi="Verdana"/>
                <w:sz w:val="18"/>
                <w:szCs w:val="18"/>
              </w:rPr>
              <w:t xml:space="preserve">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13,617 </w:t>
            </w:r>
          </w:p>
        </w:tc>
        <w:tc>
          <w:tcPr>
            <w:tcW w:w="1440"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highlight w:val="yellow"/>
              </w:rPr>
            </w:pPr>
            <w:r w:rsidRPr="007E0CF7">
              <w:rPr>
                <w:rFonts w:ascii="Verdana" w:hAnsi="Verdana"/>
                <w:sz w:val="18"/>
                <w:szCs w:val="18"/>
              </w:rPr>
              <w:t>-17%</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Group equity</w:t>
            </w:r>
          </w:p>
        </w:tc>
        <w:tc>
          <w:tcPr>
            <w:tcW w:w="1657" w:type="dxa"/>
            <w:tcBorders>
              <w:top w:val="nil"/>
              <w:left w:val="nil"/>
              <w:bottom w:val="nil"/>
              <w:right w:val="nil"/>
            </w:tcBorders>
            <w:shd w:val="clear" w:color="auto" w:fill="auto"/>
            <w:noWrap/>
            <w:vAlign w:val="bottom"/>
            <w:hideMark/>
          </w:tcPr>
          <w:p w:rsidR="000D4B3B" w:rsidRPr="007E0CF7" w:rsidRDefault="00EC588C" w:rsidP="004F1D31">
            <w:pPr>
              <w:spacing w:line="276" w:lineRule="auto"/>
              <w:jc w:val="right"/>
              <w:rPr>
                <w:rFonts w:ascii="Verdana" w:hAnsi="Verdana"/>
                <w:sz w:val="18"/>
                <w:szCs w:val="18"/>
              </w:rPr>
            </w:pPr>
            <w:r>
              <w:rPr>
                <w:rFonts w:ascii="Verdana" w:hAnsi="Verdana"/>
                <w:sz w:val="18"/>
                <w:szCs w:val="18"/>
              </w:rPr>
              <w:t xml:space="preserve"> 4,65</w:t>
            </w:r>
            <w:r w:rsidR="000D4B3B" w:rsidRPr="007E0CF7">
              <w:rPr>
                <w:rFonts w:ascii="Verdana" w:hAnsi="Verdana"/>
                <w:sz w:val="18"/>
                <w:szCs w:val="18"/>
              </w:rPr>
              <w:t xml:space="preserve">0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3,706 </w:t>
            </w:r>
          </w:p>
        </w:tc>
        <w:tc>
          <w:tcPr>
            <w:tcW w:w="1440" w:type="dxa"/>
            <w:tcBorders>
              <w:top w:val="nil"/>
              <w:left w:val="nil"/>
              <w:bottom w:val="nil"/>
              <w:right w:val="nil"/>
            </w:tcBorders>
            <w:shd w:val="clear" w:color="auto" w:fill="auto"/>
            <w:noWrap/>
            <w:vAlign w:val="bottom"/>
            <w:hideMark/>
          </w:tcPr>
          <w:p w:rsidR="000D4B3B" w:rsidRPr="007E0CF7" w:rsidRDefault="00395A0B" w:rsidP="004F1D31">
            <w:pPr>
              <w:spacing w:line="276" w:lineRule="auto"/>
              <w:jc w:val="right"/>
              <w:rPr>
                <w:rFonts w:ascii="Verdana" w:hAnsi="Verdana"/>
                <w:sz w:val="18"/>
                <w:szCs w:val="18"/>
                <w:highlight w:val="yellow"/>
              </w:rPr>
            </w:pPr>
            <w:r>
              <w:rPr>
                <w:rFonts w:ascii="Verdana" w:hAnsi="Verdana"/>
                <w:sz w:val="18"/>
                <w:szCs w:val="18"/>
              </w:rPr>
              <w:t>25</w:t>
            </w:r>
            <w:r w:rsidR="002F4A7C" w:rsidRPr="007E0CF7">
              <w:rPr>
                <w:rFonts w:ascii="Verdana" w:hAnsi="Verdana"/>
                <w:sz w:val="18"/>
                <w:szCs w:val="18"/>
              </w:rPr>
              <w:t>%</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Net debt</w:t>
            </w:r>
          </w:p>
        </w:tc>
        <w:tc>
          <w:tcPr>
            <w:tcW w:w="1657" w:type="dxa"/>
            <w:tcBorders>
              <w:top w:val="nil"/>
              <w:left w:val="nil"/>
              <w:bottom w:val="nil"/>
              <w:right w:val="nil"/>
            </w:tcBorders>
            <w:shd w:val="clear" w:color="auto" w:fill="auto"/>
            <w:noWrap/>
            <w:vAlign w:val="bottom"/>
            <w:hideMark/>
          </w:tcPr>
          <w:p w:rsidR="000D4B3B" w:rsidRPr="007E0CF7" w:rsidRDefault="00CF7108" w:rsidP="004F1D31">
            <w:pPr>
              <w:spacing w:line="276" w:lineRule="auto"/>
              <w:jc w:val="right"/>
              <w:rPr>
                <w:rFonts w:ascii="Verdana" w:hAnsi="Verdana"/>
                <w:sz w:val="18"/>
                <w:szCs w:val="18"/>
              </w:rPr>
            </w:pPr>
            <w:r>
              <w:rPr>
                <w:rFonts w:ascii="Verdana" w:hAnsi="Verdana"/>
                <w:sz w:val="18"/>
                <w:szCs w:val="18"/>
              </w:rPr>
              <w:t xml:space="preserve"> 1,635</w:t>
            </w:r>
            <w:r w:rsidR="000D4B3B" w:rsidRPr="007E0CF7">
              <w:rPr>
                <w:rFonts w:ascii="Verdana" w:hAnsi="Verdana"/>
                <w:sz w:val="18"/>
                <w:szCs w:val="18"/>
              </w:rPr>
              <w:t xml:space="preserve">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2,159 </w:t>
            </w:r>
          </w:p>
        </w:tc>
        <w:tc>
          <w:tcPr>
            <w:tcW w:w="1440"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highlight w:val="yellow"/>
              </w:rPr>
            </w:pPr>
            <w:r w:rsidRPr="007E0CF7">
              <w:rPr>
                <w:rFonts w:ascii="Verdana" w:hAnsi="Verdana"/>
                <w:sz w:val="18"/>
                <w:szCs w:val="18"/>
              </w:rPr>
              <w:t>-</w:t>
            </w:r>
            <w:r w:rsidR="002F4A7C" w:rsidRPr="007E0CF7">
              <w:rPr>
                <w:rFonts w:ascii="Verdana" w:hAnsi="Verdana"/>
                <w:sz w:val="18"/>
                <w:szCs w:val="18"/>
              </w:rPr>
              <w:t>24%</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Capital (=net debt + equity)</w:t>
            </w:r>
          </w:p>
        </w:tc>
        <w:tc>
          <w:tcPr>
            <w:tcW w:w="1657" w:type="dxa"/>
            <w:tcBorders>
              <w:top w:val="nil"/>
              <w:left w:val="nil"/>
              <w:bottom w:val="nil"/>
              <w:right w:val="nil"/>
            </w:tcBorders>
            <w:shd w:val="clear" w:color="auto" w:fill="auto"/>
            <w:noWrap/>
            <w:vAlign w:val="bottom"/>
            <w:hideMark/>
          </w:tcPr>
          <w:p w:rsidR="000D4B3B" w:rsidRPr="007E0CF7" w:rsidRDefault="00EC588C" w:rsidP="004F1D31">
            <w:pPr>
              <w:spacing w:line="276" w:lineRule="auto"/>
              <w:jc w:val="right"/>
              <w:rPr>
                <w:rFonts w:ascii="Verdana" w:hAnsi="Verdana"/>
                <w:sz w:val="18"/>
                <w:szCs w:val="18"/>
              </w:rPr>
            </w:pPr>
            <w:r>
              <w:rPr>
                <w:rFonts w:ascii="Verdana" w:hAnsi="Verdana"/>
                <w:sz w:val="18"/>
                <w:szCs w:val="18"/>
              </w:rPr>
              <w:t xml:space="preserve"> 6,28</w:t>
            </w:r>
            <w:r w:rsidR="00CF7108">
              <w:rPr>
                <w:rFonts w:ascii="Verdana" w:hAnsi="Verdana"/>
                <w:sz w:val="18"/>
                <w:szCs w:val="18"/>
              </w:rPr>
              <w:t>5</w:t>
            </w:r>
            <w:r w:rsidR="000D4B3B" w:rsidRPr="007E0CF7">
              <w:rPr>
                <w:rFonts w:ascii="Verdana" w:hAnsi="Verdana"/>
                <w:sz w:val="18"/>
                <w:szCs w:val="18"/>
              </w:rPr>
              <w:t xml:space="preserve">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5,865 </w:t>
            </w:r>
          </w:p>
        </w:tc>
        <w:tc>
          <w:tcPr>
            <w:tcW w:w="1440" w:type="dxa"/>
            <w:tcBorders>
              <w:top w:val="nil"/>
              <w:left w:val="nil"/>
              <w:bottom w:val="nil"/>
              <w:right w:val="nil"/>
            </w:tcBorders>
            <w:shd w:val="clear" w:color="auto" w:fill="auto"/>
            <w:noWrap/>
            <w:vAlign w:val="bottom"/>
            <w:hideMark/>
          </w:tcPr>
          <w:p w:rsidR="000D4B3B" w:rsidRPr="007E0CF7" w:rsidRDefault="00395A0B" w:rsidP="004F1D31">
            <w:pPr>
              <w:spacing w:line="276" w:lineRule="auto"/>
              <w:jc w:val="right"/>
              <w:rPr>
                <w:rFonts w:ascii="Verdana" w:hAnsi="Verdana"/>
                <w:sz w:val="18"/>
                <w:szCs w:val="18"/>
                <w:highlight w:val="yellow"/>
              </w:rPr>
            </w:pPr>
            <w:r>
              <w:rPr>
                <w:rFonts w:ascii="Verdana" w:hAnsi="Verdana"/>
                <w:sz w:val="18"/>
                <w:szCs w:val="18"/>
              </w:rPr>
              <w:t>7</w:t>
            </w:r>
            <w:r w:rsidR="002F4A7C" w:rsidRPr="007E0CF7">
              <w:rPr>
                <w:rFonts w:ascii="Verdana" w:hAnsi="Verdana"/>
                <w:sz w:val="18"/>
                <w:szCs w:val="18"/>
              </w:rPr>
              <w:t>%</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Gearing ratio (net debt / capital)</w:t>
            </w:r>
          </w:p>
        </w:tc>
        <w:tc>
          <w:tcPr>
            <w:tcW w:w="1657"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26%</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37%</w:t>
            </w:r>
          </w:p>
        </w:tc>
        <w:tc>
          <w:tcPr>
            <w:tcW w:w="1440" w:type="dxa"/>
            <w:tcBorders>
              <w:top w:val="nil"/>
              <w:left w:val="nil"/>
              <w:bottom w:val="nil"/>
              <w:right w:val="nil"/>
            </w:tcBorders>
            <w:shd w:val="clear" w:color="auto" w:fill="auto"/>
            <w:noWrap/>
            <w:vAlign w:val="bottom"/>
            <w:hideMark/>
          </w:tcPr>
          <w:p w:rsidR="000D4B3B" w:rsidRPr="0072255D" w:rsidRDefault="002F4A7C" w:rsidP="004F1D31">
            <w:pPr>
              <w:spacing w:line="276" w:lineRule="auto"/>
              <w:jc w:val="right"/>
              <w:rPr>
                <w:rFonts w:ascii="Verdana" w:hAnsi="Verdana"/>
                <w:sz w:val="18"/>
                <w:szCs w:val="18"/>
              </w:rPr>
            </w:pPr>
            <w:r w:rsidRPr="0072255D">
              <w:rPr>
                <w:rFonts w:ascii="Verdana" w:hAnsi="Verdana"/>
                <w:sz w:val="18"/>
                <w:szCs w:val="18"/>
              </w:rPr>
              <w:t>-11</w:t>
            </w:r>
            <w:r w:rsidR="000D4B3B" w:rsidRPr="0072255D">
              <w:rPr>
                <w:rFonts w:ascii="Verdana" w:hAnsi="Verdana"/>
                <w:sz w:val="18"/>
                <w:szCs w:val="18"/>
              </w:rPr>
              <w:t>%</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Solvency (group equity / total liabilities)</w:t>
            </w:r>
          </w:p>
        </w:tc>
        <w:tc>
          <w:tcPr>
            <w:tcW w:w="1657"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41%</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27%</w:t>
            </w:r>
          </w:p>
        </w:tc>
        <w:tc>
          <w:tcPr>
            <w:tcW w:w="1440" w:type="dxa"/>
            <w:tcBorders>
              <w:top w:val="nil"/>
              <w:left w:val="nil"/>
              <w:bottom w:val="nil"/>
              <w:right w:val="nil"/>
            </w:tcBorders>
            <w:shd w:val="clear" w:color="auto" w:fill="auto"/>
            <w:noWrap/>
            <w:vAlign w:val="bottom"/>
            <w:hideMark/>
          </w:tcPr>
          <w:p w:rsidR="000D4B3B" w:rsidRPr="0072255D" w:rsidRDefault="002F4A7C" w:rsidP="004F1D31">
            <w:pPr>
              <w:spacing w:line="276" w:lineRule="auto"/>
              <w:jc w:val="right"/>
              <w:rPr>
                <w:rFonts w:ascii="Verdana" w:hAnsi="Verdana"/>
                <w:sz w:val="18"/>
                <w:szCs w:val="18"/>
              </w:rPr>
            </w:pPr>
            <w:r w:rsidRPr="0072255D">
              <w:rPr>
                <w:rFonts w:ascii="Verdana" w:hAnsi="Verdana"/>
                <w:sz w:val="18"/>
                <w:szCs w:val="18"/>
              </w:rPr>
              <w:t>14</w:t>
            </w:r>
            <w:r w:rsidR="000D4B3B" w:rsidRPr="0072255D">
              <w:rPr>
                <w:rFonts w:ascii="Verdana" w:hAnsi="Verdana"/>
                <w:sz w:val="18"/>
                <w:szCs w:val="18"/>
              </w:rPr>
              <w:t>%</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47321C" w:rsidRDefault="000D4B3B" w:rsidP="00283B18">
            <w:pPr>
              <w:spacing w:line="276" w:lineRule="auto"/>
              <w:rPr>
                <w:rFonts w:ascii="Verdana" w:hAnsi="Verdana"/>
                <w:sz w:val="18"/>
                <w:szCs w:val="18"/>
                <w:lang w:val="de-DE"/>
              </w:rPr>
            </w:pPr>
            <w:r w:rsidRPr="0047321C">
              <w:rPr>
                <w:rFonts w:ascii="Verdana" w:hAnsi="Verdana"/>
                <w:sz w:val="18"/>
                <w:szCs w:val="18"/>
                <w:lang w:val="de-DE"/>
              </w:rPr>
              <w:t>Debt ratio (net debt / EBITDA)</w:t>
            </w:r>
          </w:p>
        </w:tc>
        <w:tc>
          <w:tcPr>
            <w:tcW w:w="1657" w:type="dxa"/>
            <w:tcBorders>
              <w:top w:val="nil"/>
              <w:left w:val="nil"/>
              <w:bottom w:val="nil"/>
              <w:right w:val="nil"/>
            </w:tcBorders>
            <w:shd w:val="clear" w:color="auto" w:fill="auto"/>
            <w:noWrap/>
            <w:vAlign w:val="bottom"/>
            <w:hideMark/>
          </w:tcPr>
          <w:p w:rsidR="000D4B3B" w:rsidRPr="007E0CF7" w:rsidRDefault="00395A0B" w:rsidP="004F1D31">
            <w:pPr>
              <w:spacing w:line="276" w:lineRule="auto"/>
              <w:jc w:val="right"/>
              <w:rPr>
                <w:rFonts w:ascii="Verdana" w:hAnsi="Verdana"/>
                <w:sz w:val="18"/>
                <w:szCs w:val="18"/>
              </w:rPr>
            </w:pPr>
            <w:r w:rsidRPr="00395A0B">
              <w:rPr>
                <w:rFonts w:ascii="Verdana" w:hAnsi="Verdana"/>
                <w:sz w:val="18"/>
                <w:szCs w:val="18"/>
              </w:rPr>
              <w:t>-5.22</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-2.99</w:t>
            </w:r>
          </w:p>
        </w:tc>
        <w:tc>
          <w:tcPr>
            <w:tcW w:w="1440" w:type="dxa"/>
            <w:tcBorders>
              <w:top w:val="nil"/>
              <w:left w:val="nil"/>
              <w:bottom w:val="nil"/>
              <w:right w:val="nil"/>
            </w:tcBorders>
            <w:shd w:val="clear" w:color="auto" w:fill="auto"/>
            <w:noWrap/>
            <w:vAlign w:val="bottom"/>
            <w:hideMark/>
          </w:tcPr>
          <w:p w:rsidR="000D4B3B" w:rsidRPr="0072255D" w:rsidRDefault="00395A0B" w:rsidP="004F1D31">
            <w:pPr>
              <w:spacing w:line="276" w:lineRule="auto"/>
              <w:jc w:val="right"/>
              <w:rPr>
                <w:rFonts w:ascii="Verdana" w:hAnsi="Verdana"/>
                <w:sz w:val="18"/>
                <w:szCs w:val="18"/>
              </w:rPr>
            </w:pPr>
            <w:r w:rsidRPr="0072255D">
              <w:rPr>
                <w:rFonts w:ascii="Verdana" w:hAnsi="Verdana"/>
                <w:sz w:val="18"/>
                <w:szCs w:val="18"/>
              </w:rPr>
              <w:t>-74</w:t>
            </w:r>
            <w:r w:rsidR="000D4B3B" w:rsidRPr="0072255D">
              <w:rPr>
                <w:rFonts w:ascii="Verdana" w:hAnsi="Verdana"/>
                <w:sz w:val="18"/>
                <w:szCs w:val="18"/>
              </w:rPr>
              <w:t>%</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Net working capital</w:t>
            </w:r>
          </w:p>
        </w:tc>
        <w:tc>
          <w:tcPr>
            <w:tcW w:w="1657" w:type="dxa"/>
            <w:tcBorders>
              <w:top w:val="nil"/>
              <w:left w:val="nil"/>
              <w:bottom w:val="nil"/>
              <w:right w:val="nil"/>
            </w:tcBorders>
            <w:shd w:val="clear" w:color="auto" w:fill="auto"/>
            <w:noWrap/>
            <w:vAlign w:val="bottom"/>
            <w:hideMark/>
          </w:tcPr>
          <w:p w:rsidR="000D4B3B" w:rsidRPr="007E0CF7" w:rsidRDefault="00CF7108" w:rsidP="004F1D31">
            <w:pPr>
              <w:spacing w:line="276" w:lineRule="auto"/>
              <w:jc w:val="right"/>
              <w:rPr>
                <w:rFonts w:ascii="Verdana" w:hAnsi="Verdana"/>
                <w:sz w:val="18"/>
                <w:szCs w:val="18"/>
              </w:rPr>
            </w:pPr>
            <w:r>
              <w:rPr>
                <w:rFonts w:ascii="Verdana" w:hAnsi="Verdana"/>
                <w:sz w:val="18"/>
                <w:szCs w:val="18"/>
              </w:rPr>
              <w:t xml:space="preserve"> 523</w:t>
            </w:r>
            <w:r w:rsidR="000D4B3B" w:rsidRPr="007E0CF7">
              <w:rPr>
                <w:rFonts w:ascii="Verdana" w:hAnsi="Verdana"/>
                <w:sz w:val="18"/>
                <w:szCs w:val="18"/>
              </w:rPr>
              <w:t xml:space="preserve">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-125 </w:t>
            </w:r>
          </w:p>
        </w:tc>
        <w:tc>
          <w:tcPr>
            <w:tcW w:w="1440" w:type="dxa"/>
            <w:tcBorders>
              <w:top w:val="nil"/>
              <w:left w:val="nil"/>
              <w:bottom w:val="nil"/>
              <w:right w:val="nil"/>
            </w:tcBorders>
            <w:shd w:val="clear" w:color="auto" w:fill="auto"/>
            <w:noWrap/>
            <w:vAlign w:val="bottom"/>
            <w:hideMark/>
          </w:tcPr>
          <w:p w:rsidR="000D4B3B" w:rsidRPr="0072255D" w:rsidRDefault="002F4A7C" w:rsidP="004F1D31">
            <w:pPr>
              <w:spacing w:line="276" w:lineRule="auto"/>
              <w:jc w:val="right"/>
              <w:rPr>
                <w:rFonts w:ascii="Verdana" w:hAnsi="Verdana"/>
                <w:sz w:val="18"/>
                <w:szCs w:val="18"/>
              </w:rPr>
            </w:pPr>
            <w:r w:rsidRPr="0072255D">
              <w:rPr>
                <w:rFonts w:ascii="Verdana" w:hAnsi="Verdana"/>
                <w:sz w:val="18"/>
                <w:szCs w:val="18"/>
              </w:rPr>
              <w:t>n</w:t>
            </w:r>
            <w:r w:rsidR="00EC588C" w:rsidRPr="0072255D">
              <w:rPr>
                <w:rFonts w:ascii="Verdana" w:hAnsi="Verdana"/>
                <w:sz w:val="18"/>
                <w:szCs w:val="18"/>
              </w:rPr>
              <w:t>/</w:t>
            </w:r>
            <w:r w:rsidRPr="0072255D">
              <w:rPr>
                <w:rFonts w:ascii="Verdana" w:hAnsi="Verdana"/>
                <w:sz w:val="18"/>
                <w:szCs w:val="18"/>
              </w:rPr>
              <w:t>a</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72255D" w:rsidP="00283B18">
            <w:pPr>
              <w:spacing w:line="276" w:lineRule="auto"/>
              <w:rPr>
                <w:rFonts w:ascii="Verdana" w:hAnsi="Verdana"/>
                <w:sz w:val="18"/>
                <w:szCs w:val="18"/>
              </w:rPr>
            </w:pPr>
            <w:r>
              <w:rPr>
                <w:rFonts w:ascii="Verdana" w:hAnsi="Verdana"/>
                <w:sz w:val="18"/>
                <w:szCs w:val="18"/>
              </w:rPr>
              <w:t xml:space="preserve">Working capital ratio </w:t>
            </w:r>
            <w:r>
              <w:rPr>
                <w:rFonts w:ascii="Verdana" w:hAnsi="Verdana"/>
                <w:sz w:val="18"/>
                <w:szCs w:val="18"/>
              </w:rPr>
              <w:br/>
              <w:t>(current assets / current liabilities</w:t>
            </w:r>
            <w:r w:rsidR="000D4B3B" w:rsidRPr="007E0CF7">
              <w:rPr>
                <w:rFonts w:ascii="Verdana" w:hAnsi="Verdana"/>
                <w:sz w:val="18"/>
                <w:szCs w:val="18"/>
              </w:rPr>
              <w:t>)</w:t>
            </w:r>
          </w:p>
        </w:tc>
        <w:tc>
          <w:tcPr>
            <w:tcW w:w="1657" w:type="dxa"/>
            <w:tcBorders>
              <w:top w:val="nil"/>
              <w:left w:val="nil"/>
              <w:bottom w:val="nil"/>
              <w:right w:val="nil"/>
            </w:tcBorders>
            <w:shd w:val="clear" w:color="auto" w:fill="auto"/>
            <w:noWrap/>
            <w:vAlign w:val="bottom"/>
            <w:hideMark/>
          </w:tcPr>
          <w:p w:rsidR="000D4B3B" w:rsidRPr="007E0CF7" w:rsidRDefault="005E5733" w:rsidP="004F1D31">
            <w:pPr>
              <w:spacing w:line="276" w:lineRule="auto"/>
              <w:jc w:val="right"/>
              <w:rPr>
                <w:rFonts w:ascii="Verdana" w:hAnsi="Verdana"/>
                <w:sz w:val="18"/>
                <w:szCs w:val="18"/>
              </w:rPr>
            </w:pPr>
            <w:r>
              <w:rPr>
                <w:rFonts w:ascii="Verdana" w:hAnsi="Verdana"/>
                <w:sz w:val="18"/>
                <w:szCs w:val="18"/>
              </w:rPr>
              <w:t xml:space="preserve"> 1.25</w:t>
            </w:r>
            <w:r w:rsidR="000D4B3B" w:rsidRPr="007E0CF7">
              <w:rPr>
                <w:rFonts w:ascii="Verdana" w:hAnsi="Verdana"/>
                <w:sz w:val="18"/>
                <w:szCs w:val="18"/>
              </w:rPr>
              <w:t xml:space="preserve">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0.95 </w:t>
            </w:r>
          </w:p>
        </w:tc>
        <w:tc>
          <w:tcPr>
            <w:tcW w:w="1440" w:type="dxa"/>
            <w:tcBorders>
              <w:top w:val="nil"/>
              <w:left w:val="nil"/>
              <w:bottom w:val="nil"/>
              <w:right w:val="nil"/>
            </w:tcBorders>
            <w:shd w:val="clear" w:color="auto" w:fill="auto"/>
            <w:noWrap/>
            <w:vAlign w:val="bottom"/>
            <w:hideMark/>
          </w:tcPr>
          <w:p w:rsidR="000D4B3B" w:rsidRPr="007E0CF7" w:rsidRDefault="005E5733" w:rsidP="004F1D31">
            <w:pPr>
              <w:spacing w:line="276" w:lineRule="auto"/>
              <w:jc w:val="right"/>
              <w:rPr>
                <w:rFonts w:ascii="Verdana" w:hAnsi="Verdana"/>
                <w:sz w:val="18"/>
                <w:szCs w:val="18"/>
                <w:highlight w:val="yellow"/>
              </w:rPr>
            </w:pPr>
            <w:r>
              <w:rPr>
                <w:rFonts w:ascii="Verdana" w:hAnsi="Verdana"/>
                <w:sz w:val="18"/>
                <w:szCs w:val="18"/>
              </w:rPr>
              <w:t>32</w:t>
            </w:r>
            <w:r w:rsidR="000D4B3B" w:rsidRPr="005E5733">
              <w:rPr>
                <w:rFonts w:ascii="Verdana" w:hAnsi="Verdana"/>
                <w:sz w:val="18"/>
                <w:szCs w:val="18"/>
              </w:rPr>
              <w:t>%</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p>
        </w:tc>
        <w:tc>
          <w:tcPr>
            <w:tcW w:w="1657"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highlight w:val="yellow"/>
              </w:rPr>
            </w:pP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p>
        </w:tc>
        <w:tc>
          <w:tcPr>
            <w:tcW w:w="1440"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highlight w:val="yellow"/>
              </w:rPr>
            </w:pP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b/>
                <w:bCs/>
                <w:sz w:val="18"/>
                <w:szCs w:val="18"/>
              </w:rPr>
            </w:pPr>
            <w:r w:rsidRPr="007E0CF7">
              <w:rPr>
                <w:rFonts w:ascii="Verdana" w:hAnsi="Verdana"/>
                <w:b/>
                <w:sz w:val="18"/>
                <w:szCs w:val="18"/>
              </w:rPr>
              <w:t>Assets</w:t>
            </w:r>
          </w:p>
        </w:tc>
        <w:tc>
          <w:tcPr>
            <w:tcW w:w="1657"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b/>
                <w:bCs/>
                <w:sz w:val="18"/>
                <w:szCs w:val="18"/>
                <w:highlight w:val="yellow"/>
              </w:rPr>
            </w:pP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b/>
                <w:bCs/>
                <w:sz w:val="18"/>
                <w:szCs w:val="18"/>
              </w:rPr>
            </w:pPr>
          </w:p>
        </w:tc>
        <w:tc>
          <w:tcPr>
            <w:tcW w:w="1440"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b/>
                <w:bCs/>
                <w:sz w:val="18"/>
                <w:szCs w:val="18"/>
                <w:highlight w:val="yellow"/>
              </w:rPr>
            </w:pP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 xml:space="preserve">Tangible </w:t>
            </w:r>
            <w:r w:rsidR="00774BB3">
              <w:rPr>
                <w:rFonts w:ascii="Verdana" w:hAnsi="Verdana"/>
                <w:sz w:val="18"/>
                <w:szCs w:val="18"/>
              </w:rPr>
              <w:t xml:space="preserve">and intangible </w:t>
            </w:r>
            <w:r w:rsidRPr="007E0CF7">
              <w:rPr>
                <w:rFonts w:ascii="Verdana" w:hAnsi="Verdana"/>
                <w:sz w:val="18"/>
                <w:szCs w:val="18"/>
              </w:rPr>
              <w:t>fixed assets</w:t>
            </w:r>
          </w:p>
        </w:tc>
        <w:tc>
          <w:tcPr>
            <w:tcW w:w="1657" w:type="dxa"/>
            <w:tcBorders>
              <w:top w:val="nil"/>
              <w:left w:val="nil"/>
              <w:bottom w:val="nil"/>
              <w:right w:val="nil"/>
            </w:tcBorders>
            <w:shd w:val="clear" w:color="auto" w:fill="auto"/>
            <w:noWrap/>
            <w:vAlign w:val="bottom"/>
            <w:hideMark/>
          </w:tcPr>
          <w:p w:rsidR="000D4B3B" w:rsidRPr="007E0CF7" w:rsidRDefault="00EC588C" w:rsidP="004F1D31">
            <w:pPr>
              <w:spacing w:line="276" w:lineRule="auto"/>
              <w:jc w:val="right"/>
              <w:rPr>
                <w:rFonts w:ascii="Verdana" w:hAnsi="Verdana"/>
                <w:sz w:val="18"/>
                <w:szCs w:val="18"/>
                <w:highlight w:val="yellow"/>
              </w:rPr>
            </w:pPr>
            <w:r>
              <w:rPr>
                <w:rFonts w:ascii="Verdana" w:hAnsi="Verdana"/>
                <w:sz w:val="18"/>
                <w:szCs w:val="18"/>
              </w:rPr>
              <w:t>7,16</w:t>
            </w:r>
            <w:r w:rsidR="009849BA">
              <w:rPr>
                <w:rFonts w:ascii="Verdana" w:hAnsi="Verdana"/>
                <w:sz w:val="18"/>
                <w:szCs w:val="18"/>
              </w:rPr>
              <w:t>9</w:t>
            </w:r>
            <w:r w:rsidR="000D4B3B" w:rsidRPr="007E0CF7">
              <w:rPr>
                <w:rFonts w:ascii="Verdana" w:hAnsi="Verdana"/>
                <w:sz w:val="18"/>
                <w:szCs w:val="18"/>
              </w:rPr>
              <w:t xml:space="preserve"> </w:t>
            </w:r>
          </w:p>
        </w:tc>
        <w:tc>
          <w:tcPr>
            <w:tcW w:w="1984" w:type="dxa"/>
            <w:tcBorders>
              <w:top w:val="nil"/>
              <w:left w:val="nil"/>
              <w:bottom w:val="nil"/>
              <w:right w:val="nil"/>
            </w:tcBorders>
            <w:shd w:val="clear" w:color="auto" w:fill="auto"/>
            <w:noWrap/>
            <w:vAlign w:val="bottom"/>
            <w:hideMark/>
          </w:tcPr>
          <w:p w:rsidR="000D4B3B" w:rsidRPr="007E0CF7" w:rsidRDefault="009849BA" w:rsidP="004F1D31">
            <w:pPr>
              <w:spacing w:line="276" w:lineRule="auto"/>
              <w:jc w:val="right"/>
              <w:rPr>
                <w:rFonts w:ascii="Verdana" w:hAnsi="Verdana"/>
                <w:sz w:val="18"/>
                <w:szCs w:val="18"/>
              </w:rPr>
            </w:pPr>
            <w:r>
              <w:rPr>
                <w:rFonts w:ascii="Verdana" w:hAnsi="Verdana"/>
                <w:sz w:val="18"/>
                <w:szCs w:val="18"/>
              </w:rPr>
              <w:t xml:space="preserve"> 7,308</w:t>
            </w:r>
            <w:r w:rsidR="000D4B3B" w:rsidRPr="007E0CF7">
              <w:rPr>
                <w:rFonts w:ascii="Verdana" w:hAnsi="Verdana"/>
                <w:sz w:val="18"/>
                <w:szCs w:val="18"/>
              </w:rPr>
              <w:t xml:space="preserve"> </w:t>
            </w:r>
          </w:p>
        </w:tc>
        <w:tc>
          <w:tcPr>
            <w:tcW w:w="1440"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w:t>
            </w:r>
            <w:r w:rsidR="005E5733">
              <w:rPr>
                <w:rFonts w:ascii="Verdana" w:hAnsi="Verdana"/>
                <w:sz w:val="18"/>
                <w:szCs w:val="18"/>
              </w:rPr>
              <w:t>2</w:t>
            </w:r>
            <w:r w:rsidRPr="007E0CF7">
              <w:rPr>
                <w:rFonts w:ascii="Verdana" w:hAnsi="Verdana"/>
                <w:sz w:val="18"/>
                <w:szCs w:val="18"/>
              </w:rPr>
              <w:t>%</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 xml:space="preserve">Investments in </w:t>
            </w:r>
            <w:r w:rsidR="0047321C">
              <w:rPr>
                <w:rFonts w:ascii="Verdana" w:hAnsi="Verdana"/>
                <w:sz w:val="18"/>
                <w:szCs w:val="18"/>
              </w:rPr>
              <w:t>(in)</w:t>
            </w:r>
            <w:r w:rsidRPr="007E0CF7">
              <w:rPr>
                <w:rFonts w:ascii="Verdana" w:hAnsi="Verdana"/>
                <w:sz w:val="18"/>
                <w:szCs w:val="18"/>
              </w:rPr>
              <w:t>tangible fixed assets</w:t>
            </w:r>
          </w:p>
        </w:tc>
        <w:tc>
          <w:tcPr>
            <w:tcW w:w="1657"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highlight w:val="yellow"/>
              </w:rPr>
            </w:pPr>
            <w:r w:rsidRPr="007E0CF7">
              <w:rPr>
                <w:rFonts w:ascii="Verdana" w:hAnsi="Verdana"/>
                <w:sz w:val="18"/>
                <w:szCs w:val="18"/>
              </w:rPr>
              <w:t xml:space="preserve"> </w:t>
            </w:r>
            <w:r w:rsidR="00EC588C">
              <w:rPr>
                <w:rFonts w:ascii="Verdana" w:hAnsi="Verdana"/>
                <w:sz w:val="18"/>
                <w:szCs w:val="18"/>
              </w:rPr>
              <w:t>79</w:t>
            </w:r>
            <w:r w:rsidR="009849BA">
              <w:rPr>
                <w:rFonts w:ascii="Verdana" w:hAnsi="Verdana"/>
                <w:sz w:val="18"/>
                <w:szCs w:val="18"/>
              </w:rPr>
              <w:t>0</w:t>
            </w:r>
            <w:r w:rsidRPr="007E0CF7">
              <w:rPr>
                <w:rFonts w:ascii="Verdana" w:hAnsi="Verdana"/>
                <w:sz w:val="18"/>
                <w:szCs w:val="18"/>
                <w:highlight w:val="yellow"/>
              </w:rPr>
              <w:t xml:space="preserve">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 xml:space="preserve"> 499 </w:t>
            </w:r>
          </w:p>
        </w:tc>
        <w:tc>
          <w:tcPr>
            <w:tcW w:w="1440" w:type="dxa"/>
            <w:tcBorders>
              <w:top w:val="nil"/>
              <w:left w:val="nil"/>
              <w:bottom w:val="nil"/>
              <w:right w:val="nil"/>
            </w:tcBorders>
            <w:shd w:val="clear" w:color="auto" w:fill="auto"/>
            <w:noWrap/>
            <w:vAlign w:val="bottom"/>
            <w:hideMark/>
          </w:tcPr>
          <w:p w:rsidR="000D4B3B" w:rsidRPr="007E0CF7" w:rsidRDefault="005E5733" w:rsidP="004F1D31">
            <w:pPr>
              <w:spacing w:line="276" w:lineRule="auto"/>
              <w:jc w:val="right"/>
              <w:rPr>
                <w:rFonts w:ascii="Verdana" w:hAnsi="Verdana"/>
                <w:sz w:val="18"/>
                <w:szCs w:val="18"/>
                <w:highlight w:val="yellow"/>
              </w:rPr>
            </w:pPr>
            <w:r>
              <w:rPr>
                <w:rFonts w:ascii="Verdana" w:hAnsi="Verdana"/>
                <w:sz w:val="18"/>
                <w:szCs w:val="18"/>
              </w:rPr>
              <w:t>5</w:t>
            </w:r>
            <w:r w:rsidR="009849BA">
              <w:rPr>
                <w:rFonts w:ascii="Verdana" w:hAnsi="Verdana"/>
                <w:sz w:val="18"/>
                <w:szCs w:val="18"/>
              </w:rPr>
              <w:t>8</w:t>
            </w:r>
            <w:r w:rsidR="000D4B3B" w:rsidRPr="007E0CF7">
              <w:rPr>
                <w:rFonts w:ascii="Verdana" w:hAnsi="Verdana"/>
                <w:sz w:val="18"/>
                <w:szCs w:val="18"/>
              </w:rPr>
              <w:t>%</w:t>
            </w:r>
          </w:p>
        </w:tc>
      </w:tr>
      <w:tr w:rsidR="000D4B3B" w:rsidRPr="007E0CF7" w:rsidTr="00774BB3">
        <w:trPr>
          <w:trHeight w:val="240"/>
        </w:trPr>
        <w:tc>
          <w:tcPr>
            <w:tcW w:w="3800" w:type="dxa"/>
            <w:tcBorders>
              <w:top w:val="nil"/>
              <w:left w:val="nil"/>
              <w:bottom w:val="nil"/>
              <w:right w:val="nil"/>
            </w:tcBorders>
            <w:shd w:val="clear" w:color="auto" w:fill="auto"/>
            <w:noWrap/>
            <w:vAlign w:val="bottom"/>
            <w:hideMark/>
          </w:tcPr>
          <w:p w:rsidR="000D4B3B" w:rsidRPr="007E0CF7" w:rsidRDefault="000D4B3B" w:rsidP="00283B18">
            <w:pPr>
              <w:spacing w:line="276" w:lineRule="auto"/>
              <w:rPr>
                <w:rFonts w:ascii="Verdana" w:hAnsi="Verdana"/>
                <w:sz w:val="18"/>
                <w:szCs w:val="18"/>
              </w:rPr>
            </w:pPr>
            <w:r w:rsidRPr="007E0CF7">
              <w:rPr>
                <w:rFonts w:ascii="Verdana" w:hAnsi="Verdana"/>
                <w:sz w:val="18"/>
                <w:szCs w:val="18"/>
              </w:rPr>
              <w:t xml:space="preserve">Depreciation of </w:t>
            </w:r>
            <w:r w:rsidR="0047321C">
              <w:rPr>
                <w:rFonts w:ascii="Verdana" w:hAnsi="Verdana"/>
                <w:sz w:val="18"/>
                <w:szCs w:val="18"/>
              </w:rPr>
              <w:t>(in)</w:t>
            </w:r>
            <w:r w:rsidRPr="007E0CF7">
              <w:rPr>
                <w:rFonts w:ascii="Verdana" w:hAnsi="Verdana"/>
                <w:sz w:val="18"/>
                <w:szCs w:val="18"/>
              </w:rPr>
              <w:t>tangible fixed assets</w:t>
            </w:r>
          </w:p>
        </w:tc>
        <w:tc>
          <w:tcPr>
            <w:tcW w:w="1657"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highlight w:val="yellow"/>
              </w:rPr>
            </w:pPr>
            <w:r w:rsidRPr="007E0CF7">
              <w:rPr>
                <w:rFonts w:ascii="Verdana" w:hAnsi="Verdana"/>
                <w:sz w:val="18"/>
                <w:szCs w:val="18"/>
              </w:rPr>
              <w:t xml:space="preserve"> 929 </w:t>
            </w:r>
          </w:p>
        </w:tc>
        <w:tc>
          <w:tcPr>
            <w:tcW w:w="1984"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rPr>
            </w:pPr>
            <w:r w:rsidRPr="007E0CF7">
              <w:rPr>
                <w:rFonts w:ascii="Verdana" w:hAnsi="Verdana"/>
                <w:sz w:val="18"/>
                <w:szCs w:val="18"/>
              </w:rPr>
              <w:t>792</w:t>
            </w:r>
          </w:p>
        </w:tc>
        <w:tc>
          <w:tcPr>
            <w:tcW w:w="1440" w:type="dxa"/>
            <w:tcBorders>
              <w:top w:val="nil"/>
              <w:left w:val="nil"/>
              <w:bottom w:val="nil"/>
              <w:right w:val="nil"/>
            </w:tcBorders>
            <w:shd w:val="clear" w:color="auto" w:fill="auto"/>
            <w:noWrap/>
            <w:vAlign w:val="bottom"/>
            <w:hideMark/>
          </w:tcPr>
          <w:p w:rsidR="000D4B3B" w:rsidRPr="007E0CF7" w:rsidRDefault="000D4B3B" w:rsidP="004F1D31">
            <w:pPr>
              <w:spacing w:line="276" w:lineRule="auto"/>
              <w:jc w:val="right"/>
              <w:rPr>
                <w:rFonts w:ascii="Verdana" w:hAnsi="Verdana"/>
                <w:sz w:val="18"/>
                <w:szCs w:val="18"/>
                <w:highlight w:val="yellow"/>
              </w:rPr>
            </w:pPr>
            <w:r w:rsidRPr="007E0CF7">
              <w:rPr>
                <w:rFonts w:ascii="Verdana" w:hAnsi="Verdana"/>
                <w:sz w:val="18"/>
                <w:szCs w:val="18"/>
              </w:rPr>
              <w:t>17%</w:t>
            </w:r>
          </w:p>
        </w:tc>
      </w:tr>
    </w:tbl>
    <w:p w:rsidR="000D4B3B" w:rsidRPr="007E0CF7" w:rsidRDefault="000D4B3B" w:rsidP="00283B18">
      <w:pPr>
        <w:spacing w:line="276" w:lineRule="auto"/>
        <w:rPr>
          <w:rFonts w:ascii="Verdana" w:hAnsi="Verdana" w:cs="Verdana"/>
          <w:sz w:val="18"/>
          <w:szCs w:val="18"/>
          <w:highlight w:val="yellow"/>
        </w:rPr>
      </w:pPr>
    </w:p>
    <w:tbl>
      <w:tblPr>
        <w:tblW w:w="8881" w:type="dxa"/>
        <w:tblCellMar>
          <w:left w:w="70" w:type="dxa"/>
          <w:right w:w="70" w:type="dxa"/>
        </w:tblCellMar>
        <w:tblLook w:val="04A0"/>
      </w:tblPr>
      <w:tblGrid>
        <w:gridCol w:w="3800"/>
        <w:gridCol w:w="1657"/>
        <w:gridCol w:w="1984"/>
        <w:gridCol w:w="1440"/>
      </w:tblGrid>
      <w:tr w:rsidR="005A3CC9" w:rsidRPr="007E0CF7" w:rsidTr="004B0FE9">
        <w:trPr>
          <w:trHeight w:val="240"/>
        </w:trPr>
        <w:tc>
          <w:tcPr>
            <w:tcW w:w="3800" w:type="dxa"/>
            <w:tcBorders>
              <w:top w:val="nil"/>
              <w:left w:val="nil"/>
              <w:bottom w:val="nil"/>
              <w:right w:val="nil"/>
            </w:tcBorders>
            <w:shd w:val="clear" w:color="auto" w:fill="auto"/>
            <w:noWrap/>
            <w:vAlign w:val="bottom"/>
            <w:hideMark/>
          </w:tcPr>
          <w:p w:rsidR="005A3CC9" w:rsidRPr="007E0CF7" w:rsidRDefault="005A3CC9" w:rsidP="00283B18">
            <w:pPr>
              <w:spacing w:line="276" w:lineRule="auto"/>
              <w:rPr>
                <w:rFonts w:ascii="Verdana" w:hAnsi="Verdana"/>
                <w:b/>
                <w:bCs/>
                <w:sz w:val="18"/>
                <w:szCs w:val="18"/>
              </w:rPr>
            </w:pPr>
            <w:r>
              <w:rPr>
                <w:rFonts w:ascii="Verdana" w:hAnsi="Verdana"/>
                <w:b/>
                <w:bCs/>
                <w:sz w:val="18"/>
                <w:szCs w:val="18"/>
              </w:rPr>
              <w:t>Issue of nominal shares</w:t>
            </w:r>
          </w:p>
        </w:tc>
        <w:tc>
          <w:tcPr>
            <w:tcW w:w="1657" w:type="dxa"/>
            <w:tcBorders>
              <w:top w:val="nil"/>
              <w:left w:val="nil"/>
              <w:bottom w:val="nil"/>
              <w:right w:val="nil"/>
            </w:tcBorders>
            <w:shd w:val="clear" w:color="auto" w:fill="auto"/>
            <w:noWrap/>
            <w:vAlign w:val="bottom"/>
            <w:hideMark/>
          </w:tcPr>
          <w:p w:rsidR="005A3CC9" w:rsidRPr="007E0CF7" w:rsidRDefault="005A3CC9" w:rsidP="004F1D31">
            <w:pPr>
              <w:spacing w:line="276" w:lineRule="auto"/>
              <w:jc w:val="right"/>
              <w:rPr>
                <w:rFonts w:ascii="Verdana" w:hAnsi="Verdana"/>
                <w:b/>
                <w:bCs/>
                <w:sz w:val="18"/>
                <w:szCs w:val="18"/>
                <w:highlight w:val="yellow"/>
              </w:rPr>
            </w:pPr>
          </w:p>
        </w:tc>
        <w:tc>
          <w:tcPr>
            <w:tcW w:w="1984" w:type="dxa"/>
            <w:tcBorders>
              <w:top w:val="nil"/>
              <w:left w:val="nil"/>
              <w:bottom w:val="nil"/>
              <w:right w:val="nil"/>
            </w:tcBorders>
            <w:shd w:val="clear" w:color="auto" w:fill="auto"/>
            <w:noWrap/>
            <w:vAlign w:val="bottom"/>
            <w:hideMark/>
          </w:tcPr>
          <w:p w:rsidR="005A3CC9" w:rsidRPr="007E0CF7" w:rsidRDefault="005A3CC9" w:rsidP="00283B18">
            <w:pPr>
              <w:spacing w:line="276" w:lineRule="auto"/>
              <w:rPr>
                <w:rFonts w:ascii="Verdana" w:hAnsi="Verdana"/>
                <w:b/>
                <w:bCs/>
                <w:sz w:val="18"/>
                <w:szCs w:val="18"/>
              </w:rPr>
            </w:pPr>
          </w:p>
        </w:tc>
        <w:tc>
          <w:tcPr>
            <w:tcW w:w="1440" w:type="dxa"/>
            <w:tcBorders>
              <w:top w:val="nil"/>
              <w:left w:val="nil"/>
              <w:bottom w:val="nil"/>
              <w:right w:val="nil"/>
            </w:tcBorders>
            <w:shd w:val="clear" w:color="auto" w:fill="auto"/>
            <w:noWrap/>
            <w:vAlign w:val="bottom"/>
            <w:hideMark/>
          </w:tcPr>
          <w:p w:rsidR="005A3CC9" w:rsidRPr="007E0CF7" w:rsidRDefault="005A3CC9" w:rsidP="00283B18">
            <w:pPr>
              <w:spacing w:line="276" w:lineRule="auto"/>
              <w:rPr>
                <w:rFonts w:ascii="Verdana" w:hAnsi="Verdana"/>
                <w:b/>
                <w:bCs/>
                <w:sz w:val="18"/>
                <w:szCs w:val="18"/>
                <w:highlight w:val="yellow"/>
              </w:rPr>
            </w:pPr>
          </w:p>
        </w:tc>
      </w:tr>
      <w:tr w:rsidR="005A3CC9" w:rsidRPr="007E0CF7" w:rsidTr="005A3CC9">
        <w:trPr>
          <w:trHeight w:val="240"/>
        </w:trPr>
        <w:tc>
          <w:tcPr>
            <w:tcW w:w="3800" w:type="dxa"/>
            <w:tcBorders>
              <w:top w:val="nil"/>
              <w:left w:val="nil"/>
              <w:bottom w:val="nil"/>
              <w:right w:val="nil"/>
            </w:tcBorders>
            <w:shd w:val="clear" w:color="auto" w:fill="auto"/>
            <w:noWrap/>
            <w:vAlign w:val="bottom"/>
          </w:tcPr>
          <w:p w:rsidR="005A3CC9" w:rsidRPr="007E0CF7" w:rsidRDefault="005A3CC9" w:rsidP="00283B18">
            <w:pPr>
              <w:spacing w:line="276" w:lineRule="auto"/>
              <w:rPr>
                <w:rFonts w:ascii="Verdana" w:hAnsi="Verdana"/>
                <w:sz w:val="18"/>
                <w:szCs w:val="18"/>
              </w:rPr>
            </w:pPr>
            <w:r>
              <w:rPr>
                <w:rFonts w:ascii="Verdana" w:hAnsi="Verdana"/>
                <w:sz w:val="18"/>
                <w:szCs w:val="18"/>
              </w:rPr>
              <w:t>At year-end (x 1,000)</w:t>
            </w:r>
          </w:p>
        </w:tc>
        <w:tc>
          <w:tcPr>
            <w:tcW w:w="1657" w:type="dxa"/>
            <w:tcBorders>
              <w:top w:val="nil"/>
              <w:left w:val="nil"/>
              <w:bottom w:val="nil"/>
              <w:right w:val="nil"/>
            </w:tcBorders>
            <w:shd w:val="clear" w:color="auto" w:fill="auto"/>
            <w:noWrap/>
            <w:vAlign w:val="bottom"/>
          </w:tcPr>
          <w:p w:rsidR="005A3CC9" w:rsidRPr="007E0CF7" w:rsidRDefault="003F6192" w:rsidP="004F1D31">
            <w:pPr>
              <w:spacing w:line="276" w:lineRule="auto"/>
              <w:jc w:val="right"/>
              <w:rPr>
                <w:rFonts w:ascii="Verdana" w:hAnsi="Verdana"/>
                <w:sz w:val="18"/>
                <w:szCs w:val="18"/>
                <w:highlight w:val="yellow"/>
              </w:rPr>
            </w:pPr>
            <w:r w:rsidRPr="003F6192">
              <w:rPr>
                <w:rFonts w:ascii="Verdana" w:hAnsi="Verdana"/>
                <w:sz w:val="18"/>
                <w:szCs w:val="18"/>
              </w:rPr>
              <w:t>54,411</w:t>
            </w:r>
          </w:p>
        </w:tc>
        <w:tc>
          <w:tcPr>
            <w:tcW w:w="1984" w:type="dxa"/>
            <w:tcBorders>
              <w:top w:val="nil"/>
              <w:left w:val="nil"/>
              <w:bottom w:val="nil"/>
              <w:right w:val="nil"/>
            </w:tcBorders>
            <w:shd w:val="clear" w:color="auto" w:fill="auto"/>
            <w:noWrap/>
            <w:vAlign w:val="bottom"/>
          </w:tcPr>
          <w:p w:rsidR="005A3CC9" w:rsidRPr="007E0CF7" w:rsidRDefault="005A3CC9" w:rsidP="004F1D31">
            <w:pPr>
              <w:spacing w:line="276" w:lineRule="auto"/>
              <w:jc w:val="right"/>
              <w:rPr>
                <w:rFonts w:ascii="Verdana" w:hAnsi="Verdana"/>
                <w:sz w:val="18"/>
                <w:szCs w:val="18"/>
              </w:rPr>
            </w:pPr>
            <w:r>
              <w:rPr>
                <w:rFonts w:ascii="Verdana" w:hAnsi="Verdana"/>
                <w:sz w:val="18"/>
                <w:szCs w:val="18"/>
              </w:rPr>
              <w:t>43,519</w:t>
            </w:r>
          </w:p>
        </w:tc>
        <w:tc>
          <w:tcPr>
            <w:tcW w:w="1440" w:type="dxa"/>
            <w:tcBorders>
              <w:top w:val="nil"/>
              <w:left w:val="nil"/>
              <w:bottom w:val="nil"/>
              <w:right w:val="nil"/>
            </w:tcBorders>
            <w:shd w:val="clear" w:color="auto" w:fill="auto"/>
            <w:noWrap/>
            <w:vAlign w:val="bottom"/>
          </w:tcPr>
          <w:p w:rsidR="005A3CC9" w:rsidRPr="007E0CF7" w:rsidRDefault="003F6192" w:rsidP="004F1D31">
            <w:pPr>
              <w:spacing w:line="276" w:lineRule="auto"/>
              <w:jc w:val="right"/>
              <w:rPr>
                <w:rFonts w:ascii="Verdana" w:hAnsi="Verdana"/>
                <w:sz w:val="18"/>
                <w:szCs w:val="18"/>
              </w:rPr>
            </w:pPr>
            <w:r>
              <w:rPr>
                <w:rFonts w:ascii="Verdana" w:hAnsi="Verdana"/>
                <w:sz w:val="18"/>
                <w:szCs w:val="18"/>
              </w:rPr>
              <w:t>25%</w:t>
            </w:r>
          </w:p>
        </w:tc>
      </w:tr>
      <w:tr w:rsidR="005A3CC9" w:rsidRPr="007E0CF7" w:rsidTr="005A3CC9">
        <w:trPr>
          <w:trHeight w:val="240"/>
        </w:trPr>
        <w:tc>
          <w:tcPr>
            <w:tcW w:w="3800" w:type="dxa"/>
            <w:tcBorders>
              <w:top w:val="nil"/>
              <w:left w:val="nil"/>
              <w:bottom w:val="nil"/>
              <w:right w:val="nil"/>
            </w:tcBorders>
            <w:shd w:val="clear" w:color="auto" w:fill="auto"/>
            <w:noWrap/>
            <w:vAlign w:val="bottom"/>
          </w:tcPr>
          <w:p w:rsidR="005A3CC9" w:rsidRPr="007E0CF7" w:rsidRDefault="005A3CC9" w:rsidP="00283B18">
            <w:pPr>
              <w:spacing w:line="276" w:lineRule="auto"/>
              <w:rPr>
                <w:rFonts w:ascii="Verdana" w:hAnsi="Verdana"/>
                <w:sz w:val="18"/>
                <w:szCs w:val="18"/>
              </w:rPr>
            </w:pPr>
          </w:p>
        </w:tc>
        <w:tc>
          <w:tcPr>
            <w:tcW w:w="1657" w:type="dxa"/>
            <w:tcBorders>
              <w:top w:val="nil"/>
              <w:left w:val="nil"/>
              <w:bottom w:val="nil"/>
              <w:right w:val="nil"/>
            </w:tcBorders>
            <w:shd w:val="clear" w:color="auto" w:fill="auto"/>
            <w:noWrap/>
            <w:vAlign w:val="bottom"/>
          </w:tcPr>
          <w:p w:rsidR="005A3CC9" w:rsidRPr="005E5733" w:rsidRDefault="005A3CC9" w:rsidP="004F1D31">
            <w:pPr>
              <w:spacing w:line="276" w:lineRule="auto"/>
              <w:jc w:val="right"/>
              <w:rPr>
                <w:rFonts w:ascii="Verdana" w:hAnsi="Verdana"/>
                <w:sz w:val="18"/>
                <w:szCs w:val="18"/>
              </w:rPr>
            </w:pPr>
          </w:p>
        </w:tc>
        <w:tc>
          <w:tcPr>
            <w:tcW w:w="1984" w:type="dxa"/>
            <w:tcBorders>
              <w:top w:val="nil"/>
              <w:left w:val="nil"/>
              <w:bottom w:val="nil"/>
              <w:right w:val="nil"/>
            </w:tcBorders>
            <w:shd w:val="clear" w:color="auto" w:fill="auto"/>
            <w:noWrap/>
            <w:vAlign w:val="bottom"/>
          </w:tcPr>
          <w:p w:rsidR="005A3CC9" w:rsidRPr="007E0CF7" w:rsidRDefault="005A3CC9" w:rsidP="004F1D31">
            <w:pPr>
              <w:spacing w:line="276" w:lineRule="auto"/>
              <w:jc w:val="right"/>
              <w:rPr>
                <w:rFonts w:ascii="Verdana" w:hAnsi="Verdana"/>
                <w:sz w:val="18"/>
                <w:szCs w:val="18"/>
              </w:rPr>
            </w:pPr>
          </w:p>
        </w:tc>
        <w:tc>
          <w:tcPr>
            <w:tcW w:w="1440" w:type="dxa"/>
            <w:tcBorders>
              <w:top w:val="nil"/>
              <w:left w:val="nil"/>
              <w:bottom w:val="nil"/>
              <w:right w:val="nil"/>
            </w:tcBorders>
            <w:shd w:val="clear" w:color="auto" w:fill="auto"/>
            <w:noWrap/>
            <w:vAlign w:val="bottom"/>
          </w:tcPr>
          <w:p w:rsidR="005A3CC9" w:rsidRPr="005E5733" w:rsidRDefault="005A3CC9" w:rsidP="004F1D31">
            <w:pPr>
              <w:spacing w:line="276" w:lineRule="auto"/>
              <w:jc w:val="right"/>
              <w:rPr>
                <w:rFonts w:ascii="Verdana" w:hAnsi="Verdana"/>
                <w:sz w:val="18"/>
                <w:szCs w:val="18"/>
              </w:rPr>
            </w:pPr>
          </w:p>
        </w:tc>
      </w:tr>
      <w:tr w:rsidR="005A3CC9" w:rsidRPr="007E0CF7" w:rsidTr="005A3CC9">
        <w:trPr>
          <w:trHeight w:val="240"/>
        </w:trPr>
        <w:tc>
          <w:tcPr>
            <w:tcW w:w="3800" w:type="dxa"/>
            <w:tcBorders>
              <w:top w:val="nil"/>
              <w:left w:val="nil"/>
              <w:bottom w:val="nil"/>
              <w:right w:val="nil"/>
            </w:tcBorders>
            <w:shd w:val="clear" w:color="auto" w:fill="auto"/>
            <w:noWrap/>
            <w:vAlign w:val="bottom"/>
          </w:tcPr>
          <w:p w:rsidR="005A3CC9" w:rsidRPr="00AC4C70" w:rsidRDefault="00AC4C70" w:rsidP="00283B18">
            <w:pPr>
              <w:spacing w:line="276" w:lineRule="auto"/>
              <w:rPr>
                <w:rFonts w:ascii="Verdana" w:hAnsi="Verdana"/>
                <w:b/>
                <w:sz w:val="18"/>
                <w:szCs w:val="18"/>
              </w:rPr>
            </w:pPr>
            <w:r w:rsidRPr="00AC4C70">
              <w:rPr>
                <w:rFonts w:ascii="Verdana" w:hAnsi="Verdana"/>
                <w:b/>
                <w:sz w:val="18"/>
                <w:szCs w:val="18"/>
              </w:rPr>
              <w:t xml:space="preserve">Number of FTEs </w:t>
            </w:r>
            <w:r>
              <w:rPr>
                <w:rFonts w:ascii="Verdana" w:hAnsi="Verdana"/>
                <w:b/>
                <w:sz w:val="18"/>
                <w:szCs w:val="18"/>
              </w:rPr>
              <w:t>(permanent)</w:t>
            </w:r>
          </w:p>
        </w:tc>
        <w:tc>
          <w:tcPr>
            <w:tcW w:w="1657" w:type="dxa"/>
            <w:tcBorders>
              <w:top w:val="nil"/>
              <w:left w:val="nil"/>
              <w:bottom w:val="nil"/>
              <w:right w:val="nil"/>
            </w:tcBorders>
            <w:shd w:val="clear" w:color="auto" w:fill="auto"/>
            <w:noWrap/>
            <w:vAlign w:val="bottom"/>
          </w:tcPr>
          <w:p w:rsidR="005A3CC9" w:rsidRPr="007E0CF7" w:rsidRDefault="005A3CC9" w:rsidP="004F1D31">
            <w:pPr>
              <w:spacing w:line="276" w:lineRule="auto"/>
              <w:jc w:val="right"/>
              <w:rPr>
                <w:rFonts w:ascii="Verdana" w:hAnsi="Verdana"/>
                <w:sz w:val="18"/>
                <w:szCs w:val="18"/>
                <w:highlight w:val="yellow"/>
              </w:rPr>
            </w:pPr>
          </w:p>
        </w:tc>
        <w:tc>
          <w:tcPr>
            <w:tcW w:w="1984" w:type="dxa"/>
            <w:tcBorders>
              <w:top w:val="nil"/>
              <w:left w:val="nil"/>
              <w:bottom w:val="nil"/>
              <w:right w:val="nil"/>
            </w:tcBorders>
            <w:shd w:val="clear" w:color="auto" w:fill="auto"/>
            <w:noWrap/>
            <w:vAlign w:val="bottom"/>
          </w:tcPr>
          <w:p w:rsidR="005A3CC9" w:rsidRPr="007E0CF7" w:rsidRDefault="005A3CC9" w:rsidP="004F1D31">
            <w:pPr>
              <w:spacing w:line="276" w:lineRule="auto"/>
              <w:jc w:val="right"/>
              <w:rPr>
                <w:rFonts w:ascii="Verdana" w:hAnsi="Verdana"/>
                <w:sz w:val="18"/>
                <w:szCs w:val="18"/>
              </w:rPr>
            </w:pPr>
          </w:p>
        </w:tc>
        <w:tc>
          <w:tcPr>
            <w:tcW w:w="1440" w:type="dxa"/>
            <w:tcBorders>
              <w:top w:val="nil"/>
              <w:left w:val="nil"/>
              <w:bottom w:val="nil"/>
              <w:right w:val="nil"/>
            </w:tcBorders>
            <w:shd w:val="clear" w:color="auto" w:fill="auto"/>
            <w:noWrap/>
            <w:vAlign w:val="bottom"/>
          </w:tcPr>
          <w:p w:rsidR="005A3CC9" w:rsidRPr="007E0CF7" w:rsidRDefault="005A3CC9" w:rsidP="004F1D31">
            <w:pPr>
              <w:spacing w:line="276" w:lineRule="auto"/>
              <w:jc w:val="right"/>
              <w:rPr>
                <w:rFonts w:ascii="Verdana" w:hAnsi="Verdana"/>
                <w:sz w:val="18"/>
                <w:szCs w:val="18"/>
                <w:highlight w:val="yellow"/>
              </w:rPr>
            </w:pPr>
          </w:p>
        </w:tc>
      </w:tr>
      <w:tr w:rsidR="00AC4C70" w:rsidRPr="007E0CF7" w:rsidTr="005A3CC9">
        <w:trPr>
          <w:trHeight w:val="240"/>
        </w:trPr>
        <w:tc>
          <w:tcPr>
            <w:tcW w:w="3800" w:type="dxa"/>
            <w:tcBorders>
              <w:top w:val="nil"/>
              <w:left w:val="nil"/>
              <w:bottom w:val="nil"/>
              <w:right w:val="nil"/>
            </w:tcBorders>
            <w:shd w:val="clear" w:color="auto" w:fill="auto"/>
            <w:noWrap/>
            <w:vAlign w:val="bottom"/>
          </w:tcPr>
          <w:p w:rsidR="00AC4C70" w:rsidRPr="00AC4C70" w:rsidRDefault="00AC4C70" w:rsidP="00283B18">
            <w:pPr>
              <w:spacing w:line="276" w:lineRule="auto"/>
              <w:rPr>
                <w:rFonts w:ascii="Verdana" w:hAnsi="Verdana"/>
                <w:sz w:val="18"/>
                <w:szCs w:val="18"/>
              </w:rPr>
            </w:pPr>
            <w:r>
              <w:rPr>
                <w:rFonts w:ascii="Verdana" w:hAnsi="Verdana"/>
                <w:sz w:val="18"/>
                <w:szCs w:val="18"/>
              </w:rPr>
              <w:t>Average</w:t>
            </w:r>
          </w:p>
        </w:tc>
        <w:tc>
          <w:tcPr>
            <w:tcW w:w="1657" w:type="dxa"/>
            <w:tcBorders>
              <w:top w:val="nil"/>
              <w:left w:val="nil"/>
              <w:bottom w:val="nil"/>
              <w:right w:val="nil"/>
            </w:tcBorders>
            <w:shd w:val="clear" w:color="auto" w:fill="auto"/>
            <w:noWrap/>
            <w:vAlign w:val="bottom"/>
          </w:tcPr>
          <w:p w:rsidR="00AC4C70" w:rsidRPr="00AC4C70" w:rsidRDefault="00AC4C70" w:rsidP="004F1D31">
            <w:pPr>
              <w:spacing w:line="276" w:lineRule="auto"/>
              <w:jc w:val="right"/>
              <w:rPr>
                <w:rFonts w:ascii="Verdana" w:hAnsi="Verdana"/>
                <w:sz w:val="18"/>
                <w:szCs w:val="18"/>
              </w:rPr>
            </w:pPr>
            <w:r w:rsidRPr="00AC4C70">
              <w:rPr>
                <w:rFonts w:ascii="Verdana" w:hAnsi="Verdana"/>
                <w:sz w:val="18"/>
                <w:szCs w:val="18"/>
              </w:rPr>
              <w:t>94</w:t>
            </w:r>
          </w:p>
        </w:tc>
        <w:tc>
          <w:tcPr>
            <w:tcW w:w="1984" w:type="dxa"/>
            <w:tcBorders>
              <w:top w:val="nil"/>
              <w:left w:val="nil"/>
              <w:bottom w:val="nil"/>
              <w:right w:val="nil"/>
            </w:tcBorders>
            <w:shd w:val="clear" w:color="auto" w:fill="auto"/>
            <w:noWrap/>
            <w:vAlign w:val="bottom"/>
          </w:tcPr>
          <w:p w:rsidR="00AC4C70" w:rsidRDefault="00AC4C70" w:rsidP="004F1D31">
            <w:pPr>
              <w:spacing w:line="276" w:lineRule="auto"/>
              <w:jc w:val="right"/>
              <w:rPr>
                <w:rFonts w:ascii="Verdana" w:hAnsi="Verdana"/>
                <w:sz w:val="18"/>
                <w:szCs w:val="18"/>
              </w:rPr>
            </w:pPr>
            <w:r>
              <w:rPr>
                <w:rFonts w:ascii="Verdana" w:hAnsi="Verdana"/>
                <w:sz w:val="18"/>
                <w:szCs w:val="18"/>
              </w:rPr>
              <w:t>97</w:t>
            </w:r>
          </w:p>
        </w:tc>
        <w:tc>
          <w:tcPr>
            <w:tcW w:w="1440" w:type="dxa"/>
            <w:tcBorders>
              <w:top w:val="nil"/>
              <w:left w:val="nil"/>
              <w:bottom w:val="nil"/>
              <w:right w:val="nil"/>
            </w:tcBorders>
            <w:shd w:val="clear" w:color="auto" w:fill="auto"/>
            <w:noWrap/>
            <w:vAlign w:val="bottom"/>
          </w:tcPr>
          <w:p w:rsidR="00AC4C70" w:rsidRPr="00AC4C70" w:rsidRDefault="00AC4C70" w:rsidP="004F1D31">
            <w:pPr>
              <w:spacing w:line="276" w:lineRule="auto"/>
              <w:jc w:val="right"/>
              <w:rPr>
                <w:rFonts w:ascii="Verdana" w:hAnsi="Verdana"/>
                <w:sz w:val="18"/>
                <w:szCs w:val="18"/>
              </w:rPr>
            </w:pPr>
            <w:r>
              <w:rPr>
                <w:rFonts w:ascii="Verdana" w:hAnsi="Verdana"/>
                <w:sz w:val="18"/>
                <w:szCs w:val="18"/>
              </w:rPr>
              <w:t>-3%</w:t>
            </w:r>
          </w:p>
        </w:tc>
      </w:tr>
    </w:tbl>
    <w:p w:rsidR="00283B18" w:rsidRDefault="00283B18" w:rsidP="00283B18">
      <w:pPr>
        <w:tabs>
          <w:tab w:val="left" w:pos="709"/>
        </w:tabs>
        <w:spacing w:line="276" w:lineRule="auto"/>
        <w:rPr>
          <w:rFonts w:ascii="Verdana" w:hAnsi="Verdana" w:cs="Verdana"/>
          <w:b/>
          <w:bCs/>
          <w:sz w:val="18"/>
          <w:szCs w:val="18"/>
          <w:highlight w:val="yellow"/>
        </w:rPr>
      </w:pPr>
    </w:p>
    <w:p w:rsidR="00283B18" w:rsidRDefault="00283B18" w:rsidP="00283B18">
      <w:pPr>
        <w:tabs>
          <w:tab w:val="left" w:pos="709"/>
        </w:tabs>
        <w:spacing w:line="276" w:lineRule="auto"/>
        <w:rPr>
          <w:rFonts w:ascii="Verdana" w:hAnsi="Verdana" w:cs="Verdana"/>
          <w:b/>
          <w:bCs/>
          <w:sz w:val="18"/>
          <w:szCs w:val="18"/>
          <w:highlight w:val="yellow"/>
        </w:rPr>
      </w:pPr>
    </w:p>
    <w:p w:rsidR="00691A1A" w:rsidRPr="007E0CF7" w:rsidRDefault="00691A1A" w:rsidP="00283B18">
      <w:pPr>
        <w:spacing w:line="276" w:lineRule="auto"/>
        <w:rPr>
          <w:rFonts w:ascii="Verdana" w:hAnsi="Verdana"/>
          <w:b/>
          <w:color w:val="B71234"/>
          <w:sz w:val="18"/>
          <w:szCs w:val="18"/>
        </w:rPr>
      </w:pPr>
      <w:r w:rsidRPr="007E0CF7">
        <w:rPr>
          <w:rFonts w:ascii="Verdana" w:hAnsi="Verdana"/>
          <w:b/>
          <w:color w:val="B71234"/>
          <w:sz w:val="18"/>
          <w:szCs w:val="18"/>
        </w:rPr>
        <w:t>Sales and result</w:t>
      </w:r>
      <w:bookmarkStart w:id="3" w:name="_GoBack"/>
      <w:bookmarkEnd w:id="3"/>
    </w:p>
    <w:p w:rsidR="00691A1A" w:rsidRPr="007E0CF7" w:rsidRDefault="0091109A" w:rsidP="00283B18">
      <w:pPr>
        <w:spacing w:line="276" w:lineRule="auto"/>
        <w:rPr>
          <w:rFonts w:ascii="Verdana" w:hAnsi="Verdana" w:cs="Verdana"/>
          <w:sz w:val="18"/>
          <w:szCs w:val="18"/>
        </w:rPr>
      </w:pPr>
      <w:r w:rsidRPr="007E0CF7">
        <w:rPr>
          <w:rFonts w:ascii="Verdana" w:hAnsi="Verdana"/>
          <w:sz w:val="18"/>
          <w:szCs w:val="18"/>
        </w:rPr>
        <w:t>In 2015</w:t>
      </w:r>
      <w:r w:rsidR="00691A1A" w:rsidRPr="007E0CF7">
        <w:rPr>
          <w:rFonts w:ascii="Verdana" w:hAnsi="Verdana"/>
          <w:sz w:val="18"/>
          <w:szCs w:val="18"/>
        </w:rPr>
        <w:t xml:space="preserve">, </w:t>
      </w:r>
      <w:proofErr w:type="spellStart"/>
      <w:r w:rsidR="00691A1A" w:rsidRPr="007C34E7">
        <w:rPr>
          <w:rFonts w:ascii="Verdana" w:hAnsi="Verdana"/>
          <w:color w:val="B71234"/>
          <w:sz w:val="18"/>
          <w:szCs w:val="18"/>
        </w:rPr>
        <w:t>Rood</w:t>
      </w:r>
      <w:r w:rsidRPr="007E0CF7">
        <w:rPr>
          <w:rFonts w:ascii="Verdana" w:hAnsi="Verdana"/>
          <w:sz w:val="18"/>
          <w:szCs w:val="18"/>
        </w:rPr>
        <w:t>Microtec´s</w:t>
      </w:r>
      <w:proofErr w:type="spellEnd"/>
      <w:r w:rsidRPr="007E0CF7">
        <w:rPr>
          <w:rFonts w:ascii="Verdana" w:hAnsi="Verdana"/>
          <w:sz w:val="18"/>
          <w:szCs w:val="18"/>
        </w:rPr>
        <w:t xml:space="preserve"> sales in</w:t>
      </w:r>
      <w:r w:rsidR="00691A1A" w:rsidRPr="007E0CF7">
        <w:rPr>
          <w:rFonts w:ascii="Verdana" w:hAnsi="Verdana"/>
          <w:sz w:val="18"/>
          <w:szCs w:val="18"/>
        </w:rPr>
        <w:t xml:space="preserve">creased </w:t>
      </w:r>
      <w:r w:rsidR="0072255D">
        <w:rPr>
          <w:rFonts w:ascii="Verdana" w:hAnsi="Verdana"/>
          <w:sz w:val="18"/>
          <w:szCs w:val="18"/>
        </w:rPr>
        <w:t xml:space="preserve">by 3% </w:t>
      </w:r>
      <w:r w:rsidR="00691A1A" w:rsidRPr="007E0CF7">
        <w:rPr>
          <w:rFonts w:ascii="Verdana" w:hAnsi="Verdana"/>
          <w:sz w:val="18"/>
          <w:szCs w:val="18"/>
        </w:rPr>
        <w:t>compared to 201</w:t>
      </w:r>
      <w:r w:rsidRPr="007E0CF7">
        <w:rPr>
          <w:rFonts w:ascii="Verdana" w:hAnsi="Verdana"/>
          <w:sz w:val="18"/>
          <w:szCs w:val="18"/>
        </w:rPr>
        <w:t>4</w:t>
      </w:r>
      <w:r w:rsidR="00691A1A" w:rsidRPr="007E0CF7">
        <w:rPr>
          <w:rFonts w:ascii="Verdana" w:hAnsi="Verdana"/>
          <w:sz w:val="18"/>
          <w:szCs w:val="18"/>
        </w:rPr>
        <w:t>.</w:t>
      </w:r>
    </w:p>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Net sales are presented below, broken down by customer category/sector (market segment).</w:t>
      </w:r>
    </w:p>
    <w:p w:rsidR="00691A1A" w:rsidRPr="007E0CF7" w:rsidRDefault="00691A1A" w:rsidP="00283B18">
      <w:pPr>
        <w:spacing w:line="276" w:lineRule="auto"/>
        <w:rPr>
          <w:rFonts w:ascii="Verdana" w:hAnsi="Verdana" w:cs="Verdana"/>
          <w:sz w:val="18"/>
          <w:szCs w:val="18"/>
          <w:highlight w:val="yellow"/>
        </w:rPr>
      </w:pPr>
    </w:p>
    <w:tbl>
      <w:tblPr>
        <w:tblW w:w="7936" w:type="dxa"/>
        <w:tblInd w:w="2" w:type="dxa"/>
        <w:tblLook w:val="00A0"/>
      </w:tblPr>
      <w:tblGrid>
        <w:gridCol w:w="4111"/>
        <w:gridCol w:w="1275"/>
        <w:gridCol w:w="1275"/>
        <w:gridCol w:w="1275"/>
      </w:tblGrid>
      <w:tr w:rsidR="00691A1A" w:rsidRPr="007E0CF7" w:rsidTr="0024066E">
        <w:tc>
          <w:tcPr>
            <w:tcW w:w="4111" w:type="dxa"/>
            <w:tcBorders>
              <w:bottom w:val="single" w:sz="4" w:space="0" w:color="auto"/>
            </w:tcBorders>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(x EUR 1,000)</w:t>
            </w:r>
          </w:p>
        </w:tc>
        <w:tc>
          <w:tcPr>
            <w:tcW w:w="1275" w:type="dxa"/>
            <w:tcBorders>
              <w:bottom w:val="single" w:sz="4" w:space="0" w:color="auto"/>
            </w:tcBorders>
          </w:tcPr>
          <w:p w:rsidR="00691A1A" w:rsidRPr="007E0CF7" w:rsidRDefault="00691A1A" w:rsidP="004F1D31">
            <w:pPr>
              <w:spacing w:line="276" w:lineRule="auto"/>
              <w:jc w:val="right"/>
              <w:rPr>
                <w:rFonts w:ascii="Verdana" w:hAnsi="Verdana" w:cs="Verdana"/>
                <w:sz w:val="18"/>
                <w:szCs w:val="18"/>
              </w:rPr>
            </w:pPr>
            <w:r w:rsidRPr="007E0CF7">
              <w:rPr>
                <w:rFonts w:ascii="Verdana" w:hAnsi="Verdana"/>
                <w:sz w:val="18"/>
                <w:szCs w:val="18"/>
              </w:rPr>
              <w:t>201</w:t>
            </w:r>
            <w:r w:rsidR="00956A02" w:rsidRPr="007E0CF7">
              <w:rPr>
                <w:rFonts w:ascii="Verdana" w:hAnsi="Verdana"/>
                <w:sz w:val="18"/>
                <w:szCs w:val="18"/>
              </w:rPr>
              <w:t>5</w:t>
            </w:r>
          </w:p>
        </w:tc>
        <w:tc>
          <w:tcPr>
            <w:tcW w:w="1275" w:type="dxa"/>
            <w:tcBorders>
              <w:bottom w:val="single" w:sz="4" w:space="0" w:color="auto"/>
            </w:tcBorders>
          </w:tcPr>
          <w:p w:rsidR="00691A1A" w:rsidRPr="007E0CF7" w:rsidRDefault="00691A1A" w:rsidP="004F1D31">
            <w:pPr>
              <w:spacing w:line="276" w:lineRule="auto"/>
              <w:jc w:val="right"/>
              <w:rPr>
                <w:rFonts w:ascii="Verdana" w:hAnsi="Verdana" w:cs="Verdana"/>
                <w:sz w:val="18"/>
                <w:szCs w:val="18"/>
              </w:rPr>
            </w:pPr>
            <w:r w:rsidRPr="007E0CF7">
              <w:rPr>
                <w:rFonts w:ascii="Verdana" w:hAnsi="Verdana"/>
                <w:sz w:val="18"/>
                <w:szCs w:val="18"/>
              </w:rPr>
              <w:t>201</w:t>
            </w:r>
            <w:r w:rsidR="00774BB3">
              <w:rPr>
                <w:rFonts w:ascii="Verdana" w:hAnsi="Verdana"/>
                <w:sz w:val="18"/>
                <w:szCs w:val="18"/>
              </w:rPr>
              <w:t>4</w:t>
            </w:r>
          </w:p>
        </w:tc>
        <w:tc>
          <w:tcPr>
            <w:tcW w:w="1275" w:type="dxa"/>
            <w:tcBorders>
              <w:bottom w:val="single" w:sz="4" w:space="0" w:color="auto"/>
            </w:tcBorders>
          </w:tcPr>
          <w:p w:rsidR="00691A1A" w:rsidRPr="007E0CF7" w:rsidRDefault="0072255D" w:rsidP="004F1D31">
            <w:pPr>
              <w:spacing w:line="276" w:lineRule="auto"/>
              <w:jc w:val="right"/>
              <w:rPr>
                <w:rFonts w:ascii="Verdana" w:hAnsi="Verdana" w:cs="Verdana"/>
                <w:sz w:val="18"/>
                <w:szCs w:val="18"/>
              </w:rPr>
            </w:pPr>
            <w:r>
              <w:rPr>
                <w:rFonts w:ascii="Verdana" w:hAnsi="Verdana"/>
                <w:sz w:val="18"/>
                <w:szCs w:val="18"/>
              </w:rPr>
              <w:t>a</w:t>
            </w:r>
            <w:r w:rsidR="00691A1A" w:rsidRPr="007E0CF7">
              <w:rPr>
                <w:rFonts w:ascii="Verdana" w:hAnsi="Verdana"/>
                <w:sz w:val="18"/>
                <w:szCs w:val="18"/>
              </w:rPr>
              <w:t>pprox.</w:t>
            </w:r>
            <w:r w:rsidR="00691A1A" w:rsidRPr="007E0CF7">
              <w:rPr>
                <w:rFonts w:ascii="Verdana" w:hAnsi="Verdana" w:cs="Verdana"/>
                <w:sz w:val="18"/>
                <w:szCs w:val="18"/>
              </w:rPr>
              <w:br/>
            </w:r>
            <w:r w:rsidR="00691A1A" w:rsidRPr="007E0CF7">
              <w:rPr>
                <w:rFonts w:ascii="Verdana" w:hAnsi="Verdana"/>
                <w:sz w:val="18"/>
                <w:szCs w:val="18"/>
              </w:rPr>
              <w:t>change</w:t>
            </w:r>
          </w:p>
        </w:tc>
      </w:tr>
      <w:tr w:rsidR="00691A1A" w:rsidRPr="007E0CF7" w:rsidTr="0024066E">
        <w:tc>
          <w:tcPr>
            <w:tcW w:w="4111" w:type="dxa"/>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Automotive</w:t>
            </w:r>
          </w:p>
        </w:tc>
        <w:tc>
          <w:tcPr>
            <w:tcW w:w="1275"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3</w:t>
            </w:r>
            <w:r w:rsidR="00691A1A" w:rsidRPr="007E0CF7">
              <w:rPr>
                <w:rFonts w:ascii="Verdana" w:hAnsi="Verdana"/>
                <w:sz w:val="18"/>
                <w:szCs w:val="18"/>
              </w:rPr>
              <w:t>,</w:t>
            </w:r>
            <w:r w:rsidRPr="007E0CF7">
              <w:rPr>
                <w:rFonts w:ascii="Verdana" w:hAnsi="Verdana"/>
                <w:sz w:val="18"/>
                <w:szCs w:val="18"/>
              </w:rPr>
              <w:t>021</w:t>
            </w:r>
          </w:p>
        </w:tc>
        <w:tc>
          <w:tcPr>
            <w:tcW w:w="1275"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2</w:t>
            </w:r>
            <w:r w:rsidR="00691A1A" w:rsidRPr="007E0CF7">
              <w:rPr>
                <w:rFonts w:ascii="Verdana" w:hAnsi="Verdana"/>
                <w:sz w:val="18"/>
                <w:szCs w:val="18"/>
              </w:rPr>
              <w:t>,</w:t>
            </w:r>
            <w:r w:rsidRPr="007E0CF7">
              <w:rPr>
                <w:rFonts w:ascii="Verdana" w:hAnsi="Verdana"/>
                <w:sz w:val="18"/>
                <w:szCs w:val="18"/>
              </w:rPr>
              <w:t>671</w:t>
            </w:r>
          </w:p>
        </w:tc>
        <w:tc>
          <w:tcPr>
            <w:tcW w:w="1275"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+13</w:t>
            </w:r>
            <w:r w:rsidR="00691A1A" w:rsidRPr="007E0CF7">
              <w:rPr>
                <w:rFonts w:ascii="Verdana" w:hAnsi="Verdana"/>
                <w:sz w:val="18"/>
                <w:szCs w:val="18"/>
              </w:rPr>
              <w:t>%</w:t>
            </w:r>
          </w:p>
        </w:tc>
      </w:tr>
      <w:tr w:rsidR="00691A1A" w:rsidRPr="007E0CF7" w:rsidTr="0024066E">
        <w:tc>
          <w:tcPr>
            <w:tcW w:w="4111" w:type="dxa"/>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Telecoms</w:t>
            </w:r>
          </w:p>
        </w:tc>
        <w:tc>
          <w:tcPr>
            <w:tcW w:w="1275" w:type="dxa"/>
          </w:tcPr>
          <w:p w:rsidR="00691A1A" w:rsidRPr="007E0CF7" w:rsidRDefault="00691A1A" w:rsidP="004F1D31">
            <w:pPr>
              <w:spacing w:line="276" w:lineRule="auto"/>
              <w:jc w:val="right"/>
              <w:rPr>
                <w:rFonts w:ascii="Verdana" w:hAnsi="Verdana" w:cs="Verdana"/>
                <w:sz w:val="18"/>
                <w:szCs w:val="18"/>
              </w:rPr>
            </w:pPr>
            <w:r w:rsidRPr="007E0CF7">
              <w:rPr>
                <w:rFonts w:ascii="Verdana" w:hAnsi="Verdana"/>
                <w:sz w:val="18"/>
                <w:szCs w:val="18"/>
              </w:rPr>
              <w:t>2</w:t>
            </w:r>
            <w:r w:rsidR="00956A02" w:rsidRPr="007E0CF7">
              <w:rPr>
                <w:rFonts w:ascii="Verdana" w:hAnsi="Verdana"/>
                <w:sz w:val="18"/>
                <w:szCs w:val="18"/>
              </w:rPr>
              <w:t>11</w:t>
            </w:r>
          </w:p>
        </w:tc>
        <w:tc>
          <w:tcPr>
            <w:tcW w:w="1275"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239</w:t>
            </w:r>
          </w:p>
        </w:tc>
        <w:tc>
          <w:tcPr>
            <w:tcW w:w="1275"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-12</w:t>
            </w:r>
            <w:r w:rsidR="00691A1A" w:rsidRPr="007E0CF7">
              <w:rPr>
                <w:rFonts w:ascii="Verdana" w:hAnsi="Verdana"/>
                <w:sz w:val="18"/>
                <w:szCs w:val="18"/>
              </w:rPr>
              <w:t>%</w:t>
            </w:r>
          </w:p>
        </w:tc>
      </w:tr>
      <w:tr w:rsidR="00691A1A" w:rsidRPr="007E0CF7" w:rsidTr="0024066E">
        <w:tc>
          <w:tcPr>
            <w:tcW w:w="4111" w:type="dxa"/>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Industrial/Medical</w:t>
            </w:r>
          </w:p>
        </w:tc>
        <w:tc>
          <w:tcPr>
            <w:tcW w:w="1275" w:type="dxa"/>
          </w:tcPr>
          <w:p w:rsidR="00691A1A" w:rsidRPr="007E0CF7" w:rsidRDefault="00691A1A" w:rsidP="004F1D31">
            <w:pPr>
              <w:spacing w:line="276" w:lineRule="auto"/>
              <w:jc w:val="right"/>
              <w:rPr>
                <w:rFonts w:ascii="Verdana" w:hAnsi="Verdana" w:cs="Verdana"/>
                <w:sz w:val="18"/>
                <w:szCs w:val="18"/>
              </w:rPr>
            </w:pPr>
            <w:r w:rsidRPr="007E0CF7">
              <w:rPr>
                <w:rFonts w:ascii="Verdana" w:hAnsi="Verdana"/>
                <w:sz w:val="18"/>
                <w:szCs w:val="18"/>
              </w:rPr>
              <w:t>5,</w:t>
            </w:r>
            <w:r w:rsidR="00956A02" w:rsidRPr="007E0CF7">
              <w:rPr>
                <w:rFonts w:ascii="Verdana" w:hAnsi="Verdana"/>
                <w:sz w:val="18"/>
                <w:szCs w:val="18"/>
              </w:rPr>
              <w:t>201</w:t>
            </w:r>
          </w:p>
        </w:tc>
        <w:tc>
          <w:tcPr>
            <w:tcW w:w="1275" w:type="dxa"/>
          </w:tcPr>
          <w:p w:rsidR="00691A1A" w:rsidRPr="007E0CF7" w:rsidRDefault="00691A1A" w:rsidP="004F1D31">
            <w:pPr>
              <w:spacing w:line="276" w:lineRule="auto"/>
              <w:jc w:val="right"/>
              <w:rPr>
                <w:rFonts w:ascii="Verdana" w:hAnsi="Verdana" w:cs="Verdana"/>
                <w:sz w:val="18"/>
                <w:szCs w:val="18"/>
              </w:rPr>
            </w:pPr>
            <w:r w:rsidRPr="007E0CF7">
              <w:rPr>
                <w:rFonts w:ascii="Verdana" w:hAnsi="Verdana"/>
                <w:sz w:val="18"/>
                <w:szCs w:val="18"/>
              </w:rPr>
              <w:t>5,</w:t>
            </w:r>
            <w:r w:rsidR="00956A02" w:rsidRPr="007E0CF7">
              <w:rPr>
                <w:rFonts w:ascii="Verdana" w:hAnsi="Verdana"/>
                <w:sz w:val="18"/>
                <w:szCs w:val="18"/>
              </w:rPr>
              <w:t>545</w:t>
            </w:r>
          </w:p>
        </w:tc>
        <w:tc>
          <w:tcPr>
            <w:tcW w:w="1275"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-6</w:t>
            </w:r>
            <w:r w:rsidR="00691A1A" w:rsidRPr="007E0CF7">
              <w:rPr>
                <w:rFonts w:ascii="Verdana" w:hAnsi="Verdana"/>
                <w:sz w:val="18"/>
                <w:szCs w:val="18"/>
              </w:rPr>
              <w:t>%</w:t>
            </w:r>
          </w:p>
        </w:tc>
      </w:tr>
      <w:tr w:rsidR="00691A1A" w:rsidRPr="007E0CF7" w:rsidTr="0024066E">
        <w:tc>
          <w:tcPr>
            <w:tcW w:w="4111" w:type="dxa"/>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Electr</w:t>
            </w:r>
            <w:r w:rsidR="004B0FE9">
              <w:rPr>
                <w:rFonts w:ascii="Verdana" w:hAnsi="Verdana"/>
                <w:sz w:val="18"/>
                <w:szCs w:val="18"/>
              </w:rPr>
              <w:t xml:space="preserve">onic </w:t>
            </w:r>
            <w:r w:rsidRPr="007E0CF7">
              <w:rPr>
                <w:rFonts w:ascii="Verdana" w:hAnsi="Verdana"/>
                <w:sz w:val="18"/>
                <w:szCs w:val="18"/>
              </w:rPr>
              <w:t>Data Proc</w:t>
            </w:r>
            <w:r w:rsidR="004B0FE9">
              <w:rPr>
                <w:rFonts w:ascii="Verdana" w:hAnsi="Verdana"/>
                <w:sz w:val="18"/>
                <w:szCs w:val="18"/>
              </w:rPr>
              <w:t>essing</w:t>
            </w:r>
          </w:p>
        </w:tc>
        <w:tc>
          <w:tcPr>
            <w:tcW w:w="1275" w:type="dxa"/>
          </w:tcPr>
          <w:p w:rsidR="00691A1A" w:rsidRPr="007E0CF7" w:rsidRDefault="00691A1A" w:rsidP="004F1D31">
            <w:pPr>
              <w:spacing w:line="276" w:lineRule="auto"/>
              <w:jc w:val="right"/>
              <w:rPr>
                <w:rFonts w:ascii="Verdana" w:hAnsi="Verdana" w:cs="Verdana"/>
                <w:sz w:val="18"/>
                <w:szCs w:val="18"/>
              </w:rPr>
            </w:pPr>
            <w:r w:rsidRPr="007E0CF7">
              <w:rPr>
                <w:rFonts w:ascii="Verdana" w:hAnsi="Verdana"/>
                <w:sz w:val="18"/>
                <w:szCs w:val="18"/>
              </w:rPr>
              <w:t>55</w:t>
            </w:r>
            <w:r w:rsidR="00956A02" w:rsidRPr="007E0CF7">
              <w:rPr>
                <w:rFonts w:ascii="Verdana" w:hAnsi="Verdana"/>
                <w:sz w:val="18"/>
                <w:szCs w:val="18"/>
              </w:rPr>
              <w:t>1</w:t>
            </w:r>
          </w:p>
        </w:tc>
        <w:tc>
          <w:tcPr>
            <w:tcW w:w="1275"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527</w:t>
            </w:r>
          </w:p>
        </w:tc>
        <w:tc>
          <w:tcPr>
            <w:tcW w:w="1275"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+5</w:t>
            </w:r>
            <w:r w:rsidR="00691A1A" w:rsidRPr="007E0CF7">
              <w:rPr>
                <w:rFonts w:ascii="Verdana" w:hAnsi="Verdana"/>
                <w:sz w:val="18"/>
                <w:szCs w:val="18"/>
              </w:rPr>
              <w:t>%</w:t>
            </w:r>
          </w:p>
        </w:tc>
      </w:tr>
      <w:tr w:rsidR="00691A1A" w:rsidRPr="007E0CF7" w:rsidTr="0024066E">
        <w:tc>
          <w:tcPr>
            <w:tcW w:w="4111" w:type="dxa"/>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Consumer</w:t>
            </w:r>
          </w:p>
        </w:tc>
        <w:tc>
          <w:tcPr>
            <w:tcW w:w="1275"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598</w:t>
            </w:r>
          </w:p>
        </w:tc>
        <w:tc>
          <w:tcPr>
            <w:tcW w:w="1275"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478</w:t>
            </w:r>
          </w:p>
        </w:tc>
        <w:tc>
          <w:tcPr>
            <w:tcW w:w="1275"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+25</w:t>
            </w:r>
            <w:r w:rsidR="00691A1A" w:rsidRPr="007E0CF7">
              <w:rPr>
                <w:rFonts w:ascii="Verdana" w:hAnsi="Verdana"/>
                <w:sz w:val="18"/>
                <w:szCs w:val="18"/>
              </w:rPr>
              <w:t>%</w:t>
            </w:r>
          </w:p>
        </w:tc>
      </w:tr>
      <w:tr w:rsidR="00691A1A" w:rsidRPr="007E0CF7" w:rsidTr="0024066E">
        <w:tc>
          <w:tcPr>
            <w:tcW w:w="4111" w:type="dxa"/>
            <w:tcBorders>
              <w:bottom w:val="single" w:sz="4" w:space="0" w:color="auto"/>
            </w:tcBorders>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Hi-</w:t>
            </w:r>
            <w:proofErr w:type="spellStart"/>
            <w:r w:rsidRPr="007E0CF7">
              <w:rPr>
                <w:rFonts w:ascii="Verdana" w:hAnsi="Verdana"/>
                <w:sz w:val="18"/>
                <w:szCs w:val="18"/>
              </w:rPr>
              <w:t>rel</w:t>
            </w:r>
            <w:proofErr w:type="spellEnd"/>
            <w:r w:rsidRPr="007E0CF7">
              <w:rPr>
                <w:rFonts w:ascii="Verdana" w:hAnsi="Verdana"/>
                <w:sz w:val="18"/>
                <w:szCs w:val="18"/>
              </w:rPr>
              <w:t>/Space</w:t>
            </w:r>
          </w:p>
        </w:tc>
        <w:tc>
          <w:tcPr>
            <w:tcW w:w="1275" w:type="dxa"/>
            <w:tcBorders>
              <w:bottom w:val="single" w:sz="4" w:space="0" w:color="auto"/>
            </w:tcBorders>
          </w:tcPr>
          <w:p w:rsidR="00691A1A" w:rsidRPr="007E0CF7" w:rsidRDefault="00956A02" w:rsidP="004F1D31">
            <w:pPr>
              <w:spacing w:line="276" w:lineRule="auto"/>
              <w:jc w:val="right"/>
              <w:rPr>
                <w:rFonts w:ascii="Verdana" w:hAnsi="Verdana" w:cs="Verdana"/>
                <w:sz w:val="18"/>
                <w:szCs w:val="18"/>
              </w:rPr>
            </w:pPr>
            <w:r w:rsidRPr="007E0CF7">
              <w:rPr>
                <w:rFonts w:ascii="Verdana" w:hAnsi="Verdana" w:cs="Verdana"/>
                <w:sz w:val="18"/>
                <w:szCs w:val="18"/>
              </w:rPr>
              <w:t>668</w:t>
            </w:r>
          </w:p>
        </w:tc>
        <w:tc>
          <w:tcPr>
            <w:tcW w:w="1275" w:type="dxa"/>
            <w:tcBorders>
              <w:bottom w:val="single" w:sz="4" w:space="0" w:color="auto"/>
            </w:tcBorders>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51</w:t>
            </w:r>
            <w:r w:rsidR="00CF7108">
              <w:rPr>
                <w:rFonts w:ascii="Verdana" w:hAnsi="Verdana"/>
                <w:sz w:val="18"/>
                <w:szCs w:val="18"/>
              </w:rPr>
              <w:t>1</w:t>
            </w:r>
          </w:p>
        </w:tc>
        <w:tc>
          <w:tcPr>
            <w:tcW w:w="1275" w:type="dxa"/>
            <w:tcBorders>
              <w:bottom w:val="single" w:sz="4" w:space="0" w:color="auto"/>
            </w:tcBorders>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+31</w:t>
            </w:r>
            <w:r w:rsidR="00691A1A" w:rsidRPr="007E0CF7">
              <w:rPr>
                <w:rFonts w:ascii="Verdana" w:hAnsi="Verdana"/>
                <w:sz w:val="18"/>
                <w:szCs w:val="18"/>
              </w:rPr>
              <w:t>%</w:t>
            </w:r>
          </w:p>
        </w:tc>
      </w:tr>
      <w:tr w:rsidR="00691A1A" w:rsidRPr="007E0CF7" w:rsidTr="0024066E">
        <w:tc>
          <w:tcPr>
            <w:tcW w:w="4111" w:type="dxa"/>
            <w:tcBorders>
              <w:top w:val="single" w:sz="4" w:space="0" w:color="auto"/>
            </w:tcBorders>
          </w:tcPr>
          <w:p w:rsidR="00691A1A" w:rsidRPr="007E0CF7" w:rsidRDefault="00691A1A" w:rsidP="00283B18">
            <w:pPr>
              <w:spacing w:line="276" w:lineRule="auto"/>
              <w:rPr>
                <w:rFonts w:ascii="Verdana" w:hAnsi="Verdana" w:cs="Verdana"/>
                <w:sz w:val="18"/>
                <w:szCs w:val="18"/>
              </w:rPr>
            </w:pPr>
          </w:p>
        </w:tc>
        <w:tc>
          <w:tcPr>
            <w:tcW w:w="1275" w:type="dxa"/>
            <w:tcBorders>
              <w:top w:val="single" w:sz="4" w:space="0" w:color="auto"/>
            </w:tcBorders>
          </w:tcPr>
          <w:p w:rsidR="00691A1A" w:rsidRPr="007E0CF7" w:rsidRDefault="00691A1A" w:rsidP="00283B18">
            <w:pPr>
              <w:spacing w:line="276" w:lineRule="auto"/>
              <w:rPr>
                <w:rFonts w:ascii="Verdana" w:hAnsi="Verdana" w:cs="Verdana"/>
                <w:sz w:val="18"/>
                <w:szCs w:val="18"/>
              </w:rPr>
            </w:pPr>
          </w:p>
        </w:tc>
        <w:tc>
          <w:tcPr>
            <w:tcW w:w="1275" w:type="dxa"/>
            <w:tcBorders>
              <w:top w:val="single" w:sz="4" w:space="0" w:color="auto"/>
            </w:tcBorders>
          </w:tcPr>
          <w:p w:rsidR="00691A1A" w:rsidRPr="007E0CF7" w:rsidRDefault="00691A1A" w:rsidP="00283B18">
            <w:pPr>
              <w:spacing w:line="276" w:lineRule="auto"/>
              <w:rPr>
                <w:rFonts w:ascii="Verdana" w:hAnsi="Verdana" w:cs="Verdana"/>
                <w:sz w:val="18"/>
                <w:szCs w:val="18"/>
              </w:rPr>
            </w:pPr>
          </w:p>
        </w:tc>
        <w:tc>
          <w:tcPr>
            <w:tcW w:w="1275" w:type="dxa"/>
            <w:tcBorders>
              <w:top w:val="single" w:sz="4" w:space="0" w:color="auto"/>
            </w:tcBorders>
          </w:tcPr>
          <w:p w:rsidR="00691A1A" w:rsidRPr="007E0CF7" w:rsidRDefault="00691A1A" w:rsidP="00283B18">
            <w:pPr>
              <w:spacing w:line="276" w:lineRule="auto"/>
              <w:rPr>
                <w:rFonts w:ascii="Verdana" w:hAnsi="Verdana" w:cs="Verdana"/>
                <w:sz w:val="18"/>
                <w:szCs w:val="18"/>
              </w:rPr>
            </w:pPr>
          </w:p>
        </w:tc>
      </w:tr>
      <w:tr w:rsidR="00691A1A" w:rsidRPr="007E0CF7" w:rsidTr="0024066E">
        <w:tc>
          <w:tcPr>
            <w:tcW w:w="4111" w:type="dxa"/>
          </w:tcPr>
          <w:p w:rsidR="00691A1A" w:rsidRPr="007E0CF7" w:rsidRDefault="00691A1A" w:rsidP="00283B18">
            <w:pPr>
              <w:spacing w:line="276" w:lineRule="auto"/>
              <w:rPr>
                <w:rFonts w:ascii="Verdana" w:hAnsi="Verdana" w:cs="Verdana"/>
                <w:b/>
                <w:bCs/>
                <w:sz w:val="18"/>
                <w:szCs w:val="18"/>
              </w:rPr>
            </w:pPr>
            <w:r w:rsidRPr="007E0CF7">
              <w:rPr>
                <w:rFonts w:ascii="Verdana" w:hAnsi="Verdana"/>
                <w:b/>
                <w:sz w:val="18"/>
                <w:szCs w:val="18"/>
              </w:rPr>
              <w:t>Total</w:t>
            </w:r>
          </w:p>
        </w:tc>
        <w:tc>
          <w:tcPr>
            <w:tcW w:w="1275" w:type="dxa"/>
          </w:tcPr>
          <w:p w:rsidR="00691A1A" w:rsidRPr="007E0CF7" w:rsidRDefault="00691A1A" w:rsidP="00283B18">
            <w:pPr>
              <w:spacing w:line="276" w:lineRule="auto"/>
              <w:rPr>
                <w:rFonts w:ascii="Verdana" w:hAnsi="Verdana" w:cs="Verdana"/>
                <w:b/>
                <w:bCs/>
                <w:sz w:val="18"/>
                <w:szCs w:val="18"/>
              </w:rPr>
            </w:pPr>
            <w:r w:rsidRPr="007E0CF7">
              <w:rPr>
                <w:rFonts w:ascii="Verdana" w:hAnsi="Verdana"/>
                <w:b/>
                <w:sz w:val="18"/>
                <w:szCs w:val="18"/>
              </w:rPr>
              <w:t>1</w:t>
            </w:r>
            <w:r w:rsidR="00956A02" w:rsidRPr="007E0CF7">
              <w:rPr>
                <w:rFonts w:ascii="Verdana" w:hAnsi="Verdana"/>
                <w:b/>
                <w:sz w:val="18"/>
                <w:szCs w:val="18"/>
              </w:rPr>
              <w:t>0,250</w:t>
            </w:r>
          </w:p>
        </w:tc>
        <w:tc>
          <w:tcPr>
            <w:tcW w:w="1275" w:type="dxa"/>
          </w:tcPr>
          <w:p w:rsidR="00691A1A" w:rsidRPr="007E0CF7" w:rsidRDefault="00956A02" w:rsidP="00283B18">
            <w:pPr>
              <w:spacing w:line="276" w:lineRule="auto"/>
              <w:rPr>
                <w:rFonts w:ascii="Verdana" w:hAnsi="Verdana" w:cs="Verdana"/>
                <w:b/>
                <w:bCs/>
                <w:sz w:val="18"/>
                <w:szCs w:val="18"/>
              </w:rPr>
            </w:pPr>
            <w:r w:rsidRPr="007E0CF7">
              <w:rPr>
                <w:rFonts w:ascii="Verdana" w:hAnsi="Verdana"/>
                <w:b/>
                <w:sz w:val="18"/>
                <w:szCs w:val="18"/>
              </w:rPr>
              <w:t>9,971</w:t>
            </w:r>
          </w:p>
        </w:tc>
        <w:tc>
          <w:tcPr>
            <w:tcW w:w="1275" w:type="dxa"/>
          </w:tcPr>
          <w:p w:rsidR="00691A1A" w:rsidRPr="007E0CF7" w:rsidRDefault="00956A02" w:rsidP="00283B18">
            <w:pPr>
              <w:spacing w:line="276" w:lineRule="auto"/>
              <w:rPr>
                <w:rFonts w:ascii="Verdana" w:hAnsi="Verdana" w:cs="Verdana"/>
                <w:b/>
                <w:bCs/>
                <w:sz w:val="18"/>
                <w:szCs w:val="18"/>
              </w:rPr>
            </w:pPr>
            <w:r w:rsidRPr="007E0CF7">
              <w:rPr>
                <w:rFonts w:ascii="Verdana" w:hAnsi="Verdana"/>
                <w:b/>
                <w:sz w:val="18"/>
                <w:szCs w:val="18"/>
              </w:rPr>
              <w:t>+3</w:t>
            </w:r>
            <w:r w:rsidR="00691A1A" w:rsidRPr="007E0CF7">
              <w:rPr>
                <w:rFonts w:ascii="Verdana" w:hAnsi="Verdana"/>
                <w:b/>
                <w:sz w:val="18"/>
                <w:szCs w:val="18"/>
              </w:rPr>
              <w:t>%</w:t>
            </w:r>
          </w:p>
        </w:tc>
      </w:tr>
    </w:tbl>
    <w:p w:rsidR="00066D20" w:rsidRPr="00066D20" w:rsidRDefault="00066D20" w:rsidP="00283B18">
      <w:pPr>
        <w:spacing w:line="276" w:lineRule="auto"/>
        <w:rPr>
          <w:rFonts w:ascii="Verdana" w:hAnsi="Verdana" w:cs="Verdana"/>
          <w:sz w:val="18"/>
          <w:szCs w:val="18"/>
        </w:rPr>
      </w:pPr>
      <w:r w:rsidRPr="00066D20">
        <w:rPr>
          <w:rFonts w:ascii="Verdana" w:hAnsi="Verdana" w:cs="Verdana"/>
          <w:sz w:val="18"/>
          <w:szCs w:val="18"/>
        </w:rPr>
        <w:lastRenderedPageBreak/>
        <w:t>The increase in the automotive market is mainly due to the announced new orders and growth of recurring business of running projects. Industrial market with a slight decrease from 2014 to 2015 but a stable growth over the year</w:t>
      </w:r>
      <w:r w:rsidR="008462F2">
        <w:rPr>
          <w:rFonts w:ascii="Verdana" w:hAnsi="Verdana" w:cs="Verdana"/>
          <w:sz w:val="18"/>
          <w:szCs w:val="18"/>
        </w:rPr>
        <w:t>.</w:t>
      </w:r>
      <w:r w:rsidRPr="00066D20">
        <w:rPr>
          <w:rFonts w:ascii="Verdana" w:hAnsi="Verdana" w:cs="Verdana"/>
          <w:sz w:val="18"/>
          <w:szCs w:val="18"/>
        </w:rPr>
        <w:t xml:space="preserve"> </w:t>
      </w:r>
      <w:r>
        <w:rPr>
          <w:rFonts w:ascii="Verdana" w:hAnsi="Verdana" w:cs="Verdana"/>
          <w:sz w:val="18"/>
          <w:szCs w:val="18"/>
        </w:rPr>
        <w:t xml:space="preserve">In this segment we started several projects </w:t>
      </w:r>
      <w:r w:rsidR="008462F2">
        <w:rPr>
          <w:rFonts w:ascii="Verdana" w:hAnsi="Verdana" w:cs="Verdana"/>
          <w:sz w:val="18"/>
          <w:szCs w:val="18"/>
        </w:rPr>
        <w:t>which will create growing and recurring revenue for the coming years. Hi-</w:t>
      </w:r>
      <w:proofErr w:type="spellStart"/>
      <w:r w:rsidR="008462F2">
        <w:rPr>
          <w:rFonts w:ascii="Verdana" w:hAnsi="Verdana" w:cs="Verdana"/>
          <w:sz w:val="18"/>
          <w:szCs w:val="18"/>
        </w:rPr>
        <w:t>rel</w:t>
      </w:r>
      <w:proofErr w:type="spellEnd"/>
      <w:r w:rsidR="008462F2">
        <w:rPr>
          <w:rFonts w:ascii="Verdana" w:hAnsi="Verdana" w:cs="Verdana"/>
          <w:sz w:val="18"/>
          <w:szCs w:val="18"/>
        </w:rPr>
        <w:t>/space market incr</w:t>
      </w:r>
      <w:r w:rsidR="0072255D">
        <w:rPr>
          <w:rFonts w:ascii="Verdana" w:hAnsi="Verdana" w:cs="Verdana"/>
          <w:sz w:val="18"/>
          <w:szCs w:val="18"/>
        </w:rPr>
        <w:t>eases significantly due to several</w:t>
      </w:r>
      <w:r w:rsidR="008462F2">
        <w:rPr>
          <w:rFonts w:ascii="Verdana" w:hAnsi="Verdana" w:cs="Verdana"/>
          <w:sz w:val="18"/>
          <w:szCs w:val="18"/>
        </w:rPr>
        <w:t xml:space="preserve"> new and some running projects. This </w:t>
      </w:r>
      <w:r w:rsidR="0072255D">
        <w:rPr>
          <w:rFonts w:ascii="Verdana" w:hAnsi="Verdana" w:cs="Verdana"/>
          <w:sz w:val="18"/>
          <w:szCs w:val="18"/>
        </w:rPr>
        <w:t xml:space="preserve">growth </w:t>
      </w:r>
      <w:r w:rsidR="008462F2">
        <w:rPr>
          <w:rFonts w:ascii="Verdana" w:hAnsi="Verdana" w:cs="Verdana"/>
          <w:sz w:val="18"/>
          <w:szCs w:val="18"/>
        </w:rPr>
        <w:t xml:space="preserve">will continue into next years. </w:t>
      </w:r>
    </w:p>
    <w:p w:rsidR="00691A1A" w:rsidRPr="007E0CF7" w:rsidRDefault="00691A1A" w:rsidP="00283B18">
      <w:pPr>
        <w:spacing w:line="276" w:lineRule="auto"/>
        <w:rPr>
          <w:rFonts w:ascii="Verdana" w:hAnsi="Verdana" w:cs="Verdana"/>
          <w:sz w:val="18"/>
          <w:szCs w:val="18"/>
          <w:highlight w:val="yellow"/>
        </w:rPr>
      </w:pPr>
    </w:p>
    <w:p w:rsidR="00691A1A" w:rsidRPr="007E0CF7" w:rsidRDefault="00691A1A" w:rsidP="00283B18">
      <w:pPr>
        <w:spacing w:line="276" w:lineRule="auto"/>
        <w:rPr>
          <w:rFonts w:ascii="Verdana" w:hAnsi="Verdana" w:cs="Verdana"/>
          <w:bCs/>
          <w:color w:val="000000"/>
          <w:sz w:val="18"/>
          <w:szCs w:val="18"/>
        </w:rPr>
      </w:pPr>
      <w:r w:rsidRPr="007E0CF7">
        <w:rPr>
          <w:rFonts w:ascii="Verdana" w:hAnsi="Verdana"/>
          <w:color w:val="000000"/>
          <w:sz w:val="18"/>
          <w:szCs w:val="18"/>
        </w:rPr>
        <w:t>The sales results of the business units were as follows:</w:t>
      </w:r>
    </w:p>
    <w:p w:rsidR="00691A1A" w:rsidRPr="007E0CF7" w:rsidRDefault="00691A1A" w:rsidP="00283B18">
      <w:pPr>
        <w:spacing w:line="276" w:lineRule="auto"/>
        <w:rPr>
          <w:rFonts w:ascii="Verdana" w:hAnsi="Verdana" w:cs="Verdana"/>
          <w:b/>
          <w:bCs/>
          <w:color w:val="000000"/>
          <w:sz w:val="18"/>
          <w:szCs w:val="18"/>
        </w:rPr>
      </w:pPr>
    </w:p>
    <w:tbl>
      <w:tblPr>
        <w:tblW w:w="7905" w:type="dxa"/>
        <w:tblLook w:val="00A0"/>
      </w:tblPr>
      <w:tblGrid>
        <w:gridCol w:w="3936"/>
        <w:gridCol w:w="1455"/>
        <w:gridCol w:w="1380"/>
        <w:gridCol w:w="1134"/>
      </w:tblGrid>
      <w:tr w:rsidR="00691A1A" w:rsidRPr="007E0CF7" w:rsidTr="008C1A6B">
        <w:tc>
          <w:tcPr>
            <w:tcW w:w="3936" w:type="dxa"/>
            <w:tcBorders>
              <w:bottom w:val="single" w:sz="4" w:space="0" w:color="auto"/>
            </w:tcBorders>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(x EUR 1,000)</w:t>
            </w:r>
          </w:p>
        </w:tc>
        <w:tc>
          <w:tcPr>
            <w:tcW w:w="1455" w:type="dxa"/>
            <w:tcBorders>
              <w:bottom w:val="single" w:sz="4" w:space="0" w:color="auto"/>
            </w:tcBorders>
          </w:tcPr>
          <w:p w:rsidR="00691A1A" w:rsidRPr="007E0CF7" w:rsidRDefault="00691A1A" w:rsidP="004F1D31">
            <w:pPr>
              <w:spacing w:line="276" w:lineRule="auto"/>
              <w:ind w:left="-250"/>
              <w:jc w:val="right"/>
              <w:rPr>
                <w:rFonts w:ascii="Verdana" w:hAnsi="Verdana" w:cs="Verdana"/>
                <w:sz w:val="18"/>
                <w:szCs w:val="18"/>
              </w:rPr>
            </w:pPr>
            <w:r w:rsidRPr="007E0CF7">
              <w:rPr>
                <w:rFonts w:ascii="Verdana" w:hAnsi="Verdana"/>
                <w:sz w:val="18"/>
                <w:szCs w:val="18"/>
              </w:rPr>
              <w:t>201</w:t>
            </w:r>
            <w:r w:rsidR="00956A02" w:rsidRPr="007E0CF7">
              <w:rPr>
                <w:rFonts w:ascii="Verdana" w:hAnsi="Verdana"/>
                <w:sz w:val="18"/>
                <w:szCs w:val="18"/>
              </w:rPr>
              <w:t>5</w:t>
            </w:r>
          </w:p>
        </w:tc>
        <w:tc>
          <w:tcPr>
            <w:tcW w:w="1380" w:type="dxa"/>
            <w:tcBorders>
              <w:bottom w:val="single" w:sz="4" w:space="0" w:color="auto"/>
            </w:tcBorders>
          </w:tcPr>
          <w:p w:rsidR="00691A1A" w:rsidRPr="007E0CF7" w:rsidRDefault="00691A1A" w:rsidP="004F1D31">
            <w:pPr>
              <w:spacing w:line="276" w:lineRule="auto"/>
              <w:jc w:val="right"/>
              <w:rPr>
                <w:rFonts w:ascii="Verdana" w:hAnsi="Verdana" w:cs="Verdana"/>
                <w:sz w:val="18"/>
                <w:szCs w:val="18"/>
              </w:rPr>
            </w:pPr>
            <w:r w:rsidRPr="007E0CF7">
              <w:rPr>
                <w:rFonts w:ascii="Verdana" w:hAnsi="Verdana"/>
                <w:sz w:val="18"/>
                <w:szCs w:val="18"/>
              </w:rPr>
              <w:t>201</w:t>
            </w:r>
            <w:r w:rsidR="00956A02" w:rsidRPr="007E0CF7">
              <w:rPr>
                <w:rFonts w:ascii="Verdana" w:hAnsi="Verdana"/>
                <w:sz w:val="18"/>
                <w:szCs w:val="18"/>
              </w:rPr>
              <w:t>4</w:t>
            </w:r>
          </w:p>
        </w:tc>
        <w:tc>
          <w:tcPr>
            <w:tcW w:w="1134" w:type="dxa"/>
            <w:tcBorders>
              <w:bottom w:val="single" w:sz="4" w:space="0" w:color="auto"/>
            </w:tcBorders>
          </w:tcPr>
          <w:p w:rsidR="00691A1A" w:rsidRPr="007E0CF7" w:rsidRDefault="0072255D" w:rsidP="004F1D31">
            <w:pPr>
              <w:spacing w:line="276" w:lineRule="auto"/>
              <w:jc w:val="right"/>
              <w:rPr>
                <w:rFonts w:ascii="Verdana" w:hAnsi="Verdana" w:cs="Verdana"/>
                <w:sz w:val="18"/>
                <w:szCs w:val="18"/>
              </w:rPr>
            </w:pPr>
            <w:r>
              <w:rPr>
                <w:rFonts w:ascii="Verdana" w:hAnsi="Verdana"/>
                <w:sz w:val="18"/>
                <w:szCs w:val="18"/>
              </w:rPr>
              <w:t>a</w:t>
            </w:r>
            <w:r w:rsidR="00691A1A" w:rsidRPr="007E0CF7">
              <w:rPr>
                <w:rFonts w:ascii="Verdana" w:hAnsi="Verdana"/>
                <w:sz w:val="18"/>
                <w:szCs w:val="18"/>
              </w:rPr>
              <w:t>pprox.</w:t>
            </w:r>
            <w:r w:rsidR="00691A1A" w:rsidRPr="007E0CF7">
              <w:rPr>
                <w:rFonts w:ascii="Verdana" w:hAnsi="Verdana" w:cs="Verdana"/>
                <w:sz w:val="18"/>
                <w:szCs w:val="18"/>
              </w:rPr>
              <w:br/>
            </w:r>
            <w:r w:rsidR="00691A1A" w:rsidRPr="007E0CF7">
              <w:rPr>
                <w:rFonts w:ascii="Verdana" w:hAnsi="Verdana"/>
                <w:sz w:val="18"/>
                <w:szCs w:val="18"/>
              </w:rPr>
              <w:t>change</w:t>
            </w:r>
          </w:p>
        </w:tc>
      </w:tr>
      <w:tr w:rsidR="00691A1A" w:rsidRPr="007E0CF7" w:rsidTr="008C1A6B">
        <w:tc>
          <w:tcPr>
            <w:tcW w:w="3936" w:type="dxa"/>
            <w:tcBorders>
              <w:top w:val="single" w:sz="4" w:space="0" w:color="auto"/>
            </w:tcBorders>
          </w:tcPr>
          <w:p w:rsidR="00691A1A" w:rsidRPr="007E0CF7" w:rsidRDefault="00691A1A" w:rsidP="00283B18">
            <w:pPr>
              <w:spacing w:line="276" w:lineRule="auto"/>
              <w:rPr>
                <w:rFonts w:ascii="Verdana" w:hAnsi="Verdana" w:cs="Verdana"/>
                <w:sz w:val="18"/>
                <w:szCs w:val="18"/>
              </w:rPr>
            </w:pPr>
          </w:p>
        </w:tc>
        <w:tc>
          <w:tcPr>
            <w:tcW w:w="1455" w:type="dxa"/>
            <w:tcBorders>
              <w:top w:val="single" w:sz="4" w:space="0" w:color="auto"/>
            </w:tcBorders>
          </w:tcPr>
          <w:p w:rsidR="00691A1A" w:rsidRPr="007E0CF7" w:rsidRDefault="00691A1A" w:rsidP="004F1D31">
            <w:pPr>
              <w:spacing w:line="276" w:lineRule="auto"/>
              <w:ind w:left="-250"/>
              <w:jc w:val="right"/>
              <w:rPr>
                <w:rFonts w:ascii="Verdana" w:hAnsi="Verdana" w:cs="Verdana"/>
                <w:sz w:val="18"/>
                <w:szCs w:val="18"/>
              </w:rPr>
            </w:pPr>
          </w:p>
        </w:tc>
        <w:tc>
          <w:tcPr>
            <w:tcW w:w="1380" w:type="dxa"/>
            <w:tcBorders>
              <w:top w:val="single" w:sz="4" w:space="0" w:color="auto"/>
            </w:tcBorders>
          </w:tcPr>
          <w:p w:rsidR="00691A1A" w:rsidRPr="007E0CF7" w:rsidRDefault="00691A1A" w:rsidP="004F1D31">
            <w:pPr>
              <w:spacing w:line="276" w:lineRule="auto"/>
              <w:jc w:val="right"/>
              <w:rPr>
                <w:rFonts w:ascii="Verdana" w:hAnsi="Verdana" w:cs="Verdana"/>
                <w:sz w:val="18"/>
                <w:szCs w:val="18"/>
              </w:rPr>
            </w:pPr>
          </w:p>
        </w:tc>
        <w:tc>
          <w:tcPr>
            <w:tcW w:w="1134" w:type="dxa"/>
            <w:tcBorders>
              <w:top w:val="single" w:sz="4" w:space="0" w:color="auto"/>
            </w:tcBorders>
          </w:tcPr>
          <w:p w:rsidR="00691A1A" w:rsidRPr="007E0CF7" w:rsidRDefault="00691A1A" w:rsidP="004F1D31">
            <w:pPr>
              <w:spacing w:line="276" w:lineRule="auto"/>
              <w:jc w:val="right"/>
              <w:rPr>
                <w:rFonts w:ascii="Verdana" w:hAnsi="Verdana" w:cs="Verdana"/>
                <w:sz w:val="18"/>
                <w:szCs w:val="18"/>
              </w:rPr>
            </w:pPr>
          </w:p>
        </w:tc>
      </w:tr>
      <w:tr w:rsidR="00691A1A" w:rsidRPr="007E0CF7" w:rsidTr="008C1A6B">
        <w:tc>
          <w:tcPr>
            <w:tcW w:w="3936" w:type="dxa"/>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Test</w:t>
            </w:r>
          </w:p>
        </w:tc>
        <w:tc>
          <w:tcPr>
            <w:tcW w:w="1455" w:type="dxa"/>
          </w:tcPr>
          <w:p w:rsidR="00691A1A" w:rsidRPr="007E0CF7" w:rsidRDefault="00956A02" w:rsidP="004F1D31">
            <w:pPr>
              <w:spacing w:line="276" w:lineRule="auto"/>
              <w:ind w:left="-250"/>
              <w:jc w:val="right"/>
              <w:rPr>
                <w:rFonts w:ascii="Verdana" w:hAnsi="Verdana" w:cs="Verdana"/>
                <w:sz w:val="18"/>
                <w:szCs w:val="18"/>
              </w:rPr>
            </w:pPr>
            <w:r w:rsidRPr="007E0CF7">
              <w:rPr>
                <w:rFonts w:ascii="Verdana" w:hAnsi="Verdana"/>
                <w:sz w:val="18"/>
                <w:szCs w:val="18"/>
              </w:rPr>
              <w:t>3,676</w:t>
            </w:r>
          </w:p>
        </w:tc>
        <w:tc>
          <w:tcPr>
            <w:tcW w:w="1380"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3,503</w:t>
            </w:r>
          </w:p>
        </w:tc>
        <w:tc>
          <w:tcPr>
            <w:tcW w:w="1134"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+5</w:t>
            </w:r>
            <w:r w:rsidR="00691A1A" w:rsidRPr="007E0CF7">
              <w:rPr>
                <w:rFonts w:ascii="Verdana" w:hAnsi="Verdana"/>
                <w:sz w:val="18"/>
                <w:szCs w:val="18"/>
              </w:rPr>
              <w:t>%</w:t>
            </w:r>
          </w:p>
        </w:tc>
      </w:tr>
      <w:tr w:rsidR="00691A1A" w:rsidRPr="007E0CF7" w:rsidTr="008C1A6B">
        <w:tc>
          <w:tcPr>
            <w:tcW w:w="3936" w:type="dxa"/>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Supply Chain Management</w:t>
            </w:r>
          </w:p>
        </w:tc>
        <w:tc>
          <w:tcPr>
            <w:tcW w:w="1455" w:type="dxa"/>
          </w:tcPr>
          <w:p w:rsidR="00691A1A" w:rsidRPr="007E0CF7" w:rsidRDefault="00956A02" w:rsidP="004F1D31">
            <w:pPr>
              <w:spacing w:line="276" w:lineRule="auto"/>
              <w:ind w:left="-250"/>
              <w:jc w:val="right"/>
              <w:rPr>
                <w:rFonts w:ascii="Verdana" w:hAnsi="Verdana" w:cs="Verdana"/>
                <w:sz w:val="18"/>
                <w:szCs w:val="18"/>
              </w:rPr>
            </w:pPr>
            <w:r w:rsidRPr="007E0CF7">
              <w:rPr>
                <w:rFonts w:ascii="Verdana" w:hAnsi="Verdana"/>
                <w:sz w:val="18"/>
                <w:szCs w:val="18"/>
              </w:rPr>
              <w:t>2,348</w:t>
            </w:r>
          </w:p>
        </w:tc>
        <w:tc>
          <w:tcPr>
            <w:tcW w:w="1380"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2,850</w:t>
            </w:r>
          </w:p>
        </w:tc>
        <w:tc>
          <w:tcPr>
            <w:tcW w:w="1134"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-18</w:t>
            </w:r>
            <w:r w:rsidR="00691A1A" w:rsidRPr="007E0CF7">
              <w:rPr>
                <w:rFonts w:ascii="Verdana" w:hAnsi="Verdana"/>
                <w:sz w:val="18"/>
                <w:szCs w:val="18"/>
              </w:rPr>
              <w:t>%</w:t>
            </w:r>
          </w:p>
        </w:tc>
      </w:tr>
      <w:tr w:rsidR="00691A1A" w:rsidRPr="007E0CF7" w:rsidTr="008C1A6B">
        <w:tc>
          <w:tcPr>
            <w:tcW w:w="3936" w:type="dxa"/>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Failure &amp; Technology Analysis</w:t>
            </w:r>
          </w:p>
        </w:tc>
        <w:tc>
          <w:tcPr>
            <w:tcW w:w="1455" w:type="dxa"/>
          </w:tcPr>
          <w:p w:rsidR="00691A1A" w:rsidRPr="007E0CF7" w:rsidRDefault="00956A02" w:rsidP="004F1D31">
            <w:pPr>
              <w:spacing w:line="276" w:lineRule="auto"/>
              <w:ind w:left="-250"/>
              <w:jc w:val="right"/>
              <w:rPr>
                <w:rFonts w:ascii="Verdana" w:hAnsi="Verdana" w:cs="Verdana"/>
                <w:sz w:val="18"/>
                <w:szCs w:val="18"/>
              </w:rPr>
            </w:pPr>
            <w:r w:rsidRPr="007E0CF7">
              <w:rPr>
                <w:rFonts w:ascii="Verdana" w:hAnsi="Verdana"/>
                <w:sz w:val="18"/>
                <w:szCs w:val="18"/>
              </w:rPr>
              <w:t>1,655</w:t>
            </w:r>
          </w:p>
        </w:tc>
        <w:tc>
          <w:tcPr>
            <w:tcW w:w="1380"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1,517</w:t>
            </w:r>
          </w:p>
        </w:tc>
        <w:tc>
          <w:tcPr>
            <w:tcW w:w="1134"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+9%</w:t>
            </w:r>
          </w:p>
        </w:tc>
      </w:tr>
      <w:tr w:rsidR="00691A1A" w:rsidRPr="007E0CF7" w:rsidTr="008C1A6B">
        <w:tc>
          <w:tcPr>
            <w:tcW w:w="3936" w:type="dxa"/>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Test Engineering</w:t>
            </w:r>
          </w:p>
        </w:tc>
        <w:tc>
          <w:tcPr>
            <w:tcW w:w="1455" w:type="dxa"/>
          </w:tcPr>
          <w:p w:rsidR="00691A1A" w:rsidRPr="007E0CF7" w:rsidRDefault="00956A02" w:rsidP="004F1D31">
            <w:pPr>
              <w:spacing w:line="276" w:lineRule="auto"/>
              <w:ind w:left="-250"/>
              <w:jc w:val="right"/>
              <w:rPr>
                <w:rFonts w:ascii="Verdana" w:hAnsi="Verdana" w:cs="Verdana"/>
                <w:sz w:val="18"/>
                <w:szCs w:val="18"/>
              </w:rPr>
            </w:pPr>
            <w:r w:rsidRPr="007E0CF7">
              <w:rPr>
                <w:rFonts w:ascii="Verdana" w:hAnsi="Verdana"/>
                <w:sz w:val="18"/>
                <w:szCs w:val="18"/>
              </w:rPr>
              <w:t>437</w:t>
            </w:r>
          </w:p>
        </w:tc>
        <w:tc>
          <w:tcPr>
            <w:tcW w:w="1380"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516</w:t>
            </w:r>
          </w:p>
        </w:tc>
        <w:tc>
          <w:tcPr>
            <w:tcW w:w="1134" w:type="dxa"/>
          </w:tcPr>
          <w:p w:rsidR="00691A1A" w:rsidRPr="007E0CF7" w:rsidRDefault="00691A1A" w:rsidP="004F1D31">
            <w:pPr>
              <w:spacing w:line="276" w:lineRule="auto"/>
              <w:jc w:val="right"/>
              <w:rPr>
                <w:rFonts w:ascii="Verdana" w:hAnsi="Verdana" w:cs="Verdana"/>
                <w:sz w:val="18"/>
                <w:szCs w:val="18"/>
              </w:rPr>
            </w:pPr>
            <w:r w:rsidRPr="007E0CF7">
              <w:rPr>
                <w:rFonts w:ascii="Verdana" w:hAnsi="Verdana"/>
                <w:sz w:val="18"/>
                <w:szCs w:val="18"/>
              </w:rPr>
              <w:t>-</w:t>
            </w:r>
            <w:r w:rsidR="00956A02" w:rsidRPr="007E0CF7">
              <w:rPr>
                <w:rFonts w:ascii="Verdana" w:hAnsi="Verdana"/>
                <w:sz w:val="18"/>
                <w:szCs w:val="18"/>
              </w:rPr>
              <w:t>15</w:t>
            </w:r>
            <w:r w:rsidRPr="007E0CF7">
              <w:rPr>
                <w:rFonts w:ascii="Verdana" w:hAnsi="Verdana"/>
                <w:sz w:val="18"/>
                <w:szCs w:val="18"/>
              </w:rPr>
              <w:t>%</w:t>
            </w:r>
          </w:p>
        </w:tc>
      </w:tr>
      <w:tr w:rsidR="00691A1A" w:rsidRPr="007E0CF7" w:rsidTr="008C1A6B">
        <w:tc>
          <w:tcPr>
            <w:tcW w:w="3936" w:type="dxa"/>
          </w:tcPr>
          <w:p w:rsidR="00691A1A" w:rsidRPr="007E0CF7" w:rsidRDefault="00691A1A" w:rsidP="00283B18">
            <w:pPr>
              <w:spacing w:line="276" w:lineRule="auto"/>
              <w:rPr>
                <w:rFonts w:ascii="Verdana" w:hAnsi="Verdana" w:cs="Verdana"/>
                <w:sz w:val="18"/>
                <w:szCs w:val="18"/>
              </w:rPr>
            </w:pPr>
            <w:r w:rsidRPr="007E0CF7">
              <w:rPr>
                <w:rFonts w:ascii="Verdana" w:hAnsi="Verdana"/>
                <w:sz w:val="18"/>
                <w:szCs w:val="18"/>
              </w:rPr>
              <w:t>Qualification &amp; Reliability</w:t>
            </w:r>
          </w:p>
        </w:tc>
        <w:tc>
          <w:tcPr>
            <w:tcW w:w="1455" w:type="dxa"/>
          </w:tcPr>
          <w:p w:rsidR="00691A1A" w:rsidRPr="007E0CF7" w:rsidRDefault="00956A02" w:rsidP="004F1D31">
            <w:pPr>
              <w:spacing w:line="276" w:lineRule="auto"/>
              <w:ind w:left="-250"/>
              <w:jc w:val="right"/>
              <w:rPr>
                <w:rFonts w:ascii="Verdana" w:hAnsi="Verdana" w:cs="Verdana"/>
                <w:sz w:val="18"/>
                <w:szCs w:val="18"/>
              </w:rPr>
            </w:pPr>
            <w:r w:rsidRPr="007E0CF7">
              <w:rPr>
                <w:rFonts w:ascii="Verdana" w:hAnsi="Verdana"/>
                <w:sz w:val="18"/>
                <w:szCs w:val="18"/>
              </w:rPr>
              <w:t>2,134</w:t>
            </w:r>
          </w:p>
        </w:tc>
        <w:tc>
          <w:tcPr>
            <w:tcW w:w="1380"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1,585</w:t>
            </w:r>
          </w:p>
        </w:tc>
        <w:tc>
          <w:tcPr>
            <w:tcW w:w="1134" w:type="dxa"/>
          </w:tcPr>
          <w:p w:rsidR="00691A1A" w:rsidRPr="007E0CF7" w:rsidRDefault="00956A02" w:rsidP="004F1D31">
            <w:pPr>
              <w:spacing w:line="276" w:lineRule="auto"/>
              <w:jc w:val="right"/>
              <w:rPr>
                <w:rFonts w:ascii="Verdana" w:hAnsi="Verdana" w:cs="Verdana"/>
                <w:sz w:val="18"/>
                <w:szCs w:val="18"/>
              </w:rPr>
            </w:pPr>
            <w:r w:rsidRPr="007E0CF7">
              <w:rPr>
                <w:rFonts w:ascii="Verdana" w:hAnsi="Verdana"/>
                <w:sz w:val="18"/>
                <w:szCs w:val="18"/>
              </w:rPr>
              <w:t>+35</w:t>
            </w:r>
            <w:r w:rsidR="00691A1A" w:rsidRPr="007E0CF7">
              <w:rPr>
                <w:rFonts w:ascii="Verdana" w:hAnsi="Verdana"/>
                <w:sz w:val="18"/>
                <w:szCs w:val="18"/>
              </w:rPr>
              <w:t>%</w:t>
            </w:r>
          </w:p>
        </w:tc>
      </w:tr>
      <w:tr w:rsidR="00691A1A" w:rsidRPr="007E0CF7" w:rsidTr="008C1A6B">
        <w:tc>
          <w:tcPr>
            <w:tcW w:w="3936" w:type="dxa"/>
            <w:tcBorders>
              <w:top w:val="single" w:sz="4" w:space="0" w:color="auto"/>
            </w:tcBorders>
          </w:tcPr>
          <w:p w:rsidR="00691A1A" w:rsidRPr="007E0CF7" w:rsidRDefault="00691A1A" w:rsidP="00283B18">
            <w:pPr>
              <w:spacing w:line="276" w:lineRule="auto"/>
              <w:rPr>
                <w:rFonts w:ascii="Verdana" w:hAnsi="Verdana" w:cs="Verdana"/>
                <w:sz w:val="18"/>
                <w:szCs w:val="18"/>
              </w:rPr>
            </w:pPr>
          </w:p>
        </w:tc>
        <w:tc>
          <w:tcPr>
            <w:tcW w:w="1455" w:type="dxa"/>
            <w:tcBorders>
              <w:top w:val="single" w:sz="4" w:space="0" w:color="auto"/>
            </w:tcBorders>
          </w:tcPr>
          <w:p w:rsidR="00691A1A" w:rsidRPr="007E0CF7" w:rsidRDefault="00691A1A" w:rsidP="004F1D31">
            <w:pPr>
              <w:spacing w:line="276" w:lineRule="auto"/>
              <w:ind w:left="-250"/>
              <w:jc w:val="right"/>
              <w:rPr>
                <w:rFonts w:ascii="Verdana" w:hAnsi="Verdana" w:cs="Verdana"/>
                <w:sz w:val="18"/>
                <w:szCs w:val="18"/>
              </w:rPr>
            </w:pPr>
          </w:p>
        </w:tc>
        <w:tc>
          <w:tcPr>
            <w:tcW w:w="1380" w:type="dxa"/>
            <w:tcBorders>
              <w:top w:val="single" w:sz="4" w:space="0" w:color="auto"/>
            </w:tcBorders>
          </w:tcPr>
          <w:p w:rsidR="00691A1A" w:rsidRPr="007E0CF7" w:rsidRDefault="00691A1A" w:rsidP="004F1D31">
            <w:pPr>
              <w:spacing w:line="276" w:lineRule="auto"/>
              <w:jc w:val="right"/>
              <w:rPr>
                <w:rFonts w:ascii="Verdana" w:hAnsi="Verdana" w:cs="Verdana"/>
                <w:sz w:val="18"/>
                <w:szCs w:val="18"/>
              </w:rPr>
            </w:pPr>
          </w:p>
        </w:tc>
        <w:tc>
          <w:tcPr>
            <w:tcW w:w="1134" w:type="dxa"/>
            <w:tcBorders>
              <w:top w:val="single" w:sz="4" w:space="0" w:color="auto"/>
            </w:tcBorders>
          </w:tcPr>
          <w:p w:rsidR="00691A1A" w:rsidRPr="007E0CF7" w:rsidRDefault="00691A1A" w:rsidP="004F1D31">
            <w:pPr>
              <w:spacing w:line="276" w:lineRule="auto"/>
              <w:jc w:val="right"/>
              <w:rPr>
                <w:rFonts w:ascii="Verdana" w:hAnsi="Verdana" w:cs="Verdana"/>
                <w:sz w:val="18"/>
                <w:szCs w:val="18"/>
              </w:rPr>
            </w:pPr>
          </w:p>
        </w:tc>
      </w:tr>
      <w:tr w:rsidR="00691A1A" w:rsidRPr="007E0CF7" w:rsidTr="008C1A6B">
        <w:tc>
          <w:tcPr>
            <w:tcW w:w="3936" w:type="dxa"/>
          </w:tcPr>
          <w:p w:rsidR="00691A1A" w:rsidRPr="007E0CF7" w:rsidRDefault="00691A1A" w:rsidP="00283B18">
            <w:pPr>
              <w:spacing w:line="276" w:lineRule="auto"/>
              <w:rPr>
                <w:rFonts w:ascii="Verdana" w:hAnsi="Verdana" w:cs="Verdana"/>
                <w:b/>
                <w:bCs/>
                <w:sz w:val="18"/>
                <w:szCs w:val="18"/>
              </w:rPr>
            </w:pPr>
            <w:r w:rsidRPr="007E0CF7">
              <w:rPr>
                <w:rFonts w:ascii="Verdana" w:hAnsi="Verdana"/>
                <w:b/>
                <w:sz w:val="18"/>
                <w:szCs w:val="18"/>
              </w:rPr>
              <w:t>Total</w:t>
            </w:r>
          </w:p>
        </w:tc>
        <w:tc>
          <w:tcPr>
            <w:tcW w:w="1455" w:type="dxa"/>
          </w:tcPr>
          <w:p w:rsidR="00691A1A" w:rsidRPr="007E0CF7" w:rsidRDefault="00956A02" w:rsidP="004F1D31">
            <w:pPr>
              <w:spacing w:line="276" w:lineRule="auto"/>
              <w:ind w:left="-250"/>
              <w:jc w:val="right"/>
              <w:rPr>
                <w:rFonts w:ascii="Verdana" w:hAnsi="Verdana" w:cs="Verdana"/>
                <w:b/>
                <w:bCs/>
                <w:sz w:val="18"/>
                <w:szCs w:val="18"/>
              </w:rPr>
            </w:pPr>
            <w:r w:rsidRPr="007E0CF7">
              <w:rPr>
                <w:rFonts w:ascii="Verdana" w:hAnsi="Verdana"/>
                <w:b/>
                <w:sz w:val="18"/>
                <w:szCs w:val="18"/>
              </w:rPr>
              <w:t>10,250</w:t>
            </w:r>
          </w:p>
        </w:tc>
        <w:tc>
          <w:tcPr>
            <w:tcW w:w="1380" w:type="dxa"/>
          </w:tcPr>
          <w:p w:rsidR="00691A1A" w:rsidRPr="007E0CF7" w:rsidRDefault="00956A02" w:rsidP="004F1D31">
            <w:pPr>
              <w:spacing w:line="276" w:lineRule="auto"/>
              <w:jc w:val="right"/>
              <w:rPr>
                <w:rFonts w:ascii="Verdana" w:hAnsi="Verdana" w:cs="Verdana"/>
                <w:b/>
                <w:bCs/>
                <w:sz w:val="18"/>
                <w:szCs w:val="18"/>
              </w:rPr>
            </w:pPr>
            <w:r w:rsidRPr="007E0CF7">
              <w:rPr>
                <w:rFonts w:ascii="Verdana" w:hAnsi="Verdana"/>
                <w:b/>
                <w:sz w:val="18"/>
                <w:szCs w:val="18"/>
              </w:rPr>
              <w:t>9,971</w:t>
            </w:r>
          </w:p>
        </w:tc>
        <w:tc>
          <w:tcPr>
            <w:tcW w:w="1134" w:type="dxa"/>
          </w:tcPr>
          <w:p w:rsidR="00691A1A" w:rsidRPr="007E0CF7" w:rsidRDefault="00956A02" w:rsidP="004F1D31">
            <w:pPr>
              <w:spacing w:line="276" w:lineRule="auto"/>
              <w:jc w:val="right"/>
              <w:rPr>
                <w:rFonts w:ascii="Verdana" w:hAnsi="Verdana" w:cs="Verdana"/>
                <w:b/>
                <w:bCs/>
                <w:sz w:val="18"/>
                <w:szCs w:val="18"/>
              </w:rPr>
            </w:pPr>
            <w:r w:rsidRPr="007E0CF7">
              <w:rPr>
                <w:rFonts w:ascii="Verdana" w:hAnsi="Verdana"/>
                <w:b/>
                <w:sz w:val="18"/>
                <w:szCs w:val="18"/>
              </w:rPr>
              <w:t>+3</w:t>
            </w:r>
            <w:r w:rsidR="00691A1A" w:rsidRPr="007E0CF7">
              <w:rPr>
                <w:rFonts w:ascii="Verdana" w:hAnsi="Verdana"/>
                <w:b/>
                <w:sz w:val="18"/>
                <w:szCs w:val="18"/>
              </w:rPr>
              <w:t>%</w:t>
            </w:r>
          </w:p>
        </w:tc>
      </w:tr>
    </w:tbl>
    <w:p w:rsidR="008462F2" w:rsidRPr="007E0CF7" w:rsidRDefault="008462F2" w:rsidP="00283B18">
      <w:pPr>
        <w:autoSpaceDE w:val="0"/>
        <w:autoSpaceDN w:val="0"/>
        <w:adjustRightInd w:val="0"/>
        <w:spacing w:line="276" w:lineRule="auto"/>
        <w:rPr>
          <w:rFonts w:ascii="Verdana" w:hAnsi="Verdana" w:cs="Verdana"/>
          <w:b/>
          <w:bCs/>
          <w:sz w:val="18"/>
          <w:szCs w:val="18"/>
          <w:highlight w:val="yellow"/>
        </w:rPr>
      </w:pPr>
    </w:p>
    <w:p w:rsidR="006F0932" w:rsidRPr="006F0932" w:rsidRDefault="008462F2" w:rsidP="00283B18">
      <w:pPr>
        <w:spacing w:line="276" w:lineRule="auto"/>
        <w:rPr>
          <w:rFonts w:ascii="Verdana" w:hAnsi="Verdana"/>
          <w:b/>
          <w:sz w:val="18"/>
          <w:szCs w:val="18"/>
          <w:highlight w:val="yellow"/>
        </w:rPr>
      </w:pPr>
      <w:r w:rsidRPr="008462F2">
        <w:rPr>
          <w:rFonts w:ascii="Verdana" w:eastAsiaTheme="minorHAnsi" w:hAnsi="Verdana" w:cs="Verdana"/>
          <w:color w:val="000000"/>
          <w:sz w:val="18"/>
          <w:szCs w:val="18"/>
          <w:lang w:val="en-US" w:bidi="ar-SA"/>
        </w:rPr>
        <w:t xml:space="preserve">The growth in the BU Qualification &amp; Reliability Investigation was the result of an increase of qualification orders from automotive, industrial and space customers. The increase in the BU Failure &amp; Technology Analysis was due to the fact that the company has strengthened its reputation in the market and also offers new services. Sales in the BU Test increased as a result of a growing market in existing products. Decrease in sales of the BU Supply Chain Management was related to a temporary market driven slowdown of our main customer. This is expected to recover in 2016. The BU Test </w:t>
      </w:r>
      <w:proofErr w:type="gramStart"/>
      <w:r w:rsidRPr="008462F2">
        <w:rPr>
          <w:rFonts w:ascii="Verdana" w:eastAsiaTheme="minorHAnsi" w:hAnsi="Verdana" w:cs="Verdana"/>
          <w:color w:val="000000"/>
          <w:sz w:val="18"/>
          <w:szCs w:val="18"/>
          <w:lang w:val="en-US" w:bidi="ar-SA"/>
        </w:rPr>
        <w:t>Engineering</w:t>
      </w:r>
      <w:proofErr w:type="gramEnd"/>
      <w:r w:rsidRPr="008462F2">
        <w:rPr>
          <w:rFonts w:ascii="Verdana" w:eastAsiaTheme="minorHAnsi" w:hAnsi="Verdana" w:cs="Verdana"/>
          <w:color w:val="000000"/>
          <w:sz w:val="18"/>
          <w:szCs w:val="18"/>
          <w:lang w:val="en-US" w:bidi="ar-SA"/>
        </w:rPr>
        <w:t xml:space="preserve"> invested effort in the internal development of tools and procedures to prepare the BU Test for the inc</w:t>
      </w:r>
      <w:r w:rsidR="006F0932">
        <w:rPr>
          <w:rFonts w:ascii="Verdana" w:eastAsiaTheme="minorHAnsi" w:hAnsi="Verdana" w:cs="Verdana"/>
          <w:color w:val="000000"/>
          <w:sz w:val="18"/>
          <w:szCs w:val="18"/>
          <w:lang w:val="en-US" w:bidi="ar-SA"/>
        </w:rPr>
        <w:t xml:space="preserve">reasing demand in the future.  </w:t>
      </w:r>
    </w:p>
    <w:p w:rsidR="006F0932" w:rsidRDefault="006F0932" w:rsidP="00283B18">
      <w:pPr>
        <w:spacing w:after="200" w:line="276" w:lineRule="auto"/>
        <w:rPr>
          <w:rFonts w:ascii="Verdana" w:hAnsi="Verdana"/>
          <w:b/>
          <w:sz w:val="18"/>
          <w:szCs w:val="18"/>
        </w:rPr>
      </w:pPr>
    </w:p>
    <w:p w:rsidR="008A7B9D" w:rsidRPr="007E0CF7" w:rsidRDefault="008A7B9D" w:rsidP="00283B18">
      <w:pPr>
        <w:spacing w:after="200" w:line="276" w:lineRule="auto"/>
        <w:rPr>
          <w:rFonts w:ascii="Verdana" w:hAnsi="Verdana"/>
          <w:b/>
          <w:sz w:val="18"/>
          <w:szCs w:val="18"/>
          <w:highlight w:val="yellow"/>
        </w:rPr>
      </w:pPr>
      <w:r w:rsidRPr="007E0CF7">
        <w:rPr>
          <w:rFonts w:ascii="Verdana" w:hAnsi="Verdana"/>
          <w:b/>
          <w:sz w:val="18"/>
          <w:szCs w:val="18"/>
        </w:rPr>
        <w:t>Sales by market segment in the second half of 201</w:t>
      </w:r>
      <w:r w:rsidR="00C625AC" w:rsidRPr="007E0CF7">
        <w:rPr>
          <w:rFonts w:ascii="Verdana" w:hAnsi="Verdana"/>
          <w:b/>
          <w:sz w:val="18"/>
          <w:szCs w:val="18"/>
        </w:rPr>
        <w:t>5 vs. first half of 2015</w:t>
      </w:r>
    </w:p>
    <w:p w:rsidR="008A7B9D" w:rsidRPr="007E0CF7" w:rsidRDefault="008A7B9D" w:rsidP="00283B18">
      <w:pPr>
        <w:spacing w:line="276" w:lineRule="auto"/>
        <w:rPr>
          <w:rFonts w:ascii="Verdana" w:hAnsi="Verdana"/>
          <w:b/>
          <w:sz w:val="18"/>
          <w:szCs w:val="18"/>
        </w:rPr>
      </w:pPr>
    </w:p>
    <w:tbl>
      <w:tblPr>
        <w:tblW w:w="8188" w:type="dxa"/>
        <w:tblLook w:val="04A0"/>
      </w:tblPr>
      <w:tblGrid>
        <w:gridCol w:w="3794"/>
        <w:gridCol w:w="757"/>
        <w:gridCol w:w="802"/>
        <w:gridCol w:w="236"/>
        <w:gridCol w:w="1182"/>
        <w:gridCol w:w="236"/>
        <w:gridCol w:w="1181"/>
      </w:tblGrid>
      <w:tr w:rsidR="00691A1A" w:rsidRPr="007E0CF7" w:rsidTr="004F1D31">
        <w:tc>
          <w:tcPr>
            <w:tcW w:w="3794" w:type="dxa"/>
            <w:vAlign w:val="center"/>
          </w:tcPr>
          <w:p w:rsidR="00691A1A" w:rsidRPr="007E0CF7" w:rsidRDefault="008A7B9D" w:rsidP="00283B18">
            <w:pPr>
              <w:spacing w:line="276" w:lineRule="auto"/>
              <w:rPr>
                <w:rFonts w:ascii="Verdana" w:hAnsi="Verdana"/>
                <w:sz w:val="18"/>
                <w:szCs w:val="18"/>
              </w:rPr>
            </w:pPr>
            <w:r w:rsidRPr="007E0CF7">
              <w:rPr>
                <w:rFonts w:ascii="Verdana" w:hAnsi="Verdana"/>
                <w:sz w:val="18"/>
                <w:szCs w:val="18"/>
              </w:rPr>
              <w:t>(EUR x 1,000)</w:t>
            </w:r>
          </w:p>
        </w:tc>
        <w:tc>
          <w:tcPr>
            <w:tcW w:w="757" w:type="dxa"/>
          </w:tcPr>
          <w:p w:rsidR="00691A1A" w:rsidRPr="007E0CF7" w:rsidRDefault="00691A1A" w:rsidP="00283B18">
            <w:pPr>
              <w:tabs>
                <w:tab w:val="right" w:pos="3960"/>
                <w:tab w:val="right" w:pos="5670"/>
                <w:tab w:val="left" w:pos="7380"/>
                <w:tab w:val="right" w:pos="8460"/>
              </w:tabs>
              <w:spacing w:line="276" w:lineRule="auto"/>
              <w:rPr>
                <w:rFonts w:ascii="Verdana" w:hAnsi="Verdana"/>
                <w:b/>
                <w:bCs/>
                <w:color w:val="000000"/>
                <w:sz w:val="18"/>
                <w:szCs w:val="18"/>
              </w:rPr>
            </w:pPr>
          </w:p>
        </w:tc>
        <w:tc>
          <w:tcPr>
            <w:tcW w:w="802" w:type="dxa"/>
          </w:tcPr>
          <w:p w:rsidR="00691A1A" w:rsidRPr="0072255D" w:rsidRDefault="00691A1A" w:rsidP="00283B18">
            <w:pPr>
              <w:tabs>
                <w:tab w:val="right" w:pos="3960"/>
                <w:tab w:val="right" w:pos="5670"/>
                <w:tab w:val="left" w:pos="7380"/>
                <w:tab w:val="right" w:pos="8460"/>
              </w:tabs>
              <w:spacing w:line="276" w:lineRule="auto"/>
              <w:rPr>
                <w:rFonts w:ascii="Verdana" w:hAnsi="Verdana"/>
                <w:bCs/>
                <w:color w:val="000000"/>
                <w:sz w:val="18"/>
                <w:szCs w:val="18"/>
              </w:rPr>
            </w:pPr>
          </w:p>
        </w:tc>
        <w:tc>
          <w:tcPr>
            <w:tcW w:w="236" w:type="dxa"/>
          </w:tcPr>
          <w:p w:rsidR="00691A1A" w:rsidRPr="0072255D" w:rsidRDefault="00691A1A" w:rsidP="00283B18">
            <w:pPr>
              <w:tabs>
                <w:tab w:val="right" w:pos="3960"/>
                <w:tab w:val="right" w:pos="5670"/>
                <w:tab w:val="left" w:pos="7380"/>
                <w:tab w:val="right" w:pos="8460"/>
              </w:tabs>
              <w:spacing w:line="276" w:lineRule="auto"/>
              <w:rPr>
                <w:rFonts w:ascii="Verdana" w:hAnsi="Verdana"/>
                <w:bCs/>
                <w:color w:val="000000"/>
                <w:sz w:val="18"/>
                <w:szCs w:val="18"/>
              </w:rPr>
            </w:pPr>
          </w:p>
        </w:tc>
        <w:tc>
          <w:tcPr>
            <w:tcW w:w="1182" w:type="dxa"/>
          </w:tcPr>
          <w:p w:rsidR="00691A1A" w:rsidRPr="0072255D" w:rsidRDefault="00691A1A" w:rsidP="00283B18">
            <w:pPr>
              <w:tabs>
                <w:tab w:val="right" w:pos="3960"/>
                <w:tab w:val="right" w:pos="5670"/>
                <w:tab w:val="left" w:pos="7380"/>
                <w:tab w:val="right" w:pos="8460"/>
              </w:tabs>
              <w:spacing w:line="276" w:lineRule="auto"/>
              <w:rPr>
                <w:rFonts w:ascii="Verdana" w:hAnsi="Verdana"/>
                <w:bCs/>
                <w:color w:val="000000"/>
                <w:sz w:val="18"/>
                <w:szCs w:val="18"/>
              </w:rPr>
            </w:pPr>
          </w:p>
        </w:tc>
        <w:tc>
          <w:tcPr>
            <w:tcW w:w="236" w:type="dxa"/>
          </w:tcPr>
          <w:p w:rsidR="00691A1A" w:rsidRPr="0072255D" w:rsidRDefault="00691A1A" w:rsidP="00283B18">
            <w:pPr>
              <w:tabs>
                <w:tab w:val="right" w:pos="3960"/>
                <w:tab w:val="right" w:pos="5670"/>
                <w:tab w:val="left" w:pos="7380"/>
                <w:tab w:val="right" w:pos="8460"/>
              </w:tabs>
              <w:spacing w:line="276" w:lineRule="auto"/>
              <w:rPr>
                <w:rFonts w:ascii="Verdana" w:hAnsi="Verdana"/>
                <w:bCs/>
                <w:color w:val="000000"/>
                <w:sz w:val="18"/>
                <w:szCs w:val="18"/>
              </w:rPr>
            </w:pPr>
          </w:p>
        </w:tc>
        <w:tc>
          <w:tcPr>
            <w:tcW w:w="1181" w:type="dxa"/>
          </w:tcPr>
          <w:p w:rsidR="00691A1A" w:rsidRPr="0072255D" w:rsidRDefault="008A7B9D"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2255D">
              <w:rPr>
                <w:rFonts w:ascii="Verdana" w:hAnsi="Verdana"/>
                <w:color w:val="000000"/>
                <w:sz w:val="18"/>
                <w:szCs w:val="18"/>
              </w:rPr>
              <w:t>approx.</w:t>
            </w:r>
          </w:p>
        </w:tc>
      </w:tr>
      <w:tr w:rsidR="00691A1A" w:rsidRPr="007E0CF7" w:rsidTr="004F1D31">
        <w:tc>
          <w:tcPr>
            <w:tcW w:w="3794" w:type="dxa"/>
            <w:tcBorders>
              <w:bottom w:val="single" w:sz="4" w:space="0" w:color="auto"/>
            </w:tcBorders>
            <w:vAlign w:val="bottom"/>
          </w:tcPr>
          <w:p w:rsidR="00691A1A" w:rsidRPr="007E0CF7" w:rsidRDefault="00691A1A" w:rsidP="00283B18">
            <w:pPr>
              <w:spacing w:line="276" w:lineRule="auto"/>
              <w:rPr>
                <w:rFonts w:ascii="Verdana" w:hAnsi="Verdana"/>
                <w:sz w:val="18"/>
                <w:szCs w:val="18"/>
              </w:rPr>
            </w:pPr>
          </w:p>
        </w:tc>
        <w:tc>
          <w:tcPr>
            <w:tcW w:w="757" w:type="dxa"/>
            <w:tcBorders>
              <w:bottom w:val="single" w:sz="4" w:space="0" w:color="auto"/>
            </w:tcBorders>
          </w:tcPr>
          <w:p w:rsidR="00691A1A" w:rsidRPr="007E0CF7" w:rsidRDefault="00691A1A" w:rsidP="00283B18">
            <w:pPr>
              <w:tabs>
                <w:tab w:val="right" w:pos="3960"/>
                <w:tab w:val="right" w:pos="5670"/>
                <w:tab w:val="left" w:pos="7380"/>
                <w:tab w:val="right" w:pos="8460"/>
              </w:tabs>
              <w:spacing w:line="276" w:lineRule="auto"/>
              <w:rPr>
                <w:rFonts w:ascii="Verdana" w:hAnsi="Verdana"/>
                <w:b/>
                <w:bCs/>
                <w:color w:val="000000"/>
                <w:sz w:val="18"/>
                <w:szCs w:val="18"/>
              </w:rPr>
            </w:pPr>
          </w:p>
        </w:tc>
        <w:tc>
          <w:tcPr>
            <w:tcW w:w="802" w:type="dxa"/>
            <w:tcBorders>
              <w:bottom w:val="single" w:sz="4" w:space="0" w:color="auto"/>
            </w:tcBorders>
          </w:tcPr>
          <w:p w:rsidR="00691A1A" w:rsidRPr="0072255D"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2255D">
              <w:rPr>
                <w:rFonts w:ascii="Verdana" w:hAnsi="Verdana"/>
                <w:color w:val="000000"/>
                <w:sz w:val="18"/>
                <w:szCs w:val="18"/>
              </w:rPr>
              <w:t>HY2</w:t>
            </w:r>
          </w:p>
        </w:tc>
        <w:tc>
          <w:tcPr>
            <w:tcW w:w="236" w:type="dxa"/>
            <w:tcBorders>
              <w:bottom w:val="single" w:sz="4" w:space="0" w:color="auto"/>
            </w:tcBorders>
          </w:tcPr>
          <w:p w:rsidR="00691A1A" w:rsidRPr="0072255D"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tcBorders>
              <w:bottom w:val="single" w:sz="4" w:space="0" w:color="auto"/>
            </w:tcBorders>
          </w:tcPr>
          <w:p w:rsidR="00691A1A" w:rsidRPr="0072255D"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2255D">
              <w:rPr>
                <w:rFonts w:ascii="Verdana" w:hAnsi="Verdana"/>
                <w:color w:val="000000"/>
                <w:sz w:val="18"/>
                <w:szCs w:val="18"/>
              </w:rPr>
              <w:t>HY1</w:t>
            </w:r>
          </w:p>
        </w:tc>
        <w:tc>
          <w:tcPr>
            <w:tcW w:w="236" w:type="dxa"/>
            <w:tcBorders>
              <w:bottom w:val="single" w:sz="4" w:space="0" w:color="auto"/>
            </w:tcBorders>
          </w:tcPr>
          <w:p w:rsidR="00691A1A" w:rsidRPr="0072255D"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1" w:type="dxa"/>
            <w:tcBorders>
              <w:bottom w:val="single" w:sz="4" w:space="0" w:color="auto"/>
            </w:tcBorders>
          </w:tcPr>
          <w:p w:rsidR="00691A1A" w:rsidRPr="0072255D"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2255D">
              <w:rPr>
                <w:rFonts w:ascii="Verdana" w:hAnsi="Verdana"/>
                <w:color w:val="000000"/>
                <w:sz w:val="18"/>
                <w:szCs w:val="18"/>
              </w:rPr>
              <w:t>change</w:t>
            </w:r>
          </w:p>
        </w:tc>
      </w:tr>
      <w:tr w:rsidR="00691A1A" w:rsidRPr="007E0CF7" w:rsidTr="004F1D31">
        <w:tc>
          <w:tcPr>
            <w:tcW w:w="3794" w:type="dxa"/>
            <w:tcBorders>
              <w:top w:val="single" w:sz="4" w:space="0" w:color="auto"/>
            </w:tcBorders>
            <w:vAlign w:val="bottom"/>
          </w:tcPr>
          <w:p w:rsidR="00691A1A" w:rsidRPr="007E0CF7" w:rsidRDefault="00691A1A" w:rsidP="00283B18">
            <w:pPr>
              <w:tabs>
                <w:tab w:val="right" w:pos="3960"/>
                <w:tab w:val="right" w:pos="5670"/>
                <w:tab w:val="left" w:pos="7380"/>
                <w:tab w:val="right" w:pos="8460"/>
              </w:tabs>
              <w:spacing w:line="276" w:lineRule="auto"/>
              <w:rPr>
                <w:rFonts w:ascii="Verdana" w:hAnsi="Verdana"/>
                <w:sz w:val="18"/>
                <w:szCs w:val="18"/>
              </w:rPr>
            </w:pPr>
          </w:p>
        </w:tc>
        <w:tc>
          <w:tcPr>
            <w:tcW w:w="757" w:type="dxa"/>
            <w:tcBorders>
              <w:top w:val="single" w:sz="4" w:space="0" w:color="auto"/>
            </w:tcBorders>
          </w:tcPr>
          <w:p w:rsidR="00691A1A" w:rsidRPr="007E0CF7" w:rsidRDefault="00691A1A" w:rsidP="00283B18">
            <w:pPr>
              <w:tabs>
                <w:tab w:val="right" w:pos="3960"/>
                <w:tab w:val="right" w:pos="5670"/>
                <w:tab w:val="left" w:pos="7380"/>
                <w:tab w:val="right" w:pos="8460"/>
              </w:tabs>
              <w:spacing w:line="276" w:lineRule="auto"/>
              <w:rPr>
                <w:rFonts w:ascii="Verdana" w:hAnsi="Verdana"/>
                <w:b/>
                <w:bCs/>
                <w:color w:val="000000"/>
                <w:sz w:val="18"/>
                <w:szCs w:val="18"/>
              </w:rPr>
            </w:pPr>
          </w:p>
        </w:tc>
        <w:tc>
          <w:tcPr>
            <w:tcW w:w="802" w:type="dxa"/>
            <w:tcBorders>
              <w:top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236" w:type="dxa"/>
            <w:tcBorders>
              <w:top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tcBorders>
              <w:top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236" w:type="dxa"/>
            <w:tcBorders>
              <w:top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1" w:type="dxa"/>
            <w:tcBorders>
              <w:top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r>
      <w:tr w:rsidR="00691A1A" w:rsidRPr="007E0CF7" w:rsidTr="004F1D31">
        <w:tc>
          <w:tcPr>
            <w:tcW w:w="3794" w:type="dxa"/>
            <w:vAlign w:val="bottom"/>
          </w:tcPr>
          <w:p w:rsidR="00691A1A" w:rsidRPr="007E0CF7" w:rsidRDefault="00691A1A" w:rsidP="00283B18">
            <w:pPr>
              <w:tabs>
                <w:tab w:val="right" w:pos="3960"/>
                <w:tab w:val="right" w:pos="5670"/>
                <w:tab w:val="left" w:pos="7380"/>
                <w:tab w:val="right" w:pos="8460"/>
              </w:tabs>
              <w:spacing w:line="276" w:lineRule="auto"/>
              <w:rPr>
                <w:rFonts w:ascii="Verdana" w:hAnsi="Verdana"/>
                <w:sz w:val="18"/>
                <w:szCs w:val="18"/>
              </w:rPr>
            </w:pPr>
            <w:r w:rsidRPr="007E0CF7">
              <w:rPr>
                <w:rFonts w:ascii="Verdana" w:hAnsi="Verdana"/>
                <w:sz w:val="18"/>
                <w:szCs w:val="18"/>
              </w:rPr>
              <w:t>Automotive</w:t>
            </w:r>
          </w:p>
        </w:tc>
        <w:tc>
          <w:tcPr>
            <w:tcW w:w="757" w:type="dxa"/>
          </w:tcPr>
          <w:p w:rsidR="00691A1A" w:rsidRPr="007E0CF7" w:rsidRDefault="00691A1A" w:rsidP="00283B18">
            <w:pPr>
              <w:tabs>
                <w:tab w:val="right" w:pos="3960"/>
                <w:tab w:val="right" w:pos="5670"/>
                <w:tab w:val="left" w:pos="7380"/>
                <w:tab w:val="right" w:pos="8460"/>
              </w:tabs>
              <w:spacing w:line="276" w:lineRule="auto"/>
              <w:rPr>
                <w:rFonts w:ascii="Verdana" w:hAnsi="Verdana"/>
                <w:b/>
                <w:bCs/>
                <w:color w:val="000000"/>
                <w:sz w:val="18"/>
                <w:szCs w:val="18"/>
              </w:rPr>
            </w:pPr>
          </w:p>
        </w:tc>
        <w:tc>
          <w:tcPr>
            <w:tcW w:w="802" w:type="dxa"/>
          </w:tcPr>
          <w:p w:rsidR="00691A1A" w:rsidRPr="007E0CF7" w:rsidRDefault="00C625AC"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1,563</w:t>
            </w:r>
          </w:p>
        </w:tc>
        <w:tc>
          <w:tcPr>
            <w:tcW w:w="236"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1,</w:t>
            </w:r>
            <w:r w:rsidR="00C625AC" w:rsidRPr="007E0CF7">
              <w:rPr>
                <w:rFonts w:ascii="Verdana" w:hAnsi="Verdana"/>
                <w:color w:val="000000"/>
                <w:sz w:val="18"/>
                <w:szCs w:val="18"/>
              </w:rPr>
              <w:t>457</w:t>
            </w:r>
          </w:p>
        </w:tc>
        <w:tc>
          <w:tcPr>
            <w:tcW w:w="236"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1" w:type="dxa"/>
          </w:tcPr>
          <w:p w:rsidR="00691A1A" w:rsidRPr="007E0CF7" w:rsidRDefault="00C625AC"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+7</w:t>
            </w:r>
            <w:r w:rsidR="00691A1A" w:rsidRPr="007E0CF7">
              <w:rPr>
                <w:rFonts w:ascii="Verdana" w:hAnsi="Verdana"/>
                <w:color w:val="000000"/>
                <w:sz w:val="18"/>
                <w:szCs w:val="18"/>
              </w:rPr>
              <w:t>%</w:t>
            </w:r>
          </w:p>
        </w:tc>
      </w:tr>
      <w:tr w:rsidR="00691A1A" w:rsidRPr="007E0CF7" w:rsidTr="004F1D31">
        <w:tc>
          <w:tcPr>
            <w:tcW w:w="3794" w:type="dxa"/>
            <w:vAlign w:val="bottom"/>
          </w:tcPr>
          <w:p w:rsidR="00691A1A" w:rsidRPr="007E0CF7" w:rsidRDefault="00691A1A" w:rsidP="00283B18">
            <w:pPr>
              <w:tabs>
                <w:tab w:val="right" w:pos="3960"/>
                <w:tab w:val="right" w:pos="5670"/>
                <w:tab w:val="left" w:pos="7380"/>
                <w:tab w:val="right" w:pos="8460"/>
              </w:tabs>
              <w:spacing w:line="276" w:lineRule="auto"/>
              <w:rPr>
                <w:rFonts w:ascii="Verdana" w:hAnsi="Verdana"/>
                <w:sz w:val="18"/>
                <w:szCs w:val="18"/>
              </w:rPr>
            </w:pPr>
            <w:r w:rsidRPr="007E0CF7">
              <w:rPr>
                <w:rFonts w:ascii="Verdana" w:hAnsi="Verdana"/>
                <w:sz w:val="18"/>
                <w:szCs w:val="18"/>
              </w:rPr>
              <w:t>Telecom</w:t>
            </w:r>
          </w:p>
        </w:tc>
        <w:tc>
          <w:tcPr>
            <w:tcW w:w="757" w:type="dxa"/>
          </w:tcPr>
          <w:p w:rsidR="00691A1A" w:rsidRPr="007E0CF7" w:rsidRDefault="00691A1A" w:rsidP="00283B18">
            <w:pPr>
              <w:tabs>
                <w:tab w:val="right" w:pos="3960"/>
                <w:tab w:val="right" w:pos="5670"/>
                <w:tab w:val="left" w:pos="7380"/>
                <w:tab w:val="right" w:pos="8460"/>
              </w:tabs>
              <w:spacing w:line="276" w:lineRule="auto"/>
              <w:rPr>
                <w:rFonts w:ascii="Verdana" w:hAnsi="Verdana"/>
                <w:b/>
                <w:bCs/>
                <w:color w:val="000000"/>
                <w:sz w:val="18"/>
                <w:szCs w:val="18"/>
              </w:rPr>
            </w:pPr>
          </w:p>
        </w:tc>
        <w:tc>
          <w:tcPr>
            <w:tcW w:w="802"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1</w:t>
            </w:r>
            <w:r w:rsidR="001D39A5" w:rsidRPr="007E0CF7">
              <w:rPr>
                <w:rFonts w:ascii="Verdana" w:hAnsi="Verdana"/>
                <w:color w:val="000000"/>
                <w:sz w:val="18"/>
                <w:szCs w:val="18"/>
              </w:rPr>
              <w:t>31</w:t>
            </w:r>
          </w:p>
        </w:tc>
        <w:tc>
          <w:tcPr>
            <w:tcW w:w="236"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tcPr>
          <w:p w:rsidR="00691A1A" w:rsidRPr="007E0CF7" w:rsidRDefault="001D39A5"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80</w:t>
            </w:r>
          </w:p>
        </w:tc>
        <w:tc>
          <w:tcPr>
            <w:tcW w:w="236"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1" w:type="dxa"/>
          </w:tcPr>
          <w:p w:rsidR="00691A1A" w:rsidRPr="007E0CF7" w:rsidRDefault="001D39A5"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+64</w:t>
            </w:r>
            <w:r w:rsidR="00691A1A" w:rsidRPr="007E0CF7">
              <w:rPr>
                <w:rFonts w:ascii="Verdana" w:hAnsi="Verdana"/>
                <w:color w:val="000000"/>
                <w:sz w:val="18"/>
                <w:szCs w:val="18"/>
              </w:rPr>
              <w:t>%</w:t>
            </w:r>
          </w:p>
        </w:tc>
      </w:tr>
      <w:tr w:rsidR="00691A1A" w:rsidRPr="007E0CF7" w:rsidTr="004F1D31">
        <w:tc>
          <w:tcPr>
            <w:tcW w:w="3794" w:type="dxa"/>
            <w:vAlign w:val="bottom"/>
          </w:tcPr>
          <w:p w:rsidR="00691A1A" w:rsidRPr="007E0CF7" w:rsidRDefault="00691A1A" w:rsidP="00283B18">
            <w:pPr>
              <w:tabs>
                <w:tab w:val="right" w:pos="3960"/>
                <w:tab w:val="right" w:pos="5670"/>
                <w:tab w:val="left" w:pos="7380"/>
                <w:tab w:val="right" w:pos="8460"/>
              </w:tabs>
              <w:spacing w:line="276" w:lineRule="auto"/>
              <w:rPr>
                <w:rFonts w:ascii="Verdana" w:hAnsi="Verdana"/>
                <w:sz w:val="18"/>
                <w:szCs w:val="18"/>
              </w:rPr>
            </w:pPr>
            <w:r w:rsidRPr="007E0CF7">
              <w:rPr>
                <w:rFonts w:ascii="Verdana" w:hAnsi="Verdana"/>
                <w:sz w:val="18"/>
                <w:szCs w:val="18"/>
              </w:rPr>
              <w:t>Industrial/Medical</w:t>
            </w:r>
          </w:p>
        </w:tc>
        <w:tc>
          <w:tcPr>
            <w:tcW w:w="757" w:type="dxa"/>
          </w:tcPr>
          <w:p w:rsidR="00691A1A" w:rsidRPr="007E0CF7" w:rsidRDefault="00691A1A" w:rsidP="00283B18">
            <w:pPr>
              <w:tabs>
                <w:tab w:val="right" w:pos="3960"/>
                <w:tab w:val="right" w:pos="5670"/>
                <w:tab w:val="left" w:pos="7380"/>
                <w:tab w:val="right" w:pos="8460"/>
              </w:tabs>
              <w:spacing w:line="276" w:lineRule="auto"/>
              <w:rPr>
                <w:rFonts w:ascii="Verdana" w:hAnsi="Verdana"/>
                <w:b/>
                <w:bCs/>
                <w:color w:val="000000"/>
                <w:sz w:val="18"/>
                <w:szCs w:val="18"/>
              </w:rPr>
            </w:pPr>
          </w:p>
        </w:tc>
        <w:tc>
          <w:tcPr>
            <w:tcW w:w="802" w:type="dxa"/>
          </w:tcPr>
          <w:p w:rsidR="00691A1A" w:rsidRPr="007E0CF7" w:rsidRDefault="001D39A5"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2,725</w:t>
            </w:r>
          </w:p>
        </w:tc>
        <w:tc>
          <w:tcPr>
            <w:tcW w:w="236"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2,</w:t>
            </w:r>
            <w:r w:rsidR="001D39A5" w:rsidRPr="007E0CF7">
              <w:rPr>
                <w:rFonts w:ascii="Verdana" w:hAnsi="Verdana"/>
                <w:color w:val="000000"/>
                <w:sz w:val="18"/>
                <w:szCs w:val="18"/>
              </w:rPr>
              <w:t>476</w:t>
            </w:r>
          </w:p>
        </w:tc>
        <w:tc>
          <w:tcPr>
            <w:tcW w:w="236"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1" w:type="dxa"/>
          </w:tcPr>
          <w:p w:rsidR="00691A1A" w:rsidRPr="007E0CF7" w:rsidRDefault="001D39A5"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+10</w:t>
            </w:r>
            <w:r w:rsidR="00691A1A" w:rsidRPr="007E0CF7">
              <w:rPr>
                <w:rFonts w:ascii="Verdana" w:hAnsi="Verdana"/>
                <w:color w:val="000000"/>
                <w:sz w:val="18"/>
                <w:szCs w:val="18"/>
              </w:rPr>
              <w:t>%</w:t>
            </w:r>
          </w:p>
        </w:tc>
      </w:tr>
      <w:tr w:rsidR="00691A1A" w:rsidRPr="007E0CF7" w:rsidTr="004F1D31">
        <w:tc>
          <w:tcPr>
            <w:tcW w:w="3794" w:type="dxa"/>
            <w:vAlign w:val="bottom"/>
          </w:tcPr>
          <w:p w:rsidR="00691A1A" w:rsidRPr="007E0CF7" w:rsidRDefault="007C34E7" w:rsidP="00283B18">
            <w:pPr>
              <w:tabs>
                <w:tab w:val="right" w:pos="3960"/>
                <w:tab w:val="right" w:pos="5670"/>
                <w:tab w:val="left" w:pos="7380"/>
                <w:tab w:val="right" w:pos="8460"/>
              </w:tabs>
              <w:spacing w:line="276" w:lineRule="auto"/>
              <w:rPr>
                <w:rFonts w:ascii="Verdana" w:hAnsi="Verdana"/>
                <w:sz w:val="18"/>
                <w:szCs w:val="18"/>
              </w:rPr>
            </w:pPr>
            <w:r w:rsidRPr="007E0CF7">
              <w:rPr>
                <w:rFonts w:ascii="Verdana" w:hAnsi="Verdana"/>
                <w:sz w:val="18"/>
                <w:szCs w:val="18"/>
              </w:rPr>
              <w:t>Electr</w:t>
            </w:r>
            <w:r>
              <w:rPr>
                <w:rFonts w:ascii="Verdana" w:hAnsi="Verdana"/>
                <w:sz w:val="18"/>
                <w:szCs w:val="18"/>
              </w:rPr>
              <w:t xml:space="preserve">onic </w:t>
            </w:r>
            <w:r w:rsidRPr="007E0CF7">
              <w:rPr>
                <w:rFonts w:ascii="Verdana" w:hAnsi="Verdana"/>
                <w:sz w:val="18"/>
                <w:szCs w:val="18"/>
              </w:rPr>
              <w:t>Data Proc</w:t>
            </w:r>
            <w:r>
              <w:rPr>
                <w:rFonts w:ascii="Verdana" w:hAnsi="Verdana"/>
                <w:sz w:val="18"/>
                <w:szCs w:val="18"/>
              </w:rPr>
              <w:t>essing</w:t>
            </w:r>
          </w:p>
        </w:tc>
        <w:tc>
          <w:tcPr>
            <w:tcW w:w="757" w:type="dxa"/>
          </w:tcPr>
          <w:p w:rsidR="00691A1A" w:rsidRPr="007E0CF7" w:rsidRDefault="00691A1A" w:rsidP="00283B18">
            <w:pPr>
              <w:tabs>
                <w:tab w:val="right" w:pos="3960"/>
                <w:tab w:val="right" w:pos="5670"/>
                <w:tab w:val="left" w:pos="7380"/>
                <w:tab w:val="right" w:pos="8460"/>
              </w:tabs>
              <w:spacing w:line="276" w:lineRule="auto"/>
              <w:rPr>
                <w:rFonts w:ascii="Verdana" w:hAnsi="Verdana"/>
                <w:b/>
                <w:bCs/>
                <w:color w:val="000000"/>
                <w:sz w:val="18"/>
                <w:szCs w:val="18"/>
              </w:rPr>
            </w:pPr>
          </w:p>
        </w:tc>
        <w:tc>
          <w:tcPr>
            <w:tcW w:w="802" w:type="dxa"/>
          </w:tcPr>
          <w:p w:rsidR="00691A1A" w:rsidRPr="007E0CF7" w:rsidRDefault="001D39A5"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292</w:t>
            </w:r>
          </w:p>
        </w:tc>
        <w:tc>
          <w:tcPr>
            <w:tcW w:w="236"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tcPr>
          <w:p w:rsidR="00691A1A" w:rsidRPr="007E0CF7" w:rsidRDefault="001D39A5"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25</w:t>
            </w:r>
            <w:r w:rsidR="00691A1A" w:rsidRPr="007E0CF7">
              <w:rPr>
                <w:rFonts w:ascii="Verdana" w:hAnsi="Verdana"/>
                <w:color w:val="000000"/>
                <w:sz w:val="18"/>
                <w:szCs w:val="18"/>
              </w:rPr>
              <w:t>9</w:t>
            </w:r>
          </w:p>
        </w:tc>
        <w:tc>
          <w:tcPr>
            <w:tcW w:w="236"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1"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w:t>
            </w:r>
            <w:r w:rsidR="001D39A5" w:rsidRPr="007E0CF7">
              <w:rPr>
                <w:rFonts w:ascii="Verdana" w:hAnsi="Verdana"/>
                <w:color w:val="000000"/>
                <w:sz w:val="18"/>
                <w:szCs w:val="18"/>
              </w:rPr>
              <w:t>13</w:t>
            </w:r>
            <w:r w:rsidRPr="007E0CF7">
              <w:rPr>
                <w:rFonts w:ascii="Verdana" w:hAnsi="Verdana"/>
                <w:color w:val="000000"/>
                <w:sz w:val="18"/>
                <w:szCs w:val="18"/>
              </w:rPr>
              <w:t>%</w:t>
            </w:r>
          </w:p>
        </w:tc>
      </w:tr>
      <w:tr w:rsidR="00691A1A" w:rsidRPr="007E0CF7" w:rsidTr="004F1D31">
        <w:tc>
          <w:tcPr>
            <w:tcW w:w="3794" w:type="dxa"/>
            <w:vAlign w:val="bottom"/>
          </w:tcPr>
          <w:p w:rsidR="00691A1A" w:rsidRPr="007E0CF7" w:rsidRDefault="00691A1A" w:rsidP="00283B18">
            <w:pPr>
              <w:tabs>
                <w:tab w:val="right" w:pos="3960"/>
                <w:tab w:val="right" w:pos="5670"/>
                <w:tab w:val="left" w:pos="7380"/>
                <w:tab w:val="right" w:pos="8460"/>
              </w:tabs>
              <w:spacing w:line="276" w:lineRule="auto"/>
              <w:rPr>
                <w:rFonts w:ascii="Verdana" w:hAnsi="Verdana"/>
                <w:sz w:val="18"/>
                <w:szCs w:val="18"/>
              </w:rPr>
            </w:pPr>
            <w:r w:rsidRPr="007E0CF7">
              <w:rPr>
                <w:rFonts w:ascii="Verdana" w:hAnsi="Verdana"/>
                <w:sz w:val="18"/>
                <w:szCs w:val="18"/>
              </w:rPr>
              <w:t>Consumer</w:t>
            </w:r>
          </w:p>
        </w:tc>
        <w:tc>
          <w:tcPr>
            <w:tcW w:w="757" w:type="dxa"/>
          </w:tcPr>
          <w:p w:rsidR="00691A1A" w:rsidRPr="007E0CF7" w:rsidRDefault="00691A1A" w:rsidP="00283B18">
            <w:pPr>
              <w:tabs>
                <w:tab w:val="right" w:pos="3960"/>
                <w:tab w:val="right" w:pos="5670"/>
                <w:tab w:val="left" w:pos="7380"/>
                <w:tab w:val="right" w:pos="8460"/>
              </w:tabs>
              <w:spacing w:line="276" w:lineRule="auto"/>
              <w:rPr>
                <w:rFonts w:ascii="Verdana" w:hAnsi="Verdana"/>
                <w:b/>
                <w:bCs/>
                <w:color w:val="000000"/>
                <w:sz w:val="18"/>
                <w:szCs w:val="18"/>
              </w:rPr>
            </w:pPr>
          </w:p>
        </w:tc>
        <w:tc>
          <w:tcPr>
            <w:tcW w:w="802"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2</w:t>
            </w:r>
            <w:r w:rsidR="001D39A5" w:rsidRPr="007E0CF7">
              <w:rPr>
                <w:rFonts w:ascii="Verdana" w:hAnsi="Verdana"/>
                <w:color w:val="000000"/>
                <w:sz w:val="18"/>
                <w:szCs w:val="18"/>
              </w:rPr>
              <w:t>70</w:t>
            </w:r>
          </w:p>
        </w:tc>
        <w:tc>
          <w:tcPr>
            <w:tcW w:w="236"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tcPr>
          <w:p w:rsidR="00691A1A" w:rsidRPr="007E0CF7" w:rsidRDefault="001D39A5"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329</w:t>
            </w:r>
          </w:p>
        </w:tc>
        <w:tc>
          <w:tcPr>
            <w:tcW w:w="236" w:type="dxa"/>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1" w:type="dxa"/>
          </w:tcPr>
          <w:p w:rsidR="00691A1A" w:rsidRPr="007E0CF7" w:rsidRDefault="001D39A5"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-18</w:t>
            </w:r>
            <w:r w:rsidR="00691A1A" w:rsidRPr="007E0CF7">
              <w:rPr>
                <w:rFonts w:ascii="Verdana" w:hAnsi="Verdana"/>
                <w:color w:val="000000"/>
                <w:sz w:val="18"/>
                <w:szCs w:val="18"/>
              </w:rPr>
              <w:t>%</w:t>
            </w:r>
          </w:p>
        </w:tc>
      </w:tr>
      <w:tr w:rsidR="00691A1A" w:rsidRPr="007E0CF7" w:rsidTr="004F1D31">
        <w:tc>
          <w:tcPr>
            <w:tcW w:w="3794" w:type="dxa"/>
            <w:tcBorders>
              <w:bottom w:val="single" w:sz="4" w:space="0" w:color="auto"/>
            </w:tcBorders>
            <w:vAlign w:val="bottom"/>
          </w:tcPr>
          <w:p w:rsidR="00691A1A" w:rsidRPr="007E0CF7" w:rsidRDefault="00691A1A" w:rsidP="00283B18">
            <w:pPr>
              <w:tabs>
                <w:tab w:val="right" w:pos="3960"/>
                <w:tab w:val="right" w:pos="5670"/>
                <w:tab w:val="left" w:pos="7380"/>
                <w:tab w:val="right" w:pos="8460"/>
              </w:tabs>
              <w:spacing w:line="276" w:lineRule="auto"/>
              <w:rPr>
                <w:rFonts w:ascii="Verdana" w:hAnsi="Verdana"/>
                <w:sz w:val="18"/>
                <w:szCs w:val="18"/>
              </w:rPr>
            </w:pPr>
            <w:r w:rsidRPr="007E0CF7">
              <w:rPr>
                <w:rFonts w:ascii="Verdana" w:hAnsi="Verdana"/>
                <w:sz w:val="18"/>
                <w:szCs w:val="18"/>
              </w:rPr>
              <w:t>Hi-</w:t>
            </w:r>
            <w:proofErr w:type="spellStart"/>
            <w:r w:rsidRPr="007E0CF7">
              <w:rPr>
                <w:rFonts w:ascii="Verdana" w:hAnsi="Verdana"/>
                <w:sz w:val="18"/>
                <w:szCs w:val="18"/>
              </w:rPr>
              <w:t>Rel</w:t>
            </w:r>
            <w:proofErr w:type="spellEnd"/>
            <w:r w:rsidRPr="007E0CF7">
              <w:rPr>
                <w:rFonts w:ascii="Verdana" w:hAnsi="Verdana"/>
                <w:sz w:val="18"/>
                <w:szCs w:val="18"/>
              </w:rPr>
              <w:t>/Space</w:t>
            </w:r>
          </w:p>
        </w:tc>
        <w:tc>
          <w:tcPr>
            <w:tcW w:w="757" w:type="dxa"/>
            <w:tcBorders>
              <w:bottom w:val="single" w:sz="4" w:space="0" w:color="auto"/>
            </w:tcBorders>
          </w:tcPr>
          <w:p w:rsidR="00691A1A" w:rsidRPr="007E0CF7" w:rsidRDefault="00691A1A" w:rsidP="00283B18">
            <w:pPr>
              <w:tabs>
                <w:tab w:val="right" w:pos="3960"/>
                <w:tab w:val="right" w:pos="5670"/>
                <w:tab w:val="left" w:pos="7380"/>
                <w:tab w:val="right" w:pos="8460"/>
              </w:tabs>
              <w:spacing w:line="276" w:lineRule="auto"/>
              <w:rPr>
                <w:rFonts w:ascii="Verdana" w:hAnsi="Verdana"/>
                <w:b/>
                <w:bCs/>
                <w:color w:val="000000"/>
                <w:sz w:val="18"/>
                <w:szCs w:val="18"/>
              </w:rPr>
            </w:pPr>
          </w:p>
        </w:tc>
        <w:tc>
          <w:tcPr>
            <w:tcW w:w="802" w:type="dxa"/>
            <w:tcBorders>
              <w:bottom w:val="single" w:sz="4" w:space="0" w:color="auto"/>
            </w:tcBorders>
          </w:tcPr>
          <w:p w:rsidR="00691A1A" w:rsidRPr="007E0CF7" w:rsidRDefault="001D39A5"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357</w:t>
            </w:r>
          </w:p>
        </w:tc>
        <w:tc>
          <w:tcPr>
            <w:tcW w:w="236" w:type="dxa"/>
            <w:tcBorders>
              <w:bottom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tcBorders>
              <w:bottom w:val="single" w:sz="4" w:space="0" w:color="auto"/>
            </w:tcBorders>
          </w:tcPr>
          <w:p w:rsidR="00691A1A" w:rsidRPr="007E0CF7" w:rsidRDefault="001D39A5"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311</w:t>
            </w:r>
          </w:p>
        </w:tc>
        <w:tc>
          <w:tcPr>
            <w:tcW w:w="236" w:type="dxa"/>
            <w:tcBorders>
              <w:bottom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1" w:type="dxa"/>
            <w:tcBorders>
              <w:bottom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w:t>
            </w:r>
            <w:r w:rsidR="001D39A5" w:rsidRPr="007E0CF7">
              <w:rPr>
                <w:rFonts w:ascii="Verdana" w:hAnsi="Verdana"/>
                <w:color w:val="000000"/>
                <w:sz w:val="18"/>
                <w:szCs w:val="18"/>
              </w:rPr>
              <w:t>15</w:t>
            </w:r>
            <w:r w:rsidRPr="007E0CF7">
              <w:rPr>
                <w:rFonts w:ascii="Verdana" w:hAnsi="Verdana"/>
                <w:color w:val="000000"/>
                <w:sz w:val="18"/>
                <w:szCs w:val="18"/>
              </w:rPr>
              <w:t>%</w:t>
            </w:r>
          </w:p>
        </w:tc>
      </w:tr>
      <w:tr w:rsidR="00691A1A" w:rsidRPr="007E0CF7" w:rsidTr="004F1D31">
        <w:tc>
          <w:tcPr>
            <w:tcW w:w="3794" w:type="dxa"/>
            <w:tcBorders>
              <w:top w:val="single" w:sz="4" w:space="0" w:color="auto"/>
            </w:tcBorders>
            <w:vAlign w:val="bottom"/>
          </w:tcPr>
          <w:p w:rsidR="00691A1A" w:rsidRPr="007E0CF7" w:rsidRDefault="00691A1A" w:rsidP="00283B18">
            <w:pPr>
              <w:tabs>
                <w:tab w:val="right" w:pos="3960"/>
                <w:tab w:val="right" w:pos="5670"/>
                <w:tab w:val="left" w:pos="7380"/>
                <w:tab w:val="right" w:pos="8460"/>
              </w:tabs>
              <w:spacing w:line="276" w:lineRule="auto"/>
              <w:rPr>
                <w:rFonts w:ascii="Verdana" w:hAnsi="Verdana"/>
                <w:sz w:val="18"/>
                <w:szCs w:val="18"/>
              </w:rPr>
            </w:pPr>
          </w:p>
        </w:tc>
        <w:tc>
          <w:tcPr>
            <w:tcW w:w="757" w:type="dxa"/>
            <w:tcBorders>
              <w:top w:val="single" w:sz="4" w:space="0" w:color="auto"/>
            </w:tcBorders>
          </w:tcPr>
          <w:p w:rsidR="00691A1A" w:rsidRPr="007E0CF7" w:rsidRDefault="00691A1A" w:rsidP="00283B18">
            <w:pPr>
              <w:tabs>
                <w:tab w:val="right" w:pos="3960"/>
                <w:tab w:val="right" w:pos="5670"/>
                <w:tab w:val="left" w:pos="7380"/>
                <w:tab w:val="right" w:pos="8460"/>
              </w:tabs>
              <w:spacing w:line="276" w:lineRule="auto"/>
              <w:rPr>
                <w:rFonts w:ascii="Verdana" w:hAnsi="Verdana"/>
                <w:b/>
                <w:bCs/>
                <w:color w:val="000000"/>
                <w:sz w:val="18"/>
                <w:szCs w:val="18"/>
              </w:rPr>
            </w:pPr>
          </w:p>
        </w:tc>
        <w:tc>
          <w:tcPr>
            <w:tcW w:w="802" w:type="dxa"/>
            <w:tcBorders>
              <w:top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236" w:type="dxa"/>
            <w:tcBorders>
              <w:top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tcBorders>
              <w:top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236" w:type="dxa"/>
            <w:tcBorders>
              <w:top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1" w:type="dxa"/>
            <w:tcBorders>
              <w:top w:val="single" w:sz="4" w:space="0" w:color="auto"/>
            </w:tcBorders>
          </w:tcPr>
          <w:p w:rsidR="00691A1A" w:rsidRPr="007E0CF7" w:rsidRDefault="00691A1A"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r>
      <w:tr w:rsidR="008A7B9D" w:rsidRPr="007E0CF7" w:rsidTr="004F1D31">
        <w:tc>
          <w:tcPr>
            <w:tcW w:w="3794" w:type="dxa"/>
            <w:vAlign w:val="bottom"/>
          </w:tcPr>
          <w:p w:rsidR="008A7B9D" w:rsidRPr="007E0CF7" w:rsidRDefault="008A7B9D" w:rsidP="00283B18">
            <w:pPr>
              <w:tabs>
                <w:tab w:val="right" w:pos="3960"/>
                <w:tab w:val="right" w:pos="5670"/>
                <w:tab w:val="left" w:pos="7380"/>
                <w:tab w:val="right" w:pos="8460"/>
              </w:tabs>
              <w:spacing w:line="276" w:lineRule="auto"/>
              <w:rPr>
                <w:rFonts w:ascii="Verdana" w:hAnsi="Verdana"/>
                <w:sz w:val="18"/>
                <w:szCs w:val="18"/>
              </w:rPr>
            </w:pPr>
            <w:r w:rsidRPr="007E0CF7">
              <w:rPr>
                <w:rFonts w:ascii="Verdana" w:hAnsi="Verdana"/>
                <w:b/>
                <w:sz w:val="18"/>
                <w:szCs w:val="18"/>
              </w:rPr>
              <w:t>Total</w:t>
            </w:r>
          </w:p>
        </w:tc>
        <w:tc>
          <w:tcPr>
            <w:tcW w:w="757" w:type="dxa"/>
          </w:tcPr>
          <w:p w:rsidR="008A7B9D" w:rsidRPr="007E0CF7" w:rsidRDefault="008A7B9D" w:rsidP="00283B18">
            <w:pPr>
              <w:tabs>
                <w:tab w:val="right" w:pos="3960"/>
                <w:tab w:val="right" w:pos="5670"/>
                <w:tab w:val="left" w:pos="7380"/>
                <w:tab w:val="right" w:pos="8460"/>
              </w:tabs>
              <w:spacing w:line="276" w:lineRule="auto"/>
              <w:rPr>
                <w:rFonts w:ascii="Verdana" w:hAnsi="Verdana"/>
                <w:b/>
                <w:bCs/>
                <w:color w:val="000000"/>
                <w:sz w:val="18"/>
                <w:szCs w:val="18"/>
              </w:rPr>
            </w:pPr>
          </w:p>
        </w:tc>
        <w:tc>
          <w:tcPr>
            <w:tcW w:w="802" w:type="dxa"/>
          </w:tcPr>
          <w:p w:rsidR="008A7B9D" w:rsidRPr="007E0CF7" w:rsidRDefault="008A7B9D"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b/>
                <w:color w:val="000000"/>
                <w:sz w:val="18"/>
                <w:szCs w:val="18"/>
              </w:rPr>
              <w:t>5,</w:t>
            </w:r>
            <w:r w:rsidR="001D39A5" w:rsidRPr="007E0CF7">
              <w:rPr>
                <w:rFonts w:ascii="Verdana" w:hAnsi="Verdana"/>
                <w:b/>
                <w:color w:val="000000"/>
                <w:sz w:val="18"/>
                <w:szCs w:val="18"/>
              </w:rPr>
              <w:t>338</w:t>
            </w:r>
          </w:p>
        </w:tc>
        <w:tc>
          <w:tcPr>
            <w:tcW w:w="236" w:type="dxa"/>
          </w:tcPr>
          <w:p w:rsidR="008A7B9D" w:rsidRPr="007E0CF7" w:rsidRDefault="008A7B9D"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tcPr>
          <w:p w:rsidR="008A7B9D" w:rsidRPr="007E0CF7" w:rsidRDefault="001D39A5"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b/>
                <w:color w:val="000000"/>
                <w:sz w:val="18"/>
                <w:szCs w:val="18"/>
              </w:rPr>
              <w:t>4,912</w:t>
            </w:r>
          </w:p>
        </w:tc>
        <w:tc>
          <w:tcPr>
            <w:tcW w:w="236" w:type="dxa"/>
          </w:tcPr>
          <w:p w:rsidR="008A7B9D" w:rsidRPr="007E0CF7" w:rsidRDefault="008A7B9D"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1" w:type="dxa"/>
          </w:tcPr>
          <w:p w:rsidR="008A7B9D" w:rsidRPr="007E0CF7" w:rsidRDefault="001D39A5"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b/>
                <w:color w:val="000000"/>
                <w:sz w:val="18"/>
                <w:szCs w:val="18"/>
              </w:rPr>
              <w:t>+9</w:t>
            </w:r>
            <w:r w:rsidR="008A7B9D" w:rsidRPr="007E0CF7">
              <w:rPr>
                <w:rFonts w:ascii="Verdana" w:hAnsi="Verdana"/>
                <w:b/>
                <w:color w:val="000000"/>
                <w:sz w:val="18"/>
                <w:szCs w:val="18"/>
              </w:rPr>
              <w:t>%</w:t>
            </w:r>
          </w:p>
        </w:tc>
      </w:tr>
    </w:tbl>
    <w:p w:rsidR="008462F2" w:rsidRPr="008462F2" w:rsidRDefault="006F0932" w:rsidP="00283B18">
      <w:pPr>
        <w:spacing w:before="240" w:line="276" w:lineRule="auto"/>
        <w:rPr>
          <w:rFonts w:ascii="Verdana" w:hAnsi="Verdana"/>
          <w:sz w:val="18"/>
          <w:szCs w:val="18"/>
        </w:rPr>
      </w:pPr>
      <w:r>
        <w:rPr>
          <w:rFonts w:ascii="Verdana" w:hAnsi="Verdana"/>
          <w:sz w:val="18"/>
          <w:szCs w:val="18"/>
        </w:rPr>
        <w:t>The recovery in the second</w:t>
      </w:r>
      <w:r w:rsidR="008462F2" w:rsidRPr="008462F2">
        <w:rPr>
          <w:rFonts w:ascii="Verdana" w:hAnsi="Verdana"/>
          <w:sz w:val="18"/>
          <w:szCs w:val="18"/>
        </w:rPr>
        <w:t xml:space="preserve"> half 2015 was seen in all relevant market segments. Key customers continue to grow in industrial </w:t>
      </w:r>
      <w:r>
        <w:rPr>
          <w:rFonts w:ascii="Verdana" w:hAnsi="Verdana"/>
          <w:sz w:val="18"/>
          <w:szCs w:val="18"/>
        </w:rPr>
        <w:t>and hi-</w:t>
      </w:r>
      <w:proofErr w:type="spellStart"/>
      <w:r>
        <w:rPr>
          <w:rFonts w:ascii="Verdana" w:hAnsi="Verdana"/>
          <w:sz w:val="18"/>
          <w:szCs w:val="18"/>
        </w:rPr>
        <w:t>rel</w:t>
      </w:r>
      <w:proofErr w:type="spellEnd"/>
      <w:r>
        <w:rPr>
          <w:rFonts w:ascii="Verdana" w:hAnsi="Verdana"/>
          <w:sz w:val="18"/>
          <w:szCs w:val="18"/>
        </w:rPr>
        <w:t>/space market in the second</w:t>
      </w:r>
      <w:r w:rsidR="008462F2" w:rsidRPr="008462F2">
        <w:rPr>
          <w:rFonts w:ascii="Verdana" w:hAnsi="Verdana"/>
          <w:sz w:val="18"/>
          <w:szCs w:val="18"/>
        </w:rPr>
        <w:t xml:space="preserve"> half</w:t>
      </w:r>
      <w:r>
        <w:rPr>
          <w:rFonts w:ascii="Verdana" w:hAnsi="Verdana"/>
          <w:sz w:val="18"/>
          <w:szCs w:val="18"/>
        </w:rPr>
        <w:t xml:space="preserve"> 2015</w:t>
      </w:r>
      <w:r w:rsidR="008462F2" w:rsidRPr="008462F2">
        <w:rPr>
          <w:rFonts w:ascii="Verdana" w:hAnsi="Verdana"/>
          <w:sz w:val="18"/>
          <w:szCs w:val="18"/>
        </w:rPr>
        <w:t xml:space="preserve">. </w:t>
      </w:r>
    </w:p>
    <w:p w:rsidR="00691A1A" w:rsidRPr="007E0CF7" w:rsidRDefault="00691A1A" w:rsidP="00283B18">
      <w:pPr>
        <w:autoSpaceDE w:val="0"/>
        <w:autoSpaceDN w:val="0"/>
        <w:adjustRightInd w:val="0"/>
        <w:spacing w:line="276" w:lineRule="auto"/>
        <w:rPr>
          <w:rFonts w:ascii="Verdana" w:hAnsi="Verdana" w:cs="Verdana"/>
          <w:b/>
          <w:bCs/>
          <w:sz w:val="18"/>
          <w:szCs w:val="18"/>
          <w:highlight w:val="yellow"/>
        </w:rPr>
      </w:pPr>
    </w:p>
    <w:p w:rsidR="00283B18" w:rsidRDefault="00283B18" w:rsidP="00283B18">
      <w:pPr>
        <w:spacing w:after="200" w:line="276" w:lineRule="auto"/>
        <w:rPr>
          <w:rFonts w:ascii="Verdana" w:hAnsi="Verdana" w:cs="Verdana"/>
          <w:b/>
          <w:bCs/>
          <w:sz w:val="18"/>
          <w:szCs w:val="18"/>
          <w:highlight w:val="yellow"/>
        </w:rPr>
      </w:pPr>
      <w:r>
        <w:rPr>
          <w:rFonts w:ascii="Verdana" w:hAnsi="Verdana" w:cs="Verdana"/>
          <w:b/>
          <w:bCs/>
          <w:sz w:val="18"/>
          <w:szCs w:val="18"/>
          <w:highlight w:val="yellow"/>
        </w:rPr>
        <w:br w:type="page"/>
      </w:r>
    </w:p>
    <w:p w:rsidR="00336A52" w:rsidRDefault="008A7B9D" w:rsidP="00283B18">
      <w:pPr>
        <w:spacing w:after="200" w:line="276" w:lineRule="auto"/>
        <w:rPr>
          <w:rFonts w:ascii="Verdana" w:hAnsi="Verdana"/>
          <w:b/>
          <w:sz w:val="18"/>
          <w:szCs w:val="18"/>
        </w:rPr>
      </w:pPr>
      <w:r w:rsidRPr="007E0CF7">
        <w:rPr>
          <w:rFonts w:ascii="Verdana" w:hAnsi="Verdana"/>
          <w:b/>
          <w:sz w:val="18"/>
          <w:szCs w:val="18"/>
        </w:rPr>
        <w:lastRenderedPageBreak/>
        <w:t>Sales by business unit in the second half of 201</w:t>
      </w:r>
      <w:r w:rsidR="00956A02" w:rsidRPr="007E0CF7">
        <w:rPr>
          <w:rFonts w:ascii="Verdana" w:hAnsi="Verdana"/>
          <w:b/>
          <w:sz w:val="18"/>
          <w:szCs w:val="18"/>
        </w:rPr>
        <w:t>5</w:t>
      </w:r>
      <w:r w:rsidRPr="007E0CF7">
        <w:rPr>
          <w:rFonts w:ascii="Verdana" w:hAnsi="Verdana"/>
          <w:b/>
          <w:sz w:val="18"/>
          <w:szCs w:val="18"/>
        </w:rPr>
        <w:t xml:space="preserve"> vs. first half of 201</w:t>
      </w:r>
      <w:r w:rsidR="00956A02" w:rsidRPr="007E0CF7">
        <w:rPr>
          <w:rFonts w:ascii="Verdana" w:hAnsi="Verdana"/>
          <w:b/>
          <w:sz w:val="18"/>
          <w:szCs w:val="18"/>
        </w:rPr>
        <w:t>5</w:t>
      </w:r>
      <w:r w:rsidR="00336A52">
        <w:rPr>
          <w:rFonts w:ascii="Verdana" w:hAnsi="Verdana"/>
          <w:b/>
          <w:sz w:val="18"/>
          <w:szCs w:val="18"/>
        </w:rPr>
        <w:br/>
      </w:r>
    </w:p>
    <w:tbl>
      <w:tblPr>
        <w:tblW w:w="8188" w:type="dxa"/>
        <w:tblLook w:val="04A0"/>
      </w:tblPr>
      <w:tblGrid>
        <w:gridCol w:w="2924"/>
        <w:gridCol w:w="870"/>
        <w:gridCol w:w="34"/>
        <w:gridCol w:w="723"/>
        <w:gridCol w:w="767"/>
        <w:gridCol w:w="35"/>
        <w:gridCol w:w="236"/>
        <w:gridCol w:w="12"/>
        <w:gridCol w:w="1170"/>
        <w:gridCol w:w="101"/>
        <w:gridCol w:w="135"/>
        <w:gridCol w:w="147"/>
        <w:gridCol w:w="892"/>
        <w:gridCol w:w="142"/>
      </w:tblGrid>
      <w:tr w:rsidR="00336A52" w:rsidRPr="0072255D" w:rsidTr="00336A52">
        <w:trPr>
          <w:gridAfter w:val="1"/>
          <w:wAfter w:w="142" w:type="dxa"/>
        </w:trPr>
        <w:tc>
          <w:tcPr>
            <w:tcW w:w="3794" w:type="dxa"/>
            <w:gridSpan w:val="2"/>
            <w:vAlign w:val="center"/>
          </w:tcPr>
          <w:p w:rsidR="00336A52" w:rsidRPr="0072255D" w:rsidRDefault="00336A52" w:rsidP="00283B18">
            <w:pPr>
              <w:spacing w:line="276" w:lineRule="auto"/>
              <w:rPr>
                <w:rFonts w:ascii="Verdana" w:hAnsi="Verdana"/>
                <w:sz w:val="18"/>
                <w:szCs w:val="18"/>
              </w:rPr>
            </w:pPr>
            <w:r w:rsidRPr="0072255D">
              <w:rPr>
                <w:rFonts w:ascii="Verdana" w:hAnsi="Verdana"/>
                <w:sz w:val="18"/>
                <w:szCs w:val="18"/>
              </w:rPr>
              <w:t>(EUR x 1,000)</w:t>
            </w:r>
          </w:p>
        </w:tc>
        <w:tc>
          <w:tcPr>
            <w:tcW w:w="757" w:type="dxa"/>
            <w:gridSpan w:val="2"/>
          </w:tcPr>
          <w:p w:rsidR="00336A52" w:rsidRPr="0072255D"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802" w:type="dxa"/>
            <w:gridSpan w:val="2"/>
          </w:tcPr>
          <w:p w:rsidR="00336A52" w:rsidRPr="0072255D"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236" w:type="dxa"/>
          </w:tcPr>
          <w:p w:rsidR="00336A52" w:rsidRPr="0072255D"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gridSpan w:val="2"/>
          </w:tcPr>
          <w:p w:rsidR="00336A52" w:rsidRPr="0072255D"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236" w:type="dxa"/>
            <w:gridSpan w:val="2"/>
          </w:tcPr>
          <w:p w:rsidR="00336A52" w:rsidRPr="0072255D"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039" w:type="dxa"/>
            <w:gridSpan w:val="2"/>
          </w:tcPr>
          <w:p w:rsidR="00336A52" w:rsidRPr="0072255D"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2255D">
              <w:rPr>
                <w:rFonts w:ascii="Verdana" w:hAnsi="Verdana"/>
                <w:color w:val="000000"/>
                <w:sz w:val="18"/>
                <w:szCs w:val="18"/>
              </w:rPr>
              <w:t>approx.</w:t>
            </w:r>
          </w:p>
        </w:tc>
      </w:tr>
      <w:tr w:rsidR="00336A52" w:rsidRPr="0072255D" w:rsidTr="0072255D">
        <w:trPr>
          <w:gridAfter w:val="1"/>
          <w:wAfter w:w="142" w:type="dxa"/>
        </w:trPr>
        <w:tc>
          <w:tcPr>
            <w:tcW w:w="3794" w:type="dxa"/>
            <w:gridSpan w:val="2"/>
            <w:tcBorders>
              <w:bottom w:val="single" w:sz="4" w:space="0" w:color="auto"/>
            </w:tcBorders>
            <w:vAlign w:val="bottom"/>
          </w:tcPr>
          <w:p w:rsidR="00336A52" w:rsidRPr="0072255D" w:rsidRDefault="00336A52" w:rsidP="00283B18">
            <w:pPr>
              <w:spacing w:line="276" w:lineRule="auto"/>
              <w:rPr>
                <w:rFonts w:ascii="Verdana" w:hAnsi="Verdana"/>
                <w:sz w:val="18"/>
                <w:szCs w:val="18"/>
              </w:rPr>
            </w:pPr>
          </w:p>
        </w:tc>
        <w:tc>
          <w:tcPr>
            <w:tcW w:w="757" w:type="dxa"/>
            <w:gridSpan w:val="2"/>
            <w:tcBorders>
              <w:bottom w:val="single" w:sz="4" w:space="0" w:color="auto"/>
            </w:tcBorders>
          </w:tcPr>
          <w:p w:rsidR="00336A52" w:rsidRPr="0072255D"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802" w:type="dxa"/>
            <w:gridSpan w:val="2"/>
            <w:tcBorders>
              <w:bottom w:val="single" w:sz="4" w:space="0" w:color="auto"/>
            </w:tcBorders>
          </w:tcPr>
          <w:p w:rsidR="00336A52" w:rsidRPr="0072255D"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2255D">
              <w:rPr>
                <w:rFonts w:ascii="Verdana" w:hAnsi="Verdana"/>
                <w:color w:val="000000"/>
                <w:sz w:val="18"/>
                <w:szCs w:val="18"/>
              </w:rPr>
              <w:t>HY2</w:t>
            </w:r>
          </w:p>
        </w:tc>
        <w:tc>
          <w:tcPr>
            <w:tcW w:w="236" w:type="dxa"/>
            <w:tcBorders>
              <w:bottom w:val="single" w:sz="4" w:space="0" w:color="auto"/>
            </w:tcBorders>
          </w:tcPr>
          <w:p w:rsidR="00336A52" w:rsidRPr="0072255D"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gridSpan w:val="2"/>
            <w:tcBorders>
              <w:bottom w:val="single" w:sz="4" w:space="0" w:color="auto"/>
            </w:tcBorders>
          </w:tcPr>
          <w:p w:rsidR="00336A52" w:rsidRPr="0072255D"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2255D">
              <w:rPr>
                <w:rFonts w:ascii="Verdana" w:hAnsi="Verdana"/>
                <w:color w:val="000000"/>
                <w:sz w:val="18"/>
                <w:szCs w:val="18"/>
              </w:rPr>
              <w:t>HY1</w:t>
            </w:r>
          </w:p>
        </w:tc>
        <w:tc>
          <w:tcPr>
            <w:tcW w:w="236" w:type="dxa"/>
            <w:gridSpan w:val="2"/>
            <w:tcBorders>
              <w:bottom w:val="single" w:sz="4" w:space="0" w:color="auto"/>
            </w:tcBorders>
          </w:tcPr>
          <w:p w:rsidR="00336A52" w:rsidRPr="0072255D"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039" w:type="dxa"/>
            <w:gridSpan w:val="2"/>
            <w:tcBorders>
              <w:bottom w:val="single" w:sz="4" w:space="0" w:color="auto"/>
            </w:tcBorders>
          </w:tcPr>
          <w:p w:rsidR="00336A52" w:rsidRPr="0072255D"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2255D">
              <w:rPr>
                <w:rFonts w:ascii="Verdana" w:hAnsi="Verdana"/>
                <w:color w:val="000000"/>
                <w:sz w:val="18"/>
                <w:szCs w:val="18"/>
              </w:rPr>
              <w:t>change</w:t>
            </w:r>
          </w:p>
        </w:tc>
      </w:tr>
      <w:tr w:rsidR="00336A52" w:rsidRPr="007E0CF7" w:rsidTr="0072255D">
        <w:trPr>
          <w:gridAfter w:val="1"/>
          <w:wAfter w:w="142" w:type="dxa"/>
        </w:trPr>
        <w:tc>
          <w:tcPr>
            <w:tcW w:w="3794" w:type="dxa"/>
            <w:gridSpan w:val="2"/>
            <w:tcBorders>
              <w:top w:val="single" w:sz="4" w:space="0" w:color="auto"/>
            </w:tcBorders>
            <w:vAlign w:val="bottom"/>
          </w:tcPr>
          <w:p w:rsidR="00336A52" w:rsidRPr="007E0CF7" w:rsidRDefault="00336A52" w:rsidP="00283B18">
            <w:pPr>
              <w:tabs>
                <w:tab w:val="right" w:pos="3960"/>
                <w:tab w:val="right" w:pos="5670"/>
                <w:tab w:val="left" w:pos="7380"/>
                <w:tab w:val="right" w:pos="8460"/>
              </w:tabs>
              <w:spacing w:line="276" w:lineRule="auto"/>
              <w:rPr>
                <w:rFonts w:ascii="Verdana" w:hAnsi="Verdana"/>
                <w:sz w:val="18"/>
                <w:szCs w:val="18"/>
              </w:rPr>
            </w:pPr>
          </w:p>
        </w:tc>
        <w:tc>
          <w:tcPr>
            <w:tcW w:w="757" w:type="dxa"/>
            <w:gridSpan w:val="2"/>
            <w:tcBorders>
              <w:top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p>
        </w:tc>
        <w:tc>
          <w:tcPr>
            <w:tcW w:w="802" w:type="dxa"/>
            <w:gridSpan w:val="2"/>
            <w:tcBorders>
              <w:top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236" w:type="dxa"/>
            <w:tcBorders>
              <w:top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182" w:type="dxa"/>
            <w:gridSpan w:val="2"/>
            <w:tcBorders>
              <w:top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236" w:type="dxa"/>
            <w:gridSpan w:val="2"/>
            <w:tcBorders>
              <w:top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039" w:type="dxa"/>
            <w:gridSpan w:val="2"/>
            <w:tcBorders>
              <w:top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r>
      <w:tr w:rsidR="00336A52" w:rsidRPr="007E0CF7" w:rsidTr="00336A52">
        <w:tc>
          <w:tcPr>
            <w:tcW w:w="2924" w:type="dxa"/>
            <w:vAlign w:val="bottom"/>
          </w:tcPr>
          <w:p w:rsidR="00336A52" w:rsidRPr="007E0CF7" w:rsidRDefault="00336A52" w:rsidP="00283B18">
            <w:pPr>
              <w:tabs>
                <w:tab w:val="right" w:pos="3960"/>
                <w:tab w:val="right" w:pos="5670"/>
                <w:tab w:val="left" w:pos="7380"/>
                <w:tab w:val="right" w:pos="8460"/>
              </w:tabs>
              <w:spacing w:line="276" w:lineRule="auto"/>
              <w:rPr>
                <w:rFonts w:ascii="Verdana" w:hAnsi="Verdana"/>
                <w:sz w:val="18"/>
                <w:szCs w:val="18"/>
              </w:rPr>
            </w:pPr>
            <w:r w:rsidRPr="007E0CF7">
              <w:rPr>
                <w:rFonts w:ascii="Verdana" w:hAnsi="Verdana"/>
                <w:sz w:val="18"/>
                <w:szCs w:val="18"/>
              </w:rPr>
              <w:t>Test</w:t>
            </w:r>
          </w:p>
        </w:tc>
        <w:tc>
          <w:tcPr>
            <w:tcW w:w="904"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p>
        </w:tc>
        <w:tc>
          <w:tcPr>
            <w:tcW w:w="1490"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1,946</w:t>
            </w:r>
          </w:p>
        </w:tc>
        <w:tc>
          <w:tcPr>
            <w:tcW w:w="283" w:type="dxa"/>
            <w:gridSpan w:val="3"/>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271"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1,730</w:t>
            </w:r>
          </w:p>
        </w:tc>
        <w:tc>
          <w:tcPr>
            <w:tcW w:w="282"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034"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+12%</w:t>
            </w:r>
          </w:p>
        </w:tc>
      </w:tr>
      <w:tr w:rsidR="00336A52" w:rsidRPr="007E0CF7" w:rsidTr="004B0FE9">
        <w:tc>
          <w:tcPr>
            <w:tcW w:w="2924" w:type="dxa"/>
            <w:vAlign w:val="bottom"/>
          </w:tcPr>
          <w:p w:rsidR="00336A52" w:rsidRPr="007E0CF7" w:rsidRDefault="00336A52" w:rsidP="00283B18">
            <w:pPr>
              <w:tabs>
                <w:tab w:val="right" w:pos="3960"/>
                <w:tab w:val="right" w:pos="5670"/>
                <w:tab w:val="left" w:pos="7380"/>
                <w:tab w:val="right" w:pos="8460"/>
              </w:tabs>
              <w:spacing w:line="276" w:lineRule="auto"/>
              <w:rPr>
                <w:rFonts w:ascii="Verdana" w:hAnsi="Verdana"/>
                <w:sz w:val="18"/>
                <w:szCs w:val="18"/>
              </w:rPr>
            </w:pPr>
            <w:r w:rsidRPr="007E0CF7">
              <w:rPr>
                <w:rFonts w:ascii="Verdana" w:hAnsi="Verdana"/>
                <w:sz w:val="18"/>
                <w:szCs w:val="18"/>
              </w:rPr>
              <w:t>Supply Chain Management</w:t>
            </w:r>
          </w:p>
        </w:tc>
        <w:tc>
          <w:tcPr>
            <w:tcW w:w="904"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p>
        </w:tc>
        <w:tc>
          <w:tcPr>
            <w:tcW w:w="1490"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1,150</w:t>
            </w:r>
          </w:p>
        </w:tc>
        <w:tc>
          <w:tcPr>
            <w:tcW w:w="283" w:type="dxa"/>
            <w:gridSpan w:val="3"/>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271"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1,198</w:t>
            </w:r>
          </w:p>
        </w:tc>
        <w:tc>
          <w:tcPr>
            <w:tcW w:w="282"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034"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-4%</w:t>
            </w:r>
          </w:p>
        </w:tc>
      </w:tr>
      <w:tr w:rsidR="00336A52" w:rsidRPr="007E0CF7" w:rsidTr="004B0FE9">
        <w:tc>
          <w:tcPr>
            <w:tcW w:w="2924" w:type="dxa"/>
            <w:vAlign w:val="bottom"/>
          </w:tcPr>
          <w:p w:rsidR="00336A52" w:rsidRPr="007E0CF7" w:rsidRDefault="00336A52" w:rsidP="00283B18">
            <w:pPr>
              <w:tabs>
                <w:tab w:val="right" w:pos="3960"/>
                <w:tab w:val="right" w:pos="5670"/>
                <w:tab w:val="left" w:pos="7380"/>
                <w:tab w:val="right" w:pos="8460"/>
              </w:tabs>
              <w:spacing w:line="276" w:lineRule="auto"/>
              <w:rPr>
                <w:rFonts w:ascii="Verdana" w:hAnsi="Verdana"/>
                <w:sz w:val="18"/>
                <w:szCs w:val="18"/>
              </w:rPr>
            </w:pPr>
            <w:r w:rsidRPr="007E0CF7">
              <w:rPr>
                <w:rFonts w:ascii="Verdana" w:hAnsi="Verdana"/>
                <w:sz w:val="18"/>
                <w:szCs w:val="18"/>
              </w:rPr>
              <w:t>Failure &amp; Technology Analysis</w:t>
            </w:r>
          </w:p>
        </w:tc>
        <w:tc>
          <w:tcPr>
            <w:tcW w:w="904"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p>
        </w:tc>
        <w:tc>
          <w:tcPr>
            <w:tcW w:w="1490" w:type="dxa"/>
            <w:gridSpan w:val="2"/>
            <w:vAlign w:val="bottom"/>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809</w:t>
            </w:r>
          </w:p>
        </w:tc>
        <w:tc>
          <w:tcPr>
            <w:tcW w:w="283" w:type="dxa"/>
            <w:gridSpan w:val="3"/>
            <w:vAlign w:val="bottom"/>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271" w:type="dxa"/>
            <w:gridSpan w:val="2"/>
            <w:vAlign w:val="bottom"/>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846</w:t>
            </w:r>
          </w:p>
        </w:tc>
        <w:tc>
          <w:tcPr>
            <w:tcW w:w="282" w:type="dxa"/>
            <w:gridSpan w:val="2"/>
            <w:vAlign w:val="bottom"/>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034" w:type="dxa"/>
            <w:gridSpan w:val="2"/>
            <w:vAlign w:val="bottom"/>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-4%</w:t>
            </w:r>
          </w:p>
        </w:tc>
      </w:tr>
      <w:tr w:rsidR="00336A52" w:rsidRPr="007E0CF7" w:rsidTr="0072255D">
        <w:tc>
          <w:tcPr>
            <w:tcW w:w="2924" w:type="dxa"/>
            <w:vAlign w:val="bottom"/>
          </w:tcPr>
          <w:p w:rsidR="00336A52" w:rsidRPr="007E0CF7" w:rsidRDefault="00336A52" w:rsidP="00283B18">
            <w:pPr>
              <w:tabs>
                <w:tab w:val="right" w:pos="3960"/>
                <w:tab w:val="right" w:pos="5670"/>
                <w:tab w:val="left" w:pos="7380"/>
                <w:tab w:val="right" w:pos="8460"/>
              </w:tabs>
              <w:spacing w:line="276" w:lineRule="auto"/>
              <w:rPr>
                <w:rFonts w:ascii="Verdana" w:hAnsi="Verdana"/>
                <w:sz w:val="18"/>
                <w:szCs w:val="18"/>
              </w:rPr>
            </w:pPr>
            <w:r w:rsidRPr="007E0CF7">
              <w:rPr>
                <w:rFonts w:ascii="Verdana" w:hAnsi="Verdana"/>
                <w:sz w:val="18"/>
                <w:szCs w:val="18"/>
              </w:rPr>
              <w:t>Test Engineering</w:t>
            </w:r>
          </w:p>
        </w:tc>
        <w:tc>
          <w:tcPr>
            <w:tcW w:w="904"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p>
        </w:tc>
        <w:tc>
          <w:tcPr>
            <w:tcW w:w="1490"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266</w:t>
            </w:r>
          </w:p>
        </w:tc>
        <w:tc>
          <w:tcPr>
            <w:tcW w:w="283" w:type="dxa"/>
            <w:gridSpan w:val="3"/>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271"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171</w:t>
            </w:r>
          </w:p>
        </w:tc>
        <w:tc>
          <w:tcPr>
            <w:tcW w:w="282"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034"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+56%</w:t>
            </w:r>
          </w:p>
        </w:tc>
      </w:tr>
      <w:tr w:rsidR="00336A52" w:rsidRPr="007E0CF7" w:rsidTr="0072255D">
        <w:tc>
          <w:tcPr>
            <w:tcW w:w="2924" w:type="dxa"/>
            <w:tcBorders>
              <w:bottom w:val="single" w:sz="4" w:space="0" w:color="auto"/>
            </w:tcBorders>
            <w:vAlign w:val="bottom"/>
          </w:tcPr>
          <w:p w:rsidR="00336A52" w:rsidRPr="007E0CF7" w:rsidRDefault="00336A52" w:rsidP="00283B18">
            <w:pPr>
              <w:tabs>
                <w:tab w:val="right" w:pos="3960"/>
                <w:tab w:val="right" w:pos="5670"/>
                <w:tab w:val="left" w:pos="7380"/>
                <w:tab w:val="right" w:pos="8460"/>
              </w:tabs>
              <w:spacing w:line="276" w:lineRule="auto"/>
              <w:rPr>
                <w:rFonts w:ascii="Verdana" w:hAnsi="Verdana"/>
                <w:sz w:val="18"/>
                <w:szCs w:val="18"/>
              </w:rPr>
            </w:pPr>
            <w:r w:rsidRPr="007E0CF7">
              <w:rPr>
                <w:rFonts w:ascii="Verdana" w:hAnsi="Verdana"/>
                <w:sz w:val="18"/>
                <w:szCs w:val="18"/>
              </w:rPr>
              <w:t>Qualification &amp; Reliability</w:t>
            </w:r>
          </w:p>
        </w:tc>
        <w:tc>
          <w:tcPr>
            <w:tcW w:w="904" w:type="dxa"/>
            <w:gridSpan w:val="2"/>
            <w:tcBorders>
              <w:bottom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p>
        </w:tc>
        <w:tc>
          <w:tcPr>
            <w:tcW w:w="1490" w:type="dxa"/>
            <w:gridSpan w:val="2"/>
            <w:tcBorders>
              <w:bottom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1,167</w:t>
            </w:r>
          </w:p>
        </w:tc>
        <w:tc>
          <w:tcPr>
            <w:tcW w:w="283" w:type="dxa"/>
            <w:gridSpan w:val="3"/>
            <w:tcBorders>
              <w:bottom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271" w:type="dxa"/>
            <w:gridSpan w:val="2"/>
            <w:tcBorders>
              <w:bottom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967</w:t>
            </w:r>
          </w:p>
        </w:tc>
        <w:tc>
          <w:tcPr>
            <w:tcW w:w="282" w:type="dxa"/>
            <w:gridSpan w:val="2"/>
            <w:tcBorders>
              <w:bottom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034" w:type="dxa"/>
            <w:gridSpan w:val="2"/>
            <w:tcBorders>
              <w:bottom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r w:rsidRPr="007E0CF7">
              <w:rPr>
                <w:rFonts w:ascii="Verdana" w:hAnsi="Verdana"/>
                <w:color w:val="000000"/>
                <w:sz w:val="18"/>
                <w:szCs w:val="18"/>
              </w:rPr>
              <w:t>+21%</w:t>
            </w:r>
          </w:p>
        </w:tc>
      </w:tr>
      <w:tr w:rsidR="00336A52" w:rsidRPr="007E0CF7" w:rsidTr="0072255D">
        <w:tc>
          <w:tcPr>
            <w:tcW w:w="2924" w:type="dxa"/>
            <w:tcBorders>
              <w:top w:val="single" w:sz="4" w:space="0" w:color="auto"/>
            </w:tcBorders>
            <w:vAlign w:val="bottom"/>
          </w:tcPr>
          <w:p w:rsidR="00336A52" w:rsidRPr="007E0CF7" w:rsidRDefault="00336A52" w:rsidP="00283B18">
            <w:pPr>
              <w:tabs>
                <w:tab w:val="right" w:pos="3960"/>
                <w:tab w:val="right" w:pos="5670"/>
                <w:tab w:val="left" w:pos="7380"/>
                <w:tab w:val="right" w:pos="8460"/>
              </w:tabs>
              <w:spacing w:line="276" w:lineRule="auto"/>
              <w:rPr>
                <w:rFonts w:ascii="Verdana" w:hAnsi="Verdana"/>
                <w:b/>
                <w:sz w:val="18"/>
                <w:szCs w:val="18"/>
              </w:rPr>
            </w:pPr>
          </w:p>
        </w:tc>
        <w:tc>
          <w:tcPr>
            <w:tcW w:w="904" w:type="dxa"/>
            <w:gridSpan w:val="2"/>
            <w:tcBorders>
              <w:top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p>
        </w:tc>
        <w:tc>
          <w:tcPr>
            <w:tcW w:w="1490" w:type="dxa"/>
            <w:gridSpan w:val="2"/>
            <w:tcBorders>
              <w:top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color w:val="000000"/>
                <w:sz w:val="18"/>
                <w:szCs w:val="18"/>
              </w:rPr>
            </w:pPr>
          </w:p>
        </w:tc>
        <w:tc>
          <w:tcPr>
            <w:tcW w:w="283" w:type="dxa"/>
            <w:gridSpan w:val="3"/>
            <w:tcBorders>
              <w:top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p>
        </w:tc>
        <w:tc>
          <w:tcPr>
            <w:tcW w:w="1271" w:type="dxa"/>
            <w:gridSpan w:val="2"/>
            <w:tcBorders>
              <w:top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color w:val="000000"/>
                <w:sz w:val="18"/>
                <w:szCs w:val="18"/>
              </w:rPr>
            </w:pPr>
          </w:p>
        </w:tc>
        <w:tc>
          <w:tcPr>
            <w:tcW w:w="282" w:type="dxa"/>
            <w:gridSpan w:val="2"/>
            <w:tcBorders>
              <w:top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034" w:type="dxa"/>
            <w:gridSpan w:val="2"/>
            <w:tcBorders>
              <w:top w:val="single" w:sz="4" w:space="0" w:color="auto"/>
            </w:tcBorders>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color w:val="000000"/>
                <w:sz w:val="18"/>
                <w:szCs w:val="18"/>
              </w:rPr>
            </w:pPr>
          </w:p>
        </w:tc>
      </w:tr>
      <w:tr w:rsidR="00336A52" w:rsidRPr="007E0CF7" w:rsidTr="004B0FE9">
        <w:tc>
          <w:tcPr>
            <w:tcW w:w="2924" w:type="dxa"/>
            <w:vAlign w:val="bottom"/>
          </w:tcPr>
          <w:p w:rsidR="00336A52" w:rsidRPr="007E0CF7" w:rsidRDefault="00336A52" w:rsidP="00283B18">
            <w:pPr>
              <w:tabs>
                <w:tab w:val="right" w:pos="3960"/>
                <w:tab w:val="right" w:pos="5670"/>
                <w:tab w:val="left" w:pos="7380"/>
                <w:tab w:val="right" w:pos="8460"/>
              </w:tabs>
              <w:spacing w:line="276" w:lineRule="auto"/>
              <w:rPr>
                <w:rFonts w:ascii="Verdana" w:hAnsi="Verdana"/>
                <w:b/>
                <w:sz w:val="18"/>
                <w:szCs w:val="18"/>
              </w:rPr>
            </w:pPr>
            <w:r w:rsidRPr="007E0CF7">
              <w:rPr>
                <w:rFonts w:ascii="Verdana" w:hAnsi="Verdana"/>
                <w:b/>
                <w:sz w:val="18"/>
                <w:szCs w:val="18"/>
              </w:rPr>
              <w:t>Total</w:t>
            </w:r>
          </w:p>
        </w:tc>
        <w:tc>
          <w:tcPr>
            <w:tcW w:w="904"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p>
        </w:tc>
        <w:tc>
          <w:tcPr>
            <w:tcW w:w="1490"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r w:rsidRPr="007E0CF7">
              <w:rPr>
                <w:rFonts w:ascii="Verdana" w:hAnsi="Verdana"/>
                <w:b/>
                <w:color w:val="000000"/>
                <w:sz w:val="18"/>
                <w:szCs w:val="18"/>
              </w:rPr>
              <w:t>5,338</w:t>
            </w:r>
          </w:p>
        </w:tc>
        <w:tc>
          <w:tcPr>
            <w:tcW w:w="283" w:type="dxa"/>
            <w:gridSpan w:val="3"/>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p>
        </w:tc>
        <w:tc>
          <w:tcPr>
            <w:tcW w:w="1271"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r w:rsidRPr="007E0CF7">
              <w:rPr>
                <w:rFonts w:ascii="Verdana" w:hAnsi="Verdana"/>
                <w:b/>
                <w:color w:val="000000"/>
                <w:sz w:val="18"/>
                <w:szCs w:val="18"/>
              </w:rPr>
              <w:t>4,912</w:t>
            </w:r>
          </w:p>
        </w:tc>
        <w:tc>
          <w:tcPr>
            <w:tcW w:w="282"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Cs/>
                <w:color w:val="000000"/>
                <w:sz w:val="18"/>
                <w:szCs w:val="18"/>
              </w:rPr>
            </w:pPr>
          </w:p>
        </w:tc>
        <w:tc>
          <w:tcPr>
            <w:tcW w:w="1034" w:type="dxa"/>
            <w:gridSpan w:val="2"/>
          </w:tcPr>
          <w:p w:rsidR="00336A52" w:rsidRPr="007E0CF7" w:rsidRDefault="00336A52" w:rsidP="004F1D31">
            <w:pPr>
              <w:tabs>
                <w:tab w:val="right" w:pos="3960"/>
                <w:tab w:val="right" w:pos="5670"/>
                <w:tab w:val="left" w:pos="7380"/>
                <w:tab w:val="right" w:pos="8460"/>
              </w:tabs>
              <w:spacing w:line="276" w:lineRule="auto"/>
              <w:jc w:val="right"/>
              <w:rPr>
                <w:rFonts w:ascii="Verdana" w:hAnsi="Verdana"/>
                <w:b/>
                <w:bCs/>
                <w:color w:val="000000"/>
                <w:sz w:val="18"/>
                <w:szCs w:val="18"/>
              </w:rPr>
            </w:pPr>
            <w:r w:rsidRPr="007E0CF7">
              <w:rPr>
                <w:rFonts w:ascii="Verdana" w:hAnsi="Verdana"/>
                <w:b/>
                <w:color w:val="000000"/>
                <w:sz w:val="18"/>
                <w:szCs w:val="18"/>
              </w:rPr>
              <w:t>+9%</w:t>
            </w:r>
          </w:p>
        </w:tc>
      </w:tr>
    </w:tbl>
    <w:p w:rsidR="00766144" w:rsidRPr="007E0CF7" w:rsidRDefault="00766144" w:rsidP="00283B18">
      <w:pPr>
        <w:spacing w:line="276" w:lineRule="auto"/>
        <w:rPr>
          <w:rFonts w:ascii="Verdana" w:hAnsi="Verdana" w:cs="Verdana"/>
          <w:sz w:val="18"/>
          <w:szCs w:val="18"/>
          <w:highlight w:val="yellow"/>
        </w:rPr>
      </w:pPr>
    </w:p>
    <w:p w:rsidR="00B8595D" w:rsidRPr="007E0CF7" w:rsidRDefault="00B8595D" w:rsidP="00283B18">
      <w:pPr>
        <w:spacing w:line="276" w:lineRule="auto"/>
        <w:rPr>
          <w:rFonts w:ascii="Verdana" w:hAnsi="Verdana" w:cs="Verdana"/>
          <w:sz w:val="18"/>
          <w:szCs w:val="18"/>
          <w:highlight w:val="yellow"/>
        </w:rPr>
      </w:pPr>
    </w:p>
    <w:p w:rsidR="00766144" w:rsidRPr="007E0CF7" w:rsidRDefault="00766144" w:rsidP="00283B18">
      <w:pPr>
        <w:spacing w:line="276" w:lineRule="auto"/>
        <w:rPr>
          <w:rFonts w:ascii="Verdana" w:hAnsi="Verdana"/>
          <w:b/>
          <w:color w:val="B71234"/>
          <w:sz w:val="18"/>
          <w:szCs w:val="18"/>
        </w:rPr>
      </w:pPr>
      <w:r w:rsidRPr="007E0CF7">
        <w:rPr>
          <w:rFonts w:ascii="Verdana" w:hAnsi="Verdana"/>
          <w:b/>
          <w:color w:val="B71234"/>
          <w:sz w:val="18"/>
          <w:szCs w:val="18"/>
        </w:rPr>
        <w:t xml:space="preserve">Developments </w:t>
      </w:r>
    </w:p>
    <w:p w:rsidR="00682A32" w:rsidRPr="007E0CF7" w:rsidRDefault="00682A32" w:rsidP="00283B18">
      <w:pPr>
        <w:spacing w:line="276" w:lineRule="auto"/>
        <w:rPr>
          <w:rFonts w:ascii="Verdana" w:hAnsi="Verdana"/>
          <w:sz w:val="18"/>
          <w:szCs w:val="18"/>
        </w:rPr>
      </w:pPr>
      <w:r w:rsidRPr="007E0CF7">
        <w:rPr>
          <w:rFonts w:ascii="Verdana" w:hAnsi="Verdana"/>
          <w:sz w:val="18"/>
          <w:szCs w:val="18"/>
        </w:rPr>
        <w:t xml:space="preserve">Our strategic move to larger and long-term projects brings more predictable and recurring </w:t>
      </w:r>
      <w:r w:rsidR="00774BB3">
        <w:rPr>
          <w:rFonts w:ascii="Verdana" w:hAnsi="Verdana"/>
          <w:sz w:val="18"/>
          <w:szCs w:val="18"/>
        </w:rPr>
        <w:t>sales</w:t>
      </w:r>
      <w:r w:rsidRPr="007E0CF7">
        <w:rPr>
          <w:rFonts w:ascii="Verdana" w:hAnsi="Verdana"/>
          <w:sz w:val="18"/>
          <w:szCs w:val="18"/>
        </w:rPr>
        <w:t>. In 2015 we succeeded in concluding a number of long-term contracts with reputed companies in our focus sectors. One of our top 3 customers is among the top 500 fastest growing and most innovative companies in Germany.</w:t>
      </w:r>
    </w:p>
    <w:p w:rsidR="00E95087" w:rsidRPr="007E0CF7" w:rsidRDefault="00E95087" w:rsidP="00283B18">
      <w:pPr>
        <w:spacing w:line="276" w:lineRule="auto"/>
        <w:rPr>
          <w:rFonts w:ascii="Verdana" w:hAnsi="Verdana"/>
          <w:sz w:val="18"/>
          <w:szCs w:val="18"/>
        </w:rPr>
      </w:pPr>
    </w:p>
    <w:p w:rsidR="00682A32" w:rsidRPr="007E0CF7" w:rsidRDefault="00682A32" w:rsidP="00283B18">
      <w:pPr>
        <w:spacing w:line="276" w:lineRule="auto"/>
        <w:rPr>
          <w:rFonts w:ascii="Verdana" w:hAnsi="Verdana"/>
          <w:sz w:val="18"/>
          <w:szCs w:val="18"/>
        </w:rPr>
      </w:pPr>
      <w:r w:rsidRPr="007E0CF7">
        <w:rPr>
          <w:rFonts w:ascii="Verdana" w:hAnsi="Verdana"/>
          <w:sz w:val="18"/>
          <w:szCs w:val="18"/>
        </w:rPr>
        <w:t xml:space="preserve">In 2014 we decided to set up our Automotive Competence Centre in order to be able to offer new services that are required and expected for automotive projects. Our main objectives were to act as an expert first point of contact for automotive customers wishing to subcontract individual services such as component qualification, or searching for a component manufacturer to develop a new component and deliver it – under agreed accountability – to the corresponding customer’s site. Our efforts resulted in </w:t>
      </w:r>
      <w:r w:rsidR="007E0CF7">
        <w:rPr>
          <w:rFonts w:ascii="Verdana" w:hAnsi="Verdana"/>
          <w:sz w:val="18"/>
          <w:szCs w:val="18"/>
        </w:rPr>
        <w:t>acceptance</w:t>
      </w:r>
      <w:r w:rsidR="007E0CF7" w:rsidRPr="007E0CF7">
        <w:rPr>
          <w:rFonts w:ascii="Verdana" w:hAnsi="Verdana"/>
          <w:sz w:val="18"/>
          <w:szCs w:val="18"/>
        </w:rPr>
        <w:t xml:space="preserve"> </w:t>
      </w:r>
      <w:r w:rsidRPr="007E0CF7">
        <w:rPr>
          <w:rFonts w:ascii="Verdana" w:hAnsi="Verdana"/>
          <w:sz w:val="18"/>
          <w:szCs w:val="18"/>
        </w:rPr>
        <w:t>and recommendation from the automotive sector and as a result we succeeded in concluding two large contracts with well</w:t>
      </w:r>
      <w:r w:rsidR="007E0CF7">
        <w:rPr>
          <w:rFonts w:ascii="Verdana" w:hAnsi="Verdana"/>
          <w:sz w:val="18"/>
          <w:szCs w:val="18"/>
        </w:rPr>
        <w:t>-</w:t>
      </w:r>
      <w:r w:rsidRPr="007E0CF7">
        <w:rPr>
          <w:rFonts w:ascii="Verdana" w:hAnsi="Verdana"/>
          <w:sz w:val="18"/>
          <w:szCs w:val="18"/>
        </w:rPr>
        <w:t>known comp</w:t>
      </w:r>
      <w:r w:rsidR="00E95087" w:rsidRPr="007E0CF7">
        <w:rPr>
          <w:rFonts w:ascii="Verdana" w:hAnsi="Verdana"/>
          <w:sz w:val="18"/>
          <w:szCs w:val="18"/>
        </w:rPr>
        <w:t>anies in the automotive sector.</w:t>
      </w:r>
    </w:p>
    <w:p w:rsidR="00E95087" w:rsidRPr="007E0CF7" w:rsidRDefault="00E95087" w:rsidP="00283B18">
      <w:pPr>
        <w:spacing w:line="276" w:lineRule="auto"/>
        <w:rPr>
          <w:rFonts w:ascii="Verdana" w:hAnsi="Verdana"/>
          <w:sz w:val="18"/>
          <w:szCs w:val="18"/>
        </w:rPr>
      </w:pPr>
    </w:p>
    <w:p w:rsidR="00682A32" w:rsidRPr="007E0CF7" w:rsidRDefault="00682A32" w:rsidP="00283B18">
      <w:pPr>
        <w:spacing w:line="276" w:lineRule="auto"/>
        <w:rPr>
          <w:rFonts w:ascii="Verdana" w:hAnsi="Verdana"/>
          <w:sz w:val="18"/>
          <w:szCs w:val="18"/>
        </w:rPr>
      </w:pPr>
      <w:r w:rsidRPr="007E0CF7">
        <w:rPr>
          <w:rFonts w:ascii="Verdana" w:hAnsi="Verdana"/>
          <w:sz w:val="18"/>
          <w:szCs w:val="18"/>
        </w:rPr>
        <w:t>We achieved a partnership in two public</w:t>
      </w:r>
      <w:r w:rsidR="007E0CF7">
        <w:rPr>
          <w:rFonts w:ascii="Verdana" w:hAnsi="Verdana"/>
          <w:sz w:val="18"/>
          <w:szCs w:val="18"/>
        </w:rPr>
        <w:t>ly</w:t>
      </w:r>
      <w:r w:rsidRPr="007E0CF7">
        <w:rPr>
          <w:rFonts w:ascii="Verdana" w:hAnsi="Verdana"/>
          <w:sz w:val="18"/>
          <w:szCs w:val="18"/>
        </w:rPr>
        <w:t xml:space="preserve"> funded projects. Being a partner in a consortium with leading companies enhances our visibility in the market and so strengthens our reputation and on top of that it will help us to gain further expertise. Both projects are in the field of Industry 4.0</w:t>
      </w:r>
      <w:r w:rsidR="006A5F45" w:rsidRPr="007E0CF7">
        <w:rPr>
          <w:rFonts w:ascii="Verdana" w:hAnsi="Verdana"/>
          <w:sz w:val="18"/>
          <w:szCs w:val="18"/>
        </w:rPr>
        <w:t xml:space="preserve"> </w:t>
      </w:r>
      <w:r w:rsidR="006A5F45" w:rsidRPr="00774BB3">
        <w:rPr>
          <w:rFonts w:ascii="Verdana" w:hAnsi="Verdana"/>
          <w:sz w:val="18"/>
          <w:szCs w:val="18"/>
        </w:rPr>
        <w:t xml:space="preserve">/ </w:t>
      </w:r>
      <w:proofErr w:type="spellStart"/>
      <w:r w:rsidR="006A5F45" w:rsidRPr="00774BB3">
        <w:rPr>
          <w:rFonts w:ascii="Verdana" w:hAnsi="Verdana"/>
          <w:sz w:val="18"/>
          <w:szCs w:val="18"/>
        </w:rPr>
        <w:t>IoT</w:t>
      </w:r>
      <w:proofErr w:type="spellEnd"/>
      <w:r w:rsidR="00774BB3">
        <w:rPr>
          <w:rFonts w:ascii="Verdana" w:hAnsi="Verdana"/>
          <w:sz w:val="18"/>
          <w:szCs w:val="18"/>
        </w:rPr>
        <w:t xml:space="preserve"> (Internet of Things)</w:t>
      </w:r>
      <w:r w:rsidRPr="007E0CF7">
        <w:rPr>
          <w:rFonts w:ascii="Verdana" w:hAnsi="Verdana"/>
          <w:sz w:val="18"/>
          <w:szCs w:val="18"/>
        </w:rPr>
        <w:t xml:space="preserve">, which is one of our focus areas for 2016 and </w:t>
      </w:r>
      <w:r w:rsidR="007E0CF7">
        <w:rPr>
          <w:rFonts w:ascii="Verdana" w:hAnsi="Verdana"/>
          <w:sz w:val="18"/>
          <w:szCs w:val="18"/>
        </w:rPr>
        <w:t>beyond</w:t>
      </w:r>
      <w:r w:rsidRPr="007E0CF7">
        <w:rPr>
          <w:rFonts w:ascii="Verdana" w:hAnsi="Verdana"/>
          <w:sz w:val="18"/>
          <w:szCs w:val="18"/>
        </w:rPr>
        <w:t>. Industry 4.</w:t>
      </w:r>
      <w:r w:rsidRPr="00774BB3">
        <w:rPr>
          <w:rFonts w:ascii="Verdana" w:hAnsi="Verdana"/>
          <w:sz w:val="18"/>
          <w:szCs w:val="18"/>
        </w:rPr>
        <w:t>0</w:t>
      </w:r>
      <w:r w:rsidR="006A5F45" w:rsidRPr="00774BB3">
        <w:rPr>
          <w:rFonts w:ascii="Verdana" w:hAnsi="Verdana"/>
          <w:sz w:val="18"/>
          <w:szCs w:val="18"/>
        </w:rPr>
        <w:t xml:space="preserve"> / </w:t>
      </w:r>
      <w:proofErr w:type="spellStart"/>
      <w:r w:rsidR="006A5F45" w:rsidRPr="00774BB3">
        <w:rPr>
          <w:rFonts w:ascii="Verdana" w:hAnsi="Verdana"/>
          <w:sz w:val="18"/>
          <w:szCs w:val="18"/>
        </w:rPr>
        <w:t>IoT</w:t>
      </w:r>
      <w:proofErr w:type="spellEnd"/>
      <w:r w:rsidRPr="007E0CF7">
        <w:rPr>
          <w:rFonts w:ascii="Verdana" w:hAnsi="Verdana"/>
          <w:sz w:val="18"/>
          <w:szCs w:val="18"/>
        </w:rPr>
        <w:t xml:space="preserve"> means extensive networking, using innovative IT systems that enable entirely new production methods.</w:t>
      </w:r>
    </w:p>
    <w:p w:rsidR="00E95087" w:rsidRPr="007E0CF7" w:rsidRDefault="00E95087" w:rsidP="00283B18">
      <w:pPr>
        <w:spacing w:line="276" w:lineRule="auto"/>
        <w:rPr>
          <w:rFonts w:ascii="Verdana" w:hAnsi="Verdana"/>
          <w:sz w:val="18"/>
          <w:szCs w:val="18"/>
        </w:rPr>
      </w:pPr>
    </w:p>
    <w:p w:rsidR="00682A32" w:rsidRPr="007E0CF7" w:rsidRDefault="00682A32" w:rsidP="00283B18">
      <w:pPr>
        <w:spacing w:line="276" w:lineRule="auto"/>
        <w:rPr>
          <w:rFonts w:ascii="Verdana" w:hAnsi="Verdana"/>
          <w:sz w:val="18"/>
          <w:szCs w:val="18"/>
        </w:rPr>
      </w:pPr>
      <w:r w:rsidRPr="007E0CF7">
        <w:rPr>
          <w:rFonts w:ascii="Verdana" w:hAnsi="Verdana"/>
          <w:sz w:val="18"/>
          <w:szCs w:val="18"/>
        </w:rPr>
        <w:t>We have concluded a major collaboration agreement with one of Europe's leading and most successful fabless companies (design houses). This design house develops many high</w:t>
      </w:r>
      <w:r w:rsidR="00CB2471">
        <w:rPr>
          <w:rFonts w:ascii="Verdana" w:hAnsi="Verdana"/>
          <w:sz w:val="18"/>
          <w:szCs w:val="18"/>
        </w:rPr>
        <w:t>-</w:t>
      </w:r>
      <w:r w:rsidRPr="007E0CF7">
        <w:rPr>
          <w:rFonts w:ascii="Verdana" w:hAnsi="Verdana"/>
          <w:sz w:val="18"/>
          <w:szCs w:val="18"/>
        </w:rPr>
        <w:t xml:space="preserve">grade microchips every year. Due to its growth, the design house felt a need to select a specialist supplier who could support it in manufacturing high-grade microchips (high-reliability chips) and in its growth process. Our experience, knowledge and infrastructure, including our equipment, proved to be a perfect match to the design house's needs. Depending on the product (the chip), we will provide both individual services and backend manufacturing services. With this agreement we have gained a new customer relationship with one of the leading fabless companies including a new order, and </w:t>
      </w:r>
      <w:r w:rsidR="00CB2471">
        <w:rPr>
          <w:rFonts w:ascii="Verdana" w:hAnsi="Verdana"/>
          <w:sz w:val="18"/>
          <w:szCs w:val="18"/>
        </w:rPr>
        <w:t>we are</w:t>
      </w:r>
      <w:r w:rsidR="00CB2471" w:rsidRPr="007E0CF7">
        <w:rPr>
          <w:rFonts w:ascii="Verdana" w:hAnsi="Verdana"/>
          <w:sz w:val="18"/>
          <w:szCs w:val="18"/>
        </w:rPr>
        <w:t xml:space="preserve"> </w:t>
      </w:r>
      <w:r w:rsidRPr="007E0CF7">
        <w:rPr>
          <w:rFonts w:ascii="Verdana" w:hAnsi="Verdana"/>
          <w:sz w:val="18"/>
          <w:szCs w:val="18"/>
        </w:rPr>
        <w:t>preparing for a second new order for this customer.</w:t>
      </w:r>
    </w:p>
    <w:p w:rsidR="008348AA" w:rsidRPr="007E0CF7" w:rsidRDefault="00682A32" w:rsidP="00283B18">
      <w:pPr>
        <w:spacing w:line="276" w:lineRule="auto"/>
        <w:rPr>
          <w:rFonts w:ascii="Verdana" w:hAnsi="Verdana"/>
          <w:sz w:val="18"/>
          <w:szCs w:val="18"/>
        </w:rPr>
      </w:pPr>
      <w:r w:rsidRPr="007E0CF7">
        <w:rPr>
          <w:rFonts w:ascii="Verdana" w:hAnsi="Verdana"/>
          <w:sz w:val="18"/>
          <w:szCs w:val="18"/>
        </w:rPr>
        <w:t xml:space="preserve">These developments and also the fact that we are accepted by some big players in the market (assembly houses, wafer </w:t>
      </w:r>
      <w:proofErr w:type="spellStart"/>
      <w:r w:rsidRPr="007E0CF7">
        <w:rPr>
          <w:rFonts w:ascii="Verdana" w:hAnsi="Verdana"/>
          <w:sz w:val="18"/>
          <w:szCs w:val="18"/>
        </w:rPr>
        <w:t>fabs</w:t>
      </w:r>
      <w:proofErr w:type="spellEnd"/>
      <w:r w:rsidRPr="007E0CF7">
        <w:rPr>
          <w:rFonts w:ascii="Verdana" w:hAnsi="Verdana"/>
          <w:sz w:val="18"/>
          <w:szCs w:val="18"/>
        </w:rPr>
        <w:t xml:space="preserve"> and Ele</w:t>
      </w:r>
      <w:r w:rsidR="00E95087" w:rsidRPr="007E0CF7">
        <w:rPr>
          <w:rFonts w:ascii="Verdana" w:hAnsi="Verdana"/>
          <w:sz w:val="18"/>
          <w:szCs w:val="18"/>
        </w:rPr>
        <w:t>c</w:t>
      </w:r>
      <w:r w:rsidRPr="007E0CF7">
        <w:rPr>
          <w:rFonts w:ascii="Verdana" w:hAnsi="Verdana"/>
          <w:sz w:val="18"/>
          <w:szCs w:val="18"/>
        </w:rPr>
        <w:t>tronic Manufacturing Services) proves that we are recogni</w:t>
      </w:r>
      <w:r w:rsidR="00CB2471">
        <w:rPr>
          <w:rFonts w:ascii="Verdana" w:hAnsi="Verdana"/>
          <w:sz w:val="18"/>
          <w:szCs w:val="18"/>
        </w:rPr>
        <w:t>s</w:t>
      </w:r>
      <w:r w:rsidRPr="007E0CF7">
        <w:rPr>
          <w:rFonts w:ascii="Verdana" w:hAnsi="Verdana"/>
          <w:sz w:val="18"/>
          <w:szCs w:val="18"/>
        </w:rPr>
        <w:t xml:space="preserve">ed as a serious player. This, </w:t>
      </w:r>
      <w:r w:rsidR="00CB2471">
        <w:rPr>
          <w:rFonts w:ascii="Verdana" w:hAnsi="Verdana"/>
          <w:sz w:val="18"/>
          <w:szCs w:val="18"/>
        </w:rPr>
        <w:t>next to</w:t>
      </w:r>
      <w:r w:rsidRPr="007E0CF7">
        <w:rPr>
          <w:rFonts w:ascii="Verdana" w:hAnsi="Verdana"/>
          <w:sz w:val="18"/>
          <w:szCs w:val="18"/>
        </w:rPr>
        <w:t xml:space="preserve"> concluding contracts and receiving orders, </w:t>
      </w:r>
      <w:r w:rsidR="00CB2471">
        <w:rPr>
          <w:rFonts w:ascii="Verdana" w:hAnsi="Verdana"/>
          <w:sz w:val="18"/>
          <w:szCs w:val="18"/>
        </w:rPr>
        <w:t xml:space="preserve">is </w:t>
      </w:r>
      <w:r w:rsidRPr="007E0CF7">
        <w:rPr>
          <w:rFonts w:ascii="Verdana" w:hAnsi="Verdana"/>
          <w:sz w:val="18"/>
          <w:szCs w:val="18"/>
        </w:rPr>
        <w:t>very important for our reputation and our visibility in the market and therefore crucial for our future growth.</w:t>
      </w:r>
      <w:r w:rsidR="00252EC9">
        <w:rPr>
          <w:rFonts w:ascii="Verdana" w:hAnsi="Verdana"/>
          <w:sz w:val="18"/>
          <w:szCs w:val="18"/>
        </w:rPr>
        <w:t xml:space="preserve"> </w:t>
      </w:r>
    </w:p>
    <w:p w:rsidR="00283B18" w:rsidRDefault="00283B18" w:rsidP="00283B18">
      <w:pPr>
        <w:spacing w:after="200" w:line="276" w:lineRule="auto"/>
        <w:rPr>
          <w:rFonts w:ascii="Verdana" w:hAnsi="Verdana"/>
          <w:sz w:val="18"/>
          <w:szCs w:val="18"/>
        </w:rPr>
      </w:pPr>
      <w:r>
        <w:rPr>
          <w:rFonts w:ascii="Verdana" w:hAnsi="Verdana"/>
          <w:sz w:val="18"/>
          <w:szCs w:val="18"/>
        </w:rPr>
        <w:br w:type="page"/>
      </w:r>
    </w:p>
    <w:p w:rsidR="003A4C66" w:rsidRPr="007E0CF7" w:rsidRDefault="00E95087" w:rsidP="00283B18">
      <w:pPr>
        <w:spacing w:line="276" w:lineRule="auto"/>
        <w:rPr>
          <w:rFonts w:ascii="Verdana" w:hAnsi="Verdana"/>
          <w:b/>
          <w:color w:val="B71234"/>
          <w:sz w:val="18"/>
          <w:szCs w:val="18"/>
        </w:rPr>
      </w:pPr>
      <w:r w:rsidRPr="007E0CF7">
        <w:rPr>
          <w:rFonts w:ascii="Verdana" w:hAnsi="Verdana"/>
          <w:b/>
          <w:color w:val="B71234"/>
          <w:sz w:val="18"/>
          <w:szCs w:val="18"/>
        </w:rPr>
        <w:lastRenderedPageBreak/>
        <w:t>Trends 2015</w:t>
      </w:r>
    </w:p>
    <w:p w:rsidR="00E95087" w:rsidRPr="007E0CF7" w:rsidRDefault="00E95087" w:rsidP="00283B18">
      <w:pPr>
        <w:spacing w:line="276" w:lineRule="auto"/>
        <w:rPr>
          <w:rFonts w:ascii="Verdana" w:hAnsi="Verdana"/>
          <w:i/>
          <w:sz w:val="18"/>
          <w:szCs w:val="18"/>
        </w:rPr>
      </w:pPr>
      <w:r w:rsidRPr="007E0CF7">
        <w:rPr>
          <w:rFonts w:ascii="Verdana" w:hAnsi="Verdana"/>
          <w:i/>
          <w:sz w:val="18"/>
          <w:szCs w:val="18"/>
        </w:rPr>
        <w:t>Outsourcing</w:t>
      </w:r>
    </w:p>
    <w:p w:rsidR="00E95087" w:rsidRPr="007E0CF7" w:rsidRDefault="00E95087" w:rsidP="00283B18">
      <w:pPr>
        <w:spacing w:line="276" w:lineRule="auto"/>
        <w:rPr>
          <w:rFonts w:ascii="Verdana" w:hAnsi="Verdana"/>
          <w:sz w:val="18"/>
          <w:szCs w:val="18"/>
        </w:rPr>
      </w:pPr>
      <w:r w:rsidRPr="007E0CF7">
        <w:rPr>
          <w:rFonts w:ascii="Verdana" w:hAnsi="Verdana"/>
          <w:sz w:val="18"/>
          <w:szCs w:val="18"/>
        </w:rPr>
        <w:t xml:space="preserve">Medium-sized companies are increasingly working together in order to raise their joint services to a higher level so as to best combat competition from Asian countries. OEMs who still develop ASICs or other chips in-house will increasingly outsource this work to independent service providers like </w:t>
      </w:r>
      <w:proofErr w:type="spellStart"/>
      <w:r w:rsidRPr="007C34E7">
        <w:rPr>
          <w:rFonts w:ascii="Verdana" w:hAnsi="Verdana"/>
          <w:color w:val="B71234"/>
          <w:sz w:val="18"/>
          <w:szCs w:val="18"/>
        </w:rPr>
        <w:t>Rood</w:t>
      </w:r>
      <w:r w:rsidRPr="007E0CF7">
        <w:rPr>
          <w:rFonts w:ascii="Verdana" w:hAnsi="Verdana"/>
          <w:sz w:val="18"/>
          <w:szCs w:val="18"/>
        </w:rPr>
        <w:t>Microtec</w:t>
      </w:r>
      <w:proofErr w:type="spellEnd"/>
      <w:r w:rsidRPr="007E0CF7">
        <w:rPr>
          <w:rFonts w:ascii="Verdana" w:hAnsi="Verdana"/>
          <w:sz w:val="18"/>
          <w:szCs w:val="18"/>
        </w:rPr>
        <w:t xml:space="preserve">. This outsourcing trend is expected to continue. Partly due to our infrastructure, we are in an excellent position to profit from this optimally. We are highly experienced in a wide range of services, such as test engineering, failure &amp; technology analysis and qualification &amp; reliability. With shock proofing, thermal load and electrostatic discharge tests, we are uniquely able to investigate whether products will function under all conditions and predict their expected life. Another benefit is that as an independent service provider </w:t>
      </w:r>
      <w:r w:rsidR="00DD265B" w:rsidRPr="007E0CF7">
        <w:rPr>
          <w:rFonts w:ascii="Verdana" w:hAnsi="Verdana"/>
          <w:sz w:val="18"/>
          <w:szCs w:val="18"/>
        </w:rPr>
        <w:t xml:space="preserve">we </w:t>
      </w:r>
      <w:r w:rsidRPr="007E0CF7">
        <w:rPr>
          <w:rFonts w:ascii="Verdana" w:hAnsi="Verdana"/>
          <w:sz w:val="18"/>
          <w:szCs w:val="18"/>
        </w:rPr>
        <w:t>are never in competition with the I</w:t>
      </w:r>
      <w:r w:rsidR="00DD265B">
        <w:rPr>
          <w:rFonts w:ascii="Verdana" w:hAnsi="Verdana"/>
          <w:sz w:val="18"/>
          <w:szCs w:val="18"/>
        </w:rPr>
        <w:t xml:space="preserve">ntellectual </w:t>
      </w:r>
      <w:r w:rsidRPr="007E0CF7">
        <w:rPr>
          <w:rFonts w:ascii="Verdana" w:hAnsi="Verdana"/>
          <w:sz w:val="18"/>
          <w:szCs w:val="18"/>
        </w:rPr>
        <w:t>P</w:t>
      </w:r>
      <w:r w:rsidR="00DD265B">
        <w:rPr>
          <w:rFonts w:ascii="Verdana" w:hAnsi="Verdana"/>
          <w:sz w:val="18"/>
          <w:szCs w:val="18"/>
        </w:rPr>
        <w:t>roperty</w:t>
      </w:r>
      <w:r w:rsidR="0047321C">
        <w:rPr>
          <w:rFonts w:ascii="Verdana" w:hAnsi="Verdana"/>
          <w:sz w:val="18"/>
          <w:szCs w:val="18"/>
        </w:rPr>
        <w:t xml:space="preserve"> (IP)</w:t>
      </w:r>
      <w:r w:rsidRPr="007E0CF7">
        <w:rPr>
          <w:rFonts w:ascii="Verdana" w:hAnsi="Verdana"/>
          <w:sz w:val="18"/>
          <w:szCs w:val="18"/>
        </w:rPr>
        <w:t xml:space="preserve"> of other companies</w:t>
      </w:r>
      <w:r w:rsidR="00DD265B">
        <w:rPr>
          <w:rFonts w:ascii="Verdana" w:hAnsi="Verdana"/>
          <w:sz w:val="18"/>
          <w:szCs w:val="18"/>
        </w:rPr>
        <w:t>;</w:t>
      </w:r>
      <w:r w:rsidRPr="007E0CF7">
        <w:rPr>
          <w:rFonts w:ascii="Verdana" w:hAnsi="Verdana"/>
          <w:sz w:val="18"/>
          <w:szCs w:val="18"/>
        </w:rPr>
        <w:t xml:space="preserve"> in fact we can protect our customers' IP.</w:t>
      </w:r>
    </w:p>
    <w:p w:rsidR="00E95087" w:rsidRPr="007E0CF7" w:rsidRDefault="00E95087" w:rsidP="00283B18">
      <w:pPr>
        <w:spacing w:line="276" w:lineRule="auto"/>
        <w:rPr>
          <w:rFonts w:ascii="Verdana" w:hAnsi="Verdana"/>
          <w:sz w:val="18"/>
          <w:szCs w:val="18"/>
        </w:rPr>
      </w:pPr>
    </w:p>
    <w:p w:rsidR="00E95087" w:rsidRPr="007E0CF7" w:rsidRDefault="00E95087" w:rsidP="00283B18">
      <w:pPr>
        <w:spacing w:line="276" w:lineRule="auto"/>
        <w:rPr>
          <w:rFonts w:ascii="Verdana" w:hAnsi="Verdana"/>
          <w:i/>
          <w:sz w:val="18"/>
          <w:szCs w:val="18"/>
        </w:rPr>
      </w:pPr>
      <w:r w:rsidRPr="007E0CF7">
        <w:rPr>
          <w:rFonts w:ascii="Verdana" w:hAnsi="Verdana"/>
          <w:i/>
          <w:sz w:val="18"/>
          <w:szCs w:val="18"/>
        </w:rPr>
        <w:t>Automotive</w:t>
      </w:r>
    </w:p>
    <w:p w:rsidR="00E95087" w:rsidRPr="007E0CF7" w:rsidRDefault="00E95087" w:rsidP="00283B18">
      <w:pPr>
        <w:spacing w:line="276" w:lineRule="auto"/>
        <w:rPr>
          <w:rFonts w:ascii="Verdana" w:hAnsi="Verdana"/>
          <w:sz w:val="18"/>
          <w:szCs w:val="18"/>
        </w:rPr>
      </w:pPr>
      <w:r w:rsidRPr="007E0CF7">
        <w:rPr>
          <w:rFonts w:ascii="Verdana" w:hAnsi="Verdana"/>
          <w:sz w:val="18"/>
          <w:szCs w:val="18"/>
        </w:rPr>
        <w:t xml:space="preserve">For a number of reasons, the automotive sector promises to be a particularly dynamic driver of growth for the semiconductor industry. Although the conventional car is still selling well, electric cars and hybrids </w:t>
      </w:r>
      <w:r w:rsidR="000C31B5">
        <w:rPr>
          <w:rFonts w:ascii="Verdana" w:hAnsi="Verdana"/>
          <w:sz w:val="18"/>
          <w:szCs w:val="18"/>
        </w:rPr>
        <w:t xml:space="preserve">are </w:t>
      </w:r>
      <w:r w:rsidRPr="007E0CF7">
        <w:rPr>
          <w:rFonts w:ascii="Verdana" w:hAnsi="Verdana"/>
          <w:sz w:val="18"/>
          <w:szCs w:val="18"/>
        </w:rPr>
        <w:t>rapidly</w:t>
      </w:r>
      <w:r w:rsidR="000C31B5">
        <w:rPr>
          <w:rFonts w:ascii="Verdana" w:hAnsi="Verdana"/>
          <w:sz w:val="18"/>
          <w:szCs w:val="18"/>
        </w:rPr>
        <w:t xml:space="preserve"> gaining ground</w:t>
      </w:r>
      <w:r w:rsidRPr="007E0CF7">
        <w:rPr>
          <w:rFonts w:ascii="Verdana" w:hAnsi="Verdana"/>
          <w:sz w:val="18"/>
          <w:szCs w:val="18"/>
        </w:rPr>
        <w:t>. Furthermore</w:t>
      </w:r>
      <w:r w:rsidR="000C31B5">
        <w:rPr>
          <w:rFonts w:ascii="Verdana" w:hAnsi="Verdana"/>
          <w:sz w:val="18"/>
          <w:szCs w:val="18"/>
        </w:rPr>
        <w:t>,</w:t>
      </w:r>
      <w:r w:rsidRPr="007E0CF7">
        <w:rPr>
          <w:rFonts w:ascii="Verdana" w:hAnsi="Verdana"/>
          <w:sz w:val="18"/>
          <w:szCs w:val="18"/>
        </w:rPr>
        <w:t xml:space="preserve"> the semiconductor content of cars is not only growing </w:t>
      </w:r>
      <w:r w:rsidR="000C31B5">
        <w:rPr>
          <w:rFonts w:ascii="Verdana" w:hAnsi="Verdana"/>
          <w:sz w:val="18"/>
          <w:szCs w:val="18"/>
        </w:rPr>
        <w:t xml:space="preserve">quickly, </w:t>
      </w:r>
      <w:r w:rsidRPr="007E0CF7">
        <w:rPr>
          <w:rFonts w:ascii="Verdana" w:hAnsi="Verdana"/>
          <w:sz w:val="18"/>
          <w:szCs w:val="18"/>
        </w:rPr>
        <w:t xml:space="preserve">as they rely on greater intelligence, connectivity and sophisticated electronics (autonomous drive, car-to-car communication), but the nature of the automotive industry model is also shifting in new directions. Conventional cars will </w:t>
      </w:r>
      <w:r w:rsidR="000C31B5">
        <w:rPr>
          <w:rFonts w:ascii="Verdana" w:hAnsi="Verdana"/>
          <w:sz w:val="18"/>
          <w:szCs w:val="18"/>
        </w:rPr>
        <w:t xml:space="preserve">eventually </w:t>
      </w:r>
      <w:r w:rsidRPr="007E0CF7">
        <w:rPr>
          <w:rFonts w:ascii="Verdana" w:hAnsi="Verdana"/>
          <w:sz w:val="18"/>
          <w:szCs w:val="18"/>
        </w:rPr>
        <w:t xml:space="preserve">disappear. Concepts of product ownership will give way to service propositions to deliver mobility to consumers who will pay only for what they use. Creating and managing the systems to deliver that mobility will depend heavily on complex electronics. </w:t>
      </w:r>
    </w:p>
    <w:p w:rsidR="00E95087" w:rsidRPr="007E0CF7" w:rsidRDefault="00E95087" w:rsidP="00283B18">
      <w:pPr>
        <w:spacing w:line="276" w:lineRule="auto"/>
        <w:rPr>
          <w:rFonts w:ascii="Verdana" w:hAnsi="Verdana"/>
          <w:sz w:val="18"/>
          <w:szCs w:val="18"/>
        </w:rPr>
      </w:pPr>
    </w:p>
    <w:p w:rsidR="00E95087" w:rsidRPr="007E0CF7" w:rsidRDefault="00BB636A" w:rsidP="00283B18">
      <w:pPr>
        <w:spacing w:line="276" w:lineRule="auto"/>
        <w:rPr>
          <w:rFonts w:ascii="Verdana" w:hAnsi="Verdana"/>
          <w:i/>
          <w:sz w:val="18"/>
          <w:szCs w:val="18"/>
        </w:rPr>
      </w:pPr>
      <w:r w:rsidRPr="0047321C">
        <w:rPr>
          <w:rFonts w:ascii="Verdana" w:hAnsi="Verdana"/>
          <w:i/>
          <w:sz w:val="18"/>
          <w:szCs w:val="18"/>
        </w:rPr>
        <w:t>Indust</w:t>
      </w:r>
      <w:r w:rsidR="0047321C">
        <w:rPr>
          <w:rFonts w:ascii="Verdana" w:hAnsi="Verdana"/>
          <w:i/>
          <w:sz w:val="18"/>
          <w:szCs w:val="18"/>
        </w:rPr>
        <w:t>r</w:t>
      </w:r>
      <w:r w:rsidRPr="0047321C">
        <w:rPr>
          <w:rFonts w:ascii="Verdana" w:hAnsi="Verdana"/>
          <w:i/>
          <w:sz w:val="18"/>
          <w:szCs w:val="18"/>
        </w:rPr>
        <w:t>ial</w:t>
      </w:r>
      <w:r w:rsidR="00EA5793" w:rsidRPr="0047321C">
        <w:rPr>
          <w:rFonts w:ascii="Verdana" w:hAnsi="Verdana"/>
          <w:i/>
          <w:sz w:val="18"/>
          <w:szCs w:val="18"/>
        </w:rPr>
        <w:t xml:space="preserve"> (</w:t>
      </w:r>
      <w:r w:rsidR="00E95087" w:rsidRPr="0047321C">
        <w:rPr>
          <w:rFonts w:ascii="Verdana" w:hAnsi="Verdana"/>
          <w:i/>
          <w:sz w:val="18"/>
          <w:szCs w:val="18"/>
        </w:rPr>
        <w:t>Industry 4.0</w:t>
      </w:r>
      <w:r w:rsidR="006A5F45" w:rsidRPr="0047321C">
        <w:rPr>
          <w:rFonts w:ascii="Verdana" w:hAnsi="Verdana"/>
          <w:i/>
          <w:sz w:val="18"/>
          <w:szCs w:val="18"/>
        </w:rPr>
        <w:t>/</w:t>
      </w:r>
      <w:proofErr w:type="spellStart"/>
      <w:r w:rsidR="006A5F45" w:rsidRPr="0047321C">
        <w:rPr>
          <w:rFonts w:ascii="Verdana" w:hAnsi="Verdana"/>
          <w:i/>
          <w:sz w:val="18"/>
          <w:szCs w:val="18"/>
        </w:rPr>
        <w:t>IoT</w:t>
      </w:r>
      <w:proofErr w:type="spellEnd"/>
      <w:r w:rsidR="00EA5793" w:rsidRPr="0047321C">
        <w:rPr>
          <w:rFonts w:ascii="Verdana" w:hAnsi="Verdana"/>
          <w:i/>
          <w:sz w:val="18"/>
          <w:szCs w:val="18"/>
        </w:rPr>
        <w:t>)</w:t>
      </w:r>
    </w:p>
    <w:p w:rsidR="00E95087" w:rsidRPr="003C09C9" w:rsidRDefault="00E95087" w:rsidP="00283B18">
      <w:pPr>
        <w:spacing w:line="276" w:lineRule="auto"/>
        <w:rPr>
          <w:rFonts w:ascii="Verdana" w:hAnsi="Verdana"/>
          <w:sz w:val="18"/>
          <w:szCs w:val="18"/>
        </w:rPr>
      </w:pPr>
      <w:r w:rsidRPr="007E0CF7">
        <w:rPr>
          <w:rFonts w:ascii="Verdana" w:hAnsi="Verdana"/>
          <w:sz w:val="18"/>
          <w:szCs w:val="18"/>
        </w:rPr>
        <w:t>The basic principle of Industry 4.0</w:t>
      </w:r>
      <w:r w:rsidR="006A5F45" w:rsidRPr="003C09C9">
        <w:rPr>
          <w:rFonts w:ascii="Verdana" w:hAnsi="Verdana"/>
          <w:sz w:val="18"/>
          <w:szCs w:val="18"/>
        </w:rPr>
        <w:t xml:space="preserve">/ </w:t>
      </w:r>
      <w:proofErr w:type="spellStart"/>
      <w:r w:rsidR="006A5F45" w:rsidRPr="003C09C9">
        <w:rPr>
          <w:rFonts w:ascii="Verdana" w:hAnsi="Verdana"/>
          <w:sz w:val="18"/>
          <w:szCs w:val="18"/>
        </w:rPr>
        <w:t>IoT</w:t>
      </w:r>
      <w:proofErr w:type="spellEnd"/>
      <w:r w:rsidRPr="007E0CF7">
        <w:rPr>
          <w:rFonts w:ascii="Verdana" w:hAnsi="Verdana"/>
          <w:sz w:val="18"/>
          <w:szCs w:val="18"/>
        </w:rPr>
        <w:t xml:space="preserve"> is that by </w:t>
      </w:r>
      <w:r w:rsidR="00BA34C9">
        <w:rPr>
          <w:rFonts w:ascii="Verdana" w:hAnsi="Verdana"/>
          <w:sz w:val="18"/>
          <w:szCs w:val="18"/>
        </w:rPr>
        <w:t>connecting machines, equipment</w:t>
      </w:r>
      <w:r w:rsidRPr="007E0CF7">
        <w:rPr>
          <w:rFonts w:ascii="Verdana" w:hAnsi="Verdana"/>
          <w:sz w:val="18"/>
          <w:szCs w:val="18"/>
        </w:rPr>
        <w:t xml:space="preserve"> and systems, businesses are creating intelligent networks along the entire value chain that can co</w:t>
      </w:r>
      <w:r w:rsidR="00EA5793" w:rsidRPr="007E0CF7">
        <w:rPr>
          <w:rFonts w:ascii="Verdana" w:hAnsi="Verdana"/>
          <w:sz w:val="18"/>
          <w:szCs w:val="18"/>
        </w:rPr>
        <w:t>ntrol each other autonomously. C</w:t>
      </w:r>
      <w:r w:rsidRPr="007E0CF7">
        <w:rPr>
          <w:rFonts w:ascii="Verdana" w:hAnsi="Verdana"/>
          <w:sz w:val="18"/>
          <w:szCs w:val="18"/>
        </w:rPr>
        <w:t>haracteristic for industrial production in an Industry 4.0 environment are strong customi</w:t>
      </w:r>
      <w:r w:rsidR="000C31B5">
        <w:rPr>
          <w:rFonts w:ascii="Verdana" w:hAnsi="Verdana"/>
          <w:sz w:val="18"/>
          <w:szCs w:val="18"/>
        </w:rPr>
        <w:t>s</w:t>
      </w:r>
      <w:r w:rsidRPr="007E0CF7">
        <w:rPr>
          <w:rFonts w:ascii="Verdana" w:hAnsi="Verdana"/>
          <w:sz w:val="18"/>
          <w:szCs w:val="18"/>
        </w:rPr>
        <w:t xml:space="preserve">ation of products under the conditions of high </w:t>
      </w:r>
      <w:proofErr w:type="spellStart"/>
      <w:r w:rsidRPr="007E0CF7">
        <w:rPr>
          <w:rFonts w:ascii="Verdana" w:hAnsi="Verdana"/>
          <w:sz w:val="18"/>
          <w:szCs w:val="18"/>
        </w:rPr>
        <w:t>flexibilised</w:t>
      </w:r>
      <w:proofErr w:type="spellEnd"/>
      <w:r w:rsidRPr="007E0CF7">
        <w:rPr>
          <w:rFonts w:ascii="Verdana" w:hAnsi="Verdana"/>
          <w:sz w:val="18"/>
          <w:szCs w:val="18"/>
        </w:rPr>
        <w:t xml:space="preserve"> (mass-) production. The required automation technology is improved by the introduction of methods of self-optimi</w:t>
      </w:r>
      <w:r w:rsidR="000C31B5">
        <w:rPr>
          <w:rFonts w:ascii="Verdana" w:hAnsi="Verdana"/>
          <w:sz w:val="18"/>
          <w:szCs w:val="18"/>
        </w:rPr>
        <w:t>s</w:t>
      </w:r>
      <w:r w:rsidRPr="007E0CF7">
        <w:rPr>
          <w:rFonts w:ascii="Verdana" w:hAnsi="Verdana"/>
          <w:sz w:val="18"/>
          <w:szCs w:val="18"/>
        </w:rPr>
        <w:t xml:space="preserve">ation, self-configuration, self-diagnosis, cognition and intelligent support of workers in their increasingly complex work. </w:t>
      </w:r>
      <w:r w:rsidR="000C31B5">
        <w:rPr>
          <w:rFonts w:ascii="Verdana" w:hAnsi="Verdana"/>
          <w:sz w:val="18"/>
          <w:szCs w:val="18"/>
        </w:rPr>
        <w:t xml:space="preserve">Examples of </w:t>
      </w:r>
      <w:r w:rsidRPr="007E0CF7">
        <w:rPr>
          <w:rFonts w:ascii="Verdana" w:hAnsi="Verdana"/>
          <w:sz w:val="18"/>
          <w:szCs w:val="18"/>
        </w:rPr>
        <w:t xml:space="preserve">Industry 4.0 are machines </w:t>
      </w:r>
      <w:r w:rsidR="000C31B5">
        <w:rPr>
          <w:rFonts w:ascii="Verdana" w:hAnsi="Verdana"/>
          <w:sz w:val="18"/>
          <w:szCs w:val="18"/>
        </w:rPr>
        <w:t xml:space="preserve">that </w:t>
      </w:r>
      <w:r w:rsidRPr="007E0CF7">
        <w:rPr>
          <w:rFonts w:ascii="Verdana" w:hAnsi="Verdana"/>
          <w:sz w:val="18"/>
          <w:szCs w:val="18"/>
        </w:rPr>
        <w:t>can predict failures and trigger maintenance processes autonomously or self-organi</w:t>
      </w:r>
      <w:r w:rsidR="000C31B5">
        <w:rPr>
          <w:rFonts w:ascii="Verdana" w:hAnsi="Verdana"/>
          <w:sz w:val="18"/>
          <w:szCs w:val="18"/>
        </w:rPr>
        <w:t xml:space="preserve">sing </w:t>
      </w:r>
      <w:r w:rsidRPr="007E0CF7">
        <w:rPr>
          <w:rFonts w:ascii="Verdana" w:hAnsi="Verdana"/>
          <w:sz w:val="18"/>
          <w:szCs w:val="18"/>
        </w:rPr>
        <w:t xml:space="preserve">logistics </w:t>
      </w:r>
      <w:r w:rsidR="000C31B5">
        <w:rPr>
          <w:rFonts w:ascii="Verdana" w:hAnsi="Verdana"/>
          <w:sz w:val="18"/>
          <w:szCs w:val="18"/>
        </w:rPr>
        <w:t xml:space="preserve">that </w:t>
      </w:r>
      <w:r w:rsidRPr="003C09C9">
        <w:rPr>
          <w:rFonts w:ascii="Verdana" w:hAnsi="Verdana"/>
          <w:sz w:val="18"/>
          <w:szCs w:val="18"/>
        </w:rPr>
        <w:t>react to unexpected changes in production.</w:t>
      </w:r>
    </w:p>
    <w:p w:rsidR="00EA5793" w:rsidRPr="007E0CF7" w:rsidRDefault="00EA5793" w:rsidP="00283B18">
      <w:pPr>
        <w:spacing w:line="276" w:lineRule="auto"/>
        <w:rPr>
          <w:rFonts w:ascii="Verdana" w:hAnsi="Verdana"/>
          <w:sz w:val="18"/>
          <w:szCs w:val="18"/>
        </w:rPr>
      </w:pPr>
      <w:r w:rsidRPr="003C09C9">
        <w:rPr>
          <w:rFonts w:ascii="Verdana" w:hAnsi="Verdana"/>
          <w:sz w:val="18"/>
          <w:szCs w:val="18"/>
        </w:rPr>
        <w:t>In addition to Industr</w:t>
      </w:r>
      <w:r w:rsidR="00B926B9" w:rsidRPr="003C09C9">
        <w:rPr>
          <w:rFonts w:ascii="Verdana" w:hAnsi="Verdana"/>
          <w:sz w:val="18"/>
          <w:szCs w:val="18"/>
        </w:rPr>
        <w:t>y 4.0</w:t>
      </w:r>
      <w:r w:rsidR="000C31B5" w:rsidRPr="003C09C9">
        <w:rPr>
          <w:rFonts w:ascii="Verdana" w:hAnsi="Verdana"/>
          <w:sz w:val="18"/>
          <w:szCs w:val="18"/>
        </w:rPr>
        <w:t>,</w:t>
      </w:r>
      <w:r w:rsidR="00B926B9" w:rsidRPr="003C09C9">
        <w:rPr>
          <w:rFonts w:ascii="Verdana" w:hAnsi="Verdana"/>
          <w:sz w:val="18"/>
          <w:szCs w:val="18"/>
        </w:rPr>
        <w:t xml:space="preserve"> </w:t>
      </w:r>
      <w:proofErr w:type="spellStart"/>
      <w:r w:rsidR="00B926B9" w:rsidRPr="003C09C9">
        <w:rPr>
          <w:rFonts w:ascii="Verdana" w:hAnsi="Verdana"/>
          <w:sz w:val="18"/>
          <w:szCs w:val="18"/>
        </w:rPr>
        <w:t>IoT</w:t>
      </w:r>
      <w:proofErr w:type="spellEnd"/>
      <w:r w:rsidR="00B926B9" w:rsidRPr="003C09C9">
        <w:rPr>
          <w:rFonts w:ascii="Verdana" w:hAnsi="Verdana"/>
          <w:sz w:val="18"/>
          <w:szCs w:val="18"/>
        </w:rPr>
        <w:t xml:space="preserve"> describes the complete world of</w:t>
      </w:r>
      <w:r w:rsidRPr="003C09C9">
        <w:rPr>
          <w:rFonts w:ascii="Verdana" w:hAnsi="Verdana"/>
          <w:sz w:val="18"/>
          <w:szCs w:val="18"/>
        </w:rPr>
        <w:t xml:space="preserve"> different sensors with electronic</w:t>
      </w:r>
      <w:r w:rsidR="000C31B5" w:rsidRPr="003C09C9">
        <w:rPr>
          <w:rFonts w:ascii="Verdana" w:hAnsi="Verdana"/>
          <w:sz w:val="18"/>
          <w:szCs w:val="18"/>
        </w:rPr>
        <w:t>s</w:t>
      </w:r>
      <w:r w:rsidRPr="003C09C9">
        <w:rPr>
          <w:rFonts w:ascii="Verdana" w:hAnsi="Verdana"/>
          <w:sz w:val="18"/>
          <w:szCs w:val="18"/>
        </w:rPr>
        <w:t xml:space="preserve"> </w:t>
      </w:r>
      <w:r w:rsidR="00B926B9" w:rsidRPr="003C09C9">
        <w:rPr>
          <w:rFonts w:ascii="Verdana" w:hAnsi="Verdana"/>
          <w:sz w:val="18"/>
          <w:szCs w:val="18"/>
        </w:rPr>
        <w:t xml:space="preserve">and </w:t>
      </w:r>
      <w:r w:rsidRPr="003C09C9">
        <w:rPr>
          <w:rFonts w:ascii="Verdana" w:hAnsi="Verdana"/>
          <w:sz w:val="18"/>
          <w:szCs w:val="18"/>
        </w:rPr>
        <w:t>is connected to detect and control temperature, humidity, light, electricity, etc.</w:t>
      </w:r>
      <w:r w:rsidR="00B926B9" w:rsidRPr="003C09C9">
        <w:rPr>
          <w:rFonts w:ascii="Verdana" w:hAnsi="Verdana"/>
          <w:sz w:val="18"/>
          <w:szCs w:val="18"/>
        </w:rPr>
        <w:t xml:space="preserve"> </w:t>
      </w:r>
      <w:r w:rsidRPr="003C09C9">
        <w:rPr>
          <w:rFonts w:ascii="Verdana" w:hAnsi="Verdana"/>
          <w:sz w:val="18"/>
          <w:szCs w:val="18"/>
        </w:rPr>
        <w:t xml:space="preserve">in all kind of different applications </w:t>
      </w:r>
      <w:r w:rsidR="000C31B5" w:rsidRPr="003C09C9">
        <w:rPr>
          <w:rFonts w:ascii="Verdana" w:hAnsi="Verdana"/>
          <w:sz w:val="18"/>
          <w:szCs w:val="18"/>
        </w:rPr>
        <w:t xml:space="preserve">in the </w:t>
      </w:r>
      <w:r w:rsidRPr="003C09C9">
        <w:rPr>
          <w:rFonts w:ascii="Verdana" w:hAnsi="Verdana"/>
          <w:sz w:val="18"/>
          <w:szCs w:val="18"/>
        </w:rPr>
        <w:t>home (electricit</w:t>
      </w:r>
      <w:r w:rsidR="00B926B9" w:rsidRPr="003C09C9">
        <w:rPr>
          <w:rFonts w:ascii="Verdana" w:hAnsi="Verdana"/>
          <w:sz w:val="18"/>
          <w:szCs w:val="18"/>
        </w:rPr>
        <w:t>y</w:t>
      </w:r>
      <w:r w:rsidRPr="003C09C9">
        <w:rPr>
          <w:rFonts w:ascii="Verdana" w:hAnsi="Verdana"/>
          <w:sz w:val="18"/>
          <w:szCs w:val="18"/>
        </w:rPr>
        <w:t xml:space="preserve">, refrigerator, light, etc.), </w:t>
      </w:r>
      <w:r w:rsidR="000C31B5" w:rsidRPr="003C09C9">
        <w:rPr>
          <w:rFonts w:ascii="Verdana" w:hAnsi="Verdana"/>
          <w:sz w:val="18"/>
          <w:szCs w:val="18"/>
        </w:rPr>
        <w:t xml:space="preserve">in </w:t>
      </w:r>
      <w:r w:rsidR="00B926B9" w:rsidRPr="003C09C9">
        <w:rPr>
          <w:rFonts w:ascii="Verdana" w:hAnsi="Verdana"/>
          <w:sz w:val="18"/>
          <w:szCs w:val="18"/>
        </w:rPr>
        <w:t xml:space="preserve">cars (car-to-car communication, internal car communication), </w:t>
      </w:r>
      <w:r w:rsidR="000C31B5" w:rsidRPr="003C09C9">
        <w:rPr>
          <w:rFonts w:ascii="Verdana" w:hAnsi="Verdana"/>
          <w:sz w:val="18"/>
          <w:szCs w:val="18"/>
        </w:rPr>
        <w:t xml:space="preserve">in </w:t>
      </w:r>
      <w:r w:rsidR="00B926B9" w:rsidRPr="003C09C9">
        <w:rPr>
          <w:rFonts w:ascii="Verdana" w:hAnsi="Verdana"/>
          <w:sz w:val="18"/>
          <w:szCs w:val="18"/>
        </w:rPr>
        <w:t xml:space="preserve">agriculture and </w:t>
      </w:r>
      <w:r w:rsidR="000C31B5" w:rsidRPr="003C09C9">
        <w:rPr>
          <w:rFonts w:ascii="Verdana" w:hAnsi="Verdana"/>
          <w:sz w:val="18"/>
          <w:szCs w:val="18"/>
        </w:rPr>
        <w:t>elsewhere</w:t>
      </w:r>
      <w:r w:rsidR="00B926B9" w:rsidRPr="003C09C9">
        <w:rPr>
          <w:rFonts w:ascii="Verdana" w:hAnsi="Verdana"/>
          <w:sz w:val="18"/>
          <w:szCs w:val="18"/>
        </w:rPr>
        <w:t>.</w:t>
      </w:r>
      <w:r w:rsidR="00B926B9" w:rsidRPr="007E0CF7">
        <w:rPr>
          <w:rFonts w:ascii="Verdana" w:hAnsi="Verdana"/>
          <w:sz w:val="18"/>
          <w:szCs w:val="18"/>
        </w:rPr>
        <w:t xml:space="preserve"> </w:t>
      </w:r>
    </w:p>
    <w:p w:rsidR="00E95087" w:rsidRPr="007E0CF7" w:rsidRDefault="00E95087" w:rsidP="00283B18">
      <w:pPr>
        <w:rPr>
          <w:i/>
        </w:rPr>
      </w:pPr>
    </w:p>
    <w:p w:rsidR="00E95087" w:rsidRPr="007E0CF7" w:rsidRDefault="00E95087" w:rsidP="00283B18">
      <w:pPr>
        <w:spacing w:line="276" w:lineRule="auto"/>
        <w:rPr>
          <w:rFonts w:ascii="Verdana" w:hAnsi="Verdana"/>
          <w:i/>
          <w:sz w:val="18"/>
          <w:szCs w:val="18"/>
        </w:rPr>
      </w:pPr>
      <w:r w:rsidRPr="007E0CF7">
        <w:rPr>
          <w:rFonts w:ascii="Verdana" w:hAnsi="Verdana"/>
          <w:i/>
          <w:sz w:val="18"/>
          <w:szCs w:val="18"/>
        </w:rPr>
        <w:t>High customer expectations</w:t>
      </w:r>
    </w:p>
    <w:p w:rsidR="008C1A6B" w:rsidRPr="00252EC9" w:rsidRDefault="00E95087" w:rsidP="00283B18">
      <w:pPr>
        <w:spacing w:line="276" w:lineRule="auto"/>
        <w:rPr>
          <w:rFonts w:ascii="Verdana" w:hAnsi="Verdana"/>
          <w:sz w:val="18"/>
          <w:szCs w:val="18"/>
        </w:rPr>
      </w:pPr>
      <w:r w:rsidRPr="007E0CF7">
        <w:rPr>
          <w:rFonts w:ascii="Verdana" w:hAnsi="Verdana"/>
          <w:sz w:val="18"/>
          <w:szCs w:val="18"/>
        </w:rPr>
        <w:t xml:space="preserve">In the semiconductor industry, and especially the sectors we focus on customers that have high expectations concerning reliability </w:t>
      </w:r>
      <w:r w:rsidR="0090399D">
        <w:rPr>
          <w:rFonts w:ascii="Verdana" w:hAnsi="Verdana"/>
          <w:sz w:val="18"/>
          <w:szCs w:val="18"/>
        </w:rPr>
        <w:t>and</w:t>
      </w:r>
      <w:r w:rsidR="00024056">
        <w:rPr>
          <w:rFonts w:ascii="Verdana" w:hAnsi="Verdana"/>
          <w:sz w:val="18"/>
          <w:szCs w:val="18"/>
        </w:rPr>
        <w:t xml:space="preserve"> </w:t>
      </w:r>
      <w:r w:rsidRPr="007E0CF7">
        <w:rPr>
          <w:rFonts w:ascii="Verdana" w:hAnsi="Verdana"/>
          <w:sz w:val="18"/>
          <w:szCs w:val="18"/>
        </w:rPr>
        <w:t>quality. The</w:t>
      </w:r>
      <w:r w:rsidR="0090399D">
        <w:rPr>
          <w:rFonts w:ascii="Verdana" w:hAnsi="Verdana"/>
          <w:sz w:val="18"/>
          <w:szCs w:val="18"/>
        </w:rPr>
        <w:t>se customers</w:t>
      </w:r>
      <w:r w:rsidRPr="007E0CF7">
        <w:rPr>
          <w:rFonts w:ascii="Verdana" w:hAnsi="Verdana"/>
          <w:sz w:val="18"/>
          <w:szCs w:val="18"/>
        </w:rPr>
        <w:t xml:space="preserve"> also expect excellent service, on-time delivery, know-how and support. And </w:t>
      </w:r>
      <w:r w:rsidR="00024056">
        <w:rPr>
          <w:rFonts w:ascii="Verdana" w:hAnsi="Verdana"/>
          <w:sz w:val="18"/>
          <w:szCs w:val="18"/>
        </w:rPr>
        <w:t>in addition</w:t>
      </w:r>
      <w:r w:rsidR="00024056" w:rsidRPr="007E0CF7">
        <w:rPr>
          <w:rFonts w:ascii="Verdana" w:hAnsi="Verdana"/>
          <w:sz w:val="18"/>
          <w:szCs w:val="18"/>
        </w:rPr>
        <w:t xml:space="preserve"> </w:t>
      </w:r>
      <w:r w:rsidRPr="007E0CF7">
        <w:rPr>
          <w:rFonts w:ascii="Verdana" w:hAnsi="Verdana"/>
          <w:sz w:val="18"/>
          <w:szCs w:val="18"/>
        </w:rPr>
        <w:t>to our strategy in which we contribute more actively to new product development (co-creating and co-operation) and in which we are responsible for the supply chain management, they also expect us to come up with solutions during the whole process. The</w:t>
      </w:r>
      <w:r w:rsidR="0090399D">
        <w:rPr>
          <w:rFonts w:ascii="Verdana" w:hAnsi="Verdana"/>
          <w:sz w:val="18"/>
          <w:szCs w:val="18"/>
        </w:rPr>
        <w:t>se customers</w:t>
      </w:r>
      <w:r w:rsidRPr="007E0CF7">
        <w:rPr>
          <w:rFonts w:ascii="Verdana" w:hAnsi="Verdana"/>
          <w:sz w:val="18"/>
          <w:szCs w:val="18"/>
        </w:rPr>
        <w:t xml:space="preserve"> see us as the expert. As a consequence we are responsible for each step in the process. We are fully aware of this and are acting accordingly. The way we have set up the procedures in our Automotive Competence Centre is completely in line with this urge for responsibility.</w:t>
      </w:r>
      <w:r w:rsidR="00252EC9">
        <w:rPr>
          <w:rFonts w:ascii="Verdana" w:hAnsi="Verdana"/>
          <w:sz w:val="18"/>
          <w:szCs w:val="18"/>
        </w:rPr>
        <w:t xml:space="preserve"> </w:t>
      </w:r>
    </w:p>
    <w:p w:rsidR="00283B18" w:rsidRDefault="00283B18" w:rsidP="00283B18">
      <w:pPr>
        <w:spacing w:after="200" w:line="276" w:lineRule="auto"/>
        <w:rPr>
          <w:rFonts w:ascii="Verdana" w:hAnsi="Verdana" w:cs="Verdana"/>
          <w:b/>
          <w:bCs/>
          <w:sz w:val="18"/>
          <w:szCs w:val="18"/>
          <w:highlight w:val="yellow"/>
        </w:rPr>
      </w:pPr>
      <w:r>
        <w:rPr>
          <w:rFonts w:ascii="Verdana" w:hAnsi="Verdana" w:cs="Verdana"/>
          <w:b/>
          <w:bCs/>
          <w:sz w:val="18"/>
          <w:szCs w:val="18"/>
          <w:highlight w:val="yellow"/>
        </w:rPr>
        <w:br w:type="page"/>
      </w:r>
    </w:p>
    <w:p w:rsidR="00E95087" w:rsidRPr="007E0CF7" w:rsidRDefault="00E95087" w:rsidP="00283B18">
      <w:pPr>
        <w:spacing w:line="276" w:lineRule="auto"/>
        <w:rPr>
          <w:rFonts w:ascii="Verdana" w:hAnsi="Verdana"/>
          <w:b/>
          <w:color w:val="B71234"/>
          <w:sz w:val="18"/>
          <w:szCs w:val="18"/>
        </w:rPr>
      </w:pPr>
      <w:r w:rsidRPr="007E0CF7">
        <w:rPr>
          <w:rFonts w:ascii="Verdana" w:hAnsi="Verdana"/>
          <w:b/>
          <w:color w:val="B71234"/>
          <w:sz w:val="18"/>
          <w:szCs w:val="18"/>
        </w:rPr>
        <w:lastRenderedPageBreak/>
        <w:t>Personnel and organi</w:t>
      </w:r>
      <w:r w:rsidR="00024056">
        <w:rPr>
          <w:rFonts w:ascii="Verdana" w:hAnsi="Verdana"/>
          <w:b/>
          <w:color w:val="B71234"/>
          <w:sz w:val="18"/>
          <w:szCs w:val="18"/>
        </w:rPr>
        <w:t>s</w:t>
      </w:r>
      <w:r w:rsidRPr="007E0CF7">
        <w:rPr>
          <w:rFonts w:ascii="Verdana" w:hAnsi="Verdana"/>
          <w:b/>
          <w:color w:val="B71234"/>
          <w:sz w:val="18"/>
          <w:szCs w:val="18"/>
        </w:rPr>
        <w:t>ation</w:t>
      </w:r>
    </w:p>
    <w:p w:rsidR="006A5F45" w:rsidRPr="00252EC9" w:rsidRDefault="006A5F45" w:rsidP="00283B18">
      <w:pPr>
        <w:autoSpaceDE w:val="0"/>
        <w:autoSpaceDN w:val="0"/>
        <w:adjustRightInd w:val="0"/>
        <w:spacing w:line="276" w:lineRule="auto"/>
        <w:rPr>
          <w:rFonts w:ascii="Verdana" w:hAnsi="Verdana"/>
          <w:sz w:val="18"/>
          <w:szCs w:val="18"/>
        </w:rPr>
      </w:pPr>
      <w:r w:rsidRPr="00252EC9">
        <w:rPr>
          <w:rFonts w:ascii="Verdana" w:hAnsi="Verdana"/>
          <w:sz w:val="18"/>
          <w:szCs w:val="18"/>
        </w:rPr>
        <w:t xml:space="preserve">During 2015 </w:t>
      </w:r>
      <w:proofErr w:type="spellStart"/>
      <w:r w:rsidRPr="00252EC9">
        <w:rPr>
          <w:rFonts w:ascii="Verdana" w:hAnsi="Verdana"/>
          <w:color w:val="C00000"/>
          <w:sz w:val="18"/>
          <w:szCs w:val="18"/>
        </w:rPr>
        <w:t>Rood</w:t>
      </w:r>
      <w:r w:rsidRPr="00252EC9">
        <w:rPr>
          <w:rFonts w:ascii="Verdana" w:hAnsi="Verdana"/>
          <w:sz w:val="18"/>
          <w:szCs w:val="18"/>
        </w:rPr>
        <w:t>Microtec</w:t>
      </w:r>
      <w:proofErr w:type="spellEnd"/>
      <w:r w:rsidRPr="00252EC9">
        <w:rPr>
          <w:rFonts w:ascii="Verdana" w:hAnsi="Verdana"/>
          <w:sz w:val="18"/>
          <w:szCs w:val="18"/>
        </w:rPr>
        <w:t xml:space="preserve"> continued the consolidation process in personnel and organisation.</w:t>
      </w:r>
    </w:p>
    <w:p w:rsidR="006A5F45" w:rsidRPr="00252EC9" w:rsidRDefault="006A5F45" w:rsidP="00283B18">
      <w:pPr>
        <w:autoSpaceDE w:val="0"/>
        <w:autoSpaceDN w:val="0"/>
        <w:adjustRightInd w:val="0"/>
        <w:spacing w:line="276" w:lineRule="auto"/>
        <w:rPr>
          <w:rFonts w:ascii="Verdana" w:hAnsi="Verdana"/>
          <w:sz w:val="18"/>
          <w:szCs w:val="18"/>
        </w:rPr>
      </w:pPr>
      <w:r w:rsidRPr="00252EC9">
        <w:rPr>
          <w:rFonts w:ascii="Verdana" w:hAnsi="Verdana"/>
          <w:sz w:val="18"/>
          <w:szCs w:val="18"/>
        </w:rPr>
        <w:t xml:space="preserve">In that period 12 employees </w:t>
      </w:r>
      <w:r w:rsidR="00024056" w:rsidRPr="00252EC9">
        <w:rPr>
          <w:rFonts w:ascii="Verdana" w:hAnsi="Verdana"/>
          <w:sz w:val="18"/>
          <w:szCs w:val="18"/>
        </w:rPr>
        <w:t xml:space="preserve">from </w:t>
      </w:r>
      <w:r w:rsidRPr="00252EC9">
        <w:rPr>
          <w:rFonts w:ascii="Verdana" w:hAnsi="Verdana"/>
          <w:sz w:val="18"/>
          <w:szCs w:val="18"/>
        </w:rPr>
        <w:t xml:space="preserve">different departments left </w:t>
      </w:r>
      <w:proofErr w:type="spellStart"/>
      <w:r w:rsidRPr="00252EC9">
        <w:rPr>
          <w:rFonts w:ascii="Verdana" w:hAnsi="Verdana"/>
          <w:color w:val="C00000"/>
          <w:sz w:val="18"/>
          <w:szCs w:val="18"/>
        </w:rPr>
        <w:t>Rood</w:t>
      </w:r>
      <w:r w:rsidRPr="00252EC9">
        <w:rPr>
          <w:rFonts w:ascii="Verdana" w:hAnsi="Verdana"/>
          <w:sz w:val="18"/>
          <w:szCs w:val="18"/>
        </w:rPr>
        <w:t>Microtec</w:t>
      </w:r>
      <w:proofErr w:type="spellEnd"/>
      <w:r w:rsidRPr="00252EC9">
        <w:rPr>
          <w:rFonts w:ascii="Verdana" w:hAnsi="Verdana"/>
          <w:sz w:val="18"/>
          <w:szCs w:val="18"/>
        </w:rPr>
        <w:t xml:space="preserve">. In the key positions </w:t>
      </w:r>
      <w:proofErr w:type="spellStart"/>
      <w:r w:rsidR="00024056" w:rsidRPr="00252EC9">
        <w:rPr>
          <w:rFonts w:ascii="Verdana" w:hAnsi="Verdana"/>
          <w:color w:val="C00000"/>
          <w:sz w:val="18"/>
          <w:szCs w:val="18"/>
        </w:rPr>
        <w:t>Rood</w:t>
      </w:r>
      <w:r w:rsidR="00024056" w:rsidRPr="00252EC9">
        <w:rPr>
          <w:rFonts w:ascii="Verdana" w:hAnsi="Verdana"/>
          <w:sz w:val="18"/>
          <w:szCs w:val="18"/>
        </w:rPr>
        <w:t>Microtec</w:t>
      </w:r>
      <w:proofErr w:type="spellEnd"/>
      <w:r w:rsidR="00024056" w:rsidRPr="00252EC9">
        <w:rPr>
          <w:rFonts w:ascii="Verdana" w:hAnsi="Verdana"/>
          <w:sz w:val="18"/>
          <w:szCs w:val="18"/>
        </w:rPr>
        <w:t xml:space="preserve"> hired experienced people to strengthen the position of </w:t>
      </w:r>
      <w:proofErr w:type="spellStart"/>
      <w:r w:rsidR="00024056" w:rsidRPr="00252EC9">
        <w:rPr>
          <w:rFonts w:ascii="Verdana" w:hAnsi="Verdana"/>
          <w:color w:val="C00000"/>
          <w:sz w:val="18"/>
          <w:szCs w:val="18"/>
        </w:rPr>
        <w:t>Rood</w:t>
      </w:r>
      <w:r w:rsidR="00024056" w:rsidRPr="00252EC9">
        <w:rPr>
          <w:rFonts w:ascii="Verdana" w:hAnsi="Verdana"/>
          <w:sz w:val="18"/>
          <w:szCs w:val="18"/>
        </w:rPr>
        <w:t>Microtec</w:t>
      </w:r>
      <w:proofErr w:type="spellEnd"/>
      <w:r w:rsidR="00024056" w:rsidRPr="00252EC9">
        <w:rPr>
          <w:rFonts w:ascii="Verdana" w:hAnsi="Verdana"/>
          <w:sz w:val="18"/>
          <w:szCs w:val="18"/>
        </w:rPr>
        <w:t xml:space="preserve"> in the market, such </w:t>
      </w:r>
      <w:r w:rsidRPr="00252EC9">
        <w:rPr>
          <w:rFonts w:ascii="Verdana" w:hAnsi="Verdana"/>
          <w:sz w:val="18"/>
          <w:szCs w:val="18"/>
        </w:rPr>
        <w:t>as CTO Mar</w:t>
      </w:r>
      <w:r w:rsidR="00252EC9" w:rsidRPr="00252EC9">
        <w:rPr>
          <w:rFonts w:ascii="Verdana" w:hAnsi="Verdana"/>
          <w:sz w:val="18"/>
          <w:szCs w:val="18"/>
        </w:rPr>
        <w:t>t</w:t>
      </w:r>
      <w:r w:rsidRPr="00252EC9">
        <w:rPr>
          <w:rFonts w:ascii="Verdana" w:hAnsi="Verdana"/>
          <w:sz w:val="18"/>
          <w:szCs w:val="18"/>
        </w:rPr>
        <w:t xml:space="preserve">in </w:t>
      </w:r>
      <w:proofErr w:type="spellStart"/>
      <w:r w:rsidRPr="00252EC9">
        <w:rPr>
          <w:rFonts w:ascii="Verdana" w:hAnsi="Verdana"/>
          <w:sz w:val="18"/>
          <w:szCs w:val="18"/>
        </w:rPr>
        <w:t>Sall</w:t>
      </w:r>
      <w:r w:rsidR="00B926B9" w:rsidRPr="00252EC9">
        <w:rPr>
          <w:rFonts w:ascii="Verdana" w:hAnsi="Verdana"/>
          <w:sz w:val="18"/>
          <w:szCs w:val="18"/>
        </w:rPr>
        <w:t>enhag</w:t>
      </w:r>
      <w:proofErr w:type="spellEnd"/>
      <w:r w:rsidR="00B926B9" w:rsidRPr="00252EC9">
        <w:rPr>
          <w:rFonts w:ascii="Verdana" w:hAnsi="Verdana"/>
          <w:sz w:val="18"/>
          <w:szCs w:val="18"/>
        </w:rPr>
        <w:t xml:space="preserve">, CFO Erwin </w:t>
      </w:r>
      <w:proofErr w:type="spellStart"/>
      <w:r w:rsidR="00B926B9" w:rsidRPr="00252EC9">
        <w:rPr>
          <w:rFonts w:ascii="Verdana" w:hAnsi="Verdana"/>
          <w:sz w:val="18"/>
          <w:szCs w:val="18"/>
        </w:rPr>
        <w:t>Vrielink</w:t>
      </w:r>
      <w:proofErr w:type="spellEnd"/>
      <w:r w:rsidR="00B926B9" w:rsidRPr="00252EC9">
        <w:rPr>
          <w:rFonts w:ascii="Verdana" w:hAnsi="Verdana"/>
          <w:sz w:val="18"/>
          <w:szCs w:val="18"/>
        </w:rPr>
        <w:t xml:space="preserve">, </w:t>
      </w:r>
      <w:r w:rsidR="00024056" w:rsidRPr="00252EC9">
        <w:rPr>
          <w:rFonts w:ascii="Verdana" w:hAnsi="Verdana"/>
          <w:sz w:val="18"/>
          <w:szCs w:val="18"/>
        </w:rPr>
        <w:t xml:space="preserve">Dr. </w:t>
      </w:r>
      <w:proofErr w:type="spellStart"/>
      <w:r w:rsidR="00024056" w:rsidRPr="00252EC9">
        <w:rPr>
          <w:rFonts w:ascii="Verdana" w:hAnsi="Verdana"/>
          <w:sz w:val="18"/>
          <w:szCs w:val="18"/>
        </w:rPr>
        <w:t>Christin</w:t>
      </w:r>
      <w:proofErr w:type="spellEnd"/>
      <w:r w:rsidR="00024056" w:rsidRPr="00252EC9">
        <w:rPr>
          <w:rFonts w:ascii="Verdana" w:hAnsi="Verdana"/>
          <w:sz w:val="18"/>
          <w:szCs w:val="18"/>
        </w:rPr>
        <w:t xml:space="preserve"> </w:t>
      </w:r>
      <w:proofErr w:type="spellStart"/>
      <w:r w:rsidR="00024056" w:rsidRPr="00252EC9">
        <w:rPr>
          <w:rFonts w:ascii="Verdana" w:hAnsi="Verdana"/>
          <w:sz w:val="18"/>
          <w:szCs w:val="18"/>
        </w:rPr>
        <w:t>Gädtke</w:t>
      </w:r>
      <w:proofErr w:type="spellEnd"/>
      <w:r w:rsidR="00024056" w:rsidRPr="00252EC9">
        <w:rPr>
          <w:rFonts w:ascii="Verdana" w:hAnsi="Verdana"/>
          <w:sz w:val="18"/>
          <w:szCs w:val="18"/>
        </w:rPr>
        <w:t xml:space="preserve"> in </w:t>
      </w:r>
      <w:r w:rsidR="00B926B9" w:rsidRPr="00252EC9">
        <w:rPr>
          <w:rFonts w:ascii="Verdana" w:hAnsi="Verdana"/>
          <w:sz w:val="18"/>
          <w:szCs w:val="18"/>
        </w:rPr>
        <w:t>Sales &amp; Marketing</w:t>
      </w:r>
      <w:r w:rsidRPr="00252EC9">
        <w:rPr>
          <w:rFonts w:ascii="Verdana" w:hAnsi="Verdana"/>
          <w:sz w:val="18"/>
          <w:szCs w:val="18"/>
        </w:rPr>
        <w:t xml:space="preserve">, </w:t>
      </w:r>
      <w:r w:rsidR="004037DB" w:rsidRPr="00252EC9">
        <w:rPr>
          <w:rFonts w:ascii="Verdana" w:hAnsi="Verdana"/>
          <w:sz w:val="18"/>
          <w:szCs w:val="18"/>
        </w:rPr>
        <w:t xml:space="preserve">Cornelia </w:t>
      </w:r>
      <w:proofErr w:type="spellStart"/>
      <w:r w:rsidR="004037DB" w:rsidRPr="00252EC9">
        <w:rPr>
          <w:rFonts w:ascii="Verdana" w:hAnsi="Verdana"/>
          <w:sz w:val="18"/>
          <w:szCs w:val="18"/>
        </w:rPr>
        <w:t>Gehweiler</w:t>
      </w:r>
      <w:proofErr w:type="spellEnd"/>
      <w:r w:rsidRPr="00252EC9">
        <w:rPr>
          <w:rFonts w:ascii="Verdana" w:hAnsi="Verdana"/>
          <w:sz w:val="18"/>
          <w:szCs w:val="18"/>
        </w:rPr>
        <w:t xml:space="preserve"> </w:t>
      </w:r>
      <w:r w:rsidR="00024056" w:rsidRPr="00252EC9">
        <w:rPr>
          <w:rFonts w:ascii="Verdana" w:hAnsi="Verdana"/>
          <w:sz w:val="18"/>
          <w:szCs w:val="18"/>
        </w:rPr>
        <w:t xml:space="preserve">in SCM </w:t>
      </w:r>
      <w:r w:rsidRPr="00252EC9">
        <w:rPr>
          <w:rFonts w:ascii="Verdana" w:hAnsi="Verdana"/>
          <w:sz w:val="18"/>
          <w:szCs w:val="18"/>
        </w:rPr>
        <w:t xml:space="preserve">and </w:t>
      </w:r>
      <w:r w:rsidR="00024056" w:rsidRPr="00252EC9">
        <w:rPr>
          <w:rFonts w:ascii="Verdana" w:hAnsi="Verdana"/>
          <w:sz w:val="18"/>
          <w:szCs w:val="18"/>
        </w:rPr>
        <w:t xml:space="preserve">Michael </w:t>
      </w:r>
      <w:proofErr w:type="spellStart"/>
      <w:r w:rsidR="00024056" w:rsidRPr="00252EC9">
        <w:rPr>
          <w:rFonts w:ascii="Verdana" w:hAnsi="Verdana"/>
          <w:sz w:val="18"/>
          <w:szCs w:val="18"/>
        </w:rPr>
        <w:t>Dommel</w:t>
      </w:r>
      <w:proofErr w:type="spellEnd"/>
      <w:r w:rsidR="00024056" w:rsidRPr="00252EC9">
        <w:rPr>
          <w:rFonts w:ascii="Verdana" w:hAnsi="Verdana"/>
          <w:sz w:val="18"/>
          <w:szCs w:val="18"/>
        </w:rPr>
        <w:t xml:space="preserve"> in </w:t>
      </w:r>
      <w:r w:rsidR="00B926B9" w:rsidRPr="00252EC9">
        <w:rPr>
          <w:rFonts w:ascii="Verdana" w:hAnsi="Verdana"/>
          <w:sz w:val="18"/>
          <w:szCs w:val="18"/>
        </w:rPr>
        <w:t>Qualification &amp; Reliability.</w:t>
      </w:r>
    </w:p>
    <w:p w:rsidR="006A5F45" w:rsidRPr="007E0CF7" w:rsidRDefault="006A5F45" w:rsidP="00283B18">
      <w:pPr>
        <w:autoSpaceDE w:val="0"/>
        <w:autoSpaceDN w:val="0"/>
        <w:adjustRightInd w:val="0"/>
        <w:spacing w:line="276" w:lineRule="auto"/>
        <w:rPr>
          <w:rFonts w:ascii="Verdana" w:hAnsi="Verdana" w:cs="Verdana"/>
          <w:b/>
          <w:bCs/>
          <w:sz w:val="18"/>
          <w:szCs w:val="18"/>
          <w:highlight w:val="yellow"/>
        </w:rPr>
      </w:pPr>
    </w:p>
    <w:p w:rsidR="0091109A" w:rsidRPr="007E0CF7" w:rsidRDefault="0091109A" w:rsidP="00283B18">
      <w:pPr>
        <w:spacing w:line="276" w:lineRule="auto"/>
        <w:rPr>
          <w:rFonts w:ascii="Verdana" w:hAnsi="Verdana" w:cs="Verdana"/>
          <w:sz w:val="18"/>
          <w:szCs w:val="18"/>
        </w:rPr>
      </w:pPr>
      <w:r w:rsidRPr="007E0CF7">
        <w:rPr>
          <w:rFonts w:ascii="Verdana" w:hAnsi="Verdana"/>
          <w:sz w:val="18"/>
          <w:szCs w:val="18"/>
        </w:rPr>
        <w:t>The average number of full-time employees (FTE) decreased by approx. 3% from 97 FTE</w:t>
      </w:r>
      <w:r w:rsidR="001E2928">
        <w:rPr>
          <w:rFonts w:ascii="Verdana" w:hAnsi="Verdana"/>
          <w:sz w:val="18"/>
          <w:szCs w:val="18"/>
        </w:rPr>
        <w:t>s</w:t>
      </w:r>
      <w:r w:rsidRPr="007E0CF7">
        <w:rPr>
          <w:rFonts w:ascii="Verdana" w:hAnsi="Verdana"/>
          <w:sz w:val="18"/>
          <w:szCs w:val="18"/>
        </w:rPr>
        <w:t xml:space="preserve"> in 2014 to 94 FTE</w:t>
      </w:r>
      <w:r w:rsidR="001E2928">
        <w:rPr>
          <w:rFonts w:ascii="Verdana" w:hAnsi="Verdana"/>
          <w:sz w:val="18"/>
          <w:szCs w:val="18"/>
        </w:rPr>
        <w:t>s</w:t>
      </w:r>
      <w:r w:rsidRPr="007E0CF7">
        <w:rPr>
          <w:rFonts w:ascii="Verdana" w:hAnsi="Verdana"/>
          <w:sz w:val="18"/>
          <w:szCs w:val="18"/>
        </w:rPr>
        <w:t xml:space="preserve"> in 2015. </w:t>
      </w:r>
    </w:p>
    <w:p w:rsidR="0091109A" w:rsidRPr="007E0CF7" w:rsidRDefault="0091109A" w:rsidP="00283B18">
      <w:pPr>
        <w:spacing w:line="276" w:lineRule="auto"/>
        <w:rPr>
          <w:rFonts w:ascii="Verdana" w:hAnsi="Verdana" w:cs="Verdana"/>
          <w:sz w:val="18"/>
          <w:szCs w:val="18"/>
        </w:rPr>
      </w:pPr>
      <w:r w:rsidRPr="007E0CF7">
        <w:rPr>
          <w:rFonts w:ascii="Verdana" w:hAnsi="Verdana"/>
          <w:sz w:val="18"/>
          <w:szCs w:val="18"/>
        </w:rPr>
        <w:t>Sales per full-time employee increased by app</w:t>
      </w:r>
      <w:r w:rsidR="002F4A7C" w:rsidRPr="007E0CF7">
        <w:rPr>
          <w:rFonts w:ascii="Verdana" w:hAnsi="Verdana"/>
          <w:sz w:val="18"/>
          <w:szCs w:val="18"/>
        </w:rPr>
        <w:t>rox. 6% from EUR 103,000 in 201</w:t>
      </w:r>
      <w:r w:rsidRPr="007E0CF7">
        <w:rPr>
          <w:rFonts w:ascii="Verdana" w:hAnsi="Verdana"/>
          <w:sz w:val="18"/>
          <w:szCs w:val="18"/>
        </w:rPr>
        <w:t>4</w:t>
      </w:r>
      <w:r w:rsidR="002F4A7C" w:rsidRPr="007E0CF7">
        <w:rPr>
          <w:rFonts w:ascii="Verdana" w:hAnsi="Verdana"/>
          <w:sz w:val="18"/>
          <w:szCs w:val="18"/>
        </w:rPr>
        <w:t xml:space="preserve"> </w:t>
      </w:r>
      <w:r w:rsidRPr="007E0CF7">
        <w:rPr>
          <w:rFonts w:ascii="Verdana" w:hAnsi="Verdana"/>
          <w:sz w:val="18"/>
          <w:szCs w:val="18"/>
        </w:rPr>
        <w:t xml:space="preserve">to EUR 109,000 in 2015. Our policy is to continue to strive for growth of sales per FTE. </w:t>
      </w:r>
    </w:p>
    <w:p w:rsidR="00BA34C9" w:rsidRPr="00283B18" w:rsidRDefault="00BA34C9" w:rsidP="00283B18">
      <w:pPr>
        <w:spacing w:line="276" w:lineRule="auto"/>
        <w:rPr>
          <w:rFonts w:ascii="Verdana" w:hAnsi="Verdana"/>
          <w:sz w:val="18"/>
          <w:szCs w:val="18"/>
        </w:rPr>
      </w:pPr>
    </w:p>
    <w:p w:rsidR="00283B18" w:rsidRPr="00283B18" w:rsidRDefault="00283B18" w:rsidP="00283B18">
      <w:pPr>
        <w:spacing w:line="276" w:lineRule="auto"/>
        <w:rPr>
          <w:rFonts w:ascii="Verdana" w:hAnsi="Verdana"/>
          <w:sz w:val="18"/>
          <w:szCs w:val="18"/>
        </w:rPr>
      </w:pPr>
    </w:p>
    <w:p w:rsidR="00E95087" w:rsidRPr="007E0CF7" w:rsidRDefault="00E95087" w:rsidP="00283B18">
      <w:pPr>
        <w:spacing w:line="276" w:lineRule="auto"/>
        <w:rPr>
          <w:rFonts w:ascii="Verdana" w:hAnsi="Verdana"/>
          <w:b/>
          <w:color w:val="B71234"/>
          <w:sz w:val="18"/>
          <w:szCs w:val="18"/>
        </w:rPr>
      </w:pPr>
      <w:r w:rsidRPr="007E0CF7">
        <w:rPr>
          <w:rFonts w:ascii="Verdana" w:hAnsi="Verdana"/>
          <w:b/>
          <w:color w:val="B71234"/>
          <w:sz w:val="18"/>
          <w:szCs w:val="18"/>
        </w:rPr>
        <w:t>Vision and Mission</w:t>
      </w:r>
    </w:p>
    <w:p w:rsidR="00E95087" w:rsidRPr="007E0CF7" w:rsidRDefault="00E95087" w:rsidP="00283B18">
      <w:pPr>
        <w:spacing w:line="276" w:lineRule="auto"/>
        <w:rPr>
          <w:rFonts w:ascii="Verdana" w:hAnsi="Verdana"/>
          <w:sz w:val="18"/>
          <w:szCs w:val="18"/>
        </w:rPr>
      </w:pPr>
      <w:r w:rsidRPr="007E0CF7">
        <w:rPr>
          <w:rFonts w:ascii="Verdana" w:hAnsi="Verdana"/>
          <w:sz w:val="18"/>
          <w:szCs w:val="18"/>
        </w:rPr>
        <w:t xml:space="preserve">Two major changes in the world will be of great importance for the future of our company: increasingly outsourcing of activities and the fact that we are living in a technology driven world. We anticipate that an increasing number of product design companies will focus on the segments in which they have a strong position, but also that many of these often vertically integrated companies will outsource non-core activities to lower their risk exposure. Such activities would be </w:t>
      </w:r>
      <w:r w:rsidR="0072255D">
        <w:rPr>
          <w:rFonts w:ascii="Verdana" w:hAnsi="Verdana"/>
          <w:sz w:val="18"/>
          <w:szCs w:val="18"/>
        </w:rPr>
        <w:t xml:space="preserve">supply chain management (SCM), </w:t>
      </w:r>
      <w:r w:rsidRPr="007E0CF7">
        <w:rPr>
          <w:rFonts w:ascii="Verdana" w:hAnsi="Verdana"/>
          <w:sz w:val="18"/>
          <w:szCs w:val="18"/>
        </w:rPr>
        <w:t>testing, assembly and engineering.</w:t>
      </w:r>
    </w:p>
    <w:p w:rsidR="00E95087" w:rsidRPr="007E0CF7" w:rsidRDefault="00E95087" w:rsidP="00283B18">
      <w:pPr>
        <w:spacing w:line="276" w:lineRule="auto"/>
        <w:rPr>
          <w:rFonts w:ascii="Verdana" w:hAnsi="Verdana"/>
          <w:sz w:val="18"/>
          <w:szCs w:val="18"/>
        </w:rPr>
      </w:pPr>
    </w:p>
    <w:p w:rsidR="00E95087" w:rsidRPr="007E0CF7" w:rsidRDefault="00E95087" w:rsidP="00283B18">
      <w:pPr>
        <w:spacing w:line="276" w:lineRule="auto"/>
        <w:rPr>
          <w:rFonts w:ascii="Verdana" w:hAnsi="Verdana"/>
          <w:sz w:val="18"/>
          <w:szCs w:val="18"/>
        </w:rPr>
      </w:pPr>
      <w:r w:rsidRPr="007E0CF7">
        <w:rPr>
          <w:rFonts w:ascii="Verdana" w:hAnsi="Verdana"/>
          <w:sz w:val="18"/>
          <w:szCs w:val="18"/>
        </w:rPr>
        <w:t>Rapid technological innovation is driving growth in the semiconductor industry. More and more people are connected with each other and with equipment. Equipment is also connected and communicating with other equipment. And this is only the beginning. We are entering the fourth industrial revolution: Industry 4.0, the collective term for embracing a number of contemporary automation, data exchange and manufacturing technologies. In this context the automotive and industrial markets will be growth engines for the semiconductor market. In the automotive sector the main drivers are electric cars and hybrids, autonomous driving and car-to-car communication.</w:t>
      </w:r>
    </w:p>
    <w:p w:rsidR="00E95087" w:rsidRPr="007E0CF7" w:rsidRDefault="00E95087" w:rsidP="00283B18">
      <w:pPr>
        <w:spacing w:line="276" w:lineRule="auto"/>
        <w:rPr>
          <w:rFonts w:ascii="Verdana" w:hAnsi="Verdana"/>
          <w:sz w:val="18"/>
          <w:szCs w:val="18"/>
        </w:rPr>
      </w:pPr>
    </w:p>
    <w:p w:rsidR="00E95087" w:rsidRPr="007E0CF7" w:rsidRDefault="00E95087" w:rsidP="00283B18">
      <w:pPr>
        <w:spacing w:line="276" w:lineRule="auto"/>
        <w:rPr>
          <w:rFonts w:ascii="Verdana" w:hAnsi="Verdana"/>
          <w:sz w:val="18"/>
          <w:szCs w:val="18"/>
        </w:rPr>
      </w:pPr>
      <w:r w:rsidRPr="007E0CF7">
        <w:rPr>
          <w:rFonts w:ascii="Verdana" w:hAnsi="Verdana"/>
          <w:sz w:val="18"/>
          <w:szCs w:val="18"/>
        </w:rPr>
        <w:t xml:space="preserve">The developments </w:t>
      </w:r>
      <w:r w:rsidR="001E2928" w:rsidRPr="007E0CF7">
        <w:rPr>
          <w:rFonts w:ascii="Verdana" w:hAnsi="Verdana"/>
          <w:sz w:val="18"/>
          <w:szCs w:val="18"/>
        </w:rPr>
        <w:t xml:space="preserve">described above </w:t>
      </w:r>
      <w:r w:rsidRPr="007E0CF7">
        <w:rPr>
          <w:rFonts w:ascii="Verdana" w:hAnsi="Verdana"/>
          <w:sz w:val="18"/>
          <w:szCs w:val="18"/>
        </w:rPr>
        <w:t>will create a market for speciali</w:t>
      </w:r>
      <w:r w:rsidR="001E2928">
        <w:rPr>
          <w:rFonts w:ascii="Verdana" w:hAnsi="Verdana"/>
          <w:sz w:val="18"/>
          <w:szCs w:val="18"/>
        </w:rPr>
        <w:t>s</w:t>
      </w:r>
      <w:r w:rsidRPr="007E0CF7">
        <w:rPr>
          <w:rFonts w:ascii="Verdana" w:hAnsi="Verdana"/>
          <w:sz w:val="18"/>
          <w:szCs w:val="18"/>
        </w:rPr>
        <w:t>ed service providers focusing on supporting leaner OEMs and F</w:t>
      </w:r>
      <w:r w:rsidR="00011B96">
        <w:rPr>
          <w:rFonts w:ascii="Verdana" w:hAnsi="Verdana"/>
          <w:sz w:val="18"/>
          <w:szCs w:val="18"/>
        </w:rPr>
        <w:t xml:space="preserve">abless </w:t>
      </w:r>
      <w:r w:rsidRPr="007E0CF7">
        <w:rPr>
          <w:rFonts w:ascii="Verdana" w:hAnsi="Verdana"/>
          <w:sz w:val="18"/>
          <w:szCs w:val="18"/>
        </w:rPr>
        <w:t>C</w:t>
      </w:r>
      <w:r w:rsidR="00011B96">
        <w:rPr>
          <w:rFonts w:ascii="Verdana" w:hAnsi="Verdana"/>
          <w:sz w:val="18"/>
          <w:szCs w:val="18"/>
        </w:rPr>
        <w:t>ompanie</w:t>
      </w:r>
      <w:r w:rsidRPr="007E0CF7">
        <w:rPr>
          <w:rFonts w:ascii="Verdana" w:hAnsi="Verdana"/>
          <w:sz w:val="18"/>
          <w:szCs w:val="18"/>
        </w:rPr>
        <w:t>s</w:t>
      </w:r>
      <w:r w:rsidR="00011B96">
        <w:rPr>
          <w:rFonts w:ascii="Verdana" w:hAnsi="Verdana"/>
          <w:sz w:val="18"/>
          <w:szCs w:val="18"/>
        </w:rPr>
        <w:t xml:space="preserve"> (FCs)</w:t>
      </w:r>
      <w:r w:rsidRPr="007E0CF7">
        <w:rPr>
          <w:rFonts w:ascii="Verdana" w:hAnsi="Verdana"/>
          <w:sz w:val="18"/>
          <w:szCs w:val="18"/>
        </w:rPr>
        <w:t>. We are such a speciali</w:t>
      </w:r>
      <w:r w:rsidR="001E2928">
        <w:rPr>
          <w:rFonts w:ascii="Verdana" w:hAnsi="Verdana"/>
          <w:sz w:val="18"/>
          <w:szCs w:val="18"/>
        </w:rPr>
        <w:t>s</w:t>
      </w:r>
      <w:r w:rsidRPr="007E0CF7">
        <w:rPr>
          <w:rFonts w:ascii="Verdana" w:hAnsi="Verdana"/>
          <w:sz w:val="18"/>
          <w:szCs w:val="18"/>
        </w:rPr>
        <w:t>ed service provider, and we have the knowledge to offer these OEMs and FCs high</w:t>
      </w:r>
      <w:r w:rsidR="001E2928">
        <w:rPr>
          <w:rFonts w:ascii="Verdana" w:hAnsi="Verdana"/>
          <w:sz w:val="18"/>
          <w:szCs w:val="18"/>
        </w:rPr>
        <w:t>-</w:t>
      </w:r>
      <w:r w:rsidRPr="007E0CF7">
        <w:rPr>
          <w:rFonts w:ascii="Verdana" w:hAnsi="Verdana"/>
          <w:sz w:val="18"/>
          <w:szCs w:val="18"/>
        </w:rPr>
        <w:t>quality products, both independently and within our Supply Chain Management. This forms the basis for our growth potential.</w:t>
      </w:r>
    </w:p>
    <w:p w:rsidR="00E95087" w:rsidRPr="007E0CF7" w:rsidRDefault="00E95087" w:rsidP="00283B18">
      <w:pPr>
        <w:spacing w:line="276" w:lineRule="auto"/>
        <w:rPr>
          <w:rFonts w:ascii="Verdana" w:hAnsi="Verdana"/>
          <w:sz w:val="18"/>
          <w:szCs w:val="18"/>
        </w:rPr>
      </w:pPr>
    </w:p>
    <w:p w:rsidR="00E95087" w:rsidRPr="007E0CF7" w:rsidRDefault="00E95087" w:rsidP="00283B18">
      <w:pPr>
        <w:spacing w:line="276" w:lineRule="auto"/>
        <w:rPr>
          <w:rFonts w:ascii="Verdana" w:hAnsi="Verdana"/>
          <w:sz w:val="18"/>
          <w:szCs w:val="18"/>
        </w:rPr>
      </w:pPr>
      <w:r w:rsidRPr="007E0CF7">
        <w:rPr>
          <w:rFonts w:ascii="Verdana" w:hAnsi="Verdana"/>
          <w:sz w:val="18"/>
          <w:szCs w:val="18"/>
        </w:rPr>
        <w:t>Our mission is to be a knowledge and technology driven service provider in the field of modern devices that is able to handle the whole chain for complex requirements as well as individual services.</w:t>
      </w:r>
    </w:p>
    <w:p w:rsidR="008348AA" w:rsidRPr="007E0CF7" w:rsidRDefault="008348AA" w:rsidP="00283B18">
      <w:pPr>
        <w:spacing w:line="276" w:lineRule="auto"/>
        <w:rPr>
          <w:rFonts w:ascii="Verdana" w:hAnsi="Verdana"/>
          <w:sz w:val="18"/>
          <w:szCs w:val="18"/>
        </w:rPr>
      </w:pPr>
    </w:p>
    <w:p w:rsidR="008348AA" w:rsidRPr="007E0CF7" w:rsidRDefault="008348AA" w:rsidP="00283B18">
      <w:pPr>
        <w:spacing w:line="276" w:lineRule="auto"/>
        <w:rPr>
          <w:rFonts w:ascii="Verdana" w:hAnsi="Verdana" w:cs="Verdana"/>
          <w:sz w:val="18"/>
          <w:szCs w:val="18"/>
          <w:highlight w:val="yellow"/>
        </w:rPr>
      </w:pPr>
    </w:p>
    <w:p w:rsidR="00E95087" w:rsidRPr="007E0CF7" w:rsidRDefault="00E95087" w:rsidP="00283B18">
      <w:pPr>
        <w:spacing w:line="276" w:lineRule="auto"/>
        <w:rPr>
          <w:rFonts w:ascii="Verdana" w:hAnsi="Verdana"/>
          <w:b/>
          <w:color w:val="B71234"/>
          <w:sz w:val="18"/>
          <w:szCs w:val="18"/>
        </w:rPr>
      </w:pPr>
      <w:r w:rsidRPr="007E0CF7">
        <w:rPr>
          <w:rFonts w:ascii="Verdana" w:hAnsi="Verdana"/>
          <w:b/>
          <w:color w:val="B71234"/>
          <w:sz w:val="18"/>
          <w:szCs w:val="18"/>
        </w:rPr>
        <w:t>Strategy</w:t>
      </w:r>
    </w:p>
    <w:p w:rsidR="00D37A90" w:rsidRPr="007E0CF7" w:rsidRDefault="00D37A90" w:rsidP="00283B18">
      <w:pPr>
        <w:pStyle w:val="Listenabsatz"/>
        <w:numPr>
          <w:ilvl w:val="0"/>
          <w:numId w:val="9"/>
        </w:numPr>
        <w:tabs>
          <w:tab w:val="left" w:pos="284"/>
        </w:tabs>
        <w:spacing w:line="276" w:lineRule="auto"/>
        <w:ind w:left="284" w:hanging="284"/>
        <w:rPr>
          <w:rFonts w:ascii="Verdana" w:hAnsi="Verdana"/>
          <w:sz w:val="18"/>
          <w:szCs w:val="18"/>
          <w:lang w:val="en-GB"/>
        </w:rPr>
      </w:pPr>
      <w:r w:rsidRPr="007E0CF7">
        <w:rPr>
          <w:rFonts w:ascii="Verdana" w:hAnsi="Verdana"/>
          <w:sz w:val="18"/>
          <w:szCs w:val="18"/>
          <w:lang w:val="en-GB"/>
        </w:rPr>
        <w:t>We will focus on automotive and industrial markets to grow further in both sectors.</w:t>
      </w:r>
    </w:p>
    <w:p w:rsidR="00E95087" w:rsidRPr="007E0CF7" w:rsidRDefault="00E95087" w:rsidP="00283B18">
      <w:pPr>
        <w:pStyle w:val="Listenabsatz"/>
        <w:numPr>
          <w:ilvl w:val="0"/>
          <w:numId w:val="9"/>
        </w:numPr>
        <w:tabs>
          <w:tab w:val="left" w:pos="284"/>
        </w:tabs>
        <w:spacing w:line="276" w:lineRule="auto"/>
        <w:ind w:left="284" w:hanging="284"/>
        <w:rPr>
          <w:rFonts w:ascii="Verdana" w:hAnsi="Verdana"/>
          <w:sz w:val="18"/>
          <w:szCs w:val="18"/>
          <w:lang w:val="en-GB"/>
        </w:rPr>
      </w:pPr>
      <w:r w:rsidRPr="007E0CF7">
        <w:rPr>
          <w:rFonts w:ascii="Verdana" w:hAnsi="Verdana"/>
          <w:sz w:val="18"/>
          <w:szCs w:val="18"/>
          <w:lang w:val="en-GB"/>
        </w:rPr>
        <w:t>We will continue to work with fabless companies to show</w:t>
      </w:r>
      <w:r w:rsidR="001E2928">
        <w:rPr>
          <w:rFonts w:ascii="Verdana" w:hAnsi="Verdana"/>
          <w:sz w:val="18"/>
          <w:szCs w:val="18"/>
          <w:lang w:val="en-GB"/>
        </w:rPr>
        <w:t xml:space="preserve"> that</w:t>
      </w:r>
      <w:r w:rsidRPr="007E0CF7">
        <w:rPr>
          <w:rFonts w:ascii="Verdana" w:hAnsi="Verdana"/>
          <w:sz w:val="18"/>
          <w:szCs w:val="18"/>
          <w:lang w:val="en-GB"/>
        </w:rPr>
        <w:t xml:space="preserve"> </w:t>
      </w:r>
      <w:proofErr w:type="spellStart"/>
      <w:r w:rsidRPr="007E0CF7">
        <w:rPr>
          <w:rFonts w:ascii="Verdana" w:hAnsi="Verdana"/>
          <w:color w:val="B71234"/>
          <w:sz w:val="18"/>
          <w:szCs w:val="18"/>
          <w:lang w:val="en-GB"/>
        </w:rPr>
        <w:t>Rood</w:t>
      </w:r>
      <w:r w:rsidRPr="007E0CF7">
        <w:rPr>
          <w:rFonts w:ascii="Verdana" w:hAnsi="Verdana"/>
          <w:sz w:val="18"/>
          <w:szCs w:val="18"/>
          <w:lang w:val="en-GB"/>
        </w:rPr>
        <w:t>Microtec</w:t>
      </w:r>
      <w:proofErr w:type="spellEnd"/>
      <w:r w:rsidRPr="007E0CF7">
        <w:rPr>
          <w:rFonts w:ascii="Verdana" w:hAnsi="Verdana"/>
          <w:sz w:val="18"/>
          <w:szCs w:val="18"/>
          <w:lang w:val="en-GB"/>
        </w:rPr>
        <w:t xml:space="preserve"> </w:t>
      </w:r>
      <w:r w:rsidR="001E2928">
        <w:rPr>
          <w:rFonts w:ascii="Verdana" w:hAnsi="Verdana"/>
          <w:sz w:val="18"/>
          <w:szCs w:val="18"/>
          <w:lang w:val="en-GB"/>
        </w:rPr>
        <w:t>i</w:t>
      </w:r>
      <w:r w:rsidRPr="007E0CF7">
        <w:rPr>
          <w:rFonts w:ascii="Verdana" w:hAnsi="Verdana"/>
          <w:sz w:val="18"/>
          <w:szCs w:val="18"/>
          <w:lang w:val="en-GB"/>
        </w:rPr>
        <w:t xml:space="preserve">s a competitive SCM partner and encourage them </w:t>
      </w:r>
      <w:r w:rsidR="0072255D">
        <w:rPr>
          <w:rFonts w:ascii="Verdana" w:hAnsi="Verdana"/>
          <w:sz w:val="18"/>
          <w:szCs w:val="18"/>
          <w:lang w:val="en-GB"/>
        </w:rPr>
        <w:t>so strengthen the partnership with our company.</w:t>
      </w:r>
    </w:p>
    <w:p w:rsidR="00E95087" w:rsidRPr="007E0CF7" w:rsidRDefault="00E95087" w:rsidP="00283B18">
      <w:pPr>
        <w:pStyle w:val="Listenabsatz"/>
        <w:numPr>
          <w:ilvl w:val="0"/>
          <w:numId w:val="9"/>
        </w:numPr>
        <w:tabs>
          <w:tab w:val="left" w:pos="284"/>
        </w:tabs>
        <w:spacing w:line="276" w:lineRule="auto"/>
        <w:ind w:left="284" w:hanging="284"/>
        <w:rPr>
          <w:rFonts w:ascii="Verdana" w:hAnsi="Verdana"/>
          <w:sz w:val="18"/>
          <w:szCs w:val="18"/>
          <w:lang w:val="en-GB"/>
        </w:rPr>
      </w:pPr>
      <w:r w:rsidRPr="007E0CF7">
        <w:rPr>
          <w:rFonts w:ascii="Verdana" w:hAnsi="Verdana"/>
          <w:sz w:val="18"/>
          <w:szCs w:val="18"/>
          <w:lang w:val="en-GB"/>
        </w:rPr>
        <w:t xml:space="preserve">We will continue to work with OEMs to show that </w:t>
      </w:r>
      <w:proofErr w:type="spellStart"/>
      <w:r w:rsidRPr="007E0CF7">
        <w:rPr>
          <w:rFonts w:ascii="Verdana" w:hAnsi="Verdana"/>
          <w:color w:val="B71234"/>
          <w:sz w:val="18"/>
          <w:szCs w:val="18"/>
          <w:lang w:val="en-GB"/>
        </w:rPr>
        <w:t>Rood</w:t>
      </w:r>
      <w:r w:rsidRPr="007E0CF7">
        <w:rPr>
          <w:rFonts w:ascii="Verdana" w:hAnsi="Verdana"/>
          <w:sz w:val="18"/>
          <w:szCs w:val="18"/>
          <w:lang w:val="en-GB"/>
        </w:rPr>
        <w:t>Microtec</w:t>
      </w:r>
      <w:proofErr w:type="spellEnd"/>
      <w:r w:rsidRPr="007E0CF7">
        <w:rPr>
          <w:rFonts w:ascii="Verdana" w:hAnsi="Verdana"/>
          <w:sz w:val="18"/>
          <w:szCs w:val="18"/>
          <w:lang w:val="en-GB"/>
        </w:rPr>
        <w:t xml:space="preserve"> can offer competitive </w:t>
      </w:r>
      <w:proofErr w:type="spellStart"/>
      <w:r w:rsidRPr="007E0CF7">
        <w:rPr>
          <w:rFonts w:ascii="Verdana" w:hAnsi="Verdana"/>
          <w:sz w:val="18"/>
          <w:szCs w:val="18"/>
          <w:lang w:val="en-GB"/>
        </w:rPr>
        <w:t>e</w:t>
      </w:r>
      <w:r w:rsidRPr="007E0CF7">
        <w:rPr>
          <w:rFonts w:ascii="Verdana" w:hAnsi="Verdana"/>
          <w:color w:val="C00000"/>
          <w:sz w:val="18"/>
          <w:szCs w:val="18"/>
          <w:lang w:val="en-GB"/>
        </w:rPr>
        <w:t>X</w:t>
      </w:r>
      <w:r w:rsidRPr="007E0CF7">
        <w:rPr>
          <w:rFonts w:ascii="Verdana" w:hAnsi="Verdana"/>
          <w:sz w:val="18"/>
          <w:szCs w:val="18"/>
          <w:lang w:val="en-GB"/>
        </w:rPr>
        <w:t>tended</w:t>
      </w:r>
      <w:proofErr w:type="spellEnd"/>
      <w:r w:rsidRPr="007E0CF7">
        <w:rPr>
          <w:rFonts w:ascii="Verdana" w:hAnsi="Verdana"/>
          <w:sz w:val="18"/>
          <w:szCs w:val="18"/>
          <w:lang w:val="en-GB"/>
        </w:rPr>
        <w:t xml:space="preserve"> SCM</w:t>
      </w:r>
      <w:r w:rsidR="001E2928" w:rsidRPr="007E0CF7">
        <w:rPr>
          <w:rFonts w:ascii="Verdana" w:hAnsi="Verdana"/>
          <w:sz w:val="18"/>
          <w:szCs w:val="18"/>
          <w:lang w:val="en-GB"/>
        </w:rPr>
        <w:t xml:space="preserve"> in conjunction with design companies</w:t>
      </w:r>
      <w:r w:rsidRPr="007E0CF7">
        <w:rPr>
          <w:rFonts w:ascii="Verdana" w:hAnsi="Verdana"/>
          <w:sz w:val="18"/>
          <w:szCs w:val="18"/>
          <w:lang w:val="en-GB"/>
        </w:rPr>
        <w:t xml:space="preserve">. </w:t>
      </w:r>
    </w:p>
    <w:p w:rsidR="00E95087" w:rsidRDefault="00E95087" w:rsidP="00283B18">
      <w:pPr>
        <w:pStyle w:val="Listenabsatz"/>
        <w:numPr>
          <w:ilvl w:val="0"/>
          <w:numId w:val="9"/>
        </w:numPr>
        <w:tabs>
          <w:tab w:val="left" w:pos="284"/>
        </w:tabs>
        <w:spacing w:line="276" w:lineRule="auto"/>
        <w:ind w:left="284" w:hanging="284"/>
        <w:rPr>
          <w:rFonts w:ascii="Verdana" w:hAnsi="Verdana"/>
          <w:sz w:val="18"/>
          <w:szCs w:val="18"/>
          <w:lang w:val="en-GB"/>
        </w:rPr>
      </w:pPr>
      <w:r w:rsidRPr="007E0CF7">
        <w:rPr>
          <w:rFonts w:ascii="Verdana" w:hAnsi="Verdana"/>
          <w:sz w:val="18"/>
          <w:szCs w:val="18"/>
          <w:lang w:val="en-GB"/>
        </w:rPr>
        <w:t xml:space="preserve">We will continue to look for smaller faster turnaround opportunities in Failure Analysis, </w:t>
      </w:r>
      <w:r w:rsidR="00D37A90" w:rsidRPr="007E0CF7">
        <w:rPr>
          <w:rFonts w:ascii="Verdana" w:hAnsi="Verdana"/>
          <w:sz w:val="18"/>
          <w:szCs w:val="18"/>
          <w:lang w:val="en-GB"/>
        </w:rPr>
        <w:t>Qualification</w:t>
      </w:r>
      <w:r w:rsidRPr="007E0CF7">
        <w:rPr>
          <w:rFonts w:ascii="Verdana" w:hAnsi="Verdana"/>
          <w:sz w:val="18"/>
          <w:szCs w:val="18"/>
          <w:lang w:val="en-GB"/>
        </w:rPr>
        <w:t xml:space="preserve"> &amp; Reliability and Test.</w:t>
      </w:r>
    </w:p>
    <w:p w:rsidR="007C34E7" w:rsidRPr="007E0CF7" w:rsidRDefault="007C34E7" w:rsidP="00283B18">
      <w:pPr>
        <w:pStyle w:val="Listenabsatz"/>
        <w:numPr>
          <w:ilvl w:val="0"/>
          <w:numId w:val="9"/>
        </w:numPr>
        <w:tabs>
          <w:tab w:val="left" w:pos="284"/>
        </w:tabs>
        <w:spacing w:line="276" w:lineRule="auto"/>
        <w:ind w:left="284" w:hanging="284"/>
        <w:rPr>
          <w:rFonts w:ascii="Verdana" w:hAnsi="Verdana"/>
          <w:sz w:val="18"/>
          <w:szCs w:val="18"/>
          <w:lang w:val="en-GB"/>
        </w:rPr>
      </w:pPr>
      <w:r>
        <w:rPr>
          <w:rFonts w:ascii="Verdana" w:hAnsi="Verdana"/>
          <w:sz w:val="18"/>
          <w:szCs w:val="18"/>
          <w:lang w:val="en-GB"/>
        </w:rPr>
        <w:t xml:space="preserve">We will continue to strengthen our internal quality system by </w:t>
      </w:r>
      <w:r w:rsidR="00B4167E">
        <w:rPr>
          <w:rFonts w:ascii="Verdana" w:hAnsi="Verdana"/>
          <w:sz w:val="18"/>
          <w:szCs w:val="18"/>
          <w:lang w:val="en-GB"/>
        </w:rPr>
        <w:t>certification according the new version 2015 of ISO 9001 with focus on risk assessment which is important for automotive customers amongst others</w:t>
      </w:r>
    </w:p>
    <w:p w:rsidR="00E95087" w:rsidRPr="007E0CF7" w:rsidRDefault="00E95087" w:rsidP="00283B18">
      <w:pPr>
        <w:tabs>
          <w:tab w:val="left" w:pos="284"/>
        </w:tabs>
        <w:spacing w:line="276" w:lineRule="auto"/>
        <w:rPr>
          <w:rFonts w:ascii="Verdana" w:hAnsi="Verdana"/>
          <w:sz w:val="18"/>
          <w:szCs w:val="18"/>
        </w:rPr>
      </w:pPr>
      <w:r w:rsidRPr="007E0CF7">
        <w:rPr>
          <w:rFonts w:ascii="Verdana" w:hAnsi="Verdana"/>
          <w:sz w:val="18"/>
          <w:szCs w:val="18"/>
        </w:rPr>
        <w:t>The above items will result in a good combination of long-term contracts with long lead time</w:t>
      </w:r>
      <w:r w:rsidR="001E2928">
        <w:rPr>
          <w:rFonts w:ascii="Verdana" w:hAnsi="Verdana"/>
          <w:sz w:val="18"/>
          <w:szCs w:val="18"/>
        </w:rPr>
        <w:t>s</w:t>
      </w:r>
      <w:r w:rsidRPr="007E0CF7">
        <w:rPr>
          <w:rFonts w:ascii="Verdana" w:hAnsi="Verdana"/>
          <w:sz w:val="18"/>
          <w:szCs w:val="18"/>
        </w:rPr>
        <w:t xml:space="preserve"> and short term orders with short lead time</w:t>
      </w:r>
      <w:r w:rsidR="001E2928">
        <w:rPr>
          <w:rFonts w:ascii="Verdana" w:hAnsi="Verdana"/>
          <w:sz w:val="18"/>
          <w:szCs w:val="18"/>
        </w:rPr>
        <w:t>s</w:t>
      </w:r>
      <w:r w:rsidRPr="007E0CF7">
        <w:rPr>
          <w:rFonts w:ascii="Verdana" w:hAnsi="Verdana"/>
          <w:sz w:val="18"/>
          <w:szCs w:val="18"/>
        </w:rPr>
        <w:t>. Certainly for the next 4</w:t>
      </w:r>
      <w:r w:rsidR="001E2928">
        <w:rPr>
          <w:rFonts w:ascii="Verdana" w:hAnsi="Verdana"/>
          <w:sz w:val="18"/>
          <w:szCs w:val="18"/>
        </w:rPr>
        <w:t xml:space="preserve"> to </w:t>
      </w:r>
      <w:r w:rsidRPr="007E0CF7">
        <w:rPr>
          <w:rFonts w:ascii="Verdana" w:hAnsi="Verdana"/>
          <w:sz w:val="18"/>
          <w:szCs w:val="18"/>
        </w:rPr>
        <w:t>5 years we also need short</w:t>
      </w:r>
      <w:r w:rsidR="001E2928">
        <w:rPr>
          <w:rFonts w:ascii="Verdana" w:hAnsi="Verdana"/>
          <w:sz w:val="18"/>
          <w:szCs w:val="18"/>
        </w:rPr>
        <w:t>-</w:t>
      </w:r>
      <w:r w:rsidRPr="007E0CF7">
        <w:rPr>
          <w:rFonts w:ascii="Verdana" w:hAnsi="Verdana"/>
          <w:sz w:val="18"/>
          <w:szCs w:val="18"/>
        </w:rPr>
        <w:t xml:space="preserve">term orders to generate </w:t>
      </w:r>
      <w:r w:rsidRPr="007E0CF7">
        <w:rPr>
          <w:rFonts w:ascii="Verdana" w:hAnsi="Verdana"/>
          <w:sz w:val="18"/>
          <w:szCs w:val="18"/>
        </w:rPr>
        <w:lastRenderedPageBreak/>
        <w:t xml:space="preserve">cash flow. In the meantime we </w:t>
      </w:r>
      <w:r w:rsidR="0031191B">
        <w:rPr>
          <w:rFonts w:ascii="Verdana" w:hAnsi="Verdana"/>
          <w:sz w:val="18"/>
          <w:szCs w:val="18"/>
        </w:rPr>
        <w:t xml:space="preserve">will </w:t>
      </w:r>
      <w:r w:rsidRPr="007E0CF7">
        <w:rPr>
          <w:rFonts w:ascii="Verdana" w:hAnsi="Verdana"/>
          <w:sz w:val="18"/>
          <w:szCs w:val="18"/>
        </w:rPr>
        <w:t xml:space="preserve">continue </w:t>
      </w:r>
      <w:r w:rsidR="001E2928">
        <w:rPr>
          <w:rFonts w:ascii="Verdana" w:hAnsi="Verdana"/>
          <w:sz w:val="18"/>
          <w:szCs w:val="18"/>
        </w:rPr>
        <w:t xml:space="preserve">to </w:t>
      </w:r>
      <w:r w:rsidR="001E2928" w:rsidRPr="007E0CF7">
        <w:rPr>
          <w:rFonts w:ascii="Verdana" w:hAnsi="Verdana"/>
          <w:sz w:val="18"/>
          <w:szCs w:val="18"/>
        </w:rPr>
        <w:t>focus</w:t>
      </w:r>
      <w:r w:rsidR="001E2928">
        <w:rPr>
          <w:rFonts w:ascii="Verdana" w:hAnsi="Verdana"/>
          <w:sz w:val="18"/>
          <w:szCs w:val="18"/>
        </w:rPr>
        <w:t xml:space="preserve"> </w:t>
      </w:r>
      <w:r w:rsidRPr="007E0CF7">
        <w:rPr>
          <w:rFonts w:ascii="Verdana" w:hAnsi="Verdana"/>
          <w:sz w:val="18"/>
          <w:szCs w:val="18"/>
        </w:rPr>
        <w:t>on concluding long-term contracts</w:t>
      </w:r>
      <w:r w:rsidR="001E2928">
        <w:rPr>
          <w:rFonts w:ascii="Verdana" w:hAnsi="Verdana"/>
          <w:sz w:val="18"/>
          <w:szCs w:val="18"/>
        </w:rPr>
        <w:t>,</w:t>
      </w:r>
      <w:r w:rsidRPr="007E0CF7">
        <w:rPr>
          <w:rFonts w:ascii="Verdana" w:hAnsi="Verdana"/>
          <w:sz w:val="18"/>
          <w:szCs w:val="18"/>
        </w:rPr>
        <w:t xml:space="preserve"> which will bring much more stable, predictable recurring revenues and make us the supply chain specialist. </w:t>
      </w:r>
    </w:p>
    <w:p w:rsidR="00E95087" w:rsidRPr="007E0CF7" w:rsidRDefault="00E95087" w:rsidP="00283B18">
      <w:pPr>
        <w:tabs>
          <w:tab w:val="left" w:pos="284"/>
        </w:tabs>
        <w:spacing w:line="276" w:lineRule="auto"/>
        <w:rPr>
          <w:rFonts w:ascii="Verdana" w:hAnsi="Verdana"/>
          <w:sz w:val="18"/>
          <w:szCs w:val="18"/>
        </w:rPr>
      </w:pPr>
    </w:p>
    <w:p w:rsidR="00D37A90" w:rsidRPr="007E0CF7" w:rsidRDefault="00D37A90" w:rsidP="00283B18">
      <w:pPr>
        <w:pStyle w:val="Listenabsatz"/>
        <w:numPr>
          <w:ilvl w:val="0"/>
          <w:numId w:val="9"/>
        </w:numPr>
        <w:tabs>
          <w:tab w:val="left" w:pos="284"/>
        </w:tabs>
        <w:spacing w:line="276" w:lineRule="auto"/>
        <w:ind w:left="284" w:hanging="284"/>
        <w:rPr>
          <w:rFonts w:ascii="Verdana" w:hAnsi="Verdana"/>
          <w:sz w:val="18"/>
          <w:szCs w:val="18"/>
          <w:lang w:val="en-GB"/>
        </w:rPr>
      </w:pPr>
      <w:r w:rsidRPr="007E0CF7">
        <w:rPr>
          <w:rFonts w:ascii="Verdana" w:hAnsi="Verdana"/>
          <w:sz w:val="18"/>
          <w:szCs w:val="18"/>
          <w:lang w:val="en-GB"/>
        </w:rPr>
        <w:t>To strengthen our technical position for automotive, industrial, Industry 4.0</w:t>
      </w:r>
      <w:r w:rsidR="001E2928">
        <w:rPr>
          <w:rFonts w:ascii="Verdana" w:hAnsi="Verdana"/>
          <w:sz w:val="18"/>
          <w:szCs w:val="18"/>
          <w:lang w:val="en-GB"/>
        </w:rPr>
        <w:t xml:space="preserve"> and</w:t>
      </w:r>
      <w:r w:rsidRPr="007E0CF7">
        <w:rPr>
          <w:rFonts w:ascii="Verdana" w:hAnsi="Verdana"/>
          <w:sz w:val="18"/>
          <w:szCs w:val="18"/>
          <w:lang w:val="en-GB"/>
        </w:rPr>
        <w:t xml:space="preserve"> </w:t>
      </w:r>
      <w:proofErr w:type="spellStart"/>
      <w:r w:rsidRPr="007E0CF7">
        <w:rPr>
          <w:rFonts w:ascii="Verdana" w:hAnsi="Verdana"/>
          <w:sz w:val="18"/>
          <w:szCs w:val="18"/>
          <w:lang w:val="en-GB"/>
        </w:rPr>
        <w:t>IoT</w:t>
      </w:r>
      <w:proofErr w:type="spellEnd"/>
      <w:r w:rsidRPr="007E0CF7">
        <w:rPr>
          <w:rFonts w:ascii="Verdana" w:hAnsi="Verdana"/>
          <w:sz w:val="18"/>
          <w:szCs w:val="18"/>
          <w:lang w:val="en-GB"/>
        </w:rPr>
        <w:t xml:space="preserve"> we will invest in </w:t>
      </w:r>
      <w:r w:rsidR="001E2928">
        <w:rPr>
          <w:rFonts w:ascii="Verdana" w:hAnsi="Verdana"/>
          <w:sz w:val="18"/>
          <w:szCs w:val="18"/>
          <w:lang w:val="en-GB"/>
        </w:rPr>
        <w:t xml:space="preserve">a </w:t>
      </w:r>
      <w:r w:rsidRPr="007E0CF7">
        <w:rPr>
          <w:rFonts w:ascii="Verdana" w:hAnsi="Verdana"/>
          <w:sz w:val="18"/>
          <w:szCs w:val="18"/>
          <w:lang w:val="en-GB"/>
        </w:rPr>
        <w:t>new high</w:t>
      </w:r>
      <w:r w:rsidR="001E2928">
        <w:rPr>
          <w:rFonts w:ascii="Verdana" w:hAnsi="Verdana"/>
          <w:sz w:val="18"/>
          <w:szCs w:val="18"/>
          <w:lang w:val="en-GB"/>
        </w:rPr>
        <w:t>-</w:t>
      </w:r>
      <w:r w:rsidRPr="007E0CF7">
        <w:rPr>
          <w:rFonts w:ascii="Verdana" w:hAnsi="Verdana"/>
          <w:sz w:val="18"/>
          <w:szCs w:val="18"/>
          <w:lang w:val="en-GB"/>
        </w:rPr>
        <w:t>technological test system and 12”-probe equipment.</w:t>
      </w:r>
    </w:p>
    <w:p w:rsidR="00E95087" w:rsidRPr="007E0CF7" w:rsidRDefault="00E95087" w:rsidP="00283B18">
      <w:pPr>
        <w:pStyle w:val="Listenabsatz"/>
        <w:numPr>
          <w:ilvl w:val="0"/>
          <w:numId w:val="9"/>
        </w:numPr>
        <w:tabs>
          <w:tab w:val="left" w:pos="284"/>
        </w:tabs>
        <w:spacing w:line="276" w:lineRule="auto"/>
        <w:ind w:left="284" w:hanging="284"/>
        <w:rPr>
          <w:rFonts w:ascii="Verdana" w:hAnsi="Verdana"/>
          <w:sz w:val="18"/>
          <w:szCs w:val="18"/>
          <w:lang w:val="en-GB"/>
        </w:rPr>
      </w:pPr>
      <w:r w:rsidRPr="007E0CF7">
        <w:rPr>
          <w:rFonts w:ascii="Verdana" w:hAnsi="Verdana"/>
          <w:sz w:val="18"/>
          <w:szCs w:val="18"/>
          <w:lang w:val="en-GB"/>
        </w:rPr>
        <w:t>To establish direct contact with Tier 1 customers as an ASIC provider. This will enable</w:t>
      </w:r>
      <w:r w:rsidR="001E2928">
        <w:rPr>
          <w:rFonts w:ascii="Verdana" w:hAnsi="Verdana"/>
          <w:sz w:val="18"/>
          <w:szCs w:val="18"/>
          <w:lang w:val="en-GB"/>
        </w:rPr>
        <w:t xml:space="preserve"> us</w:t>
      </w:r>
      <w:r w:rsidRPr="007E0CF7">
        <w:rPr>
          <w:rFonts w:ascii="Verdana" w:hAnsi="Verdana"/>
          <w:sz w:val="18"/>
          <w:szCs w:val="18"/>
          <w:lang w:val="en-GB"/>
        </w:rPr>
        <w:t xml:space="preserve"> to take on more of the tasks in the complete flow and thereby generate more and higher </w:t>
      </w:r>
      <w:r w:rsidR="0031191B">
        <w:rPr>
          <w:rFonts w:ascii="Verdana" w:hAnsi="Verdana"/>
          <w:sz w:val="18"/>
          <w:szCs w:val="18"/>
          <w:lang w:val="en-GB"/>
        </w:rPr>
        <w:t>sales</w:t>
      </w:r>
      <w:r w:rsidRPr="007E0CF7">
        <w:rPr>
          <w:rFonts w:ascii="Verdana" w:hAnsi="Verdana"/>
          <w:sz w:val="18"/>
          <w:szCs w:val="18"/>
          <w:lang w:val="en-GB"/>
        </w:rPr>
        <w:t>.</w:t>
      </w:r>
    </w:p>
    <w:p w:rsidR="00E95087" w:rsidRPr="007E0CF7" w:rsidRDefault="00E95087" w:rsidP="00283B18">
      <w:pPr>
        <w:pStyle w:val="Listenabsatz"/>
        <w:numPr>
          <w:ilvl w:val="0"/>
          <w:numId w:val="9"/>
        </w:numPr>
        <w:tabs>
          <w:tab w:val="left" w:pos="284"/>
        </w:tabs>
        <w:spacing w:line="276" w:lineRule="auto"/>
        <w:ind w:left="284" w:hanging="284"/>
        <w:rPr>
          <w:rFonts w:ascii="Verdana" w:hAnsi="Verdana"/>
          <w:sz w:val="18"/>
          <w:szCs w:val="18"/>
          <w:lang w:val="en-GB"/>
        </w:rPr>
      </w:pPr>
      <w:r w:rsidRPr="007E0CF7">
        <w:rPr>
          <w:rFonts w:ascii="Verdana" w:hAnsi="Verdana"/>
          <w:sz w:val="18"/>
          <w:szCs w:val="18"/>
          <w:lang w:val="en-GB"/>
        </w:rPr>
        <w:t>To strengthen relationships with customers, suppliers and appropriate partners (foundries, assemblers</w:t>
      </w:r>
      <w:r w:rsidR="00D37A90" w:rsidRPr="007E0CF7">
        <w:rPr>
          <w:rFonts w:ascii="Verdana" w:hAnsi="Verdana"/>
          <w:sz w:val="18"/>
          <w:szCs w:val="18"/>
          <w:lang w:val="en-GB"/>
        </w:rPr>
        <w:t>, design houses, OEMs/system houses</w:t>
      </w:r>
      <w:r w:rsidRPr="007E0CF7">
        <w:rPr>
          <w:rFonts w:ascii="Verdana" w:hAnsi="Verdana"/>
          <w:sz w:val="18"/>
          <w:szCs w:val="18"/>
          <w:lang w:val="en-GB"/>
        </w:rPr>
        <w:t xml:space="preserve">). This will make us stronger as well as a </w:t>
      </w:r>
      <w:r w:rsidR="001E2928">
        <w:rPr>
          <w:rFonts w:ascii="Verdana" w:hAnsi="Verdana"/>
          <w:sz w:val="18"/>
          <w:szCs w:val="18"/>
          <w:lang w:val="en-GB"/>
        </w:rPr>
        <w:t xml:space="preserve">better </w:t>
      </w:r>
      <w:r w:rsidR="00D37A90" w:rsidRPr="007E0CF7">
        <w:rPr>
          <w:rFonts w:ascii="Verdana" w:hAnsi="Verdana"/>
          <w:sz w:val="18"/>
          <w:szCs w:val="18"/>
          <w:lang w:val="en-GB"/>
        </w:rPr>
        <w:t>known and important player.</w:t>
      </w:r>
    </w:p>
    <w:p w:rsidR="00E95087" w:rsidRPr="007E0CF7" w:rsidRDefault="00E95087" w:rsidP="00283B18">
      <w:pPr>
        <w:pStyle w:val="Listenabsatz"/>
        <w:numPr>
          <w:ilvl w:val="0"/>
          <w:numId w:val="9"/>
        </w:numPr>
        <w:tabs>
          <w:tab w:val="left" w:pos="284"/>
        </w:tabs>
        <w:spacing w:line="276" w:lineRule="auto"/>
        <w:ind w:left="284" w:hanging="284"/>
        <w:rPr>
          <w:rFonts w:ascii="Verdana" w:hAnsi="Verdana"/>
          <w:sz w:val="18"/>
          <w:szCs w:val="18"/>
          <w:lang w:val="en-GB"/>
        </w:rPr>
      </w:pPr>
      <w:r w:rsidRPr="007E0CF7">
        <w:rPr>
          <w:rFonts w:ascii="Verdana" w:hAnsi="Verdana"/>
          <w:sz w:val="18"/>
          <w:szCs w:val="18"/>
          <w:lang w:val="en-GB"/>
        </w:rPr>
        <w:t xml:space="preserve">Continuous training with focus on development of new technologies and special requirements from the market, e.g. standard requirements for automotive. </w:t>
      </w:r>
    </w:p>
    <w:p w:rsidR="008348AA" w:rsidRPr="0072255D" w:rsidRDefault="001E2928" w:rsidP="00283B18">
      <w:pPr>
        <w:pStyle w:val="Listenabsatz"/>
        <w:numPr>
          <w:ilvl w:val="0"/>
          <w:numId w:val="9"/>
        </w:numPr>
        <w:tabs>
          <w:tab w:val="left" w:pos="284"/>
        </w:tabs>
        <w:spacing w:line="276" w:lineRule="auto"/>
        <w:ind w:left="284" w:hanging="284"/>
        <w:rPr>
          <w:rFonts w:ascii="Verdana" w:hAnsi="Verdana"/>
          <w:sz w:val="18"/>
          <w:szCs w:val="18"/>
          <w:lang w:val="en-GB"/>
        </w:rPr>
      </w:pPr>
      <w:r>
        <w:rPr>
          <w:rFonts w:ascii="Verdana" w:hAnsi="Verdana"/>
          <w:sz w:val="18"/>
          <w:szCs w:val="18"/>
          <w:lang w:val="en-GB"/>
        </w:rPr>
        <w:t>To strengthen</w:t>
      </w:r>
      <w:r w:rsidRPr="007E0CF7">
        <w:rPr>
          <w:rFonts w:ascii="Verdana" w:hAnsi="Verdana"/>
          <w:sz w:val="18"/>
          <w:szCs w:val="18"/>
          <w:lang w:val="en-GB"/>
        </w:rPr>
        <w:t xml:space="preserve"> </w:t>
      </w:r>
      <w:r w:rsidR="00E95087" w:rsidRPr="007E0CF7">
        <w:rPr>
          <w:rFonts w:ascii="Verdana" w:hAnsi="Verdana"/>
          <w:sz w:val="18"/>
          <w:szCs w:val="18"/>
          <w:lang w:val="en-GB"/>
        </w:rPr>
        <w:t>our awareness in the market by organi</w:t>
      </w:r>
      <w:r>
        <w:rPr>
          <w:rFonts w:ascii="Verdana" w:hAnsi="Verdana"/>
          <w:sz w:val="18"/>
          <w:szCs w:val="18"/>
          <w:lang w:val="en-GB"/>
        </w:rPr>
        <w:t>s</w:t>
      </w:r>
      <w:r w:rsidR="00E95087" w:rsidRPr="007E0CF7">
        <w:rPr>
          <w:rFonts w:ascii="Verdana" w:hAnsi="Verdana"/>
          <w:sz w:val="18"/>
          <w:szCs w:val="18"/>
          <w:lang w:val="en-GB"/>
        </w:rPr>
        <w:t>ing seminars on qu</w:t>
      </w:r>
      <w:r w:rsidR="007E706B" w:rsidRPr="007E0CF7">
        <w:rPr>
          <w:rFonts w:ascii="Verdana" w:hAnsi="Verdana"/>
          <w:sz w:val="18"/>
          <w:szCs w:val="18"/>
          <w:lang w:val="en-GB"/>
        </w:rPr>
        <w:t xml:space="preserve">alification, failure analysis, </w:t>
      </w:r>
      <w:r w:rsidR="00E95087" w:rsidRPr="007E0CF7">
        <w:rPr>
          <w:rFonts w:ascii="Verdana" w:hAnsi="Verdana"/>
          <w:sz w:val="18"/>
          <w:szCs w:val="18"/>
          <w:lang w:val="en-GB"/>
        </w:rPr>
        <w:t>outsourcing and supply chain activities.</w:t>
      </w:r>
    </w:p>
    <w:p w:rsidR="00283B18" w:rsidRPr="00283B18" w:rsidRDefault="00283B18" w:rsidP="00283B18">
      <w:pPr>
        <w:spacing w:line="276" w:lineRule="auto"/>
        <w:rPr>
          <w:rFonts w:ascii="Verdana" w:hAnsi="Verdana"/>
          <w:sz w:val="18"/>
          <w:szCs w:val="18"/>
          <w:lang w:val="en-US"/>
        </w:rPr>
      </w:pPr>
    </w:p>
    <w:p w:rsidR="00283B18" w:rsidRPr="00283B18" w:rsidRDefault="00283B18" w:rsidP="00283B18">
      <w:pPr>
        <w:spacing w:line="276" w:lineRule="auto"/>
        <w:rPr>
          <w:rFonts w:ascii="Verdana" w:hAnsi="Verdana" w:cs="Verdana"/>
          <w:color w:val="000000"/>
          <w:sz w:val="18"/>
          <w:szCs w:val="18"/>
          <w:highlight w:val="yellow"/>
        </w:rPr>
      </w:pPr>
    </w:p>
    <w:p w:rsidR="007E706B" w:rsidRPr="007E0CF7" w:rsidRDefault="007E706B" w:rsidP="00283B18">
      <w:pPr>
        <w:spacing w:line="276" w:lineRule="auto"/>
        <w:rPr>
          <w:rFonts w:ascii="Verdana" w:hAnsi="Verdana"/>
          <w:b/>
          <w:color w:val="B71234"/>
          <w:sz w:val="18"/>
          <w:szCs w:val="18"/>
        </w:rPr>
      </w:pPr>
      <w:r w:rsidRPr="007E0CF7">
        <w:rPr>
          <w:rFonts w:ascii="Verdana" w:hAnsi="Verdana"/>
          <w:b/>
          <w:color w:val="B71234"/>
          <w:sz w:val="18"/>
          <w:szCs w:val="18"/>
        </w:rPr>
        <w:t>Outlook for 2016</w:t>
      </w:r>
    </w:p>
    <w:p w:rsidR="00D221A3" w:rsidRDefault="00D221A3" w:rsidP="00283B18">
      <w:pPr>
        <w:spacing w:line="276" w:lineRule="auto"/>
        <w:rPr>
          <w:rFonts w:ascii="Verdana" w:hAnsi="Verdana"/>
          <w:sz w:val="18"/>
          <w:szCs w:val="18"/>
        </w:rPr>
      </w:pPr>
      <w:r>
        <w:rPr>
          <w:rFonts w:ascii="Verdana" w:hAnsi="Verdana"/>
          <w:sz w:val="18"/>
          <w:szCs w:val="18"/>
        </w:rPr>
        <w:t xml:space="preserve">As a result of new announced arrangements early 2016 and the contracts announced in 2015, </w:t>
      </w:r>
      <w:proofErr w:type="spellStart"/>
      <w:r w:rsidRPr="007C34E7">
        <w:rPr>
          <w:rFonts w:ascii="Verdana" w:hAnsi="Verdana"/>
          <w:color w:val="B71234"/>
          <w:sz w:val="18"/>
          <w:szCs w:val="18"/>
        </w:rPr>
        <w:t>Rood</w:t>
      </w:r>
      <w:r>
        <w:rPr>
          <w:rFonts w:ascii="Verdana" w:hAnsi="Verdana"/>
          <w:sz w:val="18"/>
          <w:szCs w:val="18"/>
        </w:rPr>
        <w:t>Microtec</w:t>
      </w:r>
      <w:proofErr w:type="spellEnd"/>
      <w:r>
        <w:rPr>
          <w:rFonts w:ascii="Verdana" w:hAnsi="Verdana"/>
          <w:sz w:val="18"/>
          <w:szCs w:val="18"/>
        </w:rPr>
        <w:t xml:space="preserve"> expects that turnover will increase substantially in the coming years. We expect that in 2020 our turnover will approximately be 75% higher compared to the total turnover of over EUR 10 million in 2015. </w:t>
      </w:r>
    </w:p>
    <w:p w:rsidR="00D221A3" w:rsidRDefault="00D221A3" w:rsidP="00283B18">
      <w:pPr>
        <w:spacing w:line="276" w:lineRule="auto"/>
        <w:rPr>
          <w:rFonts w:ascii="Verdana" w:hAnsi="Verdana"/>
          <w:sz w:val="18"/>
          <w:szCs w:val="18"/>
        </w:rPr>
      </w:pPr>
    </w:p>
    <w:p w:rsidR="00FC581C" w:rsidRDefault="00D221A3" w:rsidP="00283B18">
      <w:pPr>
        <w:spacing w:line="276" w:lineRule="auto"/>
        <w:rPr>
          <w:rFonts w:ascii="Verdana" w:hAnsi="Verdana"/>
          <w:sz w:val="18"/>
          <w:szCs w:val="18"/>
        </w:rPr>
      </w:pPr>
      <w:r>
        <w:rPr>
          <w:rFonts w:ascii="Verdana" w:hAnsi="Verdana"/>
          <w:sz w:val="18"/>
          <w:szCs w:val="18"/>
        </w:rPr>
        <w:t xml:space="preserve">Given the increased order value and other positive signals for 2016, we raise our expectation for turnover in 2016 to the upper end of the marked growth range (7% to 12%).  </w:t>
      </w:r>
      <w:r w:rsidR="0060633D">
        <w:rPr>
          <w:rFonts w:ascii="Verdana" w:hAnsi="Verdana"/>
          <w:sz w:val="18"/>
          <w:szCs w:val="18"/>
        </w:rPr>
        <w:t xml:space="preserve"> </w:t>
      </w:r>
    </w:p>
    <w:p w:rsidR="0060633D" w:rsidRDefault="0060633D" w:rsidP="00283B18">
      <w:pPr>
        <w:spacing w:line="276" w:lineRule="auto"/>
        <w:rPr>
          <w:rFonts w:ascii="Verdana" w:hAnsi="Verdana"/>
          <w:sz w:val="18"/>
          <w:szCs w:val="18"/>
        </w:rPr>
      </w:pPr>
    </w:p>
    <w:p w:rsidR="00FC581C" w:rsidRDefault="00FC581C" w:rsidP="00283B18">
      <w:pPr>
        <w:spacing w:line="276" w:lineRule="auto"/>
        <w:rPr>
          <w:rFonts w:ascii="Verdana" w:hAnsi="Verdana"/>
          <w:sz w:val="18"/>
          <w:szCs w:val="18"/>
        </w:rPr>
      </w:pPr>
    </w:p>
    <w:p w:rsidR="004B0FE9" w:rsidRDefault="0086510E" w:rsidP="00283B18">
      <w:pPr>
        <w:spacing w:line="276" w:lineRule="auto"/>
        <w:rPr>
          <w:rFonts w:ascii="Verdana" w:hAnsi="Verdana"/>
          <w:b/>
          <w:color w:val="B71234"/>
          <w:sz w:val="18"/>
          <w:szCs w:val="18"/>
        </w:rPr>
      </w:pPr>
      <w:r w:rsidRPr="0086510E">
        <w:rPr>
          <w:rFonts w:ascii="Verdana" w:hAnsi="Verdana"/>
          <w:b/>
          <w:color w:val="B71234"/>
          <w:sz w:val="18"/>
          <w:szCs w:val="18"/>
        </w:rPr>
        <w:t>Conference call today, 10 March 2016, start 9.30 am</w:t>
      </w:r>
    </w:p>
    <w:p w:rsidR="00FC581C" w:rsidRPr="00D72375" w:rsidRDefault="00FC581C" w:rsidP="00283B18">
      <w:pPr>
        <w:spacing w:line="276" w:lineRule="auto"/>
        <w:rPr>
          <w:rFonts w:ascii="Verdana" w:hAnsi="Verdana" w:cs="Arial"/>
          <w:sz w:val="18"/>
          <w:szCs w:val="18"/>
        </w:rPr>
      </w:pPr>
      <w:r w:rsidRPr="00D72375">
        <w:rPr>
          <w:rFonts w:ascii="Verdana" w:hAnsi="Verdana" w:cs="Arial"/>
          <w:sz w:val="18"/>
          <w:szCs w:val="18"/>
        </w:rPr>
        <w:t>A conference call will be held for press, analysts and other interested parties on 10 March</w:t>
      </w:r>
      <w:r w:rsidR="00BA34C9">
        <w:rPr>
          <w:rFonts w:ascii="Verdana" w:hAnsi="Verdana" w:cs="Arial"/>
          <w:sz w:val="18"/>
          <w:szCs w:val="18"/>
        </w:rPr>
        <w:t xml:space="preserve"> 2016</w:t>
      </w:r>
      <w:r w:rsidRPr="00D72375">
        <w:rPr>
          <w:rFonts w:ascii="Verdana" w:hAnsi="Verdana" w:cs="Arial"/>
          <w:sz w:val="18"/>
          <w:szCs w:val="18"/>
        </w:rPr>
        <w:t>.</w:t>
      </w:r>
    </w:p>
    <w:p w:rsidR="00FC581C" w:rsidRPr="00D72375" w:rsidRDefault="00FC581C" w:rsidP="00283B18">
      <w:pPr>
        <w:spacing w:line="276" w:lineRule="auto"/>
        <w:rPr>
          <w:rFonts w:ascii="Verdana" w:eastAsia="Calibri" w:hAnsi="Verdana" w:cs="Calibri"/>
          <w:b/>
          <w:i/>
          <w:color w:val="343434"/>
          <w:sz w:val="18"/>
          <w:szCs w:val="18"/>
          <w:lang w:val="en-US"/>
        </w:rPr>
      </w:pPr>
      <w:r w:rsidRPr="00D72375">
        <w:rPr>
          <w:rFonts w:ascii="Verdana" w:hAnsi="Verdana" w:cs="Arial"/>
          <w:sz w:val="18"/>
          <w:szCs w:val="18"/>
        </w:rPr>
        <w:t>The telephone number to join the call is</w:t>
      </w:r>
      <w:r w:rsidRPr="00D72375">
        <w:rPr>
          <w:rFonts w:ascii="Verdana" w:eastAsia="Calibri" w:hAnsi="Verdana" w:cs="Calibri"/>
          <w:color w:val="343434"/>
          <w:sz w:val="18"/>
          <w:szCs w:val="18"/>
          <w:lang w:val="en-US"/>
        </w:rPr>
        <w:t xml:space="preserve"> </w:t>
      </w:r>
      <w:r w:rsidRPr="00D72375">
        <w:rPr>
          <w:rFonts w:ascii="Verdana" w:eastAsia="Calibri" w:hAnsi="Verdana" w:cs="Calibri"/>
          <w:b/>
          <w:i/>
          <w:color w:val="343434"/>
          <w:sz w:val="18"/>
          <w:szCs w:val="18"/>
          <w:lang w:val="en-US"/>
        </w:rPr>
        <w:t>+31 20 531 5854</w:t>
      </w:r>
      <w:r>
        <w:rPr>
          <w:rFonts w:ascii="Verdana" w:eastAsia="Calibri" w:hAnsi="Verdana" w:cs="Calibri"/>
          <w:b/>
          <w:i/>
          <w:color w:val="343434"/>
          <w:sz w:val="18"/>
          <w:szCs w:val="18"/>
          <w:lang w:val="en-US"/>
        </w:rPr>
        <w:t>.</w:t>
      </w:r>
    </w:p>
    <w:p w:rsidR="00FC581C" w:rsidRPr="00FC581C" w:rsidRDefault="00FC581C" w:rsidP="00283B18">
      <w:pPr>
        <w:spacing w:line="276" w:lineRule="auto"/>
        <w:rPr>
          <w:rFonts w:ascii="Verdana" w:hAnsi="Verdana"/>
          <w:sz w:val="18"/>
          <w:szCs w:val="18"/>
          <w:lang w:val="en-US"/>
        </w:rPr>
      </w:pPr>
    </w:p>
    <w:p w:rsidR="008348AA" w:rsidRPr="007E0CF7" w:rsidRDefault="008348AA" w:rsidP="00283B18">
      <w:pPr>
        <w:spacing w:line="276" w:lineRule="auto"/>
        <w:rPr>
          <w:rFonts w:ascii="Verdana" w:hAnsi="Verdana" w:cs="Verdana"/>
          <w:color w:val="000000"/>
          <w:sz w:val="18"/>
          <w:szCs w:val="18"/>
          <w:highlight w:val="yellow"/>
        </w:rPr>
      </w:pPr>
    </w:p>
    <w:p w:rsidR="001E7EE9" w:rsidRPr="007E0CF7" w:rsidRDefault="001E7EE9" w:rsidP="00283B18">
      <w:pPr>
        <w:spacing w:line="276" w:lineRule="auto"/>
        <w:rPr>
          <w:rFonts w:ascii="Verdana" w:hAnsi="Verdana"/>
          <w:b/>
          <w:color w:val="B71234"/>
          <w:sz w:val="18"/>
          <w:szCs w:val="18"/>
        </w:rPr>
      </w:pPr>
      <w:r w:rsidRPr="007E0CF7">
        <w:rPr>
          <w:rFonts w:ascii="Verdana" w:hAnsi="Verdana"/>
          <w:b/>
          <w:color w:val="B71234"/>
          <w:sz w:val="18"/>
          <w:szCs w:val="18"/>
        </w:rPr>
        <w:t>Financial agenda</w:t>
      </w:r>
    </w:p>
    <w:tbl>
      <w:tblPr>
        <w:tblW w:w="0" w:type="auto"/>
        <w:tblInd w:w="2" w:type="dxa"/>
        <w:tblLook w:val="00A0"/>
      </w:tblPr>
      <w:tblGrid>
        <w:gridCol w:w="3275"/>
        <w:gridCol w:w="4877"/>
      </w:tblGrid>
      <w:tr w:rsidR="001E7EE9" w:rsidRPr="007E0CF7" w:rsidTr="004B0FE9">
        <w:trPr>
          <w:trHeight w:val="284"/>
        </w:trPr>
        <w:tc>
          <w:tcPr>
            <w:tcW w:w="3275"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 xml:space="preserve">14 April 2016 </w:t>
            </w:r>
          </w:p>
        </w:tc>
        <w:tc>
          <w:tcPr>
            <w:tcW w:w="4877"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Publication annual report 2015</w:t>
            </w:r>
          </w:p>
        </w:tc>
      </w:tr>
      <w:tr w:rsidR="001E7EE9" w:rsidRPr="007E0CF7" w:rsidTr="004B0FE9">
        <w:trPr>
          <w:trHeight w:val="284"/>
        </w:trPr>
        <w:tc>
          <w:tcPr>
            <w:tcW w:w="3275"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12 May 2016</w:t>
            </w:r>
          </w:p>
        </w:tc>
        <w:tc>
          <w:tcPr>
            <w:tcW w:w="4877"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Publication trading update</w:t>
            </w:r>
          </w:p>
        </w:tc>
      </w:tr>
      <w:tr w:rsidR="001E7EE9" w:rsidRPr="007E0CF7" w:rsidTr="004B0FE9">
        <w:trPr>
          <w:trHeight w:val="284"/>
        </w:trPr>
        <w:tc>
          <w:tcPr>
            <w:tcW w:w="3275"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26 May 2016</w:t>
            </w:r>
          </w:p>
        </w:tc>
        <w:tc>
          <w:tcPr>
            <w:tcW w:w="4877"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Annual general meeting of shareholders</w:t>
            </w:r>
          </w:p>
        </w:tc>
      </w:tr>
      <w:tr w:rsidR="001E7EE9" w:rsidRPr="007E0CF7" w:rsidTr="004B0FE9">
        <w:trPr>
          <w:trHeight w:val="284"/>
        </w:trPr>
        <w:tc>
          <w:tcPr>
            <w:tcW w:w="3275"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7 July 2016</w:t>
            </w:r>
          </w:p>
        </w:tc>
        <w:tc>
          <w:tcPr>
            <w:tcW w:w="4877"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Publication sales figures first half 2016</w:t>
            </w:r>
          </w:p>
        </w:tc>
      </w:tr>
      <w:tr w:rsidR="001E7EE9" w:rsidRPr="007E0CF7" w:rsidTr="004B0FE9">
        <w:trPr>
          <w:trHeight w:val="299"/>
        </w:trPr>
        <w:tc>
          <w:tcPr>
            <w:tcW w:w="3275"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25 August 2016</w:t>
            </w:r>
          </w:p>
        </w:tc>
        <w:tc>
          <w:tcPr>
            <w:tcW w:w="4877"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Publication interim report 2016</w:t>
            </w:r>
          </w:p>
        </w:tc>
      </w:tr>
      <w:tr w:rsidR="001E7EE9" w:rsidRPr="007E0CF7" w:rsidTr="004B0FE9">
        <w:trPr>
          <w:trHeight w:val="284"/>
        </w:trPr>
        <w:tc>
          <w:tcPr>
            <w:tcW w:w="3275"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25 August 2016</w:t>
            </w:r>
          </w:p>
        </w:tc>
        <w:tc>
          <w:tcPr>
            <w:tcW w:w="4877"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Conference call for press and analysts</w:t>
            </w:r>
          </w:p>
        </w:tc>
      </w:tr>
      <w:tr w:rsidR="001E7EE9" w:rsidRPr="007E0CF7" w:rsidTr="004B0FE9">
        <w:trPr>
          <w:trHeight w:val="284"/>
        </w:trPr>
        <w:tc>
          <w:tcPr>
            <w:tcW w:w="3275"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15 November 2016</w:t>
            </w:r>
          </w:p>
        </w:tc>
        <w:tc>
          <w:tcPr>
            <w:tcW w:w="4877" w:type="dxa"/>
          </w:tcPr>
          <w:p w:rsidR="001E7EE9" w:rsidRPr="007E0CF7" w:rsidRDefault="001E7EE9" w:rsidP="00283B18">
            <w:pPr>
              <w:spacing w:line="276" w:lineRule="auto"/>
              <w:rPr>
                <w:rFonts w:ascii="Verdana" w:hAnsi="Verdana" w:cs="Verdana"/>
                <w:sz w:val="18"/>
                <w:szCs w:val="18"/>
              </w:rPr>
            </w:pPr>
            <w:r w:rsidRPr="007E0CF7">
              <w:rPr>
                <w:rFonts w:ascii="Verdana" w:hAnsi="Verdana"/>
                <w:sz w:val="18"/>
                <w:szCs w:val="18"/>
              </w:rPr>
              <w:t>Publication trading update</w:t>
            </w:r>
          </w:p>
        </w:tc>
      </w:tr>
    </w:tbl>
    <w:p w:rsidR="00283B18" w:rsidRPr="00283B18" w:rsidRDefault="00283B18" w:rsidP="00283B18">
      <w:pPr>
        <w:spacing w:line="276" w:lineRule="auto"/>
        <w:rPr>
          <w:rFonts w:ascii="Verdana" w:hAnsi="Verdana"/>
          <w:sz w:val="18"/>
          <w:szCs w:val="18"/>
          <w:lang w:val="en-US"/>
        </w:rPr>
      </w:pPr>
    </w:p>
    <w:p w:rsidR="00283B18" w:rsidRPr="00283B18" w:rsidRDefault="00283B18" w:rsidP="00283B18">
      <w:pPr>
        <w:spacing w:line="276" w:lineRule="auto"/>
        <w:rPr>
          <w:rFonts w:ascii="Verdana" w:hAnsi="Verdana" w:cs="Verdana"/>
          <w:color w:val="000000"/>
          <w:sz w:val="18"/>
          <w:szCs w:val="18"/>
          <w:highlight w:val="yellow"/>
        </w:rPr>
      </w:pPr>
    </w:p>
    <w:p w:rsidR="00902366" w:rsidRPr="00902366" w:rsidRDefault="00902366" w:rsidP="00283B18">
      <w:pPr>
        <w:spacing w:line="276" w:lineRule="auto"/>
        <w:rPr>
          <w:rFonts w:ascii="Verdana" w:hAnsi="Verdana"/>
          <w:b/>
          <w:color w:val="B71234"/>
          <w:sz w:val="18"/>
          <w:szCs w:val="18"/>
        </w:rPr>
      </w:pPr>
      <w:r w:rsidRPr="00902366">
        <w:rPr>
          <w:rFonts w:ascii="Verdana" w:hAnsi="Verdana"/>
          <w:b/>
          <w:color w:val="B71234"/>
          <w:sz w:val="18"/>
          <w:szCs w:val="18"/>
        </w:rPr>
        <w:t>Forward-looking statements</w:t>
      </w:r>
    </w:p>
    <w:p w:rsidR="00902366" w:rsidRDefault="00902366" w:rsidP="00283B18">
      <w:pPr>
        <w:spacing w:line="276" w:lineRule="auto"/>
        <w:rPr>
          <w:rFonts w:ascii="Verdana" w:hAnsi="Verdana" w:cs="Tahoma"/>
          <w:sz w:val="18"/>
          <w:szCs w:val="18"/>
        </w:rPr>
      </w:pPr>
      <w:r>
        <w:rPr>
          <w:rFonts w:ascii="Verdana" w:hAnsi="Verdana"/>
          <w:sz w:val="18"/>
          <w:szCs w:val="18"/>
        </w:rPr>
        <w:t xml:space="preserve">This press release contains a number of forward-looking statements. These statements are based on current expectations, estimates and prognoses of the board of management and on the information currently available to the company. The statements are subject to certain risks and uncertainties which are hard to evaluate, such as the general economic conditions, interest rates, exchange rates and amendments to statutory laws and regulations. The board of management of </w:t>
      </w:r>
      <w:proofErr w:type="spellStart"/>
      <w:r w:rsidRPr="007C34E7">
        <w:rPr>
          <w:rFonts w:ascii="Verdana" w:hAnsi="Verdana"/>
          <w:color w:val="B71234"/>
          <w:sz w:val="18"/>
          <w:szCs w:val="18"/>
        </w:rPr>
        <w:t>Rood</w:t>
      </w:r>
      <w:r>
        <w:rPr>
          <w:rFonts w:ascii="Verdana" w:hAnsi="Verdana"/>
          <w:sz w:val="18"/>
          <w:szCs w:val="18"/>
        </w:rPr>
        <w:t>Microtec</w:t>
      </w:r>
      <w:proofErr w:type="spellEnd"/>
      <w:r>
        <w:rPr>
          <w:rFonts w:ascii="Verdana" w:hAnsi="Verdana"/>
          <w:sz w:val="18"/>
          <w:szCs w:val="18"/>
        </w:rPr>
        <w:t xml:space="preserve"> cannot guarantee that its expectations will materialise. Furthermore, </w:t>
      </w:r>
      <w:proofErr w:type="spellStart"/>
      <w:r>
        <w:rPr>
          <w:rFonts w:ascii="Verdana" w:hAnsi="Verdana"/>
          <w:color w:val="C00000"/>
          <w:sz w:val="18"/>
          <w:szCs w:val="18"/>
        </w:rPr>
        <w:t>Rood</w:t>
      </w:r>
      <w:r>
        <w:rPr>
          <w:rFonts w:ascii="Verdana" w:hAnsi="Verdana"/>
          <w:sz w:val="18"/>
          <w:szCs w:val="18"/>
        </w:rPr>
        <w:t>Microtec</w:t>
      </w:r>
      <w:proofErr w:type="spellEnd"/>
      <w:r>
        <w:rPr>
          <w:rFonts w:ascii="Verdana" w:hAnsi="Verdana"/>
          <w:sz w:val="18"/>
          <w:szCs w:val="18"/>
        </w:rPr>
        <w:t xml:space="preserve"> does not accept any obligation to update the statements made in this press release. </w:t>
      </w:r>
    </w:p>
    <w:p w:rsidR="00902366" w:rsidRPr="007E0CF7" w:rsidRDefault="00902366" w:rsidP="00283B18">
      <w:pPr>
        <w:tabs>
          <w:tab w:val="left" w:pos="3969"/>
          <w:tab w:val="left" w:pos="6804"/>
        </w:tabs>
        <w:spacing w:line="276" w:lineRule="auto"/>
        <w:rPr>
          <w:rFonts w:ascii="Verdana" w:hAnsi="Verdana"/>
          <w:b/>
          <w:sz w:val="18"/>
          <w:szCs w:val="18"/>
        </w:rPr>
      </w:pPr>
    </w:p>
    <w:p w:rsidR="007E706B" w:rsidRPr="007E0CF7" w:rsidRDefault="007E706B" w:rsidP="00283B18">
      <w:pPr>
        <w:spacing w:line="276" w:lineRule="auto"/>
        <w:rPr>
          <w:rFonts w:ascii="Verdana" w:hAnsi="Verdana"/>
          <w:b/>
          <w:sz w:val="18"/>
          <w:szCs w:val="18"/>
        </w:rPr>
      </w:pPr>
      <w:r w:rsidRPr="007E0CF7">
        <w:rPr>
          <w:rFonts w:ascii="Verdana" w:hAnsi="Verdana"/>
          <w:b/>
          <w:color w:val="B71234"/>
          <w:sz w:val="18"/>
          <w:szCs w:val="18"/>
        </w:rPr>
        <w:lastRenderedPageBreak/>
        <w:t xml:space="preserve">About </w:t>
      </w:r>
      <w:proofErr w:type="spellStart"/>
      <w:r w:rsidRPr="007E0CF7">
        <w:rPr>
          <w:rFonts w:ascii="Verdana" w:hAnsi="Verdana"/>
          <w:b/>
          <w:color w:val="B71234"/>
          <w:sz w:val="18"/>
          <w:szCs w:val="18"/>
        </w:rPr>
        <w:t>Rood</w:t>
      </w:r>
      <w:r w:rsidRPr="007E0CF7">
        <w:rPr>
          <w:rFonts w:ascii="Verdana" w:hAnsi="Verdana"/>
          <w:b/>
          <w:sz w:val="18"/>
          <w:szCs w:val="18"/>
        </w:rPr>
        <w:t>Microtec</w:t>
      </w:r>
      <w:proofErr w:type="spellEnd"/>
    </w:p>
    <w:p w:rsidR="007E706B" w:rsidRPr="007E0CF7" w:rsidRDefault="007E706B" w:rsidP="00283B18">
      <w:pPr>
        <w:spacing w:line="276" w:lineRule="auto"/>
        <w:rPr>
          <w:rFonts w:ascii="Verdana" w:hAnsi="Verdana"/>
          <w:sz w:val="18"/>
          <w:szCs w:val="18"/>
        </w:rPr>
      </w:pPr>
      <w:r w:rsidRPr="007E0CF7">
        <w:rPr>
          <w:rFonts w:ascii="Verdana" w:hAnsi="Verdana"/>
          <w:sz w:val="18"/>
          <w:szCs w:val="18"/>
        </w:rPr>
        <w:t>With more than 45 years</w:t>
      </w:r>
      <w:r w:rsidRPr="007E0CF7">
        <w:rPr>
          <w:rFonts w:ascii="Verdana" w:hAnsi="Verdana" w:cs="Verdana"/>
          <w:sz w:val="18"/>
          <w:szCs w:val="18"/>
        </w:rPr>
        <w:t xml:space="preserve">’ </w:t>
      </w:r>
      <w:r w:rsidRPr="007E0CF7">
        <w:rPr>
          <w:rFonts w:ascii="Verdana" w:hAnsi="Verdana"/>
          <w:sz w:val="18"/>
          <w:szCs w:val="18"/>
        </w:rPr>
        <w:t xml:space="preserve">experience as an independent value-added service provider in the area of micro and optoelectronics, </w:t>
      </w:r>
      <w:proofErr w:type="spellStart"/>
      <w:r w:rsidRPr="007E0CF7">
        <w:rPr>
          <w:rFonts w:ascii="Verdana" w:hAnsi="Verdana"/>
          <w:color w:val="C00000"/>
          <w:sz w:val="18"/>
          <w:szCs w:val="18"/>
        </w:rPr>
        <w:t>Rood</w:t>
      </w:r>
      <w:r w:rsidRPr="007E0CF7">
        <w:rPr>
          <w:rFonts w:ascii="Verdana" w:hAnsi="Verdana"/>
          <w:sz w:val="18"/>
          <w:szCs w:val="18"/>
        </w:rPr>
        <w:t>Microtec</w:t>
      </w:r>
      <w:proofErr w:type="spellEnd"/>
      <w:r w:rsidRPr="007E0CF7">
        <w:rPr>
          <w:rFonts w:ascii="Verdana" w:hAnsi="Verdana"/>
          <w:sz w:val="18"/>
          <w:szCs w:val="18"/>
        </w:rPr>
        <w:t xml:space="preserve"> offers </w:t>
      </w:r>
      <w:proofErr w:type="spellStart"/>
      <w:r w:rsidRPr="007E0CF7">
        <w:rPr>
          <w:rFonts w:ascii="Verdana" w:hAnsi="Verdana"/>
          <w:sz w:val="18"/>
          <w:szCs w:val="18"/>
        </w:rPr>
        <w:t>Fabless</w:t>
      </w:r>
      <w:proofErr w:type="spellEnd"/>
      <w:r w:rsidRPr="007E0CF7">
        <w:rPr>
          <w:rFonts w:ascii="Verdana" w:hAnsi="Verdana"/>
          <w:sz w:val="18"/>
          <w:szCs w:val="18"/>
        </w:rPr>
        <w:t xml:space="preserve"> Companies, OEMs and other companies a one-stop shop proposition. With its </w:t>
      </w:r>
      <w:r w:rsidRPr="007E0CF7">
        <w:rPr>
          <w:rFonts w:ascii="Verdana" w:hAnsi="Verdana"/>
          <w:i/>
          <w:sz w:val="18"/>
          <w:szCs w:val="18"/>
        </w:rPr>
        <w:t xml:space="preserve">powerful solutions </w:t>
      </w:r>
      <w:proofErr w:type="spellStart"/>
      <w:r w:rsidRPr="007E0CF7">
        <w:rPr>
          <w:rFonts w:ascii="Verdana" w:hAnsi="Verdana"/>
          <w:color w:val="C00000"/>
          <w:sz w:val="18"/>
          <w:szCs w:val="18"/>
        </w:rPr>
        <w:t>Rood</w:t>
      </w:r>
      <w:r w:rsidRPr="007E0CF7">
        <w:rPr>
          <w:rFonts w:ascii="Verdana" w:hAnsi="Verdana"/>
          <w:sz w:val="18"/>
          <w:szCs w:val="18"/>
        </w:rPr>
        <w:t>Microtec</w:t>
      </w:r>
      <w:proofErr w:type="spellEnd"/>
      <w:r w:rsidRPr="007E0CF7">
        <w:rPr>
          <w:rFonts w:ascii="Verdana" w:hAnsi="Verdana"/>
          <w:sz w:val="18"/>
          <w:szCs w:val="18"/>
        </w:rPr>
        <w:t xml:space="preserve"> has built up a strong position in Europe.</w:t>
      </w:r>
    </w:p>
    <w:p w:rsidR="007E706B" w:rsidRPr="007E0CF7" w:rsidRDefault="007E706B" w:rsidP="00283B18">
      <w:pPr>
        <w:spacing w:line="276" w:lineRule="auto"/>
        <w:rPr>
          <w:rFonts w:ascii="Verdana" w:hAnsi="Verdana"/>
          <w:sz w:val="18"/>
          <w:szCs w:val="18"/>
        </w:rPr>
      </w:pPr>
    </w:p>
    <w:p w:rsidR="007E706B" w:rsidRPr="007E0CF7" w:rsidRDefault="007E706B" w:rsidP="00283B18">
      <w:pPr>
        <w:spacing w:line="276" w:lineRule="auto"/>
        <w:rPr>
          <w:rFonts w:ascii="Verdana" w:hAnsi="Verdana"/>
          <w:sz w:val="18"/>
          <w:szCs w:val="18"/>
        </w:rPr>
      </w:pPr>
      <w:r w:rsidRPr="007E0CF7">
        <w:rPr>
          <w:rFonts w:ascii="Verdana" w:hAnsi="Verdana"/>
          <w:sz w:val="18"/>
          <w:szCs w:val="18"/>
        </w:rPr>
        <w:t xml:space="preserve">Our services comply with the industrial and quality requirements of the high reliability/space, automotive, </w:t>
      </w:r>
      <w:r w:rsidR="0029427C" w:rsidRPr="007E0CF7">
        <w:rPr>
          <w:rFonts w:ascii="Verdana" w:hAnsi="Verdana"/>
          <w:sz w:val="18"/>
          <w:szCs w:val="18"/>
        </w:rPr>
        <w:t xml:space="preserve">telecommunications, medical, industrial </w:t>
      </w:r>
      <w:r w:rsidRPr="007E0CF7">
        <w:rPr>
          <w:rFonts w:ascii="Verdana" w:hAnsi="Verdana"/>
          <w:sz w:val="18"/>
          <w:szCs w:val="18"/>
        </w:rPr>
        <w:t>and electronics sectors.</w:t>
      </w:r>
    </w:p>
    <w:p w:rsidR="007E706B" w:rsidRPr="007E0CF7" w:rsidRDefault="007E706B" w:rsidP="00283B18">
      <w:pPr>
        <w:spacing w:line="276" w:lineRule="auto"/>
        <w:rPr>
          <w:rFonts w:ascii="Verdana" w:hAnsi="Verdana"/>
          <w:sz w:val="18"/>
          <w:szCs w:val="18"/>
        </w:rPr>
      </w:pPr>
      <w:r w:rsidRPr="007E0CF7">
        <w:rPr>
          <w:rFonts w:ascii="Verdana" w:hAnsi="Verdana"/>
          <w:i/>
          <w:sz w:val="18"/>
          <w:szCs w:val="18"/>
        </w:rPr>
        <w:t xml:space="preserve">Certified by </w:t>
      </w:r>
      <w:proofErr w:type="spellStart"/>
      <w:r w:rsidRPr="007E0CF7">
        <w:rPr>
          <w:rFonts w:ascii="Verdana" w:hAnsi="Verdana"/>
          <w:i/>
          <w:color w:val="C00000"/>
          <w:sz w:val="18"/>
          <w:szCs w:val="18"/>
        </w:rPr>
        <w:t>Rood</w:t>
      </w:r>
      <w:r w:rsidRPr="007E0CF7">
        <w:rPr>
          <w:rFonts w:ascii="Verdana" w:hAnsi="Verdana"/>
          <w:i/>
          <w:sz w:val="18"/>
          <w:szCs w:val="18"/>
        </w:rPr>
        <w:t>Microtec</w:t>
      </w:r>
      <w:proofErr w:type="spellEnd"/>
      <w:r w:rsidRPr="007E0CF7">
        <w:rPr>
          <w:rFonts w:ascii="Verdana" w:hAnsi="Verdana"/>
          <w:sz w:val="18"/>
          <w:szCs w:val="18"/>
        </w:rPr>
        <w:t xml:space="preserve"> concerns inter alia certification of products to the stringent ISO/TS 16949 standard that applies to suppliers to the automotive industry. The company also has an accredited laboratory for test activities and calibration to the ISO/IEC 17025 standard.</w:t>
      </w:r>
    </w:p>
    <w:p w:rsidR="007E706B" w:rsidRPr="007E0CF7" w:rsidRDefault="007E706B" w:rsidP="00283B18">
      <w:pPr>
        <w:spacing w:line="276" w:lineRule="auto"/>
        <w:rPr>
          <w:rFonts w:ascii="Verdana" w:hAnsi="Verdana"/>
          <w:sz w:val="18"/>
          <w:szCs w:val="18"/>
        </w:rPr>
      </w:pPr>
      <w:r w:rsidRPr="007E0CF7">
        <w:rPr>
          <w:rFonts w:ascii="Verdana" w:hAnsi="Verdana"/>
          <w:sz w:val="18"/>
          <w:szCs w:val="18"/>
        </w:rPr>
        <w:t xml:space="preserve">Its value-added services include </w:t>
      </w:r>
      <w:r w:rsidR="0029427C" w:rsidRPr="007E0CF7">
        <w:rPr>
          <w:rFonts w:ascii="Verdana" w:hAnsi="Verdana"/>
          <w:sz w:val="18"/>
          <w:szCs w:val="18"/>
        </w:rPr>
        <w:t xml:space="preserve">supply chain management and total manufacturing solutions with partners, </w:t>
      </w:r>
      <w:r w:rsidRPr="007E0CF7">
        <w:rPr>
          <w:rFonts w:ascii="Verdana" w:hAnsi="Verdana"/>
          <w:sz w:val="18"/>
          <w:szCs w:val="18"/>
        </w:rPr>
        <w:t>failure &amp; technology analysis, qualification &amp; burn-in, test &amp; product engineering, production test (including device programming and end-of-line service), ESD/ESDFOS assessment &amp; training</w:t>
      </w:r>
      <w:r w:rsidR="0029427C" w:rsidRPr="007E0CF7">
        <w:rPr>
          <w:rFonts w:ascii="Verdana" w:hAnsi="Verdana"/>
          <w:sz w:val="18"/>
          <w:szCs w:val="18"/>
        </w:rPr>
        <w:t xml:space="preserve"> and</w:t>
      </w:r>
      <w:r w:rsidRPr="007E0CF7">
        <w:rPr>
          <w:rFonts w:ascii="Verdana" w:hAnsi="Verdana"/>
          <w:sz w:val="18"/>
          <w:szCs w:val="18"/>
        </w:rPr>
        <w:t xml:space="preserve"> q</w:t>
      </w:r>
      <w:r w:rsidR="0029427C" w:rsidRPr="007E0CF7">
        <w:rPr>
          <w:rFonts w:ascii="Verdana" w:hAnsi="Verdana"/>
          <w:sz w:val="18"/>
          <w:szCs w:val="18"/>
        </w:rPr>
        <w:t>uality &amp; reliability consulting</w:t>
      </w:r>
      <w:r w:rsidRPr="007E0CF7">
        <w:rPr>
          <w:rFonts w:ascii="Verdana" w:hAnsi="Verdana"/>
          <w:sz w:val="18"/>
          <w:szCs w:val="18"/>
        </w:rPr>
        <w:t>.</w:t>
      </w:r>
    </w:p>
    <w:p w:rsidR="007E706B" w:rsidRPr="007E0CF7" w:rsidRDefault="007E706B" w:rsidP="00283B18">
      <w:pPr>
        <w:spacing w:line="276" w:lineRule="auto"/>
        <w:rPr>
          <w:rFonts w:ascii="Verdana" w:hAnsi="Verdana"/>
          <w:sz w:val="18"/>
          <w:szCs w:val="18"/>
        </w:rPr>
      </w:pPr>
    </w:p>
    <w:p w:rsidR="007E706B" w:rsidRDefault="007E706B" w:rsidP="00283B18">
      <w:pPr>
        <w:spacing w:line="276" w:lineRule="auto"/>
        <w:rPr>
          <w:rFonts w:ascii="Verdana" w:hAnsi="Verdana"/>
          <w:b/>
          <w:sz w:val="18"/>
          <w:szCs w:val="18"/>
        </w:rPr>
      </w:pPr>
      <w:proofErr w:type="spellStart"/>
      <w:r w:rsidRPr="007E0CF7">
        <w:rPr>
          <w:rFonts w:ascii="Verdana" w:hAnsi="Verdana"/>
          <w:color w:val="C00000"/>
          <w:sz w:val="18"/>
          <w:szCs w:val="18"/>
        </w:rPr>
        <w:t>Rood</w:t>
      </w:r>
      <w:r w:rsidRPr="007E0CF7">
        <w:rPr>
          <w:rFonts w:ascii="Verdana" w:hAnsi="Verdana"/>
          <w:sz w:val="18"/>
          <w:szCs w:val="18"/>
        </w:rPr>
        <w:t>Microtec</w:t>
      </w:r>
      <w:proofErr w:type="spellEnd"/>
      <w:r w:rsidRPr="007E0CF7">
        <w:rPr>
          <w:rFonts w:ascii="Verdana" w:hAnsi="Verdana"/>
          <w:sz w:val="18"/>
          <w:szCs w:val="18"/>
        </w:rPr>
        <w:t xml:space="preserve"> has branches in Germany (Dresden, </w:t>
      </w:r>
      <w:proofErr w:type="spellStart"/>
      <w:r w:rsidRPr="007E0CF7">
        <w:rPr>
          <w:rFonts w:ascii="Verdana" w:hAnsi="Verdana"/>
          <w:sz w:val="18"/>
          <w:szCs w:val="18"/>
        </w:rPr>
        <w:t>Nördlingen</w:t>
      </w:r>
      <w:proofErr w:type="spellEnd"/>
      <w:r w:rsidRPr="007E0CF7">
        <w:rPr>
          <w:rFonts w:ascii="Verdana" w:hAnsi="Verdana"/>
          <w:sz w:val="18"/>
          <w:szCs w:val="18"/>
        </w:rPr>
        <w:t xml:space="preserve">, </w:t>
      </w:r>
      <w:proofErr w:type="gramStart"/>
      <w:r w:rsidRPr="007E0CF7">
        <w:rPr>
          <w:rFonts w:ascii="Verdana" w:hAnsi="Verdana"/>
          <w:sz w:val="18"/>
          <w:szCs w:val="18"/>
        </w:rPr>
        <w:t>Stuttgart</w:t>
      </w:r>
      <w:proofErr w:type="gramEnd"/>
      <w:r w:rsidRPr="007E0CF7">
        <w:rPr>
          <w:rFonts w:ascii="Verdana" w:hAnsi="Verdana"/>
          <w:sz w:val="18"/>
          <w:szCs w:val="18"/>
        </w:rPr>
        <w:t xml:space="preserve">), United Kingdom (Bath) and the Netherlands (Zwolle). </w:t>
      </w:r>
    </w:p>
    <w:p w:rsidR="007E706B" w:rsidRDefault="007E706B" w:rsidP="00283B18">
      <w:pPr>
        <w:tabs>
          <w:tab w:val="left" w:pos="3969"/>
          <w:tab w:val="left" w:pos="6804"/>
        </w:tabs>
        <w:spacing w:line="276" w:lineRule="auto"/>
        <w:rPr>
          <w:rFonts w:ascii="Verdana" w:hAnsi="Verdana"/>
          <w:b/>
          <w:sz w:val="18"/>
          <w:szCs w:val="18"/>
        </w:rPr>
      </w:pPr>
    </w:p>
    <w:p w:rsidR="00014A2A" w:rsidRPr="007E0CF7" w:rsidRDefault="00014A2A" w:rsidP="00283B18">
      <w:pPr>
        <w:tabs>
          <w:tab w:val="left" w:pos="3969"/>
          <w:tab w:val="left" w:pos="6804"/>
        </w:tabs>
        <w:spacing w:line="276" w:lineRule="auto"/>
        <w:rPr>
          <w:rFonts w:ascii="Verdana" w:hAnsi="Verdana"/>
          <w:b/>
          <w:sz w:val="18"/>
          <w:szCs w:val="18"/>
        </w:rPr>
      </w:pPr>
    </w:p>
    <w:p w:rsidR="007E706B" w:rsidRPr="007E0CF7" w:rsidRDefault="007E706B" w:rsidP="00283B18">
      <w:pPr>
        <w:spacing w:line="276" w:lineRule="auto"/>
        <w:rPr>
          <w:rFonts w:ascii="Verdana" w:hAnsi="Verdana"/>
          <w:b/>
          <w:color w:val="B71234"/>
          <w:sz w:val="18"/>
          <w:szCs w:val="18"/>
        </w:rPr>
      </w:pPr>
      <w:r w:rsidRPr="007E0CF7">
        <w:rPr>
          <w:rFonts w:ascii="Verdana" w:hAnsi="Verdana"/>
          <w:b/>
          <w:color w:val="B71234"/>
          <w:sz w:val="18"/>
          <w:szCs w:val="18"/>
        </w:rPr>
        <w:t>Further information:</w:t>
      </w:r>
    </w:p>
    <w:p w:rsidR="007E706B" w:rsidRPr="007E0CF7" w:rsidRDefault="007E706B" w:rsidP="00283B18">
      <w:pPr>
        <w:tabs>
          <w:tab w:val="left" w:pos="3402"/>
          <w:tab w:val="left" w:pos="6804"/>
        </w:tabs>
        <w:spacing w:line="276" w:lineRule="auto"/>
        <w:rPr>
          <w:rFonts w:ascii="Verdana" w:hAnsi="Verdana" w:cs="Arial"/>
          <w:sz w:val="18"/>
          <w:szCs w:val="18"/>
        </w:rPr>
      </w:pPr>
      <w:r w:rsidRPr="007E0CF7">
        <w:rPr>
          <w:rFonts w:ascii="Verdana" w:hAnsi="Verdana" w:cs="Arial"/>
          <w:sz w:val="18"/>
          <w:szCs w:val="18"/>
        </w:rPr>
        <w:t xml:space="preserve">Philip </w:t>
      </w:r>
      <w:proofErr w:type="spellStart"/>
      <w:r w:rsidRPr="007E0CF7">
        <w:rPr>
          <w:rFonts w:ascii="Verdana" w:hAnsi="Verdana" w:cs="Arial"/>
          <w:sz w:val="18"/>
          <w:szCs w:val="18"/>
        </w:rPr>
        <w:t>Nijenhuis</w:t>
      </w:r>
      <w:proofErr w:type="spellEnd"/>
      <w:r w:rsidRPr="007E0CF7">
        <w:rPr>
          <w:rFonts w:ascii="Verdana" w:hAnsi="Verdana" w:cs="Arial"/>
          <w:sz w:val="18"/>
          <w:szCs w:val="18"/>
        </w:rPr>
        <w:t xml:space="preserve">, CEO, </w:t>
      </w:r>
      <w:proofErr w:type="spellStart"/>
      <w:r w:rsidRPr="007E0CF7">
        <w:rPr>
          <w:rFonts w:ascii="Verdana" w:hAnsi="Verdana" w:cs="Arial"/>
          <w:sz w:val="18"/>
          <w:szCs w:val="18"/>
        </w:rPr>
        <w:t>Reinhard</w:t>
      </w:r>
      <w:proofErr w:type="spellEnd"/>
      <w:r w:rsidRPr="007E0CF7">
        <w:rPr>
          <w:rFonts w:ascii="Verdana" w:hAnsi="Verdana" w:cs="Arial"/>
          <w:sz w:val="18"/>
          <w:szCs w:val="18"/>
        </w:rPr>
        <w:t xml:space="preserve"> </w:t>
      </w:r>
      <w:proofErr w:type="spellStart"/>
      <w:r w:rsidRPr="007E0CF7">
        <w:rPr>
          <w:rFonts w:ascii="Verdana" w:hAnsi="Verdana" w:cs="Arial"/>
          <w:sz w:val="18"/>
          <w:szCs w:val="18"/>
        </w:rPr>
        <w:t>Pusch</w:t>
      </w:r>
      <w:proofErr w:type="spellEnd"/>
      <w:r w:rsidRPr="007E0CF7">
        <w:rPr>
          <w:rFonts w:ascii="Verdana" w:hAnsi="Verdana" w:cs="Arial"/>
          <w:sz w:val="18"/>
          <w:szCs w:val="18"/>
        </w:rPr>
        <w:t xml:space="preserve">, COO/CSO, Martin </w:t>
      </w:r>
      <w:proofErr w:type="spellStart"/>
      <w:r w:rsidRPr="007E0CF7">
        <w:rPr>
          <w:rFonts w:ascii="Verdana" w:hAnsi="Verdana" w:cs="Arial"/>
          <w:sz w:val="18"/>
          <w:szCs w:val="18"/>
        </w:rPr>
        <w:t>Sallenhag</w:t>
      </w:r>
      <w:proofErr w:type="spellEnd"/>
      <w:r w:rsidRPr="007E0CF7">
        <w:rPr>
          <w:rFonts w:ascii="Verdana" w:hAnsi="Verdana" w:cs="Arial"/>
          <w:sz w:val="18"/>
          <w:szCs w:val="18"/>
        </w:rPr>
        <w:t xml:space="preserve">, CTO, Erwin </w:t>
      </w:r>
      <w:proofErr w:type="spellStart"/>
      <w:r w:rsidRPr="007E0CF7">
        <w:rPr>
          <w:rFonts w:ascii="Verdana" w:hAnsi="Verdana" w:cs="Arial"/>
          <w:sz w:val="18"/>
          <w:szCs w:val="18"/>
        </w:rPr>
        <w:t>Vrielink</w:t>
      </w:r>
      <w:proofErr w:type="spellEnd"/>
      <w:r w:rsidRPr="007E0CF7">
        <w:rPr>
          <w:rFonts w:ascii="Verdana" w:hAnsi="Verdana" w:cs="Arial"/>
          <w:sz w:val="18"/>
          <w:szCs w:val="18"/>
        </w:rPr>
        <w:t>, CFO</w:t>
      </w:r>
      <w:r w:rsidRPr="007E0CF7">
        <w:rPr>
          <w:rFonts w:ascii="Verdana" w:hAnsi="Verdana"/>
          <w:color w:val="000000"/>
          <w:sz w:val="18"/>
          <w:szCs w:val="18"/>
        </w:rPr>
        <w:tab/>
      </w:r>
    </w:p>
    <w:p w:rsidR="007E706B" w:rsidRPr="007E0CF7" w:rsidRDefault="007E706B" w:rsidP="00283B18">
      <w:pPr>
        <w:tabs>
          <w:tab w:val="left" w:pos="3402"/>
          <w:tab w:val="left" w:pos="6804"/>
        </w:tabs>
        <w:spacing w:line="276" w:lineRule="auto"/>
        <w:rPr>
          <w:rFonts w:ascii="Verdana" w:hAnsi="Verdana" w:cs="Arial"/>
          <w:sz w:val="18"/>
          <w:szCs w:val="18"/>
        </w:rPr>
      </w:pPr>
      <w:r w:rsidRPr="007E0CF7">
        <w:rPr>
          <w:rFonts w:ascii="Verdana" w:hAnsi="Verdana"/>
          <w:color w:val="000000"/>
          <w:sz w:val="18"/>
          <w:szCs w:val="18"/>
        </w:rPr>
        <w:t>Telephone: +31 38 4215216</w:t>
      </w:r>
    </w:p>
    <w:p w:rsidR="007E706B" w:rsidRPr="007E0CF7" w:rsidRDefault="007E706B" w:rsidP="00283B18">
      <w:pPr>
        <w:tabs>
          <w:tab w:val="left" w:pos="3969"/>
          <w:tab w:val="left" w:pos="6804"/>
        </w:tabs>
        <w:spacing w:line="276" w:lineRule="auto"/>
        <w:rPr>
          <w:rFonts w:ascii="Verdana" w:hAnsi="Verdana" w:cs="Arial"/>
          <w:sz w:val="18"/>
          <w:szCs w:val="18"/>
        </w:rPr>
      </w:pPr>
      <w:r w:rsidRPr="007E0CF7">
        <w:rPr>
          <w:rFonts w:ascii="Verdana" w:hAnsi="Verdana"/>
          <w:sz w:val="18"/>
          <w:szCs w:val="18"/>
        </w:rPr>
        <w:t>Postal address:</w:t>
      </w:r>
    </w:p>
    <w:p w:rsidR="007E706B" w:rsidRPr="00BA34C9" w:rsidRDefault="00133F54" w:rsidP="00283B18">
      <w:pPr>
        <w:tabs>
          <w:tab w:val="left" w:pos="3969"/>
          <w:tab w:val="left" w:pos="6804"/>
        </w:tabs>
        <w:spacing w:line="276" w:lineRule="auto"/>
        <w:rPr>
          <w:rFonts w:ascii="Verdana" w:hAnsi="Verdana" w:cs="Tahoma"/>
          <w:sz w:val="18"/>
          <w:szCs w:val="18"/>
          <w:lang w:val="en-US"/>
        </w:rPr>
      </w:pPr>
      <w:proofErr w:type="spellStart"/>
      <w:r w:rsidRPr="00BA34C9">
        <w:rPr>
          <w:rFonts w:ascii="Verdana" w:hAnsi="Verdana"/>
          <w:color w:val="C00000"/>
          <w:sz w:val="18"/>
          <w:szCs w:val="18"/>
          <w:lang w:val="en-US"/>
        </w:rPr>
        <w:t>Rood</w:t>
      </w:r>
      <w:r w:rsidRPr="00BA34C9">
        <w:rPr>
          <w:rFonts w:ascii="Verdana" w:hAnsi="Verdana"/>
          <w:sz w:val="18"/>
          <w:szCs w:val="18"/>
          <w:lang w:val="en-US"/>
        </w:rPr>
        <w:t>Microtec</w:t>
      </w:r>
      <w:proofErr w:type="spellEnd"/>
      <w:r w:rsidRPr="00BA34C9">
        <w:rPr>
          <w:rFonts w:ascii="Verdana" w:hAnsi="Verdana"/>
          <w:sz w:val="18"/>
          <w:szCs w:val="18"/>
          <w:lang w:val="en-US"/>
        </w:rPr>
        <w:t xml:space="preserve"> N.V., PO Box 1042, 8001 </w:t>
      </w:r>
      <w:proofErr w:type="gramStart"/>
      <w:r w:rsidRPr="00BA34C9">
        <w:rPr>
          <w:rFonts w:ascii="Verdana" w:hAnsi="Verdana"/>
          <w:sz w:val="18"/>
          <w:szCs w:val="18"/>
          <w:lang w:val="en-US"/>
        </w:rPr>
        <w:t>BA  Zwolle</w:t>
      </w:r>
      <w:proofErr w:type="gramEnd"/>
      <w:r w:rsidRPr="00BA34C9">
        <w:rPr>
          <w:rFonts w:ascii="Verdana" w:hAnsi="Verdana"/>
          <w:sz w:val="18"/>
          <w:szCs w:val="18"/>
          <w:lang w:val="en-US"/>
        </w:rPr>
        <w:t xml:space="preserve"> </w:t>
      </w:r>
    </w:p>
    <w:p w:rsidR="007E706B" w:rsidRPr="00BA34C9" w:rsidRDefault="00133F54" w:rsidP="00283B18">
      <w:pPr>
        <w:tabs>
          <w:tab w:val="left" w:pos="1134"/>
          <w:tab w:val="left" w:pos="3969"/>
          <w:tab w:val="left" w:pos="6804"/>
        </w:tabs>
        <w:spacing w:line="276" w:lineRule="auto"/>
        <w:rPr>
          <w:sz w:val="18"/>
          <w:szCs w:val="18"/>
          <w:lang w:val="en-US"/>
        </w:rPr>
      </w:pPr>
      <w:r w:rsidRPr="00BA34C9">
        <w:rPr>
          <w:rFonts w:ascii="Verdana" w:hAnsi="Verdana"/>
          <w:color w:val="000000"/>
          <w:sz w:val="18"/>
          <w:szCs w:val="18"/>
          <w:lang w:val="en-US"/>
        </w:rPr>
        <w:t>Email:</w:t>
      </w:r>
      <w:r w:rsidRPr="00BA34C9">
        <w:rPr>
          <w:rFonts w:ascii="Verdana" w:hAnsi="Verdana"/>
          <w:color w:val="000000"/>
          <w:sz w:val="18"/>
          <w:szCs w:val="18"/>
          <w:lang w:val="en-US"/>
        </w:rPr>
        <w:tab/>
      </w:r>
      <w:hyperlink r:id="rId8" w:history="1">
        <w:r w:rsidRPr="00BA34C9">
          <w:rPr>
            <w:rStyle w:val="Hyperlink"/>
            <w:rFonts w:ascii="Verdana" w:eastAsia="MS ????" w:hAnsi="Verdana"/>
            <w:sz w:val="18"/>
            <w:szCs w:val="18"/>
            <w:lang w:val="en-US"/>
          </w:rPr>
          <w:t>investor-relations@roodmicrotec.com</w:t>
        </w:r>
      </w:hyperlink>
    </w:p>
    <w:p w:rsidR="007E706B" w:rsidRPr="00BA34C9" w:rsidRDefault="00133F54" w:rsidP="00283B18">
      <w:pPr>
        <w:tabs>
          <w:tab w:val="left" w:pos="1134"/>
          <w:tab w:val="left" w:pos="3969"/>
          <w:tab w:val="left" w:pos="6804"/>
        </w:tabs>
        <w:spacing w:line="276" w:lineRule="auto"/>
        <w:rPr>
          <w:sz w:val="18"/>
          <w:szCs w:val="18"/>
          <w:lang w:val="en-US"/>
        </w:rPr>
      </w:pPr>
      <w:r w:rsidRPr="00BA34C9">
        <w:rPr>
          <w:rFonts w:ascii="Verdana" w:hAnsi="Verdana"/>
          <w:color w:val="000000"/>
          <w:sz w:val="18"/>
          <w:szCs w:val="18"/>
          <w:lang w:val="en-US"/>
        </w:rPr>
        <w:t>Web:</w:t>
      </w:r>
      <w:r w:rsidRPr="00BA34C9">
        <w:rPr>
          <w:sz w:val="18"/>
          <w:szCs w:val="18"/>
          <w:lang w:val="en-US"/>
        </w:rPr>
        <w:t xml:space="preserve"> </w:t>
      </w:r>
      <w:r w:rsidRPr="00BA34C9">
        <w:rPr>
          <w:sz w:val="18"/>
          <w:szCs w:val="18"/>
          <w:lang w:val="en-US"/>
        </w:rPr>
        <w:tab/>
      </w:r>
      <w:hyperlink r:id="rId9" w:history="1">
        <w:r w:rsidRPr="00BA34C9">
          <w:rPr>
            <w:rStyle w:val="Hyperlink"/>
            <w:rFonts w:ascii="Verdana" w:eastAsia="MS ????" w:hAnsi="Verdana"/>
            <w:sz w:val="18"/>
            <w:szCs w:val="18"/>
            <w:lang w:val="en-US"/>
          </w:rPr>
          <w:t>www.roodmicrotec.com</w:t>
        </w:r>
      </w:hyperlink>
    </w:p>
    <w:p w:rsidR="00BA34C9" w:rsidRDefault="00BA34C9" w:rsidP="00283B18">
      <w:pPr>
        <w:spacing w:after="200" w:line="276" w:lineRule="auto"/>
        <w:rPr>
          <w:rFonts w:ascii="Verdana" w:hAnsi="Verdana"/>
          <w:b/>
          <w:sz w:val="18"/>
          <w:szCs w:val="18"/>
          <w:highlight w:val="yellow"/>
          <w:lang w:val="en-US"/>
        </w:rPr>
      </w:pPr>
    </w:p>
    <w:p w:rsidR="00BA34C9" w:rsidRPr="00014A2A" w:rsidRDefault="00BA34C9" w:rsidP="00283B18">
      <w:pPr>
        <w:spacing w:line="276" w:lineRule="auto"/>
        <w:rPr>
          <w:rFonts w:ascii="Verdana" w:hAnsi="Verdana"/>
          <w:i/>
          <w:sz w:val="18"/>
          <w:szCs w:val="18"/>
        </w:rPr>
      </w:pPr>
      <w:r w:rsidRPr="00014A2A">
        <w:rPr>
          <w:rFonts w:ascii="Verdana" w:hAnsi="Verdana"/>
          <w:i/>
          <w:sz w:val="18"/>
          <w:szCs w:val="18"/>
        </w:rPr>
        <w:t>This press release is published in English, Dutch and German. In case of conflict between these versions the English version shall prevail.</w:t>
      </w:r>
    </w:p>
    <w:p w:rsidR="00321380" w:rsidRPr="00BA34C9" w:rsidRDefault="00133F54" w:rsidP="00283B18">
      <w:pPr>
        <w:spacing w:after="200" w:line="276" w:lineRule="auto"/>
        <w:rPr>
          <w:rFonts w:ascii="Verdana" w:hAnsi="Verdana"/>
          <w:b/>
          <w:sz w:val="18"/>
          <w:szCs w:val="18"/>
          <w:highlight w:val="yellow"/>
          <w:lang w:val="en-US"/>
        </w:rPr>
      </w:pPr>
      <w:r w:rsidRPr="00BA34C9">
        <w:rPr>
          <w:rFonts w:ascii="Verdana" w:hAnsi="Verdana"/>
          <w:b/>
          <w:sz w:val="18"/>
          <w:szCs w:val="18"/>
          <w:highlight w:val="yellow"/>
          <w:lang w:val="en-US"/>
        </w:rPr>
        <w:br w:type="page"/>
      </w:r>
    </w:p>
    <w:p w:rsidR="002F4A7C" w:rsidRPr="007E0CF7" w:rsidRDefault="002F4A7C" w:rsidP="00283B18">
      <w:pPr>
        <w:spacing w:line="276" w:lineRule="auto"/>
        <w:rPr>
          <w:rFonts w:ascii="Verdana" w:hAnsi="Verdana" w:cs="Verdana"/>
          <w:b/>
          <w:bCs/>
          <w:sz w:val="18"/>
          <w:szCs w:val="18"/>
        </w:rPr>
      </w:pPr>
      <w:r w:rsidRPr="007E0CF7">
        <w:rPr>
          <w:rFonts w:ascii="Verdana" w:hAnsi="Verdana"/>
          <w:b/>
          <w:sz w:val="18"/>
          <w:szCs w:val="18"/>
        </w:rPr>
        <w:lastRenderedPageBreak/>
        <w:t xml:space="preserve">Consolidated statement of profit or loss        </w:t>
      </w:r>
      <w:r w:rsidRPr="007E0CF7">
        <w:rPr>
          <w:rFonts w:ascii="Verdana" w:hAnsi="Verdana"/>
          <w:b/>
          <w:sz w:val="18"/>
          <w:szCs w:val="18"/>
        </w:rPr>
        <w:tab/>
      </w:r>
      <w:r w:rsidRPr="007E0CF7">
        <w:rPr>
          <w:rFonts w:ascii="Verdana" w:hAnsi="Verdana"/>
          <w:b/>
          <w:sz w:val="18"/>
          <w:szCs w:val="18"/>
        </w:rPr>
        <w:tab/>
      </w:r>
      <w:r w:rsidRPr="007E0CF7">
        <w:rPr>
          <w:rFonts w:ascii="Verdana" w:hAnsi="Verdana"/>
          <w:b/>
          <w:sz w:val="18"/>
          <w:szCs w:val="18"/>
        </w:rPr>
        <w:tab/>
      </w:r>
      <w:r w:rsidRPr="007E0CF7">
        <w:rPr>
          <w:rFonts w:ascii="Verdana" w:hAnsi="Verdana"/>
          <w:b/>
          <w:sz w:val="18"/>
          <w:szCs w:val="18"/>
        </w:rPr>
        <w:tab/>
      </w:r>
      <w:r w:rsidRPr="007E0CF7">
        <w:rPr>
          <w:rFonts w:ascii="Verdana" w:hAnsi="Verdana"/>
          <w:b/>
          <w:sz w:val="18"/>
          <w:szCs w:val="18"/>
        </w:rPr>
        <w:tab/>
        <w:t xml:space="preserve">        </w:t>
      </w:r>
      <w:r w:rsidRPr="007E0CF7">
        <w:rPr>
          <w:rFonts w:ascii="Verdana" w:hAnsi="Verdana"/>
          <w:sz w:val="18"/>
          <w:szCs w:val="18"/>
        </w:rPr>
        <w:t>Unaudited</w:t>
      </w:r>
    </w:p>
    <w:p w:rsidR="002F4A7C" w:rsidRPr="007E0CF7" w:rsidRDefault="002F4A7C" w:rsidP="00283B18">
      <w:pPr>
        <w:tabs>
          <w:tab w:val="left" w:pos="4320"/>
        </w:tabs>
        <w:autoSpaceDE w:val="0"/>
        <w:spacing w:line="276" w:lineRule="auto"/>
        <w:rPr>
          <w:sz w:val="18"/>
          <w:szCs w:val="18"/>
        </w:rPr>
      </w:pPr>
    </w:p>
    <w:tbl>
      <w:tblPr>
        <w:tblW w:w="9822" w:type="dxa"/>
        <w:tblInd w:w="2" w:type="dxa"/>
        <w:tblLayout w:type="fixed"/>
        <w:tblCellMar>
          <w:left w:w="14" w:type="dxa"/>
          <w:right w:w="14" w:type="dxa"/>
        </w:tblCellMar>
        <w:tblLook w:val="0000"/>
      </w:tblPr>
      <w:tblGrid>
        <w:gridCol w:w="4535"/>
        <w:gridCol w:w="514"/>
        <w:gridCol w:w="2509"/>
        <w:gridCol w:w="1710"/>
        <w:gridCol w:w="554"/>
      </w:tblGrid>
      <w:tr w:rsidR="002F4A7C" w:rsidRPr="007E0CF7" w:rsidTr="00774BB3">
        <w:trPr>
          <w:gridAfter w:val="1"/>
          <w:wAfter w:w="554" w:type="dxa"/>
          <w:cantSplit/>
          <w:trHeight w:val="270"/>
        </w:trPr>
        <w:tc>
          <w:tcPr>
            <w:tcW w:w="4535" w:type="dxa"/>
            <w:tcBorders>
              <w:top w:val="single" w:sz="4" w:space="0" w:color="000000"/>
              <w:bottom w:val="single" w:sz="4" w:space="0" w:color="000000"/>
            </w:tcBorders>
          </w:tcPr>
          <w:p w:rsidR="002F4A7C" w:rsidRPr="007E0CF7" w:rsidRDefault="002F4A7C" w:rsidP="00283B18">
            <w:pPr>
              <w:pStyle w:val="TableText"/>
              <w:tabs>
                <w:tab w:val="center" w:pos="396"/>
                <w:tab w:val="right" w:pos="793"/>
                <w:tab w:val="left" w:pos="2977"/>
              </w:tabs>
              <w:snapToGrid w:val="0"/>
              <w:spacing w:line="276" w:lineRule="auto"/>
              <w:ind w:right="79"/>
              <w:rPr>
                <w:rFonts w:ascii="Verdana" w:hAnsi="Verdana" w:cs="Verdana"/>
                <w:sz w:val="18"/>
                <w:szCs w:val="18"/>
              </w:rPr>
            </w:pPr>
            <w:r w:rsidRPr="007E0CF7">
              <w:rPr>
                <w:rFonts w:ascii="Verdana" w:hAnsi="Verdana"/>
                <w:sz w:val="18"/>
                <w:szCs w:val="18"/>
              </w:rPr>
              <w:t>(x EUR 1,000)</w:t>
            </w:r>
          </w:p>
          <w:p w:rsidR="002F4A7C" w:rsidRPr="007E0CF7" w:rsidRDefault="002F4A7C" w:rsidP="00283B18">
            <w:pPr>
              <w:pStyle w:val="TableText"/>
              <w:tabs>
                <w:tab w:val="center" w:pos="396"/>
                <w:tab w:val="right" w:pos="793"/>
              </w:tabs>
              <w:snapToGrid w:val="0"/>
              <w:spacing w:line="276" w:lineRule="auto"/>
              <w:ind w:right="79"/>
              <w:rPr>
                <w:rFonts w:ascii="Verdana" w:hAnsi="Verdana" w:cs="Verdana"/>
                <w:sz w:val="18"/>
                <w:szCs w:val="18"/>
                <w:highlight w:val="yellow"/>
              </w:rPr>
            </w:pPr>
          </w:p>
        </w:tc>
        <w:tc>
          <w:tcPr>
            <w:tcW w:w="514" w:type="dxa"/>
            <w:tcBorders>
              <w:top w:val="single" w:sz="4" w:space="0" w:color="000000"/>
              <w:bottom w:val="single" w:sz="4" w:space="0" w:color="000000"/>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Borders>
              <w:top w:val="single" w:sz="4" w:space="0" w:color="000000"/>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p>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2015</w:t>
            </w:r>
          </w:p>
        </w:tc>
        <w:tc>
          <w:tcPr>
            <w:tcW w:w="1710" w:type="dxa"/>
            <w:tcBorders>
              <w:top w:val="single" w:sz="4" w:space="0" w:color="000000"/>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br/>
              <w:t>2014</w:t>
            </w:r>
          </w:p>
        </w:tc>
      </w:tr>
      <w:tr w:rsidR="002F4A7C" w:rsidRPr="007E0CF7" w:rsidTr="00774BB3">
        <w:trPr>
          <w:gridAfter w:val="1"/>
          <w:wAfter w:w="554" w:type="dxa"/>
          <w:cantSplit/>
          <w:trHeight w:val="270"/>
        </w:trPr>
        <w:tc>
          <w:tcPr>
            <w:tcW w:w="4535" w:type="dxa"/>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b/>
                <w:bCs/>
                <w:sz w:val="18"/>
                <w:szCs w:val="18"/>
                <w:highlight w:val="yellow"/>
              </w:rPr>
            </w:pPr>
          </w:p>
        </w:tc>
        <w:tc>
          <w:tcPr>
            <w:tcW w:w="514" w:type="dxa"/>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sz w:val="18"/>
                <w:szCs w:val="18"/>
                <w:highlight w:val="yellow"/>
              </w:rPr>
            </w:pPr>
          </w:p>
        </w:tc>
        <w:tc>
          <w:tcPr>
            <w:tcW w:w="2509" w:type="dxa"/>
            <w:tcBorders>
              <w:top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p>
        </w:tc>
        <w:tc>
          <w:tcPr>
            <w:tcW w:w="1710" w:type="dxa"/>
            <w:tcBorders>
              <w:top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p>
        </w:tc>
      </w:tr>
      <w:tr w:rsidR="002F4A7C" w:rsidRPr="007E0CF7" w:rsidTr="00774BB3">
        <w:trPr>
          <w:gridAfter w:val="1"/>
          <w:wAfter w:w="554" w:type="dxa"/>
          <w:cantSplit/>
          <w:trHeight w:val="270"/>
        </w:trPr>
        <w:tc>
          <w:tcPr>
            <w:tcW w:w="4535" w:type="dxa"/>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Net sales</w:t>
            </w:r>
          </w:p>
        </w:tc>
        <w:tc>
          <w:tcPr>
            <w:tcW w:w="514" w:type="dxa"/>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10,250</w:t>
            </w:r>
          </w:p>
        </w:tc>
        <w:tc>
          <w:tcPr>
            <w:tcW w:w="1710"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9,971</w:t>
            </w:r>
          </w:p>
        </w:tc>
      </w:tr>
      <w:tr w:rsidR="002F4A7C" w:rsidRPr="007E0CF7" w:rsidTr="00774BB3">
        <w:trPr>
          <w:gridAfter w:val="1"/>
          <w:wAfter w:w="554" w:type="dxa"/>
          <w:cantSplit/>
          <w:trHeight w:val="371"/>
        </w:trPr>
        <w:tc>
          <w:tcPr>
            <w:tcW w:w="4535" w:type="dxa"/>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 xml:space="preserve">Cost of sales </w:t>
            </w:r>
          </w:p>
        </w:tc>
        <w:tc>
          <w:tcPr>
            <w:tcW w:w="514" w:type="dxa"/>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-1,819</w:t>
            </w:r>
          </w:p>
        </w:tc>
        <w:tc>
          <w:tcPr>
            <w:tcW w:w="1710"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-1,787</w:t>
            </w:r>
          </w:p>
        </w:tc>
      </w:tr>
      <w:tr w:rsidR="002F4A7C" w:rsidRPr="007E0CF7" w:rsidTr="00774BB3">
        <w:trPr>
          <w:gridAfter w:val="1"/>
          <w:wAfter w:w="554" w:type="dxa"/>
          <w:cantSplit/>
          <w:trHeight w:val="270"/>
        </w:trPr>
        <w:tc>
          <w:tcPr>
            <w:tcW w:w="4535" w:type="dxa"/>
          </w:tcPr>
          <w:p w:rsidR="002F4A7C" w:rsidRPr="007E0CF7" w:rsidRDefault="002F4A7C" w:rsidP="00283B18">
            <w:pPr>
              <w:pStyle w:val="TableText"/>
              <w:tabs>
                <w:tab w:val="center" w:pos="396"/>
                <w:tab w:val="right" w:pos="793"/>
              </w:tabs>
              <w:snapToGrid w:val="0"/>
              <w:spacing w:line="276" w:lineRule="auto"/>
              <w:ind w:right="79"/>
              <w:rPr>
                <w:rFonts w:ascii="Verdana" w:hAnsi="Verdana" w:cs="Verdana"/>
                <w:b/>
                <w:bCs/>
                <w:sz w:val="18"/>
                <w:szCs w:val="18"/>
              </w:rPr>
            </w:pPr>
            <w:r w:rsidRPr="007E0CF7">
              <w:rPr>
                <w:rFonts w:ascii="Verdana" w:hAnsi="Verdana"/>
                <w:b/>
                <w:sz w:val="18"/>
                <w:szCs w:val="18"/>
              </w:rPr>
              <w:t>Gross profit</w:t>
            </w:r>
          </w:p>
        </w:tc>
        <w:tc>
          <w:tcPr>
            <w:tcW w:w="514" w:type="dxa"/>
          </w:tcPr>
          <w:p w:rsidR="002F4A7C" w:rsidRPr="007E0CF7" w:rsidRDefault="002F4A7C" w:rsidP="00283B18">
            <w:pPr>
              <w:pStyle w:val="TableText"/>
              <w:snapToGrid w:val="0"/>
              <w:spacing w:line="276" w:lineRule="auto"/>
              <w:rPr>
                <w:rFonts w:ascii="Verdana" w:hAnsi="Verdana" w:cs="Verdana"/>
                <w:b/>
                <w:bCs/>
                <w:sz w:val="18"/>
                <w:szCs w:val="18"/>
                <w:highlight w:val="yellow"/>
              </w:rPr>
            </w:pPr>
          </w:p>
        </w:tc>
        <w:tc>
          <w:tcPr>
            <w:tcW w:w="2509" w:type="dxa"/>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cs="Verdana"/>
                <w:b/>
                <w:bCs/>
                <w:sz w:val="18"/>
                <w:szCs w:val="18"/>
              </w:rPr>
              <w:t>8,431</w:t>
            </w:r>
          </w:p>
        </w:tc>
        <w:tc>
          <w:tcPr>
            <w:tcW w:w="1710" w:type="dxa"/>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cs="Verdana"/>
                <w:b/>
                <w:bCs/>
                <w:sz w:val="18"/>
                <w:szCs w:val="18"/>
              </w:rPr>
              <w:t>8,184</w:t>
            </w:r>
          </w:p>
        </w:tc>
      </w:tr>
      <w:tr w:rsidR="002F4A7C" w:rsidRPr="007E0CF7" w:rsidTr="00774BB3">
        <w:trPr>
          <w:gridAfter w:val="1"/>
          <w:wAfter w:w="554" w:type="dxa"/>
          <w:cantSplit/>
          <w:trHeight w:val="270"/>
        </w:trPr>
        <w:tc>
          <w:tcPr>
            <w:tcW w:w="4535" w:type="dxa"/>
          </w:tcPr>
          <w:p w:rsidR="002F4A7C" w:rsidRPr="007E0CF7" w:rsidRDefault="002F4A7C" w:rsidP="00283B18">
            <w:pPr>
              <w:pStyle w:val="TableText"/>
              <w:tabs>
                <w:tab w:val="center" w:pos="396"/>
                <w:tab w:val="right" w:pos="793"/>
              </w:tabs>
              <w:snapToGrid w:val="0"/>
              <w:spacing w:line="276" w:lineRule="auto"/>
              <w:ind w:right="79"/>
              <w:rPr>
                <w:rFonts w:ascii="Verdana" w:hAnsi="Verdana" w:cs="Verdana"/>
                <w:sz w:val="18"/>
                <w:szCs w:val="18"/>
              </w:rPr>
            </w:pPr>
          </w:p>
        </w:tc>
        <w:tc>
          <w:tcPr>
            <w:tcW w:w="514" w:type="dxa"/>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p>
        </w:tc>
        <w:tc>
          <w:tcPr>
            <w:tcW w:w="1710"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p>
        </w:tc>
      </w:tr>
      <w:tr w:rsidR="002F4A7C" w:rsidRPr="007E0CF7" w:rsidTr="00774BB3">
        <w:trPr>
          <w:gridAfter w:val="1"/>
          <w:wAfter w:w="554" w:type="dxa"/>
          <w:cantSplit/>
          <w:trHeight w:val="270"/>
        </w:trPr>
        <w:tc>
          <w:tcPr>
            <w:tcW w:w="4535" w:type="dxa"/>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Personnel expenses</w:t>
            </w:r>
          </w:p>
        </w:tc>
        <w:tc>
          <w:tcPr>
            <w:tcW w:w="514" w:type="dxa"/>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Pr>
          <w:p w:rsidR="002F4A7C" w:rsidRPr="007E0CF7" w:rsidRDefault="00204890" w:rsidP="004F1D31">
            <w:pPr>
              <w:pStyle w:val="TableText"/>
              <w:snapToGrid w:val="0"/>
              <w:spacing w:line="276" w:lineRule="auto"/>
              <w:ind w:right="79"/>
              <w:jc w:val="right"/>
              <w:rPr>
                <w:rFonts w:ascii="Verdana" w:hAnsi="Verdana" w:cs="Verdana"/>
                <w:sz w:val="18"/>
                <w:szCs w:val="18"/>
              </w:rPr>
            </w:pPr>
            <w:r>
              <w:rPr>
                <w:rFonts w:ascii="Verdana" w:hAnsi="Verdana"/>
                <w:sz w:val="18"/>
                <w:szCs w:val="18"/>
              </w:rPr>
              <w:t>-5,862</w:t>
            </w:r>
          </w:p>
        </w:tc>
        <w:tc>
          <w:tcPr>
            <w:tcW w:w="1710"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-6,058</w:t>
            </w:r>
          </w:p>
        </w:tc>
      </w:tr>
      <w:tr w:rsidR="002F4A7C" w:rsidRPr="007E0CF7" w:rsidTr="00774BB3">
        <w:trPr>
          <w:gridAfter w:val="1"/>
          <w:wAfter w:w="554" w:type="dxa"/>
          <w:cantSplit/>
          <w:trHeight w:val="270"/>
        </w:trPr>
        <w:tc>
          <w:tcPr>
            <w:tcW w:w="4535" w:type="dxa"/>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Other operating expenses</w:t>
            </w:r>
          </w:p>
        </w:tc>
        <w:tc>
          <w:tcPr>
            <w:tcW w:w="514" w:type="dxa"/>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-2,882</w:t>
            </w:r>
          </w:p>
        </w:tc>
        <w:tc>
          <w:tcPr>
            <w:tcW w:w="1710"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-2,848</w:t>
            </w:r>
          </w:p>
        </w:tc>
      </w:tr>
      <w:tr w:rsidR="002F4A7C" w:rsidRPr="007E0CF7" w:rsidTr="00774BB3">
        <w:trPr>
          <w:gridAfter w:val="1"/>
          <w:wAfter w:w="554" w:type="dxa"/>
          <w:cantSplit/>
          <w:trHeight w:val="270"/>
        </w:trPr>
        <w:tc>
          <w:tcPr>
            <w:tcW w:w="4535" w:type="dxa"/>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Total operating expenses</w:t>
            </w:r>
          </w:p>
        </w:tc>
        <w:tc>
          <w:tcPr>
            <w:tcW w:w="514" w:type="dxa"/>
          </w:tcPr>
          <w:p w:rsidR="002F4A7C" w:rsidRPr="007E0CF7" w:rsidRDefault="002F4A7C" w:rsidP="00283B18">
            <w:pPr>
              <w:pStyle w:val="TableText"/>
              <w:snapToGrid w:val="0"/>
              <w:spacing w:line="276" w:lineRule="auto"/>
              <w:rPr>
                <w:rFonts w:ascii="Verdana" w:hAnsi="Verdana" w:cs="Verdana"/>
                <w:b/>
                <w:bCs/>
                <w:sz w:val="18"/>
                <w:szCs w:val="18"/>
                <w:highlight w:val="yellow"/>
              </w:rPr>
            </w:pPr>
          </w:p>
        </w:tc>
        <w:tc>
          <w:tcPr>
            <w:tcW w:w="2509" w:type="dxa"/>
          </w:tcPr>
          <w:p w:rsidR="002F4A7C" w:rsidRPr="007E0CF7" w:rsidRDefault="00BA34C9" w:rsidP="004F1D31">
            <w:pPr>
              <w:pStyle w:val="TableText"/>
              <w:snapToGrid w:val="0"/>
              <w:spacing w:line="276" w:lineRule="auto"/>
              <w:ind w:right="79"/>
              <w:jc w:val="right"/>
              <w:rPr>
                <w:rFonts w:ascii="Verdana" w:hAnsi="Verdana" w:cs="Verdana"/>
                <w:b/>
                <w:bCs/>
                <w:sz w:val="18"/>
                <w:szCs w:val="18"/>
              </w:rPr>
            </w:pPr>
            <w:r>
              <w:rPr>
                <w:rFonts w:ascii="Verdana" w:hAnsi="Verdana" w:cs="Verdana"/>
                <w:b/>
                <w:bCs/>
                <w:sz w:val="18"/>
                <w:szCs w:val="18"/>
              </w:rPr>
              <w:t>-</w:t>
            </w:r>
            <w:r w:rsidR="00204890">
              <w:rPr>
                <w:rFonts w:ascii="Verdana" w:hAnsi="Verdana" w:cs="Verdana"/>
                <w:b/>
                <w:bCs/>
                <w:sz w:val="18"/>
                <w:szCs w:val="18"/>
              </w:rPr>
              <w:t>8,74</w:t>
            </w:r>
            <w:r w:rsidR="002F4A7C" w:rsidRPr="007E0CF7">
              <w:rPr>
                <w:rFonts w:ascii="Verdana" w:hAnsi="Verdana" w:cs="Verdana"/>
                <w:b/>
                <w:bCs/>
                <w:sz w:val="18"/>
                <w:szCs w:val="18"/>
              </w:rPr>
              <w:t>4</w:t>
            </w:r>
          </w:p>
        </w:tc>
        <w:tc>
          <w:tcPr>
            <w:tcW w:w="1710" w:type="dxa"/>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b/>
                <w:sz w:val="18"/>
                <w:szCs w:val="18"/>
              </w:rPr>
              <w:t>-8,906</w:t>
            </w:r>
          </w:p>
        </w:tc>
      </w:tr>
      <w:tr w:rsidR="002F4A7C" w:rsidRPr="007E0CF7" w:rsidTr="00774BB3">
        <w:trPr>
          <w:gridAfter w:val="1"/>
          <w:wAfter w:w="554" w:type="dxa"/>
          <w:cantSplit/>
          <w:trHeight w:val="270"/>
        </w:trPr>
        <w:tc>
          <w:tcPr>
            <w:tcW w:w="4535" w:type="dxa"/>
            <w:tcBorders>
              <w:bottom w:val="single" w:sz="4" w:space="0" w:color="auto"/>
            </w:tcBorders>
          </w:tcPr>
          <w:p w:rsidR="002F4A7C" w:rsidRPr="007E0CF7" w:rsidRDefault="002F4A7C" w:rsidP="00283B18">
            <w:pPr>
              <w:pStyle w:val="TableText"/>
              <w:snapToGrid w:val="0"/>
              <w:spacing w:line="276" w:lineRule="auto"/>
              <w:ind w:right="79"/>
              <w:rPr>
                <w:rFonts w:ascii="Verdana" w:hAnsi="Verdana" w:cs="Verdana"/>
                <w:b/>
                <w:bCs/>
                <w:sz w:val="18"/>
                <w:szCs w:val="18"/>
              </w:rPr>
            </w:pPr>
          </w:p>
        </w:tc>
        <w:tc>
          <w:tcPr>
            <w:tcW w:w="514" w:type="dxa"/>
            <w:tcBorders>
              <w:bottom w:val="single" w:sz="4" w:space="0" w:color="auto"/>
            </w:tcBorders>
          </w:tcPr>
          <w:p w:rsidR="002F4A7C" w:rsidRPr="007E0CF7" w:rsidRDefault="002F4A7C" w:rsidP="00283B18">
            <w:pPr>
              <w:pStyle w:val="TableText"/>
              <w:snapToGrid w:val="0"/>
              <w:spacing w:line="276" w:lineRule="auto"/>
              <w:rPr>
                <w:rFonts w:ascii="Verdana" w:hAnsi="Verdana" w:cs="Verdana"/>
                <w:b/>
                <w:bCs/>
                <w:sz w:val="18"/>
                <w:szCs w:val="18"/>
                <w:highlight w:val="yellow"/>
              </w:rPr>
            </w:pPr>
          </w:p>
        </w:tc>
        <w:tc>
          <w:tcPr>
            <w:tcW w:w="2509" w:type="dxa"/>
            <w:tcBorders>
              <w:bottom w:val="single" w:sz="4" w:space="0" w:color="auto"/>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p>
        </w:tc>
        <w:tc>
          <w:tcPr>
            <w:tcW w:w="1710" w:type="dxa"/>
            <w:tcBorders>
              <w:bottom w:val="single" w:sz="4" w:space="0" w:color="auto"/>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p>
        </w:tc>
      </w:tr>
      <w:tr w:rsidR="002F4A7C" w:rsidRPr="007E0CF7" w:rsidTr="00774BB3">
        <w:trPr>
          <w:gridAfter w:val="1"/>
          <w:wAfter w:w="554" w:type="dxa"/>
          <w:cantSplit/>
          <w:trHeight w:val="270"/>
        </w:trPr>
        <w:tc>
          <w:tcPr>
            <w:tcW w:w="4535" w:type="dxa"/>
            <w:tcBorders>
              <w:top w:val="single" w:sz="4" w:space="0" w:color="auto"/>
            </w:tcBorders>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EBITDA</w:t>
            </w:r>
          </w:p>
        </w:tc>
        <w:tc>
          <w:tcPr>
            <w:tcW w:w="514" w:type="dxa"/>
            <w:tcBorders>
              <w:top w:val="single" w:sz="4" w:space="0" w:color="auto"/>
            </w:tcBorders>
          </w:tcPr>
          <w:p w:rsidR="002F4A7C" w:rsidRPr="007E0CF7" w:rsidRDefault="002F4A7C" w:rsidP="00283B18">
            <w:pPr>
              <w:pStyle w:val="TableText"/>
              <w:snapToGrid w:val="0"/>
              <w:spacing w:line="276" w:lineRule="auto"/>
              <w:rPr>
                <w:rFonts w:ascii="Verdana" w:hAnsi="Verdana" w:cs="Verdana"/>
                <w:b/>
                <w:bCs/>
                <w:sz w:val="18"/>
                <w:szCs w:val="18"/>
                <w:highlight w:val="yellow"/>
              </w:rPr>
            </w:pPr>
          </w:p>
        </w:tc>
        <w:tc>
          <w:tcPr>
            <w:tcW w:w="2509" w:type="dxa"/>
            <w:tcBorders>
              <w:top w:val="single" w:sz="4" w:space="0" w:color="auto"/>
            </w:tcBorders>
          </w:tcPr>
          <w:p w:rsidR="002F4A7C" w:rsidRPr="007E0CF7" w:rsidRDefault="00204890" w:rsidP="004F1D31">
            <w:pPr>
              <w:pStyle w:val="TableText"/>
              <w:snapToGrid w:val="0"/>
              <w:spacing w:line="276" w:lineRule="auto"/>
              <w:ind w:right="79"/>
              <w:jc w:val="right"/>
              <w:rPr>
                <w:rFonts w:ascii="Verdana" w:hAnsi="Verdana" w:cs="Verdana"/>
                <w:b/>
                <w:bCs/>
                <w:sz w:val="18"/>
                <w:szCs w:val="18"/>
              </w:rPr>
            </w:pPr>
            <w:r>
              <w:rPr>
                <w:rFonts w:ascii="Verdana" w:hAnsi="Verdana" w:cs="Verdana"/>
                <w:b/>
                <w:bCs/>
                <w:sz w:val="18"/>
                <w:szCs w:val="18"/>
              </w:rPr>
              <w:t>-31</w:t>
            </w:r>
            <w:r w:rsidR="002F4A7C" w:rsidRPr="007E0CF7">
              <w:rPr>
                <w:rFonts w:ascii="Verdana" w:hAnsi="Verdana" w:cs="Verdana"/>
                <w:b/>
                <w:bCs/>
                <w:sz w:val="18"/>
                <w:szCs w:val="18"/>
              </w:rPr>
              <w:t>3</w:t>
            </w:r>
          </w:p>
        </w:tc>
        <w:tc>
          <w:tcPr>
            <w:tcW w:w="1710" w:type="dxa"/>
            <w:tcBorders>
              <w:top w:val="single" w:sz="4" w:space="0" w:color="auto"/>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b/>
                <w:sz w:val="18"/>
                <w:szCs w:val="18"/>
              </w:rPr>
              <w:t>-722</w:t>
            </w:r>
          </w:p>
        </w:tc>
      </w:tr>
      <w:tr w:rsidR="002F4A7C" w:rsidRPr="007E0CF7" w:rsidTr="00774BB3">
        <w:trPr>
          <w:gridAfter w:val="1"/>
          <w:wAfter w:w="554" w:type="dxa"/>
          <w:cantSplit/>
          <w:trHeight w:val="270"/>
        </w:trPr>
        <w:tc>
          <w:tcPr>
            <w:tcW w:w="4535" w:type="dxa"/>
          </w:tcPr>
          <w:p w:rsidR="002F4A7C" w:rsidRPr="007E0CF7" w:rsidRDefault="002F4A7C" w:rsidP="00283B18">
            <w:pPr>
              <w:pStyle w:val="TableText"/>
              <w:snapToGrid w:val="0"/>
              <w:spacing w:line="276" w:lineRule="auto"/>
              <w:ind w:right="79"/>
              <w:rPr>
                <w:rFonts w:ascii="Verdana" w:hAnsi="Verdana" w:cs="Verdana"/>
                <w:sz w:val="18"/>
                <w:szCs w:val="18"/>
              </w:rPr>
            </w:pPr>
          </w:p>
        </w:tc>
        <w:tc>
          <w:tcPr>
            <w:tcW w:w="514" w:type="dxa"/>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p>
        </w:tc>
        <w:tc>
          <w:tcPr>
            <w:tcW w:w="1710"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p>
        </w:tc>
      </w:tr>
      <w:tr w:rsidR="002F4A7C" w:rsidRPr="007E0CF7" w:rsidTr="00774BB3">
        <w:trPr>
          <w:gridAfter w:val="1"/>
          <w:wAfter w:w="554" w:type="dxa"/>
          <w:cantSplit/>
          <w:trHeight w:val="270"/>
        </w:trPr>
        <w:tc>
          <w:tcPr>
            <w:tcW w:w="4535" w:type="dxa"/>
            <w:tcBorders>
              <w:bottom w:val="single" w:sz="4" w:space="0" w:color="auto"/>
            </w:tcBorders>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Depreciation and amortisation</w:t>
            </w:r>
          </w:p>
        </w:tc>
        <w:tc>
          <w:tcPr>
            <w:tcW w:w="514" w:type="dxa"/>
            <w:tcBorders>
              <w:bottom w:val="single" w:sz="4" w:space="0" w:color="auto"/>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Borders>
              <w:bottom w:val="single" w:sz="4" w:space="0" w:color="auto"/>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-929</w:t>
            </w:r>
          </w:p>
        </w:tc>
        <w:tc>
          <w:tcPr>
            <w:tcW w:w="1710" w:type="dxa"/>
            <w:tcBorders>
              <w:bottom w:val="single" w:sz="4" w:space="0" w:color="auto"/>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-792</w:t>
            </w:r>
          </w:p>
        </w:tc>
      </w:tr>
      <w:tr w:rsidR="002F4A7C" w:rsidRPr="007E0CF7" w:rsidTr="00774BB3">
        <w:trPr>
          <w:gridAfter w:val="1"/>
          <w:wAfter w:w="554" w:type="dxa"/>
          <w:cantSplit/>
          <w:trHeight w:val="270"/>
        </w:trPr>
        <w:tc>
          <w:tcPr>
            <w:tcW w:w="4535" w:type="dxa"/>
            <w:tcBorders>
              <w:top w:val="single" w:sz="4" w:space="0" w:color="auto"/>
            </w:tcBorders>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EBIT</w:t>
            </w:r>
          </w:p>
        </w:tc>
        <w:tc>
          <w:tcPr>
            <w:tcW w:w="514" w:type="dxa"/>
            <w:tcBorders>
              <w:top w:val="single" w:sz="4" w:space="0" w:color="auto"/>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Borders>
              <w:top w:val="single" w:sz="4" w:space="0" w:color="auto"/>
            </w:tcBorders>
          </w:tcPr>
          <w:p w:rsidR="002F4A7C" w:rsidRPr="007E0CF7" w:rsidRDefault="00204890" w:rsidP="004F1D31">
            <w:pPr>
              <w:pStyle w:val="TableText"/>
              <w:snapToGrid w:val="0"/>
              <w:spacing w:line="276" w:lineRule="auto"/>
              <w:ind w:right="79"/>
              <w:jc w:val="right"/>
              <w:rPr>
                <w:rFonts w:ascii="Verdana" w:hAnsi="Verdana" w:cs="Verdana"/>
                <w:b/>
                <w:bCs/>
                <w:sz w:val="18"/>
                <w:szCs w:val="18"/>
              </w:rPr>
            </w:pPr>
            <w:r>
              <w:rPr>
                <w:rFonts w:ascii="Verdana" w:hAnsi="Verdana"/>
                <w:b/>
                <w:sz w:val="18"/>
                <w:szCs w:val="18"/>
              </w:rPr>
              <w:t>-1,242</w:t>
            </w:r>
          </w:p>
        </w:tc>
        <w:tc>
          <w:tcPr>
            <w:tcW w:w="1710" w:type="dxa"/>
            <w:tcBorders>
              <w:top w:val="single" w:sz="4" w:space="0" w:color="auto"/>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cs="Verdana"/>
                <w:b/>
                <w:bCs/>
                <w:sz w:val="18"/>
                <w:szCs w:val="18"/>
              </w:rPr>
              <w:t>-1,514</w:t>
            </w:r>
          </w:p>
        </w:tc>
      </w:tr>
      <w:tr w:rsidR="002F4A7C" w:rsidRPr="007E0CF7" w:rsidTr="00774BB3">
        <w:trPr>
          <w:gridAfter w:val="1"/>
          <w:wAfter w:w="554" w:type="dxa"/>
          <w:cantSplit/>
          <w:trHeight w:val="270"/>
        </w:trPr>
        <w:tc>
          <w:tcPr>
            <w:tcW w:w="4535" w:type="dxa"/>
          </w:tcPr>
          <w:p w:rsidR="002F4A7C" w:rsidRPr="007E0CF7" w:rsidRDefault="002F4A7C" w:rsidP="00283B18">
            <w:pPr>
              <w:pStyle w:val="TableText"/>
              <w:snapToGrid w:val="0"/>
              <w:spacing w:line="276" w:lineRule="auto"/>
              <w:ind w:right="79"/>
              <w:rPr>
                <w:rFonts w:ascii="Verdana" w:hAnsi="Verdana" w:cs="Verdana"/>
                <w:sz w:val="18"/>
                <w:szCs w:val="18"/>
              </w:rPr>
            </w:pPr>
          </w:p>
        </w:tc>
        <w:tc>
          <w:tcPr>
            <w:tcW w:w="514" w:type="dxa"/>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p>
        </w:tc>
        <w:tc>
          <w:tcPr>
            <w:tcW w:w="1710"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p>
        </w:tc>
      </w:tr>
      <w:tr w:rsidR="002F4A7C" w:rsidRPr="007E0CF7" w:rsidTr="00774BB3">
        <w:trPr>
          <w:gridAfter w:val="1"/>
          <w:wAfter w:w="554" w:type="dxa"/>
          <w:cantSplit/>
          <w:trHeight w:val="270"/>
        </w:trPr>
        <w:tc>
          <w:tcPr>
            <w:tcW w:w="4535" w:type="dxa"/>
            <w:tcBorders>
              <w:bottom w:val="single" w:sz="4" w:space="0" w:color="auto"/>
            </w:tcBorders>
          </w:tcPr>
          <w:p w:rsidR="002F4A7C" w:rsidRPr="007E0CF7" w:rsidRDefault="002F4A7C" w:rsidP="00283B18">
            <w:pPr>
              <w:pStyle w:val="TableText"/>
              <w:tabs>
                <w:tab w:val="center" w:pos="396"/>
                <w:tab w:val="right" w:pos="793"/>
              </w:tabs>
              <w:snapToGrid w:val="0"/>
              <w:spacing w:line="276" w:lineRule="auto"/>
              <w:ind w:right="79"/>
              <w:rPr>
                <w:rFonts w:ascii="Verdana" w:hAnsi="Verdana" w:cs="Verdana"/>
                <w:sz w:val="18"/>
                <w:szCs w:val="18"/>
              </w:rPr>
            </w:pPr>
            <w:r w:rsidRPr="007E0CF7">
              <w:rPr>
                <w:rFonts w:ascii="Verdana" w:hAnsi="Verdana"/>
                <w:sz w:val="18"/>
                <w:szCs w:val="18"/>
              </w:rPr>
              <w:t>Financial expenses</w:t>
            </w:r>
          </w:p>
        </w:tc>
        <w:tc>
          <w:tcPr>
            <w:tcW w:w="514" w:type="dxa"/>
            <w:tcBorders>
              <w:bottom w:val="single" w:sz="4" w:space="0" w:color="auto"/>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Borders>
              <w:bottom w:val="single" w:sz="4" w:space="0" w:color="auto"/>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-187</w:t>
            </w:r>
          </w:p>
        </w:tc>
        <w:tc>
          <w:tcPr>
            <w:tcW w:w="1710" w:type="dxa"/>
            <w:tcBorders>
              <w:bottom w:val="single" w:sz="4" w:space="0" w:color="auto"/>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-161</w:t>
            </w:r>
          </w:p>
        </w:tc>
      </w:tr>
      <w:tr w:rsidR="002F4A7C" w:rsidRPr="007E0CF7" w:rsidTr="00774BB3">
        <w:trPr>
          <w:gridAfter w:val="1"/>
          <w:wAfter w:w="554" w:type="dxa"/>
          <w:cantSplit/>
          <w:trHeight w:val="270"/>
        </w:trPr>
        <w:tc>
          <w:tcPr>
            <w:tcW w:w="4535" w:type="dxa"/>
            <w:tcBorders>
              <w:top w:val="single" w:sz="4" w:space="0" w:color="auto"/>
            </w:tcBorders>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Profit before tax</w:t>
            </w:r>
          </w:p>
        </w:tc>
        <w:tc>
          <w:tcPr>
            <w:tcW w:w="514" w:type="dxa"/>
            <w:tcBorders>
              <w:top w:val="single" w:sz="4" w:space="0" w:color="auto"/>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Borders>
              <w:top w:val="single" w:sz="4" w:space="0" w:color="auto"/>
            </w:tcBorders>
          </w:tcPr>
          <w:p w:rsidR="002F4A7C" w:rsidRPr="007E0CF7" w:rsidRDefault="00204890" w:rsidP="004F1D31">
            <w:pPr>
              <w:pStyle w:val="TableText"/>
              <w:snapToGrid w:val="0"/>
              <w:spacing w:line="276" w:lineRule="auto"/>
              <w:ind w:right="79"/>
              <w:jc w:val="right"/>
              <w:rPr>
                <w:rFonts w:ascii="Verdana" w:hAnsi="Verdana" w:cs="Verdana"/>
                <w:b/>
                <w:bCs/>
                <w:sz w:val="18"/>
                <w:szCs w:val="18"/>
              </w:rPr>
            </w:pPr>
            <w:r>
              <w:rPr>
                <w:rFonts w:ascii="Verdana" w:hAnsi="Verdana"/>
                <w:b/>
                <w:sz w:val="18"/>
                <w:szCs w:val="18"/>
              </w:rPr>
              <w:t>-1,429</w:t>
            </w:r>
          </w:p>
        </w:tc>
        <w:tc>
          <w:tcPr>
            <w:tcW w:w="1710" w:type="dxa"/>
            <w:tcBorders>
              <w:top w:val="single" w:sz="4" w:space="0" w:color="auto"/>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cs="Verdana"/>
                <w:b/>
                <w:bCs/>
                <w:sz w:val="18"/>
                <w:szCs w:val="18"/>
              </w:rPr>
              <w:t>-1,675</w:t>
            </w:r>
          </w:p>
        </w:tc>
      </w:tr>
      <w:tr w:rsidR="002F4A7C" w:rsidRPr="007E0CF7" w:rsidTr="00774BB3">
        <w:trPr>
          <w:gridAfter w:val="1"/>
          <w:wAfter w:w="554" w:type="dxa"/>
          <w:cantSplit/>
          <w:trHeight w:val="270"/>
        </w:trPr>
        <w:tc>
          <w:tcPr>
            <w:tcW w:w="4535" w:type="dxa"/>
          </w:tcPr>
          <w:p w:rsidR="002F4A7C" w:rsidRPr="007E0CF7" w:rsidRDefault="002F4A7C" w:rsidP="00283B18">
            <w:pPr>
              <w:pStyle w:val="TableText"/>
              <w:snapToGrid w:val="0"/>
              <w:spacing w:line="276" w:lineRule="auto"/>
              <w:ind w:right="79"/>
              <w:rPr>
                <w:rFonts w:ascii="Verdana" w:hAnsi="Verdana" w:cs="Verdana"/>
                <w:sz w:val="18"/>
                <w:szCs w:val="18"/>
              </w:rPr>
            </w:pPr>
          </w:p>
        </w:tc>
        <w:tc>
          <w:tcPr>
            <w:tcW w:w="514" w:type="dxa"/>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p>
        </w:tc>
        <w:tc>
          <w:tcPr>
            <w:tcW w:w="1710"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p>
        </w:tc>
      </w:tr>
      <w:tr w:rsidR="002F4A7C" w:rsidRPr="007E0CF7" w:rsidTr="00774BB3">
        <w:trPr>
          <w:gridAfter w:val="1"/>
          <w:wAfter w:w="554" w:type="dxa"/>
          <w:cantSplit/>
          <w:trHeight w:val="270"/>
        </w:trPr>
        <w:tc>
          <w:tcPr>
            <w:tcW w:w="4535" w:type="dxa"/>
            <w:tcBorders>
              <w:bottom w:val="single" w:sz="4" w:space="0" w:color="auto"/>
            </w:tcBorders>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Taxation</w:t>
            </w:r>
          </w:p>
        </w:tc>
        <w:tc>
          <w:tcPr>
            <w:tcW w:w="514" w:type="dxa"/>
            <w:tcBorders>
              <w:bottom w:val="single" w:sz="4" w:space="0" w:color="auto"/>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Borders>
              <w:bottom w:val="single" w:sz="4" w:space="0" w:color="auto"/>
            </w:tcBorders>
          </w:tcPr>
          <w:p w:rsidR="002F4A7C" w:rsidRPr="007E0CF7" w:rsidRDefault="00204890" w:rsidP="004F1D31">
            <w:pPr>
              <w:pStyle w:val="TableText"/>
              <w:snapToGrid w:val="0"/>
              <w:spacing w:line="276" w:lineRule="auto"/>
              <w:ind w:right="79"/>
              <w:jc w:val="right"/>
              <w:rPr>
                <w:rFonts w:ascii="Verdana" w:hAnsi="Verdana" w:cs="Verdana"/>
                <w:sz w:val="18"/>
                <w:szCs w:val="18"/>
              </w:rPr>
            </w:pPr>
            <w:r w:rsidRPr="00204890">
              <w:rPr>
                <w:rFonts w:ascii="Verdana" w:hAnsi="Verdana"/>
                <w:sz w:val="18"/>
                <w:szCs w:val="18"/>
              </w:rPr>
              <w:t>-10</w:t>
            </w:r>
          </w:p>
        </w:tc>
        <w:tc>
          <w:tcPr>
            <w:tcW w:w="1710" w:type="dxa"/>
            <w:tcBorders>
              <w:bottom w:val="single" w:sz="4" w:space="0" w:color="auto"/>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-18</w:t>
            </w:r>
          </w:p>
        </w:tc>
      </w:tr>
      <w:tr w:rsidR="002F4A7C" w:rsidRPr="007E0CF7" w:rsidTr="00774BB3">
        <w:trPr>
          <w:gridAfter w:val="1"/>
          <w:wAfter w:w="554" w:type="dxa"/>
          <w:cantSplit/>
          <w:trHeight w:val="270"/>
        </w:trPr>
        <w:tc>
          <w:tcPr>
            <w:tcW w:w="4535" w:type="dxa"/>
            <w:tcBorders>
              <w:top w:val="single" w:sz="4" w:space="0" w:color="auto"/>
            </w:tcBorders>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Net profit</w:t>
            </w:r>
          </w:p>
        </w:tc>
        <w:tc>
          <w:tcPr>
            <w:tcW w:w="514" w:type="dxa"/>
            <w:tcBorders>
              <w:top w:val="single" w:sz="4" w:space="0" w:color="auto"/>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509" w:type="dxa"/>
            <w:tcBorders>
              <w:top w:val="single" w:sz="4" w:space="0" w:color="auto"/>
            </w:tcBorders>
          </w:tcPr>
          <w:p w:rsidR="002F4A7C" w:rsidRPr="007E0CF7" w:rsidRDefault="00204890" w:rsidP="004F1D31">
            <w:pPr>
              <w:pStyle w:val="TableText"/>
              <w:snapToGrid w:val="0"/>
              <w:spacing w:line="276" w:lineRule="auto"/>
              <w:ind w:right="79"/>
              <w:jc w:val="right"/>
              <w:rPr>
                <w:rFonts w:ascii="Verdana" w:hAnsi="Verdana" w:cs="Verdana"/>
                <w:b/>
                <w:bCs/>
                <w:sz w:val="18"/>
                <w:szCs w:val="18"/>
              </w:rPr>
            </w:pPr>
            <w:r>
              <w:rPr>
                <w:rFonts w:ascii="Verdana" w:hAnsi="Verdana" w:cs="Verdana"/>
                <w:b/>
                <w:bCs/>
                <w:sz w:val="18"/>
                <w:szCs w:val="18"/>
              </w:rPr>
              <w:t>-1,43</w:t>
            </w:r>
            <w:r w:rsidR="002F4A7C" w:rsidRPr="007E0CF7">
              <w:rPr>
                <w:rFonts w:ascii="Verdana" w:hAnsi="Verdana" w:cs="Verdana"/>
                <w:b/>
                <w:bCs/>
                <w:sz w:val="18"/>
                <w:szCs w:val="18"/>
              </w:rPr>
              <w:t>9</w:t>
            </w:r>
          </w:p>
        </w:tc>
        <w:tc>
          <w:tcPr>
            <w:tcW w:w="1710" w:type="dxa"/>
            <w:tcBorders>
              <w:top w:val="single" w:sz="4" w:space="0" w:color="auto"/>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b/>
                <w:sz w:val="18"/>
                <w:szCs w:val="18"/>
              </w:rPr>
              <w:t>-1,693</w:t>
            </w:r>
          </w:p>
        </w:tc>
      </w:tr>
      <w:tr w:rsidR="002F4A7C" w:rsidRPr="007E0CF7" w:rsidTr="00774BB3">
        <w:trPr>
          <w:cantSplit/>
          <w:trHeight w:val="270"/>
        </w:trPr>
        <w:tc>
          <w:tcPr>
            <w:tcW w:w="7558" w:type="dxa"/>
            <w:gridSpan w:val="3"/>
          </w:tcPr>
          <w:p w:rsidR="002F4A7C" w:rsidRPr="007E0CF7" w:rsidRDefault="002F4A7C" w:rsidP="00283B18">
            <w:pPr>
              <w:pStyle w:val="TableText"/>
              <w:snapToGrid w:val="0"/>
              <w:spacing w:line="276" w:lineRule="auto"/>
              <w:ind w:right="79"/>
              <w:rPr>
                <w:rFonts w:ascii="Verdana" w:hAnsi="Verdana" w:cs="Verdana"/>
                <w:b/>
                <w:bCs/>
                <w:color w:val="3366FF"/>
                <w:sz w:val="18"/>
                <w:szCs w:val="18"/>
                <w:highlight w:val="yellow"/>
              </w:rPr>
            </w:pPr>
          </w:p>
        </w:tc>
        <w:tc>
          <w:tcPr>
            <w:tcW w:w="2264" w:type="dxa"/>
            <w:gridSpan w:val="2"/>
          </w:tcPr>
          <w:p w:rsidR="002F4A7C" w:rsidRPr="007E0CF7" w:rsidRDefault="002F4A7C" w:rsidP="00283B18">
            <w:pPr>
              <w:pStyle w:val="TableText"/>
              <w:snapToGrid w:val="0"/>
              <w:spacing w:line="276" w:lineRule="auto"/>
              <w:rPr>
                <w:rFonts w:ascii="Verdana" w:hAnsi="Verdana" w:cs="Verdana"/>
                <w:sz w:val="18"/>
                <w:szCs w:val="18"/>
                <w:highlight w:val="yellow"/>
              </w:rPr>
            </w:pPr>
          </w:p>
        </w:tc>
      </w:tr>
    </w:tbl>
    <w:p w:rsidR="002F4A7C" w:rsidRPr="007E0CF7" w:rsidRDefault="002F4A7C" w:rsidP="00283B18">
      <w:pPr>
        <w:spacing w:line="276" w:lineRule="auto"/>
        <w:rPr>
          <w:rFonts w:ascii="Verdana" w:hAnsi="Verdana" w:cs="Verdana"/>
          <w:sz w:val="18"/>
          <w:szCs w:val="18"/>
          <w:highlight w:val="yellow"/>
        </w:rPr>
      </w:pPr>
    </w:p>
    <w:p w:rsidR="002F4A7C" w:rsidRPr="007E0CF7" w:rsidRDefault="002F4A7C" w:rsidP="00283B18">
      <w:pPr>
        <w:spacing w:line="276" w:lineRule="auto"/>
        <w:rPr>
          <w:rFonts w:ascii="Verdana" w:hAnsi="Verdana" w:cs="Verdana"/>
          <w:sz w:val="18"/>
          <w:szCs w:val="18"/>
          <w:highlight w:val="yellow"/>
        </w:rPr>
      </w:pPr>
    </w:p>
    <w:p w:rsidR="002F4A7C" w:rsidRPr="007E0CF7" w:rsidRDefault="002F4A7C" w:rsidP="00283B18">
      <w:pPr>
        <w:spacing w:line="276" w:lineRule="auto"/>
        <w:rPr>
          <w:rFonts w:ascii="Verdana" w:hAnsi="Verdana" w:cs="Verdana"/>
          <w:b/>
          <w:bCs/>
          <w:sz w:val="18"/>
          <w:szCs w:val="18"/>
        </w:rPr>
      </w:pPr>
      <w:r w:rsidRPr="007E0CF7">
        <w:rPr>
          <w:rFonts w:ascii="Verdana" w:hAnsi="Verdana"/>
          <w:b/>
          <w:sz w:val="18"/>
          <w:szCs w:val="18"/>
        </w:rPr>
        <w:t xml:space="preserve">Consolidated statement of other comprehensive income </w:t>
      </w:r>
      <w:r w:rsidRPr="007E0CF7">
        <w:rPr>
          <w:rFonts w:ascii="Verdana" w:hAnsi="Verdana"/>
          <w:b/>
          <w:sz w:val="18"/>
          <w:szCs w:val="18"/>
        </w:rPr>
        <w:tab/>
      </w:r>
      <w:r w:rsidRPr="007E0CF7">
        <w:rPr>
          <w:rFonts w:ascii="Verdana" w:hAnsi="Verdana"/>
          <w:b/>
          <w:sz w:val="18"/>
          <w:szCs w:val="18"/>
        </w:rPr>
        <w:tab/>
      </w:r>
      <w:r w:rsidRPr="007E0CF7">
        <w:rPr>
          <w:rFonts w:ascii="Verdana" w:hAnsi="Verdana"/>
          <w:b/>
          <w:sz w:val="18"/>
          <w:szCs w:val="18"/>
        </w:rPr>
        <w:tab/>
        <w:t xml:space="preserve">        </w:t>
      </w:r>
      <w:r w:rsidRPr="007E0CF7">
        <w:rPr>
          <w:rFonts w:ascii="Verdana" w:hAnsi="Verdana"/>
          <w:sz w:val="18"/>
          <w:szCs w:val="18"/>
        </w:rPr>
        <w:t>Unaudited</w:t>
      </w:r>
    </w:p>
    <w:p w:rsidR="002F4A7C" w:rsidRPr="007E0CF7" w:rsidRDefault="002F4A7C" w:rsidP="00283B18">
      <w:pPr>
        <w:spacing w:line="276" w:lineRule="auto"/>
        <w:rPr>
          <w:rFonts w:ascii="Verdana" w:hAnsi="Verdana" w:cs="Verdana"/>
          <w:b/>
          <w:bCs/>
          <w:sz w:val="18"/>
          <w:szCs w:val="18"/>
          <w:highlight w:val="yellow"/>
        </w:rPr>
      </w:pPr>
    </w:p>
    <w:tbl>
      <w:tblPr>
        <w:tblW w:w="9282" w:type="dxa"/>
        <w:tblInd w:w="-12" w:type="dxa"/>
        <w:tblLayout w:type="fixed"/>
        <w:tblCellMar>
          <w:left w:w="14" w:type="dxa"/>
          <w:right w:w="14" w:type="dxa"/>
        </w:tblCellMar>
        <w:tblLook w:val="0000"/>
      </w:tblPr>
      <w:tblGrid>
        <w:gridCol w:w="4512"/>
        <w:gridCol w:w="659"/>
        <w:gridCol w:w="2401"/>
        <w:gridCol w:w="1710"/>
      </w:tblGrid>
      <w:tr w:rsidR="002F4A7C" w:rsidRPr="007E0CF7" w:rsidTr="00774BB3">
        <w:trPr>
          <w:cantSplit/>
          <w:trHeight w:val="268"/>
        </w:trPr>
        <w:tc>
          <w:tcPr>
            <w:tcW w:w="4512" w:type="dxa"/>
            <w:tcBorders>
              <w:top w:val="single" w:sz="4" w:space="0" w:color="000000"/>
              <w:bottom w:val="single" w:sz="4" w:space="0" w:color="000000"/>
            </w:tcBorders>
          </w:tcPr>
          <w:p w:rsidR="002F4A7C" w:rsidRPr="007E0CF7" w:rsidRDefault="002F4A7C" w:rsidP="00283B18">
            <w:pPr>
              <w:pStyle w:val="TableText"/>
              <w:tabs>
                <w:tab w:val="center" w:pos="396"/>
                <w:tab w:val="right" w:pos="793"/>
              </w:tabs>
              <w:snapToGrid w:val="0"/>
              <w:spacing w:line="276" w:lineRule="auto"/>
              <w:ind w:right="79"/>
              <w:rPr>
                <w:rFonts w:ascii="Verdana" w:hAnsi="Verdana" w:cs="Verdana"/>
                <w:sz w:val="18"/>
                <w:szCs w:val="18"/>
                <w:highlight w:val="yellow"/>
              </w:rPr>
            </w:pPr>
            <w:r w:rsidRPr="007E0CF7">
              <w:rPr>
                <w:rFonts w:ascii="Verdana" w:hAnsi="Verdana"/>
                <w:sz w:val="18"/>
                <w:szCs w:val="18"/>
              </w:rPr>
              <w:t>(x EUR 1,000)</w:t>
            </w:r>
          </w:p>
        </w:tc>
        <w:tc>
          <w:tcPr>
            <w:tcW w:w="659" w:type="dxa"/>
            <w:tcBorders>
              <w:top w:val="single" w:sz="4" w:space="0" w:color="000000"/>
              <w:bottom w:val="single" w:sz="4" w:space="0" w:color="000000"/>
            </w:tcBorders>
          </w:tcPr>
          <w:p w:rsidR="002F4A7C" w:rsidRPr="007E0CF7" w:rsidRDefault="002F4A7C" w:rsidP="00283B18">
            <w:pPr>
              <w:pStyle w:val="TableText"/>
              <w:snapToGrid w:val="0"/>
              <w:spacing w:line="276" w:lineRule="auto"/>
              <w:ind w:right="79"/>
              <w:rPr>
                <w:rFonts w:ascii="Verdana" w:hAnsi="Verdana" w:cs="Verdana"/>
                <w:sz w:val="18"/>
                <w:szCs w:val="18"/>
                <w:highlight w:val="yellow"/>
              </w:rPr>
            </w:pPr>
          </w:p>
          <w:p w:rsidR="002F4A7C" w:rsidRPr="007E0CF7" w:rsidRDefault="002F4A7C" w:rsidP="00283B18">
            <w:pPr>
              <w:pStyle w:val="TableText"/>
              <w:snapToGrid w:val="0"/>
              <w:spacing w:line="276" w:lineRule="auto"/>
              <w:ind w:right="79"/>
              <w:rPr>
                <w:rFonts w:ascii="Verdana" w:hAnsi="Verdana" w:cs="Verdana"/>
                <w:sz w:val="18"/>
                <w:szCs w:val="18"/>
                <w:highlight w:val="yellow"/>
              </w:rPr>
            </w:pPr>
          </w:p>
        </w:tc>
        <w:tc>
          <w:tcPr>
            <w:tcW w:w="2401" w:type="dxa"/>
            <w:tcBorders>
              <w:top w:val="single" w:sz="4" w:space="0" w:color="000000"/>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r w:rsidRPr="007E0CF7">
              <w:rPr>
                <w:rFonts w:ascii="Verdana" w:hAnsi="Verdana"/>
                <w:sz w:val="18"/>
                <w:szCs w:val="18"/>
              </w:rPr>
              <w:t>2015</w:t>
            </w:r>
          </w:p>
        </w:tc>
        <w:tc>
          <w:tcPr>
            <w:tcW w:w="1710" w:type="dxa"/>
            <w:tcBorders>
              <w:top w:val="single" w:sz="4" w:space="0" w:color="000000"/>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r w:rsidRPr="007E0CF7">
              <w:rPr>
                <w:rFonts w:ascii="Verdana" w:hAnsi="Verdana" w:cs="Verdana"/>
                <w:sz w:val="18"/>
                <w:szCs w:val="18"/>
              </w:rPr>
              <w:t>2014</w:t>
            </w:r>
          </w:p>
        </w:tc>
      </w:tr>
      <w:tr w:rsidR="002F4A7C" w:rsidRPr="007E0CF7" w:rsidTr="00774BB3">
        <w:trPr>
          <w:cantSplit/>
          <w:trHeight w:val="268"/>
        </w:trPr>
        <w:tc>
          <w:tcPr>
            <w:tcW w:w="4512" w:type="dxa"/>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b/>
                <w:bCs/>
                <w:sz w:val="18"/>
                <w:szCs w:val="18"/>
                <w:highlight w:val="yellow"/>
              </w:rPr>
            </w:pPr>
          </w:p>
        </w:tc>
        <w:tc>
          <w:tcPr>
            <w:tcW w:w="659" w:type="dxa"/>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sz w:val="18"/>
                <w:szCs w:val="18"/>
                <w:highlight w:val="yellow"/>
              </w:rPr>
            </w:pPr>
          </w:p>
        </w:tc>
        <w:tc>
          <w:tcPr>
            <w:tcW w:w="2401" w:type="dxa"/>
            <w:tcBorders>
              <w:top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tc>
        <w:tc>
          <w:tcPr>
            <w:tcW w:w="1710" w:type="dxa"/>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tc>
      </w:tr>
      <w:tr w:rsidR="002F4A7C" w:rsidRPr="007E0CF7" w:rsidTr="00774BB3">
        <w:trPr>
          <w:cantSplit/>
          <w:trHeight w:val="268"/>
        </w:trPr>
        <w:tc>
          <w:tcPr>
            <w:tcW w:w="4512" w:type="dxa"/>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Income for the year</w:t>
            </w:r>
          </w:p>
        </w:tc>
        <w:tc>
          <w:tcPr>
            <w:tcW w:w="659" w:type="dxa"/>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401" w:type="dxa"/>
          </w:tcPr>
          <w:p w:rsidR="002F4A7C" w:rsidRPr="007E0CF7" w:rsidRDefault="00204890" w:rsidP="004F1D31">
            <w:pPr>
              <w:pStyle w:val="TableText"/>
              <w:snapToGrid w:val="0"/>
              <w:spacing w:line="276" w:lineRule="auto"/>
              <w:ind w:right="79"/>
              <w:jc w:val="right"/>
              <w:rPr>
                <w:rFonts w:ascii="Verdana" w:hAnsi="Verdana" w:cs="Verdana"/>
                <w:sz w:val="18"/>
                <w:szCs w:val="18"/>
                <w:highlight w:val="yellow"/>
              </w:rPr>
            </w:pPr>
            <w:r>
              <w:rPr>
                <w:rFonts w:ascii="Verdana" w:hAnsi="Verdana"/>
                <w:sz w:val="18"/>
                <w:szCs w:val="18"/>
              </w:rPr>
              <w:t>-1,439</w:t>
            </w:r>
          </w:p>
        </w:tc>
        <w:tc>
          <w:tcPr>
            <w:tcW w:w="1710" w:type="dxa"/>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-1,693</w:t>
            </w:r>
          </w:p>
        </w:tc>
      </w:tr>
      <w:tr w:rsidR="002F4A7C" w:rsidRPr="007E0CF7" w:rsidTr="00774BB3">
        <w:trPr>
          <w:cantSplit/>
          <w:trHeight w:val="205"/>
        </w:trPr>
        <w:tc>
          <w:tcPr>
            <w:tcW w:w="4512" w:type="dxa"/>
          </w:tcPr>
          <w:p w:rsidR="002F4A7C" w:rsidRPr="007E0CF7" w:rsidRDefault="002F4A7C" w:rsidP="00283B18">
            <w:pPr>
              <w:pStyle w:val="TableText"/>
              <w:snapToGrid w:val="0"/>
              <w:spacing w:line="276" w:lineRule="auto"/>
              <w:ind w:right="79"/>
              <w:rPr>
                <w:rFonts w:ascii="Verdana" w:hAnsi="Verdana"/>
                <w:sz w:val="18"/>
                <w:szCs w:val="18"/>
              </w:rPr>
            </w:pPr>
            <w:proofErr w:type="spellStart"/>
            <w:r w:rsidRPr="007E0CF7">
              <w:rPr>
                <w:rFonts w:ascii="Verdana" w:hAnsi="Verdana"/>
                <w:sz w:val="18"/>
                <w:szCs w:val="18"/>
              </w:rPr>
              <w:t>Remeasurement</w:t>
            </w:r>
            <w:proofErr w:type="spellEnd"/>
            <w:r w:rsidRPr="007E0CF7">
              <w:rPr>
                <w:rFonts w:ascii="Verdana" w:hAnsi="Verdana"/>
                <w:sz w:val="18"/>
                <w:szCs w:val="18"/>
              </w:rPr>
              <w:t xml:space="preserve"> of defined benefit obligations</w:t>
            </w:r>
          </w:p>
        </w:tc>
        <w:tc>
          <w:tcPr>
            <w:tcW w:w="659" w:type="dxa"/>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401" w:type="dxa"/>
          </w:tcPr>
          <w:p w:rsidR="002F4A7C" w:rsidRPr="00E52682" w:rsidRDefault="00E52682" w:rsidP="004F1D31">
            <w:pPr>
              <w:pStyle w:val="TableText"/>
              <w:snapToGrid w:val="0"/>
              <w:spacing w:line="276" w:lineRule="auto"/>
              <w:ind w:right="79"/>
              <w:jc w:val="right"/>
              <w:rPr>
                <w:rFonts w:ascii="Verdana" w:hAnsi="Verdana"/>
                <w:sz w:val="18"/>
                <w:szCs w:val="18"/>
              </w:rPr>
            </w:pPr>
            <w:r w:rsidRPr="00E52682">
              <w:rPr>
                <w:rFonts w:ascii="Verdana" w:hAnsi="Verdana"/>
                <w:sz w:val="18"/>
                <w:szCs w:val="18"/>
              </w:rPr>
              <w:t>246</w:t>
            </w:r>
          </w:p>
        </w:tc>
        <w:tc>
          <w:tcPr>
            <w:tcW w:w="1710" w:type="dxa"/>
          </w:tcPr>
          <w:p w:rsidR="002F4A7C" w:rsidRPr="007E0CF7" w:rsidRDefault="00E52682" w:rsidP="004F1D31">
            <w:pPr>
              <w:pStyle w:val="TableText"/>
              <w:snapToGrid w:val="0"/>
              <w:spacing w:line="276" w:lineRule="auto"/>
              <w:ind w:right="79"/>
              <w:jc w:val="right"/>
              <w:rPr>
                <w:rFonts w:ascii="Verdana" w:hAnsi="Verdana"/>
                <w:sz w:val="18"/>
                <w:szCs w:val="18"/>
              </w:rPr>
            </w:pPr>
            <w:r>
              <w:rPr>
                <w:rFonts w:ascii="Verdana" w:hAnsi="Verdana"/>
                <w:sz w:val="18"/>
                <w:szCs w:val="18"/>
              </w:rPr>
              <w:t>-954</w:t>
            </w:r>
          </w:p>
        </w:tc>
      </w:tr>
      <w:tr w:rsidR="002F4A7C" w:rsidRPr="007E0CF7" w:rsidTr="00774BB3">
        <w:trPr>
          <w:cantSplit/>
          <w:trHeight w:val="205"/>
        </w:trPr>
        <w:tc>
          <w:tcPr>
            <w:tcW w:w="4512" w:type="dxa"/>
          </w:tcPr>
          <w:p w:rsidR="002F4A7C" w:rsidRPr="007E0CF7" w:rsidRDefault="002F4A7C" w:rsidP="00283B18">
            <w:pPr>
              <w:pStyle w:val="TableText"/>
              <w:snapToGrid w:val="0"/>
              <w:spacing w:line="276" w:lineRule="auto"/>
              <w:ind w:right="79"/>
              <w:rPr>
                <w:rFonts w:ascii="Verdana" w:hAnsi="Verdana"/>
                <w:sz w:val="18"/>
                <w:szCs w:val="18"/>
              </w:rPr>
            </w:pPr>
            <w:r w:rsidRPr="007E0CF7">
              <w:rPr>
                <w:rFonts w:ascii="Verdana" w:hAnsi="Verdana"/>
                <w:sz w:val="18"/>
                <w:szCs w:val="18"/>
              </w:rPr>
              <w:t>Revaluation of building</w:t>
            </w:r>
          </w:p>
        </w:tc>
        <w:tc>
          <w:tcPr>
            <w:tcW w:w="659" w:type="dxa"/>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2401" w:type="dxa"/>
          </w:tcPr>
          <w:p w:rsidR="002F4A7C" w:rsidRPr="00E52682" w:rsidRDefault="00E52682" w:rsidP="004F1D31">
            <w:pPr>
              <w:pStyle w:val="TableText"/>
              <w:snapToGrid w:val="0"/>
              <w:spacing w:line="276" w:lineRule="auto"/>
              <w:ind w:right="79"/>
              <w:jc w:val="right"/>
              <w:rPr>
                <w:rFonts w:ascii="Verdana" w:hAnsi="Verdana"/>
                <w:sz w:val="18"/>
                <w:szCs w:val="18"/>
              </w:rPr>
            </w:pPr>
            <w:r w:rsidRPr="00E52682">
              <w:rPr>
                <w:rFonts w:ascii="Verdana" w:hAnsi="Verdana"/>
                <w:sz w:val="18"/>
                <w:szCs w:val="18"/>
              </w:rPr>
              <w:t>14</w:t>
            </w:r>
          </w:p>
        </w:tc>
        <w:tc>
          <w:tcPr>
            <w:tcW w:w="1710" w:type="dxa"/>
          </w:tcPr>
          <w:p w:rsidR="002F4A7C" w:rsidRPr="007E0CF7" w:rsidRDefault="00E52682" w:rsidP="004F1D31">
            <w:pPr>
              <w:pStyle w:val="TableText"/>
              <w:snapToGrid w:val="0"/>
              <w:spacing w:line="276" w:lineRule="auto"/>
              <w:ind w:right="79"/>
              <w:jc w:val="right"/>
              <w:rPr>
                <w:rFonts w:ascii="Verdana" w:hAnsi="Verdana"/>
                <w:sz w:val="18"/>
                <w:szCs w:val="18"/>
              </w:rPr>
            </w:pPr>
            <w:r>
              <w:rPr>
                <w:rFonts w:ascii="Verdana" w:hAnsi="Verdana"/>
                <w:sz w:val="18"/>
                <w:szCs w:val="18"/>
              </w:rPr>
              <w:t>191</w:t>
            </w:r>
          </w:p>
        </w:tc>
      </w:tr>
      <w:tr w:rsidR="002F4A7C" w:rsidRPr="007E0CF7" w:rsidTr="00774BB3">
        <w:trPr>
          <w:cantSplit/>
          <w:trHeight w:val="268"/>
        </w:trPr>
        <w:tc>
          <w:tcPr>
            <w:tcW w:w="4512" w:type="dxa"/>
            <w:tcBorders>
              <w:top w:val="single" w:sz="4" w:space="0" w:color="000000"/>
            </w:tcBorders>
          </w:tcPr>
          <w:p w:rsidR="002F4A7C" w:rsidRPr="007E0CF7" w:rsidRDefault="002F4A7C" w:rsidP="00283B18">
            <w:pPr>
              <w:pStyle w:val="TableText"/>
              <w:tabs>
                <w:tab w:val="center" w:pos="396"/>
                <w:tab w:val="right" w:pos="793"/>
              </w:tabs>
              <w:snapToGrid w:val="0"/>
              <w:spacing w:line="276" w:lineRule="auto"/>
              <w:ind w:right="79"/>
              <w:rPr>
                <w:rFonts w:ascii="Verdana" w:hAnsi="Verdana" w:cs="Verdana"/>
                <w:b/>
                <w:bCs/>
                <w:sz w:val="18"/>
                <w:szCs w:val="18"/>
                <w:highlight w:val="yellow"/>
              </w:rPr>
            </w:pPr>
            <w:r w:rsidRPr="007E0CF7">
              <w:rPr>
                <w:rFonts w:ascii="Verdana" w:hAnsi="Verdana"/>
                <w:b/>
                <w:sz w:val="18"/>
                <w:szCs w:val="18"/>
              </w:rPr>
              <w:t xml:space="preserve">Total comprehensive income </w:t>
            </w:r>
          </w:p>
        </w:tc>
        <w:tc>
          <w:tcPr>
            <w:tcW w:w="659" w:type="dxa"/>
            <w:tcBorders>
              <w:top w:val="single" w:sz="4" w:space="0" w:color="000000"/>
            </w:tcBorders>
          </w:tcPr>
          <w:p w:rsidR="002F4A7C" w:rsidRPr="007E0CF7" w:rsidRDefault="002F4A7C" w:rsidP="00283B18">
            <w:pPr>
              <w:pStyle w:val="TableText"/>
              <w:snapToGrid w:val="0"/>
              <w:spacing w:line="276" w:lineRule="auto"/>
              <w:rPr>
                <w:rFonts w:ascii="Verdana" w:hAnsi="Verdana" w:cs="Verdana"/>
                <w:b/>
                <w:bCs/>
                <w:sz w:val="18"/>
                <w:szCs w:val="18"/>
                <w:highlight w:val="yellow"/>
              </w:rPr>
            </w:pPr>
          </w:p>
        </w:tc>
        <w:tc>
          <w:tcPr>
            <w:tcW w:w="2401" w:type="dxa"/>
            <w:tcBorders>
              <w:top w:val="single" w:sz="4" w:space="0" w:color="000000"/>
            </w:tcBorders>
          </w:tcPr>
          <w:p w:rsidR="002F4A7C" w:rsidRPr="00E52682" w:rsidRDefault="00204890" w:rsidP="004F1D31">
            <w:pPr>
              <w:pStyle w:val="TableText"/>
              <w:snapToGrid w:val="0"/>
              <w:spacing w:line="276" w:lineRule="auto"/>
              <w:ind w:right="79"/>
              <w:jc w:val="right"/>
              <w:rPr>
                <w:rFonts w:ascii="Verdana" w:hAnsi="Verdana" w:cs="Verdana"/>
                <w:b/>
                <w:bCs/>
                <w:sz w:val="18"/>
                <w:szCs w:val="18"/>
              </w:rPr>
            </w:pPr>
            <w:r>
              <w:rPr>
                <w:rFonts w:ascii="Verdana" w:hAnsi="Verdana"/>
                <w:b/>
                <w:sz w:val="18"/>
                <w:szCs w:val="18"/>
              </w:rPr>
              <w:t>-1,179</w:t>
            </w:r>
          </w:p>
        </w:tc>
        <w:tc>
          <w:tcPr>
            <w:tcW w:w="1710" w:type="dxa"/>
            <w:tcBorders>
              <w:top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b/>
                <w:sz w:val="18"/>
                <w:szCs w:val="18"/>
              </w:rPr>
              <w:t>-2,456</w:t>
            </w:r>
          </w:p>
        </w:tc>
      </w:tr>
      <w:tr w:rsidR="002F4A7C" w:rsidRPr="007E0CF7" w:rsidTr="00774BB3">
        <w:trPr>
          <w:cantSplit/>
          <w:trHeight w:val="268"/>
        </w:trPr>
        <w:tc>
          <w:tcPr>
            <w:tcW w:w="4512" w:type="dxa"/>
          </w:tcPr>
          <w:p w:rsidR="002F4A7C" w:rsidRPr="007E0CF7" w:rsidRDefault="002F4A7C" w:rsidP="00283B18">
            <w:pPr>
              <w:pStyle w:val="TableText"/>
              <w:tabs>
                <w:tab w:val="center" w:pos="396"/>
                <w:tab w:val="right" w:pos="793"/>
              </w:tabs>
              <w:snapToGrid w:val="0"/>
              <w:spacing w:line="276" w:lineRule="auto"/>
              <w:ind w:right="79"/>
              <w:rPr>
                <w:rFonts w:ascii="Verdana" w:hAnsi="Verdana" w:cs="Verdana"/>
                <w:b/>
                <w:bCs/>
                <w:sz w:val="18"/>
                <w:szCs w:val="18"/>
                <w:highlight w:val="yellow"/>
              </w:rPr>
            </w:pPr>
          </w:p>
        </w:tc>
        <w:tc>
          <w:tcPr>
            <w:tcW w:w="659" w:type="dxa"/>
          </w:tcPr>
          <w:p w:rsidR="002F4A7C" w:rsidRPr="007E0CF7" w:rsidRDefault="002F4A7C" w:rsidP="00283B18">
            <w:pPr>
              <w:pStyle w:val="TableText"/>
              <w:snapToGrid w:val="0"/>
              <w:spacing w:line="276" w:lineRule="auto"/>
              <w:rPr>
                <w:rFonts w:ascii="Verdana" w:hAnsi="Verdana" w:cs="Verdana"/>
                <w:b/>
                <w:bCs/>
                <w:sz w:val="18"/>
                <w:szCs w:val="18"/>
                <w:highlight w:val="yellow"/>
              </w:rPr>
            </w:pPr>
          </w:p>
        </w:tc>
        <w:tc>
          <w:tcPr>
            <w:tcW w:w="2401" w:type="dxa"/>
          </w:tcPr>
          <w:p w:rsidR="002F4A7C" w:rsidRPr="007E0CF7" w:rsidRDefault="002F4A7C" w:rsidP="004F1D31">
            <w:pPr>
              <w:pStyle w:val="TableText"/>
              <w:snapToGrid w:val="0"/>
              <w:spacing w:line="276" w:lineRule="auto"/>
              <w:ind w:right="79"/>
              <w:jc w:val="right"/>
              <w:rPr>
                <w:rFonts w:ascii="Verdana" w:hAnsi="Verdana" w:cs="Verdana"/>
                <w:b/>
                <w:bCs/>
                <w:sz w:val="18"/>
                <w:szCs w:val="18"/>
                <w:highlight w:val="yellow"/>
              </w:rPr>
            </w:pPr>
          </w:p>
        </w:tc>
        <w:tc>
          <w:tcPr>
            <w:tcW w:w="1710" w:type="dxa"/>
          </w:tcPr>
          <w:p w:rsidR="002F4A7C" w:rsidRPr="007E0CF7" w:rsidRDefault="002F4A7C" w:rsidP="004F1D31">
            <w:pPr>
              <w:pStyle w:val="TableText"/>
              <w:snapToGrid w:val="0"/>
              <w:spacing w:line="276" w:lineRule="auto"/>
              <w:ind w:right="79"/>
              <w:jc w:val="right"/>
              <w:rPr>
                <w:rFonts w:ascii="Verdana" w:hAnsi="Verdana" w:cs="Verdana"/>
                <w:b/>
                <w:bCs/>
                <w:sz w:val="18"/>
                <w:szCs w:val="18"/>
                <w:highlight w:val="yellow"/>
              </w:rPr>
            </w:pPr>
          </w:p>
        </w:tc>
      </w:tr>
    </w:tbl>
    <w:p w:rsidR="002F4A7C" w:rsidRPr="007E0CF7" w:rsidRDefault="002F4A7C" w:rsidP="00283B18">
      <w:pPr>
        <w:spacing w:line="276" w:lineRule="auto"/>
        <w:rPr>
          <w:rFonts w:ascii="Verdana" w:hAnsi="Verdana"/>
          <w:sz w:val="18"/>
          <w:szCs w:val="18"/>
          <w:highlight w:val="yellow"/>
        </w:rPr>
      </w:pPr>
    </w:p>
    <w:p w:rsidR="002F4A7C" w:rsidRPr="007E0CF7" w:rsidRDefault="002F4A7C" w:rsidP="00283B18">
      <w:pPr>
        <w:spacing w:line="276" w:lineRule="auto"/>
        <w:rPr>
          <w:rFonts w:ascii="Verdana" w:hAnsi="Verdana"/>
          <w:sz w:val="18"/>
          <w:szCs w:val="18"/>
          <w:highlight w:val="yellow"/>
        </w:rPr>
      </w:pPr>
    </w:p>
    <w:p w:rsidR="002F4A7C" w:rsidRPr="007E0CF7" w:rsidRDefault="002F4A7C" w:rsidP="00283B18">
      <w:pPr>
        <w:spacing w:after="200" w:line="276" w:lineRule="auto"/>
        <w:rPr>
          <w:rFonts w:ascii="Verdana" w:hAnsi="Verdana"/>
          <w:sz w:val="18"/>
          <w:szCs w:val="18"/>
          <w:highlight w:val="yellow"/>
        </w:rPr>
      </w:pPr>
      <w:r w:rsidRPr="007E0CF7">
        <w:rPr>
          <w:sz w:val="18"/>
          <w:szCs w:val="18"/>
          <w:highlight w:val="yellow"/>
        </w:rPr>
        <w:br w:type="page"/>
      </w:r>
    </w:p>
    <w:p w:rsidR="002F4A7C" w:rsidRPr="007E0CF7" w:rsidRDefault="002F4A7C" w:rsidP="00283B18">
      <w:pPr>
        <w:autoSpaceDE w:val="0"/>
        <w:spacing w:line="276" w:lineRule="auto"/>
        <w:rPr>
          <w:rFonts w:ascii="Verdana" w:hAnsi="Verdana" w:cs="Verdana"/>
          <w:sz w:val="18"/>
          <w:szCs w:val="18"/>
        </w:rPr>
      </w:pPr>
      <w:r w:rsidRPr="007E0CF7">
        <w:rPr>
          <w:rFonts w:ascii="Verdana" w:hAnsi="Verdana"/>
          <w:b/>
          <w:sz w:val="18"/>
          <w:szCs w:val="18"/>
        </w:rPr>
        <w:lastRenderedPageBreak/>
        <w:t xml:space="preserve">Consolidated statement of financial position </w:t>
      </w:r>
      <w:r w:rsidRPr="007E0CF7">
        <w:rPr>
          <w:rFonts w:ascii="Verdana" w:hAnsi="Verdana"/>
          <w:sz w:val="18"/>
          <w:szCs w:val="18"/>
        </w:rPr>
        <w:t>(after appropriation of net result)           Unaudited</w:t>
      </w:r>
    </w:p>
    <w:p w:rsidR="002F4A7C" w:rsidRPr="007E0CF7" w:rsidRDefault="002F4A7C" w:rsidP="00283B18">
      <w:pPr>
        <w:tabs>
          <w:tab w:val="left" w:pos="4320"/>
        </w:tabs>
        <w:autoSpaceDE w:val="0"/>
        <w:spacing w:line="276" w:lineRule="auto"/>
        <w:ind w:left="-709" w:firstLine="709"/>
        <w:rPr>
          <w:color w:val="3366FF"/>
          <w:sz w:val="18"/>
          <w:szCs w:val="18"/>
          <w:highlight w:val="yellow"/>
        </w:rPr>
      </w:pPr>
    </w:p>
    <w:tbl>
      <w:tblPr>
        <w:tblW w:w="4635" w:type="pct"/>
        <w:tblLayout w:type="fixed"/>
        <w:tblCellMar>
          <w:left w:w="14" w:type="dxa"/>
          <w:right w:w="14" w:type="dxa"/>
        </w:tblCellMar>
        <w:tblLook w:val="0000"/>
      </w:tblPr>
      <w:tblGrid>
        <w:gridCol w:w="4548"/>
        <w:gridCol w:w="436"/>
        <w:gridCol w:w="2684"/>
        <w:gridCol w:w="1560"/>
      </w:tblGrid>
      <w:tr w:rsidR="002F4A7C" w:rsidRPr="007E0CF7" w:rsidTr="00774BB3">
        <w:trPr>
          <w:cantSplit/>
          <w:trHeight w:val="270"/>
        </w:trPr>
        <w:tc>
          <w:tcPr>
            <w:tcW w:w="2464" w:type="pct"/>
            <w:tcBorders>
              <w:top w:val="single" w:sz="4" w:space="0" w:color="000000"/>
              <w:bottom w:val="single" w:sz="4" w:space="0" w:color="000000"/>
            </w:tcBorders>
          </w:tcPr>
          <w:p w:rsidR="002F4A7C" w:rsidRPr="007E0CF7" w:rsidRDefault="002F4A7C" w:rsidP="00283B18">
            <w:pPr>
              <w:pStyle w:val="TableText"/>
              <w:tabs>
                <w:tab w:val="center" w:pos="396"/>
                <w:tab w:val="right" w:pos="793"/>
              </w:tabs>
              <w:snapToGrid w:val="0"/>
              <w:spacing w:line="276" w:lineRule="auto"/>
              <w:ind w:right="79"/>
              <w:rPr>
                <w:rFonts w:ascii="Verdana" w:hAnsi="Verdana" w:cs="Verdana"/>
                <w:sz w:val="18"/>
                <w:szCs w:val="18"/>
                <w:highlight w:val="yellow"/>
              </w:rPr>
            </w:pPr>
            <w:r w:rsidRPr="007E0CF7">
              <w:rPr>
                <w:rFonts w:ascii="Verdana" w:hAnsi="Verdana"/>
                <w:sz w:val="18"/>
                <w:szCs w:val="18"/>
              </w:rPr>
              <w:t>(x EUR 1,000)</w:t>
            </w:r>
          </w:p>
        </w:tc>
        <w:tc>
          <w:tcPr>
            <w:tcW w:w="236" w:type="pct"/>
            <w:tcBorders>
              <w:top w:val="single" w:sz="4" w:space="0" w:color="000000"/>
              <w:bottom w:val="single" w:sz="4" w:space="0" w:color="000000"/>
            </w:tcBorders>
          </w:tcPr>
          <w:p w:rsidR="002F4A7C" w:rsidRPr="007E0CF7" w:rsidRDefault="002F4A7C" w:rsidP="00283B18">
            <w:pPr>
              <w:pStyle w:val="TableText"/>
              <w:snapToGrid w:val="0"/>
              <w:spacing w:line="276" w:lineRule="auto"/>
              <w:ind w:right="-147"/>
              <w:rPr>
                <w:rFonts w:ascii="Verdana" w:hAnsi="Verdana" w:cs="Verdana"/>
                <w:sz w:val="18"/>
                <w:szCs w:val="18"/>
                <w:highlight w:val="yellow"/>
              </w:rPr>
            </w:pPr>
          </w:p>
        </w:tc>
        <w:tc>
          <w:tcPr>
            <w:tcW w:w="1454" w:type="pct"/>
            <w:tcBorders>
              <w:top w:val="single" w:sz="4" w:space="0" w:color="000000"/>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p>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2015</w:t>
            </w:r>
          </w:p>
        </w:tc>
        <w:tc>
          <w:tcPr>
            <w:tcW w:w="845" w:type="pct"/>
            <w:tcBorders>
              <w:top w:val="single" w:sz="4" w:space="0" w:color="000000"/>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r w:rsidRPr="007E0CF7">
              <w:rPr>
                <w:rFonts w:ascii="Verdana" w:hAnsi="Verdana" w:cs="Verdana"/>
                <w:sz w:val="18"/>
                <w:szCs w:val="18"/>
              </w:rPr>
              <w:t>2014</w:t>
            </w:r>
          </w:p>
        </w:tc>
      </w:tr>
      <w:tr w:rsidR="002F4A7C" w:rsidRPr="007E0CF7" w:rsidTr="00774BB3">
        <w:trPr>
          <w:cantSplit/>
          <w:trHeight w:val="270"/>
        </w:trPr>
        <w:tc>
          <w:tcPr>
            <w:tcW w:w="2464" w:type="pct"/>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b/>
                <w:bCs/>
                <w:color w:val="3366FF"/>
                <w:sz w:val="18"/>
                <w:szCs w:val="18"/>
                <w:highlight w:val="yellow"/>
              </w:rPr>
            </w:pPr>
          </w:p>
        </w:tc>
        <w:tc>
          <w:tcPr>
            <w:tcW w:w="236" w:type="pct"/>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ASSETS</w:t>
            </w:r>
          </w:p>
        </w:tc>
        <w:tc>
          <w:tcPr>
            <w:tcW w:w="236" w:type="pct"/>
          </w:tcPr>
          <w:p w:rsidR="002F4A7C" w:rsidRPr="007E0CF7" w:rsidRDefault="002F4A7C" w:rsidP="00283B18">
            <w:pPr>
              <w:pStyle w:val="TableText"/>
              <w:snapToGrid w:val="0"/>
              <w:spacing w:line="276" w:lineRule="auto"/>
              <w:ind w:right="79"/>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Property, plant and equipment</w:t>
            </w: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4,928</w:t>
            </w: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5,567</w:t>
            </w: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Intangible assets</w:t>
            </w: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EC588C" w:rsidP="004F1D31">
            <w:pPr>
              <w:pStyle w:val="TableText"/>
              <w:snapToGrid w:val="0"/>
              <w:spacing w:line="276" w:lineRule="auto"/>
              <w:ind w:right="79"/>
              <w:jc w:val="right"/>
              <w:rPr>
                <w:rFonts w:ascii="Verdana" w:hAnsi="Verdana" w:cs="Verdana"/>
                <w:sz w:val="18"/>
                <w:szCs w:val="18"/>
              </w:rPr>
            </w:pPr>
            <w:r>
              <w:rPr>
                <w:rFonts w:ascii="Verdana" w:hAnsi="Verdana"/>
                <w:sz w:val="18"/>
                <w:szCs w:val="18"/>
              </w:rPr>
              <w:t>2,241</w:t>
            </w: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1,741</w:t>
            </w:r>
          </w:p>
        </w:tc>
      </w:tr>
      <w:tr w:rsidR="002F4A7C" w:rsidRPr="007E0CF7" w:rsidTr="00774BB3">
        <w:trPr>
          <w:cantSplit/>
          <w:trHeight w:val="270"/>
        </w:trPr>
        <w:tc>
          <w:tcPr>
            <w:tcW w:w="2464" w:type="pct"/>
          </w:tcPr>
          <w:p w:rsidR="002F4A7C" w:rsidRPr="007E0CF7" w:rsidRDefault="002F4A7C" w:rsidP="00283B18">
            <w:pPr>
              <w:pStyle w:val="TableText"/>
              <w:tabs>
                <w:tab w:val="left" w:pos="2292"/>
              </w:tabs>
              <w:snapToGrid w:val="0"/>
              <w:spacing w:line="276" w:lineRule="auto"/>
              <w:ind w:right="79"/>
              <w:rPr>
                <w:rFonts w:ascii="Verdana" w:hAnsi="Verdana" w:cs="Verdana"/>
                <w:sz w:val="18"/>
                <w:szCs w:val="18"/>
              </w:rPr>
            </w:pPr>
            <w:r w:rsidRPr="007E0CF7">
              <w:rPr>
                <w:rFonts w:ascii="Verdana" w:hAnsi="Verdana"/>
                <w:sz w:val="18"/>
                <w:szCs w:val="18"/>
              </w:rPr>
              <w:t>Deferred tax assets</w:t>
            </w:r>
          </w:p>
        </w:tc>
        <w:tc>
          <w:tcPr>
            <w:tcW w:w="236" w:type="pct"/>
          </w:tcPr>
          <w:p w:rsidR="002F4A7C" w:rsidRPr="007E0CF7" w:rsidRDefault="002F4A7C" w:rsidP="00283B18">
            <w:pPr>
              <w:pStyle w:val="TableText"/>
              <w:tabs>
                <w:tab w:val="left" w:pos="2292"/>
              </w:tabs>
              <w:snapToGrid w:val="0"/>
              <w:spacing w:line="276" w:lineRule="auto"/>
              <w:rPr>
                <w:rFonts w:ascii="Verdana" w:hAnsi="Verdana" w:cs="Verdana"/>
                <w:sz w:val="18"/>
                <w:szCs w:val="18"/>
                <w:highlight w:val="yellow"/>
              </w:rPr>
            </w:pPr>
          </w:p>
        </w:tc>
        <w:tc>
          <w:tcPr>
            <w:tcW w:w="1454" w:type="pct"/>
          </w:tcPr>
          <w:p w:rsidR="002F4A7C" w:rsidRPr="007E0CF7" w:rsidRDefault="00EC588C" w:rsidP="004F1D31">
            <w:pPr>
              <w:pStyle w:val="TableText"/>
              <w:tabs>
                <w:tab w:val="left" w:pos="2292"/>
              </w:tabs>
              <w:snapToGrid w:val="0"/>
              <w:spacing w:line="276" w:lineRule="auto"/>
              <w:ind w:right="79"/>
              <w:jc w:val="right"/>
              <w:rPr>
                <w:rFonts w:ascii="Verdana" w:hAnsi="Verdana" w:cs="Verdana"/>
                <w:sz w:val="18"/>
                <w:szCs w:val="18"/>
              </w:rPr>
            </w:pPr>
            <w:r>
              <w:rPr>
                <w:rFonts w:ascii="Verdana" w:hAnsi="Verdana"/>
                <w:sz w:val="18"/>
                <w:szCs w:val="18"/>
              </w:rPr>
              <w:t>1,08</w:t>
            </w:r>
            <w:r w:rsidR="002F4A7C" w:rsidRPr="007E0CF7">
              <w:rPr>
                <w:rFonts w:ascii="Verdana" w:hAnsi="Verdana"/>
                <w:sz w:val="18"/>
                <w:szCs w:val="18"/>
              </w:rPr>
              <w:t>3</w:t>
            </w:r>
          </w:p>
        </w:tc>
        <w:tc>
          <w:tcPr>
            <w:tcW w:w="845" w:type="pct"/>
          </w:tcPr>
          <w:p w:rsidR="002F4A7C" w:rsidRPr="007E0CF7" w:rsidRDefault="002F4A7C" w:rsidP="004F1D31">
            <w:pPr>
              <w:pStyle w:val="TableText"/>
              <w:tabs>
                <w:tab w:val="left" w:pos="2292"/>
              </w:tabs>
              <w:snapToGrid w:val="0"/>
              <w:spacing w:line="276" w:lineRule="auto"/>
              <w:ind w:right="79"/>
              <w:jc w:val="right"/>
              <w:rPr>
                <w:rFonts w:ascii="Verdana" w:hAnsi="Verdana" w:cs="Verdana"/>
                <w:sz w:val="18"/>
                <w:szCs w:val="18"/>
              </w:rPr>
            </w:pPr>
            <w:r w:rsidRPr="007E0CF7">
              <w:rPr>
                <w:rFonts w:ascii="Verdana" w:hAnsi="Verdana"/>
                <w:sz w:val="18"/>
                <w:szCs w:val="18"/>
              </w:rPr>
              <w:t>1,079</w:t>
            </w:r>
          </w:p>
        </w:tc>
      </w:tr>
      <w:tr w:rsidR="002F4A7C" w:rsidRPr="007E0CF7" w:rsidTr="00774BB3">
        <w:trPr>
          <w:cantSplit/>
          <w:trHeight w:val="270"/>
        </w:trPr>
        <w:tc>
          <w:tcPr>
            <w:tcW w:w="2464" w:type="pct"/>
            <w:tcBorders>
              <w:bottom w:val="single" w:sz="4" w:space="0" w:color="000000"/>
            </w:tcBorders>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Financial assets</w:t>
            </w:r>
          </w:p>
        </w:tc>
        <w:tc>
          <w:tcPr>
            <w:tcW w:w="236" w:type="pct"/>
            <w:tcBorders>
              <w:bottom w:val="single" w:sz="4" w:space="0" w:color="000000"/>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Borders>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488</w:t>
            </w:r>
          </w:p>
        </w:tc>
        <w:tc>
          <w:tcPr>
            <w:tcW w:w="845" w:type="pct"/>
            <w:tcBorders>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2,982</w:t>
            </w:r>
          </w:p>
        </w:tc>
      </w:tr>
      <w:tr w:rsidR="002F4A7C" w:rsidRPr="007E0CF7" w:rsidTr="00774BB3">
        <w:trPr>
          <w:cantSplit/>
          <w:trHeight w:val="270"/>
        </w:trPr>
        <w:tc>
          <w:tcPr>
            <w:tcW w:w="2464" w:type="pct"/>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Non-current assets</w:t>
            </w:r>
          </w:p>
        </w:tc>
        <w:tc>
          <w:tcPr>
            <w:tcW w:w="236" w:type="pct"/>
            <w:tcBorders>
              <w:top w:val="single" w:sz="4" w:space="0" w:color="000000"/>
            </w:tcBorders>
          </w:tcPr>
          <w:p w:rsidR="002F4A7C" w:rsidRPr="007E0CF7" w:rsidRDefault="002F4A7C" w:rsidP="00283B18">
            <w:pPr>
              <w:pStyle w:val="TableText"/>
              <w:snapToGrid w:val="0"/>
              <w:spacing w:line="276" w:lineRule="auto"/>
              <w:rPr>
                <w:rFonts w:ascii="Verdana" w:hAnsi="Verdana" w:cs="Verdana"/>
                <w:b/>
                <w:bCs/>
                <w:sz w:val="18"/>
                <w:szCs w:val="18"/>
                <w:highlight w:val="yellow"/>
              </w:rPr>
            </w:pPr>
          </w:p>
        </w:tc>
        <w:tc>
          <w:tcPr>
            <w:tcW w:w="1454" w:type="pct"/>
            <w:tcBorders>
              <w:top w:val="single" w:sz="4" w:space="0" w:color="000000"/>
            </w:tcBorders>
          </w:tcPr>
          <w:p w:rsidR="002F4A7C" w:rsidRPr="007E0CF7" w:rsidRDefault="00EC588C" w:rsidP="004F1D31">
            <w:pPr>
              <w:pStyle w:val="TableText"/>
              <w:snapToGrid w:val="0"/>
              <w:spacing w:line="276" w:lineRule="auto"/>
              <w:ind w:right="79"/>
              <w:jc w:val="right"/>
              <w:rPr>
                <w:rFonts w:ascii="Verdana" w:hAnsi="Verdana" w:cs="Verdana"/>
                <w:b/>
                <w:bCs/>
                <w:sz w:val="18"/>
                <w:szCs w:val="18"/>
              </w:rPr>
            </w:pPr>
            <w:r>
              <w:rPr>
                <w:rFonts w:ascii="Verdana" w:hAnsi="Verdana"/>
                <w:b/>
                <w:sz w:val="18"/>
                <w:szCs w:val="18"/>
              </w:rPr>
              <w:t>8,74</w:t>
            </w:r>
            <w:r w:rsidR="002F4A7C" w:rsidRPr="007E0CF7">
              <w:rPr>
                <w:rFonts w:ascii="Verdana" w:hAnsi="Verdana"/>
                <w:b/>
                <w:sz w:val="18"/>
                <w:szCs w:val="18"/>
              </w:rPr>
              <w:t>0</w:t>
            </w:r>
          </w:p>
        </w:tc>
        <w:tc>
          <w:tcPr>
            <w:tcW w:w="845" w:type="pct"/>
            <w:tcBorders>
              <w:top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b/>
                <w:sz w:val="18"/>
                <w:szCs w:val="18"/>
              </w:rPr>
              <w:t>11,369</w:t>
            </w: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Inventories</w:t>
            </w: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315</w:t>
            </w: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344</w:t>
            </w: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Trade and other receivables</w:t>
            </w: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1,625</w:t>
            </w: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1,712</w:t>
            </w:r>
          </w:p>
        </w:tc>
      </w:tr>
      <w:tr w:rsidR="002F4A7C" w:rsidRPr="007E0CF7" w:rsidTr="00774BB3">
        <w:trPr>
          <w:cantSplit/>
          <w:trHeight w:val="270"/>
        </w:trPr>
        <w:tc>
          <w:tcPr>
            <w:tcW w:w="2464" w:type="pct"/>
            <w:tcBorders>
              <w:bottom w:val="single" w:sz="4" w:space="0" w:color="000000"/>
            </w:tcBorders>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Cash and cash equivalents</w:t>
            </w:r>
          </w:p>
        </w:tc>
        <w:tc>
          <w:tcPr>
            <w:tcW w:w="236" w:type="pct"/>
            <w:tcBorders>
              <w:bottom w:val="single" w:sz="4" w:space="0" w:color="000000"/>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Borders>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667</w:t>
            </w:r>
          </w:p>
        </w:tc>
        <w:tc>
          <w:tcPr>
            <w:tcW w:w="845" w:type="pct"/>
            <w:tcBorders>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192</w:t>
            </w:r>
          </w:p>
        </w:tc>
      </w:tr>
      <w:tr w:rsidR="002F4A7C" w:rsidRPr="007E0CF7" w:rsidTr="00774BB3">
        <w:trPr>
          <w:cantSplit/>
          <w:trHeight w:val="270"/>
        </w:trPr>
        <w:tc>
          <w:tcPr>
            <w:tcW w:w="2464" w:type="pct"/>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Current assets</w:t>
            </w:r>
          </w:p>
        </w:tc>
        <w:tc>
          <w:tcPr>
            <w:tcW w:w="236" w:type="pct"/>
            <w:tcBorders>
              <w:top w:val="single" w:sz="4" w:space="0" w:color="000000"/>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Borders>
              <w:top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b/>
                <w:sz w:val="18"/>
                <w:szCs w:val="18"/>
              </w:rPr>
              <w:t>2,607</w:t>
            </w:r>
          </w:p>
        </w:tc>
        <w:tc>
          <w:tcPr>
            <w:tcW w:w="845" w:type="pct"/>
            <w:tcBorders>
              <w:top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b/>
                <w:sz w:val="18"/>
                <w:szCs w:val="18"/>
              </w:rPr>
              <w:t>2,248</w:t>
            </w:r>
          </w:p>
        </w:tc>
      </w:tr>
      <w:tr w:rsidR="002F4A7C" w:rsidRPr="007E0CF7" w:rsidTr="00774BB3">
        <w:trPr>
          <w:cantSplit/>
          <w:trHeight w:val="270"/>
        </w:trPr>
        <w:tc>
          <w:tcPr>
            <w:tcW w:w="2464" w:type="pct"/>
            <w:tcBorders>
              <w:bottom w:val="single" w:sz="4" w:space="0" w:color="000000"/>
            </w:tcBorders>
          </w:tcPr>
          <w:p w:rsidR="002F4A7C" w:rsidRPr="007E0CF7" w:rsidRDefault="002F4A7C" w:rsidP="00283B18">
            <w:pPr>
              <w:pStyle w:val="TableText"/>
              <w:snapToGrid w:val="0"/>
              <w:spacing w:line="276" w:lineRule="auto"/>
              <w:ind w:right="79"/>
              <w:rPr>
                <w:rFonts w:ascii="Verdana" w:hAnsi="Verdana" w:cs="Verdana"/>
                <w:b/>
                <w:bCs/>
                <w:sz w:val="18"/>
                <w:szCs w:val="18"/>
              </w:rPr>
            </w:pPr>
          </w:p>
        </w:tc>
        <w:tc>
          <w:tcPr>
            <w:tcW w:w="236" w:type="pct"/>
            <w:tcBorders>
              <w:bottom w:val="single" w:sz="4" w:space="0" w:color="000000"/>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Borders>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p>
        </w:tc>
        <w:tc>
          <w:tcPr>
            <w:tcW w:w="845" w:type="pct"/>
            <w:tcBorders>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p>
        </w:tc>
      </w:tr>
      <w:tr w:rsidR="002F4A7C" w:rsidRPr="007E0CF7" w:rsidTr="00774BB3">
        <w:trPr>
          <w:cantSplit/>
          <w:trHeight w:val="270"/>
        </w:trPr>
        <w:tc>
          <w:tcPr>
            <w:tcW w:w="2464" w:type="pct"/>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TOTAL ASSETS</w:t>
            </w:r>
          </w:p>
        </w:tc>
        <w:tc>
          <w:tcPr>
            <w:tcW w:w="236" w:type="pct"/>
            <w:tcBorders>
              <w:top w:val="single" w:sz="4" w:space="0" w:color="000000"/>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Borders>
              <w:top w:val="single" w:sz="4" w:space="0" w:color="000000"/>
            </w:tcBorders>
          </w:tcPr>
          <w:p w:rsidR="002F4A7C" w:rsidRPr="007E0CF7" w:rsidRDefault="00EC588C" w:rsidP="004F1D31">
            <w:pPr>
              <w:pStyle w:val="TableText"/>
              <w:snapToGrid w:val="0"/>
              <w:spacing w:line="276" w:lineRule="auto"/>
              <w:ind w:right="79"/>
              <w:jc w:val="right"/>
              <w:rPr>
                <w:rFonts w:ascii="Verdana" w:hAnsi="Verdana" w:cs="Verdana"/>
                <w:b/>
                <w:bCs/>
                <w:sz w:val="18"/>
                <w:szCs w:val="18"/>
              </w:rPr>
            </w:pPr>
            <w:r>
              <w:rPr>
                <w:rFonts w:ascii="Verdana" w:hAnsi="Verdana"/>
                <w:b/>
                <w:sz w:val="18"/>
                <w:szCs w:val="18"/>
              </w:rPr>
              <w:t>11,34</w:t>
            </w:r>
            <w:r w:rsidR="002F4A7C" w:rsidRPr="007E0CF7">
              <w:rPr>
                <w:rFonts w:ascii="Verdana" w:hAnsi="Verdana"/>
                <w:b/>
                <w:sz w:val="18"/>
                <w:szCs w:val="18"/>
              </w:rPr>
              <w:t>7</w:t>
            </w:r>
          </w:p>
        </w:tc>
        <w:tc>
          <w:tcPr>
            <w:tcW w:w="845" w:type="pct"/>
            <w:tcBorders>
              <w:top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b/>
                <w:sz w:val="18"/>
                <w:szCs w:val="18"/>
              </w:rPr>
              <w:t>13,617</w:t>
            </w: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b/>
                <w:bCs/>
                <w:color w:val="3366FF"/>
                <w:sz w:val="18"/>
                <w:szCs w:val="18"/>
              </w:rPr>
            </w:pP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b/>
                <w:bCs/>
                <w:sz w:val="18"/>
                <w:szCs w:val="18"/>
              </w:rPr>
            </w:pPr>
          </w:p>
          <w:p w:rsidR="002F4A7C" w:rsidRPr="007E0CF7" w:rsidRDefault="002F4A7C" w:rsidP="00283B18">
            <w:pPr>
              <w:pStyle w:val="TableText"/>
              <w:spacing w:line="276" w:lineRule="auto"/>
              <w:ind w:right="79"/>
              <w:rPr>
                <w:rFonts w:ascii="Verdana" w:hAnsi="Verdana" w:cs="Verdana"/>
                <w:b/>
                <w:bCs/>
                <w:sz w:val="18"/>
                <w:szCs w:val="18"/>
              </w:rPr>
            </w:pPr>
            <w:r w:rsidRPr="007E0CF7">
              <w:rPr>
                <w:rFonts w:ascii="Verdana" w:hAnsi="Verdana"/>
                <w:b/>
                <w:sz w:val="18"/>
                <w:szCs w:val="18"/>
              </w:rPr>
              <w:t>EQUITY AND LIABILITIES</w:t>
            </w: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 xml:space="preserve">Share capital </w:t>
            </w: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5,985</w:t>
            </w: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4,788</w:t>
            </w: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Share premium</w:t>
            </w: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18,979</w:t>
            </w: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18,084</w:t>
            </w:r>
          </w:p>
        </w:tc>
      </w:tr>
      <w:tr w:rsidR="002F4A7C" w:rsidRPr="007E0CF7" w:rsidTr="00774BB3">
        <w:trPr>
          <w:cantSplit/>
          <w:trHeight w:val="270"/>
        </w:trPr>
        <w:tc>
          <w:tcPr>
            <w:tcW w:w="2464" w:type="pct"/>
          </w:tcPr>
          <w:p w:rsidR="002F4A7C" w:rsidRPr="007E0CF7" w:rsidRDefault="001A747C" w:rsidP="00283B18">
            <w:pPr>
              <w:pStyle w:val="TableText"/>
              <w:tabs>
                <w:tab w:val="center" w:pos="396"/>
                <w:tab w:val="right" w:pos="793"/>
              </w:tabs>
              <w:snapToGrid w:val="0"/>
              <w:spacing w:line="276" w:lineRule="auto"/>
              <w:ind w:right="79"/>
              <w:rPr>
                <w:rFonts w:ascii="Verdana" w:hAnsi="Verdana" w:cs="Verdana"/>
                <w:sz w:val="18"/>
                <w:szCs w:val="18"/>
              </w:rPr>
            </w:pPr>
            <w:r w:rsidRPr="007E0CF7">
              <w:rPr>
                <w:rFonts w:ascii="Verdana" w:hAnsi="Verdana"/>
                <w:sz w:val="18"/>
                <w:szCs w:val="18"/>
              </w:rPr>
              <w:t>Other r</w:t>
            </w:r>
            <w:r w:rsidR="002F4A7C" w:rsidRPr="007E0CF7">
              <w:rPr>
                <w:rFonts w:ascii="Verdana" w:hAnsi="Verdana"/>
                <w:sz w:val="18"/>
                <w:szCs w:val="18"/>
              </w:rPr>
              <w:t>eserves</w:t>
            </w: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1A74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w:t>
            </w:r>
            <w:r w:rsidR="002F4A7C" w:rsidRPr="007E0CF7">
              <w:rPr>
                <w:rFonts w:ascii="Verdana" w:hAnsi="Verdana"/>
                <w:sz w:val="18"/>
                <w:szCs w:val="18"/>
              </w:rPr>
              <w:t>2</w:t>
            </w:r>
            <w:r w:rsidR="00EC588C">
              <w:rPr>
                <w:rFonts w:ascii="Verdana" w:hAnsi="Verdana"/>
                <w:sz w:val="18"/>
                <w:szCs w:val="18"/>
              </w:rPr>
              <w:t>0,31</w:t>
            </w:r>
            <w:r w:rsidRPr="007E0CF7">
              <w:rPr>
                <w:rFonts w:ascii="Verdana" w:hAnsi="Verdana"/>
                <w:sz w:val="18"/>
                <w:szCs w:val="18"/>
              </w:rPr>
              <w:t>4</w:t>
            </w:r>
          </w:p>
        </w:tc>
        <w:tc>
          <w:tcPr>
            <w:tcW w:w="845" w:type="pct"/>
          </w:tcPr>
          <w:p w:rsidR="002F4A7C" w:rsidRPr="007E0CF7" w:rsidRDefault="001A74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-19,166</w:t>
            </w:r>
          </w:p>
        </w:tc>
      </w:tr>
      <w:tr w:rsidR="002F4A7C" w:rsidRPr="007E0CF7" w:rsidTr="00774BB3">
        <w:trPr>
          <w:cantSplit/>
          <w:trHeight w:val="270"/>
        </w:trPr>
        <w:tc>
          <w:tcPr>
            <w:tcW w:w="2464" w:type="pct"/>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 xml:space="preserve">Equity, attributable to shareholders </w:t>
            </w:r>
          </w:p>
        </w:tc>
        <w:tc>
          <w:tcPr>
            <w:tcW w:w="236" w:type="pct"/>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sz w:val="18"/>
                <w:szCs w:val="18"/>
                <w:highlight w:val="yellow"/>
              </w:rPr>
            </w:pPr>
          </w:p>
        </w:tc>
        <w:tc>
          <w:tcPr>
            <w:tcW w:w="1454" w:type="pct"/>
            <w:tcBorders>
              <w:top w:val="single" w:sz="4" w:space="0" w:color="000000"/>
            </w:tcBorders>
          </w:tcPr>
          <w:p w:rsidR="002F4A7C" w:rsidRPr="007E0CF7" w:rsidRDefault="00EC588C" w:rsidP="004F1D31">
            <w:pPr>
              <w:pStyle w:val="TableText"/>
              <w:snapToGrid w:val="0"/>
              <w:spacing w:line="276" w:lineRule="auto"/>
              <w:ind w:right="79"/>
              <w:jc w:val="right"/>
              <w:rPr>
                <w:rFonts w:ascii="Verdana" w:hAnsi="Verdana" w:cs="Verdana"/>
                <w:b/>
                <w:bCs/>
                <w:sz w:val="18"/>
                <w:szCs w:val="18"/>
              </w:rPr>
            </w:pPr>
            <w:r>
              <w:rPr>
                <w:rFonts w:ascii="Verdana" w:hAnsi="Verdana" w:cs="Verdana"/>
                <w:b/>
                <w:bCs/>
                <w:sz w:val="18"/>
                <w:szCs w:val="18"/>
              </w:rPr>
              <w:t>4,65</w:t>
            </w:r>
            <w:r w:rsidR="002F4A7C" w:rsidRPr="007E0CF7">
              <w:rPr>
                <w:rFonts w:ascii="Verdana" w:hAnsi="Verdana" w:cs="Verdana"/>
                <w:b/>
                <w:bCs/>
                <w:sz w:val="18"/>
                <w:szCs w:val="18"/>
              </w:rPr>
              <w:t>0</w:t>
            </w:r>
          </w:p>
        </w:tc>
        <w:tc>
          <w:tcPr>
            <w:tcW w:w="845" w:type="pct"/>
            <w:tcBorders>
              <w:top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cs="Verdana"/>
                <w:b/>
                <w:bCs/>
                <w:sz w:val="18"/>
                <w:szCs w:val="18"/>
              </w:rPr>
              <w:t xml:space="preserve">              3,706</w:t>
            </w: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Loans and borrowings</w:t>
            </w: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FC581C" w:rsidRDefault="00FC581C" w:rsidP="004F1D31">
            <w:pPr>
              <w:pStyle w:val="TableText"/>
              <w:snapToGrid w:val="0"/>
              <w:spacing w:line="276" w:lineRule="auto"/>
              <w:ind w:right="79"/>
              <w:jc w:val="right"/>
              <w:rPr>
                <w:rFonts w:ascii="Verdana" w:hAnsi="Verdana" w:cs="Verdana"/>
                <w:sz w:val="18"/>
                <w:szCs w:val="18"/>
              </w:rPr>
            </w:pPr>
            <w:r w:rsidRPr="00FC581C">
              <w:rPr>
                <w:rFonts w:ascii="Verdana" w:hAnsi="Verdana" w:cs="Verdana"/>
                <w:sz w:val="18"/>
                <w:szCs w:val="18"/>
              </w:rPr>
              <w:t>2,264</w:t>
            </w: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2,306</w:t>
            </w:r>
          </w:p>
        </w:tc>
      </w:tr>
      <w:tr w:rsidR="002F4A7C" w:rsidRPr="007E0CF7" w:rsidTr="00774BB3">
        <w:trPr>
          <w:cantSplit/>
          <w:trHeight w:val="270"/>
        </w:trPr>
        <w:tc>
          <w:tcPr>
            <w:tcW w:w="2464" w:type="pct"/>
            <w:tcBorders>
              <w:bottom w:val="single" w:sz="4" w:space="0" w:color="000000"/>
            </w:tcBorders>
          </w:tcPr>
          <w:p w:rsidR="002F4A7C" w:rsidRPr="007E0CF7" w:rsidRDefault="002F4A7C" w:rsidP="00283B18">
            <w:pPr>
              <w:pStyle w:val="TableText"/>
              <w:tabs>
                <w:tab w:val="center" w:pos="396"/>
                <w:tab w:val="right" w:pos="793"/>
              </w:tabs>
              <w:snapToGrid w:val="0"/>
              <w:spacing w:line="276" w:lineRule="auto"/>
              <w:ind w:right="79"/>
              <w:rPr>
                <w:rFonts w:ascii="Verdana" w:hAnsi="Verdana" w:cs="Verdana"/>
                <w:sz w:val="18"/>
                <w:szCs w:val="18"/>
              </w:rPr>
            </w:pPr>
            <w:r w:rsidRPr="007E0CF7">
              <w:rPr>
                <w:rFonts w:ascii="Verdana" w:hAnsi="Verdana"/>
                <w:sz w:val="18"/>
                <w:szCs w:val="18"/>
              </w:rPr>
              <w:t>Retirement benefit obligation</w:t>
            </w:r>
          </w:p>
        </w:tc>
        <w:tc>
          <w:tcPr>
            <w:tcW w:w="236" w:type="pct"/>
            <w:tcBorders>
              <w:bottom w:val="single" w:sz="4" w:space="0" w:color="000000"/>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Borders>
              <w:bottom w:val="single" w:sz="4" w:space="0" w:color="000000"/>
            </w:tcBorders>
          </w:tcPr>
          <w:p w:rsidR="002F4A7C" w:rsidRPr="00FC581C" w:rsidRDefault="002F4A7C" w:rsidP="004F1D31">
            <w:pPr>
              <w:pStyle w:val="TableText"/>
              <w:snapToGrid w:val="0"/>
              <w:spacing w:line="276" w:lineRule="auto"/>
              <w:ind w:right="79"/>
              <w:jc w:val="right"/>
              <w:rPr>
                <w:rFonts w:ascii="Verdana" w:hAnsi="Verdana" w:cs="Verdana"/>
                <w:sz w:val="18"/>
                <w:szCs w:val="18"/>
              </w:rPr>
            </w:pPr>
            <w:r w:rsidRPr="00FC581C">
              <w:rPr>
                <w:rFonts w:ascii="Verdana" w:hAnsi="Verdana"/>
                <w:sz w:val="18"/>
                <w:szCs w:val="18"/>
              </w:rPr>
              <w:t>2,349</w:t>
            </w:r>
          </w:p>
        </w:tc>
        <w:tc>
          <w:tcPr>
            <w:tcW w:w="845" w:type="pct"/>
            <w:tcBorders>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5,232</w:t>
            </w:r>
          </w:p>
        </w:tc>
      </w:tr>
      <w:tr w:rsidR="002F4A7C" w:rsidRPr="007E0CF7" w:rsidTr="00774BB3">
        <w:trPr>
          <w:cantSplit/>
          <w:trHeight w:val="270"/>
        </w:trPr>
        <w:tc>
          <w:tcPr>
            <w:tcW w:w="2464" w:type="pct"/>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Non-current liabilities</w:t>
            </w:r>
          </w:p>
        </w:tc>
        <w:tc>
          <w:tcPr>
            <w:tcW w:w="236" w:type="pct"/>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sz w:val="18"/>
                <w:szCs w:val="18"/>
                <w:highlight w:val="yellow"/>
              </w:rPr>
            </w:pPr>
          </w:p>
        </w:tc>
        <w:tc>
          <w:tcPr>
            <w:tcW w:w="1454" w:type="pct"/>
            <w:tcBorders>
              <w:top w:val="single" w:sz="4" w:space="0" w:color="000000"/>
            </w:tcBorders>
          </w:tcPr>
          <w:p w:rsidR="002F4A7C" w:rsidRPr="00FC581C" w:rsidRDefault="00FC581C" w:rsidP="004F1D31">
            <w:pPr>
              <w:pStyle w:val="TableText"/>
              <w:snapToGrid w:val="0"/>
              <w:spacing w:line="276" w:lineRule="auto"/>
              <w:ind w:right="79"/>
              <w:jc w:val="right"/>
              <w:rPr>
                <w:rFonts w:ascii="Verdana" w:hAnsi="Verdana" w:cs="Verdana"/>
                <w:b/>
                <w:bCs/>
                <w:sz w:val="18"/>
                <w:szCs w:val="18"/>
              </w:rPr>
            </w:pPr>
            <w:r w:rsidRPr="00FC581C">
              <w:rPr>
                <w:rFonts w:ascii="Verdana" w:hAnsi="Verdana"/>
                <w:b/>
                <w:sz w:val="18"/>
                <w:szCs w:val="18"/>
              </w:rPr>
              <w:t>4,613</w:t>
            </w:r>
          </w:p>
        </w:tc>
        <w:tc>
          <w:tcPr>
            <w:tcW w:w="845" w:type="pct"/>
            <w:tcBorders>
              <w:top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b/>
                <w:sz w:val="18"/>
                <w:szCs w:val="18"/>
              </w:rPr>
              <w:t>7,538</w:t>
            </w:r>
          </w:p>
        </w:tc>
      </w:tr>
      <w:tr w:rsidR="002F4A7C" w:rsidRPr="007E0CF7" w:rsidTr="00774BB3">
        <w:trPr>
          <w:cantSplit/>
          <w:trHeight w:val="270"/>
        </w:trPr>
        <w:tc>
          <w:tcPr>
            <w:tcW w:w="2464" w:type="pct"/>
          </w:tcPr>
          <w:p w:rsidR="002F4A7C" w:rsidRPr="007E0CF7" w:rsidRDefault="002F4A7C" w:rsidP="00283B18">
            <w:pPr>
              <w:pStyle w:val="TableText"/>
              <w:tabs>
                <w:tab w:val="center" w:pos="396"/>
                <w:tab w:val="right" w:pos="793"/>
              </w:tabs>
              <w:snapToGrid w:val="0"/>
              <w:spacing w:line="276" w:lineRule="auto"/>
              <w:ind w:right="79"/>
              <w:rPr>
                <w:rFonts w:ascii="Verdana" w:hAnsi="Verdana" w:cs="Verdana"/>
                <w:sz w:val="18"/>
                <w:szCs w:val="18"/>
              </w:rPr>
            </w:pP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highlight w:val="yellow"/>
              </w:rPr>
            </w:pP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Loans and borrowings</w:t>
            </w: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FC581C" w:rsidP="004F1D31">
            <w:pPr>
              <w:pStyle w:val="TableText"/>
              <w:snapToGrid w:val="0"/>
              <w:spacing w:line="276" w:lineRule="auto"/>
              <w:ind w:right="79"/>
              <w:jc w:val="right"/>
              <w:rPr>
                <w:rFonts w:ascii="Verdana" w:hAnsi="Verdana" w:cs="Verdana"/>
                <w:sz w:val="18"/>
                <w:szCs w:val="18"/>
              </w:rPr>
            </w:pPr>
            <w:r>
              <w:rPr>
                <w:rFonts w:ascii="Verdana" w:hAnsi="Verdana"/>
                <w:sz w:val="18"/>
                <w:szCs w:val="18"/>
              </w:rPr>
              <w:t>38</w:t>
            </w: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45</w:t>
            </w:r>
          </w:p>
        </w:tc>
      </w:tr>
      <w:tr w:rsidR="002F4A7C" w:rsidRPr="007E0CF7" w:rsidTr="00774BB3">
        <w:trPr>
          <w:cantSplit/>
          <w:trHeight w:val="270"/>
        </w:trPr>
        <w:tc>
          <w:tcPr>
            <w:tcW w:w="2464" w:type="pct"/>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Trade and other payables</w:t>
            </w:r>
          </w:p>
        </w:tc>
        <w:tc>
          <w:tcPr>
            <w:tcW w:w="236" w:type="pct"/>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cs="Verdana"/>
                <w:sz w:val="18"/>
                <w:szCs w:val="18"/>
              </w:rPr>
              <w:t>1,986</w:t>
            </w:r>
          </w:p>
        </w:tc>
        <w:tc>
          <w:tcPr>
            <w:tcW w:w="845" w:type="pct"/>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2,270</w:t>
            </w:r>
          </w:p>
        </w:tc>
      </w:tr>
      <w:tr w:rsidR="002F4A7C" w:rsidRPr="007E0CF7" w:rsidTr="00774BB3">
        <w:trPr>
          <w:cantSplit/>
          <w:trHeight w:val="270"/>
        </w:trPr>
        <w:tc>
          <w:tcPr>
            <w:tcW w:w="2464" w:type="pct"/>
            <w:tcBorders>
              <w:bottom w:val="single" w:sz="4" w:space="0" w:color="000000"/>
            </w:tcBorders>
          </w:tcPr>
          <w:p w:rsidR="002F4A7C" w:rsidRPr="007E0CF7" w:rsidRDefault="002F4A7C" w:rsidP="00283B18">
            <w:pPr>
              <w:pStyle w:val="TableText"/>
              <w:snapToGrid w:val="0"/>
              <w:spacing w:line="276" w:lineRule="auto"/>
              <w:ind w:right="79"/>
              <w:rPr>
                <w:rFonts w:ascii="Verdana" w:hAnsi="Verdana" w:cs="Verdana"/>
                <w:sz w:val="18"/>
                <w:szCs w:val="18"/>
              </w:rPr>
            </w:pPr>
            <w:r w:rsidRPr="007E0CF7">
              <w:rPr>
                <w:rFonts w:ascii="Verdana" w:hAnsi="Verdana"/>
                <w:sz w:val="18"/>
                <w:szCs w:val="18"/>
              </w:rPr>
              <w:t>Current tax liabilities</w:t>
            </w:r>
          </w:p>
        </w:tc>
        <w:tc>
          <w:tcPr>
            <w:tcW w:w="236" w:type="pct"/>
            <w:tcBorders>
              <w:bottom w:val="single" w:sz="4" w:space="0" w:color="000000"/>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Borders>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60</w:t>
            </w:r>
          </w:p>
        </w:tc>
        <w:tc>
          <w:tcPr>
            <w:tcW w:w="845" w:type="pct"/>
            <w:tcBorders>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sz w:val="18"/>
                <w:szCs w:val="18"/>
              </w:rPr>
            </w:pPr>
            <w:r w:rsidRPr="007E0CF7">
              <w:rPr>
                <w:rFonts w:ascii="Verdana" w:hAnsi="Verdana"/>
                <w:sz w:val="18"/>
                <w:szCs w:val="18"/>
              </w:rPr>
              <w:t>58</w:t>
            </w:r>
          </w:p>
        </w:tc>
      </w:tr>
      <w:tr w:rsidR="002F4A7C" w:rsidRPr="007E0CF7" w:rsidTr="00774BB3">
        <w:trPr>
          <w:cantSplit/>
          <w:trHeight w:val="270"/>
        </w:trPr>
        <w:tc>
          <w:tcPr>
            <w:tcW w:w="2464" w:type="pct"/>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Current liabilities</w:t>
            </w:r>
          </w:p>
        </w:tc>
        <w:tc>
          <w:tcPr>
            <w:tcW w:w="236" w:type="pct"/>
            <w:tcBorders>
              <w:top w:val="single" w:sz="4" w:space="0" w:color="000000"/>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Borders>
              <w:top w:val="single" w:sz="4" w:space="0" w:color="000000"/>
            </w:tcBorders>
          </w:tcPr>
          <w:p w:rsidR="002F4A7C" w:rsidRPr="007E0CF7" w:rsidRDefault="00FC581C" w:rsidP="004F1D31">
            <w:pPr>
              <w:pStyle w:val="TableText"/>
              <w:snapToGrid w:val="0"/>
              <w:spacing w:line="276" w:lineRule="auto"/>
              <w:ind w:right="79"/>
              <w:jc w:val="right"/>
              <w:rPr>
                <w:rFonts w:ascii="Verdana" w:hAnsi="Verdana" w:cs="Verdana"/>
                <w:b/>
                <w:bCs/>
                <w:sz w:val="18"/>
                <w:szCs w:val="18"/>
              </w:rPr>
            </w:pPr>
            <w:r>
              <w:rPr>
                <w:rFonts w:ascii="Verdana" w:hAnsi="Verdana" w:cs="Verdana"/>
                <w:b/>
                <w:bCs/>
                <w:sz w:val="18"/>
                <w:szCs w:val="18"/>
              </w:rPr>
              <w:t>2,084</w:t>
            </w:r>
          </w:p>
        </w:tc>
        <w:tc>
          <w:tcPr>
            <w:tcW w:w="845" w:type="pct"/>
            <w:tcBorders>
              <w:top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r w:rsidRPr="007E0CF7">
              <w:rPr>
                <w:rFonts w:ascii="Verdana" w:hAnsi="Verdana" w:cs="Verdana"/>
                <w:b/>
                <w:bCs/>
                <w:sz w:val="18"/>
                <w:szCs w:val="18"/>
              </w:rPr>
              <w:t xml:space="preserve">              2,373</w:t>
            </w:r>
          </w:p>
        </w:tc>
      </w:tr>
      <w:tr w:rsidR="002F4A7C" w:rsidRPr="007E0CF7" w:rsidTr="00774BB3">
        <w:trPr>
          <w:cantSplit/>
          <w:trHeight w:val="270"/>
        </w:trPr>
        <w:tc>
          <w:tcPr>
            <w:tcW w:w="2464" w:type="pct"/>
            <w:tcBorders>
              <w:bottom w:val="single" w:sz="4" w:space="0" w:color="000000"/>
            </w:tcBorders>
          </w:tcPr>
          <w:p w:rsidR="002F4A7C" w:rsidRPr="007E0CF7" w:rsidRDefault="002F4A7C" w:rsidP="00283B18">
            <w:pPr>
              <w:pStyle w:val="TableText"/>
              <w:snapToGrid w:val="0"/>
              <w:spacing w:line="276" w:lineRule="auto"/>
              <w:ind w:right="79"/>
              <w:rPr>
                <w:rFonts w:ascii="Verdana" w:hAnsi="Verdana" w:cs="Verdana"/>
                <w:b/>
                <w:bCs/>
                <w:sz w:val="18"/>
                <w:szCs w:val="18"/>
              </w:rPr>
            </w:pPr>
          </w:p>
        </w:tc>
        <w:tc>
          <w:tcPr>
            <w:tcW w:w="236" w:type="pct"/>
            <w:tcBorders>
              <w:bottom w:val="single" w:sz="4" w:space="0" w:color="000000"/>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Borders>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rPr>
            </w:pPr>
          </w:p>
        </w:tc>
        <w:tc>
          <w:tcPr>
            <w:tcW w:w="845" w:type="pct"/>
            <w:tcBorders>
              <w:bottom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highlight w:val="yellow"/>
              </w:rPr>
            </w:pPr>
          </w:p>
        </w:tc>
      </w:tr>
      <w:tr w:rsidR="002F4A7C" w:rsidRPr="007E0CF7" w:rsidTr="00774BB3">
        <w:trPr>
          <w:cantSplit/>
          <w:trHeight w:val="270"/>
        </w:trPr>
        <w:tc>
          <w:tcPr>
            <w:tcW w:w="2464" w:type="pct"/>
            <w:tcBorders>
              <w:top w:val="single" w:sz="4" w:space="0" w:color="000000"/>
            </w:tcBorders>
          </w:tcPr>
          <w:p w:rsidR="002F4A7C" w:rsidRPr="007E0CF7" w:rsidRDefault="002F4A7C" w:rsidP="00283B18">
            <w:pPr>
              <w:pStyle w:val="TableText"/>
              <w:snapToGrid w:val="0"/>
              <w:spacing w:line="276" w:lineRule="auto"/>
              <w:ind w:right="79"/>
              <w:rPr>
                <w:rFonts w:ascii="Verdana" w:hAnsi="Verdana" w:cs="Verdana"/>
                <w:b/>
                <w:bCs/>
                <w:sz w:val="18"/>
                <w:szCs w:val="18"/>
              </w:rPr>
            </w:pPr>
            <w:r w:rsidRPr="007E0CF7">
              <w:rPr>
                <w:rFonts w:ascii="Verdana" w:hAnsi="Verdana"/>
                <w:b/>
                <w:sz w:val="18"/>
                <w:szCs w:val="18"/>
              </w:rPr>
              <w:t xml:space="preserve">TOTAL EQUITY AND LIABILITIES </w:t>
            </w:r>
          </w:p>
        </w:tc>
        <w:tc>
          <w:tcPr>
            <w:tcW w:w="236" w:type="pct"/>
            <w:tcBorders>
              <w:top w:val="single" w:sz="4" w:space="0" w:color="000000"/>
            </w:tcBorders>
          </w:tcPr>
          <w:p w:rsidR="002F4A7C" w:rsidRPr="007E0CF7" w:rsidRDefault="002F4A7C" w:rsidP="00283B18">
            <w:pPr>
              <w:pStyle w:val="TableText"/>
              <w:snapToGrid w:val="0"/>
              <w:spacing w:line="276" w:lineRule="auto"/>
              <w:rPr>
                <w:rFonts w:ascii="Verdana" w:hAnsi="Verdana" w:cs="Verdana"/>
                <w:sz w:val="18"/>
                <w:szCs w:val="18"/>
                <w:highlight w:val="yellow"/>
              </w:rPr>
            </w:pPr>
          </w:p>
        </w:tc>
        <w:tc>
          <w:tcPr>
            <w:tcW w:w="1454" w:type="pct"/>
            <w:tcBorders>
              <w:top w:val="single" w:sz="4" w:space="0" w:color="000000"/>
            </w:tcBorders>
          </w:tcPr>
          <w:p w:rsidR="002F4A7C" w:rsidRPr="007E0CF7" w:rsidRDefault="00EC588C" w:rsidP="004F1D31">
            <w:pPr>
              <w:pStyle w:val="TableText"/>
              <w:snapToGrid w:val="0"/>
              <w:spacing w:line="276" w:lineRule="auto"/>
              <w:ind w:right="79"/>
              <w:jc w:val="right"/>
              <w:rPr>
                <w:rFonts w:ascii="Verdana" w:hAnsi="Verdana" w:cs="Verdana"/>
                <w:b/>
                <w:bCs/>
                <w:sz w:val="18"/>
                <w:szCs w:val="18"/>
              </w:rPr>
            </w:pPr>
            <w:r>
              <w:rPr>
                <w:rFonts w:ascii="Verdana" w:hAnsi="Verdana"/>
                <w:b/>
                <w:sz w:val="18"/>
                <w:szCs w:val="18"/>
              </w:rPr>
              <w:t>11,34</w:t>
            </w:r>
            <w:r w:rsidR="002F4A7C" w:rsidRPr="007E0CF7">
              <w:rPr>
                <w:rFonts w:ascii="Verdana" w:hAnsi="Verdana"/>
                <w:b/>
                <w:sz w:val="18"/>
                <w:szCs w:val="18"/>
              </w:rPr>
              <w:t>7</w:t>
            </w:r>
          </w:p>
        </w:tc>
        <w:tc>
          <w:tcPr>
            <w:tcW w:w="845" w:type="pct"/>
            <w:tcBorders>
              <w:top w:val="single" w:sz="4" w:space="0" w:color="000000"/>
            </w:tcBorders>
          </w:tcPr>
          <w:p w:rsidR="002F4A7C" w:rsidRPr="007E0CF7" w:rsidRDefault="002F4A7C" w:rsidP="004F1D31">
            <w:pPr>
              <w:pStyle w:val="TableText"/>
              <w:snapToGrid w:val="0"/>
              <w:spacing w:line="276" w:lineRule="auto"/>
              <w:ind w:right="79"/>
              <w:jc w:val="right"/>
              <w:rPr>
                <w:rFonts w:ascii="Verdana" w:hAnsi="Verdana" w:cs="Verdana"/>
                <w:b/>
                <w:bCs/>
                <w:sz w:val="18"/>
                <w:szCs w:val="18"/>
                <w:highlight w:val="yellow"/>
              </w:rPr>
            </w:pPr>
            <w:r w:rsidRPr="007E0CF7">
              <w:rPr>
                <w:rFonts w:ascii="Verdana" w:hAnsi="Verdana"/>
                <w:b/>
                <w:sz w:val="18"/>
                <w:szCs w:val="18"/>
              </w:rPr>
              <w:t>13,617</w:t>
            </w:r>
          </w:p>
        </w:tc>
      </w:tr>
    </w:tbl>
    <w:p w:rsidR="002F4A7C" w:rsidRPr="007E0CF7" w:rsidRDefault="002F4A7C" w:rsidP="00283B18">
      <w:pPr>
        <w:spacing w:line="276" w:lineRule="auto"/>
        <w:rPr>
          <w:rFonts w:ascii="Verdana" w:hAnsi="Verdana"/>
          <w:sz w:val="18"/>
          <w:szCs w:val="18"/>
          <w:highlight w:val="yellow"/>
        </w:rPr>
      </w:pPr>
    </w:p>
    <w:p w:rsidR="00FC581C" w:rsidRDefault="001A747C" w:rsidP="00283B18">
      <w:pPr>
        <w:spacing w:line="276" w:lineRule="auto"/>
        <w:rPr>
          <w:rFonts w:ascii="Verdana" w:hAnsi="Verdana"/>
          <w:b/>
          <w:sz w:val="18"/>
          <w:szCs w:val="18"/>
          <w:highlight w:val="yellow"/>
        </w:rPr>
      </w:pPr>
      <w:r w:rsidRPr="007E0CF7">
        <w:rPr>
          <w:rFonts w:ascii="Verdana" w:hAnsi="Verdana"/>
          <w:b/>
          <w:sz w:val="18"/>
          <w:szCs w:val="18"/>
          <w:highlight w:val="yellow"/>
        </w:rPr>
        <w:br/>
      </w:r>
    </w:p>
    <w:p w:rsidR="00FC581C" w:rsidRDefault="00FC581C" w:rsidP="00283B18">
      <w:pPr>
        <w:spacing w:after="200" w:line="276" w:lineRule="auto"/>
        <w:rPr>
          <w:rFonts w:ascii="Verdana" w:hAnsi="Verdana"/>
          <w:b/>
          <w:sz w:val="18"/>
          <w:szCs w:val="18"/>
          <w:highlight w:val="yellow"/>
        </w:rPr>
      </w:pPr>
      <w:r>
        <w:rPr>
          <w:rFonts w:ascii="Verdana" w:hAnsi="Verdana"/>
          <w:b/>
          <w:sz w:val="18"/>
          <w:szCs w:val="18"/>
          <w:highlight w:val="yellow"/>
        </w:rPr>
        <w:br w:type="page"/>
      </w:r>
    </w:p>
    <w:p w:rsidR="002F4A7C" w:rsidRPr="004F7FB4" w:rsidRDefault="002F4A7C" w:rsidP="00283B18">
      <w:pPr>
        <w:spacing w:line="276" w:lineRule="auto"/>
        <w:rPr>
          <w:rFonts w:ascii="Verdana" w:hAnsi="Verdana"/>
          <w:b/>
          <w:color w:val="B71234"/>
          <w:sz w:val="18"/>
          <w:szCs w:val="18"/>
        </w:rPr>
      </w:pPr>
      <w:r w:rsidRPr="004F7FB4">
        <w:rPr>
          <w:rFonts w:ascii="Verdana" w:hAnsi="Verdana"/>
          <w:b/>
          <w:color w:val="B71234"/>
          <w:sz w:val="18"/>
          <w:szCs w:val="18"/>
        </w:rPr>
        <w:lastRenderedPageBreak/>
        <w:t>Accounting policies used in the preparation of the annual accounts</w:t>
      </w:r>
    </w:p>
    <w:p w:rsidR="00B97259" w:rsidRDefault="00B97259" w:rsidP="00283B18">
      <w:pPr>
        <w:spacing w:line="276" w:lineRule="auto"/>
        <w:rPr>
          <w:rFonts w:ascii="Verdana" w:hAnsi="Verdana"/>
          <w:sz w:val="18"/>
          <w:szCs w:val="18"/>
        </w:rPr>
      </w:pPr>
      <w:proofErr w:type="spellStart"/>
      <w:r w:rsidRPr="004F7FB4">
        <w:rPr>
          <w:rFonts w:ascii="Verdana" w:hAnsi="Verdana"/>
          <w:color w:val="C00000"/>
          <w:sz w:val="18"/>
          <w:szCs w:val="18"/>
          <w:lang w:val="en-US"/>
        </w:rPr>
        <w:t>Rood</w:t>
      </w:r>
      <w:r w:rsidRPr="004F7FB4">
        <w:rPr>
          <w:rFonts w:ascii="Verdana" w:hAnsi="Verdana"/>
          <w:sz w:val="18"/>
          <w:szCs w:val="18"/>
          <w:lang w:val="en-US"/>
        </w:rPr>
        <w:t>Microtec</w:t>
      </w:r>
      <w:proofErr w:type="spellEnd"/>
      <w:r w:rsidRPr="004F7FB4">
        <w:rPr>
          <w:rFonts w:ascii="Verdana" w:hAnsi="Verdana"/>
          <w:sz w:val="18"/>
          <w:szCs w:val="18"/>
        </w:rPr>
        <w:t xml:space="preserve"> N.V.</w:t>
      </w:r>
      <w:r w:rsidRPr="00B97259">
        <w:rPr>
          <w:rFonts w:ascii="Verdana" w:hAnsi="Verdana"/>
          <w:sz w:val="18"/>
          <w:szCs w:val="18"/>
        </w:rPr>
        <w:t xml:space="preserve">’s annual accounts for the financial year 2015 contain an overview of the applied accounting policies for financial reporting. The principles laid out in this overview are in accordance with the standards laid down by the International Accounting Standards Board (IASB) and approved by the European Commission, as applicable on 31 December 2015. The accounting policies have been applied consistently to the periods presented in this press release.   </w:t>
      </w:r>
    </w:p>
    <w:p w:rsidR="00B97259" w:rsidRPr="00B97259" w:rsidRDefault="00B97259" w:rsidP="00283B18">
      <w:pPr>
        <w:spacing w:line="276" w:lineRule="auto"/>
        <w:rPr>
          <w:rFonts w:ascii="Verdana" w:hAnsi="Verdana"/>
          <w:sz w:val="18"/>
          <w:szCs w:val="18"/>
        </w:rPr>
      </w:pPr>
    </w:p>
    <w:p w:rsidR="00B97259" w:rsidRDefault="00B97259" w:rsidP="00283B18">
      <w:pPr>
        <w:spacing w:line="276" w:lineRule="auto"/>
        <w:rPr>
          <w:rFonts w:ascii="Verdana" w:hAnsi="Verdana"/>
          <w:sz w:val="18"/>
          <w:szCs w:val="18"/>
          <w:highlight w:val="yellow"/>
        </w:rPr>
      </w:pPr>
      <w:proofErr w:type="spellStart"/>
      <w:r w:rsidRPr="004F7FB4">
        <w:rPr>
          <w:rFonts w:ascii="Verdana" w:hAnsi="Verdana"/>
          <w:color w:val="C00000"/>
          <w:sz w:val="18"/>
          <w:szCs w:val="18"/>
          <w:lang w:val="en-US"/>
        </w:rPr>
        <w:t>Rood</w:t>
      </w:r>
      <w:r w:rsidRPr="004F7FB4">
        <w:rPr>
          <w:rFonts w:ascii="Verdana" w:hAnsi="Verdana"/>
          <w:sz w:val="18"/>
          <w:szCs w:val="18"/>
          <w:lang w:val="en-US"/>
        </w:rPr>
        <w:t>Microtec</w:t>
      </w:r>
      <w:proofErr w:type="spellEnd"/>
      <w:r w:rsidRPr="004F7FB4">
        <w:rPr>
          <w:rFonts w:ascii="Verdana" w:hAnsi="Verdana"/>
          <w:sz w:val="18"/>
          <w:szCs w:val="18"/>
        </w:rPr>
        <w:t xml:space="preserve"> </w:t>
      </w:r>
      <w:r w:rsidRPr="00B97259">
        <w:rPr>
          <w:rFonts w:ascii="Verdana" w:hAnsi="Verdana"/>
          <w:sz w:val="18"/>
          <w:szCs w:val="18"/>
        </w:rPr>
        <w:t>N.V. has applied all the new and amended standards and interpretations applicable to the year under review, which have been laid down by the IASB and approved by the European Commission and which were in force for the period beginning 1 January 2015. None of these standards had a material effect on the Group’s financial statements.</w:t>
      </w:r>
    </w:p>
    <w:p w:rsidR="002F4A7C" w:rsidRDefault="002F4A7C" w:rsidP="00283B18">
      <w:pPr>
        <w:spacing w:line="276" w:lineRule="auto"/>
        <w:rPr>
          <w:rFonts w:ascii="Verdana" w:hAnsi="Verdana"/>
          <w:sz w:val="18"/>
          <w:szCs w:val="18"/>
        </w:rPr>
      </w:pPr>
    </w:p>
    <w:p w:rsidR="004F7FB4" w:rsidRDefault="004F7FB4" w:rsidP="00283B18">
      <w:pPr>
        <w:spacing w:line="276" w:lineRule="auto"/>
        <w:rPr>
          <w:rFonts w:ascii="Verdana" w:hAnsi="Verdana"/>
          <w:sz w:val="18"/>
          <w:szCs w:val="18"/>
        </w:rPr>
      </w:pPr>
    </w:p>
    <w:p w:rsidR="004F7FB4" w:rsidRPr="007E0CF7" w:rsidRDefault="004F7FB4" w:rsidP="00283B18">
      <w:pPr>
        <w:spacing w:line="276" w:lineRule="auto"/>
        <w:rPr>
          <w:rFonts w:ascii="Verdana" w:hAnsi="Verdana"/>
          <w:b/>
          <w:color w:val="B71234"/>
          <w:sz w:val="18"/>
          <w:szCs w:val="18"/>
        </w:rPr>
      </w:pPr>
      <w:r>
        <w:rPr>
          <w:rFonts w:ascii="Verdana" w:hAnsi="Verdana"/>
          <w:b/>
          <w:color w:val="B71234"/>
          <w:sz w:val="18"/>
          <w:szCs w:val="18"/>
        </w:rPr>
        <w:t>Other</w:t>
      </w:r>
    </w:p>
    <w:p w:rsidR="004F7FB4" w:rsidRPr="004F7FB4" w:rsidRDefault="004F7FB4" w:rsidP="00283B18">
      <w:pPr>
        <w:spacing w:line="276" w:lineRule="auto"/>
        <w:rPr>
          <w:rFonts w:ascii="Verdana" w:hAnsi="Verdana"/>
          <w:sz w:val="18"/>
          <w:szCs w:val="18"/>
        </w:rPr>
      </w:pPr>
      <w:r w:rsidRPr="004F7FB4">
        <w:rPr>
          <w:rFonts w:ascii="Verdana" w:hAnsi="Verdana"/>
          <w:sz w:val="18"/>
          <w:szCs w:val="18"/>
        </w:rPr>
        <w:t>The condensed</w:t>
      </w:r>
      <w:r>
        <w:rPr>
          <w:rFonts w:ascii="Verdana" w:hAnsi="Verdana"/>
          <w:sz w:val="18"/>
          <w:szCs w:val="18"/>
        </w:rPr>
        <w:t xml:space="preserve"> financial information </w:t>
      </w:r>
      <w:r w:rsidRPr="004F7FB4">
        <w:rPr>
          <w:rFonts w:ascii="Verdana" w:hAnsi="Verdana"/>
          <w:sz w:val="18"/>
          <w:szCs w:val="18"/>
        </w:rPr>
        <w:t xml:space="preserve">presented in this press release </w:t>
      </w:r>
      <w:r>
        <w:rPr>
          <w:rFonts w:ascii="Verdana" w:hAnsi="Verdana"/>
          <w:sz w:val="18"/>
          <w:szCs w:val="18"/>
        </w:rPr>
        <w:t xml:space="preserve">have not been audited. For the </w:t>
      </w:r>
      <w:r w:rsidRPr="004F7FB4">
        <w:rPr>
          <w:rFonts w:ascii="Verdana" w:hAnsi="Verdana"/>
          <w:sz w:val="18"/>
          <w:szCs w:val="18"/>
        </w:rPr>
        <w:t>insight required to arrive at a responsible opinion concerning the financi</w:t>
      </w:r>
      <w:r w:rsidR="00BA34C9">
        <w:rPr>
          <w:rFonts w:ascii="Verdana" w:hAnsi="Verdana"/>
          <w:sz w:val="18"/>
          <w:szCs w:val="18"/>
        </w:rPr>
        <w:t xml:space="preserve">al position and the results of </w:t>
      </w:r>
      <w:r>
        <w:rPr>
          <w:rFonts w:ascii="Verdana" w:hAnsi="Verdana"/>
          <w:sz w:val="18"/>
          <w:szCs w:val="18"/>
        </w:rPr>
        <w:t>the company</w:t>
      </w:r>
      <w:r w:rsidRPr="004F7FB4">
        <w:rPr>
          <w:rFonts w:ascii="Verdana" w:hAnsi="Verdana"/>
          <w:sz w:val="18"/>
          <w:szCs w:val="18"/>
        </w:rPr>
        <w:t>, this press release should be read in combination with the annual accounts</w:t>
      </w:r>
      <w:r>
        <w:rPr>
          <w:rFonts w:ascii="Verdana" w:hAnsi="Verdana"/>
          <w:sz w:val="18"/>
          <w:szCs w:val="18"/>
        </w:rPr>
        <w:t xml:space="preserve">. </w:t>
      </w:r>
      <w:r w:rsidRPr="004F7FB4">
        <w:rPr>
          <w:rFonts w:ascii="Verdana" w:hAnsi="Verdana"/>
          <w:sz w:val="18"/>
          <w:szCs w:val="18"/>
        </w:rPr>
        <w:t xml:space="preserve">   </w:t>
      </w:r>
    </w:p>
    <w:p w:rsidR="004F7FB4" w:rsidRDefault="004F7FB4" w:rsidP="00283B18">
      <w:pPr>
        <w:spacing w:line="276" w:lineRule="auto"/>
        <w:rPr>
          <w:rFonts w:ascii="Verdana" w:hAnsi="Verdana"/>
          <w:sz w:val="18"/>
          <w:szCs w:val="18"/>
        </w:rPr>
      </w:pPr>
    </w:p>
    <w:p w:rsidR="004F7FB4" w:rsidRPr="007E0CF7" w:rsidRDefault="004F7FB4" w:rsidP="00283B18">
      <w:pPr>
        <w:spacing w:line="276" w:lineRule="auto"/>
        <w:rPr>
          <w:rFonts w:ascii="Verdana" w:hAnsi="Verdana"/>
          <w:sz w:val="18"/>
          <w:szCs w:val="18"/>
        </w:rPr>
      </w:pPr>
      <w:proofErr w:type="spellStart"/>
      <w:r w:rsidRPr="004F7FB4">
        <w:rPr>
          <w:rFonts w:ascii="Verdana" w:hAnsi="Verdana"/>
          <w:color w:val="C00000"/>
          <w:sz w:val="18"/>
          <w:szCs w:val="18"/>
          <w:lang w:val="en-US"/>
        </w:rPr>
        <w:t>Rood</w:t>
      </w:r>
      <w:r w:rsidRPr="004F7FB4">
        <w:rPr>
          <w:rFonts w:ascii="Verdana" w:hAnsi="Verdana"/>
          <w:sz w:val="18"/>
          <w:szCs w:val="18"/>
          <w:lang w:val="en-US"/>
        </w:rPr>
        <w:t>Microtec</w:t>
      </w:r>
      <w:proofErr w:type="spellEnd"/>
      <w:r w:rsidRPr="004F7FB4">
        <w:rPr>
          <w:rFonts w:ascii="Verdana" w:hAnsi="Verdana"/>
          <w:sz w:val="18"/>
          <w:szCs w:val="18"/>
        </w:rPr>
        <w:t xml:space="preserve"> N.V. will publish </w:t>
      </w:r>
      <w:r>
        <w:rPr>
          <w:rFonts w:ascii="Verdana" w:hAnsi="Verdana"/>
          <w:sz w:val="18"/>
          <w:szCs w:val="18"/>
        </w:rPr>
        <w:t>its annual report 2015 on 14 April</w:t>
      </w:r>
      <w:r w:rsidRPr="004F7FB4">
        <w:rPr>
          <w:rFonts w:ascii="Verdana" w:hAnsi="Verdana"/>
          <w:sz w:val="18"/>
          <w:szCs w:val="18"/>
        </w:rPr>
        <w:t xml:space="preserve"> 2016. The annual accounts 2015 will be submitted to the General Meeting of Share</w:t>
      </w:r>
      <w:r>
        <w:rPr>
          <w:rFonts w:ascii="Verdana" w:hAnsi="Verdana"/>
          <w:sz w:val="18"/>
          <w:szCs w:val="18"/>
        </w:rPr>
        <w:t>holders for adoption on 26 May</w:t>
      </w:r>
      <w:r w:rsidRPr="004F7FB4">
        <w:rPr>
          <w:rFonts w:ascii="Verdana" w:hAnsi="Verdana"/>
          <w:sz w:val="18"/>
          <w:szCs w:val="18"/>
        </w:rPr>
        <w:t xml:space="preserve"> 2016.   </w:t>
      </w:r>
    </w:p>
    <w:p w:rsidR="004F7FB4" w:rsidRPr="007E0CF7" w:rsidRDefault="004F7FB4" w:rsidP="00283B18">
      <w:pPr>
        <w:spacing w:line="276" w:lineRule="auto"/>
        <w:rPr>
          <w:rFonts w:ascii="Verdana" w:hAnsi="Verdana"/>
          <w:sz w:val="18"/>
          <w:szCs w:val="18"/>
        </w:rPr>
      </w:pPr>
    </w:p>
    <w:sectPr w:rsidR="004F7FB4" w:rsidRPr="007E0CF7" w:rsidSect="00C9486C">
      <w:headerReference w:type="default" r:id="rId10"/>
      <w:footerReference w:type="default" r:id="rId11"/>
      <w:pgSz w:w="11906" w:h="16838" w:code="9"/>
      <w:pgMar w:top="1701" w:right="561" w:bottom="1134"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3C7" w:rsidRDefault="00E603C7" w:rsidP="00C9486C">
      <w:r>
        <w:separator/>
      </w:r>
    </w:p>
  </w:endnote>
  <w:endnote w:type="continuationSeparator" w:id="0">
    <w:p w:rsidR="00E603C7" w:rsidRDefault="00E603C7" w:rsidP="00C948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9C" w:rsidRPr="008C1A6B" w:rsidRDefault="00F57D9C" w:rsidP="00C9486C">
    <w:pPr>
      <w:pStyle w:val="Fuzeile"/>
      <w:pBdr>
        <w:top w:val="single" w:sz="12" w:space="0" w:color="B71234"/>
      </w:pBdr>
      <w:tabs>
        <w:tab w:val="clear" w:pos="9072"/>
        <w:tab w:val="right" w:pos="9639"/>
      </w:tabs>
      <w:rPr>
        <w:rStyle w:val="Seitenzahl"/>
        <w:rFonts w:ascii="Verdana" w:hAnsi="Verdana"/>
        <w:sz w:val="16"/>
        <w:szCs w:val="16"/>
      </w:rPr>
    </w:pPr>
  </w:p>
  <w:p w:rsidR="00F57D9C" w:rsidRPr="00321380" w:rsidRDefault="00BF5D37" w:rsidP="008348AA">
    <w:pPr>
      <w:pStyle w:val="Fuzeile1"/>
      <w:tabs>
        <w:tab w:val="clear" w:pos="4536"/>
        <w:tab w:val="clear" w:pos="9072"/>
        <w:tab w:val="center" w:pos="4253"/>
        <w:tab w:val="right" w:pos="9923"/>
      </w:tabs>
      <w:rPr>
        <w:rFonts w:eastAsiaTheme="minorHAnsi"/>
        <w:color w:val="1A1A1A"/>
        <w:sz w:val="16"/>
      </w:rPr>
    </w:pPr>
    <w:r w:rsidRPr="008C1A6B">
      <w:rPr>
        <w:rStyle w:val="Seitenzahl"/>
        <w:sz w:val="16"/>
        <w:szCs w:val="16"/>
      </w:rPr>
      <w:fldChar w:fldCharType="begin"/>
    </w:r>
    <w:r w:rsidR="00F57D9C" w:rsidRPr="008C1A6B">
      <w:rPr>
        <w:rStyle w:val="Seitenzahl"/>
        <w:sz w:val="16"/>
        <w:szCs w:val="16"/>
      </w:rPr>
      <w:instrText xml:space="preserve"> PAGE </w:instrText>
    </w:r>
    <w:r w:rsidRPr="008C1A6B">
      <w:rPr>
        <w:rStyle w:val="Seitenzahl"/>
        <w:sz w:val="16"/>
        <w:szCs w:val="16"/>
      </w:rPr>
      <w:fldChar w:fldCharType="separate"/>
    </w:r>
    <w:r w:rsidR="00D22A00">
      <w:rPr>
        <w:rStyle w:val="Seitenzahl"/>
        <w:noProof/>
        <w:sz w:val="16"/>
        <w:szCs w:val="16"/>
      </w:rPr>
      <w:t>11</w:t>
    </w:r>
    <w:r w:rsidRPr="008C1A6B">
      <w:rPr>
        <w:rStyle w:val="Seitenzahl"/>
        <w:sz w:val="16"/>
        <w:szCs w:val="16"/>
      </w:rPr>
      <w:fldChar w:fldCharType="end"/>
    </w:r>
    <w:r w:rsidR="00F57D9C">
      <w:rPr>
        <w:rStyle w:val="Seitenzahl"/>
        <w:sz w:val="16"/>
      </w:rPr>
      <w:t xml:space="preserve"> / </w:t>
    </w:r>
    <w:r w:rsidRPr="008C1A6B">
      <w:rPr>
        <w:rStyle w:val="Seitenzahl"/>
        <w:sz w:val="16"/>
        <w:szCs w:val="16"/>
      </w:rPr>
      <w:fldChar w:fldCharType="begin"/>
    </w:r>
    <w:r w:rsidR="00F57D9C" w:rsidRPr="008C1A6B">
      <w:rPr>
        <w:rStyle w:val="Seitenzahl"/>
        <w:sz w:val="16"/>
        <w:szCs w:val="16"/>
      </w:rPr>
      <w:instrText xml:space="preserve"> NUMPAGES </w:instrText>
    </w:r>
    <w:r w:rsidRPr="008C1A6B">
      <w:rPr>
        <w:rStyle w:val="Seitenzahl"/>
        <w:sz w:val="16"/>
        <w:szCs w:val="16"/>
      </w:rPr>
      <w:fldChar w:fldCharType="separate"/>
    </w:r>
    <w:r w:rsidR="00D22A00">
      <w:rPr>
        <w:rStyle w:val="Seitenzahl"/>
        <w:noProof/>
        <w:sz w:val="16"/>
        <w:szCs w:val="16"/>
      </w:rPr>
      <w:t>11</w:t>
    </w:r>
    <w:r w:rsidRPr="008C1A6B">
      <w:rPr>
        <w:rStyle w:val="Seitenzahl"/>
        <w:sz w:val="16"/>
        <w:szCs w:val="16"/>
      </w:rPr>
      <w:fldChar w:fldCharType="end"/>
    </w:r>
    <w:r w:rsidR="00F57D9C">
      <w:tab/>
    </w:r>
    <w:proofErr w:type="spellStart"/>
    <w:r w:rsidR="00F57D9C">
      <w:rPr>
        <w:rFonts w:eastAsiaTheme="minorHAnsi"/>
        <w:color w:val="1A1A1A"/>
        <w:sz w:val="16"/>
      </w:rPr>
      <w:t>RoodMicrotec</w:t>
    </w:r>
    <w:proofErr w:type="spellEnd"/>
    <w:r w:rsidR="00F57D9C">
      <w:rPr>
        <w:rFonts w:eastAsiaTheme="minorHAnsi"/>
        <w:color w:val="1A1A1A"/>
        <w:sz w:val="16"/>
      </w:rPr>
      <w:t xml:space="preserve"> N.V. – Press release 10 March 2016</w:t>
    </w:r>
    <w:r w:rsidR="00F57D9C">
      <w:tab/>
    </w:r>
    <w:r w:rsidR="00F57D9C">
      <w:rPr>
        <w:color w:val="B71234"/>
        <w:sz w:val="16"/>
      </w:rPr>
      <w:t xml:space="preserve">… certified by </w:t>
    </w:r>
    <w:proofErr w:type="spellStart"/>
    <w:r w:rsidR="00F57D9C">
      <w:rPr>
        <w:color w:val="B71234"/>
        <w:sz w:val="16"/>
      </w:rPr>
      <w:t>Rood</w:t>
    </w:r>
    <w:r w:rsidR="00F57D9C">
      <w:rPr>
        <w:sz w:val="16"/>
      </w:rPr>
      <w:t>Microtec</w:t>
    </w:r>
    <w:proofErr w:type="spellEnd"/>
    <w:r w:rsidR="00F57D9C">
      <w:rPr>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3C7" w:rsidRDefault="00E603C7" w:rsidP="00C9486C">
      <w:r>
        <w:separator/>
      </w:r>
    </w:p>
  </w:footnote>
  <w:footnote w:type="continuationSeparator" w:id="0">
    <w:p w:rsidR="00E603C7" w:rsidRDefault="00E603C7"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9C" w:rsidRPr="007272B9" w:rsidRDefault="00F57D9C" w:rsidP="00C9486C">
    <w:pPr>
      <w:pStyle w:val="Kopfzeile"/>
      <w:tabs>
        <w:tab w:val="clear" w:pos="9072"/>
        <w:tab w:val="right" w:pos="9639"/>
      </w:tabs>
      <w:rPr>
        <w:rFonts w:ascii="Verdana" w:hAnsi="Verdana"/>
      </w:rPr>
    </w:pPr>
  </w:p>
  <w:p w:rsidR="00F57D9C" w:rsidRPr="007272B9" w:rsidRDefault="00F57D9C" w:rsidP="00C9486C">
    <w:pPr>
      <w:pStyle w:val="Kopfzeile"/>
      <w:tabs>
        <w:tab w:val="clear" w:pos="9072"/>
        <w:tab w:val="right" w:pos="9639"/>
      </w:tabs>
      <w:rPr>
        <w:rFonts w:ascii="Verdana" w:hAnsi="Verdana"/>
      </w:rPr>
    </w:pPr>
  </w:p>
  <w:p w:rsidR="00F57D9C" w:rsidRPr="007272B9" w:rsidRDefault="00F57D9C" w:rsidP="00C9486C">
    <w:pPr>
      <w:pStyle w:val="Kopfzeile"/>
      <w:tabs>
        <w:tab w:val="clear" w:pos="9072"/>
        <w:tab w:val="right" w:pos="9639"/>
      </w:tabs>
      <w:rPr>
        <w:rFonts w:ascii="Verdana" w:hAnsi="Verdana"/>
      </w:rPr>
    </w:pPr>
  </w:p>
  <w:p w:rsidR="00F57D9C" w:rsidRPr="007272B9" w:rsidRDefault="00F57D9C" w:rsidP="00C9486C">
    <w:pPr>
      <w:pStyle w:val="Kopfzeile"/>
      <w:tabs>
        <w:tab w:val="clear" w:pos="9072"/>
        <w:tab w:val="right" w:pos="9639"/>
      </w:tabs>
      <w:rPr>
        <w:rFonts w:ascii="Verdana" w:hAnsi="Verdana"/>
      </w:rPr>
    </w:pPr>
    <w:r>
      <w:rPr>
        <w:rFonts w:ascii="Verdana" w:hAnsi="Verdana"/>
        <w:noProof/>
        <w:lang w:val="de-DE" w:eastAsia="de-DE" w:bidi="ar-SA"/>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1"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F57D9C" w:rsidRPr="007272B9" w:rsidRDefault="00F57D9C" w:rsidP="00C9486C">
    <w:pPr>
      <w:pStyle w:val="Kopfzeile"/>
      <w:tabs>
        <w:tab w:val="clear" w:pos="9072"/>
        <w:tab w:val="right" w:pos="9639"/>
      </w:tabs>
      <w:rPr>
        <w:rFonts w:ascii="Verdana" w:hAnsi="Verdana"/>
      </w:rPr>
    </w:pPr>
  </w:p>
  <w:p w:rsidR="00F57D9C" w:rsidRPr="007272B9" w:rsidRDefault="00F57D9C" w:rsidP="00C9486C">
    <w:pPr>
      <w:pStyle w:val="Kopfzeile"/>
      <w:tabs>
        <w:tab w:val="clear" w:pos="9072"/>
        <w:tab w:val="right" w:pos="9639"/>
      </w:tabs>
      <w:rPr>
        <w:rFonts w:ascii="Verdana" w:hAnsi="Verdana"/>
      </w:rPr>
    </w:pPr>
  </w:p>
  <w:p w:rsidR="00F57D9C" w:rsidRPr="007272B9" w:rsidRDefault="00F57D9C" w:rsidP="00C9486C">
    <w:pPr>
      <w:pStyle w:val="Kopfzeile"/>
      <w:pBdr>
        <w:top w:val="single" w:sz="12" w:space="1" w:color="B71234"/>
      </w:pBdr>
      <w:tabs>
        <w:tab w:val="clear" w:pos="9072"/>
        <w:tab w:val="right" w:pos="9639"/>
      </w:tabs>
      <w:rPr>
        <w:rFonts w:ascii="Verdana" w:hAnsi="Verdana"/>
      </w:rPr>
    </w:pPr>
  </w:p>
  <w:p w:rsidR="00F57D9C" w:rsidRPr="007272B9" w:rsidRDefault="00F57D9C" w:rsidP="00C9486C">
    <w:pPr>
      <w:rPr>
        <w:rFonts w:ascii="Verdana" w:hAnsi="Verdana"/>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8E45453"/>
    <w:multiLevelType w:val="hybridMultilevel"/>
    <w:tmpl w:val="1A327152"/>
    <w:lvl w:ilvl="0" w:tplc="FFFFFFFF">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1DC450F"/>
    <w:multiLevelType w:val="hybridMultilevel"/>
    <w:tmpl w:val="3FB0B91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nsid w:val="4FC46503"/>
    <w:multiLevelType w:val="hybridMultilevel"/>
    <w:tmpl w:val="D1483B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2A12AA9"/>
    <w:multiLevelType w:val="hybridMultilevel"/>
    <w:tmpl w:val="2EF8440A"/>
    <w:lvl w:ilvl="0" w:tplc="04130005">
      <w:start w:val="1"/>
      <w:numFmt w:val="bullet"/>
      <w:lvlText w:val=""/>
      <w:lvlJc w:val="left"/>
      <w:pPr>
        <w:tabs>
          <w:tab w:val="num" w:pos="360"/>
        </w:tabs>
        <w:ind w:left="360" w:hanging="360"/>
      </w:pPr>
      <w:rPr>
        <w:rFonts w:ascii="Wingdings" w:hAnsi="Wingdings" w:cs="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A42211B"/>
    <w:multiLevelType w:val="hybridMultilevel"/>
    <w:tmpl w:val="8F52A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D59354B"/>
    <w:multiLevelType w:val="hybridMultilevel"/>
    <w:tmpl w:val="65D40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0791D9A"/>
    <w:multiLevelType w:val="hybridMultilevel"/>
    <w:tmpl w:val="9CDAC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8"/>
  </w:num>
  <w:num w:numId="7">
    <w:abstractNumId w:val="9"/>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A90243"/>
    <w:rsid w:val="00011B96"/>
    <w:rsid w:val="00014A2A"/>
    <w:rsid w:val="00023B81"/>
    <w:rsid w:val="00024056"/>
    <w:rsid w:val="00030961"/>
    <w:rsid w:val="00047FE6"/>
    <w:rsid w:val="00052619"/>
    <w:rsid w:val="00066D20"/>
    <w:rsid w:val="00070814"/>
    <w:rsid w:val="000808CF"/>
    <w:rsid w:val="00081F0F"/>
    <w:rsid w:val="00082645"/>
    <w:rsid w:val="000C31B5"/>
    <w:rsid w:val="000D4B3B"/>
    <w:rsid w:val="000E11FE"/>
    <w:rsid w:val="000E7919"/>
    <w:rsid w:val="000F05BC"/>
    <w:rsid w:val="00100822"/>
    <w:rsid w:val="00112C3D"/>
    <w:rsid w:val="00122359"/>
    <w:rsid w:val="0012703F"/>
    <w:rsid w:val="00133F54"/>
    <w:rsid w:val="00134902"/>
    <w:rsid w:val="001413EE"/>
    <w:rsid w:val="001460A1"/>
    <w:rsid w:val="001720B5"/>
    <w:rsid w:val="001764EA"/>
    <w:rsid w:val="001A747C"/>
    <w:rsid w:val="001C75D3"/>
    <w:rsid w:val="001D39A5"/>
    <w:rsid w:val="001E2928"/>
    <w:rsid w:val="001E3224"/>
    <w:rsid w:val="001E7EE9"/>
    <w:rsid w:val="0020294D"/>
    <w:rsid w:val="00204890"/>
    <w:rsid w:val="002317EF"/>
    <w:rsid w:val="0024066E"/>
    <w:rsid w:val="00252EC9"/>
    <w:rsid w:val="0027249F"/>
    <w:rsid w:val="002738AA"/>
    <w:rsid w:val="00276D7B"/>
    <w:rsid w:val="00277B80"/>
    <w:rsid w:val="00283B18"/>
    <w:rsid w:val="00292700"/>
    <w:rsid w:val="0029427C"/>
    <w:rsid w:val="002A0F4E"/>
    <w:rsid w:val="002C0FAA"/>
    <w:rsid w:val="002F4A7C"/>
    <w:rsid w:val="00300934"/>
    <w:rsid w:val="003105B6"/>
    <w:rsid w:val="0031191B"/>
    <w:rsid w:val="0031194E"/>
    <w:rsid w:val="00314589"/>
    <w:rsid w:val="003152A8"/>
    <w:rsid w:val="00321380"/>
    <w:rsid w:val="00336A52"/>
    <w:rsid w:val="00365F83"/>
    <w:rsid w:val="00395A0B"/>
    <w:rsid w:val="003A4C66"/>
    <w:rsid w:val="003C09C9"/>
    <w:rsid w:val="003D701B"/>
    <w:rsid w:val="003F6192"/>
    <w:rsid w:val="00401E02"/>
    <w:rsid w:val="004037DB"/>
    <w:rsid w:val="00412D13"/>
    <w:rsid w:val="00422213"/>
    <w:rsid w:val="00426A05"/>
    <w:rsid w:val="004604AE"/>
    <w:rsid w:val="0047321C"/>
    <w:rsid w:val="004B0FE9"/>
    <w:rsid w:val="004F1D31"/>
    <w:rsid w:val="004F7FB4"/>
    <w:rsid w:val="0051782D"/>
    <w:rsid w:val="0052347A"/>
    <w:rsid w:val="00525205"/>
    <w:rsid w:val="00535CD3"/>
    <w:rsid w:val="00553E66"/>
    <w:rsid w:val="00572860"/>
    <w:rsid w:val="0058128B"/>
    <w:rsid w:val="0058261D"/>
    <w:rsid w:val="005A27D1"/>
    <w:rsid w:val="005A3CC9"/>
    <w:rsid w:val="005C2E03"/>
    <w:rsid w:val="005C564E"/>
    <w:rsid w:val="005E07C7"/>
    <w:rsid w:val="005E5733"/>
    <w:rsid w:val="005F5C60"/>
    <w:rsid w:val="00601AFD"/>
    <w:rsid w:val="00602C76"/>
    <w:rsid w:val="006055BA"/>
    <w:rsid w:val="0060633D"/>
    <w:rsid w:val="00615BB3"/>
    <w:rsid w:val="0064735F"/>
    <w:rsid w:val="00673683"/>
    <w:rsid w:val="00682A32"/>
    <w:rsid w:val="00691A1A"/>
    <w:rsid w:val="006A5F45"/>
    <w:rsid w:val="006D3844"/>
    <w:rsid w:val="006E2262"/>
    <w:rsid w:val="006F0932"/>
    <w:rsid w:val="006F6904"/>
    <w:rsid w:val="007008ED"/>
    <w:rsid w:val="00701B20"/>
    <w:rsid w:val="00703A69"/>
    <w:rsid w:val="0072255D"/>
    <w:rsid w:val="00734F81"/>
    <w:rsid w:val="00766144"/>
    <w:rsid w:val="00770AB5"/>
    <w:rsid w:val="00773F54"/>
    <w:rsid w:val="00774BB3"/>
    <w:rsid w:val="00794273"/>
    <w:rsid w:val="007A0B0A"/>
    <w:rsid w:val="007A4437"/>
    <w:rsid w:val="007A739C"/>
    <w:rsid w:val="007B2894"/>
    <w:rsid w:val="007C34E7"/>
    <w:rsid w:val="007E0CF7"/>
    <w:rsid w:val="007E4CD4"/>
    <w:rsid w:val="007E706B"/>
    <w:rsid w:val="008348AA"/>
    <w:rsid w:val="008462F2"/>
    <w:rsid w:val="0086510E"/>
    <w:rsid w:val="008656F5"/>
    <w:rsid w:val="008A4D8D"/>
    <w:rsid w:val="008A7B9D"/>
    <w:rsid w:val="008B4E09"/>
    <w:rsid w:val="008C1A6B"/>
    <w:rsid w:val="008C5096"/>
    <w:rsid w:val="008F3EE9"/>
    <w:rsid w:val="009013AF"/>
    <w:rsid w:val="00902366"/>
    <w:rsid w:val="009033EB"/>
    <w:rsid w:val="0090399D"/>
    <w:rsid w:val="009050F8"/>
    <w:rsid w:val="0091109A"/>
    <w:rsid w:val="00912D0C"/>
    <w:rsid w:val="00913F45"/>
    <w:rsid w:val="00920B62"/>
    <w:rsid w:val="00921871"/>
    <w:rsid w:val="00942A3B"/>
    <w:rsid w:val="00942C63"/>
    <w:rsid w:val="00956A02"/>
    <w:rsid w:val="009849BA"/>
    <w:rsid w:val="009A01FA"/>
    <w:rsid w:val="009B6B3C"/>
    <w:rsid w:val="009C0316"/>
    <w:rsid w:val="009F2D72"/>
    <w:rsid w:val="00A2591F"/>
    <w:rsid w:val="00A42B2D"/>
    <w:rsid w:val="00A43BBC"/>
    <w:rsid w:val="00A44020"/>
    <w:rsid w:val="00A670FC"/>
    <w:rsid w:val="00A710B1"/>
    <w:rsid w:val="00A85874"/>
    <w:rsid w:val="00A90243"/>
    <w:rsid w:val="00AA0C9B"/>
    <w:rsid w:val="00AA6476"/>
    <w:rsid w:val="00AB2F20"/>
    <w:rsid w:val="00AC2373"/>
    <w:rsid w:val="00AC4C70"/>
    <w:rsid w:val="00AE3DA6"/>
    <w:rsid w:val="00AE47FD"/>
    <w:rsid w:val="00B166A0"/>
    <w:rsid w:val="00B17BBF"/>
    <w:rsid w:val="00B4167E"/>
    <w:rsid w:val="00B81B27"/>
    <w:rsid w:val="00B8595D"/>
    <w:rsid w:val="00B926B9"/>
    <w:rsid w:val="00B97259"/>
    <w:rsid w:val="00BA34C9"/>
    <w:rsid w:val="00BB3BAE"/>
    <w:rsid w:val="00BB636A"/>
    <w:rsid w:val="00BC5D9A"/>
    <w:rsid w:val="00BE2B36"/>
    <w:rsid w:val="00BF5D37"/>
    <w:rsid w:val="00C21D46"/>
    <w:rsid w:val="00C263C1"/>
    <w:rsid w:val="00C428B1"/>
    <w:rsid w:val="00C625AC"/>
    <w:rsid w:val="00C65144"/>
    <w:rsid w:val="00C67A1A"/>
    <w:rsid w:val="00C9486C"/>
    <w:rsid w:val="00CB2471"/>
    <w:rsid w:val="00CC2697"/>
    <w:rsid w:val="00CC7B07"/>
    <w:rsid w:val="00CE4B0E"/>
    <w:rsid w:val="00CF2B37"/>
    <w:rsid w:val="00CF7108"/>
    <w:rsid w:val="00D10E57"/>
    <w:rsid w:val="00D125D6"/>
    <w:rsid w:val="00D221A3"/>
    <w:rsid w:val="00D22A00"/>
    <w:rsid w:val="00D242DC"/>
    <w:rsid w:val="00D37A90"/>
    <w:rsid w:val="00D41225"/>
    <w:rsid w:val="00D47AF3"/>
    <w:rsid w:val="00D54F09"/>
    <w:rsid w:val="00D63850"/>
    <w:rsid w:val="00D933F6"/>
    <w:rsid w:val="00DD0103"/>
    <w:rsid w:val="00DD265B"/>
    <w:rsid w:val="00DD4C2C"/>
    <w:rsid w:val="00DE4BE8"/>
    <w:rsid w:val="00DE4C01"/>
    <w:rsid w:val="00E01EEE"/>
    <w:rsid w:val="00E07E36"/>
    <w:rsid w:val="00E1301E"/>
    <w:rsid w:val="00E13D34"/>
    <w:rsid w:val="00E15E15"/>
    <w:rsid w:val="00E22D65"/>
    <w:rsid w:val="00E23299"/>
    <w:rsid w:val="00E44FF6"/>
    <w:rsid w:val="00E52682"/>
    <w:rsid w:val="00E603C7"/>
    <w:rsid w:val="00E627DF"/>
    <w:rsid w:val="00E67E96"/>
    <w:rsid w:val="00E716DE"/>
    <w:rsid w:val="00E865CB"/>
    <w:rsid w:val="00E93817"/>
    <w:rsid w:val="00E95087"/>
    <w:rsid w:val="00E97C59"/>
    <w:rsid w:val="00EA0678"/>
    <w:rsid w:val="00EA485E"/>
    <w:rsid w:val="00EA5793"/>
    <w:rsid w:val="00EB0B1F"/>
    <w:rsid w:val="00EB4F3E"/>
    <w:rsid w:val="00EC588C"/>
    <w:rsid w:val="00ED0F57"/>
    <w:rsid w:val="00ED71F7"/>
    <w:rsid w:val="00EE2043"/>
    <w:rsid w:val="00EE52EE"/>
    <w:rsid w:val="00EF0CF1"/>
    <w:rsid w:val="00F076C4"/>
    <w:rsid w:val="00F272C0"/>
    <w:rsid w:val="00F515D2"/>
    <w:rsid w:val="00F57D9C"/>
    <w:rsid w:val="00F63E7D"/>
    <w:rsid w:val="00F70038"/>
    <w:rsid w:val="00F76886"/>
    <w:rsid w:val="00F90323"/>
    <w:rsid w:val="00FC1BD5"/>
    <w:rsid w:val="00FC4FED"/>
    <w:rsid w:val="00FC581C"/>
    <w:rsid w:val="00FD52AF"/>
    <w:rsid w:val="00FF0BA3"/>
    <w:rsid w:val="00FF4A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rPr>
  </w:style>
  <w:style w:type="paragraph" w:styleId="berschrift1">
    <w:name w:val="heading 1"/>
    <w:basedOn w:val="Standard"/>
    <w:next w:val="Standard"/>
    <w:link w:val="berschrift1Zchn"/>
    <w:qFormat/>
    <w:rsid w:val="00C9486C"/>
    <w:pPr>
      <w:keepNext/>
      <w:outlineLvl w:val="0"/>
    </w:pPr>
    <w:rPr>
      <w:rFonts w:ascii="Arial" w:hAnsi="Arial"/>
      <w:b/>
    </w:rPr>
  </w:style>
  <w:style w:type="paragraph" w:styleId="berschrift2">
    <w:name w:val="heading 2"/>
    <w:basedOn w:val="Standard"/>
    <w:next w:val="Standard"/>
    <w:link w:val="berschrift2Zchn"/>
    <w:uiPriority w:val="9"/>
    <w:semiHidden/>
    <w:unhideWhenUsed/>
    <w:qFormat/>
    <w:rsid w:val="008348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en-GB" w:eastAsia="en-GB"/>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rPr>
  </w:style>
  <w:style w:type="character" w:styleId="Hyperlink">
    <w:name w:val="Hyperlink"/>
    <w:basedOn w:val="Absatz-Standardschriftart"/>
    <w:semiHidden/>
    <w:rsid w:val="00773F54"/>
    <w:rPr>
      <w:color w:val="0000FF"/>
      <w:u w:val="single"/>
    </w:rPr>
  </w:style>
  <w:style w:type="paragraph" w:styleId="StandardWeb">
    <w:name w:val="Normal (Web)"/>
    <w:basedOn w:val="Standard"/>
    <w:uiPriority w:val="99"/>
    <w:rsid w:val="00E23299"/>
    <w:pPr>
      <w:spacing w:before="100" w:beforeAutospacing="1" w:after="100" w:afterAutospacing="1"/>
    </w:pPr>
    <w:rPr>
      <w:sz w:val="24"/>
      <w:szCs w:val="24"/>
    </w:rPr>
  </w:style>
  <w:style w:type="paragraph" w:customStyle="1" w:styleId="ecxmsonormal">
    <w:name w:val="ecxmsonormal"/>
    <w:basedOn w:val="Standard"/>
    <w:rsid w:val="00572860"/>
    <w:pPr>
      <w:spacing w:after="324"/>
    </w:pPr>
    <w:rPr>
      <w:sz w:val="24"/>
      <w:szCs w:val="24"/>
    </w:rPr>
  </w:style>
  <w:style w:type="table" w:styleId="Tabellengitternetz">
    <w:name w:val="Table Grid"/>
    <w:basedOn w:val="NormaleTabelle"/>
    <w:rsid w:val="00913F4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uiPriority w:val="9"/>
    <w:semiHidden/>
    <w:rsid w:val="008348AA"/>
    <w:rPr>
      <w:rFonts w:asciiTheme="majorHAnsi" w:eastAsiaTheme="majorEastAsia" w:hAnsiTheme="majorHAnsi" w:cstheme="majorBidi"/>
      <w:b/>
      <w:bCs/>
      <w:color w:val="4F81BD" w:themeColor="accent1"/>
      <w:sz w:val="26"/>
      <w:szCs w:val="26"/>
      <w:lang w:val="en-GB" w:eastAsia="en-GB"/>
    </w:rPr>
  </w:style>
  <w:style w:type="paragraph" w:customStyle="1" w:styleId="FormatvorlageZeilenabstand15Zeilen">
    <w:name w:val="Formatvorlage Zeilenabstand:  15 Zeilen"/>
    <w:basedOn w:val="Standard"/>
    <w:rsid w:val="008348AA"/>
    <w:pPr>
      <w:spacing w:line="360" w:lineRule="auto"/>
    </w:pPr>
    <w:rPr>
      <w:rFonts w:ascii="Verdana" w:hAnsi="Verdana"/>
      <w:sz w:val="16"/>
      <w:szCs w:val="16"/>
    </w:rPr>
  </w:style>
  <w:style w:type="character" w:styleId="Kommentarzeichen">
    <w:name w:val="annotation reference"/>
    <w:basedOn w:val="Absatz-Standardschriftart"/>
    <w:uiPriority w:val="99"/>
    <w:semiHidden/>
    <w:unhideWhenUsed/>
    <w:rsid w:val="00B17BBF"/>
    <w:rPr>
      <w:sz w:val="16"/>
      <w:szCs w:val="16"/>
    </w:rPr>
  </w:style>
  <w:style w:type="paragraph" w:styleId="Kommentartext">
    <w:name w:val="annotation text"/>
    <w:basedOn w:val="Standard"/>
    <w:link w:val="KommentartextZchn"/>
    <w:uiPriority w:val="99"/>
    <w:semiHidden/>
    <w:unhideWhenUsed/>
    <w:rsid w:val="00B17BBF"/>
    <w:rPr>
      <w:sz w:val="20"/>
    </w:rPr>
  </w:style>
  <w:style w:type="character" w:customStyle="1" w:styleId="KommentartextZchn">
    <w:name w:val="Kommentartext Zchn"/>
    <w:basedOn w:val="Absatz-Standardschriftart"/>
    <w:link w:val="Kommentartext"/>
    <w:uiPriority w:val="99"/>
    <w:semiHidden/>
    <w:rsid w:val="00B17BBF"/>
    <w:rPr>
      <w:rFonts w:ascii="Times New Roman" w:eastAsia="Times New Roman" w:hAnsi="Times New Roman" w:cs="Times New Roman"/>
      <w:sz w:val="20"/>
      <w:szCs w:val="20"/>
      <w:lang w:val="en-GB" w:eastAsia="en-GB"/>
    </w:rPr>
  </w:style>
  <w:style w:type="paragraph" w:styleId="Kommentarthema">
    <w:name w:val="annotation subject"/>
    <w:basedOn w:val="Kommentartext"/>
    <w:next w:val="Kommentartext"/>
    <w:link w:val="KommentarthemaZchn"/>
    <w:uiPriority w:val="99"/>
    <w:semiHidden/>
    <w:unhideWhenUsed/>
    <w:rsid w:val="00B17BBF"/>
    <w:rPr>
      <w:b/>
      <w:bCs/>
    </w:rPr>
  </w:style>
  <w:style w:type="character" w:customStyle="1" w:styleId="KommentarthemaZchn">
    <w:name w:val="Kommentarthema Zchn"/>
    <w:basedOn w:val="KommentartextZchn"/>
    <w:link w:val="Kommentarthema"/>
    <w:uiPriority w:val="99"/>
    <w:semiHidden/>
    <w:rsid w:val="00B17BBF"/>
    <w:rPr>
      <w:rFonts w:ascii="Times New Roman" w:eastAsia="Times New Roman" w:hAnsi="Times New Roman" w:cs="Times New Roman"/>
      <w:b/>
      <w:bCs/>
      <w:sz w:val="20"/>
      <w:szCs w:val="20"/>
      <w:lang w:val="en-GB" w:eastAsia="en-GB"/>
    </w:rPr>
  </w:style>
  <w:style w:type="paragraph" w:styleId="Sprechblasentext">
    <w:name w:val="Balloon Text"/>
    <w:basedOn w:val="Standard"/>
    <w:link w:val="SprechblasentextZchn"/>
    <w:uiPriority w:val="99"/>
    <w:semiHidden/>
    <w:unhideWhenUsed/>
    <w:rsid w:val="00B17B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7BBF"/>
    <w:rPr>
      <w:rFonts w:ascii="Tahoma" w:eastAsia="Times New Roman" w:hAnsi="Tahoma" w:cs="Tahoma"/>
      <w:sz w:val="16"/>
      <w:szCs w:val="16"/>
      <w:lang w:val="en-GB" w:eastAsia="en-GB"/>
    </w:rPr>
  </w:style>
  <w:style w:type="paragraph" w:customStyle="1" w:styleId="TableText">
    <w:name w:val="TableText"/>
    <w:basedOn w:val="Standard"/>
    <w:uiPriority w:val="99"/>
    <w:rsid w:val="00D933F6"/>
    <w:pPr>
      <w:spacing w:line="270" w:lineRule="atLeast"/>
    </w:pPr>
    <w:rPr>
      <w:rFonts w:ascii="Arial" w:eastAsia="MS ??" w:hAnsi="Arial" w:cs="Arial"/>
      <w:sz w:val="20"/>
    </w:rPr>
  </w:style>
  <w:style w:type="paragraph" w:styleId="Listenabsatz">
    <w:name w:val="List Paragraph"/>
    <w:basedOn w:val="Standard"/>
    <w:uiPriority w:val="34"/>
    <w:qFormat/>
    <w:rsid w:val="007A739C"/>
    <w:pPr>
      <w:spacing w:after="160" w:line="259" w:lineRule="auto"/>
      <w:ind w:left="720"/>
      <w:contextualSpacing/>
    </w:pPr>
    <w:rPr>
      <w:rFonts w:asciiTheme="minorHAnsi" w:eastAsiaTheme="minorHAnsi" w:hAnsiTheme="minorHAnsi" w:cstheme="minorBidi"/>
      <w:szCs w:val="22"/>
      <w:lang w:val="de-DE" w:eastAsia="en-US" w:bidi="ar-SA"/>
    </w:rPr>
  </w:style>
  <w:style w:type="character" w:customStyle="1" w:styleId="apple-converted-space">
    <w:name w:val="apple-converted-space"/>
    <w:basedOn w:val="Absatz-Standardschriftart"/>
    <w:rsid w:val="00682A32"/>
  </w:style>
</w:styles>
</file>

<file path=word/webSettings.xml><?xml version="1.0" encoding="utf-8"?>
<w:webSettings xmlns:r="http://schemas.openxmlformats.org/officeDocument/2006/relationships" xmlns:w="http://schemas.openxmlformats.org/wordprocessingml/2006/main">
  <w:divs>
    <w:div w:id="609356632">
      <w:bodyDiv w:val="1"/>
      <w:marLeft w:val="0"/>
      <w:marRight w:val="0"/>
      <w:marTop w:val="0"/>
      <w:marBottom w:val="0"/>
      <w:divBdr>
        <w:top w:val="none" w:sz="0" w:space="0" w:color="auto"/>
        <w:left w:val="none" w:sz="0" w:space="0" w:color="auto"/>
        <w:bottom w:val="none" w:sz="0" w:space="0" w:color="auto"/>
        <w:right w:val="none" w:sz="0" w:space="0" w:color="auto"/>
      </w:divBdr>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odmicrot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35C4F-E584-463A-B6CE-50EC3782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3253</Words>
  <Characters>20497</Characters>
  <Application>Microsoft Office Word</Application>
  <DocSecurity>0</DocSecurity>
  <Lines>170</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RoodMicrotec</Company>
  <LinksUpToDate>false</LinksUpToDate>
  <CharactersWithSpaces>23703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bayerle@BAYERLE-PC1</dc:creator>
  <cp:lastModifiedBy>bayerle@BAYERLE-PC</cp:lastModifiedBy>
  <cp:revision>3</cp:revision>
  <cp:lastPrinted>2016-03-10T05:44:00Z</cp:lastPrinted>
  <dcterms:created xsi:type="dcterms:W3CDTF">2016-03-10T05:44:00Z</dcterms:created>
  <dcterms:modified xsi:type="dcterms:W3CDTF">2016-03-10T05:44:00Z</dcterms:modified>
</cp:coreProperties>
</file>