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6C" w:rsidRPr="00C374F9" w:rsidRDefault="00773F54" w:rsidP="005E0CFF">
      <w:pPr>
        <w:pStyle w:val="berschrift1"/>
        <w:rPr>
          <w:rFonts w:ascii="Verdana" w:hAnsi="Verdana" w:cs="Arial"/>
          <w:color w:val="B71234"/>
          <w:sz w:val="28"/>
          <w:szCs w:val="28"/>
        </w:rPr>
      </w:pPr>
      <w:bookmarkStart w:id="0" w:name="_GoBack"/>
      <w:bookmarkEnd w:id="0"/>
      <w:r w:rsidRPr="00C374F9">
        <w:rPr>
          <w:rFonts w:ascii="Verdana" w:hAnsi="Verdana"/>
          <w:color w:val="B71234"/>
          <w:sz w:val="28"/>
        </w:rPr>
        <w:t xml:space="preserve">PERSBERICHT </w:t>
      </w:r>
    </w:p>
    <w:p w:rsidR="00C9486C" w:rsidRPr="00C374F9" w:rsidRDefault="00C9486C" w:rsidP="00071062">
      <w:pPr>
        <w:spacing w:line="276" w:lineRule="auto"/>
        <w:rPr>
          <w:rFonts w:ascii="Verdana" w:hAnsi="Verdana" w:cs="Arial"/>
          <w:sz w:val="20"/>
        </w:rPr>
      </w:pPr>
    </w:p>
    <w:p w:rsidR="0091109A" w:rsidRPr="00C374F9" w:rsidRDefault="0091109A" w:rsidP="00071062">
      <w:pPr>
        <w:autoSpaceDE w:val="0"/>
        <w:autoSpaceDN w:val="0"/>
        <w:adjustRightInd w:val="0"/>
        <w:spacing w:line="276" w:lineRule="auto"/>
        <w:rPr>
          <w:rFonts w:ascii="Verdana" w:hAnsi="Verdana"/>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C9486C" w:rsidP="00071062">
      <w:pPr>
        <w:spacing w:line="276" w:lineRule="auto"/>
        <w:rPr>
          <w:rFonts w:ascii="Verdana" w:hAnsi="Verdana" w:cs="Arial"/>
          <w:sz w:val="20"/>
        </w:rPr>
      </w:pPr>
    </w:p>
    <w:p w:rsidR="00C9486C" w:rsidRPr="00C374F9" w:rsidRDefault="00BC5D9A" w:rsidP="00071062">
      <w:pPr>
        <w:spacing w:line="276" w:lineRule="auto"/>
        <w:rPr>
          <w:rFonts w:ascii="Verdana" w:hAnsi="Verdana"/>
          <w:sz w:val="20"/>
        </w:rPr>
      </w:pPr>
      <w:r w:rsidRPr="00C374F9">
        <w:rPr>
          <w:rFonts w:ascii="Verdana" w:hAnsi="Verdana"/>
          <w:sz w:val="20"/>
        </w:rPr>
        <w:t>Zwolle</w:t>
      </w:r>
      <w:r w:rsidR="00FF4E06" w:rsidRPr="00C374F9">
        <w:rPr>
          <w:rFonts w:ascii="Verdana" w:hAnsi="Verdana"/>
          <w:sz w:val="20"/>
        </w:rPr>
        <w:t xml:space="preserve"> </w:t>
      </w:r>
      <w:r w:rsidR="00CE2613" w:rsidRPr="00C374F9">
        <w:rPr>
          <w:rFonts w:ascii="Verdana" w:hAnsi="Verdana"/>
          <w:sz w:val="20"/>
        </w:rPr>
        <w:t>–</w:t>
      </w:r>
      <w:r w:rsidR="00FF4E06" w:rsidRPr="00C374F9">
        <w:rPr>
          <w:rFonts w:ascii="Verdana" w:hAnsi="Verdana"/>
          <w:sz w:val="20"/>
        </w:rPr>
        <w:t xml:space="preserve"> </w:t>
      </w:r>
      <w:r w:rsidR="009B6903" w:rsidRPr="00C374F9">
        <w:rPr>
          <w:rFonts w:ascii="Verdana" w:hAnsi="Verdana"/>
          <w:sz w:val="20"/>
        </w:rPr>
        <w:t>1</w:t>
      </w:r>
      <w:r w:rsidR="00062768">
        <w:rPr>
          <w:rFonts w:ascii="Verdana" w:hAnsi="Verdana"/>
          <w:sz w:val="20"/>
        </w:rPr>
        <w:t>0</w:t>
      </w:r>
      <w:r w:rsidR="009B6903" w:rsidRPr="00C374F9">
        <w:rPr>
          <w:rFonts w:ascii="Verdana" w:hAnsi="Verdana"/>
          <w:sz w:val="20"/>
        </w:rPr>
        <w:t xml:space="preserve"> </w:t>
      </w:r>
      <w:r w:rsidR="00062768">
        <w:rPr>
          <w:rFonts w:ascii="Verdana" w:hAnsi="Verdana"/>
          <w:sz w:val="20"/>
        </w:rPr>
        <w:t>januari</w:t>
      </w:r>
      <w:r w:rsidR="009B6903" w:rsidRPr="00C374F9">
        <w:rPr>
          <w:rFonts w:ascii="Verdana" w:hAnsi="Verdana"/>
          <w:sz w:val="20"/>
        </w:rPr>
        <w:t xml:space="preserve"> </w:t>
      </w:r>
      <w:r w:rsidR="00105A04" w:rsidRPr="00C374F9">
        <w:rPr>
          <w:rFonts w:ascii="Verdana" w:hAnsi="Verdana"/>
          <w:sz w:val="20"/>
        </w:rPr>
        <w:t>20</w:t>
      </w:r>
      <w:r w:rsidR="008A3786" w:rsidRPr="00C374F9">
        <w:rPr>
          <w:rFonts w:ascii="Verdana" w:hAnsi="Verdana"/>
          <w:sz w:val="20"/>
        </w:rPr>
        <w:t>1</w:t>
      </w:r>
      <w:r w:rsidR="00062768">
        <w:rPr>
          <w:rFonts w:ascii="Verdana" w:hAnsi="Verdana"/>
          <w:sz w:val="20"/>
        </w:rPr>
        <w:t>7</w:t>
      </w:r>
    </w:p>
    <w:p w:rsidR="00C9486C" w:rsidRPr="00C374F9" w:rsidRDefault="00C9486C" w:rsidP="00071062">
      <w:pPr>
        <w:autoSpaceDE w:val="0"/>
        <w:autoSpaceDN w:val="0"/>
        <w:adjustRightInd w:val="0"/>
        <w:spacing w:line="276" w:lineRule="auto"/>
        <w:rPr>
          <w:rFonts w:ascii="Verdana" w:hAnsi="Verdana"/>
          <w:sz w:val="20"/>
        </w:rPr>
      </w:pPr>
    </w:p>
    <w:p w:rsidR="00C575E1" w:rsidRPr="00C374F9" w:rsidRDefault="00C575E1" w:rsidP="00071062">
      <w:pPr>
        <w:autoSpaceDE w:val="0"/>
        <w:autoSpaceDN w:val="0"/>
        <w:adjustRightInd w:val="0"/>
        <w:spacing w:line="276" w:lineRule="auto"/>
        <w:rPr>
          <w:rFonts w:ascii="Verdana" w:hAnsi="Verdana"/>
          <w:sz w:val="20"/>
        </w:rPr>
      </w:pPr>
    </w:p>
    <w:p w:rsidR="00524CE3" w:rsidRPr="00524CE3" w:rsidRDefault="00524CE3" w:rsidP="00524CE3">
      <w:pPr>
        <w:spacing w:line="276" w:lineRule="auto"/>
        <w:rPr>
          <w:rFonts w:ascii="Verdana" w:hAnsi="Verdana"/>
          <w:b/>
          <w:color w:val="B71234"/>
          <w:sz w:val="28"/>
          <w:lang w:eastAsia="en-GB" w:bidi="ar-SA"/>
        </w:rPr>
      </w:pPr>
      <w:r w:rsidRPr="00524CE3">
        <w:rPr>
          <w:rFonts w:ascii="Verdana" w:hAnsi="Verdana"/>
          <w:b/>
          <w:color w:val="B71234"/>
          <w:sz w:val="28"/>
          <w:lang w:eastAsia="en-GB" w:bidi="ar-SA"/>
        </w:rPr>
        <w:t xml:space="preserve">RoodMicrotec ziet sterke omzetontwikkeling in H2 2016, orderportefeuille groeit 20% in waarde t.o.v. vorig jaar </w:t>
      </w:r>
    </w:p>
    <w:p w:rsidR="0067013D" w:rsidRPr="00C374F9" w:rsidRDefault="0067013D" w:rsidP="00093CC4">
      <w:pPr>
        <w:spacing w:after="240" w:line="276" w:lineRule="auto"/>
        <w:rPr>
          <w:rFonts w:ascii="Verdana" w:hAnsi="Verdana" w:cs="Arial"/>
          <w:sz w:val="20"/>
          <w:lang w:eastAsia="en-GB" w:bidi="en-GB"/>
        </w:rPr>
      </w:pPr>
    </w:p>
    <w:p w:rsidR="00524CE3" w:rsidRPr="00524CE3" w:rsidRDefault="00524CE3" w:rsidP="00524CE3">
      <w:pPr>
        <w:spacing w:after="240" w:line="276" w:lineRule="auto"/>
        <w:rPr>
          <w:rFonts w:ascii="Verdana" w:hAnsi="Verdana"/>
          <w:sz w:val="20"/>
        </w:rPr>
      </w:pPr>
      <w:r w:rsidRPr="00524CE3">
        <w:rPr>
          <w:rFonts w:ascii="Verdana" w:hAnsi="Verdana"/>
          <w:sz w:val="20"/>
        </w:rPr>
        <w:t xml:space="preserve">Een sterke orderportefeuille zal naar verwachting de groei bij  </w:t>
      </w:r>
      <w:r w:rsidRPr="00E13546">
        <w:rPr>
          <w:rFonts w:ascii="Verdana" w:hAnsi="Verdana"/>
          <w:color w:val="B71234"/>
          <w:sz w:val="20"/>
        </w:rPr>
        <w:t>Rood</w:t>
      </w:r>
      <w:r w:rsidRPr="00524CE3">
        <w:rPr>
          <w:rFonts w:ascii="Verdana" w:hAnsi="Verdana"/>
          <w:sz w:val="20"/>
        </w:rPr>
        <w:t>Microtec, de Nederlandse toeleverancier van geavanceerde microchips, in 2017 flink aanjagen. De omzet van de drie belangrijke business units liet in de tweede helft van 2016 een stevige groei zien en de waarde van het orderboek is t.o.v. eind december vorig jaar met 20% gestegen.</w:t>
      </w:r>
    </w:p>
    <w:p w:rsidR="00524CE3" w:rsidRPr="00524CE3" w:rsidRDefault="00524CE3" w:rsidP="00524CE3">
      <w:pPr>
        <w:spacing w:after="240" w:line="276" w:lineRule="auto"/>
        <w:rPr>
          <w:rFonts w:ascii="Verdana" w:hAnsi="Verdana"/>
          <w:sz w:val="20"/>
        </w:rPr>
      </w:pPr>
      <w:r w:rsidRPr="00524CE3">
        <w:rPr>
          <w:rFonts w:ascii="Verdana" w:hAnsi="Verdana"/>
          <w:b/>
          <w:sz w:val="20"/>
        </w:rPr>
        <w:t xml:space="preserve">Martin Sallenhag, CEO bij </w:t>
      </w:r>
      <w:r w:rsidRPr="00E13546">
        <w:rPr>
          <w:rFonts w:ascii="Verdana" w:hAnsi="Verdana"/>
          <w:b/>
          <w:color w:val="B71234"/>
          <w:sz w:val="20"/>
        </w:rPr>
        <w:t>Rood</w:t>
      </w:r>
      <w:r w:rsidRPr="00524CE3">
        <w:rPr>
          <w:rFonts w:ascii="Verdana" w:hAnsi="Verdana"/>
          <w:b/>
          <w:sz w:val="20"/>
        </w:rPr>
        <w:t xml:space="preserve">Microtec N.V.: </w:t>
      </w:r>
      <w:r w:rsidRPr="00524CE3">
        <w:rPr>
          <w:rFonts w:ascii="Verdana" w:hAnsi="Verdana"/>
          <w:sz w:val="20"/>
        </w:rPr>
        <w:t>“</w:t>
      </w:r>
      <w:r w:rsidRPr="00E13546">
        <w:rPr>
          <w:rFonts w:ascii="Verdana" w:hAnsi="Verdana"/>
          <w:color w:val="B71234"/>
          <w:sz w:val="20"/>
        </w:rPr>
        <w:t>Rood</w:t>
      </w:r>
      <w:r w:rsidRPr="00524CE3">
        <w:rPr>
          <w:rFonts w:ascii="Verdana" w:hAnsi="Verdana"/>
          <w:sz w:val="20"/>
        </w:rPr>
        <w:t xml:space="preserve">Microtec is uitstekend gepositioneerd voor groei in 2017. De waarde van de verkooporders is 20% hoger dan een jaar geleden en we hebben in de afgelopen 12 maanden een positieve book-to-bill ratio weten te behouden, een belangrijke leidende indicator van de vraagontwikkeling in de halfgeleiderindustrie. Onze offerteportefeuille bevindt zich op een hoog en stabiel niveau en het merendeel hiervan wordt daadwerkelijk in verkoopopdrachten omgezet. Dat onderschrijft het succesvolle en solide slagingspercentage van ons bedrijf.”  </w:t>
      </w:r>
    </w:p>
    <w:p w:rsidR="00524CE3" w:rsidRPr="00524CE3" w:rsidRDefault="00524CE3" w:rsidP="00524CE3">
      <w:pPr>
        <w:spacing w:after="240" w:line="276" w:lineRule="auto"/>
        <w:rPr>
          <w:rFonts w:ascii="Verdana" w:hAnsi="Verdana"/>
          <w:sz w:val="20"/>
        </w:rPr>
      </w:pPr>
      <w:r w:rsidRPr="00E13546">
        <w:rPr>
          <w:rFonts w:ascii="Verdana" w:hAnsi="Verdana"/>
          <w:color w:val="B71234"/>
          <w:sz w:val="20"/>
        </w:rPr>
        <w:t>Rood</w:t>
      </w:r>
      <w:r w:rsidRPr="00524CE3">
        <w:rPr>
          <w:rFonts w:ascii="Verdana" w:hAnsi="Verdana"/>
          <w:sz w:val="20"/>
        </w:rPr>
        <w:t xml:space="preserve">Microtec zag een zeer positieve stijging in de omzet van zijn drie grootste business units in de tweede helft van 2016 in vergelijking met de zes voorgaande maanden. </w:t>
      </w:r>
    </w:p>
    <w:p w:rsidR="00524CE3" w:rsidRPr="00524CE3" w:rsidRDefault="00524CE3" w:rsidP="00524CE3">
      <w:pPr>
        <w:spacing w:line="276" w:lineRule="auto"/>
        <w:rPr>
          <w:rFonts w:ascii="Verdana" w:hAnsi="Verdana"/>
          <w:sz w:val="20"/>
        </w:rPr>
      </w:pPr>
      <w:r w:rsidRPr="00524CE3">
        <w:rPr>
          <w:rFonts w:ascii="Verdana" w:hAnsi="Verdana"/>
          <w:sz w:val="20"/>
        </w:rPr>
        <w:t xml:space="preserve">De omzet van de Test Operations unit steeg in deze periode met 19% en was stabiel jaar-op-jaar. Eerder gemelde uitdagingen in Supply Chain Management verdwenen tijdens de tweede helft van 2016 en deze businessunit steeg met 24%, met name als gevolg van de opvoering van het productiecontract met het Zwitserse halfgeleiderbedrijf Altec AG, waar de omzet naar verwachting zal verdubbelen in de komende twee jaar. </w:t>
      </w:r>
    </w:p>
    <w:p w:rsidR="00524CE3" w:rsidRPr="00524CE3" w:rsidRDefault="00524CE3" w:rsidP="00524CE3">
      <w:pPr>
        <w:spacing w:line="276" w:lineRule="auto"/>
        <w:rPr>
          <w:rFonts w:ascii="Verdana" w:hAnsi="Verdana"/>
          <w:sz w:val="20"/>
        </w:rPr>
      </w:pPr>
    </w:p>
    <w:p w:rsidR="00524CE3" w:rsidRPr="00524CE3" w:rsidRDefault="00524CE3" w:rsidP="00524CE3">
      <w:pPr>
        <w:spacing w:line="276" w:lineRule="auto"/>
        <w:rPr>
          <w:rFonts w:ascii="Verdana" w:hAnsi="Verdana"/>
          <w:sz w:val="20"/>
        </w:rPr>
      </w:pPr>
      <w:r w:rsidRPr="00524CE3">
        <w:rPr>
          <w:rFonts w:ascii="Verdana" w:hAnsi="Verdana"/>
          <w:sz w:val="20"/>
        </w:rPr>
        <w:t>De Qualification &amp; Reliability Investigation unit liet in tegenstelling tot de twee andere hoofd business units een substantiële jaar-op-jaar omzetstijging van 26% over de afgelopen 12 maanden zien. Dit was het gevolg van grote lopende projecten en het begin van kwalificatiewerkzaamheden in andere grote contracten.</w:t>
      </w:r>
    </w:p>
    <w:p w:rsidR="00524CE3" w:rsidRDefault="00524CE3">
      <w:pPr>
        <w:spacing w:after="200" w:line="276" w:lineRule="auto"/>
        <w:rPr>
          <w:rFonts w:ascii="Verdana" w:hAnsi="Verdana"/>
          <w:b/>
          <w:sz w:val="20"/>
        </w:rPr>
      </w:pPr>
      <w:r>
        <w:rPr>
          <w:rFonts w:ascii="Verdana" w:hAnsi="Verdana"/>
          <w:b/>
          <w:sz w:val="20"/>
        </w:rPr>
        <w:br w:type="page"/>
      </w:r>
    </w:p>
    <w:p w:rsidR="00524CE3" w:rsidRPr="00524CE3" w:rsidRDefault="00524CE3" w:rsidP="00524CE3">
      <w:pPr>
        <w:spacing w:after="60" w:line="276" w:lineRule="auto"/>
        <w:rPr>
          <w:rFonts w:ascii="Verdana" w:hAnsi="Verdana"/>
          <w:b/>
          <w:color w:val="B71234"/>
          <w:sz w:val="20"/>
          <w:lang w:bidi="ar-SA"/>
        </w:rPr>
      </w:pPr>
      <w:r w:rsidRPr="00524CE3">
        <w:rPr>
          <w:rFonts w:ascii="Verdana" w:hAnsi="Verdana"/>
          <w:b/>
          <w:color w:val="B71234"/>
          <w:sz w:val="20"/>
          <w:lang w:bidi="ar-SA"/>
        </w:rPr>
        <w:lastRenderedPageBreak/>
        <w:t xml:space="preserve">Verkopen per business unit H2-2016 vergeleken met H1-2016:   </w:t>
      </w:r>
    </w:p>
    <w:tbl>
      <w:tblPr>
        <w:tblW w:w="9640" w:type="dxa"/>
        <w:tblInd w:w="-34" w:type="dxa"/>
        <w:tblLayout w:type="fixed"/>
        <w:tblLook w:val="04A0"/>
      </w:tblPr>
      <w:tblGrid>
        <w:gridCol w:w="4253"/>
        <w:gridCol w:w="236"/>
        <w:gridCol w:w="1465"/>
        <w:gridCol w:w="284"/>
        <w:gridCol w:w="1465"/>
        <w:gridCol w:w="236"/>
        <w:gridCol w:w="1701"/>
      </w:tblGrid>
      <w:tr w:rsidR="00980B35" w:rsidRPr="00375A85" w:rsidTr="00980B35">
        <w:tc>
          <w:tcPr>
            <w:tcW w:w="4253" w:type="dxa"/>
            <w:vAlign w:val="bottom"/>
          </w:tcPr>
          <w:p w:rsidR="00980B35" w:rsidRPr="00375A85" w:rsidRDefault="00980B35" w:rsidP="00980B35">
            <w:pPr>
              <w:spacing w:line="276" w:lineRule="auto"/>
              <w:jc w:val="both"/>
              <w:rPr>
                <w:rFonts w:ascii="Verdana" w:hAnsi="Verdana"/>
                <w:sz w:val="20"/>
                <w:lang w:val="en-GB"/>
              </w:rPr>
            </w:pPr>
            <w:r w:rsidRPr="00375A85">
              <w:rPr>
                <w:rFonts w:ascii="Verdana" w:hAnsi="Verdana"/>
                <w:sz w:val="20"/>
                <w:lang w:val="en-GB"/>
              </w:rPr>
              <w:t>(x EUR 1.000)</w:t>
            </w:r>
          </w:p>
        </w:tc>
        <w:tc>
          <w:tcPr>
            <w:tcW w:w="236" w:type="dxa"/>
          </w:tcPr>
          <w:p w:rsidR="00980B35" w:rsidRPr="00375A85" w:rsidRDefault="00980B35" w:rsidP="00980B35">
            <w:pPr>
              <w:tabs>
                <w:tab w:val="right" w:pos="3960"/>
                <w:tab w:val="right" w:pos="5670"/>
                <w:tab w:val="left" w:pos="7380"/>
                <w:tab w:val="right" w:pos="8460"/>
              </w:tabs>
              <w:spacing w:line="276" w:lineRule="auto"/>
              <w:rPr>
                <w:rFonts w:ascii="Verdana" w:hAnsi="Verdana"/>
                <w:b/>
                <w:bCs/>
                <w:color w:val="000000"/>
                <w:sz w:val="20"/>
                <w:lang w:val="en-GB"/>
              </w:rPr>
            </w:pPr>
          </w:p>
        </w:tc>
        <w:tc>
          <w:tcPr>
            <w:tcW w:w="1465" w:type="dxa"/>
          </w:tcPr>
          <w:p w:rsidR="00980B35" w:rsidRPr="00375A85"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lang w:val="en-GB"/>
              </w:rPr>
            </w:pPr>
            <w:r w:rsidRPr="00375A85">
              <w:rPr>
                <w:rFonts w:ascii="Verdana" w:hAnsi="Verdana"/>
                <w:b/>
                <w:sz w:val="20"/>
                <w:lang w:val="en-GB"/>
              </w:rPr>
              <w:t>H2 2016</w:t>
            </w:r>
          </w:p>
        </w:tc>
        <w:tc>
          <w:tcPr>
            <w:tcW w:w="284"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p>
        </w:tc>
        <w:tc>
          <w:tcPr>
            <w:tcW w:w="1465" w:type="dxa"/>
          </w:tcPr>
          <w:p w:rsidR="00980B35" w:rsidRPr="00375A85"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lang w:val="en-GB"/>
              </w:rPr>
            </w:pPr>
            <w:r w:rsidRPr="00375A85">
              <w:rPr>
                <w:rFonts w:ascii="Verdana" w:hAnsi="Verdana"/>
                <w:b/>
                <w:sz w:val="20"/>
                <w:lang w:val="en-GB"/>
              </w:rPr>
              <w:t>H1 2016</w:t>
            </w:r>
          </w:p>
        </w:tc>
        <w:tc>
          <w:tcPr>
            <w:tcW w:w="236"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p>
        </w:tc>
        <w:tc>
          <w:tcPr>
            <w:tcW w:w="1701"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proofErr w:type="spellStart"/>
            <w:r>
              <w:rPr>
                <w:rFonts w:ascii="Verdana" w:hAnsi="Verdana"/>
                <w:b/>
                <w:sz w:val="20"/>
                <w:lang w:val="en-GB"/>
              </w:rPr>
              <w:t>Verandering</w:t>
            </w:r>
            <w:proofErr w:type="spellEnd"/>
          </w:p>
        </w:tc>
      </w:tr>
      <w:tr w:rsidR="00980B35" w:rsidRPr="00375A85" w:rsidTr="00980B35">
        <w:tc>
          <w:tcPr>
            <w:tcW w:w="4253" w:type="dxa"/>
            <w:vAlign w:val="bottom"/>
          </w:tcPr>
          <w:p w:rsidR="00980B35" w:rsidRPr="00375A85" w:rsidRDefault="00980B35" w:rsidP="00980B35">
            <w:pPr>
              <w:tabs>
                <w:tab w:val="right" w:pos="3960"/>
                <w:tab w:val="right" w:pos="5670"/>
                <w:tab w:val="left" w:pos="7380"/>
                <w:tab w:val="right" w:pos="8460"/>
              </w:tabs>
              <w:spacing w:line="276" w:lineRule="auto"/>
              <w:rPr>
                <w:rFonts w:ascii="Verdana" w:hAnsi="Verdana"/>
                <w:sz w:val="20"/>
                <w:lang w:val="en-GB"/>
              </w:rPr>
            </w:pPr>
            <w:r w:rsidRPr="00375A85">
              <w:rPr>
                <w:rFonts w:ascii="Verdana" w:hAnsi="Verdana"/>
                <w:sz w:val="20"/>
                <w:lang w:val="en-GB"/>
              </w:rPr>
              <w:t>Test Operations</w:t>
            </w:r>
          </w:p>
        </w:tc>
        <w:tc>
          <w:tcPr>
            <w:tcW w:w="236" w:type="dxa"/>
          </w:tcPr>
          <w:p w:rsidR="00980B35" w:rsidRPr="00375A85" w:rsidRDefault="00980B35" w:rsidP="00980B35">
            <w:pPr>
              <w:tabs>
                <w:tab w:val="right" w:pos="3960"/>
                <w:tab w:val="right" w:pos="5670"/>
                <w:tab w:val="left" w:pos="7380"/>
                <w:tab w:val="right" w:pos="8460"/>
              </w:tabs>
              <w:spacing w:line="276" w:lineRule="auto"/>
              <w:rPr>
                <w:rFonts w:ascii="Verdana" w:hAnsi="Verdana"/>
                <w:b/>
                <w:bCs/>
                <w:color w:val="000000"/>
                <w:sz w:val="20"/>
                <w:lang w:val="en-GB"/>
              </w:rPr>
            </w:pPr>
          </w:p>
        </w:tc>
        <w:tc>
          <w:tcPr>
            <w:tcW w:w="1465" w:type="dxa"/>
          </w:tcPr>
          <w:p w:rsidR="00980B35" w:rsidRPr="00375A85"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lang w:val="en-GB"/>
              </w:rPr>
            </w:pPr>
            <w:r w:rsidRPr="00375A85">
              <w:rPr>
                <w:rFonts w:ascii="Verdana" w:hAnsi="Verdana"/>
                <w:sz w:val="20"/>
                <w:lang w:val="en-GB"/>
              </w:rPr>
              <w:t>2.025</w:t>
            </w:r>
          </w:p>
        </w:tc>
        <w:tc>
          <w:tcPr>
            <w:tcW w:w="284"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p>
        </w:tc>
        <w:tc>
          <w:tcPr>
            <w:tcW w:w="1465" w:type="dxa"/>
          </w:tcPr>
          <w:p w:rsidR="00980B35" w:rsidRPr="00375A85"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lang w:val="en-GB"/>
              </w:rPr>
            </w:pPr>
            <w:r w:rsidRPr="00375A85">
              <w:rPr>
                <w:rFonts w:ascii="Verdana" w:hAnsi="Verdana"/>
                <w:bCs/>
                <w:color w:val="000000"/>
                <w:sz w:val="20"/>
                <w:lang w:val="en-GB"/>
              </w:rPr>
              <w:t>1.702</w:t>
            </w:r>
          </w:p>
        </w:tc>
        <w:tc>
          <w:tcPr>
            <w:tcW w:w="236"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p>
        </w:tc>
        <w:tc>
          <w:tcPr>
            <w:tcW w:w="1701" w:type="dxa"/>
          </w:tcPr>
          <w:p w:rsidR="00980B35" w:rsidRPr="00375A85" w:rsidRDefault="00980B35" w:rsidP="00980B35">
            <w:pPr>
              <w:tabs>
                <w:tab w:val="right" w:pos="3960"/>
                <w:tab w:val="right" w:pos="5670"/>
                <w:tab w:val="left" w:pos="7380"/>
                <w:tab w:val="right" w:pos="8460"/>
              </w:tabs>
              <w:spacing w:line="276" w:lineRule="auto"/>
              <w:jc w:val="right"/>
              <w:rPr>
                <w:rFonts w:ascii="Verdana" w:hAnsi="Verdana"/>
                <w:bCs/>
                <w:color w:val="000000"/>
                <w:sz w:val="20"/>
                <w:lang w:val="en-GB"/>
              </w:rPr>
            </w:pPr>
            <w:r w:rsidRPr="00375A85">
              <w:rPr>
                <w:rFonts w:ascii="Verdana" w:hAnsi="Verdana"/>
                <w:sz w:val="20"/>
                <w:lang w:val="en-GB"/>
              </w:rPr>
              <w:t>+19%</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sidRPr="00375A85">
              <w:rPr>
                <w:rFonts w:ascii="Verdana" w:hAnsi="Verdana"/>
                <w:sz w:val="20"/>
                <w:lang w:val="en-GB"/>
              </w:rPr>
              <w:t xml:space="preserve">Supply </w:t>
            </w:r>
            <w:r>
              <w:rPr>
                <w:rFonts w:ascii="Verdana" w:hAnsi="Verdana"/>
                <w:sz w:val="20"/>
              </w:rPr>
              <w:t>Chain Management (SCM)</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1.151</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102F4D" w:rsidRDefault="00980B35" w:rsidP="00980B35">
            <w:pPr>
              <w:tabs>
                <w:tab w:val="right" w:pos="3960"/>
                <w:tab w:val="right" w:pos="5670"/>
                <w:tab w:val="left" w:pos="7380"/>
                <w:tab w:val="right" w:pos="8460"/>
              </w:tabs>
              <w:spacing w:line="276" w:lineRule="auto"/>
              <w:ind w:left="-203"/>
              <w:jc w:val="right"/>
              <w:rPr>
                <w:rFonts w:ascii="Verdana" w:hAnsi="Verdana"/>
                <w:sz w:val="20"/>
              </w:rPr>
            </w:pPr>
            <w:r>
              <w:rPr>
                <w:rFonts w:ascii="Verdana" w:hAnsi="Verdana"/>
                <w:sz w:val="20"/>
              </w:rPr>
              <w:t>926</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+24%</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Failure &amp; Technological Analysis</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vAlign w:val="bottom"/>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743</w:t>
            </w:r>
          </w:p>
        </w:tc>
        <w:tc>
          <w:tcPr>
            <w:tcW w:w="284"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vAlign w:val="bottom"/>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751</w:t>
            </w:r>
          </w:p>
        </w:tc>
        <w:tc>
          <w:tcPr>
            <w:tcW w:w="236"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Test Engineering</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241</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230</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+5%</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Qualification &amp; Reliability Investigation</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1.386</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1.310</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+6%</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b/>
                <w:sz w:val="20"/>
              </w:rPr>
            </w:pPr>
            <w:r>
              <w:rPr>
                <w:rFonts w:ascii="Verdana" w:hAnsi="Verdana"/>
                <w:b/>
                <w:sz w:val="20"/>
              </w:rPr>
              <w:t>TOTAAL</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5.546</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4.919</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
                <w:bCs/>
                <w:color w:val="000000"/>
                <w:sz w:val="20"/>
              </w:rPr>
            </w:pPr>
            <w:r>
              <w:rPr>
                <w:rFonts w:ascii="Verdana" w:hAnsi="Verdana"/>
                <w:b/>
                <w:sz w:val="20"/>
              </w:rPr>
              <w:t>+13%</w:t>
            </w:r>
          </w:p>
        </w:tc>
      </w:tr>
    </w:tbl>
    <w:p w:rsidR="00524CE3" w:rsidRPr="00980B35" w:rsidRDefault="00524CE3" w:rsidP="00980B35">
      <w:pPr>
        <w:spacing w:after="240" w:line="276" w:lineRule="auto"/>
        <w:rPr>
          <w:rFonts w:ascii="Verdana" w:hAnsi="Verdana"/>
          <w:sz w:val="20"/>
        </w:rPr>
      </w:pPr>
    </w:p>
    <w:p w:rsidR="00524CE3" w:rsidRPr="00524CE3" w:rsidRDefault="00524CE3" w:rsidP="00980B35">
      <w:pPr>
        <w:spacing w:after="60" w:line="276" w:lineRule="auto"/>
        <w:rPr>
          <w:rFonts w:ascii="Verdana" w:hAnsi="Verdana"/>
          <w:b/>
          <w:color w:val="B71234"/>
          <w:sz w:val="20"/>
          <w:lang w:bidi="ar-SA"/>
        </w:rPr>
      </w:pPr>
      <w:r w:rsidRPr="00524CE3">
        <w:rPr>
          <w:rFonts w:ascii="Verdana" w:hAnsi="Verdana"/>
          <w:b/>
          <w:color w:val="B71234"/>
          <w:sz w:val="20"/>
          <w:lang w:bidi="ar-SA"/>
        </w:rPr>
        <w:t>Verkopen per business unit in 2016 vergeleken met 2015:</w:t>
      </w:r>
    </w:p>
    <w:tbl>
      <w:tblPr>
        <w:tblW w:w="9640" w:type="dxa"/>
        <w:tblInd w:w="-34" w:type="dxa"/>
        <w:tblLayout w:type="fixed"/>
        <w:tblLook w:val="04A0"/>
      </w:tblPr>
      <w:tblGrid>
        <w:gridCol w:w="4253"/>
        <w:gridCol w:w="236"/>
        <w:gridCol w:w="1465"/>
        <w:gridCol w:w="284"/>
        <w:gridCol w:w="1465"/>
        <w:gridCol w:w="236"/>
        <w:gridCol w:w="1701"/>
      </w:tblGrid>
      <w:tr w:rsidR="00980B35" w:rsidRPr="00666803" w:rsidTr="00980B35">
        <w:tc>
          <w:tcPr>
            <w:tcW w:w="4253" w:type="dxa"/>
            <w:vAlign w:val="bottom"/>
          </w:tcPr>
          <w:p w:rsidR="00980B35" w:rsidRPr="00C100EB" w:rsidRDefault="00980B35" w:rsidP="00980B35">
            <w:pPr>
              <w:spacing w:line="276" w:lineRule="auto"/>
              <w:jc w:val="both"/>
              <w:rPr>
                <w:rFonts w:ascii="Verdana" w:hAnsi="Verdana"/>
                <w:sz w:val="20"/>
              </w:rPr>
            </w:pPr>
            <w:r>
              <w:rPr>
                <w:rFonts w:ascii="Verdana" w:hAnsi="Verdana"/>
                <w:sz w:val="20"/>
              </w:rPr>
              <w:t>(x EUR</w:t>
            </w:r>
            <w:r w:rsidRPr="00C100EB">
              <w:rPr>
                <w:rFonts w:ascii="Verdana" w:hAnsi="Verdana"/>
                <w:sz w:val="20"/>
              </w:rPr>
              <w:t xml:space="preserve"> 1</w:t>
            </w:r>
            <w:r>
              <w:rPr>
                <w:rFonts w:ascii="Verdana" w:hAnsi="Verdana"/>
                <w:sz w:val="20"/>
              </w:rPr>
              <w:t>.</w:t>
            </w:r>
            <w:r w:rsidRPr="00C100EB">
              <w:rPr>
                <w:rFonts w:ascii="Verdana" w:hAnsi="Verdana"/>
                <w:sz w:val="20"/>
              </w:rPr>
              <w:t>000)</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2016</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
                <w:sz w:val="20"/>
              </w:rPr>
              <w:t>2015</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b/>
                <w:sz w:val="20"/>
              </w:rPr>
              <w:t>Verandering</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Test Operations</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3.727</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3.676</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Supply Chain Management (SCM)</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2.077</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102F4D" w:rsidRDefault="00980B35" w:rsidP="00980B35">
            <w:pPr>
              <w:tabs>
                <w:tab w:val="right" w:pos="3960"/>
                <w:tab w:val="right" w:pos="5670"/>
                <w:tab w:val="left" w:pos="7380"/>
                <w:tab w:val="right" w:pos="8460"/>
              </w:tabs>
              <w:spacing w:line="276" w:lineRule="auto"/>
              <w:ind w:left="-203"/>
              <w:jc w:val="right"/>
              <w:rPr>
                <w:rFonts w:ascii="Verdana" w:hAnsi="Verdana"/>
                <w:sz w:val="20"/>
              </w:rPr>
            </w:pPr>
            <w:r>
              <w:rPr>
                <w:rFonts w:ascii="Verdana" w:hAnsi="Verdana"/>
                <w:sz w:val="20"/>
              </w:rPr>
              <w:t>2.348</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-12%</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Failure &amp; Technological Analysis</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vAlign w:val="bottom"/>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1.494</w:t>
            </w:r>
          </w:p>
        </w:tc>
        <w:tc>
          <w:tcPr>
            <w:tcW w:w="284"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vAlign w:val="bottom"/>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1.655</w:t>
            </w:r>
          </w:p>
        </w:tc>
        <w:tc>
          <w:tcPr>
            <w:tcW w:w="236"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vAlign w:val="bottom"/>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-10%</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Test Engineering</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471</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color w:val="000000"/>
                <w:sz w:val="20"/>
              </w:rPr>
              <w:t>437</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+8%</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sz w:val="20"/>
              </w:rPr>
            </w:pPr>
            <w:r>
              <w:rPr>
                <w:rFonts w:ascii="Verdana" w:hAnsi="Verdana"/>
                <w:sz w:val="20"/>
              </w:rPr>
              <w:t xml:space="preserve">Qualification &amp; Reliability Investigation </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sz w:val="20"/>
              </w:rPr>
              <w:t>2.696</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Cs/>
                <w:color w:val="000000"/>
                <w:sz w:val="20"/>
              </w:rPr>
            </w:pPr>
            <w:r>
              <w:rPr>
                <w:rFonts w:ascii="Verdana" w:hAnsi="Verdana"/>
                <w:bCs/>
                <w:color w:val="000000"/>
                <w:sz w:val="20"/>
              </w:rPr>
              <w:t>2.134</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r>
              <w:rPr>
                <w:rFonts w:ascii="Verdana" w:hAnsi="Verdana"/>
                <w:sz w:val="20"/>
              </w:rPr>
              <w:t>+26%</w:t>
            </w:r>
          </w:p>
        </w:tc>
      </w:tr>
      <w:tr w:rsidR="00980B35" w:rsidRPr="00666803" w:rsidTr="00980B35">
        <w:tc>
          <w:tcPr>
            <w:tcW w:w="4253" w:type="dxa"/>
            <w:vAlign w:val="bottom"/>
          </w:tcPr>
          <w:p w:rsidR="00980B35" w:rsidRPr="00666803" w:rsidRDefault="00980B35" w:rsidP="00980B35">
            <w:pPr>
              <w:tabs>
                <w:tab w:val="right" w:pos="3960"/>
                <w:tab w:val="right" w:pos="5670"/>
                <w:tab w:val="left" w:pos="7380"/>
                <w:tab w:val="right" w:pos="8460"/>
              </w:tabs>
              <w:spacing w:line="276" w:lineRule="auto"/>
              <w:rPr>
                <w:rFonts w:ascii="Verdana" w:hAnsi="Verdana"/>
                <w:b/>
                <w:sz w:val="20"/>
              </w:rPr>
            </w:pPr>
            <w:r>
              <w:rPr>
                <w:rFonts w:ascii="Verdana" w:hAnsi="Verdana"/>
                <w:b/>
                <w:sz w:val="20"/>
              </w:rPr>
              <w:t>TOTAAL</w:t>
            </w:r>
          </w:p>
        </w:tc>
        <w:tc>
          <w:tcPr>
            <w:tcW w:w="236" w:type="dxa"/>
          </w:tcPr>
          <w:p w:rsidR="00980B35" w:rsidRPr="00666803" w:rsidRDefault="00980B35" w:rsidP="00980B35">
            <w:pPr>
              <w:tabs>
                <w:tab w:val="right" w:pos="3960"/>
                <w:tab w:val="right" w:pos="5670"/>
                <w:tab w:val="left" w:pos="7380"/>
                <w:tab w:val="right" w:pos="8460"/>
              </w:tabs>
              <w:spacing w:line="276" w:lineRule="auto"/>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10.465</w:t>
            </w:r>
          </w:p>
        </w:tc>
        <w:tc>
          <w:tcPr>
            <w:tcW w:w="284"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
                <w:bCs/>
                <w:color w:val="000000"/>
                <w:sz w:val="20"/>
              </w:rPr>
            </w:pPr>
          </w:p>
        </w:tc>
        <w:tc>
          <w:tcPr>
            <w:tcW w:w="1465" w:type="dxa"/>
          </w:tcPr>
          <w:p w:rsidR="00980B35" w:rsidRPr="00666803" w:rsidRDefault="00980B35" w:rsidP="00980B35">
            <w:pPr>
              <w:tabs>
                <w:tab w:val="right" w:pos="3960"/>
                <w:tab w:val="right" w:pos="5670"/>
                <w:tab w:val="left" w:pos="7380"/>
                <w:tab w:val="right" w:pos="8460"/>
              </w:tabs>
              <w:spacing w:line="276" w:lineRule="auto"/>
              <w:ind w:left="-203"/>
              <w:jc w:val="right"/>
              <w:rPr>
                <w:rFonts w:ascii="Verdana" w:hAnsi="Verdana"/>
                <w:b/>
                <w:bCs/>
                <w:color w:val="000000"/>
                <w:sz w:val="20"/>
              </w:rPr>
            </w:pPr>
            <w:r>
              <w:rPr>
                <w:rFonts w:ascii="Verdana" w:hAnsi="Verdana"/>
                <w:b/>
                <w:sz w:val="20"/>
              </w:rPr>
              <w:t>10.250</w:t>
            </w:r>
          </w:p>
        </w:tc>
        <w:tc>
          <w:tcPr>
            <w:tcW w:w="236"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Cs/>
                <w:color w:val="000000"/>
                <w:sz w:val="20"/>
              </w:rPr>
            </w:pPr>
          </w:p>
        </w:tc>
        <w:tc>
          <w:tcPr>
            <w:tcW w:w="1701" w:type="dxa"/>
          </w:tcPr>
          <w:p w:rsidR="00980B35" w:rsidRPr="00666803" w:rsidRDefault="00980B35" w:rsidP="00980B35">
            <w:pPr>
              <w:tabs>
                <w:tab w:val="right" w:pos="3960"/>
                <w:tab w:val="right" w:pos="5670"/>
                <w:tab w:val="left" w:pos="7380"/>
                <w:tab w:val="right" w:pos="8460"/>
              </w:tabs>
              <w:spacing w:line="276" w:lineRule="auto"/>
              <w:jc w:val="right"/>
              <w:rPr>
                <w:rFonts w:ascii="Verdana" w:hAnsi="Verdana"/>
                <w:b/>
                <w:bCs/>
                <w:color w:val="000000"/>
                <w:sz w:val="20"/>
              </w:rPr>
            </w:pPr>
            <w:r>
              <w:rPr>
                <w:rFonts w:ascii="Verdana" w:hAnsi="Verdana"/>
                <w:b/>
                <w:sz w:val="20"/>
              </w:rPr>
              <w:t>+2%</w:t>
            </w:r>
          </w:p>
        </w:tc>
      </w:tr>
    </w:tbl>
    <w:p w:rsidR="00524CE3" w:rsidRPr="00524CE3" w:rsidRDefault="00524CE3" w:rsidP="00980B35">
      <w:pPr>
        <w:spacing w:after="240" w:line="276" w:lineRule="auto"/>
        <w:rPr>
          <w:rFonts w:ascii="Verdana" w:hAnsi="Verdana"/>
          <w:sz w:val="20"/>
        </w:rPr>
      </w:pPr>
    </w:p>
    <w:p w:rsidR="00524CE3" w:rsidRPr="00524CE3" w:rsidRDefault="00524CE3" w:rsidP="00524CE3">
      <w:pPr>
        <w:spacing w:after="60" w:line="276" w:lineRule="auto"/>
        <w:rPr>
          <w:rFonts w:ascii="Verdana" w:hAnsi="Verdana"/>
          <w:b/>
          <w:color w:val="B71234"/>
          <w:sz w:val="20"/>
          <w:lang w:bidi="ar-SA"/>
        </w:rPr>
      </w:pPr>
      <w:r w:rsidRPr="00524CE3">
        <w:rPr>
          <w:rFonts w:ascii="Verdana" w:hAnsi="Verdana"/>
          <w:b/>
          <w:color w:val="B71234"/>
          <w:sz w:val="20"/>
          <w:lang w:bidi="ar-SA"/>
        </w:rPr>
        <w:t>Outlook</w:t>
      </w:r>
    </w:p>
    <w:p w:rsidR="00524CE3" w:rsidRPr="00524CE3" w:rsidRDefault="00524CE3" w:rsidP="00524CE3">
      <w:pPr>
        <w:spacing w:line="276" w:lineRule="auto"/>
        <w:rPr>
          <w:rFonts w:ascii="Verdana" w:hAnsi="Verdana"/>
          <w:sz w:val="20"/>
        </w:rPr>
      </w:pPr>
      <w:r w:rsidRPr="00524CE3">
        <w:rPr>
          <w:rFonts w:ascii="Verdana" w:hAnsi="Verdana"/>
          <w:sz w:val="20"/>
        </w:rPr>
        <w:t xml:space="preserve">Het RoodMicrotec managementteam is zeer positief over de toekomstige ontwikkelingen van het bedrijf en herbevestigt het vooruitzicht voor een omzetstijging van 75% tussen nu en 2020.  </w:t>
      </w:r>
    </w:p>
    <w:p w:rsidR="00524CE3" w:rsidRPr="00980B35" w:rsidRDefault="00524CE3" w:rsidP="00980B35">
      <w:pPr>
        <w:spacing w:after="240" w:line="276" w:lineRule="auto"/>
        <w:rPr>
          <w:rFonts w:ascii="Verdana" w:hAnsi="Verdana"/>
          <w:sz w:val="20"/>
        </w:rPr>
      </w:pPr>
    </w:p>
    <w:p w:rsidR="00524CE3" w:rsidRPr="00524CE3" w:rsidRDefault="00524CE3" w:rsidP="00524CE3">
      <w:pPr>
        <w:spacing w:after="60" w:line="276" w:lineRule="auto"/>
        <w:rPr>
          <w:rFonts w:ascii="Verdana" w:hAnsi="Verdana"/>
          <w:b/>
          <w:color w:val="B71234"/>
          <w:sz w:val="20"/>
          <w:lang w:bidi="ar-SA"/>
        </w:rPr>
      </w:pPr>
      <w:r w:rsidRPr="00524CE3">
        <w:rPr>
          <w:rFonts w:ascii="Verdana" w:hAnsi="Verdana"/>
          <w:b/>
          <w:color w:val="B71234"/>
          <w:sz w:val="20"/>
          <w:lang w:bidi="ar-SA"/>
        </w:rPr>
        <w:t>Audit</w:t>
      </w:r>
    </w:p>
    <w:p w:rsidR="00524CE3" w:rsidRPr="00524CE3" w:rsidRDefault="00524CE3" w:rsidP="00524CE3">
      <w:pPr>
        <w:spacing w:line="276" w:lineRule="auto"/>
        <w:rPr>
          <w:rFonts w:ascii="Verdana" w:hAnsi="Verdana"/>
          <w:b/>
          <w:sz w:val="20"/>
        </w:rPr>
      </w:pPr>
      <w:r w:rsidRPr="00524CE3">
        <w:rPr>
          <w:rFonts w:ascii="Verdana" w:hAnsi="Verdana"/>
          <w:sz w:val="20"/>
        </w:rPr>
        <w:t>Op de financiële gegevens is geen accountantscontrole toegepast.</w:t>
      </w:r>
    </w:p>
    <w:p w:rsidR="00524CE3" w:rsidRPr="00524CE3" w:rsidRDefault="00524CE3" w:rsidP="00980B35">
      <w:pPr>
        <w:spacing w:after="240" w:line="276" w:lineRule="auto"/>
        <w:rPr>
          <w:rFonts w:ascii="Verdana" w:hAnsi="Verdana"/>
          <w:sz w:val="20"/>
        </w:rPr>
      </w:pPr>
    </w:p>
    <w:p w:rsidR="00524CE3" w:rsidRPr="00524CE3" w:rsidRDefault="00524CE3" w:rsidP="00524CE3">
      <w:pPr>
        <w:spacing w:after="60" w:line="276" w:lineRule="auto"/>
        <w:rPr>
          <w:rFonts w:ascii="Verdana" w:hAnsi="Verdana"/>
          <w:b/>
          <w:color w:val="B71234"/>
          <w:sz w:val="20"/>
          <w:lang w:bidi="ar-SA"/>
        </w:rPr>
      </w:pPr>
      <w:r w:rsidRPr="00524CE3">
        <w:rPr>
          <w:rFonts w:ascii="Verdana" w:hAnsi="Verdana"/>
          <w:b/>
          <w:color w:val="B71234"/>
          <w:sz w:val="20"/>
          <w:lang w:bidi="ar-SA"/>
        </w:rPr>
        <w:t>Toekomstgerichte uitspraken </w:t>
      </w:r>
    </w:p>
    <w:p w:rsidR="00524CE3" w:rsidRPr="00524CE3" w:rsidRDefault="00524CE3" w:rsidP="00524CE3">
      <w:pPr>
        <w:pStyle w:val="p1"/>
        <w:spacing w:line="276" w:lineRule="auto"/>
        <w:rPr>
          <w:rFonts w:ascii="Verdana" w:hAnsi="Verdana"/>
          <w:sz w:val="20"/>
          <w:szCs w:val="20"/>
          <w:lang w:val="nl-NL"/>
        </w:rPr>
      </w:pPr>
      <w:r w:rsidRPr="00524CE3">
        <w:rPr>
          <w:rStyle w:val="s1"/>
          <w:rFonts w:ascii="Verdana" w:hAnsi="Verdana"/>
          <w:sz w:val="20"/>
          <w:szCs w:val="20"/>
          <w:lang w:val="nl-NL"/>
        </w:rP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regelgevingen. Het management van </w:t>
      </w:r>
      <w:r w:rsidRPr="00524CE3">
        <w:rPr>
          <w:rStyle w:val="s3"/>
          <w:rFonts w:ascii="Verdana" w:hAnsi="Verdana"/>
          <w:sz w:val="20"/>
          <w:szCs w:val="20"/>
          <w:lang w:val="nl-NL"/>
        </w:rPr>
        <w:t>Rood</w:t>
      </w:r>
      <w:r w:rsidRPr="00524CE3">
        <w:rPr>
          <w:rStyle w:val="s1"/>
          <w:rFonts w:ascii="Verdana" w:hAnsi="Verdana"/>
          <w:sz w:val="20"/>
          <w:szCs w:val="20"/>
          <w:lang w:val="nl-NL"/>
        </w:rPr>
        <w:t xml:space="preserve">Microtec kan dan ook niet garanderen dat haar verwachtingen zullen uitkomen. Verder aanvaardt </w:t>
      </w:r>
      <w:r w:rsidRPr="00524CE3">
        <w:rPr>
          <w:rStyle w:val="s3"/>
          <w:rFonts w:ascii="Verdana" w:hAnsi="Verdana"/>
          <w:sz w:val="20"/>
          <w:szCs w:val="20"/>
          <w:lang w:val="nl-NL"/>
        </w:rPr>
        <w:t>Rood</w:t>
      </w:r>
      <w:r w:rsidRPr="00524CE3">
        <w:rPr>
          <w:rStyle w:val="s1"/>
          <w:rFonts w:ascii="Verdana" w:hAnsi="Verdana"/>
          <w:sz w:val="20"/>
          <w:szCs w:val="20"/>
          <w:lang w:val="nl-NL"/>
        </w:rPr>
        <w:t>Microtec geen verplichtingen om de in dit persbericht gedane uitspraken te actualiseren.</w:t>
      </w:r>
      <w:r w:rsidRPr="00524CE3">
        <w:rPr>
          <w:rStyle w:val="apple-converted-space"/>
          <w:rFonts w:ascii="Verdana" w:hAnsi="Verdana"/>
          <w:sz w:val="20"/>
          <w:szCs w:val="20"/>
          <w:lang w:val="nl-NL"/>
        </w:rPr>
        <w:t> </w:t>
      </w:r>
    </w:p>
    <w:p w:rsidR="00E13546" w:rsidRPr="00980B35" w:rsidRDefault="00980B35" w:rsidP="00E13546">
      <w:pPr>
        <w:spacing w:after="240" w:line="276" w:lineRule="auto"/>
        <w:rPr>
          <w:rFonts w:ascii="Verdana" w:hAnsi="Verdana"/>
          <w:sz w:val="20"/>
        </w:rPr>
      </w:pPr>
      <w:r>
        <w:rPr>
          <w:rFonts w:ascii="Verdana" w:hAnsi="Verdana"/>
          <w:b/>
          <w:color w:val="B71234"/>
          <w:sz w:val="20"/>
        </w:rPr>
        <w:br w:type="page"/>
      </w:r>
    </w:p>
    <w:p w:rsidR="00524CE3" w:rsidRPr="00980B35" w:rsidRDefault="00524CE3" w:rsidP="00980B35">
      <w:pPr>
        <w:spacing w:after="60" w:line="276" w:lineRule="auto"/>
        <w:rPr>
          <w:rFonts w:ascii="Verdana" w:hAnsi="Verdana"/>
          <w:b/>
          <w:color w:val="B71234"/>
          <w:sz w:val="20"/>
          <w:lang w:bidi="ar-SA"/>
        </w:rPr>
      </w:pPr>
      <w:r w:rsidRPr="00980B35">
        <w:rPr>
          <w:rFonts w:ascii="Verdana" w:hAnsi="Verdana"/>
          <w:b/>
          <w:color w:val="B71234"/>
          <w:sz w:val="20"/>
          <w:lang w:bidi="ar-SA"/>
        </w:rPr>
        <w:lastRenderedPageBreak/>
        <w:t>Financiële agenda</w:t>
      </w:r>
    </w:p>
    <w:tbl>
      <w:tblPr>
        <w:tblW w:w="9604" w:type="dxa"/>
        <w:tblInd w:w="2" w:type="dxa"/>
        <w:tblLook w:val="00A0"/>
      </w:tblPr>
      <w:tblGrid>
        <w:gridCol w:w="2800"/>
        <w:gridCol w:w="6804"/>
      </w:tblGrid>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9 maart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Publicatie (voorlopige) jaarcijfers 2016</w:t>
            </w:r>
          </w:p>
        </w:tc>
      </w:tr>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9 maart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Conference call voor pers en analisten</w:t>
            </w:r>
          </w:p>
        </w:tc>
      </w:tr>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27 april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Publicatie jaarverslag 2016</w:t>
            </w:r>
          </w:p>
        </w:tc>
      </w:tr>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8 juni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Algemene vergadering van aandeelhouders</w:t>
            </w:r>
          </w:p>
        </w:tc>
      </w:tr>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9 juni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Algemene vergadering van obligatiehouders</w:t>
            </w:r>
          </w:p>
        </w:tc>
      </w:tr>
      <w:tr w:rsidR="00524CE3" w:rsidRPr="00980B35" w:rsidTr="00524CE3">
        <w:trPr>
          <w:trHeight w:val="284"/>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6 juli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Publicatie omzetcijfers eerste halfjaar 2017</w:t>
            </w:r>
          </w:p>
        </w:tc>
      </w:tr>
      <w:tr w:rsidR="00524CE3" w:rsidRPr="00980B35" w:rsidTr="00524CE3">
        <w:trPr>
          <w:trHeight w:val="287"/>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24 augustus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Publicatie halfjaarbericht 2017</w:t>
            </w:r>
          </w:p>
        </w:tc>
      </w:tr>
      <w:tr w:rsidR="00524CE3" w:rsidRPr="00980B35" w:rsidTr="00524CE3">
        <w:trPr>
          <w:trHeight w:val="292"/>
        </w:trPr>
        <w:tc>
          <w:tcPr>
            <w:tcW w:w="2800"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24 augustus 2017</w:t>
            </w:r>
          </w:p>
        </w:tc>
        <w:tc>
          <w:tcPr>
            <w:tcW w:w="6804" w:type="dxa"/>
          </w:tcPr>
          <w:p w:rsidR="00524CE3" w:rsidRPr="00980B35" w:rsidRDefault="00524CE3" w:rsidP="00524CE3">
            <w:pPr>
              <w:spacing w:line="276" w:lineRule="auto"/>
              <w:jc w:val="both"/>
              <w:rPr>
                <w:rFonts w:ascii="Verdana" w:hAnsi="Verdana" w:cs="Verdana"/>
                <w:sz w:val="20"/>
              </w:rPr>
            </w:pPr>
            <w:r w:rsidRPr="00980B35">
              <w:rPr>
                <w:rFonts w:ascii="Verdana" w:hAnsi="Verdana"/>
                <w:sz w:val="20"/>
              </w:rPr>
              <w:t>Conference call voor pers en analisten</w:t>
            </w:r>
          </w:p>
        </w:tc>
      </w:tr>
    </w:tbl>
    <w:p w:rsidR="00524CE3" w:rsidRPr="00E052B2" w:rsidRDefault="00524CE3" w:rsidP="00524CE3"/>
    <w:p w:rsidR="00C374F9" w:rsidRPr="00C374F9" w:rsidRDefault="00C374F9" w:rsidP="00C374F9">
      <w:pPr>
        <w:spacing w:line="276" w:lineRule="auto"/>
        <w:rPr>
          <w:rFonts w:ascii="Verdana" w:hAnsi="Verdana"/>
          <w:b/>
          <w:sz w:val="20"/>
        </w:rPr>
      </w:pPr>
      <w:r w:rsidRPr="00C374F9">
        <w:rPr>
          <w:rFonts w:ascii="Verdana" w:hAnsi="Verdana"/>
          <w:b/>
          <w:sz w:val="20"/>
        </w:rPr>
        <w:t>EINDE</w:t>
      </w:r>
    </w:p>
    <w:p w:rsidR="00C374F9" w:rsidRPr="00391901" w:rsidRDefault="00C374F9" w:rsidP="00C374F9">
      <w:pPr>
        <w:spacing w:line="276" w:lineRule="auto"/>
        <w:rPr>
          <w:rFonts w:ascii="Verdana" w:hAnsi="Verdana" w:cs="Arial"/>
          <w:sz w:val="20"/>
          <w:lang w:eastAsia="en-GB" w:bidi="en-GB"/>
        </w:rPr>
      </w:pPr>
    </w:p>
    <w:p w:rsidR="007E706B" w:rsidRPr="00980B35" w:rsidRDefault="007E706B" w:rsidP="00980B35">
      <w:pPr>
        <w:spacing w:after="60" w:line="276" w:lineRule="auto"/>
        <w:rPr>
          <w:rFonts w:ascii="Verdana" w:hAnsi="Verdana"/>
          <w:b/>
          <w:color w:val="B71234"/>
          <w:sz w:val="20"/>
          <w:lang w:bidi="ar-SA"/>
        </w:rPr>
      </w:pPr>
      <w:r w:rsidRPr="00980B35">
        <w:rPr>
          <w:rFonts w:ascii="Verdana" w:hAnsi="Verdana"/>
          <w:b/>
          <w:sz w:val="20"/>
          <w:lang w:bidi="ar-SA"/>
        </w:rPr>
        <w:t xml:space="preserve">Over </w:t>
      </w:r>
      <w:r w:rsidRPr="00980B35">
        <w:rPr>
          <w:rFonts w:ascii="Verdana" w:hAnsi="Verdana"/>
          <w:b/>
          <w:color w:val="B71234"/>
          <w:sz w:val="20"/>
          <w:lang w:bidi="ar-SA"/>
        </w:rPr>
        <w:t>Rood</w:t>
      </w:r>
      <w:r w:rsidRPr="00980B35">
        <w:rPr>
          <w:rFonts w:ascii="Verdana" w:hAnsi="Verdana"/>
          <w:b/>
          <w:sz w:val="20"/>
          <w:lang w:bidi="ar-SA"/>
        </w:rPr>
        <w:t>Microtec</w:t>
      </w:r>
    </w:p>
    <w:p w:rsidR="007E706B" w:rsidRPr="00C374F9" w:rsidRDefault="007E2657" w:rsidP="00391901">
      <w:pPr>
        <w:spacing w:after="60" w:line="276" w:lineRule="auto"/>
        <w:rPr>
          <w:rFonts w:ascii="Verdana" w:hAnsi="Verdana"/>
          <w:sz w:val="20"/>
        </w:rPr>
      </w:pPr>
      <w:r w:rsidRPr="00C374F9">
        <w:rPr>
          <w:rFonts w:ascii="Verdana" w:hAnsi="Verdana"/>
          <w:sz w:val="20"/>
        </w:rPr>
        <w:t>Met</w:t>
      </w:r>
      <w:r w:rsidR="007E706B" w:rsidRPr="00C374F9">
        <w:rPr>
          <w:rFonts w:ascii="Verdana" w:hAnsi="Verdana"/>
          <w:sz w:val="20"/>
        </w:rPr>
        <w:t xml:space="preserve"> meer dan 45 jaar ervaring als een onafhankelijke value-added dienstverlener op het gebied  van micro- en optoelectronica biedt </w:t>
      </w:r>
      <w:r w:rsidR="007E706B" w:rsidRPr="00C374F9">
        <w:rPr>
          <w:rFonts w:ascii="Verdana" w:hAnsi="Verdana"/>
          <w:color w:val="C00000"/>
          <w:sz w:val="20"/>
        </w:rPr>
        <w:t>Rood</w:t>
      </w:r>
      <w:r w:rsidR="007E706B" w:rsidRPr="00C374F9">
        <w:rPr>
          <w:rFonts w:ascii="Verdana" w:hAnsi="Verdana"/>
          <w:sz w:val="20"/>
        </w:rPr>
        <w:t xml:space="preserve">Microtec Fabless Companies, OEM's en andere ondernemingen een one-stop shop propositie. Met haar </w:t>
      </w:r>
      <w:r w:rsidR="007E706B" w:rsidRPr="00C374F9">
        <w:rPr>
          <w:rFonts w:ascii="Verdana" w:hAnsi="Verdana"/>
          <w:i/>
          <w:sz w:val="20"/>
        </w:rPr>
        <w:t xml:space="preserve">powerful solutions </w:t>
      </w:r>
      <w:r w:rsidR="007E706B" w:rsidRPr="00C374F9">
        <w:rPr>
          <w:rFonts w:ascii="Verdana" w:hAnsi="Verdana"/>
          <w:sz w:val="20"/>
        </w:rPr>
        <w:t xml:space="preserve">heeft </w:t>
      </w:r>
      <w:r w:rsidR="007E706B" w:rsidRPr="00C374F9">
        <w:rPr>
          <w:rFonts w:ascii="Verdana" w:hAnsi="Verdana"/>
          <w:color w:val="C00000"/>
          <w:sz w:val="20"/>
        </w:rPr>
        <w:t>Rood</w:t>
      </w:r>
      <w:r w:rsidR="007E706B" w:rsidRPr="00C374F9">
        <w:rPr>
          <w:rFonts w:ascii="Verdana" w:hAnsi="Verdana"/>
          <w:sz w:val="20"/>
        </w:rPr>
        <w:t>Microtec een sterke positie in Europa opgebouwd.</w:t>
      </w:r>
    </w:p>
    <w:p w:rsidR="007E706B" w:rsidRPr="00C374F9" w:rsidRDefault="007E706B" w:rsidP="00391901">
      <w:pPr>
        <w:spacing w:after="60" w:line="276" w:lineRule="auto"/>
        <w:rPr>
          <w:rFonts w:ascii="Verdana" w:hAnsi="Verdana"/>
          <w:sz w:val="20"/>
        </w:rPr>
      </w:pPr>
      <w:r w:rsidRPr="00C374F9">
        <w:rPr>
          <w:rFonts w:ascii="Verdana" w:hAnsi="Verdana"/>
          <w:sz w:val="20"/>
        </w:rPr>
        <w:t>Onze diensten voldoen aan de industriële en kwaliteitseisen van de high-reliability/ruimtevaart, automobiel-, telecommunicatie-, medische-, IT- and elektronicasectoren.</w:t>
      </w:r>
    </w:p>
    <w:p w:rsidR="007E706B" w:rsidRPr="00C374F9" w:rsidRDefault="007E706B" w:rsidP="00391901">
      <w:pPr>
        <w:spacing w:after="60" w:line="276" w:lineRule="auto"/>
        <w:rPr>
          <w:rFonts w:ascii="Verdana" w:hAnsi="Verdana"/>
          <w:sz w:val="20"/>
        </w:rPr>
      </w:pPr>
      <w:r w:rsidRPr="00C374F9">
        <w:rPr>
          <w:rFonts w:ascii="Verdana" w:hAnsi="Verdana"/>
          <w:i/>
          <w:sz w:val="20"/>
        </w:rPr>
        <w:t xml:space="preserve">Certified by </w:t>
      </w:r>
      <w:r w:rsidRPr="00C374F9">
        <w:rPr>
          <w:rFonts w:ascii="Verdana" w:hAnsi="Verdana"/>
          <w:i/>
          <w:color w:val="C00000"/>
          <w:sz w:val="20"/>
        </w:rPr>
        <w:t>Rood</w:t>
      </w:r>
      <w:r w:rsidRPr="00C374F9">
        <w:rPr>
          <w:rFonts w:ascii="Verdana" w:hAnsi="Verdana"/>
          <w:i/>
          <w:sz w:val="20"/>
        </w:rPr>
        <w:t>Microtec</w:t>
      </w:r>
      <w:r w:rsidRPr="00C374F9">
        <w:rPr>
          <w:rFonts w:ascii="Verdana" w:hAnsi="Verdana"/>
          <w:sz w:val="20"/>
        </w:rPr>
        <w:t xml:space="preserve"> betreft onder andere certificatie van producten volgens de strenge ISO/TS 16949-norm die geldt voor toeleveranciers van de automobielindustrie. De onderneming beschikt tevens over een geaccrediteerd laboratorium voor testactiviteiten en </w:t>
      </w:r>
      <w:r w:rsidR="001D6BF1" w:rsidRPr="00C374F9">
        <w:rPr>
          <w:rFonts w:ascii="Verdana" w:hAnsi="Verdana"/>
          <w:sz w:val="20"/>
        </w:rPr>
        <w:t>qualification</w:t>
      </w:r>
      <w:r w:rsidRPr="00C374F9">
        <w:rPr>
          <w:rFonts w:ascii="Verdana" w:hAnsi="Verdana"/>
          <w:sz w:val="20"/>
        </w:rPr>
        <w:t xml:space="preserve"> volgens ISO/IEC 17025.</w:t>
      </w:r>
    </w:p>
    <w:p w:rsidR="007E706B" w:rsidRPr="00062768" w:rsidRDefault="007E706B" w:rsidP="00391901">
      <w:pPr>
        <w:spacing w:after="60" w:line="276" w:lineRule="auto"/>
        <w:rPr>
          <w:rFonts w:ascii="Verdana" w:hAnsi="Verdana"/>
          <w:sz w:val="20"/>
          <w:lang w:val="en-GB"/>
        </w:rPr>
      </w:pPr>
      <w:r w:rsidRPr="00062768">
        <w:rPr>
          <w:rFonts w:ascii="Verdana" w:hAnsi="Verdana"/>
          <w:sz w:val="20"/>
          <w:lang w:val="en-GB"/>
        </w:rPr>
        <w:t xml:space="preserve">The value-added </w:t>
      </w:r>
      <w:proofErr w:type="spellStart"/>
      <w:r w:rsidRPr="00062768">
        <w:rPr>
          <w:rFonts w:ascii="Verdana" w:hAnsi="Verdana"/>
          <w:sz w:val="20"/>
          <w:lang w:val="en-GB"/>
        </w:rPr>
        <w:t>diensten</w:t>
      </w:r>
      <w:proofErr w:type="spellEnd"/>
      <w:r w:rsidRPr="00062768">
        <w:rPr>
          <w:rFonts w:ascii="Verdana" w:hAnsi="Verdana"/>
          <w:sz w:val="20"/>
          <w:lang w:val="en-GB"/>
        </w:rPr>
        <w:t xml:space="preserve"> </w:t>
      </w:r>
      <w:proofErr w:type="spellStart"/>
      <w:r w:rsidRPr="00062768">
        <w:rPr>
          <w:rFonts w:ascii="Verdana" w:hAnsi="Verdana"/>
          <w:sz w:val="20"/>
          <w:lang w:val="en-GB"/>
        </w:rPr>
        <w:t>omvatten</w:t>
      </w:r>
      <w:proofErr w:type="spellEnd"/>
      <w:r w:rsidRPr="00062768">
        <w:rPr>
          <w:rFonts w:ascii="Verdana" w:hAnsi="Verdana"/>
          <w:sz w:val="20"/>
          <w:lang w:val="en-GB"/>
        </w:rPr>
        <w:t xml:space="preserve"> </w:t>
      </w:r>
      <w:proofErr w:type="spellStart"/>
      <w:r w:rsidRPr="00062768">
        <w:rPr>
          <w:rFonts w:ascii="Verdana" w:hAnsi="Verdana"/>
          <w:sz w:val="20"/>
          <w:lang w:val="en-GB"/>
        </w:rPr>
        <w:t>onder</w:t>
      </w:r>
      <w:proofErr w:type="spellEnd"/>
      <w:r w:rsidRPr="00062768">
        <w:rPr>
          <w:rFonts w:ascii="Verdana" w:hAnsi="Verdana"/>
          <w:sz w:val="20"/>
          <w:lang w:val="en-GB"/>
        </w:rPr>
        <w:t xml:space="preserve"> </w:t>
      </w:r>
      <w:proofErr w:type="spellStart"/>
      <w:r w:rsidRPr="00062768">
        <w:rPr>
          <w:rFonts w:ascii="Verdana" w:hAnsi="Verdana"/>
          <w:sz w:val="20"/>
          <w:lang w:val="en-GB"/>
        </w:rPr>
        <w:t>meer</w:t>
      </w:r>
      <w:proofErr w:type="spellEnd"/>
      <w:r w:rsidRPr="00062768">
        <w:rPr>
          <w:rFonts w:ascii="Verdana" w:hAnsi="Verdana"/>
          <w:sz w:val="20"/>
          <w:lang w:val="en-GB"/>
        </w:rPr>
        <w:t xml:space="preserve"> </w:t>
      </w:r>
      <w:r w:rsidR="001D6BF1" w:rsidRPr="00062768">
        <w:rPr>
          <w:rFonts w:ascii="Verdana" w:hAnsi="Verdana"/>
          <w:sz w:val="20"/>
          <w:lang w:val="en-GB"/>
        </w:rPr>
        <w:t>(</w:t>
      </w:r>
      <w:proofErr w:type="spellStart"/>
      <w:r w:rsidR="001D6BF1" w:rsidRPr="00062768">
        <w:rPr>
          <w:rFonts w:ascii="Verdana" w:hAnsi="Verdana"/>
          <w:sz w:val="20"/>
          <w:lang w:val="en-GB"/>
        </w:rPr>
        <w:t>e</w:t>
      </w:r>
      <w:r w:rsidR="001D6BF1" w:rsidRPr="00062768">
        <w:rPr>
          <w:rFonts w:ascii="Verdana" w:hAnsi="Verdana"/>
          <w:color w:val="C00000"/>
          <w:sz w:val="20"/>
          <w:lang w:val="en-GB"/>
        </w:rPr>
        <w:t>X</w:t>
      </w:r>
      <w:r w:rsidR="001D6BF1" w:rsidRPr="00062768">
        <w:rPr>
          <w:rFonts w:ascii="Verdana" w:hAnsi="Verdana"/>
          <w:sz w:val="20"/>
          <w:lang w:val="en-GB"/>
        </w:rPr>
        <w:t>tended</w:t>
      </w:r>
      <w:proofErr w:type="spellEnd"/>
      <w:r w:rsidR="001D6BF1" w:rsidRPr="00062768">
        <w:rPr>
          <w:rFonts w:ascii="Verdana" w:hAnsi="Verdana"/>
          <w:sz w:val="20"/>
          <w:lang w:val="en-GB"/>
        </w:rPr>
        <w:t xml:space="preserve">) </w:t>
      </w:r>
      <w:r w:rsidRPr="00062768">
        <w:rPr>
          <w:rFonts w:ascii="Verdana" w:hAnsi="Verdana"/>
          <w:sz w:val="20"/>
          <w:lang w:val="en-GB"/>
        </w:rPr>
        <w:t xml:space="preserve">Supply Chain Management en Total Manufacturing Solutions in </w:t>
      </w:r>
      <w:proofErr w:type="spellStart"/>
      <w:r w:rsidRPr="00062768">
        <w:rPr>
          <w:rFonts w:ascii="Verdana" w:hAnsi="Verdana"/>
          <w:sz w:val="20"/>
          <w:lang w:val="en-GB"/>
        </w:rPr>
        <w:t>samenwerking</w:t>
      </w:r>
      <w:proofErr w:type="spellEnd"/>
      <w:r w:rsidRPr="00062768">
        <w:rPr>
          <w:rFonts w:ascii="Verdana" w:hAnsi="Verdana"/>
          <w:sz w:val="20"/>
          <w:lang w:val="en-GB"/>
        </w:rPr>
        <w:t xml:space="preserve"> met </w:t>
      </w:r>
      <w:proofErr w:type="spellStart"/>
      <w:r w:rsidRPr="00062768">
        <w:rPr>
          <w:rFonts w:ascii="Verdana" w:hAnsi="Verdana"/>
          <w:sz w:val="20"/>
          <w:lang w:val="en-GB"/>
        </w:rPr>
        <w:t>onze</w:t>
      </w:r>
      <w:proofErr w:type="spellEnd"/>
      <w:r w:rsidRPr="00062768">
        <w:rPr>
          <w:rFonts w:ascii="Verdana" w:hAnsi="Verdana"/>
          <w:sz w:val="20"/>
          <w:lang w:val="en-GB"/>
        </w:rPr>
        <w:t xml:space="preserve"> partners, failure &amp; technology analysis, qualification &amp; burn-in, test- &amp; product engineering, production test (</w:t>
      </w:r>
      <w:proofErr w:type="spellStart"/>
      <w:r w:rsidRPr="00062768">
        <w:rPr>
          <w:rFonts w:ascii="Verdana" w:hAnsi="Verdana"/>
          <w:sz w:val="20"/>
          <w:lang w:val="en-GB"/>
        </w:rPr>
        <w:t>inclusief</w:t>
      </w:r>
      <w:proofErr w:type="spellEnd"/>
      <w:r w:rsidRPr="00062768">
        <w:rPr>
          <w:rFonts w:ascii="Verdana" w:hAnsi="Verdana"/>
          <w:sz w:val="20"/>
          <w:lang w:val="en-GB"/>
        </w:rPr>
        <w:t xml:space="preserve"> device programming en end-of-line service), ESD/ESDFOS assessment &amp; training, and quality &amp; reliability consulting.</w:t>
      </w:r>
    </w:p>
    <w:p w:rsidR="007E706B" w:rsidRPr="00C374F9" w:rsidRDefault="007E706B" w:rsidP="00391901">
      <w:pPr>
        <w:spacing w:after="60" w:line="276" w:lineRule="auto"/>
        <w:rPr>
          <w:rFonts w:ascii="Verdana" w:hAnsi="Verdana"/>
          <w:b/>
          <w:sz w:val="20"/>
        </w:rPr>
      </w:pPr>
      <w:r w:rsidRPr="00C374F9">
        <w:rPr>
          <w:rFonts w:ascii="Verdana" w:hAnsi="Verdana"/>
          <w:color w:val="C00000"/>
          <w:sz w:val="20"/>
        </w:rPr>
        <w:t>Rood</w:t>
      </w:r>
      <w:r w:rsidRPr="00C374F9">
        <w:rPr>
          <w:rFonts w:ascii="Verdana" w:hAnsi="Verdana"/>
          <w:sz w:val="20"/>
        </w:rPr>
        <w:t xml:space="preserve">Microtec heeft vestigingen in Duitsland (Dresden, Nördlingen, Stuttgart), in het Verenigd Koninkrijk (Bath) en in Nederland (Zwolle). </w:t>
      </w:r>
    </w:p>
    <w:p w:rsidR="00C575E1" w:rsidRPr="00C374F9" w:rsidRDefault="00C575E1" w:rsidP="00F35FDB">
      <w:pPr>
        <w:spacing w:after="240" w:line="276" w:lineRule="auto"/>
        <w:rPr>
          <w:rFonts w:ascii="Verdana" w:hAnsi="Verdana"/>
          <w:sz w:val="20"/>
          <w:lang w:eastAsia="en-GB" w:bidi="en-GB"/>
        </w:rPr>
      </w:pPr>
      <w:r w:rsidRPr="00C374F9">
        <w:rPr>
          <w:rFonts w:ascii="Verdana" w:hAnsi="Verdana"/>
          <w:sz w:val="20"/>
          <w:lang w:eastAsia="en-GB" w:bidi="en-GB"/>
        </w:rPr>
        <w:t>Voor meer informatie</w:t>
      </w:r>
      <w:r w:rsidRPr="00C374F9">
        <w:rPr>
          <w:rFonts w:ascii="Verdana" w:hAnsi="Verdana"/>
          <w:sz w:val="20"/>
        </w:rPr>
        <w:t xml:space="preserve"> visit:</w:t>
      </w:r>
      <w:r w:rsidRPr="00C374F9">
        <w:rPr>
          <w:rFonts w:ascii="Verdana" w:hAnsi="Verdana"/>
          <w:b/>
          <w:sz w:val="20"/>
        </w:rPr>
        <w:t xml:space="preserve"> </w:t>
      </w:r>
      <w:hyperlink r:id="rId8" w:history="1">
        <w:r w:rsidRPr="00C374F9">
          <w:rPr>
            <w:rStyle w:val="Hyperlink"/>
            <w:rFonts w:ascii="Verdana" w:hAnsi="Verdana"/>
            <w:b/>
            <w:sz w:val="20"/>
          </w:rPr>
          <w:t>http://www.roodmicrotec.com</w:t>
        </w:r>
      </w:hyperlink>
    </w:p>
    <w:p w:rsidR="00BC34CF" w:rsidRPr="00C374F9" w:rsidRDefault="00BC34CF" w:rsidP="00F35FDB">
      <w:pPr>
        <w:spacing w:line="276" w:lineRule="auto"/>
        <w:rPr>
          <w:rFonts w:ascii="Verdana" w:hAnsi="Verdana" w:cs="Verdana"/>
          <w:sz w:val="20"/>
          <w:lang w:bidi="ar-SA"/>
        </w:rPr>
      </w:pPr>
    </w:p>
    <w:p w:rsidR="007E706B" w:rsidRPr="00C374F9" w:rsidRDefault="00221D2B" w:rsidP="00E13124">
      <w:pPr>
        <w:spacing w:line="276" w:lineRule="auto"/>
        <w:rPr>
          <w:rFonts w:ascii="Verdana" w:hAnsi="Verdana"/>
          <w:b/>
          <w:color w:val="B71234"/>
          <w:sz w:val="20"/>
          <w:lang w:bidi="ar-SA"/>
        </w:rPr>
      </w:pPr>
      <w:r w:rsidRPr="00C374F9">
        <w:rPr>
          <w:rFonts w:ascii="Verdana" w:hAnsi="Verdana"/>
          <w:b/>
          <w:color w:val="B71234"/>
          <w:sz w:val="20"/>
          <w:lang w:bidi="ar-SA"/>
        </w:rPr>
        <w:t>Voor nadere informatie</w:t>
      </w:r>
    </w:p>
    <w:p w:rsidR="00A30371" w:rsidRPr="00E13546" w:rsidRDefault="00A30371" w:rsidP="009B6903">
      <w:pPr>
        <w:spacing w:after="160" w:line="276" w:lineRule="auto"/>
        <w:rPr>
          <w:rFonts w:ascii="Verdana" w:eastAsia="Calibri" w:hAnsi="Verdana"/>
          <w:sz w:val="20"/>
          <w:lang w:eastAsia="en-US" w:bidi="ar-SA"/>
        </w:rPr>
      </w:pPr>
      <w:r w:rsidRPr="00E13546">
        <w:rPr>
          <w:rFonts w:ascii="Verdana" w:eastAsia="Calibri" w:hAnsi="Verdana"/>
          <w:sz w:val="20"/>
          <w:lang w:eastAsia="en-US" w:bidi="ar-SA"/>
        </w:rPr>
        <w:t xml:space="preserve">Martin Sallenhag CEO; Reinhard Pusch COO; </w:t>
      </w:r>
      <w:r w:rsidR="00301E8B" w:rsidRPr="00E13546">
        <w:rPr>
          <w:rFonts w:ascii="Verdana" w:eastAsia="Calibri" w:hAnsi="Verdana"/>
          <w:sz w:val="20"/>
          <w:lang w:eastAsia="en-US" w:bidi="ar-SA"/>
        </w:rPr>
        <w:t>Arvid Ladega</w:t>
      </w:r>
      <w:r w:rsidR="0067013D" w:rsidRPr="00E13546">
        <w:rPr>
          <w:rFonts w:ascii="Verdana" w:eastAsia="Calibri" w:hAnsi="Verdana"/>
          <w:sz w:val="20"/>
          <w:lang w:eastAsia="en-US" w:bidi="ar-SA"/>
        </w:rPr>
        <w:t xml:space="preserve"> </w:t>
      </w:r>
      <w:r w:rsidRPr="00E13546">
        <w:rPr>
          <w:rFonts w:ascii="Verdana" w:eastAsia="Calibri" w:hAnsi="Verdana"/>
          <w:sz w:val="20"/>
          <w:lang w:eastAsia="en-US" w:bidi="ar-SA"/>
        </w:rPr>
        <w:t>CFO</w:t>
      </w:r>
    </w:p>
    <w:p w:rsidR="00A30371" w:rsidRPr="00C374F9" w:rsidRDefault="0008377E" w:rsidP="00A30371">
      <w:pPr>
        <w:spacing w:after="160" w:line="276" w:lineRule="auto"/>
        <w:rPr>
          <w:rFonts w:ascii="Verdana" w:eastAsia="Calibri" w:hAnsi="Verdana"/>
          <w:sz w:val="20"/>
          <w:lang w:eastAsia="en-US" w:bidi="ar-SA"/>
        </w:rPr>
      </w:pPr>
      <w:r w:rsidRPr="00C374F9">
        <w:rPr>
          <w:rFonts w:ascii="Verdana" w:eastAsia="Calibri" w:hAnsi="Verdana"/>
          <w:sz w:val="20"/>
          <w:lang w:eastAsia="en-US" w:bidi="ar-SA"/>
        </w:rPr>
        <w:t>Telefoon: +31 38 4215216 </w:t>
      </w:r>
      <w:r w:rsidRPr="00C374F9">
        <w:rPr>
          <w:rFonts w:ascii="Verdana" w:eastAsia="Calibri" w:hAnsi="Verdana"/>
          <w:sz w:val="20"/>
          <w:lang w:eastAsia="en-US" w:bidi="ar-SA"/>
        </w:rPr>
        <w:br/>
        <w:t>Correspondentieadres: </w:t>
      </w:r>
      <w:r w:rsidRPr="00C374F9">
        <w:rPr>
          <w:rFonts w:ascii="Verdana" w:eastAsia="Calibri" w:hAnsi="Verdana"/>
          <w:sz w:val="20"/>
          <w:lang w:eastAsia="en-US" w:bidi="ar-SA"/>
        </w:rPr>
        <w:br/>
      </w:r>
      <w:r w:rsidR="00A30371" w:rsidRPr="00C374F9">
        <w:rPr>
          <w:rFonts w:ascii="Verdana" w:eastAsia="Calibri" w:hAnsi="Verdana"/>
          <w:color w:val="C00000"/>
          <w:sz w:val="20"/>
          <w:lang w:eastAsia="en-US" w:bidi="ar-SA"/>
        </w:rPr>
        <w:t>Rood</w:t>
      </w:r>
      <w:r w:rsidR="00A30371" w:rsidRPr="00C374F9">
        <w:rPr>
          <w:rFonts w:ascii="Verdana" w:eastAsia="Calibri" w:hAnsi="Verdana"/>
          <w:sz w:val="20"/>
          <w:lang w:eastAsia="en-US" w:bidi="ar-SA"/>
        </w:rPr>
        <w:t>Microtec N.V., Postbus 1042, 8001 BA Zwolle  </w:t>
      </w:r>
    </w:p>
    <w:p w:rsidR="00A30371" w:rsidRPr="00E13546" w:rsidRDefault="00A30371" w:rsidP="00A30371">
      <w:pPr>
        <w:widowControl w:val="0"/>
        <w:autoSpaceDE w:val="0"/>
        <w:autoSpaceDN w:val="0"/>
        <w:adjustRightInd w:val="0"/>
        <w:rPr>
          <w:rFonts w:ascii="Verdana" w:eastAsia="MS Mincho" w:hAnsi="Verdana" w:cs="Tahoma"/>
          <w:sz w:val="20"/>
          <w:lang w:bidi="ar-SA"/>
        </w:rPr>
      </w:pPr>
      <w:r w:rsidRPr="00E13546">
        <w:rPr>
          <w:rFonts w:ascii="Verdana" w:eastAsia="MS Mincho" w:hAnsi="Verdana" w:cs="Verdana"/>
          <w:sz w:val="20"/>
          <w:lang w:bidi="ar-SA"/>
        </w:rPr>
        <w:t xml:space="preserve">E-mail: </w:t>
      </w:r>
      <w:r w:rsidRPr="00E13546">
        <w:rPr>
          <w:rFonts w:ascii="Verdana" w:eastAsia="MS Mincho" w:hAnsi="Verdana" w:cs="Verdana"/>
          <w:color w:val="0000FF"/>
          <w:sz w:val="20"/>
          <w:lang w:bidi="ar-SA"/>
        </w:rPr>
        <w:t xml:space="preserve">investor-relations@roodmicrotec.com </w:t>
      </w:r>
      <w:r w:rsidRPr="00E13546">
        <w:rPr>
          <w:rFonts w:ascii="Verdana" w:eastAsia="MS Mincho" w:hAnsi="Verdana" w:cs="Verdana"/>
          <w:sz w:val="20"/>
          <w:lang w:bidi="ar-SA"/>
        </w:rPr>
        <w:t xml:space="preserve">Web: </w:t>
      </w:r>
      <w:r w:rsidRPr="00E13546">
        <w:rPr>
          <w:rFonts w:ascii="Verdana" w:eastAsia="MS Mincho" w:hAnsi="Verdana" w:cs="Verdana"/>
          <w:color w:val="0000FF"/>
          <w:sz w:val="20"/>
          <w:lang w:bidi="ar-SA"/>
        </w:rPr>
        <w:t>www.roodmicrotec.com </w:t>
      </w:r>
      <w:r w:rsidRPr="00E13546">
        <w:rPr>
          <w:rFonts w:ascii="Verdana" w:eastAsia="MS Mincho" w:hAnsi="Verdana" w:cs="Verdana"/>
          <w:sz w:val="20"/>
          <w:lang w:bidi="ar-SA"/>
        </w:rPr>
        <w:t> </w:t>
      </w:r>
    </w:p>
    <w:p w:rsidR="00BA34C9" w:rsidRPr="00E13546" w:rsidRDefault="00BA34C9" w:rsidP="00BC34CF">
      <w:pPr>
        <w:spacing w:after="240" w:line="276" w:lineRule="auto"/>
        <w:rPr>
          <w:rFonts w:ascii="Verdana" w:hAnsi="Verdana" w:cs="Verdana"/>
          <w:sz w:val="20"/>
          <w:lang w:bidi="ar-SA"/>
        </w:rPr>
      </w:pPr>
    </w:p>
    <w:p w:rsidR="009C2045" w:rsidRPr="00C374F9" w:rsidRDefault="009C2045" w:rsidP="00F35FDB">
      <w:pPr>
        <w:spacing w:line="276" w:lineRule="auto"/>
        <w:rPr>
          <w:rFonts w:ascii="Verdana" w:hAnsi="Verdana"/>
          <w:i/>
          <w:sz w:val="20"/>
        </w:rPr>
      </w:pPr>
      <w:r w:rsidRPr="00C374F9">
        <w:rPr>
          <w:rFonts w:ascii="Verdana" w:hAnsi="Verdana"/>
          <w:i/>
          <w:sz w:val="20"/>
        </w:rPr>
        <w:t>Dit persbericht is gepubliceerd in het Engels</w:t>
      </w:r>
      <w:r w:rsidR="00463FF7" w:rsidRPr="00C374F9">
        <w:rPr>
          <w:rFonts w:ascii="Verdana" w:hAnsi="Verdana"/>
          <w:i/>
          <w:sz w:val="20"/>
        </w:rPr>
        <w:t xml:space="preserve">, </w:t>
      </w:r>
      <w:r w:rsidR="009B6903" w:rsidRPr="00C374F9">
        <w:rPr>
          <w:rFonts w:ascii="Verdana" w:hAnsi="Verdana"/>
          <w:i/>
          <w:sz w:val="20"/>
        </w:rPr>
        <w:t>Nederlands</w:t>
      </w:r>
      <w:r w:rsidR="00463FF7" w:rsidRPr="00C374F9">
        <w:rPr>
          <w:rFonts w:ascii="Verdana" w:hAnsi="Verdana"/>
          <w:i/>
          <w:sz w:val="20"/>
        </w:rPr>
        <w:t xml:space="preserve"> en Duits</w:t>
      </w:r>
      <w:r w:rsidRPr="00C374F9">
        <w:rPr>
          <w:rFonts w:ascii="Verdana" w:hAnsi="Verdana"/>
          <w:i/>
          <w:sz w:val="20"/>
        </w:rPr>
        <w:t>. In gevallen van tegenstrijdigheid tussen deze versies prevaleert de Engelse versie.</w:t>
      </w:r>
    </w:p>
    <w:sectPr w:rsidR="009C2045" w:rsidRPr="00C374F9" w:rsidSect="00C9486C">
      <w:headerReference w:type="default" r:id="rId9"/>
      <w:footerReference w:type="default" r:id="rId10"/>
      <w:pgSz w:w="11906" w:h="16838" w:code="9"/>
      <w:pgMar w:top="1701" w:right="561" w:bottom="1134" w:left="1418" w:header="737" w:footer="4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B35" w:rsidRDefault="00980B35" w:rsidP="00C9486C">
      <w:r>
        <w:separator/>
      </w:r>
    </w:p>
  </w:endnote>
  <w:endnote w:type="continuationSeparator" w:id="0">
    <w:p w:rsidR="00980B35" w:rsidRDefault="00980B35" w:rsidP="00C9486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35" w:rsidRPr="008C1A6B" w:rsidRDefault="00980B35" w:rsidP="00C9486C">
    <w:pPr>
      <w:pStyle w:val="Fuzeile"/>
      <w:pBdr>
        <w:top w:val="single" w:sz="12" w:space="0" w:color="B71234"/>
      </w:pBdr>
      <w:tabs>
        <w:tab w:val="clear" w:pos="9072"/>
        <w:tab w:val="right" w:pos="9639"/>
      </w:tabs>
      <w:rPr>
        <w:rStyle w:val="Seitenzahl"/>
        <w:rFonts w:ascii="Verdana" w:hAnsi="Verdana"/>
        <w:sz w:val="16"/>
        <w:szCs w:val="16"/>
      </w:rPr>
    </w:pPr>
  </w:p>
  <w:p w:rsidR="00980B35" w:rsidRPr="00524CE3" w:rsidRDefault="00271DA5" w:rsidP="008348AA">
    <w:pPr>
      <w:pStyle w:val="Fuzeile1"/>
      <w:tabs>
        <w:tab w:val="clear" w:pos="4536"/>
        <w:tab w:val="clear" w:pos="9072"/>
        <w:tab w:val="center" w:pos="4253"/>
        <w:tab w:val="right" w:pos="9923"/>
      </w:tabs>
      <w:rPr>
        <w:rFonts w:eastAsiaTheme="minorHAnsi"/>
        <w:color w:val="1A1A1A"/>
        <w:sz w:val="16"/>
      </w:rPr>
    </w:pPr>
    <w:r w:rsidRPr="008C1A6B">
      <w:rPr>
        <w:rStyle w:val="Seitenzahl"/>
        <w:sz w:val="16"/>
        <w:szCs w:val="16"/>
      </w:rPr>
      <w:fldChar w:fldCharType="begin"/>
    </w:r>
    <w:r w:rsidR="00980B35" w:rsidRPr="00524CE3">
      <w:rPr>
        <w:rStyle w:val="Seitenzahl"/>
        <w:sz w:val="16"/>
        <w:szCs w:val="16"/>
      </w:rPr>
      <w:instrText xml:space="preserve"> PAGE </w:instrText>
    </w:r>
    <w:r w:rsidRPr="008C1A6B">
      <w:rPr>
        <w:rStyle w:val="Seitenzahl"/>
        <w:sz w:val="16"/>
        <w:szCs w:val="16"/>
      </w:rPr>
      <w:fldChar w:fldCharType="separate"/>
    </w:r>
    <w:r w:rsidR="00E13546">
      <w:rPr>
        <w:rStyle w:val="Seitenzahl"/>
        <w:noProof/>
        <w:sz w:val="16"/>
        <w:szCs w:val="16"/>
      </w:rPr>
      <w:t>2</w:t>
    </w:r>
    <w:r w:rsidRPr="008C1A6B">
      <w:rPr>
        <w:rStyle w:val="Seitenzahl"/>
        <w:sz w:val="16"/>
        <w:szCs w:val="16"/>
      </w:rPr>
      <w:fldChar w:fldCharType="end"/>
    </w:r>
    <w:r w:rsidR="00980B35" w:rsidRPr="00524CE3">
      <w:rPr>
        <w:rStyle w:val="Seitenzahl"/>
        <w:sz w:val="16"/>
      </w:rPr>
      <w:t xml:space="preserve"> / </w:t>
    </w:r>
    <w:r w:rsidRPr="008C1A6B">
      <w:rPr>
        <w:rStyle w:val="Seitenzahl"/>
        <w:sz w:val="16"/>
        <w:szCs w:val="16"/>
      </w:rPr>
      <w:fldChar w:fldCharType="begin"/>
    </w:r>
    <w:r w:rsidR="00980B35" w:rsidRPr="00524CE3">
      <w:rPr>
        <w:rStyle w:val="Seitenzahl"/>
        <w:sz w:val="16"/>
        <w:szCs w:val="16"/>
      </w:rPr>
      <w:instrText xml:space="preserve"> NUMPAGES </w:instrText>
    </w:r>
    <w:r w:rsidRPr="008C1A6B">
      <w:rPr>
        <w:rStyle w:val="Seitenzahl"/>
        <w:sz w:val="16"/>
        <w:szCs w:val="16"/>
      </w:rPr>
      <w:fldChar w:fldCharType="separate"/>
    </w:r>
    <w:r w:rsidR="00E13546">
      <w:rPr>
        <w:rStyle w:val="Seitenzahl"/>
        <w:noProof/>
        <w:sz w:val="16"/>
        <w:szCs w:val="16"/>
      </w:rPr>
      <w:t>3</w:t>
    </w:r>
    <w:r w:rsidRPr="008C1A6B">
      <w:rPr>
        <w:rStyle w:val="Seitenzahl"/>
        <w:sz w:val="16"/>
        <w:szCs w:val="16"/>
      </w:rPr>
      <w:fldChar w:fldCharType="end"/>
    </w:r>
    <w:r w:rsidR="00980B35" w:rsidRPr="00524CE3">
      <w:tab/>
    </w:r>
    <w:r w:rsidR="00980B35" w:rsidRPr="00524CE3">
      <w:rPr>
        <w:rFonts w:eastAsiaTheme="minorHAnsi"/>
        <w:color w:val="1A1A1A"/>
        <w:sz w:val="16"/>
      </w:rPr>
      <w:t>RoodMicrotec – Voorlopige omzet 2016</w:t>
    </w:r>
    <w:r w:rsidR="00980B35" w:rsidRPr="00524CE3">
      <w:tab/>
    </w:r>
    <w:r w:rsidR="00980B35" w:rsidRPr="00524CE3">
      <w:rPr>
        <w:color w:val="B71234"/>
        <w:sz w:val="16"/>
      </w:rPr>
      <w:t>… certified by Rood</w:t>
    </w:r>
    <w:r w:rsidR="00980B35" w:rsidRPr="00524CE3">
      <w:rPr>
        <w:sz w:val="16"/>
      </w:rPr>
      <w:t>Microtec.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B35" w:rsidRDefault="00980B35" w:rsidP="00C9486C">
      <w:r>
        <w:separator/>
      </w:r>
    </w:p>
  </w:footnote>
  <w:footnote w:type="continuationSeparator" w:id="0">
    <w:p w:rsidR="00980B35" w:rsidRDefault="00980B35" w:rsidP="00C948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r>
      <w:rPr>
        <w:rFonts w:ascii="Verdana" w:hAnsi="Verdana"/>
        <w:noProof/>
        <w:lang w:val="de-DE" w:eastAsia="de-DE" w:bidi="ar-SA"/>
      </w:rPr>
      <w:drawing>
        <wp:anchor distT="0" distB="0" distL="114300" distR="114300" simplePos="0" relativeHeight="251660288" behindDoc="0" locked="1" layoutInCell="1" allowOverlap="1">
          <wp:simplePos x="0" y="0"/>
          <wp:positionH relativeFrom="column">
            <wp:posOffset>1551305</wp:posOffset>
          </wp:positionH>
          <wp:positionV relativeFrom="page">
            <wp:posOffset>232410</wp:posOffset>
          </wp:positionV>
          <wp:extent cx="2760980" cy="1188085"/>
          <wp:effectExtent l="19050" t="0" r="1270" b="0"/>
          <wp:wrapTopAndBottom/>
          <wp:docPr id="1" name="Bild 1" descr="Logo2907-endgül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907-endgültig"/>
                  <pic:cNvPicPr>
                    <a:picLocks noChangeAspect="1" noChangeArrowheads="1"/>
                  </pic:cNvPicPr>
                </pic:nvPicPr>
                <pic:blipFill>
                  <a:blip r:embed="rId1"/>
                  <a:srcRect/>
                  <a:stretch>
                    <a:fillRect/>
                  </a:stretch>
                </pic:blipFill>
                <pic:spPr bwMode="auto">
                  <a:xfrm>
                    <a:off x="0" y="0"/>
                    <a:ext cx="2760980" cy="1188085"/>
                  </a:xfrm>
                  <a:prstGeom prst="rect">
                    <a:avLst/>
                  </a:prstGeom>
                  <a:noFill/>
                  <a:ln w="9525">
                    <a:noFill/>
                    <a:miter lim="800000"/>
                    <a:headEnd/>
                    <a:tailEnd/>
                  </a:ln>
                </pic:spPr>
              </pic:pic>
            </a:graphicData>
          </a:graphic>
        </wp:anchor>
      </w:drawing>
    </w: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tabs>
        <w:tab w:val="clear" w:pos="9072"/>
        <w:tab w:val="right" w:pos="9639"/>
      </w:tabs>
      <w:rPr>
        <w:rFonts w:ascii="Verdana" w:hAnsi="Verdana"/>
      </w:rPr>
    </w:pPr>
  </w:p>
  <w:p w:rsidR="00980B35" w:rsidRPr="007272B9" w:rsidRDefault="00980B35" w:rsidP="00C9486C">
    <w:pPr>
      <w:pStyle w:val="Kopfzeile"/>
      <w:pBdr>
        <w:top w:val="single" w:sz="12" w:space="1" w:color="B71234"/>
      </w:pBdr>
      <w:tabs>
        <w:tab w:val="clear" w:pos="9072"/>
        <w:tab w:val="right" w:pos="9639"/>
      </w:tabs>
      <w:rPr>
        <w:rFonts w:ascii="Verdana" w:hAnsi="Verdana"/>
      </w:rPr>
    </w:pPr>
  </w:p>
  <w:p w:rsidR="00980B35" w:rsidRPr="007272B9" w:rsidRDefault="00980B35" w:rsidP="00C9486C">
    <w:pPr>
      <w:rPr>
        <w:rFonts w:ascii="Verdana" w:hAnsi="Verdana"/>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720" w:hanging="360"/>
      </w:pPr>
      <w:rPr>
        <w:rFonts w:ascii="Verdana" w:hAnsi="Verdana" w:cs="Verdana"/>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4E22B6"/>
    <w:multiLevelType w:val="hybridMultilevel"/>
    <w:tmpl w:val="A72E415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36760B1B"/>
    <w:multiLevelType w:val="hybridMultilevel"/>
    <w:tmpl w:val="9404E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45453"/>
    <w:multiLevelType w:val="hybridMultilevel"/>
    <w:tmpl w:val="1A327152"/>
    <w:lvl w:ilvl="0" w:tplc="FFFFFFFF">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1DC450F"/>
    <w:multiLevelType w:val="hybridMultilevel"/>
    <w:tmpl w:val="3FB0B91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FC46503"/>
    <w:multiLevelType w:val="hybridMultilevel"/>
    <w:tmpl w:val="D1483B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A12AA9"/>
    <w:multiLevelType w:val="hybridMultilevel"/>
    <w:tmpl w:val="2EF8440A"/>
    <w:lvl w:ilvl="0" w:tplc="04130005">
      <w:start w:val="1"/>
      <w:numFmt w:val="bullet"/>
      <w:lvlText w:val=""/>
      <w:lvlJc w:val="left"/>
      <w:pPr>
        <w:tabs>
          <w:tab w:val="num" w:pos="360"/>
        </w:tabs>
        <w:ind w:left="36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8">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42211B"/>
    <w:multiLevelType w:val="hybridMultilevel"/>
    <w:tmpl w:val="8F52A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D59354B"/>
    <w:multiLevelType w:val="hybridMultilevel"/>
    <w:tmpl w:val="65D40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0791D9A"/>
    <w:multiLevelType w:val="hybridMultilevel"/>
    <w:tmpl w:val="9CDACC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5"/>
  </w:num>
  <w:num w:numId="6">
    <w:abstractNumId w:val="11"/>
  </w:num>
  <w:num w:numId="7">
    <w:abstractNumId w:val="12"/>
  </w:num>
  <w:num w:numId="8">
    <w:abstractNumId w:val="9"/>
  </w:num>
  <w:num w:numId="9">
    <w:abstractNumId w:val="1"/>
  </w:num>
  <w:num w:numId="10">
    <w:abstractNumId w:val="10"/>
  </w:num>
  <w:num w:numId="11">
    <w:abstractNumId w:val="0"/>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rsids>
    <w:rsidRoot w:val="00A90243"/>
    <w:rsid w:val="00005038"/>
    <w:rsid w:val="00011B96"/>
    <w:rsid w:val="00014A2A"/>
    <w:rsid w:val="00023B81"/>
    <w:rsid w:val="00024056"/>
    <w:rsid w:val="00030961"/>
    <w:rsid w:val="00035E55"/>
    <w:rsid w:val="00047FE6"/>
    <w:rsid w:val="00052619"/>
    <w:rsid w:val="00062768"/>
    <w:rsid w:val="0006311E"/>
    <w:rsid w:val="00066D20"/>
    <w:rsid w:val="00070814"/>
    <w:rsid w:val="00071062"/>
    <w:rsid w:val="000726A3"/>
    <w:rsid w:val="000808CF"/>
    <w:rsid w:val="00081F0F"/>
    <w:rsid w:val="00082645"/>
    <w:rsid w:val="0008377E"/>
    <w:rsid w:val="00084EDB"/>
    <w:rsid w:val="000853DF"/>
    <w:rsid w:val="00093CC4"/>
    <w:rsid w:val="00095EEB"/>
    <w:rsid w:val="000A684B"/>
    <w:rsid w:val="000C2435"/>
    <w:rsid w:val="000C31B5"/>
    <w:rsid w:val="000C5FBD"/>
    <w:rsid w:val="000D4B3B"/>
    <w:rsid w:val="000E11FE"/>
    <w:rsid w:val="000E7919"/>
    <w:rsid w:val="000F05BC"/>
    <w:rsid w:val="00100822"/>
    <w:rsid w:val="001028CB"/>
    <w:rsid w:val="00105A04"/>
    <w:rsid w:val="00112C3D"/>
    <w:rsid w:val="00117A50"/>
    <w:rsid w:val="00122359"/>
    <w:rsid w:val="00124390"/>
    <w:rsid w:val="0012703F"/>
    <w:rsid w:val="00133F54"/>
    <w:rsid w:val="00134902"/>
    <w:rsid w:val="00136D1F"/>
    <w:rsid w:val="001413EE"/>
    <w:rsid w:val="001460A1"/>
    <w:rsid w:val="001623DA"/>
    <w:rsid w:val="001720B5"/>
    <w:rsid w:val="001764EA"/>
    <w:rsid w:val="00196E29"/>
    <w:rsid w:val="001A4624"/>
    <w:rsid w:val="001A747C"/>
    <w:rsid w:val="001C75D3"/>
    <w:rsid w:val="001D39A5"/>
    <w:rsid w:val="001D6BF1"/>
    <w:rsid w:val="001E2928"/>
    <w:rsid w:val="001E3224"/>
    <w:rsid w:val="001E7EE9"/>
    <w:rsid w:val="0020294D"/>
    <w:rsid w:val="0020447D"/>
    <w:rsid w:val="00204890"/>
    <w:rsid w:val="00221D2B"/>
    <w:rsid w:val="00226F32"/>
    <w:rsid w:val="0024066E"/>
    <w:rsid w:val="002462A1"/>
    <w:rsid w:val="00252EC9"/>
    <w:rsid w:val="002553CF"/>
    <w:rsid w:val="00271DA5"/>
    <w:rsid w:val="0027249F"/>
    <w:rsid w:val="002738AA"/>
    <w:rsid w:val="00274773"/>
    <w:rsid w:val="00276D7B"/>
    <w:rsid w:val="00277B80"/>
    <w:rsid w:val="00292700"/>
    <w:rsid w:val="0029427C"/>
    <w:rsid w:val="002954E5"/>
    <w:rsid w:val="00297C4C"/>
    <w:rsid w:val="002A0F4E"/>
    <w:rsid w:val="002B14B3"/>
    <w:rsid w:val="002C0FAA"/>
    <w:rsid w:val="002C6EF0"/>
    <w:rsid w:val="002F4A7C"/>
    <w:rsid w:val="002F5F66"/>
    <w:rsid w:val="00300934"/>
    <w:rsid w:val="00301E8B"/>
    <w:rsid w:val="003105B6"/>
    <w:rsid w:val="0031191B"/>
    <w:rsid w:val="0031194E"/>
    <w:rsid w:val="00311A97"/>
    <w:rsid w:val="00314589"/>
    <w:rsid w:val="00314613"/>
    <w:rsid w:val="003152A8"/>
    <w:rsid w:val="00321380"/>
    <w:rsid w:val="00336A52"/>
    <w:rsid w:val="003466EA"/>
    <w:rsid w:val="00363639"/>
    <w:rsid w:val="00365F83"/>
    <w:rsid w:val="003735A7"/>
    <w:rsid w:val="00391901"/>
    <w:rsid w:val="00395A0B"/>
    <w:rsid w:val="003A44EE"/>
    <w:rsid w:val="003A4C66"/>
    <w:rsid w:val="003C09C9"/>
    <w:rsid w:val="003D701B"/>
    <w:rsid w:val="003F6192"/>
    <w:rsid w:val="00401E02"/>
    <w:rsid w:val="004037DB"/>
    <w:rsid w:val="00412D13"/>
    <w:rsid w:val="00422213"/>
    <w:rsid w:val="00426A05"/>
    <w:rsid w:val="00436C11"/>
    <w:rsid w:val="004604AE"/>
    <w:rsid w:val="00463FF7"/>
    <w:rsid w:val="0047321C"/>
    <w:rsid w:val="00473ED8"/>
    <w:rsid w:val="004952E5"/>
    <w:rsid w:val="004959E4"/>
    <w:rsid w:val="004B0FE9"/>
    <w:rsid w:val="004C32CE"/>
    <w:rsid w:val="004C3CF1"/>
    <w:rsid w:val="004C6B7C"/>
    <w:rsid w:val="004D5E86"/>
    <w:rsid w:val="004F7FB4"/>
    <w:rsid w:val="00501876"/>
    <w:rsid w:val="00503ACD"/>
    <w:rsid w:val="00512912"/>
    <w:rsid w:val="0051782D"/>
    <w:rsid w:val="00524CE3"/>
    <w:rsid w:val="00525205"/>
    <w:rsid w:val="00535CD3"/>
    <w:rsid w:val="005414C2"/>
    <w:rsid w:val="0055113D"/>
    <w:rsid w:val="00572860"/>
    <w:rsid w:val="0058128B"/>
    <w:rsid w:val="0058261D"/>
    <w:rsid w:val="0059096F"/>
    <w:rsid w:val="005A27D1"/>
    <w:rsid w:val="005A3CC9"/>
    <w:rsid w:val="005C2E03"/>
    <w:rsid w:val="005C564E"/>
    <w:rsid w:val="005E07C7"/>
    <w:rsid w:val="005E0CFF"/>
    <w:rsid w:val="005E2E60"/>
    <w:rsid w:val="005E5733"/>
    <w:rsid w:val="005F5C60"/>
    <w:rsid w:val="00601AFD"/>
    <w:rsid w:val="00602C76"/>
    <w:rsid w:val="006055BA"/>
    <w:rsid w:val="0060633D"/>
    <w:rsid w:val="0061013B"/>
    <w:rsid w:val="00612DE1"/>
    <w:rsid w:val="00615BB3"/>
    <w:rsid w:val="0064735F"/>
    <w:rsid w:val="00660CB0"/>
    <w:rsid w:val="0067013D"/>
    <w:rsid w:val="00673683"/>
    <w:rsid w:val="00682A32"/>
    <w:rsid w:val="00691A1A"/>
    <w:rsid w:val="006A5F45"/>
    <w:rsid w:val="006B277D"/>
    <w:rsid w:val="006E2262"/>
    <w:rsid w:val="006F0932"/>
    <w:rsid w:val="006F6904"/>
    <w:rsid w:val="006F6AA6"/>
    <w:rsid w:val="007008ED"/>
    <w:rsid w:val="00701B20"/>
    <w:rsid w:val="00703A69"/>
    <w:rsid w:val="0072134C"/>
    <w:rsid w:val="007222C6"/>
    <w:rsid w:val="0072255D"/>
    <w:rsid w:val="00726DEE"/>
    <w:rsid w:val="00734F81"/>
    <w:rsid w:val="007407B4"/>
    <w:rsid w:val="00754415"/>
    <w:rsid w:val="00766144"/>
    <w:rsid w:val="00770AB5"/>
    <w:rsid w:val="00773F54"/>
    <w:rsid w:val="00774BB3"/>
    <w:rsid w:val="00777349"/>
    <w:rsid w:val="00794273"/>
    <w:rsid w:val="007A0B0A"/>
    <w:rsid w:val="007A3C31"/>
    <w:rsid w:val="007A4437"/>
    <w:rsid w:val="007A739C"/>
    <w:rsid w:val="007B2894"/>
    <w:rsid w:val="007B6B66"/>
    <w:rsid w:val="007C34E7"/>
    <w:rsid w:val="007E0CF7"/>
    <w:rsid w:val="007E20D6"/>
    <w:rsid w:val="007E2657"/>
    <w:rsid w:val="007E4CD4"/>
    <w:rsid w:val="007E706B"/>
    <w:rsid w:val="00812098"/>
    <w:rsid w:val="008348AA"/>
    <w:rsid w:val="008462F2"/>
    <w:rsid w:val="008557B2"/>
    <w:rsid w:val="00862C96"/>
    <w:rsid w:val="0086510E"/>
    <w:rsid w:val="008656F5"/>
    <w:rsid w:val="00865C9D"/>
    <w:rsid w:val="008A0E12"/>
    <w:rsid w:val="008A3786"/>
    <w:rsid w:val="008A4756"/>
    <w:rsid w:val="008A4D8D"/>
    <w:rsid w:val="008A7B9D"/>
    <w:rsid w:val="008B3AFA"/>
    <w:rsid w:val="008B4E09"/>
    <w:rsid w:val="008C0A77"/>
    <w:rsid w:val="008C1A6B"/>
    <w:rsid w:val="008C43B9"/>
    <w:rsid w:val="008C5096"/>
    <w:rsid w:val="008F3EE9"/>
    <w:rsid w:val="008F529F"/>
    <w:rsid w:val="008F7C5D"/>
    <w:rsid w:val="00902366"/>
    <w:rsid w:val="009033EB"/>
    <w:rsid w:val="0090399D"/>
    <w:rsid w:val="009050F8"/>
    <w:rsid w:val="0091109A"/>
    <w:rsid w:val="00912D0C"/>
    <w:rsid w:val="00913F45"/>
    <w:rsid w:val="00920B62"/>
    <w:rsid w:val="00921871"/>
    <w:rsid w:val="00942A3B"/>
    <w:rsid w:val="00942C63"/>
    <w:rsid w:val="0095578D"/>
    <w:rsid w:val="00956A02"/>
    <w:rsid w:val="00980B35"/>
    <w:rsid w:val="009849BA"/>
    <w:rsid w:val="009A01FA"/>
    <w:rsid w:val="009B6903"/>
    <w:rsid w:val="009B6B3C"/>
    <w:rsid w:val="009C0316"/>
    <w:rsid w:val="009C2045"/>
    <w:rsid w:val="009C2087"/>
    <w:rsid w:val="009F2D72"/>
    <w:rsid w:val="00A113D5"/>
    <w:rsid w:val="00A2591F"/>
    <w:rsid w:val="00A260CF"/>
    <w:rsid w:val="00A30371"/>
    <w:rsid w:val="00A42B2D"/>
    <w:rsid w:val="00A43BBC"/>
    <w:rsid w:val="00A44020"/>
    <w:rsid w:val="00A670FC"/>
    <w:rsid w:val="00A710B1"/>
    <w:rsid w:val="00A85874"/>
    <w:rsid w:val="00A90243"/>
    <w:rsid w:val="00A908CA"/>
    <w:rsid w:val="00AA0C9B"/>
    <w:rsid w:val="00AA6476"/>
    <w:rsid w:val="00AB2F20"/>
    <w:rsid w:val="00AC2373"/>
    <w:rsid w:val="00AC4C70"/>
    <w:rsid w:val="00AE3DA6"/>
    <w:rsid w:val="00AE47FD"/>
    <w:rsid w:val="00AE672B"/>
    <w:rsid w:val="00AF45A7"/>
    <w:rsid w:val="00B166A0"/>
    <w:rsid w:val="00B17BBF"/>
    <w:rsid w:val="00B3686B"/>
    <w:rsid w:val="00B4167E"/>
    <w:rsid w:val="00B42F37"/>
    <w:rsid w:val="00B6539B"/>
    <w:rsid w:val="00B74A42"/>
    <w:rsid w:val="00B8076E"/>
    <w:rsid w:val="00B81B27"/>
    <w:rsid w:val="00B8595D"/>
    <w:rsid w:val="00B926B9"/>
    <w:rsid w:val="00B97259"/>
    <w:rsid w:val="00BA34C9"/>
    <w:rsid w:val="00BB3BAE"/>
    <w:rsid w:val="00BB636A"/>
    <w:rsid w:val="00BC34CF"/>
    <w:rsid w:val="00BC5D9A"/>
    <w:rsid w:val="00BD24D0"/>
    <w:rsid w:val="00BE2B36"/>
    <w:rsid w:val="00BE659F"/>
    <w:rsid w:val="00BF78DE"/>
    <w:rsid w:val="00C21D46"/>
    <w:rsid w:val="00C263C1"/>
    <w:rsid w:val="00C30EA7"/>
    <w:rsid w:val="00C374F9"/>
    <w:rsid w:val="00C575E1"/>
    <w:rsid w:val="00C61846"/>
    <w:rsid w:val="00C625AC"/>
    <w:rsid w:val="00C65144"/>
    <w:rsid w:val="00C67A1A"/>
    <w:rsid w:val="00C749BB"/>
    <w:rsid w:val="00C80243"/>
    <w:rsid w:val="00C81636"/>
    <w:rsid w:val="00C836E6"/>
    <w:rsid w:val="00C9486C"/>
    <w:rsid w:val="00CA4E20"/>
    <w:rsid w:val="00CA564C"/>
    <w:rsid w:val="00CA6EA2"/>
    <w:rsid w:val="00CB2471"/>
    <w:rsid w:val="00CC2697"/>
    <w:rsid w:val="00CC7B07"/>
    <w:rsid w:val="00CD4CC5"/>
    <w:rsid w:val="00CE2613"/>
    <w:rsid w:val="00CE4B0E"/>
    <w:rsid w:val="00CF2B37"/>
    <w:rsid w:val="00CF7108"/>
    <w:rsid w:val="00D10E57"/>
    <w:rsid w:val="00D125D6"/>
    <w:rsid w:val="00D17D18"/>
    <w:rsid w:val="00D242DC"/>
    <w:rsid w:val="00D24B56"/>
    <w:rsid w:val="00D30FBD"/>
    <w:rsid w:val="00D37A90"/>
    <w:rsid w:val="00D41225"/>
    <w:rsid w:val="00D47AF3"/>
    <w:rsid w:val="00D54F09"/>
    <w:rsid w:val="00D61622"/>
    <w:rsid w:val="00D63850"/>
    <w:rsid w:val="00D64B2E"/>
    <w:rsid w:val="00D92C7C"/>
    <w:rsid w:val="00D933F6"/>
    <w:rsid w:val="00DB5EC1"/>
    <w:rsid w:val="00DD0103"/>
    <w:rsid w:val="00DD265B"/>
    <w:rsid w:val="00DD4C2C"/>
    <w:rsid w:val="00DE4BE8"/>
    <w:rsid w:val="00DE4C01"/>
    <w:rsid w:val="00E01EEE"/>
    <w:rsid w:val="00E07E36"/>
    <w:rsid w:val="00E1301E"/>
    <w:rsid w:val="00E13124"/>
    <w:rsid w:val="00E13546"/>
    <w:rsid w:val="00E13D34"/>
    <w:rsid w:val="00E158B3"/>
    <w:rsid w:val="00E15E15"/>
    <w:rsid w:val="00E22D65"/>
    <w:rsid w:val="00E23299"/>
    <w:rsid w:val="00E351E3"/>
    <w:rsid w:val="00E36BF0"/>
    <w:rsid w:val="00E44FF6"/>
    <w:rsid w:val="00E517C7"/>
    <w:rsid w:val="00E52682"/>
    <w:rsid w:val="00E627DF"/>
    <w:rsid w:val="00E6567C"/>
    <w:rsid w:val="00E716DE"/>
    <w:rsid w:val="00E84ADB"/>
    <w:rsid w:val="00E865CB"/>
    <w:rsid w:val="00E93817"/>
    <w:rsid w:val="00E95087"/>
    <w:rsid w:val="00E97C59"/>
    <w:rsid w:val="00EA0678"/>
    <w:rsid w:val="00EA485E"/>
    <w:rsid w:val="00EA5793"/>
    <w:rsid w:val="00EB0B1F"/>
    <w:rsid w:val="00EB4F3E"/>
    <w:rsid w:val="00EC542C"/>
    <w:rsid w:val="00EC588C"/>
    <w:rsid w:val="00ED0F57"/>
    <w:rsid w:val="00ED58D5"/>
    <w:rsid w:val="00ED71F7"/>
    <w:rsid w:val="00ED73DC"/>
    <w:rsid w:val="00EE2043"/>
    <w:rsid w:val="00EE52EE"/>
    <w:rsid w:val="00EE5FC1"/>
    <w:rsid w:val="00EF0CF1"/>
    <w:rsid w:val="00F076C4"/>
    <w:rsid w:val="00F11A49"/>
    <w:rsid w:val="00F174A7"/>
    <w:rsid w:val="00F17BE2"/>
    <w:rsid w:val="00F272C0"/>
    <w:rsid w:val="00F35FDB"/>
    <w:rsid w:val="00F3691D"/>
    <w:rsid w:val="00F4060B"/>
    <w:rsid w:val="00F515D2"/>
    <w:rsid w:val="00F63E7D"/>
    <w:rsid w:val="00F70038"/>
    <w:rsid w:val="00F76886"/>
    <w:rsid w:val="00F90323"/>
    <w:rsid w:val="00FA314F"/>
    <w:rsid w:val="00FB0AC4"/>
    <w:rsid w:val="00FC1BD5"/>
    <w:rsid w:val="00FC276A"/>
    <w:rsid w:val="00FC46F1"/>
    <w:rsid w:val="00FC5782"/>
    <w:rsid w:val="00FC581C"/>
    <w:rsid w:val="00FD52AF"/>
    <w:rsid w:val="00FE2A7B"/>
    <w:rsid w:val="00FF0BA3"/>
    <w:rsid w:val="00FF2EFB"/>
    <w:rsid w:val="00FF4A31"/>
    <w:rsid w:val="00FF4E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486C"/>
    <w:pPr>
      <w:spacing w:after="0" w:line="240" w:lineRule="auto"/>
    </w:pPr>
    <w:rPr>
      <w:rFonts w:ascii="Times New Roman" w:eastAsia="Times New Roman" w:hAnsi="Times New Roman" w:cs="Times New Roman"/>
      <w:szCs w:val="20"/>
    </w:rPr>
  </w:style>
  <w:style w:type="paragraph" w:styleId="berschrift1">
    <w:name w:val="heading 1"/>
    <w:basedOn w:val="Standard"/>
    <w:next w:val="Standard"/>
    <w:link w:val="berschrift1Zchn"/>
    <w:qFormat/>
    <w:rsid w:val="00C9486C"/>
    <w:pPr>
      <w:keepNext/>
      <w:outlineLvl w:val="0"/>
    </w:pPr>
    <w:rPr>
      <w:rFonts w:ascii="Arial" w:hAnsi="Arial"/>
      <w:b/>
    </w:rPr>
  </w:style>
  <w:style w:type="paragraph" w:styleId="berschrift2">
    <w:name w:val="heading 2"/>
    <w:basedOn w:val="Standard"/>
    <w:next w:val="Standard"/>
    <w:link w:val="berschrift2Zchn"/>
    <w:uiPriority w:val="9"/>
    <w:semiHidden/>
    <w:unhideWhenUsed/>
    <w:qFormat/>
    <w:rsid w:val="00834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unhideWhenUsed/>
    <w:rsid w:val="00C9486C"/>
    <w:pPr>
      <w:framePr w:w="4319" w:h="2160" w:hRule="exact" w:hSpace="141" w:wrap="auto" w:vAnchor="page" w:hAnchor="page" w:x="5761" w:y="3119"/>
    </w:pPr>
    <w:rPr>
      <w:rFonts w:asciiTheme="majorHAnsi" w:eastAsiaTheme="majorEastAsia" w:hAnsiTheme="majorHAnsi" w:cstheme="majorBidi"/>
      <w:sz w:val="24"/>
      <w:szCs w:val="24"/>
    </w:rPr>
  </w:style>
  <w:style w:type="paragraph" w:styleId="Umschlagabsenderadresse">
    <w:name w:val="envelope return"/>
    <w:basedOn w:val="Standard"/>
    <w:uiPriority w:val="99"/>
    <w:unhideWhenUsed/>
    <w:rsid w:val="00C9486C"/>
    <w:pPr>
      <w:framePr w:w="4320" w:h="2160" w:hRule="exact" w:hSpace="141" w:wrap="auto" w:vAnchor="page" w:hAnchor="page" w:x="721" w:y="1201"/>
    </w:pPr>
    <w:rPr>
      <w:rFonts w:asciiTheme="majorHAnsi" w:eastAsiaTheme="majorEastAsia" w:hAnsiTheme="majorHAnsi" w:cstheme="majorBidi"/>
      <w:sz w:val="20"/>
    </w:rPr>
  </w:style>
  <w:style w:type="paragraph" w:styleId="Kopfzeile">
    <w:name w:val="header"/>
    <w:basedOn w:val="Standard"/>
    <w:link w:val="Kopf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KopfzeileZchn">
    <w:name w:val="Kopfzeile Zchn"/>
    <w:basedOn w:val="Absatz-Standardschriftart"/>
    <w:link w:val="Kopfzeile"/>
    <w:uiPriority w:val="99"/>
    <w:semiHidden/>
    <w:rsid w:val="00C9486C"/>
  </w:style>
  <w:style w:type="paragraph" w:styleId="Fuzeile">
    <w:name w:val="footer"/>
    <w:basedOn w:val="Standard"/>
    <w:link w:val="FuzeileZchn"/>
    <w:unhideWhenUsed/>
    <w:rsid w:val="00C9486C"/>
    <w:pPr>
      <w:tabs>
        <w:tab w:val="center" w:pos="4536"/>
        <w:tab w:val="right" w:pos="9072"/>
      </w:tabs>
    </w:pPr>
    <w:rPr>
      <w:rFonts w:asciiTheme="minorHAnsi" w:eastAsiaTheme="minorHAnsi" w:hAnsiTheme="minorHAnsi" w:cstheme="minorBidi"/>
      <w:szCs w:val="22"/>
    </w:rPr>
  </w:style>
  <w:style w:type="character" w:customStyle="1" w:styleId="FuzeileZchn">
    <w:name w:val="Fußzeile Zchn"/>
    <w:basedOn w:val="Absatz-Standardschriftart"/>
    <w:link w:val="Fuzeile"/>
    <w:uiPriority w:val="99"/>
    <w:semiHidden/>
    <w:rsid w:val="00C9486C"/>
  </w:style>
  <w:style w:type="character" w:customStyle="1" w:styleId="berschrift1Zchn">
    <w:name w:val="Überschrift 1 Zchn"/>
    <w:basedOn w:val="Absatz-Standardschriftart"/>
    <w:link w:val="berschrift1"/>
    <w:rsid w:val="00C9486C"/>
    <w:rPr>
      <w:rFonts w:ascii="Arial" w:eastAsia="Times New Roman" w:hAnsi="Arial" w:cs="Times New Roman"/>
      <w:b/>
      <w:szCs w:val="20"/>
      <w:lang w:val="nl-NL" w:eastAsia="nl-NL"/>
    </w:rPr>
  </w:style>
  <w:style w:type="character" w:styleId="Seitenzahl">
    <w:name w:val="page number"/>
    <w:basedOn w:val="Absatz-Standardschriftart"/>
    <w:rsid w:val="00C9486C"/>
  </w:style>
  <w:style w:type="paragraph" w:customStyle="1" w:styleId="Fuzeile1">
    <w:name w:val="Fußzeile1"/>
    <w:basedOn w:val="Fuzeile"/>
    <w:rsid w:val="00C9486C"/>
    <w:rPr>
      <w:rFonts w:ascii="Verdana" w:eastAsia="Times New Roman" w:hAnsi="Verdana" w:cs="Times New Roman"/>
      <w:sz w:val="14"/>
      <w:szCs w:val="14"/>
    </w:rPr>
  </w:style>
  <w:style w:type="character" w:styleId="Hyperlink">
    <w:name w:val="Hyperlink"/>
    <w:basedOn w:val="Absatz-Standardschriftart"/>
    <w:semiHidden/>
    <w:rsid w:val="00773F54"/>
    <w:rPr>
      <w:color w:val="0000FF"/>
      <w:u w:val="single"/>
    </w:rPr>
  </w:style>
  <w:style w:type="paragraph" w:styleId="StandardWeb">
    <w:name w:val="Normal (Web)"/>
    <w:basedOn w:val="Standard"/>
    <w:uiPriority w:val="99"/>
    <w:rsid w:val="00E23299"/>
    <w:pPr>
      <w:spacing w:before="100" w:beforeAutospacing="1" w:after="100" w:afterAutospacing="1"/>
    </w:pPr>
    <w:rPr>
      <w:sz w:val="24"/>
      <w:szCs w:val="24"/>
    </w:rPr>
  </w:style>
  <w:style w:type="paragraph" w:customStyle="1" w:styleId="ecxmsonormal">
    <w:name w:val="ecxmsonormal"/>
    <w:basedOn w:val="Standard"/>
    <w:rsid w:val="00572860"/>
    <w:pPr>
      <w:spacing w:after="324"/>
    </w:pPr>
    <w:rPr>
      <w:sz w:val="24"/>
      <w:szCs w:val="24"/>
    </w:rPr>
  </w:style>
  <w:style w:type="table" w:styleId="Tabellengitternetz">
    <w:name w:val="Table Grid"/>
    <w:basedOn w:val="NormaleTabelle"/>
    <w:rsid w:val="00913F4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rschrift2Zchn">
    <w:name w:val="Überschrift 2 Zchn"/>
    <w:basedOn w:val="Absatz-Standardschriftart"/>
    <w:link w:val="berschrift2"/>
    <w:uiPriority w:val="9"/>
    <w:semiHidden/>
    <w:rsid w:val="008348AA"/>
    <w:rPr>
      <w:rFonts w:asciiTheme="majorHAnsi" w:eastAsiaTheme="majorEastAsia" w:hAnsiTheme="majorHAnsi" w:cstheme="majorBidi"/>
      <w:b/>
      <w:bCs/>
      <w:color w:val="4F81BD" w:themeColor="accent1"/>
      <w:sz w:val="26"/>
      <w:szCs w:val="26"/>
      <w:lang w:val="nl-NL" w:eastAsia="nl-NL"/>
    </w:rPr>
  </w:style>
  <w:style w:type="paragraph" w:customStyle="1" w:styleId="FormatvorlageZeilenabstand15Zeilen">
    <w:name w:val="Formatvorlage Zeilenabstand:  15 Zeilen"/>
    <w:basedOn w:val="Standard"/>
    <w:rsid w:val="008348AA"/>
    <w:pPr>
      <w:spacing w:line="360" w:lineRule="auto"/>
    </w:pPr>
    <w:rPr>
      <w:rFonts w:ascii="Verdana" w:hAnsi="Verdana"/>
      <w:sz w:val="16"/>
      <w:szCs w:val="16"/>
    </w:rPr>
  </w:style>
  <w:style w:type="character" w:styleId="Kommentarzeichen">
    <w:name w:val="annotation reference"/>
    <w:basedOn w:val="Absatz-Standardschriftart"/>
    <w:uiPriority w:val="99"/>
    <w:semiHidden/>
    <w:unhideWhenUsed/>
    <w:rsid w:val="00B17BBF"/>
    <w:rPr>
      <w:sz w:val="16"/>
      <w:szCs w:val="16"/>
    </w:rPr>
  </w:style>
  <w:style w:type="paragraph" w:styleId="Kommentartext">
    <w:name w:val="annotation text"/>
    <w:basedOn w:val="Standard"/>
    <w:link w:val="KommentartextZchn"/>
    <w:uiPriority w:val="99"/>
    <w:semiHidden/>
    <w:unhideWhenUsed/>
    <w:rsid w:val="00B17BBF"/>
    <w:rPr>
      <w:sz w:val="20"/>
    </w:rPr>
  </w:style>
  <w:style w:type="character" w:customStyle="1" w:styleId="KommentartextZchn">
    <w:name w:val="Kommentartext Zchn"/>
    <w:basedOn w:val="Absatz-Standardschriftart"/>
    <w:link w:val="Kommentartext"/>
    <w:uiPriority w:val="99"/>
    <w:semiHidden/>
    <w:rsid w:val="00B17BBF"/>
    <w:rPr>
      <w:rFonts w:ascii="Times New Roman" w:eastAsia="Times New Roman" w:hAnsi="Times New Roman" w:cs="Times New Roman"/>
      <w:sz w:val="20"/>
      <w:szCs w:val="20"/>
      <w:lang w:val="nl-NL" w:eastAsia="nl-NL"/>
    </w:rPr>
  </w:style>
  <w:style w:type="paragraph" w:styleId="Kommentarthema">
    <w:name w:val="annotation subject"/>
    <w:basedOn w:val="Kommentartext"/>
    <w:next w:val="Kommentartext"/>
    <w:link w:val="KommentarthemaZchn"/>
    <w:uiPriority w:val="99"/>
    <w:semiHidden/>
    <w:unhideWhenUsed/>
    <w:rsid w:val="00B17BBF"/>
    <w:rPr>
      <w:b/>
      <w:bCs/>
    </w:rPr>
  </w:style>
  <w:style w:type="character" w:customStyle="1" w:styleId="KommentarthemaZchn">
    <w:name w:val="Kommentarthema Zchn"/>
    <w:basedOn w:val="KommentartextZchn"/>
    <w:link w:val="Kommentarthema"/>
    <w:uiPriority w:val="99"/>
    <w:semiHidden/>
    <w:rsid w:val="00B17BBF"/>
    <w:rPr>
      <w:rFonts w:ascii="Times New Roman" w:eastAsia="Times New Roman" w:hAnsi="Times New Roman" w:cs="Times New Roman"/>
      <w:b/>
      <w:bCs/>
      <w:sz w:val="20"/>
      <w:szCs w:val="20"/>
      <w:lang w:val="nl-NL" w:eastAsia="nl-NL"/>
    </w:rPr>
  </w:style>
  <w:style w:type="paragraph" w:styleId="Sprechblasentext">
    <w:name w:val="Balloon Text"/>
    <w:basedOn w:val="Standard"/>
    <w:link w:val="SprechblasentextZchn"/>
    <w:uiPriority w:val="99"/>
    <w:semiHidden/>
    <w:unhideWhenUsed/>
    <w:rsid w:val="00B17B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BBF"/>
    <w:rPr>
      <w:rFonts w:ascii="Tahoma" w:eastAsia="Times New Roman" w:hAnsi="Tahoma" w:cs="Tahoma"/>
      <w:sz w:val="16"/>
      <w:szCs w:val="16"/>
      <w:lang w:val="nl-NL" w:eastAsia="nl-NL"/>
    </w:rPr>
  </w:style>
  <w:style w:type="paragraph" w:customStyle="1" w:styleId="TableText">
    <w:name w:val="TableText"/>
    <w:basedOn w:val="Standard"/>
    <w:uiPriority w:val="99"/>
    <w:rsid w:val="00D933F6"/>
    <w:pPr>
      <w:spacing w:line="270" w:lineRule="atLeast"/>
    </w:pPr>
    <w:rPr>
      <w:rFonts w:ascii="Arial" w:eastAsia="MS ??" w:hAnsi="Arial" w:cs="Arial"/>
      <w:sz w:val="20"/>
    </w:rPr>
  </w:style>
  <w:style w:type="paragraph" w:styleId="Listenabsatz">
    <w:name w:val="List Paragraph"/>
    <w:basedOn w:val="Standard"/>
    <w:uiPriority w:val="34"/>
    <w:qFormat/>
    <w:rsid w:val="007A739C"/>
    <w:pPr>
      <w:spacing w:after="160" w:line="259" w:lineRule="auto"/>
      <w:ind w:left="720"/>
      <w:contextualSpacing/>
    </w:pPr>
    <w:rPr>
      <w:rFonts w:asciiTheme="minorHAnsi" w:eastAsiaTheme="minorHAnsi" w:hAnsiTheme="minorHAnsi" w:cstheme="minorBidi"/>
      <w:szCs w:val="22"/>
    </w:rPr>
  </w:style>
  <w:style w:type="character" w:customStyle="1" w:styleId="apple-converted-space">
    <w:name w:val="apple-converted-space"/>
    <w:basedOn w:val="Absatz-Standardschriftart"/>
    <w:rsid w:val="00682A32"/>
  </w:style>
  <w:style w:type="paragraph" w:customStyle="1" w:styleId="p1">
    <w:name w:val="p1"/>
    <w:basedOn w:val="Standard"/>
    <w:rsid w:val="00C374F9"/>
    <w:rPr>
      <w:rFonts w:ascii="Times" w:eastAsiaTheme="minorHAnsi" w:hAnsi="Times"/>
      <w:sz w:val="18"/>
      <w:szCs w:val="18"/>
      <w:lang w:val="en-GB" w:eastAsia="en-GB" w:bidi="ar-SA"/>
    </w:rPr>
  </w:style>
  <w:style w:type="character" w:customStyle="1" w:styleId="s1">
    <w:name w:val="s1"/>
    <w:basedOn w:val="Absatz-Standardschriftart"/>
    <w:rsid w:val="00C374F9"/>
  </w:style>
  <w:style w:type="character" w:customStyle="1" w:styleId="s3">
    <w:name w:val="s3"/>
    <w:basedOn w:val="Absatz-Standardschriftart"/>
    <w:rsid w:val="00524CE3"/>
    <w:rPr>
      <w:color w:val="C20000"/>
    </w:rPr>
  </w:style>
</w:styles>
</file>

<file path=word/webSettings.xml><?xml version="1.0" encoding="utf-8"?>
<w:webSettings xmlns:r="http://schemas.openxmlformats.org/officeDocument/2006/relationships" xmlns:w="http://schemas.openxmlformats.org/wordprocessingml/2006/main">
  <w:divs>
    <w:div w:id="609356632">
      <w:bodyDiv w:val="1"/>
      <w:marLeft w:val="0"/>
      <w:marRight w:val="0"/>
      <w:marTop w:val="0"/>
      <w:marBottom w:val="0"/>
      <w:divBdr>
        <w:top w:val="none" w:sz="0" w:space="0" w:color="auto"/>
        <w:left w:val="none" w:sz="0" w:space="0" w:color="auto"/>
        <w:bottom w:val="none" w:sz="0" w:space="0" w:color="auto"/>
        <w:right w:val="none" w:sz="0" w:space="0" w:color="auto"/>
      </w:divBdr>
    </w:div>
    <w:div w:id="872882094">
      <w:bodyDiv w:val="1"/>
      <w:marLeft w:val="0"/>
      <w:marRight w:val="0"/>
      <w:marTop w:val="0"/>
      <w:marBottom w:val="0"/>
      <w:divBdr>
        <w:top w:val="none" w:sz="0" w:space="0" w:color="auto"/>
        <w:left w:val="none" w:sz="0" w:space="0" w:color="auto"/>
        <w:bottom w:val="none" w:sz="0" w:space="0" w:color="auto"/>
        <w:right w:val="none" w:sz="0" w:space="0" w:color="auto"/>
      </w:divBdr>
    </w:div>
    <w:div w:id="13817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491FE-5796-4B32-A1C0-AA6E17CD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5140</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RoodMicrotec</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bayerle@BAYERLE-PC1</dc:creator>
  <cp:lastModifiedBy>bayerle@BAYERLE1-PC</cp:lastModifiedBy>
  <cp:revision>2</cp:revision>
  <cp:lastPrinted>2017-01-10T05:41:00Z</cp:lastPrinted>
  <dcterms:created xsi:type="dcterms:W3CDTF">2017-01-10T05:51:00Z</dcterms:created>
  <dcterms:modified xsi:type="dcterms:W3CDTF">2017-01-10T05:51:00Z</dcterms:modified>
</cp:coreProperties>
</file>