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86C" w:rsidRPr="00EF113A" w:rsidRDefault="00773F54" w:rsidP="00283B18">
      <w:pPr>
        <w:pStyle w:val="berschrift1"/>
        <w:rPr>
          <w:rFonts w:ascii="Verdana" w:hAnsi="Verdana" w:cs="Arial"/>
          <w:color w:val="B71234"/>
          <w:sz w:val="28"/>
          <w:szCs w:val="28"/>
        </w:rPr>
      </w:pPr>
      <w:r w:rsidRPr="00EF113A">
        <w:rPr>
          <w:rFonts w:ascii="Verdana" w:hAnsi="Verdana"/>
          <w:color w:val="B71234"/>
          <w:sz w:val="28"/>
          <w:szCs w:val="28"/>
        </w:rPr>
        <w:t xml:space="preserve">PRESS RELEASE </w:t>
      </w:r>
    </w:p>
    <w:p w:rsidR="00C9486C" w:rsidRPr="00363308" w:rsidRDefault="00C9486C" w:rsidP="00363308">
      <w:pPr>
        <w:spacing w:line="276" w:lineRule="auto"/>
        <w:rPr>
          <w:rFonts w:ascii="Verdana" w:hAnsi="Verdana" w:cs="Arial"/>
          <w:sz w:val="20"/>
        </w:rPr>
      </w:pPr>
    </w:p>
    <w:p w:rsidR="0091109A" w:rsidRPr="00363308" w:rsidRDefault="0091109A" w:rsidP="00363308">
      <w:pPr>
        <w:autoSpaceDE w:val="0"/>
        <w:autoSpaceDN w:val="0"/>
        <w:adjustRightInd w:val="0"/>
        <w:spacing w:line="276" w:lineRule="auto"/>
        <w:rPr>
          <w:rFonts w:ascii="Verdana" w:hAnsi="Verdana"/>
          <w:sz w:val="20"/>
        </w:rPr>
      </w:pPr>
    </w:p>
    <w:p w:rsidR="00C9486C" w:rsidRPr="00363308" w:rsidRDefault="00C9486C" w:rsidP="00363308">
      <w:pPr>
        <w:spacing w:line="276" w:lineRule="auto"/>
        <w:rPr>
          <w:rFonts w:ascii="Verdana" w:hAnsi="Verdana" w:cs="Arial"/>
          <w:sz w:val="20"/>
        </w:rPr>
      </w:pPr>
    </w:p>
    <w:p w:rsidR="00C9486C" w:rsidRPr="00363308" w:rsidRDefault="00C9486C" w:rsidP="00363308">
      <w:pPr>
        <w:spacing w:line="276" w:lineRule="auto"/>
        <w:rPr>
          <w:rFonts w:ascii="Verdana" w:hAnsi="Verdana" w:cs="Arial"/>
          <w:sz w:val="20"/>
        </w:rPr>
      </w:pPr>
    </w:p>
    <w:p w:rsidR="00C9486C" w:rsidRPr="00363308" w:rsidRDefault="00C9486C" w:rsidP="00363308">
      <w:pPr>
        <w:spacing w:line="276" w:lineRule="auto"/>
        <w:rPr>
          <w:rFonts w:ascii="Verdana" w:hAnsi="Verdana" w:cs="Arial"/>
          <w:sz w:val="20"/>
        </w:rPr>
      </w:pPr>
    </w:p>
    <w:p w:rsidR="00C9486C" w:rsidRPr="00363308" w:rsidRDefault="00BC5D9A" w:rsidP="00363308">
      <w:pPr>
        <w:spacing w:line="276" w:lineRule="auto"/>
        <w:rPr>
          <w:rFonts w:ascii="Verdana" w:hAnsi="Verdana"/>
          <w:sz w:val="20"/>
        </w:rPr>
      </w:pPr>
      <w:r w:rsidRPr="00363308">
        <w:rPr>
          <w:rFonts w:ascii="Verdana" w:hAnsi="Verdana"/>
          <w:sz w:val="20"/>
        </w:rPr>
        <w:t>Zwolle</w:t>
      </w:r>
      <w:r w:rsidR="004607BE" w:rsidRPr="00363308">
        <w:rPr>
          <w:rFonts w:ascii="Verdana" w:hAnsi="Verdana"/>
          <w:sz w:val="20"/>
        </w:rPr>
        <w:t xml:space="preserve"> </w:t>
      </w:r>
      <w:r w:rsidR="00347B2F">
        <w:rPr>
          <w:rFonts w:ascii="Verdana" w:hAnsi="Verdana"/>
          <w:sz w:val="20"/>
        </w:rPr>
        <w:t>–</w:t>
      </w:r>
      <w:r w:rsidR="00E3130B">
        <w:rPr>
          <w:rFonts w:ascii="Verdana" w:hAnsi="Verdana"/>
          <w:sz w:val="20"/>
        </w:rPr>
        <w:t xml:space="preserve"> </w:t>
      </w:r>
      <w:r w:rsidR="006B0D6A">
        <w:rPr>
          <w:rFonts w:ascii="Verdana" w:hAnsi="Verdana"/>
          <w:sz w:val="20"/>
        </w:rPr>
        <w:t>January 10</w:t>
      </w:r>
      <w:r w:rsidR="006B0D6A" w:rsidRPr="006B0D6A">
        <w:rPr>
          <w:rFonts w:ascii="Verdana" w:hAnsi="Verdana"/>
          <w:sz w:val="20"/>
          <w:vertAlign w:val="superscript"/>
        </w:rPr>
        <w:t>th</w:t>
      </w:r>
      <w:r w:rsidR="006B0D6A">
        <w:rPr>
          <w:rFonts w:ascii="Verdana" w:hAnsi="Verdana"/>
          <w:sz w:val="20"/>
        </w:rPr>
        <w:t xml:space="preserve"> </w:t>
      </w:r>
      <w:r w:rsidR="005A27D1" w:rsidRPr="00363308">
        <w:rPr>
          <w:rFonts w:ascii="Verdana" w:hAnsi="Verdana"/>
          <w:sz w:val="20"/>
        </w:rPr>
        <w:t>201</w:t>
      </w:r>
      <w:r w:rsidR="006B0D6A">
        <w:rPr>
          <w:rFonts w:ascii="Verdana" w:hAnsi="Verdana"/>
          <w:sz w:val="20"/>
        </w:rPr>
        <w:t>7</w:t>
      </w:r>
    </w:p>
    <w:p w:rsidR="00C9486C" w:rsidRPr="00363308" w:rsidRDefault="00C9486C" w:rsidP="00363308">
      <w:pPr>
        <w:tabs>
          <w:tab w:val="left" w:pos="1275"/>
        </w:tabs>
        <w:autoSpaceDE w:val="0"/>
        <w:autoSpaceDN w:val="0"/>
        <w:adjustRightInd w:val="0"/>
        <w:spacing w:line="276" w:lineRule="auto"/>
        <w:rPr>
          <w:rFonts w:ascii="Verdana" w:hAnsi="Verdana"/>
          <w:sz w:val="20"/>
        </w:rPr>
      </w:pPr>
    </w:p>
    <w:p w:rsidR="00C631CE" w:rsidRPr="00363308" w:rsidRDefault="00C631CE" w:rsidP="00363308">
      <w:pPr>
        <w:autoSpaceDE w:val="0"/>
        <w:autoSpaceDN w:val="0"/>
        <w:adjustRightInd w:val="0"/>
        <w:spacing w:line="276" w:lineRule="auto"/>
        <w:rPr>
          <w:rFonts w:ascii="Verdana" w:hAnsi="Verdana"/>
          <w:sz w:val="20"/>
        </w:rPr>
      </w:pPr>
    </w:p>
    <w:p w:rsidR="00021736" w:rsidRDefault="00021736" w:rsidP="00021736">
      <w:pPr>
        <w:spacing w:line="276" w:lineRule="auto"/>
        <w:rPr>
          <w:rFonts w:ascii="Verdana" w:hAnsi="Verdana"/>
          <w:b/>
          <w:color w:val="B71234"/>
          <w:sz w:val="28"/>
          <w:lang w:bidi="ar-SA"/>
        </w:rPr>
      </w:pPr>
      <w:proofErr w:type="spellStart"/>
      <w:r w:rsidRPr="00021736">
        <w:rPr>
          <w:rFonts w:ascii="Verdana" w:hAnsi="Verdana"/>
          <w:b/>
          <w:color w:val="B71234"/>
          <w:sz w:val="28"/>
          <w:lang w:bidi="ar-SA"/>
        </w:rPr>
        <w:t>RoodMicrotec</w:t>
      </w:r>
      <w:proofErr w:type="spellEnd"/>
      <w:r w:rsidRPr="00021736">
        <w:rPr>
          <w:rFonts w:ascii="Verdana" w:hAnsi="Verdana"/>
          <w:b/>
          <w:color w:val="B71234"/>
          <w:sz w:val="28"/>
          <w:lang w:bidi="ar-SA"/>
        </w:rPr>
        <w:t xml:space="preserve"> Sees Strong Sales Momentum in H2 201</w:t>
      </w:r>
      <w:r>
        <w:rPr>
          <w:rFonts w:ascii="Verdana" w:hAnsi="Verdana"/>
          <w:b/>
          <w:color w:val="B71234"/>
          <w:sz w:val="28"/>
          <w:lang w:bidi="ar-SA"/>
        </w:rPr>
        <w:t>6,</w:t>
      </w:r>
    </w:p>
    <w:p w:rsidR="00021736" w:rsidRPr="00021736" w:rsidRDefault="00021736" w:rsidP="00021736">
      <w:pPr>
        <w:spacing w:line="276" w:lineRule="auto"/>
        <w:rPr>
          <w:rFonts w:ascii="Verdana" w:hAnsi="Verdana"/>
          <w:b/>
          <w:color w:val="B71234"/>
          <w:sz w:val="28"/>
          <w:lang w:bidi="ar-SA"/>
        </w:rPr>
      </w:pPr>
      <w:r w:rsidRPr="00021736">
        <w:rPr>
          <w:rFonts w:ascii="Verdana" w:hAnsi="Verdana"/>
          <w:b/>
          <w:color w:val="B71234"/>
          <w:sz w:val="28"/>
          <w:lang w:bidi="ar-SA"/>
        </w:rPr>
        <w:t>Order Value Up 20% Y</w:t>
      </w:r>
      <w:r w:rsidR="004C43F4">
        <w:rPr>
          <w:rFonts w:ascii="Verdana" w:hAnsi="Verdana"/>
          <w:b/>
          <w:color w:val="B71234"/>
          <w:sz w:val="28"/>
          <w:lang w:bidi="ar-SA"/>
        </w:rPr>
        <w:t>ear</w:t>
      </w:r>
      <w:r w:rsidRPr="00021736">
        <w:rPr>
          <w:rFonts w:ascii="Verdana" w:hAnsi="Verdana"/>
          <w:b/>
          <w:color w:val="B71234"/>
          <w:sz w:val="28"/>
          <w:lang w:bidi="ar-SA"/>
        </w:rPr>
        <w:t>-on-Y</w:t>
      </w:r>
      <w:r w:rsidR="004C43F4">
        <w:rPr>
          <w:rFonts w:ascii="Verdana" w:hAnsi="Verdana"/>
          <w:b/>
          <w:color w:val="B71234"/>
          <w:sz w:val="28"/>
          <w:lang w:bidi="ar-SA"/>
        </w:rPr>
        <w:t>ear</w:t>
      </w:r>
    </w:p>
    <w:p w:rsidR="00504F26" w:rsidRPr="00021736" w:rsidRDefault="00504F26" w:rsidP="00A8410E">
      <w:pPr>
        <w:spacing w:after="240" w:line="276" w:lineRule="auto"/>
        <w:rPr>
          <w:rFonts w:ascii="Verdana" w:hAnsi="Verdana" w:cs="Arial"/>
          <w:sz w:val="20"/>
        </w:rPr>
      </w:pPr>
    </w:p>
    <w:p w:rsidR="00021736" w:rsidRPr="002322D3" w:rsidRDefault="00021736" w:rsidP="00021736">
      <w:pPr>
        <w:spacing w:after="240" w:line="276" w:lineRule="auto"/>
        <w:rPr>
          <w:rFonts w:ascii="Verdana" w:hAnsi="Verdana"/>
          <w:sz w:val="20"/>
          <w:lang w:val="en-US"/>
        </w:rPr>
      </w:pPr>
      <w:r w:rsidRPr="002322D3">
        <w:rPr>
          <w:rFonts w:ascii="Verdana" w:hAnsi="Verdana"/>
          <w:sz w:val="20"/>
          <w:lang w:val="en-US"/>
        </w:rPr>
        <w:t xml:space="preserve">A strong forward order book is expected to drive expansion at </w:t>
      </w:r>
      <w:proofErr w:type="spellStart"/>
      <w:r w:rsidRPr="009078B4">
        <w:rPr>
          <w:rFonts w:ascii="Verdana" w:hAnsi="Verdana"/>
          <w:color w:val="B71234"/>
          <w:sz w:val="20"/>
          <w:lang w:val="en-US"/>
        </w:rPr>
        <w:t>Rood</w:t>
      </w:r>
      <w:r w:rsidRPr="002322D3">
        <w:rPr>
          <w:rFonts w:ascii="Verdana" w:hAnsi="Verdana"/>
          <w:sz w:val="20"/>
          <w:lang w:val="en-US"/>
        </w:rPr>
        <w:t>Microtec</w:t>
      </w:r>
      <w:proofErr w:type="spellEnd"/>
      <w:r w:rsidRPr="002322D3">
        <w:rPr>
          <w:rFonts w:ascii="Verdana" w:hAnsi="Verdana"/>
          <w:sz w:val="20"/>
          <w:lang w:val="en-US"/>
        </w:rPr>
        <w:t>, the Dutch semiconductor supplier of advanced microchips, over the course of 2017 after sales growth in its main business units rebounded in the second half of 2016 and the value of the company’s order book was up 20% year-on-year by end-December</w:t>
      </w:r>
      <w:r>
        <w:rPr>
          <w:rFonts w:ascii="Verdana" w:hAnsi="Verdana"/>
          <w:sz w:val="20"/>
          <w:lang w:val="en-US"/>
        </w:rPr>
        <w:t>.</w:t>
      </w:r>
    </w:p>
    <w:p w:rsidR="00021736" w:rsidRPr="002322D3" w:rsidRDefault="00021736" w:rsidP="00021736">
      <w:pPr>
        <w:spacing w:after="240" w:line="276" w:lineRule="auto"/>
        <w:rPr>
          <w:rFonts w:ascii="Verdana" w:hAnsi="Verdana"/>
          <w:sz w:val="20"/>
          <w:lang w:val="en-US"/>
        </w:rPr>
      </w:pPr>
      <w:r w:rsidRPr="002322D3">
        <w:rPr>
          <w:rFonts w:ascii="Verdana" w:hAnsi="Verdana"/>
          <w:b/>
          <w:sz w:val="20"/>
          <w:lang w:val="en-US"/>
        </w:rPr>
        <w:t xml:space="preserve">Martin </w:t>
      </w:r>
      <w:proofErr w:type="spellStart"/>
      <w:r w:rsidRPr="002322D3">
        <w:rPr>
          <w:rFonts w:ascii="Verdana" w:hAnsi="Verdana"/>
          <w:b/>
          <w:sz w:val="20"/>
          <w:lang w:val="en-US"/>
        </w:rPr>
        <w:t>Sallenhag</w:t>
      </w:r>
      <w:proofErr w:type="spellEnd"/>
      <w:r w:rsidRPr="002322D3">
        <w:rPr>
          <w:rFonts w:ascii="Verdana" w:hAnsi="Verdana"/>
          <w:b/>
          <w:sz w:val="20"/>
          <w:lang w:val="en-US"/>
        </w:rPr>
        <w:t xml:space="preserve">, </w:t>
      </w:r>
      <w:proofErr w:type="spellStart"/>
      <w:r w:rsidRPr="009078B4">
        <w:rPr>
          <w:rFonts w:ascii="Verdana" w:hAnsi="Verdana"/>
          <w:b/>
          <w:color w:val="B71234"/>
          <w:sz w:val="20"/>
          <w:lang w:val="en-US"/>
        </w:rPr>
        <w:t>Rood</w:t>
      </w:r>
      <w:r w:rsidRPr="002322D3">
        <w:rPr>
          <w:rFonts w:ascii="Verdana" w:hAnsi="Verdana"/>
          <w:b/>
          <w:sz w:val="20"/>
          <w:lang w:val="en-US"/>
        </w:rPr>
        <w:t>Microtec</w:t>
      </w:r>
      <w:proofErr w:type="spellEnd"/>
      <w:r w:rsidRPr="002322D3">
        <w:rPr>
          <w:rFonts w:ascii="Verdana" w:hAnsi="Verdana"/>
          <w:b/>
          <w:sz w:val="20"/>
          <w:lang w:val="en-US"/>
        </w:rPr>
        <w:t xml:space="preserve"> N.V. CEO</w:t>
      </w:r>
      <w:r w:rsidRPr="002322D3">
        <w:rPr>
          <w:rFonts w:ascii="Verdana" w:hAnsi="Verdana"/>
          <w:sz w:val="20"/>
          <w:lang w:val="en-US"/>
        </w:rPr>
        <w:t xml:space="preserve"> said: “</w:t>
      </w:r>
      <w:proofErr w:type="spellStart"/>
      <w:r w:rsidRPr="009078B4">
        <w:rPr>
          <w:rFonts w:ascii="Verdana" w:hAnsi="Verdana"/>
          <w:color w:val="B71234"/>
          <w:sz w:val="20"/>
          <w:lang w:val="en-US"/>
        </w:rPr>
        <w:t>Rood</w:t>
      </w:r>
      <w:r>
        <w:rPr>
          <w:rFonts w:ascii="Verdana" w:hAnsi="Verdana"/>
          <w:sz w:val="20"/>
          <w:lang w:val="en-US"/>
        </w:rPr>
        <w:t>M</w:t>
      </w:r>
      <w:r w:rsidRPr="002322D3">
        <w:rPr>
          <w:rFonts w:ascii="Verdana" w:hAnsi="Verdana"/>
          <w:sz w:val="20"/>
          <w:lang w:val="en-US"/>
        </w:rPr>
        <w:t>icrotec</w:t>
      </w:r>
      <w:proofErr w:type="spellEnd"/>
      <w:r w:rsidRPr="002322D3">
        <w:rPr>
          <w:rFonts w:ascii="Verdana" w:hAnsi="Verdana"/>
          <w:sz w:val="20"/>
          <w:lang w:val="en-US"/>
        </w:rPr>
        <w:t xml:space="preserve"> is very well positioned for growth as we enter 2017. The value of sales orders is about 20% higher compared with a year ago and we’ve maintained a positive book-to-bill ratio over the last 12 months, which is an important leading indicator of demand trend</w:t>
      </w:r>
      <w:r w:rsidR="00FE35E4">
        <w:rPr>
          <w:rFonts w:ascii="Verdana" w:hAnsi="Verdana"/>
          <w:sz w:val="20"/>
          <w:lang w:val="en-US"/>
        </w:rPr>
        <w:t>s in the semi</w:t>
      </w:r>
      <w:r w:rsidRPr="002322D3">
        <w:rPr>
          <w:rFonts w:ascii="Verdana" w:hAnsi="Verdana"/>
          <w:sz w:val="20"/>
          <w:lang w:val="en-US"/>
        </w:rPr>
        <w:t>conductor industry. Our quote portfolio is stable at a high level and the majority of these are being converted into sales orders, underpinning the company’s solid and successful hit rat</w:t>
      </w:r>
      <w:r>
        <w:rPr>
          <w:rFonts w:ascii="Verdana" w:hAnsi="Verdana"/>
          <w:sz w:val="20"/>
          <w:lang w:val="en-US"/>
        </w:rPr>
        <w:t>e.”</w:t>
      </w:r>
    </w:p>
    <w:p w:rsidR="00021736" w:rsidRPr="00021736" w:rsidRDefault="00021736" w:rsidP="00021736">
      <w:pPr>
        <w:spacing w:after="240" w:line="276" w:lineRule="auto"/>
        <w:rPr>
          <w:rFonts w:ascii="Verdana" w:hAnsi="Verdana"/>
          <w:sz w:val="20"/>
          <w:lang w:val="en-US"/>
        </w:rPr>
      </w:pPr>
      <w:proofErr w:type="spellStart"/>
      <w:r w:rsidRPr="009078B4">
        <w:rPr>
          <w:rFonts w:ascii="Verdana" w:hAnsi="Verdana"/>
          <w:color w:val="B71234"/>
          <w:sz w:val="20"/>
          <w:lang w:val="en-US"/>
        </w:rPr>
        <w:t>Rood</w:t>
      </w:r>
      <w:r>
        <w:rPr>
          <w:rFonts w:ascii="Verdana" w:hAnsi="Verdana"/>
          <w:sz w:val="20"/>
          <w:lang w:val="en-US"/>
        </w:rPr>
        <w:t>M</w:t>
      </w:r>
      <w:r w:rsidRPr="00021736">
        <w:rPr>
          <w:rFonts w:ascii="Verdana" w:hAnsi="Verdana"/>
          <w:sz w:val="20"/>
          <w:lang w:val="en-US"/>
        </w:rPr>
        <w:t>icrotec</w:t>
      </w:r>
      <w:proofErr w:type="spellEnd"/>
      <w:r w:rsidRPr="00021736">
        <w:rPr>
          <w:rFonts w:ascii="Verdana" w:hAnsi="Verdana"/>
          <w:sz w:val="20"/>
          <w:lang w:val="en-US"/>
        </w:rPr>
        <w:t xml:space="preserve"> saw very positive increases in sales across its three largest business units in the second-half of 2016, compare</w:t>
      </w:r>
      <w:r>
        <w:rPr>
          <w:rFonts w:ascii="Verdana" w:hAnsi="Verdana"/>
          <w:sz w:val="20"/>
          <w:lang w:val="en-US"/>
        </w:rPr>
        <w:t>d with the previous six months.</w:t>
      </w:r>
    </w:p>
    <w:p w:rsidR="00021736" w:rsidRPr="002322D3" w:rsidRDefault="00021736" w:rsidP="00021736">
      <w:pPr>
        <w:spacing w:after="240" w:line="276" w:lineRule="auto"/>
        <w:rPr>
          <w:rFonts w:ascii="Verdana" w:hAnsi="Verdana"/>
          <w:sz w:val="20"/>
          <w:lang w:val="en-US"/>
        </w:rPr>
      </w:pPr>
      <w:r w:rsidRPr="002322D3">
        <w:rPr>
          <w:rFonts w:ascii="Verdana" w:hAnsi="Verdana"/>
          <w:sz w:val="20"/>
          <w:lang w:val="en-US"/>
        </w:rPr>
        <w:t xml:space="preserve">Sales turnover at the Test Operations unit was up 19% over this period and stable year-on-year. Earlier reported difficulties within Supply Chain Management faded during the latter part of 2016 as the unit’s business surged 24%, mainly due to the ramping up of the production contract with Swiss semi-conductor firm </w:t>
      </w:r>
      <w:proofErr w:type="spellStart"/>
      <w:r w:rsidRPr="002322D3">
        <w:rPr>
          <w:rFonts w:ascii="Verdana" w:hAnsi="Verdana"/>
          <w:sz w:val="20"/>
          <w:lang w:val="en-US"/>
        </w:rPr>
        <w:t>Altec</w:t>
      </w:r>
      <w:proofErr w:type="spellEnd"/>
      <w:r w:rsidRPr="002322D3">
        <w:rPr>
          <w:rFonts w:ascii="Verdana" w:hAnsi="Verdana"/>
          <w:sz w:val="20"/>
          <w:lang w:val="en-US"/>
        </w:rPr>
        <w:t xml:space="preserve"> AG, where sales are projected to double over the next two years.</w:t>
      </w:r>
    </w:p>
    <w:p w:rsidR="00021736" w:rsidRPr="002322D3" w:rsidRDefault="00021736" w:rsidP="00021736">
      <w:pPr>
        <w:spacing w:after="240" w:line="276" w:lineRule="auto"/>
        <w:rPr>
          <w:rFonts w:ascii="Verdana" w:hAnsi="Verdana"/>
          <w:sz w:val="20"/>
          <w:lang w:val="en-US"/>
        </w:rPr>
      </w:pPr>
      <w:r w:rsidRPr="002322D3">
        <w:rPr>
          <w:rFonts w:ascii="Verdana" w:hAnsi="Verdana"/>
          <w:sz w:val="20"/>
          <w:lang w:val="en-US"/>
        </w:rPr>
        <w:t>Qualification &amp; Reliability Investigation bucked the trend in the other two main business units with a substantial year-on-year rise in sales of 26% spread over the past 12 months, on the back of some large ongoing projects and the start of qualification in other big contracts.</w:t>
      </w:r>
    </w:p>
    <w:p w:rsidR="00021736" w:rsidRDefault="00021736">
      <w:pPr>
        <w:spacing w:after="200" w:line="276" w:lineRule="auto"/>
        <w:rPr>
          <w:rFonts w:ascii="Verdana" w:hAnsi="Verdana"/>
          <w:sz w:val="20"/>
        </w:rPr>
      </w:pPr>
      <w:r>
        <w:rPr>
          <w:rFonts w:ascii="Verdana" w:hAnsi="Verdana"/>
          <w:sz w:val="20"/>
        </w:rPr>
        <w:br w:type="page"/>
      </w:r>
    </w:p>
    <w:p w:rsidR="00021736" w:rsidRPr="00021736" w:rsidRDefault="00021736" w:rsidP="00021736">
      <w:pPr>
        <w:spacing w:line="276" w:lineRule="auto"/>
        <w:rPr>
          <w:rFonts w:ascii="Verdana" w:hAnsi="Verdana"/>
          <w:b/>
          <w:color w:val="B71234"/>
          <w:sz w:val="20"/>
          <w:lang w:bidi="ar-SA"/>
        </w:rPr>
      </w:pPr>
      <w:r w:rsidRPr="00021736">
        <w:rPr>
          <w:rFonts w:ascii="Verdana" w:hAnsi="Verdana"/>
          <w:b/>
          <w:color w:val="B71234"/>
          <w:sz w:val="20"/>
          <w:lang w:bidi="ar-SA"/>
        </w:rPr>
        <w:lastRenderedPageBreak/>
        <w:t>Sales by business unit H2-2016 compared with H1-2016</w:t>
      </w:r>
      <w:r>
        <w:rPr>
          <w:rFonts w:ascii="Verdana" w:hAnsi="Verdana"/>
          <w:b/>
          <w:color w:val="B71234"/>
          <w:sz w:val="20"/>
          <w:lang w:bidi="ar-SA"/>
        </w:rPr>
        <w:t>:</w:t>
      </w:r>
    </w:p>
    <w:p w:rsidR="00021736" w:rsidRPr="002322D3" w:rsidRDefault="00021736" w:rsidP="00991FFB">
      <w:pPr>
        <w:spacing w:line="276" w:lineRule="auto"/>
        <w:rPr>
          <w:rFonts w:ascii="Verdana" w:hAnsi="Verdana"/>
          <w:sz w:val="20"/>
          <w:lang w:val="en-US"/>
        </w:rPr>
      </w:pPr>
    </w:p>
    <w:tbl>
      <w:tblPr>
        <w:tblW w:w="9371" w:type="dxa"/>
        <w:tblInd w:w="-34" w:type="dxa"/>
        <w:tblLayout w:type="fixed"/>
        <w:tblLook w:val="04A0"/>
      </w:tblPr>
      <w:tblGrid>
        <w:gridCol w:w="4253"/>
        <w:gridCol w:w="236"/>
        <w:gridCol w:w="1465"/>
        <w:gridCol w:w="284"/>
        <w:gridCol w:w="1465"/>
        <w:gridCol w:w="236"/>
        <w:gridCol w:w="1432"/>
      </w:tblGrid>
      <w:tr w:rsidR="00991FFB" w:rsidRPr="00666803" w:rsidTr="00991FFB">
        <w:tc>
          <w:tcPr>
            <w:tcW w:w="4253" w:type="dxa"/>
            <w:vAlign w:val="bottom"/>
          </w:tcPr>
          <w:p w:rsidR="00991FFB" w:rsidRPr="00C100EB" w:rsidRDefault="00991FFB" w:rsidP="00991FFB">
            <w:pPr>
              <w:spacing w:line="276" w:lineRule="auto"/>
              <w:jc w:val="both"/>
              <w:rPr>
                <w:rFonts w:ascii="Verdana" w:hAnsi="Verdana"/>
                <w:sz w:val="20"/>
              </w:rPr>
            </w:pPr>
            <w:r>
              <w:rPr>
                <w:rFonts w:ascii="Verdana" w:hAnsi="Verdana"/>
                <w:sz w:val="20"/>
              </w:rPr>
              <w:t>(x EUR</w:t>
            </w:r>
            <w:r w:rsidRPr="00C100EB">
              <w:rPr>
                <w:rFonts w:ascii="Verdana" w:hAnsi="Verdana"/>
                <w:sz w:val="20"/>
              </w:rPr>
              <w:t xml:space="preserve"> 1,000)</w:t>
            </w:r>
          </w:p>
        </w:tc>
        <w:tc>
          <w:tcPr>
            <w:tcW w:w="236" w:type="dxa"/>
          </w:tcPr>
          <w:p w:rsidR="00991FFB" w:rsidRPr="00666803" w:rsidRDefault="00991FFB" w:rsidP="00991FFB">
            <w:pPr>
              <w:tabs>
                <w:tab w:val="right" w:pos="3960"/>
                <w:tab w:val="right" w:pos="5670"/>
                <w:tab w:val="left" w:pos="7380"/>
                <w:tab w:val="right" w:pos="8460"/>
              </w:tabs>
              <w:spacing w:line="276" w:lineRule="auto"/>
              <w:rPr>
                <w:rFonts w:ascii="Verdana" w:hAnsi="Verdana"/>
                <w:b/>
                <w:bCs/>
                <w:color w:val="000000"/>
                <w:sz w:val="20"/>
              </w:rPr>
            </w:pPr>
          </w:p>
        </w:tc>
        <w:tc>
          <w:tcPr>
            <w:tcW w:w="1465" w:type="dxa"/>
          </w:tcPr>
          <w:p w:rsidR="00991FFB" w:rsidRPr="00666803" w:rsidRDefault="00991FFB" w:rsidP="00991FFB">
            <w:pPr>
              <w:tabs>
                <w:tab w:val="right" w:pos="3960"/>
                <w:tab w:val="right" w:pos="5670"/>
                <w:tab w:val="left" w:pos="7380"/>
                <w:tab w:val="right" w:pos="8460"/>
              </w:tabs>
              <w:spacing w:line="276" w:lineRule="auto"/>
              <w:ind w:left="-203"/>
              <w:jc w:val="right"/>
              <w:rPr>
                <w:rFonts w:ascii="Verdana" w:hAnsi="Verdana"/>
                <w:bCs/>
                <w:color w:val="000000"/>
                <w:sz w:val="20"/>
              </w:rPr>
            </w:pPr>
            <w:r>
              <w:rPr>
                <w:rFonts w:ascii="Verdana" w:hAnsi="Verdana"/>
                <w:b/>
                <w:sz w:val="20"/>
              </w:rPr>
              <w:t>H2 2016</w:t>
            </w:r>
          </w:p>
        </w:tc>
        <w:tc>
          <w:tcPr>
            <w:tcW w:w="284" w:type="dxa"/>
          </w:tcPr>
          <w:p w:rsidR="00991FFB" w:rsidRPr="00666803" w:rsidRDefault="00991FFB" w:rsidP="00991FFB">
            <w:pPr>
              <w:tabs>
                <w:tab w:val="right" w:pos="3960"/>
                <w:tab w:val="right" w:pos="5670"/>
                <w:tab w:val="left" w:pos="7380"/>
                <w:tab w:val="right" w:pos="8460"/>
              </w:tabs>
              <w:spacing w:line="276" w:lineRule="auto"/>
              <w:jc w:val="right"/>
              <w:rPr>
                <w:rFonts w:ascii="Verdana" w:hAnsi="Verdana"/>
                <w:bCs/>
                <w:color w:val="000000"/>
                <w:sz w:val="20"/>
              </w:rPr>
            </w:pPr>
          </w:p>
        </w:tc>
        <w:tc>
          <w:tcPr>
            <w:tcW w:w="1465" w:type="dxa"/>
          </w:tcPr>
          <w:p w:rsidR="00991FFB" w:rsidRPr="00666803" w:rsidRDefault="00991FFB" w:rsidP="00991FFB">
            <w:pPr>
              <w:tabs>
                <w:tab w:val="right" w:pos="3960"/>
                <w:tab w:val="right" w:pos="5670"/>
                <w:tab w:val="left" w:pos="7380"/>
                <w:tab w:val="right" w:pos="8460"/>
              </w:tabs>
              <w:spacing w:line="276" w:lineRule="auto"/>
              <w:ind w:left="-203"/>
              <w:jc w:val="right"/>
              <w:rPr>
                <w:rFonts w:ascii="Verdana" w:hAnsi="Verdana"/>
                <w:bCs/>
                <w:color w:val="000000"/>
                <w:sz w:val="20"/>
              </w:rPr>
            </w:pPr>
            <w:r>
              <w:rPr>
                <w:rFonts w:ascii="Verdana" w:hAnsi="Verdana"/>
                <w:b/>
                <w:sz w:val="20"/>
              </w:rPr>
              <w:t>H1 2016</w:t>
            </w:r>
          </w:p>
        </w:tc>
        <w:tc>
          <w:tcPr>
            <w:tcW w:w="236" w:type="dxa"/>
          </w:tcPr>
          <w:p w:rsidR="00991FFB" w:rsidRPr="00666803" w:rsidRDefault="00991FFB" w:rsidP="00991FFB">
            <w:pPr>
              <w:tabs>
                <w:tab w:val="right" w:pos="3960"/>
                <w:tab w:val="right" w:pos="5670"/>
                <w:tab w:val="left" w:pos="7380"/>
                <w:tab w:val="right" w:pos="8460"/>
              </w:tabs>
              <w:spacing w:line="276" w:lineRule="auto"/>
              <w:jc w:val="right"/>
              <w:rPr>
                <w:rFonts w:ascii="Verdana" w:hAnsi="Verdana"/>
                <w:bCs/>
                <w:color w:val="000000"/>
                <w:sz w:val="20"/>
              </w:rPr>
            </w:pPr>
          </w:p>
        </w:tc>
        <w:tc>
          <w:tcPr>
            <w:tcW w:w="1432" w:type="dxa"/>
          </w:tcPr>
          <w:p w:rsidR="00991FFB" w:rsidRPr="00666803" w:rsidRDefault="00991FFB" w:rsidP="00991FFB">
            <w:pPr>
              <w:tabs>
                <w:tab w:val="right" w:pos="3960"/>
                <w:tab w:val="right" w:pos="5670"/>
                <w:tab w:val="left" w:pos="7380"/>
                <w:tab w:val="right" w:pos="8460"/>
              </w:tabs>
              <w:spacing w:line="276" w:lineRule="auto"/>
              <w:jc w:val="right"/>
              <w:rPr>
                <w:rFonts w:ascii="Verdana" w:hAnsi="Verdana"/>
                <w:bCs/>
                <w:color w:val="000000"/>
                <w:sz w:val="20"/>
              </w:rPr>
            </w:pPr>
            <w:r>
              <w:rPr>
                <w:rFonts w:ascii="Verdana" w:hAnsi="Verdana"/>
                <w:b/>
                <w:sz w:val="20"/>
              </w:rPr>
              <w:t>Change</w:t>
            </w:r>
          </w:p>
        </w:tc>
      </w:tr>
      <w:tr w:rsidR="00991FFB" w:rsidRPr="00666803" w:rsidTr="00991FFB">
        <w:tc>
          <w:tcPr>
            <w:tcW w:w="4253" w:type="dxa"/>
            <w:vAlign w:val="bottom"/>
          </w:tcPr>
          <w:p w:rsidR="00991FFB" w:rsidRPr="00666803" w:rsidRDefault="00991FFB" w:rsidP="00991FFB">
            <w:pPr>
              <w:tabs>
                <w:tab w:val="right" w:pos="3960"/>
                <w:tab w:val="right" w:pos="5670"/>
                <w:tab w:val="left" w:pos="7380"/>
                <w:tab w:val="right" w:pos="8460"/>
              </w:tabs>
              <w:spacing w:line="276" w:lineRule="auto"/>
              <w:rPr>
                <w:rFonts w:ascii="Verdana" w:hAnsi="Verdana"/>
                <w:sz w:val="20"/>
              </w:rPr>
            </w:pPr>
            <w:r>
              <w:rPr>
                <w:rFonts w:ascii="Verdana" w:hAnsi="Verdana"/>
                <w:sz w:val="20"/>
              </w:rPr>
              <w:t>Test Operations</w:t>
            </w:r>
          </w:p>
        </w:tc>
        <w:tc>
          <w:tcPr>
            <w:tcW w:w="236" w:type="dxa"/>
          </w:tcPr>
          <w:p w:rsidR="00991FFB" w:rsidRPr="00666803" w:rsidRDefault="00991FFB" w:rsidP="00991FFB">
            <w:pPr>
              <w:tabs>
                <w:tab w:val="right" w:pos="3960"/>
                <w:tab w:val="right" w:pos="5670"/>
                <w:tab w:val="left" w:pos="7380"/>
                <w:tab w:val="right" w:pos="8460"/>
              </w:tabs>
              <w:spacing w:line="276" w:lineRule="auto"/>
              <w:rPr>
                <w:rFonts w:ascii="Verdana" w:hAnsi="Verdana"/>
                <w:b/>
                <w:bCs/>
                <w:color w:val="000000"/>
                <w:sz w:val="20"/>
              </w:rPr>
            </w:pPr>
          </w:p>
        </w:tc>
        <w:tc>
          <w:tcPr>
            <w:tcW w:w="1465" w:type="dxa"/>
          </w:tcPr>
          <w:p w:rsidR="00991FFB" w:rsidRPr="00666803" w:rsidRDefault="00991FFB" w:rsidP="00991FFB">
            <w:pPr>
              <w:tabs>
                <w:tab w:val="right" w:pos="3960"/>
                <w:tab w:val="right" w:pos="5670"/>
                <w:tab w:val="left" w:pos="7380"/>
                <w:tab w:val="right" w:pos="8460"/>
              </w:tabs>
              <w:spacing w:line="276" w:lineRule="auto"/>
              <w:ind w:left="-203"/>
              <w:jc w:val="right"/>
              <w:rPr>
                <w:rFonts w:ascii="Verdana" w:hAnsi="Verdana"/>
                <w:bCs/>
                <w:color w:val="000000"/>
                <w:sz w:val="20"/>
              </w:rPr>
            </w:pPr>
            <w:r>
              <w:rPr>
                <w:rFonts w:ascii="Verdana" w:hAnsi="Verdana"/>
                <w:sz w:val="20"/>
              </w:rPr>
              <w:t>2,025</w:t>
            </w:r>
          </w:p>
        </w:tc>
        <w:tc>
          <w:tcPr>
            <w:tcW w:w="284" w:type="dxa"/>
          </w:tcPr>
          <w:p w:rsidR="00991FFB" w:rsidRPr="00666803" w:rsidRDefault="00991FFB" w:rsidP="00991FFB">
            <w:pPr>
              <w:tabs>
                <w:tab w:val="right" w:pos="3960"/>
                <w:tab w:val="right" w:pos="5670"/>
                <w:tab w:val="left" w:pos="7380"/>
                <w:tab w:val="right" w:pos="8460"/>
              </w:tabs>
              <w:spacing w:line="276" w:lineRule="auto"/>
              <w:jc w:val="right"/>
              <w:rPr>
                <w:rFonts w:ascii="Verdana" w:hAnsi="Verdana"/>
                <w:bCs/>
                <w:color w:val="000000"/>
                <w:sz w:val="20"/>
              </w:rPr>
            </w:pPr>
          </w:p>
        </w:tc>
        <w:tc>
          <w:tcPr>
            <w:tcW w:w="1465" w:type="dxa"/>
          </w:tcPr>
          <w:p w:rsidR="00991FFB" w:rsidRPr="00666803" w:rsidRDefault="00991FFB" w:rsidP="00991FFB">
            <w:pPr>
              <w:tabs>
                <w:tab w:val="right" w:pos="3960"/>
                <w:tab w:val="right" w:pos="5670"/>
                <w:tab w:val="left" w:pos="7380"/>
                <w:tab w:val="right" w:pos="8460"/>
              </w:tabs>
              <w:spacing w:line="276" w:lineRule="auto"/>
              <w:ind w:left="-203"/>
              <w:jc w:val="right"/>
              <w:rPr>
                <w:rFonts w:ascii="Verdana" w:hAnsi="Verdana"/>
                <w:bCs/>
                <w:color w:val="000000"/>
                <w:sz w:val="20"/>
              </w:rPr>
            </w:pPr>
            <w:r>
              <w:rPr>
                <w:rFonts w:ascii="Verdana" w:hAnsi="Verdana"/>
                <w:bCs/>
                <w:color w:val="000000"/>
                <w:sz w:val="20"/>
              </w:rPr>
              <w:t>1,702</w:t>
            </w:r>
          </w:p>
        </w:tc>
        <w:tc>
          <w:tcPr>
            <w:tcW w:w="236" w:type="dxa"/>
          </w:tcPr>
          <w:p w:rsidR="00991FFB" w:rsidRPr="00666803" w:rsidRDefault="00991FFB" w:rsidP="00991FFB">
            <w:pPr>
              <w:tabs>
                <w:tab w:val="right" w:pos="3960"/>
                <w:tab w:val="right" w:pos="5670"/>
                <w:tab w:val="left" w:pos="7380"/>
                <w:tab w:val="right" w:pos="8460"/>
              </w:tabs>
              <w:spacing w:line="276" w:lineRule="auto"/>
              <w:jc w:val="right"/>
              <w:rPr>
                <w:rFonts w:ascii="Verdana" w:hAnsi="Verdana"/>
                <w:bCs/>
                <w:color w:val="000000"/>
                <w:sz w:val="20"/>
              </w:rPr>
            </w:pPr>
          </w:p>
        </w:tc>
        <w:tc>
          <w:tcPr>
            <w:tcW w:w="1432" w:type="dxa"/>
          </w:tcPr>
          <w:p w:rsidR="00991FFB" w:rsidRPr="00666803" w:rsidRDefault="00991FFB" w:rsidP="00991FFB">
            <w:pPr>
              <w:tabs>
                <w:tab w:val="right" w:pos="3960"/>
                <w:tab w:val="right" w:pos="5670"/>
                <w:tab w:val="left" w:pos="7380"/>
                <w:tab w:val="right" w:pos="8460"/>
              </w:tabs>
              <w:spacing w:line="276" w:lineRule="auto"/>
              <w:jc w:val="right"/>
              <w:rPr>
                <w:rFonts w:ascii="Verdana" w:hAnsi="Verdana"/>
                <w:bCs/>
                <w:color w:val="000000"/>
                <w:sz w:val="20"/>
              </w:rPr>
            </w:pPr>
            <w:r>
              <w:rPr>
                <w:rFonts w:ascii="Verdana" w:hAnsi="Verdana"/>
                <w:sz w:val="20"/>
              </w:rPr>
              <w:t>+19%</w:t>
            </w:r>
          </w:p>
        </w:tc>
      </w:tr>
      <w:tr w:rsidR="00991FFB" w:rsidRPr="00666803" w:rsidTr="00991FFB">
        <w:tc>
          <w:tcPr>
            <w:tcW w:w="4253" w:type="dxa"/>
            <w:vAlign w:val="bottom"/>
          </w:tcPr>
          <w:p w:rsidR="00991FFB" w:rsidRPr="00666803" w:rsidRDefault="00991FFB" w:rsidP="00991FFB">
            <w:pPr>
              <w:tabs>
                <w:tab w:val="right" w:pos="3960"/>
                <w:tab w:val="right" w:pos="5670"/>
                <w:tab w:val="left" w:pos="7380"/>
                <w:tab w:val="right" w:pos="8460"/>
              </w:tabs>
              <w:spacing w:line="276" w:lineRule="auto"/>
              <w:rPr>
                <w:rFonts w:ascii="Verdana" w:hAnsi="Verdana"/>
                <w:sz w:val="20"/>
              </w:rPr>
            </w:pPr>
            <w:r>
              <w:rPr>
                <w:rFonts w:ascii="Verdana" w:hAnsi="Verdana"/>
                <w:sz w:val="20"/>
              </w:rPr>
              <w:t>Supply Chain Management (SCM)</w:t>
            </w:r>
          </w:p>
        </w:tc>
        <w:tc>
          <w:tcPr>
            <w:tcW w:w="236" w:type="dxa"/>
          </w:tcPr>
          <w:p w:rsidR="00991FFB" w:rsidRPr="00666803" w:rsidRDefault="00991FFB" w:rsidP="00991FFB">
            <w:pPr>
              <w:tabs>
                <w:tab w:val="right" w:pos="3960"/>
                <w:tab w:val="right" w:pos="5670"/>
                <w:tab w:val="left" w:pos="7380"/>
                <w:tab w:val="right" w:pos="8460"/>
              </w:tabs>
              <w:spacing w:line="276" w:lineRule="auto"/>
              <w:rPr>
                <w:rFonts w:ascii="Verdana" w:hAnsi="Verdana"/>
                <w:b/>
                <w:bCs/>
                <w:color w:val="000000"/>
                <w:sz w:val="20"/>
              </w:rPr>
            </w:pPr>
          </w:p>
        </w:tc>
        <w:tc>
          <w:tcPr>
            <w:tcW w:w="1465" w:type="dxa"/>
          </w:tcPr>
          <w:p w:rsidR="00991FFB" w:rsidRPr="00666803" w:rsidRDefault="00991FFB" w:rsidP="00991FFB">
            <w:pPr>
              <w:tabs>
                <w:tab w:val="right" w:pos="3960"/>
                <w:tab w:val="right" w:pos="5670"/>
                <w:tab w:val="left" w:pos="7380"/>
                <w:tab w:val="right" w:pos="8460"/>
              </w:tabs>
              <w:spacing w:line="276" w:lineRule="auto"/>
              <w:ind w:left="-203"/>
              <w:jc w:val="right"/>
              <w:rPr>
                <w:rFonts w:ascii="Verdana" w:hAnsi="Verdana"/>
                <w:bCs/>
                <w:color w:val="000000"/>
                <w:sz w:val="20"/>
              </w:rPr>
            </w:pPr>
            <w:r>
              <w:rPr>
                <w:rFonts w:ascii="Verdana" w:hAnsi="Verdana"/>
                <w:bCs/>
                <w:color w:val="000000"/>
                <w:sz w:val="20"/>
              </w:rPr>
              <w:t>1,151</w:t>
            </w:r>
          </w:p>
        </w:tc>
        <w:tc>
          <w:tcPr>
            <w:tcW w:w="284" w:type="dxa"/>
          </w:tcPr>
          <w:p w:rsidR="00991FFB" w:rsidRPr="00666803" w:rsidRDefault="00991FFB" w:rsidP="00991FFB">
            <w:pPr>
              <w:tabs>
                <w:tab w:val="right" w:pos="3960"/>
                <w:tab w:val="right" w:pos="5670"/>
                <w:tab w:val="left" w:pos="7380"/>
                <w:tab w:val="right" w:pos="8460"/>
              </w:tabs>
              <w:spacing w:line="276" w:lineRule="auto"/>
              <w:jc w:val="right"/>
              <w:rPr>
                <w:rFonts w:ascii="Verdana" w:hAnsi="Verdana"/>
                <w:bCs/>
                <w:color w:val="000000"/>
                <w:sz w:val="20"/>
              </w:rPr>
            </w:pPr>
          </w:p>
        </w:tc>
        <w:tc>
          <w:tcPr>
            <w:tcW w:w="1465" w:type="dxa"/>
          </w:tcPr>
          <w:p w:rsidR="00991FFB" w:rsidRPr="00102F4D" w:rsidRDefault="00991FFB" w:rsidP="00991FFB">
            <w:pPr>
              <w:tabs>
                <w:tab w:val="right" w:pos="3960"/>
                <w:tab w:val="right" w:pos="5670"/>
                <w:tab w:val="left" w:pos="7380"/>
                <w:tab w:val="right" w:pos="8460"/>
              </w:tabs>
              <w:spacing w:line="276" w:lineRule="auto"/>
              <w:ind w:left="-203"/>
              <w:jc w:val="right"/>
              <w:rPr>
                <w:rFonts w:ascii="Verdana" w:hAnsi="Verdana"/>
                <w:sz w:val="20"/>
              </w:rPr>
            </w:pPr>
            <w:r>
              <w:rPr>
                <w:rFonts w:ascii="Verdana" w:hAnsi="Verdana"/>
                <w:sz w:val="20"/>
              </w:rPr>
              <w:t>926</w:t>
            </w:r>
          </w:p>
        </w:tc>
        <w:tc>
          <w:tcPr>
            <w:tcW w:w="236" w:type="dxa"/>
          </w:tcPr>
          <w:p w:rsidR="00991FFB" w:rsidRPr="00666803" w:rsidRDefault="00991FFB" w:rsidP="00991FFB">
            <w:pPr>
              <w:tabs>
                <w:tab w:val="right" w:pos="3960"/>
                <w:tab w:val="right" w:pos="5670"/>
                <w:tab w:val="left" w:pos="7380"/>
                <w:tab w:val="right" w:pos="8460"/>
              </w:tabs>
              <w:spacing w:line="276" w:lineRule="auto"/>
              <w:jc w:val="right"/>
              <w:rPr>
                <w:rFonts w:ascii="Verdana" w:hAnsi="Verdana"/>
                <w:bCs/>
                <w:color w:val="000000"/>
                <w:sz w:val="20"/>
              </w:rPr>
            </w:pPr>
          </w:p>
        </w:tc>
        <w:tc>
          <w:tcPr>
            <w:tcW w:w="1432" w:type="dxa"/>
          </w:tcPr>
          <w:p w:rsidR="00991FFB" w:rsidRPr="00666803" w:rsidRDefault="00991FFB" w:rsidP="00991FFB">
            <w:pPr>
              <w:tabs>
                <w:tab w:val="right" w:pos="3960"/>
                <w:tab w:val="right" w:pos="5670"/>
                <w:tab w:val="left" w:pos="7380"/>
                <w:tab w:val="right" w:pos="8460"/>
              </w:tabs>
              <w:spacing w:line="276" w:lineRule="auto"/>
              <w:jc w:val="right"/>
              <w:rPr>
                <w:rFonts w:ascii="Verdana" w:hAnsi="Verdana"/>
                <w:bCs/>
                <w:color w:val="000000"/>
                <w:sz w:val="20"/>
              </w:rPr>
            </w:pPr>
            <w:r>
              <w:rPr>
                <w:rFonts w:ascii="Verdana" w:hAnsi="Verdana"/>
                <w:sz w:val="20"/>
              </w:rPr>
              <w:t>+24%</w:t>
            </w:r>
          </w:p>
        </w:tc>
      </w:tr>
      <w:tr w:rsidR="00991FFB" w:rsidRPr="00666803" w:rsidTr="00991FFB">
        <w:tc>
          <w:tcPr>
            <w:tcW w:w="4253" w:type="dxa"/>
            <w:vAlign w:val="bottom"/>
          </w:tcPr>
          <w:p w:rsidR="00991FFB" w:rsidRPr="00666803" w:rsidRDefault="00991FFB" w:rsidP="00991FFB">
            <w:pPr>
              <w:tabs>
                <w:tab w:val="right" w:pos="3960"/>
                <w:tab w:val="right" w:pos="5670"/>
                <w:tab w:val="left" w:pos="7380"/>
                <w:tab w:val="right" w:pos="8460"/>
              </w:tabs>
              <w:spacing w:line="276" w:lineRule="auto"/>
              <w:rPr>
                <w:rFonts w:ascii="Verdana" w:hAnsi="Verdana"/>
                <w:sz w:val="20"/>
              </w:rPr>
            </w:pPr>
            <w:r>
              <w:rPr>
                <w:rFonts w:ascii="Verdana" w:hAnsi="Verdana"/>
                <w:sz w:val="20"/>
              </w:rPr>
              <w:t>Failure &amp; Technological Analysis</w:t>
            </w:r>
          </w:p>
        </w:tc>
        <w:tc>
          <w:tcPr>
            <w:tcW w:w="236" w:type="dxa"/>
          </w:tcPr>
          <w:p w:rsidR="00991FFB" w:rsidRPr="00666803" w:rsidRDefault="00991FFB" w:rsidP="00991FFB">
            <w:pPr>
              <w:tabs>
                <w:tab w:val="right" w:pos="3960"/>
                <w:tab w:val="right" w:pos="5670"/>
                <w:tab w:val="left" w:pos="7380"/>
                <w:tab w:val="right" w:pos="8460"/>
              </w:tabs>
              <w:spacing w:line="276" w:lineRule="auto"/>
              <w:rPr>
                <w:rFonts w:ascii="Verdana" w:hAnsi="Verdana"/>
                <w:b/>
                <w:bCs/>
                <w:color w:val="000000"/>
                <w:sz w:val="20"/>
              </w:rPr>
            </w:pPr>
          </w:p>
        </w:tc>
        <w:tc>
          <w:tcPr>
            <w:tcW w:w="1465" w:type="dxa"/>
            <w:vAlign w:val="bottom"/>
          </w:tcPr>
          <w:p w:rsidR="00991FFB" w:rsidRPr="00666803" w:rsidRDefault="00991FFB" w:rsidP="00991FFB">
            <w:pPr>
              <w:tabs>
                <w:tab w:val="right" w:pos="3960"/>
                <w:tab w:val="right" w:pos="5670"/>
                <w:tab w:val="left" w:pos="7380"/>
                <w:tab w:val="right" w:pos="8460"/>
              </w:tabs>
              <w:spacing w:line="276" w:lineRule="auto"/>
              <w:ind w:left="-203"/>
              <w:jc w:val="right"/>
              <w:rPr>
                <w:rFonts w:ascii="Verdana" w:hAnsi="Verdana"/>
                <w:bCs/>
                <w:color w:val="000000"/>
                <w:sz w:val="20"/>
              </w:rPr>
            </w:pPr>
            <w:r>
              <w:rPr>
                <w:rFonts w:ascii="Verdana" w:hAnsi="Verdana"/>
                <w:color w:val="000000"/>
                <w:sz w:val="20"/>
              </w:rPr>
              <w:t>743</w:t>
            </w:r>
          </w:p>
        </w:tc>
        <w:tc>
          <w:tcPr>
            <w:tcW w:w="284" w:type="dxa"/>
            <w:vAlign w:val="bottom"/>
          </w:tcPr>
          <w:p w:rsidR="00991FFB" w:rsidRPr="00666803" w:rsidRDefault="00991FFB" w:rsidP="00991FFB">
            <w:pPr>
              <w:tabs>
                <w:tab w:val="right" w:pos="3960"/>
                <w:tab w:val="right" w:pos="5670"/>
                <w:tab w:val="left" w:pos="7380"/>
                <w:tab w:val="right" w:pos="8460"/>
              </w:tabs>
              <w:spacing w:line="276" w:lineRule="auto"/>
              <w:jc w:val="right"/>
              <w:rPr>
                <w:rFonts w:ascii="Verdana" w:hAnsi="Verdana"/>
                <w:bCs/>
                <w:color w:val="000000"/>
                <w:sz w:val="20"/>
              </w:rPr>
            </w:pPr>
          </w:p>
        </w:tc>
        <w:tc>
          <w:tcPr>
            <w:tcW w:w="1465" w:type="dxa"/>
            <w:vAlign w:val="bottom"/>
          </w:tcPr>
          <w:p w:rsidR="00991FFB" w:rsidRPr="00666803" w:rsidRDefault="00991FFB" w:rsidP="00991FFB">
            <w:pPr>
              <w:tabs>
                <w:tab w:val="right" w:pos="3960"/>
                <w:tab w:val="right" w:pos="5670"/>
                <w:tab w:val="left" w:pos="7380"/>
                <w:tab w:val="right" w:pos="8460"/>
              </w:tabs>
              <w:spacing w:line="276" w:lineRule="auto"/>
              <w:ind w:left="-203"/>
              <w:jc w:val="right"/>
              <w:rPr>
                <w:rFonts w:ascii="Verdana" w:hAnsi="Verdana"/>
                <w:bCs/>
                <w:color w:val="000000"/>
                <w:sz w:val="20"/>
              </w:rPr>
            </w:pPr>
            <w:r>
              <w:rPr>
                <w:rFonts w:ascii="Verdana" w:hAnsi="Verdana"/>
                <w:sz w:val="20"/>
              </w:rPr>
              <w:t>751</w:t>
            </w:r>
          </w:p>
        </w:tc>
        <w:tc>
          <w:tcPr>
            <w:tcW w:w="236" w:type="dxa"/>
            <w:vAlign w:val="bottom"/>
          </w:tcPr>
          <w:p w:rsidR="00991FFB" w:rsidRPr="00666803" w:rsidRDefault="00991FFB" w:rsidP="00991FFB">
            <w:pPr>
              <w:tabs>
                <w:tab w:val="right" w:pos="3960"/>
                <w:tab w:val="right" w:pos="5670"/>
                <w:tab w:val="left" w:pos="7380"/>
                <w:tab w:val="right" w:pos="8460"/>
              </w:tabs>
              <w:spacing w:line="276" w:lineRule="auto"/>
              <w:jc w:val="right"/>
              <w:rPr>
                <w:rFonts w:ascii="Verdana" w:hAnsi="Verdana"/>
                <w:bCs/>
                <w:color w:val="000000"/>
                <w:sz w:val="20"/>
              </w:rPr>
            </w:pPr>
          </w:p>
        </w:tc>
        <w:tc>
          <w:tcPr>
            <w:tcW w:w="1432" w:type="dxa"/>
            <w:vAlign w:val="bottom"/>
          </w:tcPr>
          <w:p w:rsidR="00991FFB" w:rsidRPr="00666803" w:rsidRDefault="00991FFB" w:rsidP="00991FFB">
            <w:pPr>
              <w:tabs>
                <w:tab w:val="right" w:pos="3960"/>
                <w:tab w:val="right" w:pos="5670"/>
                <w:tab w:val="left" w:pos="7380"/>
                <w:tab w:val="right" w:pos="8460"/>
              </w:tabs>
              <w:spacing w:line="276" w:lineRule="auto"/>
              <w:jc w:val="right"/>
              <w:rPr>
                <w:rFonts w:ascii="Verdana" w:hAnsi="Verdana"/>
                <w:bCs/>
                <w:color w:val="000000"/>
                <w:sz w:val="20"/>
              </w:rPr>
            </w:pPr>
            <w:r>
              <w:rPr>
                <w:rFonts w:ascii="Verdana" w:hAnsi="Verdana"/>
                <w:sz w:val="20"/>
              </w:rPr>
              <w:t>-1%</w:t>
            </w:r>
          </w:p>
        </w:tc>
      </w:tr>
      <w:tr w:rsidR="00991FFB" w:rsidRPr="00666803" w:rsidTr="00991FFB">
        <w:tc>
          <w:tcPr>
            <w:tcW w:w="4253" w:type="dxa"/>
            <w:vAlign w:val="bottom"/>
          </w:tcPr>
          <w:p w:rsidR="00991FFB" w:rsidRPr="00666803" w:rsidRDefault="00991FFB" w:rsidP="00991FFB">
            <w:pPr>
              <w:tabs>
                <w:tab w:val="right" w:pos="3960"/>
                <w:tab w:val="right" w:pos="5670"/>
                <w:tab w:val="left" w:pos="7380"/>
                <w:tab w:val="right" w:pos="8460"/>
              </w:tabs>
              <w:spacing w:line="276" w:lineRule="auto"/>
              <w:rPr>
                <w:rFonts w:ascii="Verdana" w:hAnsi="Verdana"/>
                <w:sz w:val="20"/>
              </w:rPr>
            </w:pPr>
            <w:r>
              <w:rPr>
                <w:rFonts w:ascii="Verdana" w:hAnsi="Verdana"/>
                <w:sz w:val="20"/>
              </w:rPr>
              <w:t>Test Engineering</w:t>
            </w:r>
          </w:p>
        </w:tc>
        <w:tc>
          <w:tcPr>
            <w:tcW w:w="236" w:type="dxa"/>
          </w:tcPr>
          <w:p w:rsidR="00991FFB" w:rsidRPr="00666803" w:rsidRDefault="00991FFB" w:rsidP="00991FFB">
            <w:pPr>
              <w:tabs>
                <w:tab w:val="right" w:pos="3960"/>
                <w:tab w:val="right" w:pos="5670"/>
                <w:tab w:val="left" w:pos="7380"/>
                <w:tab w:val="right" w:pos="8460"/>
              </w:tabs>
              <w:spacing w:line="276" w:lineRule="auto"/>
              <w:rPr>
                <w:rFonts w:ascii="Verdana" w:hAnsi="Verdana"/>
                <w:b/>
                <w:bCs/>
                <w:color w:val="000000"/>
                <w:sz w:val="20"/>
              </w:rPr>
            </w:pPr>
          </w:p>
        </w:tc>
        <w:tc>
          <w:tcPr>
            <w:tcW w:w="1465" w:type="dxa"/>
          </w:tcPr>
          <w:p w:rsidR="00991FFB" w:rsidRPr="00666803" w:rsidRDefault="00991FFB" w:rsidP="00991FFB">
            <w:pPr>
              <w:tabs>
                <w:tab w:val="right" w:pos="3960"/>
                <w:tab w:val="right" w:pos="5670"/>
                <w:tab w:val="left" w:pos="7380"/>
                <w:tab w:val="right" w:pos="8460"/>
              </w:tabs>
              <w:spacing w:line="276" w:lineRule="auto"/>
              <w:ind w:left="-203"/>
              <w:jc w:val="right"/>
              <w:rPr>
                <w:rFonts w:ascii="Verdana" w:hAnsi="Verdana"/>
                <w:bCs/>
                <w:color w:val="000000"/>
                <w:sz w:val="20"/>
              </w:rPr>
            </w:pPr>
            <w:r>
              <w:rPr>
                <w:rFonts w:ascii="Verdana" w:hAnsi="Verdana"/>
                <w:sz w:val="20"/>
              </w:rPr>
              <w:t>241</w:t>
            </w:r>
          </w:p>
        </w:tc>
        <w:tc>
          <w:tcPr>
            <w:tcW w:w="284" w:type="dxa"/>
          </w:tcPr>
          <w:p w:rsidR="00991FFB" w:rsidRPr="00666803" w:rsidRDefault="00991FFB" w:rsidP="00991FFB">
            <w:pPr>
              <w:tabs>
                <w:tab w:val="right" w:pos="3960"/>
                <w:tab w:val="right" w:pos="5670"/>
                <w:tab w:val="left" w:pos="7380"/>
                <w:tab w:val="right" w:pos="8460"/>
              </w:tabs>
              <w:spacing w:line="276" w:lineRule="auto"/>
              <w:jc w:val="right"/>
              <w:rPr>
                <w:rFonts w:ascii="Verdana" w:hAnsi="Verdana"/>
                <w:bCs/>
                <w:color w:val="000000"/>
                <w:sz w:val="20"/>
              </w:rPr>
            </w:pPr>
          </w:p>
        </w:tc>
        <w:tc>
          <w:tcPr>
            <w:tcW w:w="1465" w:type="dxa"/>
          </w:tcPr>
          <w:p w:rsidR="00991FFB" w:rsidRPr="00666803" w:rsidRDefault="00991FFB" w:rsidP="00991FFB">
            <w:pPr>
              <w:tabs>
                <w:tab w:val="right" w:pos="3960"/>
                <w:tab w:val="right" w:pos="5670"/>
                <w:tab w:val="left" w:pos="7380"/>
                <w:tab w:val="right" w:pos="8460"/>
              </w:tabs>
              <w:spacing w:line="276" w:lineRule="auto"/>
              <w:ind w:left="-203"/>
              <w:jc w:val="right"/>
              <w:rPr>
                <w:rFonts w:ascii="Verdana" w:hAnsi="Verdana"/>
                <w:bCs/>
                <w:color w:val="000000"/>
                <w:sz w:val="20"/>
              </w:rPr>
            </w:pPr>
            <w:r>
              <w:rPr>
                <w:rFonts w:ascii="Verdana" w:hAnsi="Verdana"/>
                <w:color w:val="000000"/>
                <w:sz w:val="20"/>
              </w:rPr>
              <w:t>230</w:t>
            </w:r>
          </w:p>
        </w:tc>
        <w:tc>
          <w:tcPr>
            <w:tcW w:w="236" w:type="dxa"/>
          </w:tcPr>
          <w:p w:rsidR="00991FFB" w:rsidRPr="00666803" w:rsidRDefault="00991FFB" w:rsidP="00991FFB">
            <w:pPr>
              <w:tabs>
                <w:tab w:val="right" w:pos="3960"/>
                <w:tab w:val="right" w:pos="5670"/>
                <w:tab w:val="left" w:pos="7380"/>
                <w:tab w:val="right" w:pos="8460"/>
              </w:tabs>
              <w:spacing w:line="276" w:lineRule="auto"/>
              <w:jc w:val="right"/>
              <w:rPr>
                <w:rFonts w:ascii="Verdana" w:hAnsi="Verdana"/>
                <w:bCs/>
                <w:color w:val="000000"/>
                <w:sz w:val="20"/>
              </w:rPr>
            </w:pPr>
          </w:p>
        </w:tc>
        <w:tc>
          <w:tcPr>
            <w:tcW w:w="1432" w:type="dxa"/>
          </w:tcPr>
          <w:p w:rsidR="00991FFB" w:rsidRPr="00666803" w:rsidRDefault="00991FFB" w:rsidP="00991FFB">
            <w:pPr>
              <w:tabs>
                <w:tab w:val="right" w:pos="3960"/>
                <w:tab w:val="right" w:pos="5670"/>
                <w:tab w:val="left" w:pos="7380"/>
                <w:tab w:val="right" w:pos="8460"/>
              </w:tabs>
              <w:spacing w:line="276" w:lineRule="auto"/>
              <w:jc w:val="right"/>
              <w:rPr>
                <w:rFonts w:ascii="Verdana" w:hAnsi="Verdana"/>
                <w:bCs/>
                <w:color w:val="000000"/>
                <w:sz w:val="20"/>
              </w:rPr>
            </w:pPr>
            <w:r>
              <w:rPr>
                <w:rFonts w:ascii="Verdana" w:hAnsi="Verdana"/>
                <w:sz w:val="20"/>
              </w:rPr>
              <w:t>+5%</w:t>
            </w:r>
          </w:p>
        </w:tc>
      </w:tr>
      <w:tr w:rsidR="00991FFB" w:rsidRPr="00666803" w:rsidTr="00991FFB">
        <w:tc>
          <w:tcPr>
            <w:tcW w:w="4253" w:type="dxa"/>
            <w:vAlign w:val="bottom"/>
          </w:tcPr>
          <w:p w:rsidR="00991FFB" w:rsidRPr="00666803" w:rsidRDefault="00991FFB" w:rsidP="00991FFB">
            <w:pPr>
              <w:tabs>
                <w:tab w:val="right" w:pos="3960"/>
                <w:tab w:val="right" w:pos="5670"/>
                <w:tab w:val="left" w:pos="7380"/>
                <w:tab w:val="right" w:pos="8460"/>
              </w:tabs>
              <w:spacing w:line="276" w:lineRule="auto"/>
              <w:rPr>
                <w:rFonts w:ascii="Verdana" w:hAnsi="Verdana"/>
                <w:sz w:val="20"/>
              </w:rPr>
            </w:pPr>
            <w:r>
              <w:rPr>
                <w:rFonts w:ascii="Verdana" w:hAnsi="Verdana"/>
                <w:sz w:val="20"/>
              </w:rPr>
              <w:t>Qualification &amp; Reliability Investigation</w:t>
            </w:r>
          </w:p>
        </w:tc>
        <w:tc>
          <w:tcPr>
            <w:tcW w:w="236" w:type="dxa"/>
          </w:tcPr>
          <w:p w:rsidR="00991FFB" w:rsidRPr="00666803" w:rsidRDefault="00991FFB" w:rsidP="00991FFB">
            <w:pPr>
              <w:tabs>
                <w:tab w:val="right" w:pos="3960"/>
                <w:tab w:val="right" w:pos="5670"/>
                <w:tab w:val="left" w:pos="7380"/>
                <w:tab w:val="right" w:pos="8460"/>
              </w:tabs>
              <w:spacing w:line="276" w:lineRule="auto"/>
              <w:rPr>
                <w:rFonts w:ascii="Verdana" w:hAnsi="Verdana"/>
                <w:b/>
                <w:bCs/>
                <w:color w:val="000000"/>
                <w:sz w:val="20"/>
              </w:rPr>
            </w:pPr>
          </w:p>
        </w:tc>
        <w:tc>
          <w:tcPr>
            <w:tcW w:w="1465" w:type="dxa"/>
          </w:tcPr>
          <w:p w:rsidR="00991FFB" w:rsidRPr="00666803" w:rsidRDefault="00991FFB" w:rsidP="00991FFB">
            <w:pPr>
              <w:tabs>
                <w:tab w:val="right" w:pos="3960"/>
                <w:tab w:val="right" w:pos="5670"/>
                <w:tab w:val="left" w:pos="7380"/>
                <w:tab w:val="right" w:pos="8460"/>
              </w:tabs>
              <w:spacing w:line="276" w:lineRule="auto"/>
              <w:ind w:left="-203"/>
              <w:jc w:val="right"/>
              <w:rPr>
                <w:rFonts w:ascii="Verdana" w:hAnsi="Verdana"/>
                <w:bCs/>
                <w:color w:val="000000"/>
                <w:sz w:val="20"/>
              </w:rPr>
            </w:pPr>
            <w:r>
              <w:rPr>
                <w:rFonts w:ascii="Verdana" w:hAnsi="Verdana"/>
                <w:sz w:val="20"/>
              </w:rPr>
              <w:t>1,386</w:t>
            </w:r>
          </w:p>
        </w:tc>
        <w:tc>
          <w:tcPr>
            <w:tcW w:w="284" w:type="dxa"/>
          </w:tcPr>
          <w:p w:rsidR="00991FFB" w:rsidRPr="00666803" w:rsidRDefault="00991FFB" w:rsidP="00991FFB">
            <w:pPr>
              <w:tabs>
                <w:tab w:val="right" w:pos="3960"/>
                <w:tab w:val="right" w:pos="5670"/>
                <w:tab w:val="left" w:pos="7380"/>
                <w:tab w:val="right" w:pos="8460"/>
              </w:tabs>
              <w:spacing w:line="276" w:lineRule="auto"/>
              <w:jc w:val="right"/>
              <w:rPr>
                <w:rFonts w:ascii="Verdana" w:hAnsi="Verdana"/>
                <w:bCs/>
                <w:color w:val="000000"/>
                <w:sz w:val="20"/>
              </w:rPr>
            </w:pPr>
          </w:p>
        </w:tc>
        <w:tc>
          <w:tcPr>
            <w:tcW w:w="1465" w:type="dxa"/>
          </w:tcPr>
          <w:p w:rsidR="00991FFB" w:rsidRPr="00666803" w:rsidRDefault="00991FFB" w:rsidP="00991FFB">
            <w:pPr>
              <w:tabs>
                <w:tab w:val="right" w:pos="3960"/>
                <w:tab w:val="right" w:pos="5670"/>
                <w:tab w:val="left" w:pos="7380"/>
                <w:tab w:val="right" w:pos="8460"/>
              </w:tabs>
              <w:spacing w:line="276" w:lineRule="auto"/>
              <w:ind w:left="-203"/>
              <w:jc w:val="right"/>
              <w:rPr>
                <w:rFonts w:ascii="Verdana" w:hAnsi="Verdana"/>
                <w:bCs/>
                <w:color w:val="000000"/>
                <w:sz w:val="20"/>
              </w:rPr>
            </w:pPr>
            <w:r>
              <w:rPr>
                <w:rFonts w:ascii="Verdana" w:hAnsi="Verdana"/>
                <w:bCs/>
                <w:color w:val="000000"/>
                <w:sz w:val="20"/>
              </w:rPr>
              <w:t>1,310</w:t>
            </w:r>
          </w:p>
        </w:tc>
        <w:tc>
          <w:tcPr>
            <w:tcW w:w="236" w:type="dxa"/>
          </w:tcPr>
          <w:p w:rsidR="00991FFB" w:rsidRPr="00666803" w:rsidRDefault="00991FFB" w:rsidP="00991FFB">
            <w:pPr>
              <w:tabs>
                <w:tab w:val="right" w:pos="3960"/>
                <w:tab w:val="right" w:pos="5670"/>
                <w:tab w:val="left" w:pos="7380"/>
                <w:tab w:val="right" w:pos="8460"/>
              </w:tabs>
              <w:spacing w:line="276" w:lineRule="auto"/>
              <w:jc w:val="right"/>
              <w:rPr>
                <w:rFonts w:ascii="Verdana" w:hAnsi="Verdana"/>
                <w:bCs/>
                <w:color w:val="000000"/>
                <w:sz w:val="20"/>
              </w:rPr>
            </w:pPr>
          </w:p>
        </w:tc>
        <w:tc>
          <w:tcPr>
            <w:tcW w:w="1432" w:type="dxa"/>
          </w:tcPr>
          <w:p w:rsidR="00991FFB" w:rsidRPr="00666803" w:rsidRDefault="00991FFB" w:rsidP="00991FFB">
            <w:pPr>
              <w:tabs>
                <w:tab w:val="right" w:pos="3960"/>
                <w:tab w:val="right" w:pos="5670"/>
                <w:tab w:val="left" w:pos="7380"/>
                <w:tab w:val="right" w:pos="8460"/>
              </w:tabs>
              <w:spacing w:line="276" w:lineRule="auto"/>
              <w:jc w:val="right"/>
              <w:rPr>
                <w:rFonts w:ascii="Verdana" w:hAnsi="Verdana"/>
                <w:bCs/>
                <w:color w:val="000000"/>
                <w:sz w:val="20"/>
              </w:rPr>
            </w:pPr>
            <w:r>
              <w:rPr>
                <w:rFonts w:ascii="Verdana" w:hAnsi="Verdana"/>
                <w:sz w:val="20"/>
              </w:rPr>
              <w:t>+6%</w:t>
            </w:r>
          </w:p>
        </w:tc>
      </w:tr>
      <w:tr w:rsidR="00991FFB" w:rsidRPr="00666803" w:rsidTr="00991FFB">
        <w:tc>
          <w:tcPr>
            <w:tcW w:w="4253" w:type="dxa"/>
            <w:vAlign w:val="bottom"/>
          </w:tcPr>
          <w:p w:rsidR="00991FFB" w:rsidRPr="00666803" w:rsidRDefault="00991FFB" w:rsidP="00991FFB">
            <w:pPr>
              <w:tabs>
                <w:tab w:val="right" w:pos="3960"/>
                <w:tab w:val="right" w:pos="5670"/>
                <w:tab w:val="left" w:pos="7380"/>
                <w:tab w:val="right" w:pos="8460"/>
              </w:tabs>
              <w:spacing w:line="276" w:lineRule="auto"/>
              <w:rPr>
                <w:rFonts w:ascii="Verdana" w:hAnsi="Verdana"/>
                <w:b/>
                <w:sz w:val="20"/>
              </w:rPr>
            </w:pPr>
            <w:r>
              <w:rPr>
                <w:rFonts w:ascii="Verdana" w:hAnsi="Verdana"/>
                <w:b/>
                <w:sz w:val="20"/>
              </w:rPr>
              <w:t>TOTAL</w:t>
            </w:r>
          </w:p>
        </w:tc>
        <w:tc>
          <w:tcPr>
            <w:tcW w:w="236" w:type="dxa"/>
          </w:tcPr>
          <w:p w:rsidR="00991FFB" w:rsidRPr="00666803" w:rsidRDefault="00991FFB" w:rsidP="00991FFB">
            <w:pPr>
              <w:tabs>
                <w:tab w:val="right" w:pos="3960"/>
                <w:tab w:val="right" w:pos="5670"/>
                <w:tab w:val="left" w:pos="7380"/>
                <w:tab w:val="right" w:pos="8460"/>
              </w:tabs>
              <w:spacing w:line="276" w:lineRule="auto"/>
              <w:rPr>
                <w:rFonts w:ascii="Verdana" w:hAnsi="Verdana"/>
                <w:b/>
                <w:bCs/>
                <w:color w:val="000000"/>
                <w:sz w:val="20"/>
              </w:rPr>
            </w:pPr>
          </w:p>
        </w:tc>
        <w:tc>
          <w:tcPr>
            <w:tcW w:w="1465" w:type="dxa"/>
          </w:tcPr>
          <w:p w:rsidR="00991FFB" w:rsidRPr="00666803" w:rsidRDefault="00991FFB" w:rsidP="00991FFB">
            <w:pPr>
              <w:tabs>
                <w:tab w:val="right" w:pos="3960"/>
                <w:tab w:val="right" w:pos="5670"/>
                <w:tab w:val="left" w:pos="7380"/>
                <w:tab w:val="right" w:pos="8460"/>
              </w:tabs>
              <w:spacing w:line="276" w:lineRule="auto"/>
              <w:ind w:left="-203"/>
              <w:jc w:val="right"/>
              <w:rPr>
                <w:rFonts w:ascii="Verdana" w:hAnsi="Verdana"/>
                <w:b/>
                <w:bCs/>
                <w:color w:val="000000"/>
                <w:sz w:val="20"/>
              </w:rPr>
            </w:pPr>
            <w:r>
              <w:rPr>
                <w:rFonts w:ascii="Verdana" w:hAnsi="Verdana"/>
                <w:b/>
                <w:sz w:val="20"/>
              </w:rPr>
              <w:t>5,546</w:t>
            </w:r>
          </w:p>
        </w:tc>
        <w:tc>
          <w:tcPr>
            <w:tcW w:w="284" w:type="dxa"/>
          </w:tcPr>
          <w:p w:rsidR="00991FFB" w:rsidRPr="00666803" w:rsidRDefault="00991FFB" w:rsidP="00991FFB">
            <w:pPr>
              <w:tabs>
                <w:tab w:val="right" w:pos="3960"/>
                <w:tab w:val="right" w:pos="5670"/>
                <w:tab w:val="left" w:pos="7380"/>
                <w:tab w:val="right" w:pos="8460"/>
              </w:tabs>
              <w:spacing w:line="276" w:lineRule="auto"/>
              <w:jc w:val="right"/>
              <w:rPr>
                <w:rFonts w:ascii="Verdana" w:hAnsi="Verdana"/>
                <w:b/>
                <w:bCs/>
                <w:color w:val="000000"/>
                <w:sz w:val="20"/>
              </w:rPr>
            </w:pPr>
          </w:p>
        </w:tc>
        <w:tc>
          <w:tcPr>
            <w:tcW w:w="1465" w:type="dxa"/>
          </w:tcPr>
          <w:p w:rsidR="00991FFB" w:rsidRPr="00666803" w:rsidRDefault="00991FFB" w:rsidP="00991FFB">
            <w:pPr>
              <w:tabs>
                <w:tab w:val="right" w:pos="3960"/>
                <w:tab w:val="right" w:pos="5670"/>
                <w:tab w:val="left" w:pos="7380"/>
                <w:tab w:val="right" w:pos="8460"/>
              </w:tabs>
              <w:spacing w:line="276" w:lineRule="auto"/>
              <w:ind w:left="-203"/>
              <w:jc w:val="right"/>
              <w:rPr>
                <w:rFonts w:ascii="Verdana" w:hAnsi="Verdana"/>
                <w:b/>
                <w:bCs/>
                <w:color w:val="000000"/>
                <w:sz w:val="20"/>
              </w:rPr>
            </w:pPr>
            <w:r>
              <w:rPr>
                <w:rFonts w:ascii="Verdana" w:hAnsi="Verdana"/>
                <w:b/>
                <w:sz w:val="20"/>
              </w:rPr>
              <w:t>4,919</w:t>
            </w:r>
          </w:p>
        </w:tc>
        <w:tc>
          <w:tcPr>
            <w:tcW w:w="236" w:type="dxa"/>
          </w:tcPr>
          <w:p w:rsidR="00991FFB" w:rsidRPr="00666803" w:rsidRDefault="00991FFB" w:rsidP="00991FFB">
            <w:pPr>
              <w:tabs>
                <w:tab w:val="right" w:pos="3960"/>
                <w:tab w:val="right" w:pos="5670"/>
                <w:tab w:val="left" w:pos="7380"/>
                <w:tab w:val="right" w:pos="8460"/>
              </w:tabs>
              <w:spacing w:line="276" w:lineRule="auto"/>
              <w:jc w:val="right"/>
              <w:rPr>
                <w:rFonts w:ascii="Verdana" w:hAnsi="Verdana"/>
                <w:bCs/>
                <w:color w:val="000000"/>
                <w:sz w:val="20"/>
              </w:rPr>
            </w:pPr>
          </w:p>
        </w:tc>
        <w:tc>
          <w:tcPr>
            <w:tcW w:w="1432" w:type="dxa"/>
          </w:tcPr>
          <w:p w:rsidR="00991FFB" w:rsidRPr="00666803" w:rsidRDefault="00991FFB" w:rsidP="00991FFB">
            <w:pPr>
              <w:tabs>
                <w:tab w:val="right" w:pos="3960"/>
                <w:tab w:val="right" w:pos="5670"/>
                <w:tab w:val="left" w:pos="7380"/>
                <w:tab w:val="right" w:pos="8460"/>
              </w:tabs>
              <w:spacing w:line="276" w:lineRule="auto"/>
              <w:jc w:val="right"/>
              <w:rPr>
                <w:rFonts w:ascii="Verdana" w:hAnsi="Verdana"/>
                <w:b/>
                <w:bCs/>
                <w:color w:val="000000"/>
                <w:sz w:val="20"/>
              </w:rPr>
            </w:pPr>
            <w:r>
              <w:rPr>
                <w:rFonts w:ascii="Verdana" w:hAnsi="Verdana"/>
                <w:b/>
                <w:sz w:val="20"/>
              </w:rPr>
              <w:t>+13%</w:t>
            </w:r>
          </w:p>
        </w:tc>
      </w:tr>
    </w:tbl>
    <w:p w:rsidR="00991FFB" w:rsidRPr="00021736" w:rsidRDefault="00991FFB" w:rsidP="00021736">
      <w:pPr>
        <w:spacing w:after="240" w:line="276" w:lineRule="auto"/>
        <w:rPr>
          <w:rFonts w:ascii="Verdana" w:hAnsi="Verdana"/>
          <w:sz w:val="20"/>
        </w:rPr>
      </w:pPr>
    </w:p>
    <w:p w:rsidR="00021736" w:rsidRPr="00021736" w:rsidRDefault="00021736" w:rsidP="00021736">
      <w:pPr>
        <w:spacing w:line="276" w:lineRule="auto"/>
        <w:rPr>
          <w:rFonts w:ascii="Verdana" w:hAnsi="Verdana"/>
          <w:b/>
          <w:color w:val="B71234"/>
          <w:sz w:val="20"/>
          <w:lang w:bidi="ar-SA"/>
        </w:rPr>
      </w:pPr>
      <w:r w:rsidRPr="00021736">
        <w:rPr>
          <w:rFonts w:ascii="Verdana" w:hAnsi="Verdana"/>
          <w:b/>
          <w:color w:val="B71234"/>
          <w:sz w:val="20"/>
          <w:lang w:bidi="ar-SA"/>
        </w:rPr>
        <w:t>Sales by business unit in 2016 compared with 2015:</w:t>
      </w:r>
    </w:p>
    <w:p w:rsidR="00021736" w:rsidRPr="002322D3" w:rsidRDefault="00021736" w:rsidP="00021736">
      <w:pPr>
        <w:spacing w:line="276" w:lineRule="auto"/>
        <w:rPr>
          <w:rFonts w:ascii="Verdana" w:hAnsi="Verdana"/>
          <w:sz w:val="20"/>
          <w:lang w:val="en-US"/>
        </w:rPr>
      </w:pPr>
    </w:p>
    <w:tbl>
      <w:tblPr>
        <w:tblW w:w="9371" w:type="dxa"/>
        <w:tblInd w:w="-34" w:type="dxa"/>
        <w:tblLayout w:type="fixed"/>
        <w:tblLook w:val="04A0"/>
      </w:tblPr>
      <w:tblGrid>
        <w:gridCol w:w="4253"/>
        <w:gridCol w:w="236"/>
        <w:gridCol w:w="1465"/>
        <w:gridCol w:w="284"/>
        <w:gridCol w:w="1465"/>
        <w:gridCol w:w="236"/>
        <w:gridCol w:w="1432"/>
      </w:tblGrid>
      <w:tr w:rsidR="00991FFB" w:rsidRPr="00666803" w:rsidTr="00991FFB">
        <w:tc>
          <w:tcPr>
            <w:tcW w:w="4253" w:type="dxa"/>
            <w:vAlign w:val="bottom"/>
          </w:tcPr>
          <w:p w:rsidR="00991FFB" w:rsidRPr="00C100EB" w:rsidRDefault="00991FFB" w:rsidP="00991FFB">
            <w:pPr>
              <w:spacing w:line="276" w:lineRule="auto"/>
              <w:jc w:val="both"/>
              <w:rPr>
                <w:rFonts w:ascii="Verdana" w:hAnsi="Verdana"/>
                <w:sz w:val="20"/>
              </w:rPr>
            </w:pPr>
            <w:r>
              <w:rPr>
                <w:rFonts w:ascii="Verdana" w:hAnsi="Verdana"/>
                <w:sz w:val="20"/>
              </w:rPr>
              <w:t>(x EUR</w:t>
            </w:r>
            <w:r w:rsidRPr="00C100EB">
              <w:rPr>
                <w:rFonts w:ascii="Verdana" w:hAnsi="Verdana"/>
                <w:sz w:val="20"/>
              </w:rPr>
              <w:t xml:space="preserve"> 1,000)</w:t>
            </w:r>
          </w:p>
        </w:tc>
        <w:tc>
          <w:tcPr>
            <w:tcW w:w="236" w:type="dxa"/>
          </w:tcPr>
          <w:p w:rsidR="00991FFB" w:rsidRPr="00666803" w:rsidRDefault="00991FFB" w:rsidP="00991FFB">
            <w:pPr>
              <w:tabs>
                <w:tab w:val="right" w:pos="3960"/>
                <w:tab w:val="right" w:pos="5670"/>
                <w:tab w:val="left" w:pos="7380"/>
                <w:tab w:val="right" w:pos="8460"/>
              </w:tabs>
              <w:spacing w:line="276" w:lineRule="auto"/>
              <w:rPr>
                <w:rFonts w:ascii="Verdana" w:hAnsi="Verdana"/>
                <w:b/>
                <w:bCs/>
                <w:color w:val="000000"/>
                <w:sz w:val="20"/>
              </w:rPr>
            </w:pPr>
          </w:p>
        </w:tc>
        <w:tc>
          <w:tcPr>
            <w:tcW w:w="1465" w:type="dxa"/>
          </w:tcPr>
          <w:p w:rsidR="00991FFB" w:rsidRPr="00666803" w:rsidRDefault="00991FFB" w:rsidP="00991FFB">
            <w:pPr>
              <w:tabs>
                <w:tab w:val="right" w:pos="3960"/>
                <w:tab w:val="right" w:pos="5670"/>
                <w:tab w:val="left" w:pos="7380"/>
                <w:tab w:val="right" w:pos="8460"/>
              </w:tabs>
              <w:spacing w:line="276" w:lineRule="auto"/>
              <w:ind w:left="-203"/>
              <w:jc w:val="right"/>
              <w:rPr>
                <w:rFonts w:ascii="Verdana" w:hAnsi="Verdana"/>
                <w:bCs/>
                <w:color w:val="000000"/>
                <w:sz w:val="20"/>
              </w:rPr>
            </w:pPr>
            <w:r>
              <w:rPr>
                <w:rFonts w:ascii="Verdana" w:hAnsi="Verdana"/>
                <w:b/>
                <w:sz w:val="20"/>
              </w:rPr>
              <w:t>2016</w:t>
            </w:r>
          </w:p>
        </w:tc>
        <w:tc>
          <w:tcPr>
            <w:tcW w:w="284" w:type="dxa"/>
          </w:tcPr>
          <w:p w:rsidR="00991FFB" w:rsidRPr="00666803" w:rsidRDefault="00991FFB" w:rsidP="00991FFB">
            <w:pPr>
              <w:tabs>
                <w:tab w:val="right" w:pos="3960"/>
                <w:tab w:val="right" w:pos="5670"/>
                <w:tab w:val="left" w:pos="7380"/>
                <w:tab w:val="right" w:pos="8460"/>
              </w:tabs>
              <w:spacing w:line="276" w:lineRule="auto"/>
              <w:jc w:val="right"/>
              <w:rPr>
                <w:rFonts w:ascii="Verdana" w:hAnsi="Verdana"/>
                <w:bCs/>
                <w:color w:val="000000"/>
                <w:sz w:val="20"/>
              </w:rPr>
            </w:pPr>
          </w:p>
        </w:tc>
        <w:tc>
          <w:tcPr>
            <w:tcW w:w="1465" w:type="dxa"/>
          </w:tcPr>
          <w:p w:rsidR="00991FFB" w:rsidRPr="00666803" w:rsidRDefault="00991FFB" w:rsidP="00991FFB">
            <w:pPr>
              <w:tabs>
                <w:tab w:val="right" w:pos="3960"/>
                <w:tab w:val="right" w:pos="5670"/>
                <w:tab w:val="left" w:pos="7380"/>
                <w:tab w:val="right" w:pos="8460"/>
              </w:tabs>
              <w:spacing w:line="276" w:lineRule="auto"/>
              <w:ind w:left="-203"/>
              <w:jc w:val="right"/>
              <w:rPr>
                <w:rFonts w:ascii="Verdana" w:hAnsi="Verdana"/>
                <w:bCs/>
                <w:color w:val="000000"/>
                <w:sz w:val="20"/>
              </w:rPr>
            </w:pPr>
            <w:r>
              <w:rPr>
                <w:rFonts w:ascii="Verdana" w:hAnsi="Verdana"/>
                <w:b/>
                <w:sz w:val="20"/>
              </w:rPr>
              <w:t>2015</w:t>
            </w:r>
          </w:p>
        </w:tc>
        <w:tc>
          <w:tcPr>
            <w:tcW w:w="236" w:type="dxa"/>
          </w:tcPr>
          <w:p w:rsidR="00991FFB" w:rsidRPr="00666803" w:rsidRDefault="00991FFB" w:rsidP="00991FFB">
            <w:pPr>
              <w:tabs>
                <w:tab w:val="right" w:pos="3960"/>
                <w:tab w:val="right" w:pos="5670"/>
                <w:tab w:val="left" w:pos="7380"/>
                <w:tab w:val="right" w:pos="8460"/>
              </w:tabs>
              <w:spacing w:line="276" w:lineRule="auto"/>
              <w:jc w:val="right"/>
              <w:rPr>
                <w:rFonts w:ascii="Verdana" w:hAnsi="Verdana"/>
                <w:bCs/>
                <w:color w:val="000000"/>
                <w:sz w:val="20"/>
              </w:rPr>
            </w:pPr>
          </w:p>
        </w:tc>
        <w:tc>
          <w:tcPr>
            <w:tcW w:w="1432" w:type="dxa"/>
          </w:tcPr>
          <w:p w:rsidR="00991FFB" w:rsidRPr="00666803" w:rsidRDefault="00991FFB" w:rsidP="00991FFB">
            <w:pPr>
              <w:tabs>
                <w:tab w:val="right" w:pos="3960"/>
                <w:tab w:val="right" w:pos="5670"/>
                <w:tab w:val="left" w:pos="7380"/>
                <w:tab w:val="right" w:pos="8460"/>
              </w:tabs>
              <w:spacing w:line="276" w:lineRule="auto"/>
              <w:jc w:val="right"/>
              <w:rPr>
                <w:rFonts w:ascii="Verdana" w:hAnsi="Verdana"/>
                <w:bCs/>
                <w:color w:val="000000"/>
                <w:sz w:val="20"/>
              </w:rPr>
            </w:pPr>
            <w:r>
              <w:rPr>
                <w:rFonts w:ascii="Verdana" w:hAnsi="Verdana"/>
                <w:b/>
                <w:sz w:val="20"/>
              </w:rPr>
              <w:t>Change</w:t>
            </w:r>
          </w:p>
        </w:tc>
      </w:tr>
      <w:tr w:rsidR="00991FFB" w:rsidRPr="00666803" w:rsidTr="00991FFB">
        <w:tc>
          <w:tcPr>
            <w:tcW w:w="4253" w:type="dxa"/>
            <w:vAlign w:val="bottom"/>
          </w:tcPr>
          <w:p w:rsidR="00991FFB" w:rsidRPr="00666803" w:rsidRDefault="00991FFB" w:rsidP="00991FFB">
            <w:pPr>
              <w:tabs>
                <w:tab w:val="right" w:pos="3960"/>
                <w:tab w:val="right" w:pos="5670"/>
                <w:tab w:val="left" w:pos="7380"/>
                <w:tab w:val="right" w:pos="8460"/>
              </w:tabs>
              <w:spacing w:line="276" w:lineRule="auto"/>
              <w:rPr>
                <w:rFonts w:ascii="Verdana" w:hAnsi="Verdana"/>
                <w:sz w:val="20"/>
              </w:rPr>
            </w:pPr>
            <w:r>
              <w:rPr>
                <w:rFonts w:ascii="Verdana" w:hAnsi="Verdana"/>
                <w:sz w:val="20"/>
              </w:rPr>
              <w:t>Test Operations</w:t>
            </w:r>
          </w:p>
        </w:tc>
        <w:tc>
          <w:tcPr>
            <w:tcW w:w="236" w:type="dxa"/>
          </w:tcPr>
          <w:p w:rsidR="00991FFB" w:rsidRPr="00666803" w:rsidRDefault="00991FFB" w:rsidP="00991FFB">
            <w:pPr>
              <w:tabs>
                <w:tab w:val="right" w:pos="3960"/>
                <w:tab w:val="right" w:pos="5670"/>
                <w:tab w:val="left" w:pos="7380"/>
                <w:tab w:val="right" w:pos="8460"/>
              </w:tabs>
              <w:spacing w:line="276" w:lineRule="auto"/>
              <w:rPr>
                <w:rFonts w:ascii="Verdana" w:hAnsi="Verdana"/>
                <w:b/>
                <w:bCs/>
                <w:color w:val="000000"/>
                <w:sz w:val="20"/>
              </w:rPr>
            </w:pPr>
          </w:p>
        </w:tc>
        <w:tc>
          <w:tcPr>
            <w:tcW w:w="1465" w:type="dxa"/>
          </w:tcPr>
          <w:p w:rsidR="00991FFB" w:rsidRPr="00666803" w:rsidRDefault="00991FFB" w:rsidP="00991FFB">
            <w:pPr>
              <w:tabs>
                <w:tab w:val="right" w:pos="3960"/>
                <w:tab w:val="right" w:pos="5670"/>
                <w:tab w:val="left" w:pos="7380"/>
                <w:tab w:val="right" w:pos="8460"/>
              </w:tabs>
              <w:spacing w:line="276" w:lineRule="auto"/>
              <w:ind w:left="-203"/>
              <w:jc w:val="right"/>
              <w:rPr>
                <w:rFonts w:ascii="Verdana" w:hAnsi="Verdana"/>
                <w:bCs/>
                <w:color w:val="000000"/>
                <w:sz w:val="20"/>
              </w:rPr>
            </w:pPr>
            <w:r>
              <w:rPr>
                <w:rFonts w:ascii="Verdana" w:hAnsi="Verdana"/>
                <w:sz w:val="20"/>
              </w:rPr>
              <w:t>3,727</w:t>
            </w:r>
          </w:p>
        </w:tc>
        <w:tc>
          <w:tcPr>
            <w:tcW w:w="284" w:type="dxa"/>
          </w:tcPr>
          <w:p w:rsidR="00991FFB" w:rsidRPr="00666803" w:rsidRDefault="00991FFB" w:rsidP="00991FFB">
            <w:pPr>
              <w:tabs>
                <w:tab w:val="right" w:pos="3960"/>
                <w:tab w:val="right" w:pos="5670"/>
                <w:tab w:val="left" w:pos="7380"/>
                <w:tab w:val="right" w:pos="8460"/>
              </w:tabs>
              <w:spacing w:line="276" w:lineRule="auto"/>
              <w:jc w:val="right"/>
              <w:rPr>
                <w:rFonts w:ascii="Verdana" w:hAnsi="Verdana"/>
                <w:bCs/>
                <w:color w:val="000000"/>
                <w:sz w:val="20"/>
              </w:rPr>
            </w:pPr>
          </w:p>
        </w:tc>
        <w:tc>
          <w:tcPr>
            <w:tcW w:w="1465" w:type="dxa"/>
          </w:tcPr>
          <w:p w:rsidR="00991FFB" w:rsidRPr="00666803" w:rsidRDefault="00991FFB" w:rsidP="00991FFB">
            <w:pPr>
              <w:tabs>
                <w:tab w:val="right" w:pos="3960"/>
                <w:tab w:val="right" w:pos="5670"/>
                <w:tab w:val="left" w:pos="7380"/>
                <w:tab w:val="right" w:pos="8460"/>
              </w:tabs>
              <w:spacing w:line="276" w:lineRule="auto"/>
              <w:ind w:left="-203"/>
              <w:jc w:val="right"/>
              <w:rPr>
                <w:rFonts w:ascii="Verdana" w:hAnsi="Verdana"/>
                <w:bCs/>
                <w:color w:val="000000"/>
                <w:sz w:val="20"/>
              </w:rPr>
            </w:pPr>
            <w:r>
              <w:rPr>
                <w:rFonts w:ascii="Verdana" w:hAnsi="Verdana"/>
                <w:bCs/>
                <w:color w:val="000000"/>
                <w:sz w:val="20"/>
              </w:rPr>
              <w:t>3,676</w:t>
            </w:r>
          </w:p>
        </w:tc>
        <w:tc>
          <w:tcPr>
            <w:tcW w:w="236" w:type="dxa"/>
          </w:tcPr>
          <w:p w:rsidR="00991FFB" w:rsidRPr="00666803" w:rsidRDefault="00991FFB" w:rsidP="00991FFB">
            <w:pPr>
              <w:tabs>
                <w:tab w:val="right" w:pos="3960"/>
                <w:tab w:val="right" w:pos="5670"/>
                <w:tab w:val="left" w:pos="7380"/>
                <w:tab w:val="right" w:pos="8460"/>
              </w:tabs>
              <w:spacing w:line="276" w:lineRule="auto"/>
              <w:jc w:val="right"/>
              <w:rPr>
                <w:rFonts w:ascii="Verdana" w:hAnsi="Verdana"/>
                <w:bCs/>
                <w:color w:val="000000"/>
                <w:sz w:val="20"/>
              </w:rPr>
            </w:pPr>
          </w:p>
        </w:tc>
        <w:tc>
          <w:tcPr>
            <w:tcW w:w="1432" w:type="dxa"/>
          </w:tcPr>
          <w:p w:rsidR="00991FFB" w:rsidRPr="00666803" w:rsidRDefault="00991FFB" w:rsidP="00991FFB">
            <w:pPr>
              <w:tabs>
                <w:tab w:val="right" w:pos="3960"/>
                <w:tab w:val="right" w:pos="5670"/>
                <w:tab w:val="left" w:pos="7380"/>
                <w:tab w:val="right" w:pos="8460"/>
              </w:tabs>
              <w:spacing w:line="276" w:lineRule="auto"/>
              <w:jc w:val="right"/>
              <w:rPr>
                <w:rFonts w:ascii="Verdana" w:hAnsi="Verdana"/>
                <w:bCs/>
                <w:color w:val="000000"/>
                <w:sz w:val="20"/>
              </w:rPr>
            </w:pPr>
            <w:r>
              <w:rPr>
                <w:rFonts w:ascii="Verdana" w:hAnsi="Verdana"/>
                <w:sz w:val="20"/>
              </w:rPr>
              <w:t>+1%</w:t>
            </w:r>
          </w:p>
        </w:tc>
      </w:tr>
      <w:tr w:rsidR="00991FFB" w:rsidRPr="00666803" w:rsidTr="00991FFB">
        <w:tc>
          <w:tcPr>
            <w:tcW w:w="4253" w:type="dxa"/>
            <w:vAlign w:val="bottom"/>
          </w:tcPr>
          <w:p w:rsidR="00991FFB" w:rsidRPr="00666803" w:rsidRDefault="00991FFB" w:rsidP="00991FFB">
            <w:pPr>
              <w:tabs>
                <w:tab w:val="right" w:pos="3960"/>
                <w:tab w:val="right" w:pos="5670"/>
                <w:tab w:val="left" w:pos="7380"/>
                <w:tab w:val="right" w:pos="8460"/>
              </w:tabs>
              <w:spacing w:line="276" w:lineRule="auto"/>
              <w:rPr>
                <w:rFonts w:ascii="Verdana" w:hAnsi="Verdana"/>
                <w:sz w:val="20"/>
              </w:rPr>
            </w:pPr>
            <w:r>
              <w:rPr>
                <w:rFonts w:ascii="Verdana" w:hAnsi="Verdana"/>
                <w:sz w:val="20"/>
              </w:rPr>
              <w:t>Supply Chain Management (SCM)</w:t>
            </w:r>
          </w:p>
        </w:tc>
        <w:tc>
          <w:tcPr>
            <w:tcW w:w="236" w:type="dxa"/>
          </w:tcPr>
          <w:p w:rsidR="00991FFB" w:rsidRPr="00666803" w:rsidRDefault="00991FFB" w:rsidP="00991FFB">
            <w:pPr>
              <w:tabs>
                <w:tab w:val="right" w:pos="3960"/>
                <w:tab w:val="right" w:pos="5670"/>
                <w:tab w:val="left" w:pos="7380"/>
                <w:tab w:val="right" w:pos="8460"/>
              </w:tabs>
              <w:spacing w:line="276" w:lineRule="auto"/>
              <w:rPr>
                <w:rFonts w:ascii="Verdana" w:hAnsi="Verdana"/>
                <w:b/>
                <w:bCs/>
                <w:color w:val="000000"/>
                <w:sz w:val="20"/>
              </w:rPr>
            </w:pPr>
          </w:p>
        </w:tc>
        <w:tc>
          <w:tcPr>
            <w:tcW w:w="1465" w:type="dxa"/>
          </w:tcPr>
          <w:p w:rsidR="00991FFB" w:rsidRPr="00666803" w:rsidRDefault="00991FFB" w:rsidP="00991FFB">
            <w:pPr>
              <w:tabs>
                <w:tab w:val="right" w:pos="3960"/>
                <w:tab w:val="right" w:pos="5670"/>
                <w:tab w:val="left" w:pos="7380"/>
                <w:tab w:val="right" w:pos="8460"/>
              </w:tabs>
              <w:spacing w:line="276" w:lineRule="auto"/>
              <w:ind w:left="-203"/>
              <w:jc w:val="right"/>
              <w:rPr>
                <w:rFonts w:ascii="Verdana" w:hAnsi="Verdana"/>
                <w:bCs/>
                <w:color w:val="000000"/>
                <w:sz w:val="20"/>
              </w:rPr>
            </w:pPr>
            <w:r>
              <w:rPr>
                <w:rFonts w:ascii="Verdana" w:hAnsi="Verdana"/>
                <w:bCs/>
                <w:color w:val="000000"/>
                <w:sz w:val="20"/>
              </w:rPr>
              <w:t>2,077</w:t>
            </w:r>
          </w:p>
        </w:tc>
        <w:tc>
          <w:tcPr>
            <w:tcW w:w="284" w:type="dxa"/>
          </w:tcPr>
          <w:p w:rsidR="00991FFB" w:rsidRPr="00666803" w:rsidRDefault="00991FFB" w:rsidP="00991FFB">
            <w:pPr>
              <w:tabs>
                <w:tab w:val="right" w:pos="3960"/>
                <w:tab w:val="right" w:pos="5670"/>
                <w:tab w:val="left" w:pos="7380"/>
                <w:tab w:val="right" w:pos="8460"/>
              </w:tabs>
              <w:spacing w:line="276" w:lineRule="auto"/>
              <w:jc w:val="right"/>
              <w:rPr>
                <w:rFonts w:ascii="Verdana" w:hAnsi="Verdana"/>
                <w:bCs/>
                <w:color w:val="000000"/>
                <w:sz w:val="20"/>
              </w:rPr>
            </w:pPr>
          </w:p>
        </w:tc>
        <w:tc>
          <w:tcPr>
            <w:tcW w:w="1465" w:type="dxa"/>
          </w:tcPr>
          <w:p w:rsidR="00991FFB" w:rsidRPr="00102F4D" w:rsidRDefault="00991FFB" w:rsidP="00991FFB">
            <w:pPr>
              <w:tabs>
                <w:tab w:val="right" w:pos="3960"/>
                <w:tab w:val="right" w:pos="5670"/>
                <w:tab w:val="left" w:pos="7380"/>
                <w:tab w:val="right" w:pos="8460"/>
              </w:tabs>
              <w:spacing w:line="276" w:lineRule="auto"/>
              <w:ind w:left="-203"/>
              <w:jc w:val="right"/>
              <w:rPr>
                <w:rFonts w:ascii="Verdana" w:hAnsi="Verdana"/>
                <w:sz w:val="20"/>
              </w:rPr>
            </w:pPr>
            <w:r>
              <w:rPr>
                <w:rFonts w:ascii="Verdana" w:hAnsi="Verdana"/>
                <w:sz w:val="20"/>
              </w:rPr>
              <w:t>2,348</w:t>
            </w:r>
          </w:p>
        </w:tc>
        <w:tc>
          <w:tcPr>
            <w:tcW w:w="236" w:type="dxa"/>
          </w:tcPr>
          <w:p w:rsidR="00991FFB" w:rsidRPr="00666803" w:rsidRDefault="00991FFB" w:rsidP="00991FFB">
            <w:pPr>
              <w:tabs>
                <w:tab w:val="right" w:pos="3960"/>
                <w:tab w:val="right" w:pos="5670"/>
                <w:tab w:val="left" w:pos="7380"/>
                <w:tab w:val="right" w:pos="8460"/>
              </w:tabs>
              <w:spacing w:line="276" w:lineRule="auto"/>
              <w:jc w:val="right"/>
              <w:rPr>
                <w:rFonts w:ascii="Verdana" w:hAnsi="Verdana"/>
                <w:bCs/>
                <w:color w:val="000000"/>
                <w:sz w:val="20"/>
              </w:rPr>
            </w:pPr>
          </w:p>
        </w:tc>
        <w:tc>
          <w:tcPr>
            <w:tcW w:w="1432" w:type="dxa"/>
          </w:tcPr>
          <w:p w:rsidR="00991FFB" w:rsidRPr="00666803" w:rsidRDefault="00991FFB" w:rsidP="00991FFB">
            <w:pPr>
              <w:tabs>
                <w:tab w:val="right" w:pos="3960"/>
                <w:tab w:val="right" w:pos="5670"/>
                <w:tab w:val="left" w:pos="7380"/>
                <w:tab w:val="right" w:pos="8460"/>
              </w:tabs>
              <w:spacing w:line="276" w:lineRule="auto"/>
              <w:jc w:val="right"/>
              <w:rPr>
                <w:rFonts w:ascii="Verdana" w:hAnsi="Verdana"/>
                <w:bCs/>
                <w:color w:val="000000"/>
                <w:sz w:val="20"/>
              </w:rPr>
            </w:pPr>
            <w:r>
              <w:rPr>
                <w:rFonts w:ascii="Verdana" w:hAnsi="Verdana"/>
                <w:sz w:val="20"/>
              </w:rPr>
              <w:t>-12%</w:t>
            </w:r>
          </w:p>
        </w:tc>
      </w:tr>
      <w:tr w:rsidR="00991FFB" w:rsidRPr="00666803" w:rsidTr="00991FFB">
        <w:tc>
          <w:tcPr>
            <w:tcW w:w="4253" w:type="dxa"/>
            <w:vAlign w:val="bottom"/>
          </w:tcPr>
          <w:p w:rsidR="00991FFB" w:rsidRPr="00666803" w:rsidRDefault="00991FFB" w:rsidP="00991FFB">
            <w:pPr>
              <w:tabs>
                <w:tab w:val="right" w:pos="3960"/>
                <w:tab w:val="right" w:pos="5670"/>
                <w:tab w:val="left" w:pos="7380"/>
                <w:tab w:val="right" w:pos="8460"/>
              </w:tabs>
              <w:spacing w:line="276" w:lineRule="auto"/>
              <w:rPr>
                <w:rFonts w:ascii="Verdana" w:hAnsi="Verdana"/>
                <w:sz w:val="20"/>
              </w:rPr>
            </w:pPr>
            <w:r>
              <w:rPr>
                <w:rFonts w:ascii="Verdana" w:hAnsi="Verdana"/>
                <w:sz w:val="20"/>
              </w:rPr>
              <w:t>Failure &amp; Technological Analysis</w:t>
            </w:r>
          </w:p>
        </w:tc>
        <w:tc>
          <w:tcPr>
            <w:tcW w:w="236" w:type="dxa"/>
          </w:tcPr>
          <w:p w:rsidR="00991FFB" w:rsidRPr="00666803" w:rsidRDefault="00991FFB" w:rsidP="00991FFB">
            <w:pPr>
              <w:tabs>
                <w:tab w:val="right" w:pos="3960"/>
                <w:tab w:val="right" w:pos="5670"/>
                <w:tab w:val="left" w:pos="7380"/>
                <w:tab w:val="right" w:pos="8460"/>
              </w:tabs>
              <w:spacing w:line="276" w:lineRule="auto"/>
              <w:rPr>
                <w:rFonts w:ascii="Verdana" w:hAnsi="Verdana"/>
                <w:b/>
                <w:bCs/>
                <w:color w:val="000000"/>
                <w:sz w:val="20"/>
              </w:rPr>
            </w:pPr>
          </w:p>
        </w:tc>
        <w:tc>
          <w:tcPr>
            <w:tcW w:w="1465" w:type="dxa"/>
            <w:vAlign w:val="bottom"/>
          </w:tcPr>
          <w:p w:rsidR="00991FFB" w:rsidRPr="00666803" w:rsidRDefault="00991FFB" w:rsidP="00991FFB">
            <w:pPr>
              <w:tabs>
                <w:tab w:val="right" w:pos="3960"/>
                <w:tab w:val="right" w:pos="5670"/>
                <w:tab w:val="left" w:pos="7380"/>
                <w:tab w:val="right" w:pos="8460"/>
              </w:tabs>
              <w:spacing w:line="276" w:lineRule="auto"/>
              <w:ind w:left="-203"/>
              <w:jc w:val="right"/>
              <w:rPr>
                <w:rFonts w:ascii="Verdana" w:hAnsi="Verdana"/>
                <w:bCs/>
                <w:color w:val="000000"/>
                <w:sz w:val="20"/>
              </w:rPr>
            </w:pPr>
            <w:r>
              <w:rPr>
                <w:rFonts w:ascii="Verdana" w:hAnsi="Verdana"/>
                <w:color w:val="000000"/>
                <w:sz w:val="20"/>
              </w:rPr>
              <w:t>1,494</w:t>
            </w:r>
          </w:p>
        </w:tc>
        <w:tc>
          <w:tcPr>
            <w:tcW w:w="284" w:type="dxa"/>
            <w:vAlign w:val="bottom"/>
          </w:tcPr>
          <w:p w:rsidR="00991FFB" w:rsidRPr="00666803" w:rsidRDefault="00991FFB" w:rsidP="00991FFB">
            <w:pPr>
              <w:tabs>
                <w:tab w:val="right" w:pos="3960"/>
                <w:tab w:val="right" w:pos="5670"/>
                <w:tab w:val="left" w:pos="7380"/>
                <w:tab w:val="right" w:pos="8460"/>
              </w:tabs>
              <w:spacing w:line="276" w:lineRule="auto"/>
              <w:jc w:val="right"/>
              <w:rPr>
                <w:rFonts w:ascii="Verdana" w:hAnsi="Verdana"/>
                <w:bCs/>
                <w:color w:val="000000"/>
                <w:sz w:val="20"/>
              </w:rPr>
            </w:pPr>
          </w:p>
        </w:tc>
        <w:tc>
          <w:tcPr>
            <w:tcW w:w="1465" w:type="dxa"/>
            <w:vAlign w:val="bottom"/>
          </w:tcPr>
          <w:p w:rsidR="00991FFB" w:rsidRPr="00666803" w:rsidRDefault="00991FFB" w:rsidP="00991FFB">
            <w:pPr>
              <w:tabs>
                <w:tab w:val="right" w:pos="3960"/>
                <w:tab w:val="right" w:pos="5670"/>
                <w:tab w:val="left" w:pos="7380"/>
                <w:tab w:val="right" w:pos="8460"/>
              </w:tabs>
              <w:spacing w:line="276" w:lineRule="auto"/>
              <w:ind w:left="-203"/>
              <w:jc w:val="right"/>
              <w:rPr>
                <w:rFonts w:ascii="Verdana" w:hAnsi="Verdana"/>
                <w:bCs/>
                <w:color w:val="000000"/>
                <w:sz w:val="20"/>
              </w:rPr>
            </w:pPr>
            <w:r>
              <w:rPr>
                <w:rFonts w:ascii="Verdana" w:hAnsi="Verdana"/>
                <w:sz w:val="20"/>
              </w:rPr>
              <w:t>1,655</w:t>
            </w:r>
          </w:p>
        </w:tc>
        <w:tc>
          <w:tcPr>
            <w:tcW w:w="236" w:type="dxa"/>
            <w:vAlign w:val="bottom"/>
          </w:tcPr>
          <w:p w:rsidR="00991FFB" w:rsidRPr="00666803" w:rsidRDefault="00991FFB" w:rsidP="00991FFB">
            <w:pPr>
              <w:tabs>
                <w:tab w:val="right" w:pos="3960"/>
                <w:tab w:val="right" w:pos="5670"/>
                <w:tab w:val="left" w:pos="7380"/>
                <w:tab w:val="right" w:pos="8460"/>
              </w:tabs>
              <w:spacing w:line="276" w:lineRule="auto"/>
              <w:jc w:val="right"/>
              <w:rPr>
                <w:rFonts w:ascii="Verdana" w:hAnsi="Verdana"/>
                <w:bCs/>
                <w:color w:val="000000"/>
                <w:sz w:val="20"/>
              </w:rPr>
            </w:pPr>
          </w:p>
        </w:tc>
        <w:tc>
          <w:tcPr>
            <w:tcW w:w="1432" w:type="dxa"/>
            <w:vAlign w:val="bottom"/>
          </w:tcPr>
          <w:p w:rsidR="00991FFB" w:rsidRPr="00666803" w:rsidRDefault="00991FFB" w:rsidP="00991FFB">
            <w:pPr>
              <w:tabs>
                <w:tab w:val="right" w:pos="3960"/>
                <w:tab w:val="right" w:pos="5670"/>
                <w:tab w:val="left" w:pos="7380"/>
                <w:tab w:val="right" w:pos="8460"/>
              </w:tabs>
              <w:spacing w:line="276" w:lineRule="auto"/>
              <w:jc w:val="right"/>
              <w:rPr>
                <w:rFonts w:ascii="Verdana" w:hAnsi="Verdana"/>
                <w:bCs/>
                <w:color w:val="000000"/>
                <w:sz w:val="20"/>
              </w:rPr>
            </w:pPr>
            <w:r>
              <w:rPr>
                <w:rFonts w:ascii="Verdana" w:hAnsi="Verdana"/>
                <w:sz w:val="20"/>
              </w:rPr>
              <w:t>-10%</w:t>
            </w:r>
          </w:p>
        </w:tc>
      </w:tr>
      <w:tr w:rsidR="00991FFB" w:rsidRPr="00666803" w:rsidTr="00991FFB">
        <w:tc>
          <w:tcPr>
            <w:tcW w:w="4253" w:type="dxa"/>
            <w:vAlign w:val="bottom"/>
          </w:tcPr>
          <w:p w:rsidR="00991FFB" w:rsidRPr="00666803" w:rsidRDefault="00991FFB" w:rsidP="00991FFB">
            <w:pPr>
              <w:tabs>
                <w:tab w:val="right" w:pos="3960"/>
                <w:tab w:val="right" w:pos="5670"/>
                <w:tab w:val="left" w:pos="7380"/>
                <w:tab w:val="right" w:pos="8460"/>
              </w:tabs>
              <w:spacing w:line="276" w:lineRule="auto"/>
              <w:rPr>
                <w:rFonts w:ascii="Verdana" w:hAnsi="Verdana"/>
                <w:sz w:val="20"/>
              </w:rPr>
            </w:pPr>
            <w:r>
              <w:rPr>
                <w:rFonts w:ascii="Verdana" w:hAnsi="Verdana"/>
                <w:sz w:val="20"/>
              </w:rPr>
              <w:t>Test Engineering</w:t>
            </w:r>
          </w:p>
        </w:tc>
        <w:tc>
          <w:tcPr>
            <w:tcW w:w="236" w:type="dxa"/>
          </w:tcPr>
          <w:p w:rsidR="00991FFB" w:rsidRPr="00666803" w:rsidRDefault="00991FFB" w:rsidP="00991FFB">
            <w:pPr>
              <w:tabs>
                <w:tab w:val="right" w:pos="3960"/>
                <w:tab w:val="right" w:pos="5670"/>
                <w:tab w:val="left" w:pos="7380"/>
                <w:tab w:val="right" w:pos="8460"/>
              </w:tabs>
              <w:spacing w:line="276" w:lineRule="auto"/>
              <w:rPr>
                <w:rFonts w:ascii="Verdana" w:hAnsi="Verdana"/>
                <w:b/>
                <w:bCs/>
                <w:color w:val="000000"/>
                <w:sz w:val="20"/>
              </w:rPr>
            </w:pPr>
          </w:p>
        </w:tc>
        <w:tc>
          <w:tcPr>
            <w:tcW w:w="1465" w:type="dxa"/>
          </w:tcPr>
          <w:p w:rsidR="00991FFB" w:rsidRPr="00666803" w:rsidRDefault="00991FFB" w:rsidP="00991FFB">
            <w:pPr>
              <w:tabs>
                <w:tab w:val="right" w:pos="3960"/>
                <w:tab w:val="right" w:pos="5670"/>
                <w:tab w:val="left" w:pos="7380"/>
                <w:tab w:val="right" w:pos="8460"/>
              </w:tabs>
              <w:spacing w:line="276" w:lineRule="auto"/>
              <w:ind w:left="-203"/>
              <w:jc w:val="right"/>
              <w:rPr>
                <w:rFonts w:ascii="Verdana" w:hAnsi="Verdana"/>
                <w:bCs/>
                <w:color w:val="000000"/>
                <w:sz w:val="20"/>
              </w:rPr>
            </w:pPr>
            <w:r>
              <w:rPr>
                <w:rFonts w:ascii="Verdana" w:hAnsi="Verdana"/>
                <w:sz w:val="20"/>
              </w:rPr>
              <w:t>471</w:t>
            </w:r>
          </w:p>
        </w:tc>
        <w:tc>
          <w:tcPr>
            <w:tcW w:w="284" w:type="dxa"/>
          </w:tcPr>
          <w:p w:rsidR="00991FFB" w:rsidRPr="00666803" w:rsidRDefault="00991FFB" w:rsidP="00991FFB">
            <w:pPr>
              <w:tabs>
                <w:tab w:val="right" w:pos="3960"/>
                <w:tab w:val="right" w:pos="5670"/>
                <w:tab w:val="left" w:pos="7380"/>
                <w:tab w:val="right" w:pos="8460"/>
              </w:tabs>
              <w:spacing w:line="276" w:lineRule="auto"/>
              <w:jc w:val="right"/>
              <w:rPr>
                <w:rFonts w:ascii="Verdana" w:hAnsi="Verdana"/>
                <w:bCs/>
                <w:color w:val="000000"/>
                <w:sz w:val="20"/>
              </w:rPr>
            </w:pPr>
          </w:p>
        </w:tc>
        <w:tc>
          <w:tcPr>
            <w:tcW w:w="1465" w:type="dxa"/>
          </w:tcPr>
          <w:p w:rsidR="00991FFB" w:rsidRPr="00666803" w:rsidRDefault="00991FFB" w:rsidP="00991FFB">
            <w:pPr>
              <w:tabs>
                <w:tab w:val="right" w:pos="3960"/>
                <w:tab w:val="right" w:pos="5670"/>
                <w:tab w:val="left" w:pos="7380"/>
                <w:tab w:val="right" w:pos="8460"/>
              </w:tabs>
              <w:spacing w:line="276" w:lineRule="auto"/>
              <w:ind w:left="-203"/>
              <w:jc w:val="right"/>
              <w:rPr>
                <w:rFonts w:ascii="Verdana" w:hAnsi="Verdana"/>
                <w:bCs/>
                <w:color w:val="000000"/>
                <w:sz w:val="20"/>
              </w:rPr>
            </w:pPr>
            <w:r>
              <w:rPr>
                <w:rFonts w:ascii="Verdana" w:hAnsi="Verdana"/>
                <w:color w:val="000000"/>
                <w:sz w:val="20"/>
              </w:rPr>
              <w:t>437</w:t>
            </w:r>
          </w:p>
        </w:tc>
        <w:tc>
          <w:tcPr>
            <w:tcW w:w="236" w:type="dxa"/>
          </w:tcPr>
          <w:p w:rsidR="00991FFB" w:rsidRPr="00666803" w:rsidRDefault="00991FFB" w:rsidP="00991FFB">
            <w:pPr>
              <w:tabs>
                <w:tab w:val="right" w:pos="3960"/>
                <w:tab w:val="right" w:pos="5670"/>
                <w:tab w:val="left" w:pos="7380"/>
                <w:tab w:val="right" w:pos="8460"/>
              </w:tabs>
              <w:spacing w:line="276" w:lineRule="auto"/>
              <w:jc w:val="right"/>
              <w:rPr>
                <w:rFonts w:ascii="Verdana" w:hAnsi="Verdana"/>
                <w:bCs/>
                <w:color w:val="000000"/>
                <w:sz w:val="20"/>
              </w:rPr>
            </w:pPr>
          </w:p>
        </w:tc>
        <w:tc>
          <w:tcPr>
            <w:tcW w:w="1432" w:type="dxa"/>
          </w:tcPr>
          <w:p w:rsidR="00991FFB" w:rsidRPr="00666803" w:rsidRDefault="00991FFB" w:rsidP="00991FFB">
            <w:pPr>
              <w:tabs>
                <w:tab w:val="right" w:pos="3960"/>
                <w:tab w:val="right" w:pos="5670"/>
                <w:tab w:val="left" w:pos="7380"/>
                <w:tab w:val="right" w:pos="8460"/>
              </w:tabs>
              <w:spacing w:line="276" w:lineRule="auto"/>
              <w:jc w:val="right"/>
              <w:rPr>
                <w:rFonts w:ascii="Verdana" w:hAnsi="Verdana"/>
                <w:bCs/>
                <w:color w:val="000000"/>
                <w:sz w:val="20"/>
              </w:rPr>
            </w:pPr>
            <w:r>
              <w:rPr>
                <w:rFonts w:ascii="Verdana" w:hAnsi="Verdana"/>
                <w:sz w:val="20"/>
              </w:rPr>
              <w:t>+8%</w:t>
            </w:r>
          </w:p>
        </w:tc>
      </w:tr>
      <w:tr w:rsidR="00991FFB" w:rsidRPr="00666803" w:rsidTr="00991FFB">
        <w:tc>
          <w:tcPr>
            <w:tcW w:w="4253" w:type="dxa"/>
            <w:vAlign w:val="bottom"/>
          </w:tcPr>
          <w:p w:rsidR="00991FFB" w:rsidRPr="00666803" w:rsidRDefault="00991FFB" w:rsidP="00991FFB">
            <w:pPr>
              <w:tabs>
                <w:tab w:val="right" w:pos="3960"/>
                <w:tab w:val="right" w:pos="5670"/>
                <w:tab w:val="left" w:pos="7380"/>
                <w:tab w:val="right" w:pos="8460"/>
              </w:tabs>
              <w:spacing w:line="276" w:lineRule="auto"/>
              <w:rPr>
                <w:rFonts w:ascii="Verdana" w:hAnsi="Verdana"/>
                <w:sz w:val="20"/>
              </w:rPr>
            </w:pPr>
            <w:r>
              <w:rPr>
                <w:rFonts w:ascii="Verdana" w:hAnsi="Verdana"/>
                <w:sz w:val="20"/>
              </w:rPr>
              <w:t xml:space="preserve">Qualification &amp; Reliability Investigation </w:t>
            </w:r>
          </w:p>
        </w:tc>
        <w:tc>
          <w:tcPr>
            <w:tcW w:w="236" w:type="dxa"/>
          </w:tcPr>
          <w:p w:rsidR="00991FFB" w:rsidRPr="00666803" w:rsidRDefault="00991FFB" w:rsidP="00991FFB">
            <w:pPr>
              <w:tabs>
                <w:tab w:val="right" w:pos="3960"/>
                <w:tab w:val="right" w:pos="5670"/>
                <w:tab w:val="left" w:pos="7380"/>
                <w:tab w:val="right" w:pos="8460"/>
              </w:tabs>
              <w:spacing w:line="276" w:lineRule="auto"/>
              <w:rPr>
                <w:rFonts w:ascii="Verdana" w:hAnsi="Verdana"/>
                <w:b/>
                <w:bCs/>
                <w:color w:val="000000"/>
                <w:sz w:val="20"/>
              </w:rPr>
            </w:pPr>
          </w:p>
        </w:tc>
        <w:tc>
          <w:tcPr>
            <w:tcW w:w="1465" w:type="dxa"/>
          </w:tcPr>
          <w:p w:rsidR="00991FFB" w:rsidRPr="00666803" w:rsidRDefault="00991FFB" w:rsidP="00991FFB">
            <w:pPr>
              <w:tabs>
                <w:tab w:val="right" w:pos="3960"/>
                <w:tab w:val="right" w:pos="5670"/>
                <w:tab w:val="left" w:pos="7380"/>
                <w:tab w:val="right" w:pos="8460"/>
              </w:tabs>
              <w:spacing w:line="276" w:lineRule="auto"/>
              <w:ind w:left="-203"/>
              <w:jc w:val="right"/>
              <w:rPr>
                <w:rFonts w:ascii="Verdana" w:hAnsi="Verdana"/>
                <w:bCs/>
                <w:color w:val="000000"/>
                <w:sz w:val="20"/>
              </w:rPr>
            </w:pPr>
            <w:r>
              <w:rPr>
                <w:rFonts w:ascii="Verdana" w:hAnsi="Verdana"/>
                <w:sz w:val="20"/>
              </w:rPr>
              <w:t>2,696</w:t>
            </w:r>
          </w:p>
        </w:tc>
        <w:tc>
          <w:tcPr>
            <w:tcW w:w="284" w:type="dxa"/>
          </w:tcPr>
          <w:p w:rsidR="00991FFB" w:rsidRPr="00666803" w:rsidRDefault="00991FFB" w:rsidP="00991FFB">
            <w:pPr>
              <w:tabs>
                <w:tab w:val="right" w:pos="3960"/>
                <w:tab w:val="right" w:pos="5670"/>
                <w:tab w:val="left" w:pos="7380"/>
                <w:tab w:val="right" w:pos="8460"/>
              </w:tabs>
              <w:spacing w:line="276" w:lineRule="auto"/>
              <w:jc w:val="right"/>
              <w:rPr>
                <w:rFonts w:ascii="Verdana" w:hAnsi="Verdana"/>
                <w:bCs/>
                <w:color w:val="000000"/>
                <w:sz w:val="20"/>
              </w:rPr>
            </w:pPr>
          </w:p>
        </w:tc>
        <w:tc>
          <w:tcPr>
            <w:tcW w:w="1465" w:type="dxa"/>
          </w:tcPr>
          <w:p w:rsidR="00991FFB" w:rsidRPr="00666803" w:rsidRDefault="00991FFB" w:rsidP="00991FFB">
            <w:pPr>
              <w:tabs>
                <w:tab w:val="right" w:pos="3960"/>
                <w:tab w:val="right" w:pos="5670"/>
                <w:tab w:val="left" w:pos="7380"/>
                <w:tab w:val="right" w:pos="8460"/>
              </w:tabs>
              <w:spacing w:line="276" w:lineRule="auto"/>
              <w:ind w:left="-203"/>
              <w:jc w:val="right"/>
              <w:rPr>
                <w:rFonts w:ascii="Verdana" w:hAnsi="Verdana"/>
                <w:bCs/>
                <w:color w:val="000000"/>
                <w:sz w:val="20"/>
              </w:rPr>
            </w:pPr>
            <w:r>
              <w:rPr>
                <w:rFonts w:ascii="Verdana" w:hAnsi="Verdana"/>
                <w:bCs/>
                <w:color w:val="000000"/>
                <w:sz w:val="20"/>
              </w:rPr>
              <w:t>2,134</w:t>
            </w:r>
          </w:p>
        </w:tc>
        <w:tc>
          <w:tcPr>
            <w:tcW w:w="236" w:type="dxa"/>
          </w:tcPr>
          <w:p w:rsidR="00991FFB" w:rsidRPr="00666803" w:rsidRDefault="00991FFB" w:rsidP="00991FFB">
            <w:pPr>
              <w:tabs>
                <w:tab w:val="right" w:pos="3960"/>
                <w:tab w:val="right" w:pos="5670"/>
                <w:tab w:val="left" w:pos="7380"/>
                <w:tab w:val="right" w:pos="8460"/>
              </w:tabs>
              <w:spacing w:line="276" w:lineRule="auto"/>
              <w:jc w:val="right"/>
              <w:rPr>
                <w:rFonts w:ascii="Verdana" w:hAnsi="Verdana"/>
                <w:bCs/>
                <w:color w:val="000000"/>
                <w:sz w:val="20"/>
              </w:rPr>
            </w:pPr>
          </w:p>
        </w:tc>
        <w:tc>
          <w:tcPr>
            <w:tcW w:w="1432" w:type="dxa"/>
          </w:tcPr>
          <w:p w:rsidR="00991FFB" w:rsidRPr="00666803" w:rsidRDefault="00991FFB" w:rsidP="00991FFB">
            <w:pPr>
              <w:tabs>
                <w:tab w:val="right" w:pos="3960"/>
                <w:tab w:val="right" w:pos="5670"/>
                <w:tab w:val="left" w:pos="7380"/>
                <w:tab w:val="right" w:pos="8460"/>
              </w:tabs>
              <w:spacing w:line="276" w:lineRule="auto"/>
              <w:jc w:val="right"/>
              <w:rPr>
                <w:rFonts w:ascii="Verdana" w:hAnsi="Verdana"/>
                <w:bCs/>
                <w:color w:val="000000"/>
                <w:sz w:val="20"/>
              </w:rPr>
            </w:pPr>
            <w:r>
              <w:rPr>
                <w:rFonts w:ascii="Verdana" w:hAnsi="Verdana"/>
                <w:sz w:val="20"/>
              </w:rPr>
              <w:t>+26%</w:t>
            </w:r>
          </w:p>
        </w:tc>
      </w:tr>
      <w:tr w:rsidR="00991FFB" w:rsidRPr="00666803" w:rsidTr="00991FFB">
        <w:tc>
          <w:tcPr>
            <w:tcW w:w="4253" w:type="dxa"/>
            <w:vAlign w:val="bottom"/>
          </w:tcPr>
          <w:p w:rsidR="00991FFB" w:rsidRPr="00666803" w:rsidRDefault="00991FFB" w:rsidP="00991FFB">
            <w:pPr>
              <w:tabs>
                <w:tab w:val="right" w:pos="3960"/>
                <w:tab w:val="right" w:pos="5670"/>
                <w:tab w:val="left" w:pos="7380"/>
                <w:tab w:val="right" w:pos="8460"/>
              </w:tabs>
              <w:spacing w:line="276" w:lineRule="auto"/>
              <w:rPr>
                <w:rFonts w:ascii="Verdana" w:hAnsi="Verdana"/>
                <w:b/>
                <w:sz w:val="20"/>
              </w:rPr>
            </w:pPr>
            <w:r>
              <w:rPr>
                <w:rFonts w:ascii="Verdana" w:hAnsi="Verdana"/>
                <w:b/>
                <w:sz w:val="20"/>
              </w:rPr>
              <w:t>TOTAL</w:t>
            </w:r>
          </w:p>
        </w:tc>
        <w:tc>
          <w:tcPr>
            <w:tcW w:w="236" w:type="dxa"/>
          </w:tcPr>
          <w:p w:rsidR="00991FFB" w:rsidRPr="00666803" w:rsidRDefault="00991FFB" w:rsidP="00991FFB">
            <w:pPr>
              <w:tabs>
                <w:tab w:val="right" w:pos="3960"/>
                <w:tab w:val="right" w:pos="5670"/>
                <w:tab w:val="left" w:pos="7380"/>
                <w:tab w:val="right" w:pos="8460"/>
              </w:tabs>
              <w:spacing w:line="276" w:lineRule="auto"/>
              <w:rPr>
                <w:rFonts w:ascii="Verdana" w:hAnsi="Verdana"/>
                <w:b/>
                <w:bCs/>
                <w:color w:val="000000"/>
                <w:sz w:val="20"/>
              </w:rPr>
            </w:pPr>
          </w:p>
        </w:tc>
        <w:tc>
          <w:tcPr>
            <w:tcW w:w="1465" w:type="dxa"/>
          </w:tcPr>
          <w:p w:rsidR="00991FFB" w:rsidRPr="00666803" w:rsidRDefault="00991FFB" w:rsidP="00991FFB">
            <w:pPr>
              <w:tabs>
                <w:tab w:val="right" w:pos="3960"/>
                <w:tab w:val="right" w:pos="5670"/>
                <w:tab w:val="left" w:pos="7380"/>
                <w:tab w:val="right" w:pos="8460"/>
              </w:tabs>
              <w:spacing w:line="276" w:lineRule="auto"/>
              <w:ind w:left="-203"/>
              <w:jc w:val="right"/>
              <w:rPr>
                <w:rFonts w:ascii="Verdana" w:hAnsi="Verdana"/>
                <w:b/>
                <w:bCs/>
                <w:color w:val="000000"/>
                <w:sz w:val="20"/>
              </w:rPr>
            </w:pPr>
            <w:r>
              <w:rPr>
                <w:rFonts w:ascii="Verdana" w:hAnsi="Verdana"/>
                <w:b/>
                <w:sz w:val="20"/>
              </w:rPr>
              <w:t>10,465</w:t>
            </w:r>
          </w:p>
        </w:tc>
        <w:tc>
          <w:tcPr>
            <w:tcW w:w="284" w:type="dxa"/>
          </w:tcPr>
          <w:p w:rsidR="00991FFB" w:rsidRPr="00666803" w:rsidRDefault="00991FFB" w:rsidP="00991FFB">
            <w:pPr>
              <w:tabs>
                <w:tab w:val="right" w:pos="3960"/>
                <w:tab w:val="right" w:pos="5670"/>
                <w:tab w:val="left" w:pos="7380"/>
                <w:tab w:val="right" w:pos="8460"/>
              </w:tabs>
              <w:spacing w:line="276" w:lineRule="auto"/>
              <w:jc w:val="right"/>
              <w:rPr>
                <w:rFonts w:ascii="Verdana" w:hAnsi="Verdana"/>
                <w:b/>
                <w:bCs/>
                <w:color w:val="000000"/>
                <w:sz w:val="20"/>
              </w:rPr>
            </w:pPr>
          </w:p>
        </w:tc>
        <w:tc>
          <w:tcPr>
            <w:tcW w:w="1465" w:type="dxa"/>
          </w:tcPr>
          <w:p w:rsidR="00991FFB" w:rsidRPr="00666803" w:rsidRDefault="00991FFB" w:rsidP="00991FFB">
            <w:pPr>
              <w:tabs>
                <w:tab w:val="right" w:pos="3960"/>
                <w:tab w:val="right" w:pos="5670"/>
                <w:tab w:val="left" w:pos="7380"/>
                <w:tab w:val="right" w:pos="8460"/>
              </w:tabs>
              <w:spacing w:line="276" w:lineRule="auto"/>
              <w:ind w:left="-203"/>
              <w:jc w:val="right"/>
              <w:rPr>
                <w:rFonts w:ascii="Verdana" w:hAnsi="Verdana"/>
                <w:b/>
                <w:bCs/>
                <w:color w:val="000000"/>
                <w:sz w:val="20"/>
              </w:rPr>
            </w:pPr>
            <w:r>
              <w:rPr>
                <w:rFonts w:ascii="Verdana" w:hAnsi="Verdana"/>
                <w:b/>
                <w:sz w:val="20"/>
              </w:rPr>
              <w:t>10,250</w:t>
            </w:r>
          </w:p>
        </w:tc>
        <w:tc>
          <w:tcPr>
            <w:tcW w:w="236" w:type="dxa"/>
          </w:tcPr>
          <w:p w:rsidR="00991FFB" w:rsidRPr="00666803" w:rsidRDefault="00991FFB" w:rsidP="00991FFB">
            <w:pPr>
              <w:tabs>
                <w:tab w:val="right" w:pos="3960"/>
                <w:tab w:val="right" w:pos="5670"/>
                <w:tab w:val="left" w:pos="7380"/>
                <w:tab w:val="right" w:pos="8460"/>
              </w:tabs>
              <w:spacing w:line="276" w:lineRule="auto"/>
              <w:jc w:val="right"/>
              <w:rPr>
                <w:rFonts w:ascii="Verdana" w:hAnsi="Verdana"/>
                <w:bCs/>
                <w:color w:val="000000"/>
                <w:sz w:val="20"/>
              </w:rPr>
            </w:pPr>
          </w:p>
        </w:tc>
        <w:tc>
          <w:tcPr>
            <w:tcW w:w="1432" w:type="dxa"/>
          </w:tcPr>
          <w:p w:rsidR="00991FFB" w:rsidRPr="00666803" w:rsidRDefault="00991FFB" w:rsidP="00991FFB">
            <w:pPr>
              <w:tabs>
                <w:tab w:val="right" w:pos="3960"/>
                <w:tab w:val="right" w:pos="5670"/>
                <w:tab w:val="left" w:pos="7380"/>
                <w:tab w:val="right" w:pos="8460"/>
              </w:tabs>
              <w:spacing w:line="276" w:lineRule="auto"/>
              <w:jc w:val="right"/>
              <w:rPr>
                <w:rFonts w:ascii="Verdana" w:hAnsi="Verdana"/>
                <w:b/>
                <w:bCs/>
                <w:color w:val="000000"/>
                <w:sz w:val="20"/>
              </w:rPr>
            </w:pPr>
            <w:r>
              <w:rPr>
                <w:rFonts w:ascii="Verdana" w:hAnsi="Verdana"/>
                <w:b/>
                <w:sz w:val="20"/>
              </w:rPr>
              <w:t>+2%</w:t>
            </w:r>
          </w:p>
        </w:tc>
      </w:tr>
    </w:tbl>
    <w:p w:rsidR="004C43F4" w:rsidRPr="00021736" w:rsidRDefault="004C43F4" w:rsidP="004C43F4">
      <w:pPr>
        <w:spacing w:after="240" w:line="276" w:lineRule="auto"/>
        <w:rPr>
          <w:rFonts w:ascii="Verdana" w:hAnsi="Verdana"/>
          <w:sz w:val="20"/>
        </w:rPr>
      </w:pPr>
    </w:p>
    <w:p w:rsidR="004C43F4" w:rsidRPr="00021736" w:rsidRDefault="004C43F4" w:rsidP="004C43F4">
      <w:pPr>
        <w:spacing w:line="276" w:lineRule="auto"/>
        <w:rPr>
          <w:rFonts w:ascii="Verdana" w:hAnsi="Verdana"/>
          <w:b/>
          <w:color w:val="B71234"/>
          <w:sz w:val="20"/>
          <w:lang w:bidi="ar-SA"/>
        </w:rPr>
      </w:pPr>
      <w:r w:rsidRPr="00021736">
        <w:rPr>
          <w:rFonts w:ascii="Verdana" w:hAnsi="Verdana"/>
          <w:b/>
          <w:color w:val="B71234"/>
          <w:sz w:val="20"/>
          <w:lang w:bidi="ar-SA"/>
        </w:rPr>
        <w:t>Outlook</w:t>
      </w:r>
    </w:p>
    <w:p w:rsidR="004C43F4" w:rsidRPr="002322D3" w:rsidRDefault="004C43F4" w:rsidP="004C43F4">
      <w:pPr>
        <w:spacing w:after="240" w:line="276" w:lineRule="auto"/>
        <w:rPr>
          <w:rFonts w:ascii="Verdana" w:hAnsi="Verdana"/>
          <w:sz w:val="20"/>
          <w:lang w:val="en-US"/>
        </w:rPr>
      </w:pPr>
      <w:r w:rsidRPr="002322D3">
        <w:rPr>
          <w:rFonts w:ascii="Verdana" w:hAnsi="Verdana"/>
          <w:sz w:val="20"/>
          <w:lang w:val="en-US"/>
        </w:rPr>
        <w:t xml:space="preserve">The </w:t>
      </w:r>
      <w:proofErr w:type="spellStart"/>
      <w:r w:rsidRPr="009078B4">
        <w:rPr>
          <w:rFonts w:ascii="Verdana" w:hAnsi="Verdana"/>
          <w:color w:val="B71234"/>
          <w:sz w:val="20"/>
          <w:lang w:val="en-US"/>
        </w:rPr>
        <w:t>Rood</w:t>
      </w:r>
      <w:r>
        <w:rPr>
          <w:rFonts w:ascii="Verdana" w:hAnsi="Verdana"/>
          <w:sz w:val="20"/>
          <w:lang w:val="en-US"/>
        </w:rPr>
        <w:t>M</w:t>
      </w:r>
      <w:r w:rsidRPr="002322D3">
        <w:rPr>
          <w:rFonts w:ascii="Verdana" w:hAnsi="Verdana"/>
          <w:sz w:val="20"/>
          <w:lang w:val="en-US"/>
        </w:rPr>
        <w:t>icrotec</w:t>
      </w:r>
      <w:proofErr w:type="spellEnd"/>
      <w:r w:rsidRPr="002322D3">
        <w:rPr>
          <w:rFonts w:ascii="Verdana" w:hAnsi="Verdana"/>
          <w:sz w:val="20"/>
          <w:lang w:val="en-US"/>
        </w:rPr>
        <w:t xml:space="preserve"> management team is very positive about the future development of the company and reinforces its outlook for an increase in sales turnover of 75% by 2020 from today. </w:t>
      </w:r>
    </w:p>
    <w:p w:rsidR="009078B4" w:rsidRPr="004C43F4" w:rsidRDefault="009078B4" w:rsidP="009078B4">
      <w:pPr>
        <w:spacing w:after="240" w:line="276" w:lineRule="auto"/>
        <w:rPr>
          <w:rFonts w:ascii="Verdana" w:hAnsi="Verdana"/>
          <w:sz w:val="20"/>
          <w:lang w:val="en-US"/>
        </w:rPr>
      </w:pPr>
    </w:p>
    <w:p w:rsidR="00021736" w:rsidRPr="00021736" w:rsidRDefault="00021736" w:rsidP="00021736">
      <w:pPr>
        <w:spacing w:line="276" w:lineRule="auto"/>
        <w:rPr>
          <w:rFonts w:ascii="Verdana" w:hAnsi="Verdana"/>
          <w:b/>
          <w:color w:val="B71234"/>
          <w:sz w:val="20"/>
          <w:lang w:bidi="ar-SA"/>
        </w:rPr>
      </w:pPr>
      <w:r w:rsidRPr="00021736">
        <w:rPr>
          <w:rFonts w:ascii="Verdana" w:hAnsi="Verdana"/>
          <w:b/>
          <w:color w:val="B71234"/>
          <w:sz w:val="20"/>
          <w:lang w:bidi="ar-SA"/>
        </w:rPr>
        <w:t>Audit</w:t>
      </w:r>
    </w:p>
    <w:p w:rsidR="00021736" w:rsidRPr="00021736" w:rsidRDefault="00021736" w:rsidP="00021736">
      <w:pPr>
        <w:spacing w:line="276" w:lineRule="auto"/>
        <w:rPr>
          <w:rFonts w:ascii="Verdana" w:hAnsi="Verdana"/>
          <w:sz w:val="20"/>
          <w:lang w:val="en-US"/>
        </w:rPr>
      </w:pPr>
      <w:r w:rsidRPr="00021736">
        <w:rPr>
          <w:rFonts w:ascii="Verdana" w:hAnsi="Verdana"/>
          <w:sz w:val="20"/>
          <w:lang w:val="en-US"/>
        </w:rPr>
        <w:t xml:space="preserve">The financial data has not been audited. </w:t>
      </w:r>
    </w:p>
    <w:p w:rsidR="00021736" w:rsidRPr="00021736" w:rsidRDefault="00021736" w:rsidP="00991FFB">
      <w:pPr>
        <w:spacing w:after="240" w:line="276" w:lineRule="auto"/>
        <w:rPr>
          <w:rFonts w:ascii="Verdana" w:hAnsi="Verdana"/>
          <w:sz w:val="20"/>
        </w:rPr>
      </w:pPr>
    </w:p>
    <w:p w:rsidR="00021736" w:rsidRPr="00021736" w:rsidRDefault="00021736" w:rsidP="00991FFB">
      <w:pPr>
        <w:spacing w:line="276" w:lineRule="auto"/>
        <w:rPr>
          <w:rFonts w:ascii="Verdana" w:hAnsi="Verdana"/>
          <w:b/>
          <w:color w:val="B71234"/>
          <w:sz w:val="20"/>
          <w:lang w:bidi="ar-SA"/>
        </w:rPr>
      </w:pPr>
      <w:r w:rsidRPr="00021736">
        <w:rPr>
          <w:rFonts w:ascii="Verdana" w:hAnsi="Verdana"/>
          <w:b/>
          <w:color w:val="B71234"/>
          <w:sz w:val="20"/>
          <w:lang w:bidi="ar-SA"/>
        </w:rPr>
        <w:t>Forward-looking statements</w:t>
      </w:r>
    </w:p>
    <w:p w:rsidR="00021736" w:rsidRPr="00021736" w:rsidRDefault="00021736" w:rsidP="00021736">
      <w:pPr>
        <w:spacing w:line="276" w:lineRule="auto"/>
        <w:rPr>
          <w:rFonts w:ascii="Verdana" w:hAnsi="Verdana"/>
          <w:sz w:val="20"/>
          <w:lang w:val="en-US"/>
        </w:rPr>
      </w:pPr>
      <w:r w:rsidRPr="00021736">
        <w:rPr>
          <w:rFonts w:ascii="Verdana" w:hAnsi="Verdana"/>
          <w:sz w:val="20"/>
          <w:lang w:val="en-US"/>
        </w:rPr>
        <w:t xml:space="preserve">This press release contains a number of forward-looking statements. These statements are based on current expectations, estimates and prognoses of the board of management and on the information currently available to the company. The statements are subject to certain risks and uncertainties which are hard to evaluate, such as the general economic conditions, interest rates, exchange rates and amendments to statutory laws and regulations. The board of management of </w:t>
      </w:r>
      <w:proofErr w:type="spellStart"/>
      <w:r w:rsidRPr="009078B4">
        <w:rPr>
          <w:rFonts w:ascii="Verdana" w:hAnsi="Verdana"/>
          <w:color w:val="B71234"/>
          <w:sz w:val="20"/>
          <w:lang w:val="en-US"/>
        </w:rPr>
        <w:t>Rood</w:t>
      </w:r>
      <w:r w:rsidRPr="00021736">
        <w:rPr>
          <w:rFonts w:ascii="Verdana" w:hAnsi="Verdana"/>
          <w:sz w:val="20"/>
          <w:lang w:val="en-US"/>
        </w:rPr>
        <w:t>Microtec</w:t>
      </w:r>
      <w:proofErr w:type="spellEnd"/>
      <w:r w:rsidRPr="00021736">
        <w:rPr>
          <w:rFonts w:ascii="Verdana" w:hAnsi="Verdana"/>
          <w:sz w:val="20"/>
          <w:lang w:val="en-US"/>
        </w:rPr>
        <w:t xml:space="preserve"> cannot guarantee that its expectations will materialise. Furthermore, </w:t>
      </w:r>
      <w:proofErr w:type="spellStart"/>
      <w:r w:rsidRPr="009078B4">
        <w:rPr>
          <w:rFonts w:ascii="Verdana" w:hAnsi="Verdana"/>
          <w:color w:val="B71234"/>
          <w:sz w:val="20"/>
          <w:lang w:val="en-US"/>
        </w:rPr>
        <w:t>Rood</w:t>
      </w:r>
      <w:r w:rsidRPr="00021736">
        <w:rPr>
          <w:rFonts w:ascii="Verdana" w:hAnsi="Verdana"/>
          <w:sz w:val="20"/>
          <w:lang w:val="en-US"/>
        </w:rPr>
        <w:t>Microtec</w:t>
      </w:r>
      <w:proofErr w:type="spellEnd"/>
      <w:r w:rsidRPr="00021736">
        <w:rPr>
          <w:rFonts w:ascii="Verdana" w:hAnsi="Verdana"/>
          <w:sz w:val="20"/>
          <w:lang w:val="en-US"/>
        </w:rPr>
        <w:t xml:space="preserve"> does not accept any obligation to update the statements made in this press release. </w:t>
      </w:r>
    </w:p>
    <w:p w:rsidR="004C43F4" w:rsidRDefault="004C43F4">
      <w:pPr>
        <w:spacing w:after="200" w:line="276" w:lineRule="auto"/>
        <w:rPr>
          <w:rFonts w:ascii="Verdana" w:hAnsi="Verdana"/>
          <w:sz w:val="20"/>
        </w:rPr>
      </w:pPr>
      <w:r>
        <w:rPr>
          <w:rFonts w:ascii="Verdana" w:hAnsi="Verdana"/>
          <w:sz w:val="20"/>
        </w:rPr>
        <w:br w:type="page"/>
      </w:r>
    </w:p>
    <w:p w:rsidR="004C43F4" w:rsidRPr="00021736" w:rsidRDefault="004C43F4" w:rsidP="004C43F4">
      <w:pPr>
        <w:spacing w:line="276" w:lineRule="auto"/>
        <w:rPr>
          <w:rFonts w:ascii="Verdana" w:hAnsi="Verdana"/>
          <w:b/>
          <w:color w:val="B71234"/>
          <w:sz w:val="20"/>
          <w:lang w:bidi="ar-SA"/>
        </w:rPr>
      </w:pPr>
      <w:r w:rsidRPr="00021736">
        <w:rPr>
          <w:rFonts w:ascii="Verdana" w:hAnsi="Verdana"/>
          <w:b/>
          <w:color w:val="B71234"/>
          <w:sz w:val="20"/>
          <w:lang w:bidi="ar-SA"/>
        </w:rPr>
        <w:lastRenderedPageBreak/>
        <w:t>Financial agenda</w:t>
      </w:r>
    </w:p>
    <w:tbl>
      <w:tblPr>
        <w:tblW w:w="9604" w:type="dxa"/>
        <w:tblInd w:w="2" w:type="dxa"/>
        <w:tblLook w:val="00A0"/>
      </w:tblPr>
      <w:tblGrid>
        <w:gridCol w:w="2800"/>
        <w:gridCol w:w="6804"/>
      </w:tblGrid>
      <w:tr w:rsidR="004C43F4" w:rsidRPr="00021736" w:rsidTr="00B718CC">
        <w:trPr>
          <w:trHeight w:val="284"/>
        </w:trPr>
        <w:tc>
          <w:tcPr>
            <w:tcW w:w="2800" w:type="dxa"/>
          </w:tcPr>
          <w:p w:rsidR="004C43F4" w:rsidRPr="00021736" w:rsidRDefault="004C43F4" w:rsidP="00B718CC">
            <w:pPr>
              <w:spacing w:line="276" w:lineRule="auto"/>
              <w:jc w:val="both"/>
              <w:rPr>
                <w:rFonts w:ascii="Verdana" w:hAnsi="Verdana" w:cs="Verdana"/>
                <w:sz w:val="20"/>
              </w:rPr>
            </w:pPr>
            <w:r w:rsidRPr="00021736">
              <w:rPr>
                <w:rFonts w:ascii="Verdana" w:hAnsi="Verdana"/>
                <w:sz w:val="20"/>
              </w:rPr>
              <w:t>9 March 2017</w:t>
            </w:r>
          </w:p>
        </w:tc>
        <w:tc>
          <w:tcPr>
            <w:tcW w:w="6804" w:type="dxa"/>
          </w:tcPr>
          <w:p w:rsidR="004C43F4" w:rsidRPr="00021736" w:rsidRDefault="004C43F4" w:rsidP="00B718CC">
            <w:pPr>
              <w:spacing w:line="276" w:lineRule="auto"/>
              <w:jc w:val="both"/>
              <w:rPr>
                <w:rFonts w:ascii="Verdana" w:hAnsi="Verdana" w:cs="Verdana"/>
                <w:sz w:val="20"/>
              </w:rPr>
            </w:pPr>
            <w:r w:rsidRPr="00021736">
              <w:rPr>
                <w:rFonts w:ascii="Verdana" w:hAnsi="Verdana"/>
                <w:sz w:val="20"/>
              </w:rPr>
              <w:t>Publication (preliminary) annual figures 2016</w:t>
            </w:r>
          </w:p>
        </w:tc>
      </w:tr>
      <w:tr w:rsidR="004C43F4" w:rsidRPr="00021736" w:rsidTr="00B718CC">
        <w:trPr>
          <w:trHeight w:val="284"/>
        </w:trPr>
        <w:tc>
          <w:tcPr>
            <w:tcW w:w="2800" w:type="dxa"/>
          </w:tcPr>
          <w:p w:rsidR="004C43F4" w:rsidRPr="00021736" w:rsidRDefault="004C43F4" w:rsidP="00B718CC">
            <w:pPr>
              <w:spacing w:line="276" w:lineRule="auto"/>
              <w:jc w:val="both"/>
              <w:rPr>
                <w:rFonts w:ascii="Verdana" w:hAnsi="Verdana" w:cs="Verdana"/>
                <w:sz w:val="20"/>
              </w:rPr>
            </w:pPr>
            <w:r w:rsidRPr="00021736">
              <w:rPr>
                <w:rFonts w:ascii="Verdana" w:hAnsi="Verdana"/>
                <w:sz w:val="20"/>
              </w:rPr>
              <w:t>9 March 2017</w:t>
            </w:r>
          </w:p>
        </w:tc>
        <w:tc>
          <w:tcPr>
            <w:tcW w:w="6804" w:type="dxa"/>
          </w:tcPr>
          <w:p w:rsidR="004C43F4" w:rsidRPr="00021736" w:rsidRDefault="004C43F4" w:rsidP="00B718CC">
            <w:pPr>
              <w:spacing w:line="276" w:lineRule="auto"/>
              <w:jc w:val="both"/>
              <w:rPr>
                <w:rFonts w:ascii="Verdana" w:hAnsi="Verdana" w:cs="Verdana"/>
                <w:sz w:val="20"/>
              </w:rPr>
            </w:pPr>
            <w:r w:rsidRPr="00021736">
              <w:rPr>
                <w:rFonts w:ascii="Verdana" w:hAnsi="Verdana"/>
                <w:sz w:val="20"/>
              </w:rPr>
              <w:t>Conference call for press and analysts</w:t>
            </w:r>
          </w:p>
        </w:tc>
      </w:tr>
      <w:tr w:rsidR="004C43F4" w:rsidRPr="00021736" w:rsidTr="00B718CC">
        <w:trPr>
          <w:trHeight w:val="284"/>
        </w:trPr>
        <w:tc>
          <w:tcPr>
            <w:tcW w:w="2800" w:type="dxa"/>
          </w:tcPr>
          <w:p w:rsidR="004C43F4" w:rsidRPr="00021736" w:rsidRDefault="004C43F4" w:rsidP="00B718CC">
            <w:pPr>
              <w:spacing w:line="276" w:lineRule="auto"/>
              <w:jc w:val="both"/>
              <w:rPr>
                <w:rFonts w:ascii="Verdana" w:hAnsi="Verdana" w:cs="Verdana"/>
                <w:sz w:val="20"/>
              </w:rPr>
            </w:pPr>
            <w:r w:rsidRPr="00021736">
              <w:rPr>
                <w:rFonts w:ascii="Verdana" w:hAnsi="Verdana"/>
                <w:sz w:val="20"/>
              </w:rPr>
              <w:t>27 April 2017</w:t>
            </w:r>
          </w:p>
        </w:tc>
        <w:tc>
          <w:tcPr>
            <w:tcW w:w="6804" w:type="dxa"/>
          </w:tcPr>
          <w:p w:rsidR="004C43F4" w:rsidRPr="00021736" w:rsidRDefault="004C43F4" w:rsidP="00B718CC">
            <w:pPr>
              <w:spacing w:line="276" w:lineRule="auto"/>
              <w:jc w:val="both"/>
              <w:rPr>
                <w:rFonts w:ascii="Verdana" w:hAnsi="Verdana" w:cs="Verdana"/>
                <w:sz w:val="20"/>
              </w:rPr>
            </w:pPr>
            <w:r w:rsidRPr="00021736">
              <w:rPr>
                <w:rFonts w:ascii="Verdana" w:hAnsi="Verdana"/>
                <w:sz w:val="20"/>
              </w:rPr>
              <w:t>Publication annual report 2016</w:t>
            </w:r>
          </w:p>
        </w:tc>
      </w:tr>
      <w:tr w:rsidR="004C43F4" w:rsidRPr="00021736" w:rsidTr="00B718CC">
        <w:trPr>
          <w:trHeight w:val="284"/>
        </w:trPr>
        <w:tc>
          <w:tcPr>
            <w:tcW w:w="2800" w:type="dxa"/>
          </w:tcPr>
          <w:p w:rsidR="004C43F4" w:rsidRPr="00021736" w:rsidRDefault="004C43F4" w:rsidP="00B718CC">
            <w:pPr>
              <w:spacing w:line="276" w:lineRule="auto"/>
              <w:jc w:val="both"/>
              <w:rPr>
                <w:rFonts w:ascii="Verdana" w:hAnsi="Verdana" w:cs="Verdana"/>
                <w:sz w:val="20"/>
              </w:rPr>
            </w:pPr>
            <w:r w:rsidRPr="00021736">
              <w:rPr>
                <w:rFonts w:ascii="Verdana" w:hAnsi="Verdana"/>
                <w:sz w:val="20"/>
              </w:rPr>
              <w:t>8 June 2017</w:t>
            </w:r>
          </w:p>
        </w:tc>
        <w:tc>
          <w:tcPr>
            <w:tcW w:w="6804" w:type="dxa"/>
          </w:tcPr>
          <w:p w:rsidR="004C43F4" w:rsidRPr="00021736" w:rsidRDefault="004C43F4" w:rsidP="00B718CC">
            <w:pPr>
              <w:spacing w:line="276" w:lineRule="auto"/>
              <w:jc w:val="both"/>
              <w:rPr>
                <w:rFonts w:ascii="Verdana" w:hAnsi="Verdana" w:cs="Verdana"/>
                <w:sz w:val="20"/>
              </w:rPr>
            </w:pPr>
            <w:r w:rsidRPr="00021736">
              <w:rPr>
                <w:rFonts w:ascii="Verdana" w:hAnsi="Verdana"/>
                <w:sz w:val="20"/>
              </w:rPr>
              <w:t>Annual general meeting of shareholders</w:t>
            </w:r>
          </w:p>
        </w:tc>
      </w:tr>
      <w:tr w:rsidR="004C43F4" w:rsidRPr="00021736" w:rsidTr="00B718CC">
        <w:trPr>
          <w:trHeight w:val="284"/>
        </w:trPr>
        <w:tc>
          <w:tcPr>
            <w:tcW w:w="2800" w:type="dxa"/>
          </w:tcPr>
          <w:p w:rsidR="004C43F4" w:rsidRPr="00021736" w:rsidRDefault="004C43F4" w:rsidP="00B718CC">
            <w:pPr>
              <w:spacing w:line="276" w:lineRule="auto"/>
              <w:jc w:val="both"/>
              <w:rPr>
                <w:rFonts w:ascii="Verdana" w:hAnsi="Verdana" w:cs="Verdana"/>
                <w:sz w:val="20"/>
              </w:rPr>
            </w:pPr>
            <w:r w:rsidRPr="00021736">
              <w:rPr>
                <w:rFonts w:ascii="Verdana" w:hAnsi="Verdana"/>
                <w:sz w:val="20"/>
              </w:rPr>
              <w:t>9 June 2017</w:t>
            </w:r>
          </w:p>
        </w:tc>
        <w:tc>
          <w:tcPr>
            <w:tcW w:w="6804" w:type="dxa"/>
          </w:tcPr>
          <w:p w:rsidR="004C43F4" w:rsidRPr="00021736" w:rsidRDefault="004C43F4" w:rsidP="00B718CC">
            <w:pPr>
              <w:spacing w:line="276" w:lineRule="auto"/>
              <w:jc w:val="both"/>
              <w:rPr>
                <w:rFonts w:ascii="Verdana" w:hAnsi="Verdana" w:cs="Verdana"/>
                <w:sz w:val="20"/>
              </w:rPr>
            </w:pPr>
            <w:r w:rsidRPr="00021736">
              <w:rPr>
                <w:rFonts w:ascii="Verdana" w:hAnsi="Verdana"/>
                <w:sz w:val="20"/>
              </w:rPr>
              <w:t xml:space="preserve">Annual bondholders meeting </w:t>
            </w:r>
          </w:p>
        </w:tc>
      </w:tr>
      <w:tr w:rsidR="004C43F4" w:rsidRPr="00021736" w:rsidTr="00B718CC">
        <w:trPr>
          <w:trHeight w:val="284"/>
        </w:trPr>
        <w:tc>
          <w:tcPr>
            <w:tcW w:w="2800" w:type="dxa"/>
          </w:tcPr>
          <w:p w:rsidR="004C43F4" w:rsidRPr="00021736" w:rsidRDefault="004C43F4" w:rsidP="00B718CC">
            <w:pPr>
              <w:spacing w:line="276" w:lineRule="auto"/>
              <w:jc w:val="both"/>
              <w:rPr>
                <w:rFonts w:ascii="Verdana" w:hAnsi="Verdana" w:cs="Verdana"/>
                <w:sz w:val="20"/>
              </w:rPr>
            </w:pPr>
            <w:r w:rsidRPr="00021736">
              <w:rPr>
                <w:rFonts w:ascii="Verdana" w:hAnsi="Verdana"/>
                <w:sz w:val="20"/>
              </w:rPr>
              <w:t>6 July 2017</w:t>
            </w:r>
          </w:p>
        </w:tc>
        <w:tc>
          <w:tcPr>
            <w:tcW w:w="6804" w:type="dxa"/>
          </w:tcPr>
          <w:p w:rsidR="004C43F4" w:rsidRPr="00021736" w:rsidRDefault="004C43F4" w:rsidP="00B718CC">
            <w:pPr>
              <w:spacing w:line="276" w:lineRule="auto"/>
              <w:jc w:val="both"/>
              <w:rPr>
                <w:rFonts w:ascii="Verdana" w:hAnsi="Verdana" w:cs="Verdana"/>
                <w:sz w:val="20"/>
              </w:rPr>
            </w:pPr>
            <w:r w:rsidRPr="00021736">
              <w:rPr>
                <w:rFonts w:ascii="Verdana" w:hAnsi="Verdana"/>
                <w:sz w:val="20"/>
              </w:rPr>
              <w:t>Publication sales figures first half 2017</w:t>
            </w:r>
          </w:p>
        </w:tc>
      </w:tr>
      <w:tr w:rsidR="004C43F4" w:rsidRPr="00021736" w:rsidTr="00B718CC">
        <w:trPr>
          <w:trHeight w:val="287"/>
        </w:trPr>
        <w:tc>
          <w:tcPr>
            <w:tcW w:w="2800" w:type="dxa"/>
          </w:tcPr>
          <w:p w:rsidR="004C43F4" w:rsidRPr="00021736" w:rsidRDefault="004C43F4" w:rsidP="00B718CC">
            <w:pPr>
              <w:spacing w:line="276" w:lineRule="auto"/>
              <w:jc w:val="both"/>
              <w:rPr>
                <w:rFonts w:ascii="Verdana" w:hAnsi="Verdana" w:cs="Verdana"/>
                <w:sz w:val="20"/>
              </w:rPr>
            </w:pPr>
            <w:r w:rsidRPr="00021736">
              <w:rPr>
                <w:rFonts w:ascii="Verdana" w:hAnsi="Verdana"/>
                <w:sz w:val="20"/>
              </w:rPr>
              <w:t>24 August 2017</w:t>
            </w:r>
          </w:p>
        </w:tc>
        <w:tc>
          <w:tcPr>
            <w:tcW w:w="6804" w:type="dxa"/>
          </w:tcPr>
          <w:p w:rsidR="004C43F4" w:rsidRPr="00021736" w:rsidRDefault="004C43F4" w:rsidP="00B718CC">
            <w:pPr>
              <w:spacing w:line="276" w:lineRule="auto"/>
              <w:jc w:val="both"/>
              <w:rPr>
                <w:rFonts w:ascii="Verdana" w:hAnsi="Verdana" w:cs="Verdana"/>
                <w:sz w:val="20"/>
              </w:rPr>
            </w:pPr>
            <w:r w:rsidRPr="00021736">
              <w:rPr>
                <w:rFonts w:ascii="Verdana" w:hAnsi="Verdana"/>
                <w:sz w:val="20"/>
              </w:rPr>
              <w:t>Publication interim report 2017</w:t>
            </w:r>
          </w:p>
        </w:tc>
      </w:tr>
      <w:tr w:rsidR="004C43F4" w:rsidRPr="00021736" w:rsidTr="00B718CC">
        <w:trPr>
          <w:trHeight w:val="292"/>
        </w:trPr>
        <w:tc>
          <w:tcPr>
            <w:tcW w:w="2800" w:type="dxa"/>
          </w:tcPr>
          <w:p w:rsidR="004C43F4" w:rsidRPr="00021736" w:rsidRDefault="004C43F4" w:rsidP="00B718CC">
            <w:pPr>
              <w:spacing w:line="276" w:lineRule="auto"/>
              <w:jc w:val="both"/>
              <w:rPr>
                <w:rFonts w:ascii="Verdana" w:hAnsi="Verdana" w:cs="Verdana"/>
                <w:sz w:val="20"/>
              </w:rPr>
            </w:pPr>
            <w:r w:rsidRPr="00021736">
              <w:rPr>
                <w:rFonts w:ascii="Verdana" w:hAnsi="Verdana"/>
                <w:sz w:val="20"/>
              </w:rPr>
              <w:t>24 August 2017</w:t>
            </w:r>
          </w:p>
        </w:tc>
        <w:tc>
          <w:tcPr>
            <w:tcW w:w="6804" w:type="dxa"/>
          </w:tcPr>
          <w:p w:rsidR="004C43F4" w:rsidRPr="00021736" w:rsidRDefault="004C43F4" w:rsidP="00B718CC">
            <w:pPr>
              <w:spacing w:line="276" w:lineRule="auto"/>
              <w:jc w:val="both"/>
              <w:rPr>
                <w:rFonts w:ascii="Verdana" w:hAnsi="Verdana" w:cs="Verdana"/>
                <w:sz w:val="20"/>
              </w:rPr>
            </w:pPr>
            <w:r w:rsidRPr="00021736">
              <w:rPr>
                <w:rFonts w:ascii="Verdana" w:hAnsi="Verdana"/>
                <w:sz w:val="20"/>
              </w:rPr>
              <w:t>Conference call for press and analysts</w:t>
            </w:r>
          </w:p>
        </w:tc>
      </w:tr>
    </w:tbl>
    <w:p w:rsidR="00F70E97" w:rsidRPr="00F70E97" w:rsidRDefault="00F70E97" w:rsidP="004C43F4">
      <w:pPr>
        <w:spacing w:line="276" w:lineRule="auto"/>
        <w:rPr>
          <w:rFonts w:ascii="Verdana" w:hAnsi="Verdana"/>
          <w:b/>
          <w:sz w:val="10"/>
          <w:szCs w:val="10"/>
        </w:rPr>
      </w:pPr>
    </w:p>
    <w:p w:rsidR="008C0FCC" w:rsidRDefault="008C0FCC" w:rsidP="004C43F4">
      <w:pPr>
        <w:spacing w:line="276" w:lineRule="auto"/>
        <w:rPr>
          <w:rFonts w:ascii="Verdana" w:hAnsi="Verdana"/>
          <w:b/>
          <w:sz w:val="20"/>
        </w:rPr>
      </w:pPr>
      <w:r w:rsidRPr="00991FFB">
        <w:rPr>
          <w:rFonts w:ascii="Verdana" w:hAnsi="Verdana"/>
          <w:b/>
          <w:sz w:val="20"/>
        </w:rPr>
        <w:t>ENDS</w:t>
      </w:r>
    </w:p>
    <w:p w:rsidR="00F70E97" w:rsidRDefault="00F70E97" w:rsidP="00F70E97">
      <w:pPr>
        <w:spacing w:line="276" w:lineRule="auto"/>
        <w:rPr>
          <w:rFonts w:ascii="Verdana" w:hAnsi="Verdana" w:cs="Arial"/>
          <w:sz w:val="20"/>
        </w:rPr>
      </w:pPr>
    </w:p>
    <w:p w:rsidR="00F70E97" w:rsidRPr="00F70E97" w:rsidRDefault="00F70E97" w:rsidP="00F70E97">
      <w:pPr>
        <w:spacing w:line="276" w:lineRule="auto"/>
        <w:rPr>
          <w:rFonts w:ascii="Verdana" w:hAnsi="Verdana" w:cs="Arial"/>
          <w:sz w:val="4"/>
          <w:szCs w:val="4"/>
        </w:rPr>
      </w:pPr>
    </w:p>
    <w:p w:rsidR="007E706B" w:rsidRPr="00363308" w:rsidRDefault="007E706B" w:rsidP="00F70E97">
      <w:pPr>
        <w:spacing w:line="276" w:lineRule="auto"/>
        <w:rPr>
          <w:rFonts w:ascii="Verdana" w:hAnsi="Verdana"/>
          <w:b/>
          <w:sz w:val="20"/>
        </w:rPr>
      </w:pPr>
      <w:r w:rsidRPr="00363308">
        <w:rPr>
          <w:rFonts w:ascii="Verdana" w:hAnsi="Verdana"/>
          <w:b/>
          <w:sz w:val="20"/>
        </w:rPr>
        <w:t>About</w:t>
      </w:r>
      <w:r w:rsidRPr="00363308">
        <w:rPr>
          <w:rFonts w:ascii="Verdana" w:hAnsi="Verdana"/>
          <w:b/>
          <w:color w:val="B71234"/>
          <w:sz w:val="20"/>
        </w:rPr>
        <w:t xml:space="preserve"> </w:t>
      </w:r>
      <w:proofErr w:type="spellStart"/>
      <w:r w:rsidR="00A8410E" w:rsidRPr="004A1FC1">
        <w:rPr>
          <w:rFonts w:ascii="Verdana" w:hAnsi="Verdana"/>
          <w:b/>
          <w:color w:val="B71234"/>
          <w:sz w:val="20"/>
        </w:rPr>
        <w:t>Rood</w:t>
      </w:r>
      <w:r w:rsidRPr="00363308">
        <w:rPr>
          <w:rFonts w:ascii="Verdana" w:hAnsi="Verdana"/>
          <w:b/>
          <w:sz w:val="20"/>
        </w:rPr>
        <w:t>Microtec</w:t>
      </w:r>
      <w:proofErr w:type="spellEnd"/>
    </w:p>
    <w:p w:rsidR="007E706B" w:rsidRPr="00363308" w:rsidRDefault="007E706B" w:rsidP="00F70E97">
      <w:pPr>
        <w:spacing w:line="276" w:lineRule="auto"/>
        <w:rPr>
          <w:rFonts w:ascii="Verdana" w:hAnsi="Verdana"/>
          <w:sz w:val="20"/>
        </w:rPr>
      </w:pPr>
      <w:r w:rsidRPr="00363308">
        <w:rPr>
          <w:rFonts w:ascii="Verdana" w:hAnsi="Verdana"/>
          <w:sz w:val="20"/>
        </w:rPr>
        <w:t>With more than 45 years</w:t>
      </w:r>
      <w:r w:rsidRPr="00363308">
        <w:rPr>
          <w:rFonts w:ascii="Verdana" w:hAnsi="Verdana" w:cs="Verdana"/>
          <w:sz w:val="20"/>
        </w:rPr>
        <w:t xml:space="preserve">’ </w:t>
      </w:r>
      <w:r w:rsidRPr="00363308">
        <w:rPr>
          <w:rFonts w:ascii="Verdana" w:hAnsi="Verdana"/>
          <w:sz w:val="20"/>
        </w:rPr>
        <w:t xml:space="preserve">experience as an independent value-added service provider in the area of micro and optoelectronics, </w:t>
      </w:r>
      <w:proofErr w:type="spellStart"/>
      <w:r w:rsidRPr="005C6E46">
        <w:rPr>
          <w:rFonts w:ascii="Verdana" w:hAnsi="Verdana"/>
          <w:color w:val="C00000"/>
          <w:sz w:val="20"/>
        </w:rPr>
        <w:t>Rood</w:t>
      </w:r>
      <w:r w:rsidRPr="00363308">
        <w:rPr>
          <w:rFonts w:ascii="Verdana" w:hAnsi="Verdana"/>
          <w:sz w:val="20"/>
        </w:rPr>
        <w:t>Microtec</w:t>
      </w:r>
      <w:proofErr w:type="spellEnd"/>
      <w:r w:rsidRPr="00363308">
        <w:rPr>
          <w:rFonts w:ascii="Verdana" w:hAnsi="Verdana"/>
          <w:sz w:val="20"/>
        </w:rPr>
        <w:t xml:space="preserve"> offers </w:t>
      </w:r>
      <w:proofErr w:type="spellStart"/>
      <w:r w:rsidRPr="00363308">
        <w:rPr>
          <w:rFonts w:ascii="Verdana" w:hAnsi="Verdana"/>
          <w:sz w:val="20"/>
        </w:rPr>
        <w:t>Fabless</w:t>
      </w:r>
      <w:proofErr w:type="spellEnd"/>
      <w:r w:rsidRPr="00363308">
        <w:rPr>
          <w:rFonts w:ascii="Verdana" w:hAnsi="Verdana"/>
          <w:sz w:val="20"/>
        </w:rPr>
        <w:t xml:space="preserve"> Companies, OEMs and other companies a one-stop shop proposition. With its </w:t>
      </w:r>
      <w:r w:rsidRPr="00363308">
        <w:rPr>
          <w:rFonts w:ascii="Verdana" w:hAnsi="Verdana"/>
          <w:i/>
          <w:sz w:val="20"/>
        </w:rPr>
        <w:t xml:space="preserve">powerful solutions </w:t>
      </w:r>
      <w:proofErr w:type="spellStart"/>
      <w:r w:rsidRPr="005C6E46">
        <w:rPr>
          <w:rFonts w:ascii="Verdana" w:hAnsi="Verdana"/>
          <w:color w:val="C00000"/>
          <w:sz w:val="20"/>
        </w:rPr>
        <w:t>Rood</w:t>
      </w:r>
      <w:r w:rsidRPr="00363308">
        <w:rPr>
          <w:rFonts w:ascii="Verdana" w:hAnsi="Verdana"/>
          <w:sz w:val="20"/>
        </w:rPr>
        <w:t>Microtec</w:t>
      </w:r>
      <w:proofErr w:type="spellEnd"/>
      <w:r w:rsidRPr="00363308">
        <w:rPr>
          <w:rFonts w:ascii="Verdana" w:hAnsi="Verdana"/>
          <w:sz w:val="20"/>
        </w:rPr>
        <w:t xml:space="preserve"> has built up a strong position in Europe.</w:t>
      </w:r>
    </w:p>
    <w:p w:rsidR="007E706B" w:rsidRPr="00363308" w:rsidRDefault="007E706B" w:rsidP="00363308">
      <w:pPr>
        <w:spacing w:after="240" w:line="276" w:lineRule="auto"/>
        <w:rPr>
          <w:rFonts w:ascii="Verdana" w:hAnsi="Verdana"/>
          <w:sz w:val="20"/>
        </w:rPr>
      </w:pPr>
      <w:r w:rsidRPr="00363308">
        <w:rPr>
          <w:rFonts w:ascii="Verdana" w:hAnsi="Verdana"/>
          <w:sz w:val="20"/>
        </w:rPr>
        <w:t xml:space="preserve">Our services comply with the industrial and quality requirements of the high reliability/space, automotive, </w:t>
      </w:r>
      <w:r w:rsidR="0029427C" w:rsidRPr="00363308">
        <w:rPr>
          <w:rFonts w:ascii="Verdana" w:hAnsi="Verdana"/>
          <w:sz w:val="20"/>
        </w:rPr>
        <w:t xml:space="preserve">telecommunications, medical, industrial </w:t>
      </w:r>
      <w:r w:rsidRPr="00363308">
        <w:rPr>
          <w:rFonts w:ascii="Verdana" w:hAnsi="Verdana"/>
          <w:sz w:val="20"/>
        </w:rPr>
        <w:t>and electronics sectors.</w:t>
      </w:r>
    </w:p>
    <w:p w:rsidR="007E706B" w:rsidRDefault="007E706B" w:rsidP="00363308">
      <w:pPr>
        <w:spacing w:after="240" w:line="276" w:lineRule="auto"/>
        <w:rPr>
          <w:rFonts w:ascii="Verdana" w:hAnsi="Verdana"/>
          <w:sz w:val="20"/>
        </w:rPr>
      </w:pPr>
      <w:r w:rsidRPr="00363308">
        <w:rPr>
          <w:rFonts w:ascii="Verdana" w:hAnsi="Verdana"/>
          <w:i/>
          <w:sz w:val="20"/>
        </w:rPr>
        <w:t xml:space="preserve">Certified by </w:t>
      </w:r>
      <w:proofErr w:type="spellStart"/>
      <w:r w:rsidRPr="005C6E46">
        <w:rPr>
          <w:rFonts w:ascii="Verdana" w:hAnsi="Verdana"/>
          <w:i/>
          <w:color w:val="C00000"/>
          <w:sz w:val="20"/>
        </w:rPr>
        <w:t>Rood</w:t>
      </w:r>
      <w:r w:rsidRPr="00363308">
        <w:rPr>
          <w:rFonts w:ascii="Verdana" w:hAnsi="Verdana"/>
          <w:i/>
          <w:sz w:val="20"/>
        </w:rPr>
        <w:t>Microtec</w:t>
      </w:r>
      <w:proofErr w:type="spellEnd"/>
      <w:r w:rsidRPr="00363308">
        <w:rPr>
          <w:rFonts w:ascii="Verdana" w:hAnsi="Verdana"/>
          <w:sz w:val="20"/>
        </w:rPr>
        <w:t xml:space="preserve"> concerns inter alia certification of products to the stringent ISO/TS 16949 standard that applies to suppliers to the automotive industry. The company also has an accredited laboratory for test activities and </w:t>
      </w:r>
      <w:r w:rsidR="002643F6" w:rsidRPr="00363308">
        <w:rPr>
          <w:rFonts w:ascii="Verdana" w:hAnsi="Verdana"/>
          <w:sz w:val="20"/>
        </w:rPr>
        <w:t>qualification</w:t>
      </w:r>
      <w:r w:rsidRPr="00363308">
        <w:rPr>
          <w:rFonts w:ascii="Verdana" w:hAnsi="Verdana"/>
          <w:sz w:val="20"/>
        </w:rPr>
        <w:t xml:space="preserve"> to the ISO/IEC 17025 standard.</w:t>
      </w:r>
    </w:p>
    <w:p w:rsidR="007E706B" w:rsidRDefault="007E706B" w:rsidP="00363308">
      <w:pPr>
        <w:spacing w:after="240" w:line="276" w:lineRule="auto"/>
        <w:rPr>
          <w:rFonts w:ascii="Verdana" w:hAnsi="Verdana"/>
          <w:sz w:val="20"/>
        </w:rPr>
      </w:pPr>
      <w:r w:rsidRPr="00363308">
        <w:rPr>
          <w:rFonts w:ascii="Verdana" w:hAnsi="Verdana"/>
          <w:sz w:val="20"/>
        </w:rPr>
        <w:t xml:space="preserve">Its value-added services include </w:t>
      </w:r>
      <w:r w:rsidR="0088370A" w:rsidRPr="00363308">
        <w:rPr>
          <w:rFonts w:ascii="Verdana" w:hAnsi="Verdana"/>
          <w:sz w:val="20"/>
        </w:rPr>
        <w:t>(</w:t>
      </w:r>
      <w:proofErr w:type="spellStart"/>
      <w:r w:rsidR="0088370A" w:rsidRPr="00363308">
        <w:rPr>
          <w:rFonts w:ascii="Verdana" w:hAnsi="Verdana"/>
          <w:sz w:val="20"/>
        </w:rPr>
        <w:t>e</w:t>
      </w:r>
      <w:r w:rsidR="0088370A" w:rsidRPr="00363308">
        <w:rPr>
          <w:rFonts w:ascii="Verdana" w:hAnsi="Verdana"/>
          <w:color w:val="C00000"/>
          <w:sz w:val="20"/>
        </w:rPr>
        <w:t>X</w:t>
      </w:r>
      <w:r w:rsidR="0088370A" w:rsidRPr="00363308">
        <w:rPr>
          <w:rFonts w:ascii="Verdana" w:hAnsi="Verdana"/>
          <w:sz w:val="20"/>
        </w:rPr>
        <w:t>tended</w:t>
      </w:r>
      <w:proofErr w:type="spellEnd"/>
      <w:r w:rsidR="0088370A" w:rsidRPr="00363308">
        <w:rPr>
          <w:rFonts w:ascii="Verdana" w:hAnsi="Verdana"/>
          <w:sz w:val="20"/>
        </w:rPr>
        <w:t xml:space="preserve">) </w:t>
      </w:r>
      <w:r w:rsidR="0029427C" w:rsidRPr="00363308">
        <w:rPr>
          <w:rFonts w:ascii="Verdana" w:hAnsi="Verdana"/>
          <w:sz w:val="20"/>
        </w:rPr>
        <w:t xml:space="preserve">supply chain management and total manufacturing solutions with partners, </w:t>
      </w:r>
      <w:r w:rsidRPr="00363308">
        <w:rPr>
          <w:rFonts w:ascii="Verdana" w:hAnsi="Verdana"/>
          <w:sz w:val="20"/>
        </w:rPr>
        <w:t>failure &amp; technology analysis, qualification &amp; burn-in, test &amp; product engineering, production test (including device programming and end-of-line service), ESD/ESDFOS assessment &amp; training</w:t>
      </w:r>
      <w:r w:rsidR="0029427C" w:rsidRPr="00363308">
        <w:rPr>
          <w:rFonts w:ascii="Verdana" w:hAnsi="Verdana"/>
          <w:sz w:val="20"/>
        </w:rPr>
        <w:t xml:space="preserve"> and</w:t>
      </w:r>
      <w:r w:rsidRPr="00363308">
        <w:rPr>
          <w:rFonts w:ascii="Verdana" w:hAnsi="Verdana"/>
          <w:sz w:val="20"/>
        </w:rPr>
        <w:t xml:space="preserve"> q</w:t>
      </w:r>
      <w:r w:rsidR="0029427C" w:rsidRPr="00363308">
        <w:rPr>
          <w:rFonts w:ascii="Verdana" w:hAnsi="Verdana"/>
          <w:sz w:val="20"/>
        </w:rPr>
        <w:t>uality &amp; reliability consulting</w:t>
      </w:r>
      <w:r w:rsidRPr="00363308">
        <w:rPr>
          <w:rFonts w:ascii="Verdana" w:hAnsi="Verdana"/>
          <w:sz w:val="20"/>
        </w:rPr>
        <w:t>.</w:t>
      </w:r>
    </w:p>
    <w:p w:rsidR="007E706B" w:rsidRPr="00363308" w:rsidRDefault="007E706B" w:rsidP="00363308">
      <w:pPr>
        <w:spacing w:after="240" w:line="276" w:lineRule="auto"/>
        <w:rPr>
          <w:rFonts w:ascii="Verdana" w:hAnsi="Verdana"/>
          <w:sz w:val="20"/>
        </w:rPr>
      </w:pPr>
      <w:proofErr w:type="spellStart"/>
      <w:r w:rsidRPr="005C6E46">
        <w:rPr>
          <w:rFonts w:ascii="Verdana" w:hAnsi="Verdana"/>
          <w:color w:val="C00000"/>
          <w:sz w:val="20"/>
        </w:rPr>
        <w:t>Rood</w:t>
      </w:r>
      <w:r w:rsidRPr="00363308">
        <w:rPr>
          <w:rFonts w:ascii="Verdana" w:hAnsi="Verdana"/>
          <w:sz w:val="20"/>
        </w:rPr>
        <w:t>Microtec</w:t>
      </w:r>
      <w:proofErr w:type="spellEnd"/>
      <w:r w:rsidRPr="00363308">
        <w:rPr>
          <w:rFonts w:ascii="Verdana" w:hAnsi="Verdana"/>
          <w:sz w:val="20"/>
        </w:rPr>
        <w:t xml:space="preserve"> has branches in Germany (Dresden, </w:t>
      </w:r>
      <w:proofErr w:type="spellStart"/>
      <w:r w:rsidRPr="00363308">
        <w:rPr>
          <w:rFonts w:ascii="Verdana" w:hAnsi="Verdana"/>
          <w:sz w:val="20"/>
        </w:rPr>
        <w:t>Nördlingen</w:t>
      </w:r>
      <w:proofErr w:type="spellEnd"/>
      <w:r w:rsidRPr="00363308">
        <w:rPr>
          <w:rFonts w:ascii="Verdana" w:hAnsi="Verdana"/>
          <w:sz w:val="20"/>
        </w:rPr>
        <w:t xml:space="preserve">, </w:t>
      </w:r>
      <w:proofErr w:type="gramStart"/>
      <w:r w:rsidRPr="00363308">
        <w:rPr>
          <w:rFonts w:ascii="Verdana" w:hAnsi="Verdana"/>
          <w:sz w:val="20"/>
        </w:rPr>
        <w:t>Stuttgart</w:t>
      </w:r>
      <w:proofErr w:type="gramEnd"/>
      <w:r w:rsidRPr="00363308">
        <w:rPr>
          <w:rFonts w:ascii="Verdana" w:hAnsi="Verdana"/>
          <w:sz w:val="20"/>
        </w:rPr>
        <w:t xml:space="preserve">), United Kingdom (Bath) and the Netherlands (Zwolle). </w:t>
      </w:r>
    </w:p>
    <w:p w:rsidR="00AF2F97" w:rsidRPr="00363308" w:rsidRDefault="00AF2F97" w:rsidP="00363308">
      <w:pPr>
        <w:spacing w:after="240" w:line="276" w:lineRule="auto"/>
        <w:rPr>
          <w:rFonts w:ascii="Verdana" w:hAnsi="Verdana"/>
          <w:b/>
          <w:sz w:val="20"/>
        </w:rPr>
      </w:pPr>
      <w:r w:rsidRPr="00363308">
        <w:rPr>
          <w:rFonts w:ascii="Verdana" w:hAnsi="Verdana"/>
          <w:sz w:val="20"/>
        </w:rPr>
        <w:t>For more information visit</w:t>
      </w:r>
      <w:r w:rsidRPr="00363308">
        <w:rPr>
          <w:rFonts w:ascii="Verdana" w:hAnsi="Verdana"/>
          <w:b/>
          <w:sz w:val="20"/>
        </w:rPr>
        <w:t xml:space="preserve"> </w:t>
      </w:r>
      <w:hyperlink r:id="rId8" w:history="1">
        <w:r w:rsidRPr="00363308">
          <w:rPr>
            <w:rStyle w:val="Hyperlink"/>
            <w:rFonts w:ascii="Verdana" w:hAnsi="Verdana"/>
            <w:b/>
            <w:sz w:val="20"/>
          </w:rPr>
          <w:t>http://www.</w:t>
        </w:r>
        <w:r w:rsidRPr="005C6E46">
          <w:rPr>
            <w:rStyle w:val="Hyperlink"/>
            <w:rFonts w:ascii="Verdana" w:hAnsi="Verdana"/>
            <w:b/>
            <w:sz w:val="20"/>
          </w:rPr>
          <w:t>rood</w:t>
        </w:r>
        <w:r w:rsidRPr="00363308">
          <w:rPr>
            <w:rStyle w:val="Hyperlink"/>
            <w:rFonts w:ascii="Verdana" w:hAnsi="Verdana"/>
            <w:b/>
            <w:sz w:val="20"/>
          </w:rPr>
          <w:t>microtec.com</w:t>
        </w:r>
      </w:hyperlink>
      <w:r w:rsidRPr="00363308">
        <w:rPr>
          <w:rFonts w:ascii="Verdana" w:hAnsi="Verdana"/>
          <w:b/>
          <w:sz w:val="20"/>
        </w:rPr>
        <w:t xml:space="preserve"> </w:t>
      </w:r>
    </w:p>
    <w:p w:rsidR="004348A9" w:rsidRPr="00363308" w:rsidRDefault="004348A9" w:rsidP="00363308">
      <w:pPr>
        <w:spacing w:line="276" w:lineRule="auto"/>
        <w:rPr>
          <w:rFonts w:ascii="Verdana" w:hAnsi="Verdana" w:cs="Arial"/>
          <w:sz w:val="20"/>
        </w:rPr>
      </w:pPr>
    </w:p>
    <w:p w:rsidR="00AF2F97" w:rsidRPr="00EF113A" w:rsidRDefault="00AF2F97" w:rsidP="00363308">
      <w:pPr>
        <w:spacing w:line="276" w:lineRule="auto"/>
        <w:rPr>
          <w:rFonts w:ascii="Verdana" w:hAnsi="Verdana"/>
          <w:b/>
          <w:color w:val="B71234"/>
          <w:sz w:val="20"/>
          <w:lang w:bidi="ar-SA"/>
        </w:rPr>
      </w:pPr>
      <w:r w:rsidRPr="00EF113A">
        <w:rPr>
          <w:rFonts w:ascii="Verdana" w:hAnsi="Verdana"/>
          <w:b/>
          <w:color w:val="B71234"/>
          <w:sz w:val="20"/>
          <w:lang w:bidi="ar-SA"/>
        </w:rPr>
        <w:t>Further information</w:t>
      </w:r>
    </w:p>
    <w:p w:rsidR="00347B2F" w:rsidRPr="00347B2F" w:rsidRDefault="00347B2F" w:rsidP="00347B2F">
      <w:pPr>
        <w:spacing w:after="160" w:line="276" w:lineRule="auto"/>
        <w:rPr>
          <w:rFonts w:ascii="Verdana" w:eastAsia="Calibri" w:hAnsi="Verdana"/>
          <w:sz w:val="20"/>
          <w:lang w:val="en-US" w:eastAsia="en-US" w:bidi="ar-SA"/>
        </w:rPr>
      </w:pPr>
      <w:r w:rsidRPr="00347B2F">
        <w:rPr>
          <w:rFonts w:ascii="Verdana" w:eastAsia="Calibri" w:hAnsi="Verdana"/>
          <w:sz w:val="20"/>
          <w:lang w:val="en-US" w:eastAsia="en-US" w:bidi="ar-SA"/>
        </w:rPr>
        <w:t xml:space="preserve">Martin </w:t>
      </w:r>
      <w:proofErr w:type="spellStart"/>
      <w:r w:rsidRPr="00347B2F">
        <w:rPr>
          <w:rFonts w:ascii="Verdana" w:eastAsia="Calibri" w:hAnsi="Verdana"/>
          <w:sz w:val="20"/>
          <w:lang w:val="en-US" w:eastAsia="en-US" w:bidi="ar-SA"/>
        </w:rPr>
        <w:t>Sallenhag</w:t>
      </w:r>
      <w:proofErr w:type="spellEnd"/>
      <w:r w:rsidRPr="00347B2F">
        <w:rPr>
          <w:rFonts w:ascii="Verdana" w:eastAsia="Calibri" w:hAnsi="Verdana"/>
          <w:sz w:val="20"/>
          <w:lang w:val="en-US" w:eastAsia="en-US" w:bidi="ar-SA"/>
        </w:rPr>
        <w:t xml:space="preserve"> CEO; </w:t>
      </w:r>
      <w:proofErr w:type="spellStart"/>
      <w:r w:rsidRPr="00347B2F">
        <w:rPr>
          <w:rFonts w:ascii="Verdana" w:eastAsia="Calibri" w:hAnsi="Verdana"/>
          <w:sz w:val="20"/>
          <w:lang w:val="en-US" w:eastAsia="en-US" w:bidi="ar-SA"/>
        </w:rPr>
        <w:t>Reinhard</w:t>
      </w:r>
      <w:proofErr w:type="spellEnd"/>
      <w:r w:rsidRPr="00347B2F">
        <w:rPr>
          <w:rFonts w:ascii="Verdana" w:eastAsia="Calibri" w:hAnsi="Verdana"/>
          <w:sz w:val="20"/>
          <w:lang w:val="en-US" w:eastAsia="en-US" w:bidi="ar-SA"/>
        </w:rPr>
        <w:t xml:space="preserve"> </w:t>
      </w:r>
      <w:proofErr w:type="spellStart"/>
      <w:r w:rsidRPr="00347B2F">
        <w:rPr>
          <w:rFonts w:ascii="Verdana" w:eastAsia="Calibri" w:hAnsi="Verdana"/>
          <w:sz w:val="20"/>
          <w:lang w:val="en-US" w:eastAsia="en-US" w:bidi="ar-SA"/>
        </w:rPr>
        <w:t>Pusch</w:t>
      </w:r>
      <w:proofErr w:type="spellEnd"/>
      <w:r w:rsidRPr="00347B2F">
        <w:rPr>
          <w:rFonts w:ascii="Verdana" w:eastAsia="Calibri" w:hAnsi="Verdana"/>
          <w:sz w:val="20"/>
          <w:lang w:val="en-US" w:eastAsia="en-US" w:bidi="ar-SA"/>
        </w:rPr>
        <w:t xml:space="preserve"> COO; </w:t>
      </w:r>
      <w:proofErr w:type="spellStart"/>
      <w:r w:rsidR="003E00BF">
        <w:rPr>
          <w:rFonts w:ascii="Verdana" w:eastAsia="Calibri" w:hAnsi="Verdana"/>
          <w:sz w:val="20"/>
          <w:lang w:val="en-US" w:eastAsia="en-US" w:bidi="ar-SA"/>
        </w:rPr>
        <w:t>Arvid</w:t>
      </w:r>
      <w:proofErr w:type="spellEnd"/>
      <w:r w:rsidR="003E00BF">
        <w:rPr>
          <w:rFonts w:ascii="Verdana" w:eastAsia="Calibri" w:hAnsi="Verdana"/>
          <w:sz w:val="20"/>
          <w:lang w:val="en-US" w:eastAsia="en-US" w:bidi="ar-SA"/>
        </w:rPr>
        <w:t xml:space="preserve"> </w:t>
      </w:r>
      <w:proofErr w:type="spellStart"/>
      <w:r w:rsidR="003E00BF">
        <w:rPr>
          <w:rFonts w:ascii="Verdana" w:eastAsia="Calibri" w:hAnsi="Verdana"/>
          <w:sz w:val="20"/>
          <w:lang w:val="en-US" w:eastAsia="en-US" w:bidi="ar-SA"/>
        </w:rPr>
        <w:t>Ladega</w:t>
      </w:r>
      <w:proofErr w:type="spellEnd"/>
      <w:r w:rsidR="00021736">
        <w:rPr>
          <w:rFonts w:ascii="Verdana" w:eastAsia="Calibri" w:hAnsi="Verdana"/>
          <w:sz w:val="20"/>
          <w:lang w:val="en-US" w:eastAsia="en-US" w:bidi="ar-SA"/>
        </w:rPr>
        <w:t xml:space="preserve"> CFO</w:t>
      </w:r>
    </w:p>
    <w:p w:rsidR="00347B2F" w:rsidRPr="00347B2F" w:rsidRDefault="00347B2F" w:rsidP="00347B2F">
      <w:pPr>
        <w:spacing w:after="160" w:line="276" w:lineRule="auto"/>
        <w:rPr>
          <w:rFonts w:ascii="Verdana" w:eastAsia="Calibri" w:hAnsi="Verdana"/>
          <w:sz w:val="20"/>
          <w:lang w:val="en-US" w:eastAsia="en-US" w:bidi="ar-SA"/>
        </w:rPr>
      </w:pPr>
      <w:r w:rsidRPr="00347B2F">
        <w:rPr>
          <w:rFonts w:ascii="Verdana" w:eastAsia="Calibri" w:hAnsi="Verdana"/>
          <w:sz w:val="20"/>
          <w:lang w:val="en-US" w:eastAsia="en-US" w:bidi="ar-SA"/>
        </w:rPr>
        <w:t>Telephone: +31 38 4215216</w:t>
      </w:r>
      <w:r w:rsidRPr="00347B2F">
        <w:rPr>
          <w:rFonts w:ascii="Verdana" w:eastAsia="Calibri" w:hAnsi="Verdana"/>
          <w:sz w:val="20"/>
          <w:lang w:val="en-US" w:eastAsia="en-US" w:bidi="ar-SA"/>
        </w:rPr>
        <w:br/>
        <w:t>Postal address</w:t>
      </w:r>
      <w:proofErr w:type="gramStart"/>
      <w:r w:rsidRPr="00347B2F">
        <w:rPr>
          <w:rFonts w:ascii="Verdana" w:eastAsia="Calibri" w:hAnsi="Verdana"/>
          <w:sz w:val="20"/>
          <w:lang w:val="en-US" w:eastAsia="en-US" w:bidi="ar-SA"/>
        </w:rPr>
        <w:t>:</w:t>
      </w:r>
      <w:proofErr w:type="gramEnd"/>
      <w:r w:rsidRPr="00347B2F">
        <w:rPr>
          <w:rFonts w:ascii="Verdana" w:eastAsia="Calibri" w:hAnsi="Verdana"/>
          <w:sz w:val="20"/>
          <w:lang w:val="en-US" w:eastAsia="en-US" w:bidi="ar-SA"/>
        </w:rPr>
        <w:br/>
      </w:r>
      <w:proofErr w:type="spellStart"/>
      <w:r w:rsidRPr="005C6E46">
        <w:rPr>
          <w:rFonts w:ascii="Verdana" w:eastAsia="Calibri" w:hAnsi="Verdana"/>
          <w:color w:val="C00000"/>
          <w:sz w:val="20"/>
          <w:lang w:val="en-US" w:eastAsia="en-US" w:bidi="ar-SA"/>
        </w:rPr>
        <w:t>Rood</w:t>
      </w:r>
      <w:r w:rsidRPr="00347B2F">
        <w:rPr>
          <w:rFonts w:ascii="Verdana" w:eastAsia="Calibri" w:hAnsi="Verdana"/>
          <w:sz w:val="20"/>
          <w:lang w:val="en-US" w:eastAsia="en-US" w:bidi="ar-SA"/>
        </w:rPr>
        <w:t>Microtec</w:t>
      </w:r>
      <w:proofErr w:type="spellEnd"/>
      <w:r w:rsidRPr="00347B2F">
        <w:rPr>
          <w:rFonts w:ascii="Verdana" w:eastAsia="Calibri" w:hAnsi="Verdana"/>
          <w:sz w:val="20"/>
          <w:lang w:val="en-US" w:eastAsia="en-US" w:bidi="ar-SA"/>
        </w:rPr>
        <w:t xml:space="preserve"> N.V., PO Box 1042, 8001 BA Zwolle </w:t>
      </w:r>
    </w:p>
    <w:p w:rsidR="00347B2F" w:rsidRDefault="00347B2F" w:rsidP="00347B2F">
      <w:pPr>
        <w:spacing w:after="160" w:line="276" w:lineRule="auto"/>
      </w:pPr>
      <w:r w:rsidRPr="00347B2F">
        <w:rPr>
          <w:rFonts w:ascii="Verdana" w:eastAsia="Calibri" w:hAnsi="Verdana"/>
          <w:sz w:val="20"/>
          <w:lang w:val="en-US" w:eastAsia="en-US" w:bidi="ar-SA"/>
        </w:rPr>
        <w:t xml:space="preserve">Email: </w:t>
      </w:r>
      <w:hyperlink r:id="rId9" w:history="1">
        <w:r w:rsidRPr="00FD4939">
          <w:rPr>
            <w:rStyle w:val="Hyperlink"/>
            <w:rFonts w:ascii="Verdana" w:eastAsia="Calibri" w:hAnsi="Verdana"/>
            <w:sz w:val="20"/>
            <w:lang w:val="en-US" w:eastAsia="en-US" w:bidi="ar-SA"/>
          </w:rPr>
          <w:t>investor-relations@</w:t>
        </w:r>
        <w:r w:rsidRPr="005C6E46">
          <w:rPr>
            <w:rStyle w:val="Hyperlink"/>
            <w:rFonts w:ascii="Verdana" w:eastAsia="Calibri" w:hAnsi="Verdana"/>
            <w:sz w:val="20"/>
            <w:lang w:val="en-US" w:eastAsia="en-US" w:bidi="ar-SA"/>
          </w:rPr>
          <w:t>rood</w:t>
        </w:r>
        <w:r w:rsidRPr="00FD4939">
          <w:rPr>
            <w:rStyle w:val="Hyperlink"/>
            <w:rFonts w:ascii="Verdana" w:eastAsia="Calibri" w:hAnsi="Verdana"/>
            <w:sz w:val="20"/>
            <w:lang w:val="en-US" w:eastAsia="en-US" w:bidi="ar-SA"/>
          </w:rPr>
          <w:t>microtec.com</w:t>
        </w:r>
      </w:hyperlink>
      <w:r>
        <w:rPr>
          <w:rFonts w:ascii="Verdana" w:eastAsia="Calibri" w:hAnsi="Verdana"/>
          <w:sz w:val="20"/>
          <w:lang w:val="en-US" w:eastAsia="en-US" w:bidi="ar-SA"/>
        </w:rPr>
        <w:t xml:space="preserve"> </w:t>
      </w:r>
      <w:r w:rsidRPr="00347B2F">
        <w:rPr>
          <w:rFonts w:ascii="Verdana" w:eastAsia="Calibri" w:hAnsi="Verdana"/>
          <w:sz w:val="20"/>
          <w:lang w:val="en-US" w:eastAsia="en-US" w:bidi="ar-SA"/>
        </w:rPr>
        <w:t xml:space="preserve"> Web: </w:t>
      </w:r>
      <w:hyperlink r:id="rId10" w:history="1">
        <w:r w:rsidRPr="00FD4939">
          <w:rPr>
            <w:rStyle w:val="Hyperlink"/>
            <w:rFonts w:ascii="Verdana" w:eastAsia="Calibri" w:hAnsi="Verdana"/>
            <w:sz w:val="20"/>
            <w:lang w:val="en-US" w:eastAsia="en-US" w:bidi="ar-SA"/>
          </w:rPr>
          <w:t>www.</w:t>
        </w:r>
        <w:r w:rsidRPr="005C6E46">
          <w:rPr>
            <w:rStyle w:val="Hyperlink"/>
            <w:rFonts w:ascii="Verdana" w:eastAsia="Calibri" w:hAnsi="Verdana"/>
            <w:sz w:val="20"/>
            <w:lang w:val="en-US" w:eastAsia="en-US" w:bidi="ar-SA"/>
          </w:rPr>
          <w:t>rood</w:t>
        </w:r>
        <w:r w:rsidRPr="00FD4939">
          <w:rPr>
            <w:rStyle w:val="Hyperlink"/>
            <w:rFonts w:ascii="Verdana" w:eastAsia="Calibri" w:hAnsi="Verdana"/>
            <w:sz w:val="20"/>
            <w:lang w:val="en-US" w:eastAsia="en-US" w:bidi="ar-SA"/>
          </w:rPr>
          <w:t>microtec.com</w:t>
        </w:r>
      </w:hyperlink>
    </w:p>
    <w:p w:rsidR="00F70E97" w:rsidRDefault="00F70E97" w:rsidP="00347B2F">
      <w:pPr>
        <w:spacing w:after="160" w:line="276" w:lineRule="auto"/>
        <w:rPr>
          <w:rFonts w:ascii="Verdana" w:eastAsia="Calibri" w:hAnsi="Verdana"/>
          <w:sz w:val="20"/>
          <w:lang w:val="en-US" w:eastAsia="en-US" w:bidi="ar-SA"/>
        </w:rPr>
      </w:pPr>
    </w:p>
    <w:p w:rsidR="00347B2F" w:rsidRPr="00347B2F" w:rsidRDefault="00347B2F" w:rsidP="00347B2F">
      <w:pPr>
        <w:spacing w:before="100" w:beforeAutospacing="1" w:after="100" w:afterAutospacing="1"/>
        <w:rPr>
          <w:rFonts w:ascii="Verdana" w:hAnsi="Verdana"/>
          <w:i/>
          <w:sz w:val="20"/>
          <w:lang w:val="en-US"/>
        </w:rPr>
      </w:pPr>
      <w:r w:rsidRPr="00347B2F">
        <w:rPr>
          <w:rFonts w:ascii="Verdana" w:hAnsi="Verdana"/>
          <w:i/>
          <w:sz w:val="20"/>
          <w:lang w:val="en-US"/>
        </w:rPr>
        <w:t xml:space="preserve">This press release is published in </w:t>
      </w:r>
      <w:r w:rsidR="00255753">
        <w:rPr>
          <w:rFonts w:ascii="Verdana" w:hAnsi="Verdana"/>
          <w:i/>
          <w:sz w:val="20"/>
          <w:lang w:val="en-US"/>
        </w:rPr>
        <w:t>English</w:t>
      </w:r>
      <w:r w:rsidR="00667EB2">
        <w:rPr>
          <w:rFonts w:ascii="Verdana" w:hAnsi="Verdana"/>
          <w:i/>
          <w:sz w:val="20"/>
          <w:lang w:val="en-US"/>
        </w:rPr>
        <w:t xml:space="preserve">, </w:t>
      </w:r>
      <w:r w:rsidR="00255753">
        <w:rPr>
          <w:rFonts w:ascii="Verdana" w:hAnsi="Verdana"/>
          <w:i/>
          <w:sz w:val="20"/>
          <w:lang w:val="en-US"/>
        </w:rPr>
        <w:t>Dutch</w:t>
      </w:r>
      <w:r w:rsidR="00667EB2">
        <w:rPr>
          <w:rFonts w:ascii="Verdana" w:hAnsi="Verdana"/>
          <w:i/>
          <w:sz w:val="20"/>
          <w:lang w:val="en-US"/>
        </w:rPr>
        <w:t xml:space="preserve"> and German</w:t>
      </w:r>
      <w:r w:rsidRPr="00347B2F">
        <w:rPr>
          <w:rFonts w:ascii="Verdana" w:hAnsi="Verdana"/>
          <w:i/>
          <w:sz w:val="20"/>
          <w:lang w:val="en-US"/>
        </w:rPr>
        <w:t>. In case of conflict between these versions the English version shall prevail.</w:t>
      </w:r>
    </w:p>
    <w:sectPr w:rsidR="00347B2F" w:rsidRPr="00347B2F" w:rsidSect="00C9486C">
      <w:headerReference w:type="default" r:id="rId11"/>
      <w:footerReference w:type="default" r:id="rId12"/>
      <w:pgSz w:w="11906" w:h="16838" w:code="9"/>
      <w:pgMar w:top="1701" w:right="561" w:bottom="1134" w:left="1418" w:header="737" w:footer="4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8B4" w:rsidRDefault="009078B4" w:rsidP="00C9486C">
      <w:r>
        <w:separator/>
      </w:r>
    </w:p>
  </w:endnote>
  <w:endnote w:type="continuationSeparator" w:id="0">
    <w:p w:rsidR="009078B4" w:rsidRDefault="009078B4" w:rsidP="00C9486C">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8B4" w:rsidRPr="008C1A6B" w:rsidRDefault="009078B4" w:rsidP="00C9486C">
    <w:pPr>
      <w:pStyle w:val="Fuzeile"/>
      <w:pBdr>
        <w:top w:val="single" w:sz="12" w:space="0" w:color="B71234"/>
      </w:pBdr>
      <w:tabs>
        <w:tab w:val="clear" w:pos="9072"/>
        <w:tab w:val="right" w:pos="9639"/>
      </w:tabs>
      <w:rPr>
        <w:rStyle w:val="Seitenzahl"/>
        <w:rFonts w:ascii="Verdana" w:hAnsi="Verdana"/>
        <w:sz w:val="16"/>
        <w:szCs w:val="16"/>
      </w:rPr>
    </w:pPr>
  </w:p>
  <w:p w:rsidR="009078B4" w:rsidRPr="00321380" w:rsidRDefault="00AE757C" w:rsidP="008348AA">
    <w:pPr>
      <w:pStyle w:val="Fuzeile1"/>
      <w:tabs>
        <w:tab w:val="clear" w:pos="4536"/>
        <w:tab w:val="clear" w:pos="9072"/>
        <w:tab w:val="center" w:pos="4253"/>
        <w:tab w:val="right" w:pos="9923"/>
      </w:tabs>
      <w:rPr>
        <w:rFonts w:eastAsiaTheme="minorHAnsi"/>
        <w:color w:val="1A1A1A"/>
        <w:sz w:val="16"/>
      </w:rPr>
    </w:pPr>
    <w:r w:rsidRPr="008C1A6B">
      <w:rPr>
        <w:rStyle w:val="Seitenzahl"/>
        <w:sz w:val="16"/>
        <w:szCs w:val="16"/>
      </w:rPr>
      <w:fldChar w:fldCharType="begin"/>
    </w:r>
    <w:r w:rsidR="009078B4" w:rsidRPr="008C1A6B">
      <w:rPr>
        <w:rStyle w:val="Seitenzahl"/>
        <w:sz w:val="16"/>
        <w:szCs w:val="16"/>
      </w:rPr>
      <w:instrText xml:space="preserve"> PAGE </w:instrText>
    </w:r>
    <w:r w:rsidRPr="008C1A6B">
      <w:rPr>
        <w:rStyle w:val="Seitenzahl"/>
        <w:sz w:val="16"/>
        <w:szCs w:val="16"/>
      </w:rPr>
      <w:fldChar w:fldCharType="separate"/>
    </w:r>
    <w:r w:rsidR="00FE35E4">
      <w:rPr>
        <w:rStyle w:val="Seitenzahl"/>
        <w:noProof/>
        <w:sz w:val="16"/>
        <w:szCs w:val="16"/>
      </w:rPr>
      <w:t>1</w:t>
    </w:r>
    <w:r w:rsidRPr="008C1A6B">
      <w:rPr>
        <w:rStyle w:val="Seitenzahl"/>
        <w:sz w:val="16"/>
        <w:szCs w:val="16"/>
      </w:rPr>
      <w:fldChar w:fldCharType="end"/>
    </w:r>
    <w:r w:rsidR="009078B4">
      <w:rPr>
        <w:rStyle w:val="Seitenzahl"/>
        <w:sz w:val="16"/>
      </w:rPr>
      <w:t xml:space="preserve"> / </w:t>
    </w:r>
    <w:r w:rsidRPr="008C1A6B">
      <w:rPr>
        <w:rStyle w:val="Seitenzahl"/>
        <w:sz w:val="16"/>
        <w:szCs w:val="16"/>
      </w:rPr>
      <w:fldChar w:fldCharType="begin"/>
    </w:r>
    <w:r w:rsidR="009078B4" w:rsidRPr="008C1A6B">
      <w:rPr>
        <w:rStyle w:val="Seitenzahl"/>
        <w:sz w:val="16"/>
        <w:szCs w:val="16"/>
      </w:rPr>
      <w:instrText xml:space="preserve"> NUMPAGES </w:instrText>
    </w:r>
    <w:r w:rsidRPr="008C1A6B">
      <w:rPr>
        <w:rStyle w:val="Seitenzahl"/>
        <w:sz w:val="16"/>
        <w:szCs w:val="16"/>
      </w:rPr>
      <w:fldChar w:fldCharType="separate"/>
    </w:r>
    <w:r w:rsidR="00FE35E4">
      <w:rPr>
        <w:rStyle w:val="Seitenzahl"/>
        <w:noProof/>
        <w:sz w:val="16"/>
        <w:szCs w:val="16"/>
      </w:rPr>
      <w:t>3</w:t>
    </w:r>
    <w:r w:rsidRPr="008C1A6B">
      <w:rPr>
        <w:rStyle w:val="Seitenzahl"/>
        <w:sz w:val="16"/>
        <w:szCs w:val="16"/>
      </w:rPr>
      <w:fldChar w:fldCharType="end"/>
    </w:r>
    <w:r w:rsidR="009078B4">
      <w:tab/>
    </w:r>
    <w:proofErr w:type="spellStart"/>
    <w:r w:rsidR="009078B4" w:rsidRPr="009078B4">
      <w:rPr>
        <w:rFonts w:eastAsiaTheme="minorHAnsi"/>
        <w:color w:val="B71234"/>
        <w:sz w:val="16"/>
      </w:rPr>
      <w:t>Rood</w:t>
    </w:r>
    <w:r w:rsidR="009078B4">
      <w:rPr>
        <w:rFonts w:eastAsiaTheme="minorHAnsi"/>
        <w:color w:val="1A1A1A"/>
        <w:sz w:val="16"/>
      </w:rPr>
      <w:t>Microtec</w:t>
    </w:r>
    <w:proofErr w:type="spellEnd"/>
    <w:r w:rsidR="009078B4">
      <w:rPr>
        <w:rFonts w:eastAsiaTheme="minorHAnsi"/>
        <w:color w:val="1A1A1A"/>
        <w:sz w:val="16"/>
      </w:rPr>
      <w:t xml:space="preserve"> –Preliminary Sales 2016</w:t>
    </w:r>
    <w:r w:rsidR="009078B4">
      <w:tab/>
    </w:r>
    <w:r w:rsidR="009078B4">
      <w:rPr>
        <w:color w:val="B71234"/>
        <w:sz w:val="16"/>
      </w:rPr>
      <w:t xml:space="preserve">… certified by </w:t>
    </w:r>
    <w:proofErr w:type="spellStart"/>
    <w:r w:rsidR="009078B4">
      <w:rPr>
        <w:color w:val="B71234"/>
        <w:sz w:val="16"/>
      </w:rPr>
      <w:t>Rood</w:t>
    </w:r>
    <w:r w:rsidR="009078B4">
      <w:rPr>
        <w:sz w:val="16"/>
      </w:rPr>
      <w:t>Microtec</w:t>
    </w:r>
    <w:proofErr w:type="spellEnd"/>
    <w:r w:rsidR="009078B4">
      <w:rPr>
        <w:sz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8B4" w:rsidRDefault="009078B4" w:rsidP="00C9486C">
      <w:r>
        <w:separator/>
      </w:r>
    </w:p>
  </w:footnote>
  <w:footnote w:type="continuationSeparator" w:id="0">
    <w:p w:rsidR="009078B4" w:rsidRDefault="009078B4" w:rsidP="00C948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8B4" w:rsidRPr="007272B9" w:rsidRDefault="009078B4" w:rsidP="00C9486C">
    <w:pPr>
      <w:pStyle w:val="Kopfzeile"/>
      <w:tabs>
        <w:tab w:val="clear" w:pos="9072"/>
        <w:tab w:val="right" w:pos="9639"/>
      </w:tabs>
      <w:rPr>
        <w:rFonts w:ascii="Verdana" w:hAnsi="Verdana"/>
      </w:rPr>
    </w:pPr>
  </w:p>
  <w:p w:rsidR="009078B4" w:rsidRPr="007272B9" w:rsidRDefault="009078B4" w:rsidP="00C9486C">
    <w:pPr>
      <w:pStyle w:val="Kopfzeile"/>
      <w:tabs>
        <w:tab w:val="clear" w:pos="9072"/>
        <w:tab w:val="right" w:pos="9639"/>
      </w:tabs>
      <w:rPr>
        <w:rFonts w:ascii="Verdana" w:hAnsi="Verdana"/>
      </w:rPr>
    </w:pPr>
  </w:p>
  <w:p w:rsidR="009078B4" w:rsidRPr="007272B9" w:rsidRDefault="009078B4" w:rsidP="00C9486C">
    <w:pPr>
      <w:pStyle w:val="Kopfzeile"/>
      <w:tabs>
        <w:tab w:val="clear" w:pos="9072"/>
        <w:tab w:val="right" w:pos="9639"/>
      </w:tabs>
      <w:rPr>
        <w:rFonts w:ascii="Verdana" w:hAnsi="Verdana"/>
      </w:rPr>
    </w:pPr>
  </w:p>
  <w:p w:rsidR="009078B4" w:rsidRPr="007272B9" w:rsidRDefault="009078B4" w:rsidP="00C9486C">
    <w:pPr>
      <w:pStyle w:val="Kopfzeile"/>
      <w:tabs>
        <w:tab w:val="clear" w:pos="9072"/>
        <w:tab w:val="right" w:pos="9639"/>
      </w:tabs>
      <w:rPr>
        <w:rFonts w:ascii="Verdana" w:hAnsi="Verdana"/>
      </w:rPr>
    </w:pPr>
    <w:r>
      <w:rPr>
        <w:rFonts w:ascii="Verdana" w:hAnsi="Verdana"/>
        <w:noProof/>
        <w:lang w:val="de-DE" w:eastAsia="de-DE" w:bidi="ar-SA"/>
      </w:rPr>
      <w:drawing>
        <wp:anchor distT="0" distB="0" distL="114300" distR="114300" simplePos="0" relativeHeight="251660288" behindDoc="0" locked="1" layoutInCell="1" allowOverlap="1">
          <wp:simplePos x="0" y="0"/>
          <wp:positionH relativeFrom="column">
            <wp:posOffset>1551305</wp:posOffset>
          </wp:positionH>
          <wp:positionV relativeFrom="page">
            <wp:posOffset>232410</wp:posOffset>
          </wp:positionV>
          <wp:extent cx="2760980" cy="1188085"/>
          <wp:effectExtent l="19050" t="0" r="1270" b="0"/>
          <wp:wrapTopAndBottom/>
          <wp:docPr id="1" name="Bild 1" descr="Logo2907-endgült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907-endgültig"/>
                  <pic:cNvPicPr>
                    <a:picLocks noChangeAspect="1" noChangeArrowheads="1"/>
                  </pic:cNvPicPr>
                </pic:nvPicPr>
                <pic:blipFill>
                  <a:blip r:embed="rId1"/>
                  <a:srcRect/>
                  <a:stretch>
                    <a:fillRect/>
                  </a:stretch>
                </pic:blipFill>
                <pic:spPr bwMode="auto">
                  <a:xfrm>
                    <a:off x="0" y="0"/>
                    <a:ext cx="2760980" cy="1188085"/>
                  </a:xfrm>
                  <a:prstGeom prst="rect">
                    <a:avLst/>
                  </a:prstGeom>
                  <a:noFill/>
                  <a:ln w="9525">
                    <a:noFill/>
                    <a:miter lim="800000"/>
                    <a:headEnd/>
                    <a:tailEnd/>
                  </a:ln>
                </pic:spPr>
              </pic:pic>
            </a:graphicData>
          </a:graphic>
        </wp:anchor>
      </w:drawing>
    </w:r>
  </w:p>
  <w:p w:rsidR="009078B4" w:rsidRPr="007272B9" w:rsidRDefault="009078B4" w:rsidP="00C9486C">
    <w:pPr>
      <w:pStyle w:val="Kopfzeile"/>
      <w:tabs>
        <w:tab w:val="clear" w:pos="9072"/>
        <w:tab w:val="right" w:pos="9639"/>
      </w:tabs>
      <w:rPr>
        <w:rFonts w:ascii="Verdana" w:hAnsi="Verdana"/>
      </w:rPr>
    </w:pPr>
  </w:p>
  <w:p w:rsidR="009078B4" w:rsidRPr="007272B9" w:rsidRDefault="009078B4" w:rsidP="00C9486C">
    <w:pPr>
      <w:pStyle w:val="Kopfzeile"/>
      <w:tabs>
        <w:tab w:val="clear" w:pos="9072"/>
        <w:tab w:val="right" w:pos="9639"/>
      </w:tabs>
      <w:rPr>
        <w:rFonts w:ascii="Verdana" w:hAnsi="Verdana"/>
      </w:rPr>
    </w:pPr>
  </w:p>
  <w:p w:rsidR="009078B4" w:rsidRPr="007272B9" w:rsidRDefault="009078B4" w:rsidP="00C9486C">
    <w:pPr>
      <w:pStyle w:val="Kopfzeile"/>
      <w:pBdr>
        <w:top w:val="single" w:sz="12" w:space="1" w:color="B71234"/>
      </w:pBdr>
      <w:tabs>
        <w:tab w:val="clear" w:pos="9072"/>
        <w:tab w:val="right" w:pos="9639"/>
      </w:tabs>
      <w:rPr>
        <w:rFonts w:ascii="Verdana" w:hAnsi="Verdana"/>
      </w:rPr>
    </w:pPr>
  </w:p>
  <w:p w:rsidR="009078B4" w:rsidRPr="007272B9" w:rsidRDefault="009078B4" w:rsidP="00C9486C">
    <w:pPr>
      <w:rPr>
        <w:rFonts w:ascii="Verdana" w:hAnsi="Verdana"/>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numFmt w:val="bullet"/>
      <w:lvlText w:val="-"/>
      <w:lvlJc w:val="left"/>
      <w:pPr>
        <w:tabs>
          <w:tab w:val="num" w:pos="0"/>
        </w:tabs>
        <w:ind w:left="720" w:hanging="360"/>
      </w:pPr>
      <w:rPr>
        <w:rFonts w:ascii="Verdana" w:hAnsi="Verdana" w:cs="Verdana"/>
      </w:rPr>
    </w:lvl>
  </w:abstractNum>
  <w:abstractNum w:abstractNumId="1">
    <w:nsid w:val="06E359C6"/>
    <w:multiLevelType w:val="hybridMultilevel"/>
    <w:tmpl w:val="75AE2E2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18BE6DCB"/>
    <w:multiLevelType w:val="hybridMultilevel"/>
    <w:tmpl w:val="102E09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6760B1B"/>
    <w:multiLevelType w:val="hybridMultilevel"/>
    <w:tmpl w:val="9404E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E45453"/>
    <w:multiLevelType w:val="hybridMultilevel"/>
    <w:tmpl w:val="1A327152"/>
    <w:lvl w:ilvl="0" w:tplc="FFFFFFFF">
      <w:start w:val="1"/>
      <w:numFmt w:val="bullet"/>
      <w:lvlText w:val=""/>
      <w:lvlJc w:val="left"/>
      <w:pPr>
        <w:tabs>
          <w:tab w:val="num" w:pos="720"/>
        </w:tabs>
        <w:ind w:left="720" w:hanging="360"/>
      </w:pPr>
      <w:rPr>
        <w:rFonts w:ascii="Symbol" w:hAnsi="Symbol" w:hint="default"/>
        <w:b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41DC450F"/>
    <w:multiLevelType w:val="hybridMultilevel"/>
    <w:tmpl w:val="3FB0B91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6">
    <w:nsid w:val="4FC46503"/>
    <w:multiLevelType w:val="hybridMultilevel"/>
    <w:tmpl w:val="D1483B0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52A12AA9"/>
    <w:multiLevelType w:val="hybridMultilevel"/>
    <w:tmpl w:val="2EF8440A"/>
    <w:lvl w:ilvl="0" w:tplc="04130005">
      <w:start w:val="1"/>
      <w:numFmt w:val="bullet"/>
      <w:lvlText w:val=""/>
      <w:lvlJc w:val="left"/>
      <w:pPr>
        <w:tabs>
          <w:tab w:val="num" w:pos="360"/>
        </w:tabs>
        <w:ind w:left="360" w:hanging="360"/>
      </w:pPr>
      <w:rPr>
        <w:rFonts w:ascii="Wingdings" w:hAnsi="Wingdings" w:cs="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8">
    <w:nsid w:val="57470D11"/>
    <w:multiLevelType w:val="hybridMultilevel"/>
    <w:tmpl w:val="E4BA7632"/>
    <w:lvl w:ilvl="0" w:tplc="CCF6A786">
      <w:start w:val="1"/>
      <w:numFmt w:val="bullet"/>
      <w:lvlText w:val=""/>
      <w:lvlJc w:val="left"/>
      <w:pPr>
        <w:ind w:left="72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695F37EA"/>
    <w:multiLevelType w:val="hybridMultilevel"/>
    <w:tmpl w:val="B56EE7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A42211B"/>
    <w:multiLevelType w:val="hybridMultilevel"/>
    <w:tmpl w:val="8F52A3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D59354B"/>
    <w:multiLevelType w:val="hybridMultilevel"/>
    <w:tmpl w:val="65D404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0791D9A"/>
    <w:multiLevelType w:val="hybridMultilevel"/>
    <w:tmpl w:val="9CDACC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7"/>
  </w:num>
  <w:num w:numId="5">
    <w:abstractNumId w:val="5"/>
  </w:num>
  <w:num w:numId="6">
    <w:abstractNumId w:val="11"/>
  </w:num>
  <w:num w:numId="7">
    <w:abstractNumId w:val="12"/>
  </w:num>
  <w:num w:numId="8">
    <w:abstractNumId w:val="9"/>
  </w:num>
  <w:num w:numId="9">
    <w:abstractNumId w:val="2"/>
  </w:num>
  <w:num w:numId="10">
    <w:abstractNumId w:val="10"/>
  </w:num>
  <w:num w:numId="11">
    <w:abstractNumId w:val="0"/>
  </w:num>
  <w:num w:numId="12">
    <w:abstractNumId w:val="3"/>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33121"/>
  </w:hdrShapeDefaults>
  <w:footnotePr>
    <w:footnote w:id="-1"/>
    <w:footnote w:id="0"/>
  </w:footnotePr>
  <w:endnotePr>
    <w:endnote w:id="-1"/>
    <w:endnote w:id="0"/>
  </w:endnotePr>
  <w:compat/>
  <w:rsids>
    <w:rsidRoot w:val="00A90243"/>
    <w:rsid w:val="00000F05"/>
    <w:rsid w:val="00011B96"/>
    <w:rsid w:val="00014A2A"/>
    <w:rsid w:val="00021736"/>
    <w:rsid w:val="00023B81"/>
    <w:rsid w:val="00024056"/>
    <w:rsid w:val="00030961"/>
    <w:rsid w:val="00047FE6"/>
    <w:rsid w:val="00052619"/>
    <w:rsid w:val="00066D20"/>
    <w:rsid w:val="00070814"/>
    <w:rsid w:val="000808CF"/>
    <w:rsid w:val="00081F0F"/>
    <w:rsid w:val="00082645"/>
    <w:rsid w:val="000A5F21"/>
    <w:rsid w:val="000C31B5"/>
    <w:rsid w:val="000D4B3B"/>
    <w:rsid w:val="000D7633"/>
    <w:rsid w:val="000E11FE"/>
    <w:rsid w:val="000E40E0"/>
    <w:rsid w:val="000E7919"/>
    <w:rsid w:val="000F05BC"/>
    <w:rsid w:val="000F3A89"/>
    <w:rsid w:val="000F4204"/>
    <w:rsid w:val="00100822"/>
    <w:rsid w:val="00112C3D"/>
    <w:rsid w:val="00116273"/>
    <w:rsid w:val="00122359"/>
    <w:rsid w:val="0012703F"/>
    <w:rsid w:val="00133F54"/>
    <w:rsid w:val="00134902"/>
    <w:rsid w:val="001413EE"/>
    <w:rsid w:val="001434B4"/>
    <w:rsid w:val="001460A1"/>
    <w:rsid w:val="001720B5"/>
    <w:rsid w:val="001764EA"/>
    <w:rsid w:val="00187A3B"/>
    <w:rsid w:val="00197C87"/>
    <w:rsid w:val="001A747C"/>
    <w:rsid w:val="001C75D3"/>
    <w:rsid w:val="001D39A5"/>
    <w:rsid w:val="001E235F"/>
    <w:rsid w:val="001E2928"/>
    <w:rsid w:val="001E3224"/>
    <w:rsid w:val="001E61EB"/>
    <w:rsid w:val="001E7EE9"/>
    <w:rsid w:val="001F2790"/>
    <w:rsid w:val="001F682A"/>
    <w:rsid w:val="0020294D"/>
    <w:rsid w:val="00204890"/>
    <w:rsid w:val="00210083"/>
    <w:rsid w:val="00211756"/>
    <w:rsid w:val="002317EF"/>
    <w:rsid w:val="00233679"/>
    <w:rsid w:val="0024066E"/>
    <w:rsid w:val="002467ED"/>
    <w:rsid w:val="00252EC9"/>
    <w:rsid w:val="00255753"/>
    <w:rsid w:val="002643F6"/>
    <w:rsid w:val="0027249F"/>
    <w:rsid w:val="002738AA"/>
    <w:rsid w:val="00276D7B"/>
    <w:rsid w:val="00277B80"/>
    <w:rsid w:val="00283B18"/>
    <w:rsid w:val="0028446B"/>
    <w:rsid w:val="00292700"/>
    <w:rsid w:val="0029427C"/>
    <w:rsid w:val="002A0F4E"/>
    <w:rsid w:val="002A7DF7"/>
    <w:rsid w:val="002B6711"/>
    <w:rsid w:val="002C0FAA"/>
    <w:rsid w:val="002E1C9D"/>
    <w:rsid w:val="002F4A7C"/>
    <w:rsid w:val="00300934"/>
    <w:rsid w:val="003105B6"/>
    <w:rsid w:val="0031191B"/>
    <w:rsid w:val="0031194E"/>
    <w:rsid w:val="00314589"/>
    <w:rsid w:val="003151E2"/>
    <w:rsid w:val="003152A8"/>
    <w:rsid w:val="003159CA"/>
    <w:rsid w:val="00321380"/>
    <w:rsid w:val="00336A52"/>
    <w:rsid w:val="00347B2F"/>
    <w:rsid w:val="00351CAD"/>
    <w:rsid w:val="00363308"/>
    <w:rsid w:val="00365F83"/>
    <w:rsid w:val="0038701D"/>
    <w:rsid w:val="00395A0B"/>
    <w:rsid w:val="003A2591"/>
    <w:rsid w:val="003A4C66"/>
    <w:rsid w:val="003A544E"/>
    <w:rsid w:val="003C09C9"/>
    <w:rsid w:val="003D701B"/>
    <w:rsid w:val="003E00BF"/>
    <w:rsid w:val="003E6147"/>
    <w:rsid w:val="003F5FA8"/>
    <w:rsid w:val="003F6192"/>
    <w:rsid w:val="00401E02"/>
    <w:rsid w:val="004037DB"/>
    <w:rsid w:val="00412D13"/>
    <w:rsid w:val="00417E09"/>
    <w:rsid w:val="00422213"/>
    <w:rsid w:val="00422492"/>
    <w:rsid w:val="0042437A"/>
    <w:rsid w:val="00426A05"/>
    <w:rsid w:val="004306CB"/>
    <w:rsid w:val="004348A9"/>
    <w:rsid w:val="004604AE"/>
    <w:rsid w:val="004607BE"/>
    <w:rsid w:val="0047321C"/>
    <w:rsid w:val="004945B5"/>
    <w:rsid w:val="004A1ED3"/>
    <w:rsid w:val="004A1FC1"/>
    <w:rsid w:val="004B0FE9"/>
    <w:rsid w:val="004C43F4"/>
    <w:rsid w:val="004D6619"/>
    <w:rsid w:val="004E12B2"/>
    <w:rsid w:val="004E5A43"/>
    <w:rsid w:val="004F1D31"/>
    <w:rsid w:val="004F7FB4"/>
    <w:rsid w:val="00504F26"/>
    <w:rsid w:val="00506569"/>
    <w:rsid w:val="00510E66"/>
    <w:rsid w:val="005165A4"/>
    <w:rsid w:val="0051782D"/>
    <w:rsid w:val="0052347A"/>
    <w:rsid w:val="00525205"/>
    <w:rsid w:val="00535CD3"/>
    <w:rsid w:val="00553E66"/>
    <w:rsid w:val="005543AA"/>
    <w:rsid w:val="00572860"/>
    <w:rsid w:val="0058128B"/>
    <w:rsid w:val="0058261D"/>
    <w:rsid w:val="005A27D1"/>
    <w:rsid w:val="005A3CC9"/>
    <w:rsid w:val="005C18DF"/>
    <w:rsid w:val="005C2E03"/>
    <w:rsid w:val="005C564E"/>
    <w:rsid w:val="005C6E46"/>
    <w:rsid w:val="005D01FD"/>
    <w:rsid w:val="005E07C7"/>
    <w:rsid w:val="005E5733"/>
    <w:rsid w:val="005F5C60"/>
    <w:rsid w:val="00601AFD"/>
    <w:rsid w:val="00602C76"/>
    <w:rsid w:val="006055BA"/>
    <w:rsid w:val="0060633D"/>
    <w:rsid w:val="00615BB3"/>
    <w:rsid w:val="0064735F"/>
    <w:rsid w:val="00667EB2"/>
    <w:rsid w:val="00673683"/>
    <w:rsid w:val="006758EC"/>
    <w:rsid w:val="00682A32"/>
    <w:rsid w:val="00691A1A"/>
    <w:rsid w:val="00695A70"/>
    <w:rsid w:val="006A5F45"/>
    <w:rsid w:val="006B0D6A"/>
    <w:rsid w:val="006C0F95"/>
    <w:rsid w:val="006C4621"/>
    <w:rsid w:val="006D3844"/>
    <w:rsid w:val="006E2262"/>
    <w:rsid w:val="006E2E80"/>
    <w:rsid w:val="006E31F9"/>
    <w:rsid w:val="006E3721"/>
    <w:rsid w:val="006E485C"/>
    <w:rsid w:val="006F0932"/>
    <w:rsid w:val="006F6904"/>
    <w:rsid w:val="007008ED"/>
    <w:rsid w:val="00700F6A"/>
    <w:rsid w:val="00701B20"/>
    <w:rsid w:val="00703A69"/>
    <w:rsid w:val="00705B32"/>
    <w:rsid w:val="0072255D"/>
    <w:rsid w:val="00734F81"/>
    <w:rsid w:val="00756433"/>
    <w:rsid w:val="00766144"/>
    <w:rsid w:val="007709A3"/>
    <w:rsid w:val="00770AB5"/>
    <w:rsid w:val="00773F54"/>
    <w:rsid w:val="00774BB3"/>
    <w:rsid w:val="00775207"/>
    <w:rsid w:val="00794273"/>
    <w:rsid w:val="007A0B0A"/>
    <w:rsid w:val="007A4437"/>
    <w:rsid w:val="007A5572"/>
    <w:rsid w:val="007A739C"/>
    <w:rsid w:val="007B2894"/>
    <w:rsid w:val="007C34E7"/>
    <w:rsid w:val="007E0CF7"/>
    <w:rsid w:val="007E4CD4"/>
    <w:rsid w:val="007E706B"/>
    <w:rsid w:val="00807109"/>
    <w:rsid w:val="00811BEE"/>
    <w:rsid w:val="008348AA"/>
    <w:rsid w:val="00840E17"/>
    <w:rsid w:val="008462F2"/>
    <w:rsid w:val="00862FDE"/>
    <w:rsid w:val="0086510E"/>
    <w:rsid w:val="008656F5"/>
    <w:rsid w:val="0088370A"/>
    <w:rsid w:val="00884C75"/>
    <w:rsid w:val="008A289B"/>
    <w:rsid w:val="008A4D8D"/>
    <w:rsid w:val="008A7B9D"/>
    <w:rsid w:val="008B4E09"/>
    <w:rsid w:val="008C0FCC"/>
    <w:rsid w:val="008C1A6B"/>
    <w:rsid w:val="008C5096"/>
    <w:rsid w:val="008F3EE9"/>
    <w:rsid w:val="009013AF"/>
    <w:rsid w:val="00902366"/>
    <w:rsid w:val="009033EB"/>
    <w:rsid w:val="0090399D"/>
    <w:rsid w:val="009050F8"/>
    <w:rsid w:val="009078B4"/>
    <w:rsid w:val="0091109A"/>
    <w:rsid w:val="00912D0C"/>
    <w:rsid w:val="00913F45"/>
    <w:rsid w:val="00920B62"/>
    <w:rsid w:val="00921871"/>
    <w:rsid w:val="00925773"/>
    <w:rsid w:val="00942A3B"/>
    <w:rsid w:val="00942C63"/>
    <w:rsid w:val="00942F0E"/>
    <w:rsid w:val="00956A02"/>
    <w:rsid w:val="0097039B"/>
    <w:rsid w:val="00980B01"/>
    <w:rsid w:val="009849BA"/>
    <w:rsid w:val="00991FFB"/>
    <w:rsid w:val="009974B6"/>
    <w:rsid w:val="009A01FA"/>
    <w:rsid w:val="009B6B3C"/>
    <w:rsid w:val="009C0316"/>
    <w:rsid w:val="009D0D7F"/>
    <w:rsid w:val="009D1D48"/>
    <w:rsid w:val="009F2D72"/>
    <w:rsid w:val="009F50ED"/>
    <w:rsid w:val="00A00CE5"/>
    <w:rsid w:val="00A025EC"/>
    <w:rsid w:val="00A13C61"/>
    <w:rsid w:val="00A2591F"/>
    <w:rsid w:val="00A276B2"/>
    <w:rsid w:val="00A42B2D"/>
    <w:rsid w:val="00A43BBC"/>
    <w:rsid w:val="00A44020"/>
    <w:rsid w:val="00A475B2"/>
    <w:rsid w:val="00A670FC"/>
    <w:rsid w:val="00A710B1"/>
    <w:rsid w:val="00A71C29"/>
    <w:rsid w:val="00A8410E"/>
    <w:rsid w:val="00A85874"/>
    <w:rsid w:val="00A86D1C"/>
    <w:rsid w:val="00A90243"/>
    <w:rsid w:val="00A97E31"/>
    <w:rsid w:val="00AA0C9B"/>
    <w:rsid w:val="00AA6476"/>
    <w:rsid w:val="00AB2F20"/>
    <w:rsid w:val="00AC2373"/>
    <w:rsid w:val="00AC4C70"/>
    <w:rsid w:val="00AC7986"/>
    <w:rsid w:val="00AD3470"/>
    <w:rsid w:val="00AE3DA6"/>
    <w:rsid w:val="00AE47FD"/>
    <w:rsid w:val="00AE757C"/>
    <w:rsid w:val="00AF057E"/>
    <w:rsid w:val="00AF2F97"/>
    <w:rsid w:val="00AF39B1"/>
    <w:rsid w:val="00B166A0"/>
    <w:rsid w:val="00B17BBF"/>
    <w:rsid w:val="00B21163"/>
    <w:rsid w:val="00B4167E"/>
    <w:rsid w:val="00B42BD4"/>
    <w:rsid w:val="00B639F1"/>
    <w:rsid w:val="00B81B27"/>
    <w:rsid w:val="00B8595D"/>
    <w:rsid w:val="00B926B9"/>
    <w:rsid w:val="00B97259"/>
    <w:rsid w:val="00B97893"/>
    <w:rsid w:val="00BA34C9"/>
    <w:rsid w:val="00BB21A2"/>
    <w:rsid w:val="00BB3BAE"/>
    <w:rsid w:val="00BB4C1D"/>
    <w:rsid w:val="00BB5BDF"/>
    <w:rsid w:val="00BB636A"/>
    <w:rsid w:val="00BC5D9A"/>
    <w:rsid w:val="00BD0FF0"/>
    <w:rsid w:val="00BD172A"/>
    <w:rsid w:val="00BE2B36"/>
    <w:rsid w:val="00BF5D37"/>
    <w:rsid w:val="00BF67E9"/>
    <w:rsid w:val="00C01617"/>
    <w:rsid w:val="00C20D08"/>
    <w:rsid w:val="00C21D46"/>
    <w:rsid w:val="00C263C1"/>
    <w:rsid w:val="00C428B1"/>
    <w:rsid w:val="00C44A89"/>
    <w:rsid w:val="00C56CE3"/>
    <w:rsid w:val="00C577EE"/>
    <w:rsid w:val="00C615CF"/>
    <w:rsid w:val="00C625AC"/>
    <w:rsid w:val="00C631CE"/>
    <w:rsid w:val="00C65144"/>
    <w:rsid w:val="00C6571B"/>
    <w:rsid w:val="00C66CC7"/>
    <w:rsid w:val="00C67A1A"/>
    <w:rsid w:val="00C9486C"/>
    <w:rsid w:val="00CA617B"/>
    <w:rsid w:val="00CB2471"/>
    <w:rsid w:val="00CB4EEC"/>
    <w:rsid w:val="00CC2697"/>
    <w:rsid w:val="00CC7B07"/>
    <w:rsid w:val="00CD3561"/>
    <w:rsid w:val="00CE0B17"/>
    <w:rsid w:val="00CE4B0E"/>
    <w:rsid w:val="00CF1243"/>
    <w:rsid w:val="00CF2B37"/>
    <w:rsid w:val="00CF7108"/>
    <w:rsid w:val="00D10E57"/>
    <w:rsid w:val="00D125D6"/>
    <w:rsid w:val="00D221A3"/>
    <w:rsid w:val="00D22A00"/>
    <w:rsid w:val="00D242DC"/>
    <w:rsid w:val="00D337A4"/>
    <w:rsid w:val="00D37A90"/>
    <w:rsid w:val="00D41225"/>
    <w:rsid w:val="00D418DF"/>
    <w:rsid w:val="00D4551D"/>
    <w:rsid w:val="00D47AF3"/>
    <w:rsid w:val="00D54F09"/>
    <w:rsid w:val="00D63850"/>
    <w:rsid w:val="00D70841"/>
    <w:rsid w:val="00D933F6"/>
    <w:rsid w:val="00D95AC4"/>
    <w:rsid w:val="00DB12EA"/>
    <w:rsid w:val="00DD0103"/>
    <w:rsid w:val="00DD265B"/>
    <w:rsid w:val="00DD4C2B"/>
    <w:rsid w:val="00DD4C2C"/>
    <w:rsid w:val="00DE4BE8"/>
    <w:rsid w:val="00DE4C01"/>
    <w:rsid w:val="00E01EEE"/>
    <w:rsid w:val="00E07E36"/>
    <w:rsid w:val="00E1301E"/>
    <w:rsid w:val="00E13D34"/>
    <w:rsid w:val="00E15E15"/>
    <w:rsid w:val="00E22D65"/>
    <w:rsid w:val="00E23299"/>
    <w:rsid w:val="00E25124"/>
    <w:rsid w:val="00E26BBD"/>
    <w:rsid w:val="00E3130B"/>
    <w:rsid w:val="00E425E4"/>
    <w:rsid w:val="00E44FF6"/>
    <w:rsid w:val="00E52682"/>
    <w:rsid w:val="00E54475"/>
    <w:rsid w:val="00E603C7"/>
    <w:rsid w:val="00E627DF"/>
    <w:rsid w:val="00E67E96"/>
    <w:rsid w:val="00E716DE"/>
    <w:rsid w:val="00E84A99"/>
    <w:rsid w:val="00E865CB"/>
    <w:rsid w:val="00E93817"/>
    <w:rsid w:val="00E95087"/>
    <w:rsid w:val="00E97C59"/>
    <w:rsid w:val="00EA0678"/>
    <w:rsid w:val="00EA485E"/>
    <w:rsid w:val="00EA5793"/>
    <w:rsid w:val="00EB0B1F"/>
    <w:rsid w:val="00EB2848"/>
    <w:rsid w:val="00EB4F3E"/>
    <w:rsid w:val="00EB67AF"/>
    <w:rsid w:val="00EC588C"/>
    <w:rsid w:val="00EC64C5"/>
    <w:rsid w:val="00ED0F57"/>
    <w:rsid w:val="00ED71F7"/>
    <w:rsid w:val="00EE2043"/>
    <w:rsid w:val="00EE52EE"/>
    <w:rsid w:val="00EF0CF1"/>
    <w:rsid w:val="00EF113A"/>
    <w:rsid w:val="00EF6CF6"/>
    <w:rsid w:val="00F076C4"/>
    <w:rsid w:val="00F272C0"/>
    <w:rsid w:val="00F515D2"/>
    <w:rsid w:val="00F53F85"/>
    <w:rsid w:val="00F57D9C"/>
    <w:rsid w:val="00F63E7D"/>
    <w:rsid w:val="00F70038"/>
    <w:rsid w:val="00F70E97"/>
    <w:rsid w:val="00F715B7"/>
    <w:rsid w:val="00F7225A"/>
    <w:rsid w:val="00F76886"/>
    <w:rsid w:val="00F90323"/>
    <w:rsid w:val="00F918CF"/>
    <w:rsid w:val="00F95430"/>
    <w:rsid w:val="00FC1BD5"/>
    <w:rsid w:val="00FC4FED"/>
    <w:rsid w:val="00FC581C"/>
    <w:rsid w:val="00FD52AF"/>
    <w:rsid w:val="00FE35E4"/>
    <w:rsid w:val="00FF0BA3"/>
    <w:rsid w:val="00FF4A3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486C"/>
    <w:pPr>
      <w:spacing w:after="0" w:line="240" w:lineRule="auto"/>
    </w:pPr>
    <w:rPr>
      <w:rFonts w:ascii="Times New Roman" w:eastAsia="Times New Roman" w:hAnsi="Times New Roman" w:cs="Times New Roman"/>
      <w:szCs w:val="20"/>
    </w:rPr>
  </w:style>
  <w:style w:type="paragraph" w:styleId="berschrift1">
    <w:name w:val="heading 1"/>
    <w:basedOn w:val="Standard"/>
    <w:next w:val="Standard"/>
    <w:link w:val="berschrift1Zchn"/>
    <w:qFormat/>
    <w:rsid w:val="00C9486C"/>
    <w:pPr>
      <w:keepNext/>
      <w:outlineLvl w:val="0"/>
    </w:pPr>
    <w:rPr>
      <w:rFonts w:ascii="Arial" w:hAnsi="Arial"/>
      <w:b/>
    </w:rPr>
  </w:style>
  <w:style w:type="paragraph" w:styleId="berschrift2">
    <w:name w:val="heading 2"/>
    <w:basedOn w:val="Standard"/>
    <w:next w:val="Standard"/>
    <w:link w:val="berschrift2Zchn"/>
    <w:uiPriority w:val="9"/>
    <w:semiHidden/>
    <w:unhideWhenUsed/>
    <w:qFormat/>
    <w:rsid w:val="008348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unhideWhenUsed/>
    <w:rsid w:val="00C9486C"/>
    <w:pPr>
      <w:framePr w:w="4319" w:h="2160" w:hRule="exact" w:hSpace="141" w:wrap="auto" w:vAnchor="page" w:hAnchor="page" w:x="5761" w:y="3119"/>
    </w:pPr>
    <w:rPr>
      <w:rFonts w:asciiTheme="majorHAnsi" w:eastAsiaTheme="majorEastAsia" w:hAnsiTheme="majorHAnsi" w:cstheme="majorBidi"/>
      <w:sz w:val="24"/>
      <w:szCs w:val="24"/>
    </w:rPr>
  </w:style>
  <w:style w:type="paragraph" w:styleId="Umschlagabsenderadresse">
    <w:name w:val="envelope return"/>
    <w:basedOn w:val="Standard"/>
    <w:uiPriority w:val="99"/>
    <w:unhideWhenUsed/>
    <w:rsid w:val="00C9486C"/>
    <w:pPr>
      <w:framePr w:w="4320" w:h="2160" w:hRule="exact" w:hSpace="141" w:wrap="auto" w:vAnchor="page" w:hAnchor="page" w:x="721" w:y="1201"/>
    </w:pPr>
    <w:rPr>
      <w:rFonts w:asciiTheme="majorHAnsi" w:eastAsiaTheme="majorEastAsia" w:hAnsiTheme="majorHAnsi" w:cstheme="majorBidi"/>
      <w:sz w:val="20"/>
    </w:rPr>
  </w:style>
  <w:style w:type="paragraph" w:styleId="Kopfzeile">
    <w:name w:val="header"/>
    <w:basedOn w:val="Standard"/>
    <w:link w:val="KopfzeileZchn"/>
    <w:unhideWhenUsed/>
    <w:rsid w:val="00C9486C"/>
    <w:pPr>
      <w:tabs>
        <w:tab w:val="center" w:pos="4536"/>
        <w:tab w:val="right" w:pos="9072"/>
      </w:tabs>
    </w:pPr>
    <w:rPr>
      <w:rFonts w:asciiTheme="minorHAnsi" w:eastAsiaTheme="minorHAnsi" w:hAnsiTheme="minorHAnsi" w:cstheme="minorBidi"/>
      <w:szCs w:val="22"/>
    </w:rPr>
  </w:style>
  <w:style w:type="character" w:customStyle="1" w:styleId="KopfzeileZchn">
    <w:name w:val="Kopfzeile Zchn"/>
    <w:basedOn w:val="Absatz-Standardschriftart"/>
    <w:link w:val="Kopfzeile"/>
    <w:uiPriority w:val="99"/>
    <w:semiHidden/>
    <w:rsid w:val="00C9486C"/>
  </w:style>
  <w:style w:type="paragraph" w:styleId="Fuzeile">
    <w:name w:val="footer"/>
    <w:basedOn w:val="Standard"/>
    <w:link w:val="FuzeileZchn"/>
    <w:unhideWhenUsed/>
    <w:rsid w:val="00C9486C"/>
    <w:pPr>
      <w:tabs>
        <w:tab w:val="center" w:pos="4536"/>
        <w:tab w:val="right" w:pos="9072"/>
      </w:tabs>
    </w:pPr>
    <w:rPr>
      <w:rFonts w:asciiTheme="minorHAnsi" w:eastAsiaTheme="minorHAnsi" w:hAnsiTheme="minorHAnsi" w:cstheme="minorBidi"/>
      <w:szCs w:val="22"/>
    </w:rPr>
  </w:style>
  <w:style w:type="character" w:customStyle="1" w:styleId="FuzeileZchn">
    <w:name w:val="Fußzeile Zchn"/>
    <w:basedOn w:val="Absatz-Standardschriftart"/>
    <w:link w:val="Fuzeile"/>
    <w:uiPriority w:val="99"/>
    <w:semiHidden/>
    <w:rsid w:val="00C9486C"/>
  </w:style>
  <w:style w:type="character" w:customStyle="1" w:styleId="berschrift1Zchn">
    <w:name w:val="Überschrift 1 Zchn"/>
    <w:basedOn w:val="Absatz-Standardschriftart"/>
    <w:link w:val="berschrift1"/>
    <w:rsid w:val="00C9486C"/>
    <w:rPr>
      <w:rFonts w:ascii="Arial" w:eastAsia="Times New Roman" w:hAnsi="Arial" w:cs="Times New Roman"/>
      <w:b/>
      <w:szCs w:val="20"/>
      <w:lang w:val="en-GB" w:eastAsia="en-GB"/>
    </w:rPr>
  </w:style>
  <w:style w:type="character" w:styleId="Seitenzahl">
    <w:name w:val="page number"/>
    <w:basedOn w:val="Absatz-Standardschriftart"/>
    <w:rsid w:val="00C9486C"/>
  </w:style>
  <w:style w:type="paragraph" w:customStyle="1" w:styleId="Fuzeile1">
    <w:name w:val="Fußzeile1"/>
    <w:basedOn w:val="Fuzeile"/>
    <w:rsid w:val="00C9486C"/>
    <w:rPr>
      <w:rFonts w:ascii="Verdana" w:eastAsia="Times New Roman" w:hAnsi="Verdana" w:cs="Times New Roman"/>
      <w:sz w:val="14"/>
      <w:szCs w:val="14"/>
    </w:rPr>
  </w:style>
  <w:style w:type="character" w:styleId="Hyperlink">
    <w:name w:val="Hyperlink"/>
    <w:basedOn w:val="Absatz-Standardschriftart"/>
    <w:rsid w:val="00773F54"/>
    <w:rPr>
      <w:color w:val="0000FF"/>
      <w:u w:val="single"/>
    </w:rPr>
  </w:style>
  <w:style w:type="paragraph" w:styleId="StandardWeb">
    <w:name w:val="Normal (Web)"/>
    <w:basedOn w:val="Standard"/>
    <w:uiPriority w:val="99"/>
    <w:rsid w:val="00E23299"/>
    <w:pPr>
      <w:spacing w:before="100" w:beforeAutospacing="1" w:after="100" w:afterAutospacing="1"/>
    </w:pPr>
    <w:rPr>
      <w:sz w:val="24"/>
      <w:szCs w:val="24"/>
    </w:rPr>
  </w:style>
  <w:style w:type="paragraph" w:customStyle="1" w:styleId="ecxmsonormal">
    <w:name w:val="ecxmsonormal"/>
    <w:basedOn w:val="Standard"/>
    <w:rsid w:val="00572860"/>
    <w:pPr>
      <w:spacing w:after="324"/>
    </w:pPr>
    <w:rPr>
      <w:sz w:val="24"/>
      <w:szCs w:val="24"/>
    </w:rPr>
  </w:style>
  <w:style w:type="table" w:styleId="Tabellengitternetz">
    <w:name w:val="Table Grid"/>
    <w:basedOn w:val="NormaleTabelle"/>
    <w:rsid w:val="00913F45"/>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erschrift2Zchn">
    <w:name w:val="Überschrift 2 Zchn"/>
    <w:basedOn w:val="Absatz-Standardschriftart"/>
    <w:link w:val="berschrift2"/>
    <w:uiPriority w:val="9"/>
    <w:semiHidden/>
    <w:rsid w:val="008348AA"/>
    <w:rPr>
      <w:rFonts w:asciiTheme="majorHAnsi" w:eastAsiaTheme="majorEastAsia" w:hAnsiTheme="majorHAnsi" w:cstheme="majorBidi"/>
      <w:b/>
      <w:bCs/>
      <w:color w:val="4F81BD" w:themeColor="accent1"/>
      <w:sz w:val="26"/>
      <w:szCs w:val="26"/>
      <w:lang w:val="en-GB" w:eastAsia="en-GB"/>
    </w:rPr>
  </w:style>
  <w:style w:type="paragraph" w:customStyle="1" w:styleId="FormatvorlageZeilenabstand15Zeilen">
    <w:name w:val="Formatvorlage Zeilenabstand:  15 Zeilen"/>
    <w:basedOn w:val="Standard"/>
    <w:rsid w:val="008348AA"/>
    <w:pPr>
      <w:spacing w:line="360" w:lineRule="auto"/>
    </w:pPr>
    <w:rPr>
      <w:rFonts w:ascii="Verdana" w:hAnsi="Verdana"/>
      <w:sz w:val="16"/>
      <w:szCs w:val="16"/>
    </w:rPr>
  </w:style>
  <w:style w:type="character" w:styleId="Kommentarzeichen">
    <w:name w:val="annotation reference"/>
    <w:basedOn w:val="Absatz-Standardschriftart"/>
    <w:uiPriority w:val="99"/>
    <w:semiHidden/>
    <w:unhideWhenUsed/>
    <w:rsid w:val="00B17BBF"/>
    <w:rPr>
      <w:sz w:val="16"/>
      <w:szCs w:val="16"/>
    </w:rPr>
  </w:style>
  <w:style w:type="paragraph" w:styleId="Kommentartext">
    <w:name w:val="annotation text"/>
    <w:basedOn w:val="Standard"/>
    <w:link w:val="KommentartextZchn"/>
    <w:uiPriority w:val="99"/>
    <w:semiHidden/>
    <w:unhideWhenUsed/>
    <w:rsid w:val="00B17BBF"/>
    <w:rPr>
      <w:sz w:val="20"/>
    </w:rPr>
  </w:style>
  <w:style w:type="character" w:customStyle="1" w:styleId="KommentartextZchn">
    <w:name w:val="Kommentartext Zchn"/>
    <w:basedOn w:val="Absatz-Standardschriftart"/>
    <w:link w:val="Kommentartext"/>
    <w:uiPriority w:val="99"/>
    <w:semiHidden/>
    <w:rsid w:val="00B17BBF"/>
    <w:rPr>
      <w:rFonts w:ascii="Times New Roman" w:eastAsia="Times New Roman" w:hAnsi="Times New Roman" w:cs="Times New Roman"/>
      <w:sz w:val="20"/>
      <w:szCs w:val="20"/>
      <w:lang w:val="en-GB" w:eastAsia="en-GB"/>
    </w:rPr>
  </w:style>
  <w:style w:type="paragraph" w:styleId="Kommentarthema">
    <w:name w:val="annotation subject"/>
    <w:basedOn w:val="Kommentartext"/>
    <w:next w:val="Kommentartext"/>
    <w:link w:val="KommentarthemaZchn"/>
    <w:uiPriority w:val="99"/>
    <w:semiHidden/>
    <w:unhideWhenUsed/>
    <w:rsid w:val="00B17BBF"/>
    <w:rPr>
      <w:b/>
      <w:bCs/>
    </w:rPr>
  </w:style>
  <w:style w:type="character" w:customStyle="1" w:styleId="KommentarthemaZchn">
    <w:name w:val="Kommentarthema Zchn"/>
    <w:basedOn w:val="KommentartextZchn"/>
    <w:link w:val="Kommentarthema"/>
    <w:uiPriority w:val="99"/>
    <w:semiHidden/>
    <w:rsid w:val="00B17BBF"/>
    <w:rPr>
      <w:rFonts w:ascii="Times New Roman" w:eastAsia="Times New Roman" w:hAnsi="Times New Roman" w:cs="Times New Roman"/>
      <w:b/>
      <w:bCs/>
      <w:sz w:val="20"/>
      <w:szCs w:val="20"/>
      <w:lang w:val="en-GB" w:eastAsia="en-GB"/>
    </w:rPr>
  </w:style>
  <w:style w:type="paragraph" w:styleId="Sprechblasentext">
    <w:name w:val="Balloon Text"/>
    <w:basedOn w:val="Standard"/>
    <w:link w:val="SprechblasentextZchn"/>
    <w:uiPriority w:val="99"/>
    <w:semiHidden/>
    <w:unhideWhenUsed/>
    <w:rsid w:val="00B17BB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7BBF"/>
    <w:rPr>
      <w:rFonts w:ascii="Tahoma" w:eastAsia="Times New Roman" w:hAnsi="Tahoma" w:cs="Tahoma"/>
      <w:sz w:val="16"/>
      <w:szCs w:val="16"/>
      <w:lang w:val="en-GB" w:eastAsia="en-GB"/>
    </w:rPr>
  </w:style>
  <w:style w:type="paragraph" w:customStyle="1" w:styleId="TableText">
    <w:name w:val="TableText"/>
    <w:basedOn w:val="Standard"/>
    <w:uiPriority w:val="99"/>
    <w:rsid w:val="00D933F6"/>
    <w:pPr>
      <w:spacing w:line="270" w:lineRule="atLeast"/>
    </w:pPr>
    <w:rPr>
      <w:rFonts w:ascii="Arial" w:eastAsia="MS ??" w:hAnsi="Arial" w:cs="Arial"/>
      <w:sz w:val="20"/>
    </w:rPr>
  </w:style>
  <w:style w:type="paragraph" w:styleId="Listenabsatz">
    <w:name w:val="List Paragraph"/>
    <w:basedOn w:val="Standard"/>
    <w:uiPriority w:val="34"/>
    <w:qFormat/>
    <w:rsid w:val="007A739C"/>
    <w:pPr>
      <w:spacing w:after="160" w:line="259" w:lineRule="auto"/>
      <w:ind w:left="720"/>
      <w:contextualSpacing/>
    </w:pPr>
    <w:rPr>
      <w:rFonts w:asciiTheme="minorHAnsi" w:eastAsiaTheme="minorHAnsi" w:hAnsiTheme="minorHAnsi" w:cstheme="minorBidi"/>
      <w:szCs w:val="22"/>
      <w:lang w:val="de-DE" w:eastAsia="en-US" w:bidi="ar-SA"/>
    </w:rPr>
  </w:style>
  <w:style w:type="character" w:customStyle="1" w:styleId="apple-converted-space">
    <w:name w:val="apple-converted-space"/>
    <w:basedOn w:val="Absatz-Standardschriftart"/>
    <w:rsid w:val="00682A32"/>
  </w:style>
  <w:style w:type="paragraph" w:styleId="Titel">
    <w:name w:val="Title"/>
    <w:basedOn w:val="Standard"/>
    <w:next w:val="Standard"/>
    <w:link w:val="TitelZchn"/>
    <w:uiPriority w:val="99"/>
    <w:qFormat/>
    <w:rsid w:val="00A276B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A276B2"/>
    <w:rPr>
      <w:rFonts w:asciiTheme="majorHAnsi" w:eastAsiaTheme="majorEastAsia" w:hAnsiTheme="majorHAnsi" w:cstheme="majorBidi"/>
      <w:color w:val="17365D" w:themeColor="text2" w:themeShade="BF"/>
      <w:spacing w:val="5"/>
      <w:kern w:val="28"/>
      <w:sz w:val="52"/>
      <w:szCs w:val="52"/>
    </w:rPr>
  </w:style>
  <w:style w:type="paragraph" w:customStyle="1" w:styleId="p1">
    <w:name w:val="p1"/>
    <w:basedOn w:val="Standard"/>
    <w:rsid w:val="008C0FCC"/>
    <w:rPr>
      <w:rFonts w:ascii="Times" w:eastAsiaTheme="minorHAnsi" w:hAnsi="Times"/>
      <w:sz w:val="18"/>
      <w:szCs w:val="18"/>
      <w:lang w:bidi="ar-SA"/>
    </w:rPr>
  </w:style>
  <w:style w:type="character" w:customStyle="1" w:styleId="s1">
    <w:name w:val="s1"/>
    <w:basedOn w:val="Absatz-Standardschriftart"/>
    <w:rsid w:val="008C0FCC"/>
  </w:style>
</w:styles>
</file>

<file path=word/webSettings.xml><?xml version="1.0" encoding="utf-8"?>
<w:webSettings xmlns:r="http://schemas.openxmlformats.org/officeDocument/2006/relationships" xmlns:w="http://schemas.openxmlformats.org/wordprocessingml/2006/main">
  <w:divs>
    <w:div w:id="609356632">
      <w:bodyDiv w:val="1"/>
      <w:marLeft w:val="0"/>
      <w:marRight w:val="0"/>
      <w:marTop w:val="0"/>
      <w:marBottom w:val="0"/>
      <w:divBdr>
        <w:top w:val="none" w:sz="0" w:space="0" w:color="auto"/>
        <w:left w:val="none" w:sz="0" w:space="0" w:color="auto"/>
        <w:bottom w:val="none" w:sz="0" w:space="0" w:color="auto"/>
        <w:right w:val="none" w:sz="0" w:space="0" w:color="auto"/>
      </w:divBdr>
    </w:div>
    <w:div w:id="872882094">
      <w:bodyDiv w:val="1"/>
      <w:marLeft w:val="0"/>
      <w:marRight w:val="0"/>
      <w:marTop w:val="0"/>
      <w:marBottom w:val="0"/>
      <w:divBdr>
        <w:top w:val="none" w:sz="0" w:space="0" w:color="auto"/>
        <w:left w:val="none" w:sz="0" w:space="0" w:color="auto"/>
        <w:bottom w:val="none" w:sz="0" w:space="0" w:color="auto"/>
        <w:right w:val="none" w:sz="0" w:space="0" w:color="auto"/>
      </w:divBdr>
    </w:div>
    <w:div w:id="138177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roodmicrotec.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oodmicrotec.com" TargetMode="External"/><Relationship Id="rId4" Type="http://schemas.openxmlformats.org/officeDocument/2006/relationships/settings" Target="settings.xml"/><Relationship Id="rId9" Type="http://schemas.openxmlformats.org/officeDocument/2006/relationships/hyperlink" Target="mailto:investor-relations@roodmicrotec.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EB3E8-ED63-4F30-A21A-3C45AA50A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778</Words>
  <Characters>4904</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RoodMicrotec</Company>
  <LinksUpToDate>false</LinksUpToDate>
  <CharactersWithSpaces>5671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bayerle@BAYERLE-PC1</dc:creator>
  <cp:lastModifiedBy>bayerle@BAYERLE1-PC</cp:lastModifiedBy>
  <cp:revision>2</cp:revision>
  <cp:lastPrinted>2017-01-09T16:42:00Z</cp:lastPrinted>
  <dcterms:created xsi:type="dcterms:W3CDTF">2017-01-10T05:52:00Z</dcterms:created>
  <dcterms:modified xsi:type="dcterms:W3CDTF">2017-01-10T05:52:00Z</dcterms:modified>
</cp:coreProperties>
</file>