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3C05A3" w:rsidRDefault="00773F54" w:rsidP="0064523D">
      <w:pPr>
        <w:pStyle w:val="berschrift1"/>
        <w:rPr>
          <w:rFonts w:ascii="Verdana" w:hAnsi="Verdana" w:cs="Arial"/>
          <w:color w:val="B71234"/>
          <w:sz w:val="28"/>
          <w:szCs w:val="28"/>
        </w:rPr>
      </w:pPr>
      <w:r w:rsidRPr="003C05A3">
        <w:rPr>
          <w:rFonts w:ascii="Verdana" w:hAnsi="Verdana"/>
          <w:color w:val="B71234"/>
          <w:sz w:val="28"/>
          <w:szCs w:val="28"/>
        </w:rPr>
        <w:t xml:space="preserve">PRESS RELEASE </w:t>
      </w:r>
    </w:p>
    <w:p w:rsidR="0021516E" w:rsidRDefault="0021516E">
      <w:pPr>
        <w:spacing w:line="276" w:lineRule="auto"/>
        <w:rPr>
          <w:rFonts w:ascii="Verdana" w:hAnsi="Verdana" w:cs="Arial"/>
          <w:sz w:val="20"/>
        </w:rPr>
      </w:pPr>
    </w:p>
    <w:p w:rsidR="0021516E" w:rsidRDefault="0021516E">
      <w:pPr>
        <w:autoSpaceDE w:val="0"/>
        <w:autoSpaceDN w:val="0"/>
        <w:adjustRightInd w:val="0"/>
        <w:spacing w:line="276" w:lineRule="auto"/>
        <w:rPr>
          <w:rFonts w:ascii="Verdana" w:hAnsi="Verdana"/>
          <w:sz w:val="20"/>
        </w:rPr>
      </w:pPr>
    </w:p>
    <w:p w:rsidR="0021516E" w:rsidRDefault="0021516E">
      <w:pPr>
        <w:autoSpaceDE w:val="0"/>
        <w:autoSpaceDN w:val="0"/>
        <w:adjustRightInd w:val="0"/>
        <w:spacing w:line="276" w:lineRule="auto"/>
        <w:rPr>
          <w:rFonts w:ascii="Verdana" w:hAnsi="Verdana"/>
          <w:sz w:val="20"/>
        </w:rPr>
      </w:pPr>
    </w:p>
    <w:p w:rsidR="0021516E" w:rsidRDefault="0021516E">
      <w:pPr>
        <w:autoSpaceDE w:val="0"/>
        <w:autoSpaceDN w:val="0"/>
        <w:adjustRightInd w:val="0"/>
        <w:spacing w:line="276" w:lineRule="auto"/>
        <w:rPr>
          <w:rFonts w:ascii="Verdana" w:hAnsi="Verdana"/>
          <w:sz w:val="20"/>
        </w:rPr>
      </w:pPr>
    </w:p>
    <w:p w:rsidR="0021516E" w:rsidRDefault="0021516E">
      <w:pPr>
        <w:spacing w:line="276" w:lineRule="auto"/>
        <w:rPr>
          <w:rFonts w:ascii="Verdana" w:hAnsi="Verdana" w:cs="Arial"/>
          <w:sz w:val="20"/>
        </w:rPr>
      </w:pPr>
    </w:p>
    <w:p w:rsidR="0021516E" w:rsidRDefault="00BC5D9A">
      <w:pPr>
        <w:spacing w:line="276" w:lineRule="auto"/>
        <w:rPr>
          <w:rFonts w:ascii="Verdana" w:hAnsi="Verdana"/>
          <w:sz w:val="20"/>
        </w:rPr>
      </w:pPr>
      <w:r w:rsidRPr="00884E98">
        <w:rPr>
          <w:rFonts w:ascii="Verdana" w:hAnsi="Verdana"/>
          <w:sz w:val="20"/>
        </w:rPr>
        <w:t>Zwolle,</w:t>
      </w:r>
      <w:r w:rsidR="00C9486C" w:rsidRPr="00884E98">
        <w:rPr>
          <w:rFonts w:ascii="Verdana" w:hAnsi="Verdana"/>
          <w:sz w:val="20"/>
        </w:rPr>
        <w:t xml:space="preserve"> </w:t>
      </w:r>
      <w:r w:rsidR="005A27D1" w:rsidRPr="00884E98">
        <w:rPr>
          <w:rFonts w:ascii="Verdana" w:hAnsi="Verdana"/>
          <w:sz w:val="20"/>
        </w:rPr>
        <w:t>March</w:t>
      </w:r>
      <w:r w:rsidR="001C5A92" w:rsidRPr="00884E98">
        <w:rPr>
          <w:rFonts w:ascii="Verdana" w:hAnsi="Verdana"/>
          <w:sz w:val="20"/>
        </w:rPr>
        <w:t xml:space="preserve"> 9</w:t>
      </w:r>
      <w:r w:rsidR="00282285" w:rsidRPr="00282285">
        <w:rPr>
          <w:rFonts w:ascii="Verdana" w:hAnsi="Verdana"/>
          <w:sz w:val="20"/>
          <w:vertAlign w:val="superscript"/>
        </w:rPr>
        <w:t>th</w:t>
      </w:r>
      <w:r w:rsidR="001C5A92" w:rsidRPr="00884E98">
        <w:rPr>
          <w:rFonts w:ascii="Verdana" w:hAnsi="Verdana"/>
          <w:sz w:val="20"/>
        </w:rPr>
        <w:t xml:space="preserve"> 2017</w:t>
      </w:r>
    </w:p>
    <w:p w:rsidR="0021516E" w:rsidRDefault="0021516E">
      <w:pPr>
        <w:autoSpaceDE w:val="0"/>
        <w:autoSpaceDN w:val="0"/>
        <w:adjustRightInd w:val="0"/>
        <w:spacing w:line="276" w:lineRule="auto"/>
        <w:rPr>
          <w:rFonts w:ascii="Verdana" w:hAnsi="Verdana"/>
          <w:sz w:val="20"/>
        </w:rPr>
      </w:pPr>
    </w:p>
    <w:p w:rsidR="0021516E" w:rsidRDefault="0021516E">
      <w:pPr>
        <w:autoSpaceDE w:val="0"/>
        <w:autoSpaceDN w:val="0"/>
        <w:adjustRightInd w:val="0"/>
        <w:spacing w:line="276" w:lineRule="auto"/>
        <w:rPr>
          <w:rFonts w:ascii="Verdana" w:hAnsi="Verdana"/>
          <w:sz w:val="20"/>
        </w:rPr>
      </w:pPr>
    </w:p>
    <w:p w:rsidR="00572860" w:rsidRPr="004C4970" w:rsidRDefault="00572860" w:rsidP="0064523D">
      <w:pPr>
        <w:spacing w:line="276" w:lineRule="auto"/>
        <w:rPr>
          <w:rFonts w:ascii="Verdana" w:hAnsi="Verdana"/>
          <w:b/>
          <w:color w:val="B71234"/>
          <w:sz w:val="28"/>
          <w:szCs w:val="28"/>
        </w:rPr>
      </w:pPr>
      <w:proofErr w:type="spellStart"/>
      <w:r w:rsidRPr="004C4970">
        <w:rPr>
          <w:rFonts w:ascii="Verdana" w:hAnsi="Verdana"/>
          <w:b/>
          <w:color w:val="B71234"/>
          <w:sz w:val="28"/>
          <w:szCs w:val="28"/>
        </w:rPr>
        <w:t>RoodMicrotec</w:t>
      </w:r>
      <w:proofErr w:type="spellEnd"/>
      <w:r w:rsidR="00364CDC" w:rsidRPr="004C4970">
        <w:rPr>
          <w:rFonts w:ascii="Verdana" w:hAnsi="Verdana"/>
          <w:b/>
          <w:color w:val="B71234"/>
          <w:sz w:val="28"/>
          <w:szCs w:val="28"/>
        </w:rPr>
        <w:t xml:space="preserve"> </w:t>
      </w:r>
      <w:r w:rsidR="004C4970">
        <w:rPr>
          <w:rFonts w:ascii="Verdana" w:hAnsi="Verdana"/>
          <w:b/>
          <w:color w:val="B71234"/>
          <w:sz w:val="28"/>
          <w:szCs w:val="28"/>
        </w:rPr>
        <w:t>reports</w:t>
      </w:r>
      <w:r w:rsidR="004C4970" w:rsidRPr="004C4970">
        <w:rPr>
          <w:rFonts w:ascii="Verdana" w:hAnsi="Verdana"/>
          <w:b/>
          <w:color w:val="B71234"/>
          <w:sz w:val="28"/>
          <w:szCs w:val="28"/>
        </w:rPr>
        <w:t xml:space="preserve"> </w:t>
      </w:r>
      <w:r w:rsidR="00F37FA9" w:rsidRPr="004C4970">
        <w:rPr>
          <w:rFonts w:ascii="Verdana" w:hAnsi="Verdana"/>
          <w:b/>
          <w:color w:val="B71234"/>
          <w:sz w:val="28"/>
          <w:szCs w:val="28"/>
        </w:rPr>
        <w:t>20%</w:t>
      </w:r>
      <w:r w:rsidR="00396A56" w:rsidRPr="004C4970">
        <w:rPr>
          <w:rFonts w:ascii="Verdana" w:hAnsi="Verdana"/>
          <w:b/>
          <w:color w:val="B71234"/>
          <w:sz w:val="28"/>
          <w:szCs w:val="28"/>
        </w:rPr>
        <w:t xml:space="preserve"> increase in </w:t>
      </w:r>
      <w:r w:rsidR="00F37FA9" w:rsidRPr="004C4970">
        <w:rPr>
          <w:rFonts w:ascii="Verdana" w:hAnsi="Verdana"/>
          <w:b/>
          <w:color w:val="B71234"/>
          <w:sz w:val="28"/>
          <w:szCs w:val="28"/>
        </w:rPr>
        <w:t>sales orders</w:t>
      </w:r>
      <w:r w:rsidR="00364CDC" w:rsidRPr="004C4970">
        <w:rPr>
          <w:rFonts w:ascii="Verdana" w:hAnsi="Verdana"/>
          <w:b/>
          <w:color w:val="B71234"/>
          <w:sz w:val="28"/>
          <w:szCs w:val="28"/>
        </w:rPr>
        <w:t xml:space="preserve"> in</w:t>
      </w:r>
      <w:r w:rsidR="005C1D1F" w:rsidRPr="004C4970">
        <w:rPr>
          <w:rFonts w:ascii="Verdana" w:hAnsi="Verdana"/>
          <w:b/>
          <w:color w:val="B71234"/>
          <w:sz w:val="28"/>
          <w:szCs w:val="28"/>
        </w:rPr>
        <w:t xml:space="preserve"> 2016</w:t>
      </w:r>
    </w:p>
    <w:p w:rsidR="003152A8" w:rsidRPr="00884E98" w:rsidRDefault="003152A8" w:rsidP="0064523D">
      <w:pPr>
        <w:spacing w:line="276" w:lineRule="auto"/>
        <w:rPr>
          <w:rFonts w:ascii="Verdana" w:hAnsi="Verdana" w:cs="Arial"/>
          <w:sz w:val="20"/>
        </w:rPr>
      </w:pPr>
    </w:p>
    <w:p w:rsidR="00E94AC2" w:rsidRPr="00884E98" w:rsidRDefault="00282285" w:rsidP="0064523D">
      <w:pPr>
        <w:spacing w:line="276" w:lineRule="auto"/>
        <w:rPr>
          <w:rFonts w:ascii="Verdana" w:hAnsi="Verdana" w:cs="Silom"/>
          <w:sz w:val="20"/>
          <w:lang w:eastAsia="zh-CN" w:bidi="ar-SA"/>
        </w:rPr>
      </w:pPr>
      <w:bookmarkStart w:id="0" w:name="_Toc254768887"/>
      <w:bookmarkStart w:id="1" w:name="_Toc254769027"/>
      <w:bookmarkStart w:id="2" w:name="_Toc254769046"/>
      <w:proofErr w:type="spellStart"/>
      <w:r w:rsidRPr="00282285">
        <w:rPr>
          <w:rFonts w:ascii="Verdana" w:hAnsi="Verdana"/>
          <w:color w:val="C00000"/>
          <w:sz w:val="20"/>
        </w:rPr>
        <w:t>Rood</w:t>
      </w:r>
      <w:r w:rsidR="009031F8" w:rsidRPr="00884E98">
        <w:rPr>
          <w:rFonts w:ascii="Verdana" w:hAnsi="Verdana" w:cs="Silom"/>
          <w:sz w:val="20"/>
          <w:lang w:eastAsia="zh-CN" w:bidi="ar-SA"/>
        </w:rPr>
        <w:t>Microtec</w:t>
      </w:r>
      <w:proofErr w:type="spellEnd"/>
      <w:r w:rsidR="009031F8" w:rsidRPr="00884E98">
        <w:rPr>
          <w:rFonts w:ascii="Verdana" w:hAnsi="Verdana" w:cs="Silom"/>
          <w:sz w:val="20"/>
          <w:lang w:eastAsia="zh-CN" w:bidi="ar-SA"/>
        </w:rPr>
        <w:t>, the Dutch supplier of semiconductors and advanced microchips,</w:t>
      </w:r>
      <w:r w:rsidR="00887178" w:rsidRPr="00884E98">
        <w:rPr>
          <w:rFonts w:ascii="Verdana" w:hAnsi="Verdana" w:cs="Silom"/>
          <w:sz w:val="20"/>
          <w:lang w:eastAsia="zh-CN" w:bidi="ar-SA"/>
        </w:rPr>
        <w:t xml:space="preserve"> </w:t>
      </w:r>
      <w:r w:rsidR="008D4C0B" w:rsidRPr="00884E98">
        <w:rPr>
          <w:rFonts w:ascii="Verdana" w:hAnsi="Verdana" w:cs="Silom"/>
          <w:sz w:val="20"/>
          <w:lang w:eastAsia="zh-CN" w:bidi="ar-SA"/>
        </w:rPr>
        <w:t>saw</w:t>
      </w:r>
      <w:r w:rsidR="007208AC" w:rsidRPr="00884E98">
        <w:rPr>
          <w:rFonts w:ascii="Verdana" w:hAnsi="Verdana" w:cs="Silom"/>
          <w:sz w:val="20"/>
          <w:lang w:eastAsia="zh-CN" w:bidi="ar-SA"/>
        </w:rPr>
        <w:t xml:space="preserve"> a year-on-year increase</w:t>
      </w:r>
      <w:r w:rsidR="005A07B8" w:rsidRPr="00884E98">
        <w:rPr>
          <w:rFonts w:ascii="Verdana" w:hAnsi="Verdana" w:cs="Silom"/>
          <w:sz w:val="20"/>
          <w:lang w:eastAsia="zh-CN" w:bidi="ar-SA"/>
        </w:rPr>
        <w:t xml:space="preserve"> of 20%</w:t>
      </w:r>
      <w:r w:rsidR="007208AC" w:rsidRPr="00884E98">
        <w:rPr>
          <w:rFonts w:ascii="Verdana" w:hAnsi="Verdana" w:cs="Silom"/>
          <w:sz w:val="20"/>
          <w:lang w:eastAsia="zh-CN" w:bidi="ar-SA"/>
        </w:rPr>
        <w:t xml:space="preserve"> in 2016 </w:t>
      </w:r>
      <w:r w:rsidR="00F37FA9" w:rsidRPr="00884E98">
        <w:rPr>
          <w:rFonts w:ascii="Verdana" w:hAnsi="Verdana" w:cs="Silom"/>
          <w:sz w:val="20"/>
          <w:lang w:eastAsia="zh-CN" w:bidi="ar-SA"/>
        </w:rPr>
        <w:t>sales orders.</w:t>
      </w:r>
      <w:r w:rsidR="007208AC" w:rsidRPr="00884E98">
        <w:rPr>
          <w:rFonts w:ascii="Verdana" w:hAnsi="Verdana" w:cs="Silom"/>
          <w:sz w:val="20"/>
          <w:lang w:eastAsia="zh-CN" w:bidi="ar-SA"/>
        </w:rPr>
        <w:t xml:space="preserve"> </w:t>
      </w:r>
      <w:r w:rsidR="00E94AC2" w:rsidRPr="00884E98">
        <w:rPr>
          <w:rFonts w:ascii="Verdana" w:hAnsi="Verdana" w:cs="Silom"/>
          <w:sz w:val="20"/>
          <w:lang w:eastAsia="zh-CN" w:bidi="ar-SA"/>
        </w:rPr>
        <w:t xml:space="preserve">The company reported a </w:t>
      </w:r>
      <w:r w:rsidR="008D4C0B" w:rsidRPr="00884E98">
        <w:rPr>
          <w:rFonts w:ascii="Verdana" w:hAnsi="Verdana" w:cs="Silom"/>
          <w:sz w:val="20"/>
          <w:lang w:eastAsia="zh-CN" w:bidi="ar-SA"/>
        </w:rPr>
        <w:t xml:space="preserve">net loss </w:t>
      </w:r>
      <w:r w:rsidR="00E94AC2" w:rsidRPr="00884E98">
        <w:rPr>
          <w:rFonts w:ascii="Verdana" w:hAnsi="Verdana" w:cs="Silom"/>
          <w:sz w:val="20"/>
          <w:lang w:eastAsia="zh-CN" w:bidi="ar-SA"/>
        </w:rPr>
        <w:t xml:space="preserve">of </w:t>
      </w:r>
      <w:r w:rsidR="00B91433" w:rsidRPr="00884E98">
        <w:rPr>
          <w:rFonts w:ascii="Verdana" w:hAnsi="Verdana" w:cs="Silom"/>
          <w:sz w:val="20"/>
          <w:lang w:eastAsia="zh-CN" w:bidi="ar-SA"/>
        </w:rPr>
        <w:t>€</w:t>
      </w:r>
      <w:r w:rsidR="004455DC" w:rsidRPr="00884E98">
        <w:rPr>
          <w:rFonts w:ascii="Verdana" w:hAnsi="Verdana" w:cs="Silom"/>
          <w:sz w:val="20"/>
          <w:lang w:eastAsia="zh-CN" w:bidi="ar-SA"/>
        </w:rPr>
        <w:t>1.6</w:t>
      </w:r>
      <w:r w:rsidR="00E94AC2" w:rsidRPr="00884E98">
        <w:rPr>
          <w:rFonts w:ascii="Verdana" w:hAnsi="Verdana" w:cs="Silom"/>
          <w:sz w:val="20"/>
          <w:lang w:eastAsia="zh-CN" w:bidi="ar-SA"/>
        </w:rPr>
        <w:t xml:space="preserve"> million but maintain</w:t>
      </w:r>
      <w:r w:rsidR="007208AC" w:rsidRPr="00884E98">
        <w:rPr>
          <w:rFonts w:ascii="Verdana" w:hAnsi="Verdana" w:cs="Silom"/>
          <w:sz w:val="20"/>
          <w:lang w:eastAsia="zh-CN" w:bidi="ar-SA"/>
        </w:rPr>
        <w:t>s</w:t>
      </w:r>
      <w:r w:rsidR="00E94AC2" w:rsidRPr="00884E98">
        <w:rPr>
          <w:rFonts w:ascii="Verdana" w:hAnsi="Verdana" w:cs="Silom"/>
          <w:sz w:val="20"/>
          <w:lang w:eastAsia="zh-CN" w:bidi="ar-SA"/>
        </w:rPr>
        <w:t xml:space="preserve"> a positive outlook for</w:t>
      </w:r>
      <w:r w:rsidR="00C0780F" w:rsidRPr="00884E98">
        <w:rPr>
          <w:rFonts w:ascii="Verdana" w:hAnsi="Verdana" w:cs="Silom"/>
          <w:sz w:val="20"/>
          <w:lang w:eastAsia="zh-CN" w:bidi="ar-SA"/>
        </w:rPr>
        <w:t xml:space="preserve"> 2017</w:t>
      </w:r>
      <w:r w:rsidR="00E94AC2" w:rsidRPr="00884E98">
        <w:rPr>
          <w:rFonts w:ascii="Verdana" w:hAnsi="Verdana" w:cs="Silom"/>
          <w:sz w:val="20"/>
          <w:lang w:eastAsia="zh-CN" w:bidi="ar-SA"/>
        </w:rPr>
        <w:t xml:space="preserve"> based on its strong forward order book</w:t>
      </w:r>
      <w:r w:rsidR="00471454" w:rsidRPr="00884E98">
        <w:rPr>
          <w:rFonts w:ascii="Verdana" w:hAnsi="Verdana" w:cs="Silom"/>
          <w:sz w:val="20"/>
          <w:lang w:eastAsia="zh-CN" w:bidi="ar-SA"/>
        </w:rPr>
        <w:t>.</w:t>
      </w:r>
      <w:r w:rsidR="00603483" w:rsidRPr="00884E98">
        <w:rPr>
          <w:rFonts w:ascii="Verdana" w:hAnsi="Verdana" w:cs="Silom"/>
          <w:sz w:val="20"/>
          <w:lang w:eastAsia="zh-CN" w:bidi="ar-SA"/>
        </w:rPr>
        <w:t xml:space="preserve"> </w:t>
      </w:r>
      <w:r w:rsidR="00471454" w:rsidRPr="00884E98">
        <w:rPr>
          <w:rFonts w:ascii="Verdana" w:hAnsi="Verdana" w:cs="Silom"/>
          <w:sz w:val="20"/>
          <w:lang w:eastAsia="zh-CN" w:bidi="ar-SA"/>
        </w:rPr>
        <w:t xml:space="preserve">Actual sales growth </w:t>
      </w:r>
      <w:r w:rsidR="00603483" w:rsidRPr="00884E98">
        <w:rPr>
          <w:rFonts w:ascii="Verdana" w:hAnsi="Verdana" w:cs="Silom"/>
          <w:sz w:val="20"/>
          <w:lang w:eastAsia="zh-CN" w:bidi="ar-SA"/>
        </w:rPr>
        <w:t xml:space="preserve">year-on-year </w:t>
      </w:r>
      <w:r w:rsidR="00471454" w:rsidRPr="00884E98">
        <w:rPr>
          <w:rFonts w:ascii="Verdana" w:hAnsi="Verdana" w:cs="Silom"/>
          <w:sz w:val="20"/>
          <w:lang w:eastAsia="zh-CN" w:bidi="ar-SA"/>
        </w:rPr>
        <w:t xml:space="preserve">was stable at </w:t>
      </w:r>
      <w:r w:rsidR="00603483" w:rsidRPr="00884E98">
        <w:rPr>
          <w:rFonts w:ascii="Verdana" w:hAnsi="Verdana" w:cs="Silom"/>
          <w:sz w:val="20"/>
          <w:lang w:eastAsia="zh-CN" w:bidi="ar-SA"/>
        </w:rPr>
        <w:t>2</w:t>
      </w:r>
      <w:r w:rsidR="00471454" w:rsidRPr="00884E98">
        <w:rPr>
          <w:rFonts w:ascii="Verdana" w:hAnsi="Verdana" w:cs="Silom"/>
          <w:sz w:val="20"/>
          <w:lang w:eastAsia="zh-CN" w:bidi="ar-SA"/>
        </w:rPr>
        <w:t>%.</w:t>
      </w:r>
    </w:p>
    <w:p w:rsidR="00C0780F" w:rsidRPr="00884E98" w:rsidRDefault="00C0780F" w:rsidP="0064523D">
      <w:pPr>
        <w:spacing w:line="276" w:lineRule="auto"/>
        <w:rPr>
          <w:rFonts w:ascii="Verdana" w:hAnsi="Verdana" w:cs="Silom"/>
          <w:sz w:val="20"/>
          <w:lang w:eastAsia="zh-CN" w:bidi="ar-SA"/>
        </w:rPr>
      </w:pPr>
    </w:p>
    <w:p w:rsidR="00F37FA9" w:rsidRPr="00884E98" w:rsidRDefault="00282285" w:rsidP="0064523D">
      <w:pPr>
        <w:spacing w:line="276" w:lineRule="auto"/>
        <w:rPr>
          <w:rFonts w:ascii="Verdana" w:hAnsi="Verdana" w:cs="Silom"/>
          <w:sz w:val="20"/>
          <w:lang w:eastAsia="zh-CN" w:bidi="ar-SA"/>
        </w:rPr>
      </w:pPr>
      <w:proofErr w:type="spellStart"/>
      <w:r w:rsidRPr="00282285">
        <w:rPr>
          <w:rFonts w:ascii="Verdana" w:hAnsi="Verdana"/>
          <w:b/>
          <w:color w:val="C00000"/>
          <w:sz w:val="20"/>
        </w:rPr>
        <w:t>Rood</w:t>
      </w:r>
      <w:r w:rsidR="00005A77" w:rsidRPr="00884E98">
        <w:rPr>
          <w:rFonts w:ascii="Verdana" w:hAnsi="Verdana" w:cs="Silom"/>
          <w:b/>
          <w:sz w:val="20"/>
          <w:lang w:eastAsia="zh-CN" w:bidi="ar-SA"/>
        </w:rPr>
        <w:t>Microtec</w:t>
      </w:r>
      <w:proofErr w:type="spellEnd"/>
      <w:r w:rsidR="00005A77" w:rsidRPr="00884E98">
        <w:rPr>
          <w:rFonts w:ascii="Verdana" w:hAnsi="Verdana" w:cs="Silom"/>
          <w:b/>
          <w:sz w:val="20"/>
          <w:lang w:eastAsia="zh-CN" w:bidi="ar-SA"/>
        </w:rPr>
        <w:t xml:space="preserve"> CEO Martin </w:t>
      </w:r>
      <w:proofErr w:type="spellStart"/>
      <w:r w:rsidR="00005A77" w:rsidRPr="00884E98">
        <w:rPr>
          <w:rFonts w:ascii="Verdana" w:hAnsi="Verdana" w:cs="Silom"/>
          <w:b/>
          <w:sz w:val="20"/>
          <w:lang w:eastAsia="zh-CN" w:bidi="ar-SA"/>
        </w:rPr>
        <w:t>Sallenhag</w:t>
      </w:r>
      <w:proofErr w:type="spellEnd"/>
      <w:r w:rsidR="00005A77" w:rsidRPr="00884E98">
        <w:rPr>
          <w:rFonts w:ascii="Verdana" w:hAnsi="Verdana" w:cs="Silom"/>
          <w:sz w:val="20"/>
          <w:lang w:eastAsia="zh-CN" w:bidi="ar-SA"/>
        </w:rPr>
        <w:t xml:space="preserve"> said: </w:t>
      </w:r>
      <w:r w:rsidR="00F37FA9" w:rsidRPr="009551E7">
        <w:rPr>
          <w:rFonts w:ascii="Verdana" w:hAnsi="Verdana" w:cs="Silom"/>
          <w:i/>
          <w:sz w:val="20"/>
          <w:lang w:eastAsia="zh-CN" w:bidi="ar-SA"/>
        </w:rPr>
        <w:t xml:space="preserve">“The value of sales orders is about 20% higher compared with a year ago and we’ve maintained a positive book-to-bill ratio over the last 12 months, which is an important leading indicator of demand trends in the semiconductor industry. The bottom line </w:t>
      </w:r>
      <w:r w:rsidR="00471454" w:rsidRPr="009551E7">
        <w:rPr>
          <w:rFonts w:ascii="Verdana" w:hAnsi="Verdana" w:cs="Silom"/>
          <w:i/>
          <w:sz w:val="20"/>
          <w:lang w:eastAsia="zh-CN" w:bidi="ar-SA"/>
        </w:rPr>
        <w:t xml:space="preserve">has </w:t>
      </w:r>
      <w:r w:rsidR="00F37FA9" w:rsidRPr="009551E7">
        <w:rPr>
          <w:rFonts w:ascii="Verdana" w:hAnsi="Verdana" w:cs="Silom"/>
          <w:i/>
          <w:sz w:val="20"/>
          <w:lang w:eastAsia="zh-CN" w:bidi="ar-SA"/>
        </w:rPr>
        <w:t xml:space="preserve">still to reflect this positive order book but we remain positive that </w:t>
      </w:r>
      <w:r w:rsidR="00471454" w:rsidRPr="009551E7">
        <w:rPr>
          <w:rFonts w:ascii="Verdana" w:hAnsi="Verdana" w:cs="Silom"/>
          <w:i/>
          <w:sz w:val="20"/>
          <w:lang w:eastAsia="zh-CN" w:bidi="ar-SA"/>
        </w:rPr>
        <w:t xml:space="preserve">it </w:t>
      </w:r>
      <w:r w:rsidR="00F37FA9" w:rsidRPr="009551E7">
        <w:rPr>
          <w:rFonts w:ascii="Verdana" w:hAnsi="Verdana" w:cs="Silom"/>
          <w:i/>
          <w:sz w:val="20"/>
          <w:lang w:eastAsia="zh-CN" w:bidi="ar-SA"/>
        </w:rPr>
        <w:t xml:space="preserve">will feed through in the next </w:t>
      </w:r>
      <w:r w:rsidR="00471454" w:rsidRPr="009551E7">
        <w:rPr>
          <w:rFonts w:ascii="Verdana" w:hAnsi="Verdana" w:cs="Silom"/>
          <w:i/>
          <w:sz w:val="20"/>
          <w:lang w:eastAsia="zh-CN" w:bidi="ar-SA"/>
        </w:rPr>
        <w:t xml:space="preserve">few </w:t>
      </w:r>
      <w:r w:rsidR="00F37FA9" w:rsidRPr="009551E7">
        <w:rPr>
          <w:rFonts w:ascii="Verdana" w:hAnsi="Verdana" w:cs="Silom"/>
          <w:i/>
          <w:sz w:val="20"/>
          <w:lang w:eastAsia="zh-CN" w:bidi="ar-SA"/>
        </w:rPr>
        <w:t>years”.</w:t>
      </w:r>
    </w:p>
    <w:p w:rsidR="00563C56" w:rsidRDefault="00563C56" w:rsidP="0064523D">
      <w:pPr>
        <w:rPr>
          <w:rFonts w:ascii="Verdana" w:hAnsi="Verdana" w:cs="Silom"/>
          <w:sz w:val="20"/>
          <w:lang w:eastAsia="zh-CN" w:bidi="ar-SA"/>
        </w:rPr>
      </w:pPr>
    </w:p>
    <w:p w:rsidR="00884E98" w:rsidRPr="00884E98" w:rsidRDefault="00884E98" w:rsidP="0064523D">
      <w:pPr>
        <w:rPr>
          <w:rFonts w:ascii="Verdana" w:hAnsi="Verdana" w:cs="Silom"/>
          <w:sz w:val="20"/>
          <w:lang w:eastAsia="zh-CN" w:bidi="ar-SA"/>
        </w:rPr>
      </w:pPr>
    </w:p>
    <w:p w:rsidR="008348AA" w:rsidRPr="00884E98" w:rsidRDefault="007A739C" w:rsidP="0064523D">
      <w:pPr>
        <w:rPr>
          <w:rFonts w:ascii="Verdana" w:hAnsi="Verdana" w:cs="Arial"/>
          <w:sz w:val="20"/>
        </w:rPr>
      </w:pPr>
      <w:r w:rsidRPr="00884E98">
        <w:rPr>
          <w:rFonts w:ascii="Verdana" w:hAnsi="Verdana"/>
          <w:b/>
          <w:color w:val="B71234"/>
          <w:sz w:val="20"/>
        </w:rPr>
        <w:t>201</w:t>
      </w:r>
      <w:r w:rsidR="00C71167" w:rsidRPr="00884E98">
        <w:rPr>
          <w:rFonts w:ascii="Verdana" w:hAnsi="Verdana"/>
          <w:b/>
          <w:color w:val="B71234"/>
          <w:sz w:val="20"/>
        </w:rPr>
        <w:t>6</w:t>
      </w:r>
      <w:r w:rsidR="008348AA" w:rsidRPr="00884E98">
        <w:rPr>
          <w:rFonts w:ascii="Verdana" w:hAnsi="Verdana"/>
          <w:b/>
          <w:color w:val="B71234"/>
          <w:sz w:val="20"/>
        </w:rPr>
        <w:t xml:space="preserve"> HIGHLIGHTS</w:t>
      </w:r>
      <w:bookmarkEnd w:id="0"/>
      <w:bookmarkEnd w:id="1"/>
      <w:bookmarkEnd w:id="2"/>
    </w:p>
    <w:p w:rsidR="005E170A" w:rsidRPr="008473C4" w:rsidRDefault="005E170A" w:rsidP="0064523D">
      <w:pPr>
        <w:rPr>
          <w:rFonts w:ascii="Verdana" w:hAnsi="Verdana" w:cs="Silom"/>
          <w:sz w:val="20"/>
          <w:lang w:eastAsia="zh-CN" w:bidi="ar-SA"/>
        </w:rPr>
      </w:pPr>
    </w:p>
    <w:p w:rsidR="005E170A" w:rsidRPr="008473C4" w:rsidRDefault="005E170A" w:rsidP="0064523D">
      <w:pPr>
        <w:tabs>
          <w:tab w:val="left" w:pos="709"/>
        </w:tabs>
        <w:spacing w:line="360" w:lineRule="auto"/>
        <w:rPr>
          <w:rFonts w:ascii="Verdana" w:hAnsi="Verdana"/>
          <w:b/>
          <w:sz w:val="20"/>
        </w:rPr>
      </w:pPr>
      <w:r w:rsidRPr="00884E98">
        <w:rPr>
          <w:rFonts w:ascii="Verdana" w:hAnsi="Verdana"/>
          <w:b/>
          <w:sz w:val="20"/>
        </w:rPr>
        <w:t>Commercial/operational</w:t>
      </w:r>
    </w:p>
    <w:p w:rsidR="005B7FBE" w:rsidRPr="00884E98" w:rsidRDefault="00A83637"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 xml:space="preserve">Arrangements with automotive and industrial partners </w:t>
      </w:r>
      <w:r w:rsidR="000A2AA9" w:rsidRPr="00884E98">
        <w:rPr>
          <w:rFonts w:ascii="Verdana" w:hAnsi="Verdana"/>
          <w:sz w:val="20"/>
          <w:szCs w:val="20"/>
          <w:lang w:val="en-GB"/>
        </w:rPr>
        <w:t xml:space="preserve">will generate EUR 8 to </w:t>
      </w:r>
      <w:r w:rsidRPr="00884E98">
        <w:rPr>
          <w:rFonts w:ascii="Verdana" w:hAnsi="Verdana"/>
          <w:sz w:val="20"/>
          <w:szCs w:val="20"/>
          <w:lang w:val="en-GB"/>
        </w:rPr>
        <w:t>12 million</w:t>
      </w:r>
      <w:r w:rsidR="000A2AA9" w:rsidRPr="00884E98">
        <w:rPr>
          <w:rFonts w:ascii="Verdana" w:hAnsi="Verdana"/>
          <w:sz w:val="20"/>
          <w:szCs w:val="20"/>
          <w:lang w:val="en-GB"/>
        </w:rPr>
        <w:t xml:space="preserve"> of new sales</w:t>
      </w:r>
      <w:r w:rsidRPr="00884E98">
        <w:rPr>
          <w:rFonts w:ascii="Verdana" w:hAnsi="Verdana"/>
          <w:sz w:val="20"/>
          <w:szCs w:val="20"/>
          <w:lang w:val="en-GB"/>
        </w:rPr>
        <w:t xml:space="preserve"> over a period of 8 years.</w:t>
      </w:r>
    </w:p>
    <w:p w:rsidR="00A83637" w:rsidRPr="00884E98" w:rsidRDefault="00475F87"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Two new orders are secured</w:t>
      </w:r>
      <w:r w:rsidR="00A83637" w:rsidRPr="00884E98">
        <w:rPr>
          <w:rFonts w:ascii="Verdana" w:hAnsi="Verdana"/>
          <w:sz w:val="20"/>
          <w:szCs w:val="20"/>
          <w:lang w:val="en-GB"/>
        </w:rPr>
        <w:t xml:space="preserve"> with Chinese and European market leaders in </w:t>
      </w:r>
      <w:r w:rsidRPr="00884E98">
        <w:rPr>
          <w:rFonts w:ascii="Verdana" w:hAnsi="Verdana"/>
          <w:sz w:val="20"/>
          <w:szCs w:val="20"/>
          <w:lang w:val="en-GB"/>
        </w:rPr>
        <w:t xml:space="preserve">the </w:t>
      </w:r>
      <w:r w:rsidR="00A83637" w:rsidRPr="00884E98">
        <w:rPr>
          <w:rFonts w:ascii="Verdana" w:hAnsi="Verdana"/>
          <w:sz w:val="20"/>
          <w:szCs w:val="20"/>
          <w:lang w:val="en-GB"/>
        </w:rPr>
        <w:t>automotive and aerospace industries.</w:t>
      </w:r>
    </w:p>
    <w:p w:rsidR="00A83637" w:rsidRPr="00884E98" w:rsidRDefault="00475F87"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 xml:space="preserve">Sales channel agreement with </w:t>
      </w:r>
      <w:proofErr w:type="spellStart"/>
      <w:r w:rsidR="00A83637" w:rsidRPr="00884E98">
        <w:rPr>
          <w:rFonts w:ascii="Verdana" w:hAnsi="Verdana"/>
          <w:sz w:val="20"/>
          <w:szCs w:val="20"/>
          <w:lang w:val="en-GB"/>
        </w:rPr>
        <w:t>Altec</w:t>
      </w:r>
      <w:proofErr w:type="spellEnd"/>
      <w:r w:rsidR="00A83637" w:rsidRPr="00884E98">
        <w:rPr>
          <w:rFonts w:ascii="Verdana" w:hAnsi="Verdana"/>
          <w:sz w:val="20"/>
          <w:szCs w:val="20"/>
          <w:lang w:val="en-GB"/>
        </w:rPr>
        <w:t xml:space="preserve"> Electronic AG </w:t>
      </w:r>
      <w:r w:rsidRPr="00884E98">
        <w:rPr>
          <w:rFonts w:ascii="Verdana" w:hAnsi="Verdana"/>
          <w:sz w:val="20"/>
          <w:szCs w:val="20"/>
          <w:lang w:val="en-GB"/>
        </w:rPr>
        <w:t xml:space="preserve">is </w:t>
      </w:r>
      <w:r w:rsidR="00A83637" w:rsidRPr="00884E98">
        <w:rPr>
          <w:rFonts w:ascii="Verdana" w:hAnsi="Verdana"/>
          <w:sz w:val="20"/>
          <w:szCs w:val="20"/>
          <w:lang w:val="en-GB"/>
        </w:rPr>
        <w:t>to</w:t>
      </w:r>
      <w:r w:rsidRPr="00884E98">
        <w:rPr>
          <w:rFonts w:ascii="Verdana" w:hAnsi="Verdana"/>
          <w:sz w:val="20"/>
          <w:szCs w:val="20"/>
          <w:lang w:val="en-GB"/>
        </w:rPr>
        <w:t xml:space="preserve"> double sales to</w:t>
      </w:r>
      <w:r w:rsidR="00A83637" w:rsidRPr="00884E98">
        <w:rPr>
          <w:rFonts w:ascii="Verdana" w:hAnsi="Verdana"/>
          <w:sz w:val="20"/>
          <w:szCs w:val="20"/>
          <w:lang w:val="en-GB"/>
        </w:rPr>
        <w:t xml:space="preserve"> </w:t>
      </w:r>
      <w:r w:rsidR="005E170A" w:rsidRPr="00884E98">
        <w:rPr>
          <w:rFonts w:ascii="Verdana" w:hAnsi="Verdana"/>
          <w:sz w:val="20"/>
          <w:szCs w:val="20"/>
          <w:lang w:val="en-GB"/>
        </w:rPr>
        <w:t xml:space="preserve">EUR </w:t>
      </w:r>
      <w:r w:rsidR="00D52458" w:rsidRPr="00884E98">
        <w:rPr>
          <w:rFonts w:ascii="Verdana" w:hAnsi="Verdana"/>
          <w:sz w:val="20"/>
          <w:szCs w:val="20"/>
          <w:lang w:val="en-GB"/>
        </w:rPr>
        <w:t>1.</w:t>
      </w:r>
      <w:r w:rsidR="00A83637" w:rsidRPr="00884E98">
        <w:rPr>
          <w:rFonts w:ascii="Verdana" w:hAnsi="Verdana"/>
          <w:sz w:val="20"/>
          <w:szCs w:val="20"/>
          <w:lang w:val="en-GB"/>
        </w:rPr>
        <w:t>2 million by 2018.</w:t>
      </w:r>
    </w:p>
    <w:p w:rsidR="00487878" w:rsidRPr="00884E98" w:rsidRDefault="00487878"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 xml:space="preserve">Martin Sallenhag was appointed CEO, </w:t>
      </w:r>
      <w:proofErr w:type="spellStart"/>
      <w:r w:rsidRPr="00884E98">
        <w:rPr>
          <w:rFonts w:ascii="Verdana" w:hAnsi="Verdana"/>
          <w:sz w:val="20"/>
          <w:szCs w:val="20"/>
          <w:lang w:val="en-GB"/>
        </w:rPr>
        <w:t>Reinhard</w:t>
      </w:r>
      <w:proofErr w:type="spellEnd"/>
      <w:r w:rsidRPr="00884E98">
        <w:rPr>
          <w:rFonts w:ascii="Verdana" w:hAnsi="Verdana"/>
          <w:sz w:val="20"/>
          <w:szCs w:val="20"/>
          <w:lang w:val="en-GB"/>
        </w:rPr>
        <w:t xml:space="preserve"> </w:t>
      </w:r>
      <w:proofErr w:type="spellStart"/>
      <w:r w:rsidRPr="00884E98">
        <w:rPr>
          <w:rFonts w:ascii="Verdana" w:hAnsi="Verdana"/>
          <w:sz w:val="20"/>
          <w:szCs w:val="20"/>
          <w:lang w:val="en-GB"/>
        </w:rPr>
        <w:t>Pusch</w:t>
      </w:r>
      <w:proofErr w:type="spellEnd"/>
      <w:r w:rsidRPr="00884E98">
        <w:rPr>
          <w:rFonts w:ascii="Verdana" w:hAnsi="Verdana"/>
          <w:sz w:val="20"/>
          <w:szCs w:val="20"/>
          <w:lang w:val="en-GB"/>
        </w:rPr>
        <w:t xml:space="preserve"> COO and </w:t>
      </w:r>
      <w:proofErr w:type="spellStart"/>
      <w:r w:rsidRPr="00884E98">
        <w:rPr>
          <w:rFonts w:ascii="Verdana" w:hAnsi="Verdana"/>
          <w:sz w:val="20"/>
          <w:szCs w:val="20"/>
          <w:lang w:val="en-GB"/>
        </w:rPr>
        <w:t>Arvid</w:t>
      </w:r>
      <w:proofErr w:type="spellEnd"/>
      <w:r w:rsidRPr="00884E98">
        <w:rPr>
          <w:rFonts w:ascii="Verdana" w:hAnsi="Verdana"/>
          <w:sz w:val="20"/>
          <w:szCs w:val="20"/>
          <w:lang w:val="en-GB"/>
        </w:rPr>
        <w:t xml:space="preserve"> </w:t>
      </w:r>
      <w:proofErr w:type="spellStart"/>
      <w:r w:rsidRPr="00884E98">
        <w:rPr>
          <w:rFonts w:ascii="Verdana" w:hAnsi="Verdana"/>
          <w:sz w:val="20"/>
          <w:szCs w:val="20"/>
          <w:lang w:val="en-GB"/>
        </w:rPr>
        <w:t>Ladega</w:t>
      </w:r>
      <w:proofErr w:type="spellEnd"/>
      <w:r w:rsidRPr="00884E98">
        <w:rPr>
          <w:rFonts w:ascii="Verdana" w:hAnsi="Verdana"/>
          <w:sz w:val="20"/>
          <w:szCs w:val="20"/>
          <w:lang w:val="en-GB"/>
        </w:rPr>
        <w:t xml:space="preserve"> CFO.</w:t>
      </w:r>
    </w:p>
    <w:p w:rsidR="00487878" w:rsidRPr="00884E98" w:rsidRDefault="00487878"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 xml:space="preserve">Herman </w:t>
      </w:r>
      <w:proofErr w:type="spellStart"/>
      <w:r w:rsidRPr="00884E98">
        <w:rPr>
          <w:rFonts w:ascii="Verdana" w:hAnsi="Verdana"/>
          <w:sz w:val="20"/>
          <w:szCs w:val="20"/>
          <w:lang w:val="en-GB"/>
        </w:rPr>
        <w:t>Bartelink</w:t>
      </w:r>
      <w:proofErr w:type="spellEnd"/>
      <w:r w:rsidRPr="00884E98">
        <w:rPr>
          <w:rFonts w:ascii="Verdana" w:hAnsi="Verdana"/>
          <w:sz w:val="20"/>
          <w:szCs w:val="20"/>
          <w:lang w:val="en-GB"/>
        </w:rPr>
        <w:t xml:space="preserve"> and </w:t>
      </w:r>
      <w:proofErr w:type="spellStart"/>
      <w:r w:rsidRPr="00884E98">
        <w:rPr>
          <w:rFonts w:ascii="Verdana" w:hAnsi="Verdana"/>
          <w:sz w:val="20"/>
          <w:szCs w:val="20"/>
          <w:lang w:val="en-GB"/>
        </w:rPr>
        <w:t>Jeroen</w:t>
      </w:r>
      <w:proofErr w:type="spellEnd"/>
      <w:r w:rsidRPr="00884E98">
        <w:rPr>
          <w:rFonts w:ascii="Verdana" w:hAnsi="Verdana"/>
          <w:sz w:val="20"/>
          <w:szCs w:val="20"/>
          <w:lang w:val="en-GB"/>
        </w:rPr>
        <w:t xml:space="preserve"> </w:t>
      </w:r>
      <w:proofErr w:type="spellStart"/>
      <w:r w:rsidRPr="00884E98">
        <w:rPr>
          <w:rFonts w:ascii="Verdana" w:hAnsi="Verdana"/>
          <w:sz w:val="20"/>
          <w:szCs w:val="20"/>
          <w:lang w:val="en-GB"/>
        </w:rPr>
        <w:t>Tuik</w:t>
      </w:r>
      <w:proofErr w:type="spellEnd"/>
      <w:r w:rsidRPr="00884E98">
        <w:rPr>
          <w:rFonts w:ascii="Verdana" w:hAnsi="Verdana"/>
          <w:sz w:val="20"/>
          <w:szCs w:val="20"/>
          <w:lang w:val="en-GB"/>
        </w:rPr>
        <w:t xml:space="preserve"> are nominated as members of the supervisory board</w:t>
      </w:r>
      <w:r w:rsidR="009E234A" w:rsidRPr="00884E98">
        <w:rPr>
          <w:rFonts w:ascii="Verdana" w:hAnsi="Verdana"/>
          <w:sz w:val="20"/>
          <w:szCs w:val="20"/>
          <w:lang w:val="en-GB"/>
        </w:rPr>
        <w:t xml:space="preserve">. </w:t>
      </w:r>
      <w:r w:rsidR="00916DB1" w:rsidRPr="00884E98">
        <w:rPr>
          <w:rFonts w:ascii="Verdana" w:hAnsi="Verdana"/>
          <w:sz w:val="20"/>
          <w:szCs w:val="20"/>
          <w:lang w:val="en-GB"/>
        </w:rPr>
        <w:t>Their</w:t>
      </w:r>
      <w:r w:rsidR="009E234A" w:rsidRPr="00884E98">
        <w:rPr>
          <w:rFonts w:ascii="Verdana" w:hAnsi="Verdana"/>
          <w:sz w:val="20"/>
          <w:szCs w:val="20"/>
          <w:lang w:val="en-GB"/>
        </w:rPr>
        <w:t xml:space="preserve"> </w:t>
      </w:r>
      <w:r w:rsidR="00916DB1" w:rsidRPr="00884E98">
        <w:rPr>
          <w:rFonts w:ascii="Verdana" w:hAnsi="Verdana"/>
          <w:sz w:val="20"/>
          <w:szCs w:val="20"/>
          <w:lang w:val="en-GB"/>
        </w:rPr>
        <w:t>appointment has</w:t>
      </w:r>
      <w:r w:rsidR="009E234A" w:rsidRPr="00884E98">
        <w:rPr>
          <w:rFonts w:ascii="Verdana" w:hAnsi="Verdana"/>
          <w:sz w:val="20"/>
          <w:szCs w:val="20"/>
          <w:lang w:val="en-GB"/>
        </w:rPr>
        <w:t xml:space="preserve"> since been approved at an extraordinary sharehol</w:t>
      </w:r>
      <w:r w:rsidR="0058151C" w:rsidRPr="00884E98">
        <w:rPr>
          <w:rFonts w:ascii="Verdana" w:hAnsi="Verdana"/>
          <w:sz w:val="20"/>
          <w:szCs w:val="20"/>
          <w:lang w:val="en-GB"/>
        </w:rPr>
        <w:t xml:space="preserve">ders’ meeting in </w:t>
      </w:r>
      <w:r w:rsidR="0064523D">
        <w:rPr>
          <w:rFonts w:ascii="Verdana" w:hAnsi="Verdana"/>
          <w:sz w:val="20"/>
          <w:szCs w:val="20"/>
          <w:lang w:val="en-GB"/>
        </w:rPr>
        <w:t>January 2017.</w:t>
      </w:r>
    </w:p>
    <w:p w:rsidR="00A83637" w:rsidRPr="00884E98" w:rsidRDefault="00282285" w:rsidP="0064523D">
      <w:pPr>
        <w:pStyle w:val="Listenabsatz"/>
        <w:numPr>
          <w:ilvl w:val="0"/>
          <w:numId w:val="8"/>
        </w:numPr>
        <w:spacing w:line="276" w:lineRule="auto"/>
        <w:rPr>
          <w:rFonts w:ascii="Verdana" w:hAnsi="Verdana"/>
          <w:sz w:val="20"/>
          <w:szCs w:val="20"/>
          <w:lang w:val="en-GB"/>
        </w:rPr>
      </w:pPr>
      <w:proofErr w:type="spellStart"/>
      <w:r w:rsidRPr="00282285">
        <w:rPr>
          <w:rFonts w:ascii="Verdana" w:hAnsi="Verdana"/>
          <w:color w:val="C00000"/>
          <w:sz w:val="20"/>
          <w:lang w:val="en-GB"/>
        </w:rPr>
        <w:t>Rood</w:t>
      </w:r>
      <w:r w:rsidR="008D4FB2" w:rsidRPr="00884E98">
        <w:rPr>
          <w:rFonts w:ascii="Verdana" w:hAnsi="Verdana"/>
          <w:sz w:val="20"/>
          <w:szCs w:val="20"/>
          <w:lang w:val="en-GB"/>
        </w:rPr>
        <w:t>Microtec</w:t>
      </w:r>
      <w:proofErr w:type="spellEnd"/>
      <w:r w:rsidR="008D4FB2" w:rsidRPr="00884E98">
        <w:rPr>
          <w:rFonts w:ascii="Verdana" w:hAnsi="Verdana"/>
          <w:sz w:val="20"/>
          <w:szCs w:val="20"/>
          <w:lang w:val="en-GB"/>
        </w:rPr>
        <w:t xml:space="preserve"> celebrated</w:t>
      </w:r>
      <w:r w:rsidR="00475F87" w:rsidRPr="00884E98">
        <w:rPr>
          <w:rFonts w:ascii="Verdana" w:hAnsi="Verdana"/>
          <w:sz w:val="20"/>
          <w:szCs w:val="20"/>
          <w:lang w:val="en-GB"/>
        </w:rPr>
        <w:t xml:space="preserve"> its 30</w:t>
      </w:r>
      <w:r w:rsidR="00475F87" w:rsidRPr="00884E98">
        <w:rPr>
          <w:rFonts w:ascii="Verdana" w:hAnsi="Verdana"/>
          <w:sz w:val="20"/>
          <w:szCs w:val="20"/>
          <w:vertAlign w:val="superscript"/>
          <w:lang w:val="en-GB"/>
        </w:rPr>
        <w:t>th</w:t>
      </w:r>
      <w:r w:rsidR="00475F87" w:rsidRPr="00884E98">
        <w:rPr>
          <w:rFonts w:ascii="Verdana" w:hAnsi="Verdana"/>
          <w:sz w:val="20"/>
          <w:szCs w:val="20"/>
          <w:lang w:val="en-GB"/>
        </w:rPr>
        <w:t xml:space="preserve"> anniversary as a listed company</w:t>
      </w:r>
      <w:r w:rsidR="008D4FB2" w:rsidRPr="00884E98">
        <w:rPr>
          <w:rFonts w:ascii="Verdana" w:hAnsi="Verdana"/>
          <w:sz w:val="20"/>
          <w:szCs w:val="20"/>
          <w:lang w:val="en-GB"/>
        </w:rPr>
        <w:t xml:space="preserve"> and announced</w:t>
      </w:r>
      <w:r w:rsidR="00354EA4" w:rsidRPr="00884E98">
        <w:rPr>
          <w:rFonts w:ascii="Verdana" w:hAnsi="Verdana"/>
          <w:sz w:val="20"/>
          <w:szCs w:val="20"/>
          <w:lang w:val="en-GB"/>
        </w:rPr>
        <w:t xml:space="preserve"> that 6</w:t>
      </w:r>
      <w:r w:rsidR="0064523D">
        <w:rPr>
          <w:rFonts w:ascii="Verdana" w:hAnsi="Verdana"/>
          <w:sz w:val="20"/>
          <w:szCs w:val="20"/>
          <w:lang w:val="en-GB"/>
        </w:rPr>
        <w:t> </w:t>
      </w:r>
      <w:r w:rsidR="00354EA4" w:rsidRPr="00884E98">
        <w:rPr>
          <w:rFonts w:ascii="Verdana" w:hAnsi="Verdana"/>
          <w:sz w:val="20"/>
          <w:szCs w:val="20"/>
          <w:lang w:val="en-GB"/>
        </w:rPr>
        <w:t>SCM projects will enter the manufacturing phase by 2020.</w:t>
      </w:r>
    </w:p>
    <w:p w:rsidR="00C1275B" w:rsidRPr="00884E98" w:rsidRDefault="00354EA4" w:rsidP="0064523D">
      <w:pPr>
        <w:pStyle w:val="Listenabsatz"/>
        <w:numPr>
          <w:ilvl w:val="0"/>
          <w:numId w:val="8"/>
        </w:numPr>
        <w:spacing w:line="276" w:lineRule="auto"/>
        <w:rPr>
          <w:rFonts w:ascii="Verdana" w:hAnsi="Verdana"/>
          <w:b/>
          <w:bCs/>
          <w:sz w:val="20"/>
          <w:szCs w:val="20"/>
          <w:lang w:val="en-GB"/>
        </w:rPr>
      </w:pPr>
      <w:r w:rsidRPr="00884E98">
        <w:rPr>
          <w:rFonts w:ascii="Verdana" w:hAnsi="Verdana"/>
          <w:bCs/>
          <w:sz w:val="20"/>
          <w:szCs w:val="20"/>
          <w:lang w:val="en-GB"/>
        </w:rPr>
        <w:t xml:space="preserve">The </w:t>
      </w:r>
      <w:proofErr w:type="spellStart"/>
      <w:r w:rsidRPr="00884E98">
        <w:rPr>
          <w:rFonts w:ascii="Verdana" w:hAnsi="Verdana"/>
          <w:bCs/>
          <w:sz w:val="20"/>
          <w:szCs w:val="20"/>
          <w:lang w:val="en-GB"/>
        </w:rPr>
        <w:t>EuroPAT</w:t>
      </w:r>
      <w:proofErr w:type="spellEnd"/>
      <w:r w:rsidRPr="00884E98">
        <w:rPr>
          <w:rFonts w:ascii="Verdana" w:hAnsi="Verdana"/>
          <w:bCs/>
          <w:sz w:val="20"/>
          <w:szCs w:val="20"/>
          <w:lang w:val="en-GB"/>
        </w:rPr>
        <w:t>-MASIP jo</w:t>
      </w:r>
      <w:r w:rsidR="008D4FB2" w:rsidRPr="00884E98">
        <w:rPr>
          <w:rFonts w:ascii="Verdana" w:hAnsi="Verdana"/>
          <w:bCs/>
          <w:sz w:val="20"/>
          <w:szCs w:val="20"/>
          <w:lang w:val="en-GB"/>
        </w:rPr>
        <w:t>int technology project allocated</w:t>
      </w:r>
      <w:r w:rsidRPr="00884E98">
        <w:rPr>
          <w:rFonts w:ascii="Verdana" w:hAnsi="Verdana"/>
          <w:bCs/>
          <w:sz w:val="20"/>
          <w:szCs w:val="20"/>
          <w:lang w:val="en-GB"/>
        </w:rPr>
        <w:t xml:space="preserve"> </w:t>
      </w:r>
      <w:r w:rsidR="00A83637" w:rsidRPr="00884E98">
        <w:rPr>
          <w:rFonts w:ascii="Verdana" w:hAnsi="Verdana"/>
          <w:bCs/>
          <w:sz w:val="20"/>
          <w:szCs w:val="20"/>
          <w:lang w:val="en-GB"/>
        </w:rPr>
        <w:t xml:space="preserve">EUR </w:t>
      </w:r>
      <w:r w:rsidR="004E0F46">
        <w:rPr>
          <w:rFonts w:ascii="Verdana" w:hAnsi="Verdana"/>
          <w:bCs/>
          <w:sz w:val="20"/>
          <w:szCs w:val="20"/>
          <w:lang w:val="en-GB"/>
        </w:rPr>
        <w:t xml:space="preserve">0.8 million </w:t>
      </w:r>
      <w:r w:rsidR="00A83637" w:rsidRPr="00884E98">
        <w:rPr>
          <w:rFonts w:ascii="Verdana" w:hAnsi="Verdana"/>
          <w:bCs/>
          <w:sz w:val="20"/>
          <w:szCs w:val="20"/>
          <w:lang w:val="en-GB"/>
        </w:rPr>
        <w:t xml:space="preserve">of EU and German public funds </w:t>
      </w:r>
      <w:r w:rsidR="00C1275B" w:rsidRPr="00884E98">
        <w:rPr>
          <w:rFonts w:ascii="Verdana" w:hAnsi="Verdana"/>
          <w:bCs/>
          <w:sz w:val="20"/>
          <w:szCs w:val="20"/>
          <w:lang w:val="en-GB"/>
        </w:rPr>
        <w:t xml:space="preserve">to </w:t>
      </w:r>
      <w:proofErr w:type="spellStart"/>
      <w:r w:rsidR="00282285" w:rsidRPr="00282285">
        <w:rPr>
          <w:rFonts w:ascii="Verdana" w:hAnsi="Verdana"/>
          <w:color w:val="C00000"/>
          <w:sz w:val="20"/>
          <w:lang w:val="en-GB"/>
        </w:rPr>
        <w:t>Rood</w:t>
      </w:r>
      <w:r w:rsidR="00C1275B" w:rsidRPr="00884E98">
        <w:rPr>
          <w:rFonts w:ascii="Verdana" w:hAnsi="Verdana"/>
          <w:bCs/>
          <w:sz w:val="20"/>
          <w:szCs w:val="20"/>
          <w:lang w:val="en-GB"/>
        </w:rPr>
        <w:t>Microtec</w:t>
      </w:r>
      <w:proofErr w:type="spellEnd"/>
      <w:r w:rsidR="00C1275B" w:rsidRPr="00884E98">
        <w:rPr>
          <w:rFonts w:ascii="Verdana" w:hAnsi="Verdana"/>
          <w:bCs/>
          <w:sz w:val="20"/>
          <w:szCs w:val="20"/>
          <w:lang w:val="en-GB"/>
        </w:rPr>
        <w:t>.</w:t>
      </w:r>
    </w:p>
    <w:p w:rsidR="00A83637" w:rsidRPr="00884E98" w:rsidRDefault="005E170A" w:rsidP="0064523D">
      <w:pPr>
        <w:pStyle w:val="Listenabsatz"/>
        <w:numPr>
          <w:ilvl w:val="0"/>
          <w:numId w:val="8"/>
        </w:numPr>
        <w:spacing w:line="276" w:lineRule="auto"/>
        <w:rPr>
          <w:rFonts w:ascii="Verdana" w:hAnsi="Verdana"/>
          <w:sz w:val="20"/>
          <w:szCs w:val="20"/>
          <w:lang w:val="en-GB"/>
        </w:rPr>
      </w:pPr>
      <w:r w:rsidRPr="00884E98">
        <w:rPr>
          <w:rFonts w:ascii="Verdana" w:hAnsi="Verdana"/>
          <w:sz w:val="20"/>
          <w:szCs w:val="20"/>
          <w:lang w:val="en-GB"/>
        </w:rPr>
        <w:t>A significant new SCM contract is secured with a German automotive and industrial client and due to generate EUR 4.5 million o</w:t>
      </w:r>
      <w:r w:rsidR="00A83637" w:rsidRPr="00884E98">
        <w:rPr>
          <w:rFonts w:ascii="Verdana" w:hAnsi="Verdana"/>
          <w:sz w:val="20"/>
          <w:szCs w:val="20"/>
          <w:lang w:val="en-GB"/>
        </w:rPr>
        <w:t>ver the next 10 years.</w:t>
      </w:r>
    </w:p>
    <w:p w:rsidR="0064523D" w:rsidRPr="0064523D" w:rsidRDefault="00487878" w:rsidP="0064523D">
      <w:pPr>
        <w:pStyle w:val="Listenabsatz"/>
        <w:numPr>
          <w:ilvl w:val="0"/>
          <w:numId w:val="8"/>
        </w:numPr>
        <w:spacing w:after="200" w:line="276" w:lineRule="auto"/>
        <w:rPr>
          <w:rFonts w:ascii="Verdana" w:hAnsi="Verdana"/>
          <w:sz w:val="20"/>
          <w:lang w:val="en-GB"/>
        </w:rPr>
      </w:pPr>
      <w:r w:rsidRPr="008473C4">
        <w:rPr>
          <w:rFonts w:ascii="Verdana" w:hAnsi="Verdana"/>
          <w:sz w:val="20"/>
          <w:szCs w:val="20"/>
          <w:lang w:val="en-GB"/>
        </w:rPr>
        <w:t>Supply Chain Management framework agreement signed with leading test equipment manufacturer Rohde &amp; Schwarz</w:t>
      </w:r>
      <w:r w:rsidR="008473C4" w:rsidRPr="008473C4">
        <w:rPr>
          <w:rFonts w:ascii="Verdana" w:hAnsi="Verdana"/>
          <w:sz w:val="20"/>
          <w:szCs w:val="20"/>
          <w:lang w:val="en-GB"/>
        </w:rPr>
        <w:t>.</w:t>
      </w:r>
    </w:p>
    <w:p w:rsidR="00884E98" w:rsidRPr="008473C4" w:rsidRDefault="00884E98" w:rsidP="0064523D">
      <w:pPr>
        <w:pStyle w:val="Listenabsatz"/>
        <w:numPr>
          <w:ilvl w:val="0"/>
          <w:numId w:val="8"/>
        </w:numPr>
        <w:spacing w:after="200" w:line="276" w:lineRule="auto"/>
        <w:rPr>
          <w:rFonts w:ascii="Verdana" w:hAnsi="Verdana"/>
          <w:sz w:val="20"/>
          <w:lang w:val="en-GB"/>
        </w:rPr>
      </w:pPr>
      <w:r w:rsidRPr="008473C4">
        <w:rPr>
          <w:rFonts w:ascii="Verdana" w:hAnsi="Verdana"/>
          <w:sz w:val="20"/>
          <w:lang w:val="en-GB"/>
        </w:rPr>
        <w:br w:type="page"/>
      </w:r>
    </w:p>
    <w:p w:rsidR="00C71167" w:rsidRPr="00884E98" w:rsidRDefault="008348AA" w:rsidP="0064523D">
      <w:pPr>
        <w:tabs>
          <w:tab w:val="left" w:pos="709"/>
        </w:tabs>
        <w:spacing w:line="360" w:lineRule="auto"/>
        <w:rPr>
          <w:rFonts w:ascii="Verdana" w:hAnsi="Verdana"/>
          <w:b/>
          <w:sz w:val="20"/>
        </w:rPr>
      </w:pPr>
      <w:r w:rsidRPr="00884E98">
        <w:rPr>
          <w:rFonts w:ascii="Verdana" w:hAnsi="Verdana"/>
          <w:b/>
          <w:sz w:val="20"/>
        </w:rPr>
        <w:lastRenderedPageBreak/>
        <w:t>Financials</w:t>
      </w:r>
    </w:p>
    <w:p w:rsidR="0017550D" w:rsidRPr="00884E98" w:rsidRDefault="0017550D" w:rsidP="0064523D">
      <w:pPr>
        <w:numPr>
          <w:ilvl w:val="0"/>
          <w:numId w:val="3"/>
        </w:numPr>
        <w:tabs>
          <w:tab w:val="left" w:pos="709"/>
        </w:tabs>
        <w:spacing w:line="276" w:lineRule="auto"/>
        <w:rPr>
          <w:rFonts w:ascii="Verdana" w:hAnsi="Verdana" w:cs="Verdana"/>
          <w:sz w:val="20"/>
        </w:rPr>
      </w:pPr>
      <w:r w:rsidRPr="00884E98">
        <w:rPr>
          <w:rFonts w:ascii="Verdana" w:hAnsi="Verdana"/>
          <w:sz w:val="20"/>
        </w:rPr>
        <w:t>Sales in 2016 of EUR 10.5 million, 2% increase compared to 2015 (EUR 10.3 million)</w:t>
      </w:r>
    </w:p>
    <w:p w:rsidR="0017550D" w:rsidRPr="00884E98" w:rsidRDefault="000B00BA" w:rsidP="0064523D">
      <w:pPr>
        <w:numPr>
          <w:ilvl w:val="0"/>
          <w:numId w:val="3"/>
        </w:numPr>
        <w:tabs>
          <w:tab w:val="left" w:pos="709"/>
        </w:tabs>
        <w:spacing w:line="276" w:lineRule="auto"/>
        <w:rPr>
          <w:rFonts w:ascii="Verdana" w:hAnsi="Verdana" w:cs="Verdana"/>
          <w:sz w:val="20"/>
        </w:rPr>
      </w:pPr>
      <w:r>
        <w:rPr>
          <w:rFonts w:ascii="Verdana" w:hAnsi="Verdana"/>
          <w:sz w:val="20"/>
        </w:rPr>
        <w:t>Net debt position in</w:t>
      </w:r>
      <w:r w:rsidR="005B23D3" w:rsidRPr="00884E98">
        <w:rPr>
          <w:rFonts w:ascii="Verdana" w:hAnsi="Verdana"/>
          <w:sz w:val="20"/>
        </w:rPr>
        <w:t xml:space="preserve">creased by </w:t>
      </w:r>
      <w:r>
        <w:rPr>
          <w:rFonts w:ascii="Verdana" w:hAnsi="Verdana"/>
          <w:sz w:val="20"/>
        </w:rPr>
        <w:t>45% to EUR 2.4</w:t>
      </w:r>
      <w:r w:rsidR="0017550D" w:rsidRPr="00884E98">
        <w:rPr>
          <w:rFonts w:ascii="Verdana" w:hAnsi="Verdana"/>
          <w:sz w:val="20"/>
        </w:rPr>
        <w:t xml:space="preserve"> million (201</w:t>
      </w:r>
      <w:r w:rsidR="005B23D3" w:rsidRPr="00884E98">
        <w:rPr>
          <w:rFonts w:ascii="Verdana" w:hAnsi="Verdana"/>
          <w:sz w:val="20"/>
        </w:rPr>
        <w:t>5</w:t>
      </w:r>
      <w:r w:rsidR="0017550D" w:rsidRPr="00884E98">
        <w:rPr>
          <w:rFonts w:ascii="Verdana" w:hAnsi="Verdana"/>
          <w:sz w:val="20"/>
        </w:rPr>
        <w:t xml:space="preserve">: EUR </w:t>
      </w:r>
      <w:r w:rsidR="005B23D3" w:rsidRPr="00884E98">
        <w:rPr>
          <w:rFonts w:ascii="Verdana" w:hAnsi="Verdana"/>
          <w:sz w:val="20"/>
        </w:rPr>
        <w:t>1</w:t>
      </w:r>
      <w:r w:rsidR="0017550D" w:rsidRPr="00884E98">
        <w:rPr>
          <w:rFonts w:ascii="Verdana" w:hAnsi="Verdana"/>
          <w:sz w:val="20"/>
        </w:rPr>
        <w:t>.</w:t>
      </w:r>
      <w:r w:rsidR="005B23D3" w:rsidRPr="00884E98">
        <w:rPr>
          <w:rFonts w:ascii="Verdana" w:hAnsi="Verdana"/>
          <w:sz w:val="20"/>
        </w:rPr>
        <w:t>7</w:t>
      </w:r>
      <w:r w:rsidR="0017550D" w:rsidRPr="00884E98">
        <w:rPr>
          <w:rFonts w:ascii="Verdana" w:hAnsi="Verdana"/>
          <w:sz w:val="20"/>
        </w:rPr>
        <w:t xml:space="preserve"> million)</w:t>
      </w:r>
    </w:p>
    <w:p w:rsidR="0017550D" w:rsidRPr="00884E98" w:rsidRDefault="0017550D" w:rsidP="0064523D">
      <w:pPr>
        <w:numPr>
          <w:ilvl w:val="0"/>
          <w:numId w:val="3"/>
        </w:numPr>
        <w:tabs>
          <w:tab w:val="left" w:pos="709"/>
        </w:tabs>
        <w:spacing w:line="276" w:lineRule="auto"/>
        <w:rPr>
          <w:rFonts w:ascii="Verdana" w:hAnsi="Verdana" w:cs="Verdana"/>
          <w:sz w:val="20"/>
          <w:lang w:val="de-DE"/>
        </w:rPr>
      </w:pPr>
      <w:r w:rsidRPr="00884E98">
        <w:rPr>
          <w:rFonts w:ascii="Verdana" w:hAnsi="Verdana"/>
          <w:sz w:val="20"/>
          <w:lang w:val="de-DE"/>
        </w:rPr>
        <w:t>EBITDA: EUR 0.3</w:t>
      </w:r>
      <w:r w:rsidR="004F69E9" w:rsidRPr="00884E98">
        <w:rPr>
          <w:rFonts w:ascii="Verdana" w:hAnsi="Verdana"/>
          <w:sz w:val="20"/>
          <w:lang w:val="de-DE"/>
        </w:rPr>
        <w:t>1</w:t>
      </w:r>
      <w:r w:rsidRPr="00884E98">
        <w:rPr>
          <w:rFonts w:ascii="Verdana" w:hAnsi="Verdana"/>
          <w:sz w:val="20"/>
          <w:lang w:val="de-DE"/>
        </w:rPr>
        <w:t xml:space="preserve"> million negative (201</w:t>
      </w:r>
      <w:r w:rsidR="004F69E9" w:rsidRPr="00884E98">
        <w:rPr>
          <w:rFonts w:ascii="Verdana" w:hAnsi="Verdana"/>
          <w:sz w:val="20"/>
          <w:lang w:val="de-DE"/>
        </w:rPr>
        <w:t>5</w:t>
      </w:r>
      <w:r w:rsidRPr="00884E98">
        <w:rPr>
          <w:rFonts w:ascii="Verdana" w:hAnsi="Verdana"/>
          <w:sz w:val="20"/>
          <w:lang w:val="de-DE"/>
        </w:rPr>
        <w:t>: EUR 0.</w:t>
      </w:r>
      <w:r w:rsidR="004F69E9" w:rsidRPr="00884E98">
        <w:rPr>
          <w:rFonts w:ascii="Verdana" w:hAnsi="Verdana"/>
          <w:sz w:val="20"/>
          <w:lang w:val="de-DE"/>
        </w:rPr>
        <w:t>38</w:t>
      </w:r>
      <w:r w:rsidRPr="00884E98">
        <w:rPr>
          <w:rFonts w:ascii="Verdana" w:hAnsi="Verdana"/>
          <w:sz w:val="20"/>
          <w:lang w:val="de-DE"/>
        </w:rPr>
        <w:t xml:space="preserve"> million negative)</w:t>
      </w:r>
    </w:p>
    <w:p w:rsidR="0017550D" w:rsidRPr="00884E98" w:rsidRDefault="0017550D" w:rsidP="0064523D">
      <w:pPr>
        <w:numPr>
          <w:ilvl w:val="0"/>
          <w:numId w:val="3"/>
        </w:numPr>
        <w:tabs>
          <w:tab w:val="left" w:pos="709"/>
        </w:tabs>
        <w:spacing w:line="276" w:lineRule="auto"/>
        <w:rPr>
          <w:rFonts w:ascii="Verdana" w:hAnsi="Verdana" w:cs="Verdana"/>
          <w:sz w:val="20"/>
        </w:rPr>
      </w:pPr>
      <w:r w:rsidRPr="00884E98">
        <w:rPr>
          <w:rFonts w:ascii="Verdana" w:hAnsi="Verdana"/>
          <w:sz w:val="20"/>
        </w:rPr>
        <w:t>EBIT (operating result) EUR 1.</w:t>
      </w:r>
      <w:r w:rsidR="004F69E9" w:rsidRPr="00884E98">
        <w:rPr>
          <w:rFonts w:ascii="Verdana" w:hAnsi="Verdana"/>
          <w:sz w:val="20"/>
        </w:rPr>
        <w:t>34 million negative (2015: EUR 1.31</w:t>
      </w:r>
      <w:r w:rsidRPr="00884E98">
        <w:rPr>
          <w:rFonts w:ascii="Verdana" w:hAnsi="Verdana"/>
          <w:sz w:val="20"/>
        </w:rPr>
        <w:t xml:space="preserve"> million negative)</w:t>
      </w:r>
    </w:p>
    <w:p w:rsidR="00C71167" w:rsidRPr="00884E98" w:rsidRDefault="00C71167" w:rsidP="0064523D">
      <w:pPr>
        <w:numPr>
          <w:ilvl w:val="0"/>
          <w:numId w:val="3"/>
        </w:numPr>
        <w:tabs>
          <w:tab w:val="left" w:pos="709"/>
        </w:tabs>
        <w:spacing w:line="276" w:lineRule="auto"/>
        <w:rPr>
          <w:rFonts w:ascii="Verdana" w:hAnsi="Verdana" w:cs="Verdana"/>
          <w:sz w:val="20"/>
        </w:rPr>
      </w:pPr>
      <w:r w:rsidRPr="00884E98">
        <w:rPr>
          <w:rFonts w:ascii="Verdana" w:hAnsi="Verdana" w:cs="Verdana"/>
          <w:sz w:val="20"/>
        </w:rPr>
        <w:t>Net profit: EUR 1.578 million negative (2015: EUR 1.505 million negative)</w:t>
      </w:r>
    </w:p>
    <w:p w:rsidR="0017550D" w:rsidRPr="00884E98" w:rsidRDefault="0017550D" w:rsidP="0064523D">
      <w:pPr>
        <w:numPr>
          <w:ilvl w:val="0"/>
          <w:numId w:val="3"/>
        </w:numPr>
        <w:tabs>
          <w:tab w:val="left" w:pos="709"/>
        </w:tabs>
        <w:spacing w:line="276" w:lineRule="auto"/>
        <w:rPr>
          <w:rFonts w:ascii="Verdana" w:hAnsi="Verdana" w:cs="Verdana"/>
          <w:sz w:val="20"/>
        </w:rPr>
      </w:pPr>
      <w:r w:rsidRPr="00884E98">
        <w:rPr>
          <w:rFonts w:ascii="Verdana" w:hAnsi="Verdana"/>
          <w:sz w:val="20"/>
        </w:rPr>
        <w:t>Net income: EUR 1.</w:t>
      </w:r>
      <w:r w:rsidR="005B23D3" w:rsidRPr="00884E98">
        <w:rPr>
          <w:rFonts w:ascii="Verdana" w:hAnsi="Verdana"/>
          <w:sz w:val="20"/>
        </w:rPr>
        <w:t>6 million negative (2015</w:t>
      </w:r>
      <w:r w:rsidRPr="00884E98">
        <w:rPr>
          <w:rFonts w:ascii="Verdana" w:hAnsi="Verdana"/>
          <w:sz w:val="20"/>
        </w:rPr>
        <w:t>: EUR 1.</w:t>
      </w:r>
      <w:r w:rsidR="005B23D3" w:rsidRPr="00884E98">
        <w:rPr>
          <w:rFonts w:ascii="Verdana" w:hAnsi="Verdana"/>
          <w:sz w:val="20"/>
        </w:rPr>
        <w:t>5</w:t>
      </w:r>
      <w:r w:rsidRPr="00884E98">
        <w:rPr>
          <w:rFonts w:ascii="Verdana" w:hAnsi="Verdana"/>
          <w:sz w:val="20"/>
        </w:rPr>
        <w:t xml:space="preserve"> million negative)</w:t>
      </w:r>
    </w:p>
    <w:p w:rsidR="0017550D" w:rsidRPr="00884E98" w:rsidRDefault="005B23D3" w:rsidP="0064523D">
      <w:pPr>
        <w:numPr>
          <w:ilvl w:val="0"/>
          <w:numId w:val="3"/>
        </w:numPr>
        <w:tabs>
          <w:tab w:val="left" w:pos="709"/>
        </w:tabs>
        <w:spacing w:line="276" w:lineRule="auto"/>
        <w:rPr>
          <w:rFonts w:ascii="Verdana" w:hAnsi="Verdana" w:cs="Verdana"/>
          <w:sz w:val="20"/>
        </w:rPr>
      </w:pPr>
      <w:r w:rsidRPr="00884E98">
        <w:rPr>
          <w:rFonts w:ascii="Verdana" w:hAnsi="Verdana"/>
          <w:sz w:val="20"/>
        </w:rPr>
        <w:t>Solvency decreased to 28</w:t>
      </w:r>
      <w:r w:rsidR="0017550D" w:rsidRPr="00884E98">
        <w:rPr>
          <w:rFonts w:ascii="Verdana" w:hAnsi="Verdana"/>
          <w:sz w:val="20"/>
        </w:rPr>
        <w:t>% (201</w:t>
      </w:r>
      <w:r w:rsidRPr="00884E98">
        <w:rPr>
          <w:rFonts w:ascii="Verdana" w:hAnsi="Verdana"/>
          <w:sz w:val="20"/>
        </w:rPr>
        <w:t>5: 32</w:t>
      </w:r>
      <w:r w:rsidR="0017550D" w:rsidRPr="00884E98">
        <w:rPr>
          <w:rFonts w:ascii="Verdana" w:hAnsi="Verdana"/>
          <w:sz w:val="20"/>
        </w:rPr>
        <w:t>%)</w:t>
      </w:r>
    </w:p>
    <w:p w:rsidR="0017550D" w:rsidRPr="00884E98" w:rsidRDefault="00884E98" w:rsidP="0064523D">
      <w:pPr>
        <w:numPr>
          <w:ilvl w:val="0"/>
          <w:numId w:val="3"/>
        </w:numPr>
        <w:tabs>
          <w:tab w:val="left" w:pos="709"/>
        </w:tabs>
        <w:spacing w:line="276" w:lineRule="auto"/>
        <w:rPr>
          <w:rFonts w:ascii="Verdana" w:hAnsi="Verdana" w:cs="Verdana"/>
          <w:sz w:val="20"/>
        </w:rPr>
      </w:pPr>
      <w:r w:rsidRPr="00884E98">
        <w:rPr>
          <w:rFonts w:ascii="Verdana" w:hAnsi="Verdana"/>
          <w:sz w:val="20"/>
        </w:rPr>
        <w:t>Balance sheet total in</w:t>
      </w:r>
      <w:r w:rsidR="0017550D" w:rsidRPr="00884E98">
        <w:rPr>
          <w:rFonts w:ascii="Verdana" w:hAnsi="Verdana"/>
          <w:sz w:val="20"/>
        </w:rPr>
        <w:t>creased to EUR 1</w:t>
      </w:r>
      <w:r w:rsidRPr="00884E98">
        <w:rPr>
          <w:rFonts w:ascii="Verdana" w:hAnsi="Verdana"/>
          <w:sz w:val="20"/>
        </w:rPr>
        <w:t>4.7</w:t>
      </w:r>
      <w:r w:rsidR="0017550D" w:rsidRPr="00884E98">
        <w:rPr>
          <w:rFonts w:ascii="Verdana" w:hAnsi="Verdana"/>
          <w:sz w:val="20"/>
        </w:rPr>
        <w:t xml:space="preserve"> million (201</w:t>
      </w:r>
      <w:r w:rsidRPr="00884E98">
        <w:rPr>
          <w:rFonts w:ascii="Verdana" w:hAnsi="Verdana"/>
          <w:sz w:val="20"/>
        </w:rPr>
        <w:t>5</w:t>
      </w:r>
      <w:r w:rsidR="0017550D" w:rsidRPr="00884E98">
        <w:rPr>
          <w:rFonts w:ascii="Verdana" w:hAnsi="Verdana"/>
          <w:sz w:val="20"/>
        </w:rPr>
        <w:t>: 13.</w:t>
      </w:r>
      <w:r w:rsidRPr="00884E98">
        <w:rPr>
          <w:rFonts w:ascii="Verdana" w:hAnsi="Verdana"/>
          <w:sz w:val="20"/>
        </w:rPr>
        <w:t>5</w:t>
      </w:r>
      <w:r w:rsidR="004E0F46">
        <w:rPr>
          <w:rFonts w:ascii="Verdana" w:hAnsi="Verdana"/>
          <w:sz w:val="20"/>
        </w:rPr>
        <w:t xml:space="preserve"> million)</w:t>
      </w:r>
    </w:p>
    <w:p w:rsidR="0017550D" w:rsidRPr="00884E98" w:rsidRDefault="0017550D" w:rsidP="0064523D">
      <w:pPr>
        <w:numPr>
          <w:ilvl w:val="0"/>
          <w:numId w:val="3"/>
        </w:numPr>
        <w:tabs>
          <w:tab w:val="left" w:pos="709"/>
        </w:tabs>
        <w:spacing w:line="276" w:lineRule="auto"/>
        <w:rPr>
          <w:rFonts w:ascii="Verdana" w:hAnsi="Verdana" w:cs="Verdana"/>
          <w:sz w:val="20"/>
        </w:rPr>
      </w:pPr>
      <w:r w:rsidRPr="00884E98">
        <w:rPr>
          <w:rFonts w:ascii="Verdana" w:hAnsi="Verdana" w:cs="Verdana"/>
          <w:sz w:val="20"/>
        </w:rPr>
        <w:t>Early March 2016, a group of investors committed to provide an amount of up to EUR</w:t>
      </w:r>
      <w:r w:rsidR="000A522B">
        <w:rPr>
          <w:rFonts w:ascii="Verdana" w:hAnsi="Verdana" w:cs="Verdana"/>
          <w:sz w:val="20"/>
        </w:rPr>
        <w:t> </w:t>
      </w:r>
      <w:r w:rsidRPr="00884E98">
        <w:rPr>
          <w:rFonts w:ascii="Verdana" w:hAnsi="Verdana" w:cs="Verdana"/>
          <w:sz w:val="20"/>
        </w:rPr>
        <w:t>1.5</w:t>
      </w:r>
      <w:r w:rsidR="000A522B">
        <w:rPr>
          <w:rFonts w:ascii="Verdana" w:hAnsi="Verdana" w:cs="Verdana"/>
          <w:sz w:val="20"/>
        </w:rPr>
        <w:t> </w:t>
      </w:r>
      <w:r w:rsidRPr="00884E98">
        <w:rPr>
          <w:rFonts w:ascii="Verdana" w:hAnsi="Verdana" w:cs="Verdana"/>
          <w:sz w:val="20"/>
        </w:rPr>
        <w:t xml:space="preserve">million to enable required investments in equipment in 2016 </w:t>
      </w:r>
    </w:p>
    <w:p w:rsidR="00A42B2D" w:rsidRDefault="00A42B2D" w:rsidP="0064523D">
      <w:pPr>
        <w:tabs>
          <w:tab w:val="left" w:pos="709"/>
        </w:tabs>
        <w:spacing w:line="276" w:lineRule="auto"/>
        <w:rPr>
          <w:rFonts w:ascii="Verdana" w:hAnsi="Verdana" w:cs="Verdana"/>
          <w:b/>
          <w:bCs/>
          <w:sz w:val="20"/>
          <w:highlight w:val="yellow"/>
        </w:rPr>
      </w:pPr>
    </w:p>
    <w:p w:rsidR="00884E98" w:rsidRPr="00884E98" w:rsidRDefault="00884E98" w:rsidP="0064523D">
      <w:pPr>
        <w:tabs>
          <w:tab w:val="left" w:pos="709"/>
        </w:tabs>
        <w:spacing w:line="276" w:lineRule="auto"/>
        <w:rPr>
          <w:rFonts w:ascii="Verdana" w:hAnsi="Verdana" w:cs="Verdana"/>
          <w:b/>
          <w:bCs/>
          <w:sz w:val="20"/>
          <w:highlight w:val="yellow"/>
        </w:rPr>
      </w:pPr>
    </w:p>
    <w:p w:rsidR="000D4B3B" w:rsidRPr="00884E98" w:rsidRDefault="00884E98" w:rsidP="0064523D">
      <w:pPr>
        <w:spacing w:after="200" w:line="276" w:lineRule="auto"/>
        <w:rPr>
          <w:rFonts w:ascii="Verdana" w:hAnsi="Verdana"/>
          <w:b/>
          <w:color w:val="B71234"/>
          <w:sz w:val="20"/>
        </w:rPr>
      </w:pPr>
      <w:r w:rsidRPr="00884E98">
        <w:rPr>
          <w:rFonts w:ascii="Verdana" w:hAnsi="Verdana"/>
          <w:b/>
          <w:color w:val="B71234"/>
          <w:sz w:val="20"/>
        </w:rPr>
        <w:t>Key figures</w:t>
      </w:r>
    </w:p>
    <w:p w:rsidR="000D4B3B" w:rsidRPr="00884E98" w:rsidRDefault="000D4B3B" w:rsidP="0064523D">
      <w:pPr>
        <w:spacing w:line="276" w:lineRule="auto"/>
        <w:rPr>
          <w:rFonts w:ascii="Verdana" w:hAnsi="Verdana" w:cs="Verdana"/>
          <w:sz w:val="16"/>
          <w:szCs w:val="16"/>
        </w:rPr>
      </w:pPr>
      <w:r w:rsidRPr="00884E98">
        <w:rPr>
          <w:rFonts w:ascii="Verdana" w:hAnsi="Verdana"/>
          <w:sz w:val="16"/>
          <w:szCs w:val="16"/>
        </w:rPr>
        <w:t>(EUR x</w:t>
      </w:r>
      <w:r w:rsidR="0064523D">
        <w:rPr>
          <w:rFonts w:ascii="Verdana" w:hAnsi="Verdana"/>
          <w:sz w:val="16"/>
          <w:szCs w:val="16"/>
        </w:rPr>
        <w:t xml:space="preserve"> </w:t>
      </w:r>
      <w:r w:rsidRPr="00884E98">
        <w:rPr>
          <w:rFonts w:ascii="Verdana" w:hAnsi="Verdana"/>
          <w:sz w:val="16"/>
          <w:szCs w:val="16"/>
        </w:rPr>
        <w:t xml:space="preserve">1,000 unless stated otherwise) </w:t>
      </w:r>
      <w:r w:rsidRPr="00884E98">
        <w:rPr>
          <w:rFonts w:ascii="Verdana" w:hAnsi="Verdana"/>
          <w:sz w:val="16"/>
          <w:szCs w:val="16"/>
        </w:rPr>
        <w:tab/>
      </w:r>
      <w:r w:rsidRPr="00884E98">
        <w:rPr>
          <w:rFonts w:ascii="Verdana" w:hAnsi="Verdana"/>
          <w:sz w:val="16"/>
          <w:szCs w:val="16"/>
        </w:rPr>
        <w:tab/>
      </w:r>
      <w:r w:rsidRPr="00884E98">
        <w:rPr>
          <w:rFonts w:ascii="Verdana" w:hAnsi="Verdana"/>
          <w:sz w:val="16"/>
          <w:szCs w:val="16"/>
        </w:rPr>
        <w:tab/>
      </w:r>
      <w:r w:rsidRPr="00884E98">
        <w:rPr>
          <w:rFonts w:ascii="Verdana" w:hAnsi="Verdana"/>
          <w:sz w:val="16"/>
          <w:szCs w:val="16"/>
        </w:rPr>
        <w:tab/>
      </w:r>
      <w:r w:rsidRPr="00884E98">
        <w:rPr>
          <w:rFonts w:ascii="Verdana" w:hAnsi="Verdana"/>
          <w:sz w:val="16"/>
          <w:szCs w:val="16"/>
        </w:rPr>
        <w:tab/>
      </w:r>
      <w:r w:rsidRPr="00884E98">
        <w:rPr>
          <w:rFonts w:ascii="Verdana" w:hAnsi="Verdana"/>
          <w:sz w:val="16"/>
          <w:szCs w:val="16"/>
        </w:rPr>
        <w:tab/>
      </w:r>
      <w:r w:rsidRPr="00884E98">
        <w:rPr>
          <w:rFonts w:ascii="Verdana" w:hAnsi="Verdana"/>
          <w:sz w:val="16"/>
          <w:szCs w:val="16"/>
        </w:rPr>
        <w:tab/>
      </w:r>
      <w:r w:rsidR="0064523D">
        <w:rPr>
          <w:rFonts w:ascii="Verdana" w:hAnsi="Verdana"/>
          <w:sz w:val="16"/>
          <w:szCs w:val="16"/>
        </w:rPr>
        <w:tab/>
      </w:r>
      <w:r w:rsidRPr="00884E98">
        <w:rPr>
          <w:rFonts w:ascii="Verdana" w:hAnsi="Verdana"/>
          <w:sz w:val="16"/>
          <w:szCs w:val="16"/>
        </w:rPr>
        <w:t>Unaudited</w:t>
      </w:r>
    </w:p>
    <w:tbl>
      <w:tblPr>
        <w:tblW w:w="8800" w:type="dxa"/>
        <w:tblInd w:w="59" w:type="dxa"/>
        <w:tblCellMar>
          <w:left w:w="70" w:type="dxa"/>
          <w:right w:w="70" w:type="dxa"/>
        </w:tblCellMar>
        <w:tblLook w:val="04A0"/>
      </w:tblPr>
      <w:tblGrid>
        <w:gridCol w:w="4635"/>
        <w:gridCol w:w="1330"/>
        <w:gridCol w:w="1417"/>
        <w:gridCol w:w="1418"/>
      </w:tblGrid>
      <w:tr w:rsidR="00D84E9C" w:rsidRPr="00884E98" w:rsidTr="00884E98">
        <w:trPr>
          <w:trHeight w:val="255"/>
        </w:trPr>
        <w:tc>
          <w:tcPr>
            <w:tcW w:w="4635" w:type="dxa"/>
            <w:tcBorders>
              <w:top w:val="nil"/>
              <w:left w:val="nil"/>
              <w:bottom w:val="nil"/>
              <w:right w:val="nil"/>
            </w:tcBorders>
            <w:shd w:val="clear" w:color="auto" w:fill="auto"/>
            <w:noWrap/>
            <w:vAlign w:val="bottom"/>
            <w:hideMark/>
          </w:tcPr>
          <w:p w:rsidR="00D84E9C" w:rsidRPr="00731C20" w:rsidRDefault="00D84E9C" w:rsidP="0064523D">
            <w:pPr>
              <w:rPr>
                <w:rFonts w:ascii="Verdana" w:hAnsi="Verdana" w:cs="Calibri"/>
                <w:color w:val="000000"/>
                <w:sz w:val="20"/>
                <w:lang w:eastAsia="de-DE" w:bidi="ar-SA"/>
              </w:rPr>
            </w:pPr>
          </w:p>
        </w:tc>
        <w:tc>
          <w:tcPr>
            <w:tcW w:w="1330" w:type="dxa"/>
            <w:tcBorders>
              <w:top w:val="nil"/>
              <w:left w:val="nil"/>
              <w:bottom w:val="single" w:sz="8" w:space="0" w:color="000000"/>
              <w:right w:val="nil"/>
            </w:tcBorders>
            <w:shd w:val="clear" w:color="auto" w:fill="auto"/>
            <w:noWrap/>
            <w:vAlign w:val="center"/>
            <w:hideMark/>
          </w:tcPr>
          <w:p w:rsidR="00D84E9C" w:rsidRPr="00884E98" w:rsidRDefault="00D84E9C" w:rsidP="009551E7">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2016</w:t>
            </w:r>
          </w:p>
        </w:tc>
        <w:tc>
          <w:tcPr>
            <w:tcW w:w="1417" w:type="dxa"/>
            <w:tcBorders>
              <w:top w:val="nil"/>
              <w:left w:val="nil"/>
              <w:bottom w:val="single" w:sz="8" w:space="0" w:color="000000"/>
              <w:right w:val="nil"/>
            </w:tcBorders>
            <w:shd w:val="clear" w:color="auto" w:fill="auto"/>
            <w:noWrap/>
            <w:vAlign w:val="center"/>
            <w:hideMark/>
          </w:tcPr>
          <w:p w:rsidR="00D84E9C" w:rsidRPr="00884E98" w:rsidRDefault="00D84E9C" w:rsidP="009551E7">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2015</w:t>
            </w:r>
          </w:p>
        </w:tc>
        <w:tc>
          <w:tcPr>
            <w:tcW w:w="1418" w:type="dxa"/>
            <w:tcBorders>
              <w:top w:val="nil"/>
              <w:left w:val="nil"/>
              <w:bottom w:val="single" w:sz="8" w:space="0" w:color="000000"/>
              <w:right w:val="nil"/>
            </w:tcBorders>
            <w:shd w:val="clear" w:color="auto" w:fill="auto"/>
            <w:noWrap/>
            <w:vAlign w:val="center"/>
            <w:hideMark/>
          </w:tcPr>
          <w:p w:rsidR="00D84E9C" w:rsidRPr="00884E98" w:rsidRDefault="00D84E9C" w:rsidP="009551E7">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Change</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Sales and result</w:t>
            </w: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Net sales</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10,465</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10,250</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Gross margin</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8,615</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8,384</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EBITDA</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-310</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-378</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EBIT (operating result)</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-1,339</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-1,308</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EBT</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-1,587</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-1,495</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Net result</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-1,578</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-1,505</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w:t>
            </w:r>
          </w:p>
        </w:tc>
      </w:tr>
      <w:tr w:rsidR="00D84E9C" w:rsidRPr="00884E98" w:rsidTr="00884E98">
        <w:trPr>
          <w:trHeight w:val="255"/>
        </w:trPr>
        <w:tc>
          <w:tcPr>
            <w:tcW w:w="4635" w:type="dxa"/>
            <w:tcBorders>
              <w:top w:val="nil"/>
              <w:left w:val="nil"/>
              <w:bottom w:val="nil"/>
              <w:right w:val="nil"/>
            </w:tcBorders>
            <w:shd w:val="clear" w:color="auto" w:fill="auto"/>
            <w:noWrap/>
            <w:vAlign w:val="bottom"/>
            <w:hideMark/>
          </w:tcPr>
          <w:p w:rsidR="00D84E9C" w:rsidRPr="00884E98" w:rsidRDefault="00D84E9C" w:rsidP="0064523D">
            <w:pPr>
              <w:rPr>
                <w:rFonts w:ascii="Verdana" w:hAnsi="Verdana" w:cs="Calibri"/>
                <w:color w:val="000000"/>
                <w:sz w:val="20"/>
                <w:lang w:val="de-DE" w:eastAsia="de-DE" w:bidi="ar-SA"/>
              </w:rPr>
            </w:pP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Capital, debt &amp; liquidity ratios</w:t>
            </w: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Total assets</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14,711</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13,531</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Group equity</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4,053</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4,321</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Net debt</w:t>
            </w:r>
          </w:p>
        </w:tc>
        <w:tc>
          <w:tcPr>
            <w:tcW w:w="1330"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2,428</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1,675</w:t>
            </w:r>
          </w:p>
        </w:tc>
        <w:tc>
          <w:tcPr>
            <w:tcW w:w="1418"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45</w:t>
            </w:r>
            <w:r w:rsidR="00D84E9C" w:rsidRPr="00884E98">
              <w:rPr>
                <w:rFonts w:ascii="Verdana" w:hAnsi="Verdana" w:cs="Calibri"/>
                <w:color w:val="000000"/>
                <w:sz w:val="20"/>
                <w:lang w:val="de-DE" w:eastAsia="de-DE" w:bidi="ar-SA"/>
              </w:rPr>
              <w:t>%</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Capital (=net debt + equity)</w:t>
            </w:r>
          </w:p>
        </w:tc>
        <w:tc>
          <w:tcPr>
            <w:tcW w:w="1330" w:type="dxa"/>
            <w:tcBorders>
              <w:top w:val="nil"/>
              <w:left w:val="nil"/>
              <w:bottom w:val="nil"/>
              <w:right w:val="nil"/>
            </w:tcBorders>
            <w:shd w:val="clear" w:color="auto" w:fill="auto"/>
            <w:noWrap/>
            <w:vAlign w:val="center"/>
            <w:hideMark/>
          </w:tcPr>
          <w:p w:rsidR="00D84E9C" w:rsidRPr="00884E98" w:rsidRDefault="000B00BA" w:rsidP="000B00BA">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6</w:t>
            </w:r>
            <w:r w:rsidR="000F226B">
              <w:rPr>
                <w:rFonts w:ascii="Verdana" w:hAnsi="Verdana" w:cs="Calibri"/>
                <w:color w:val="000000"/>
                <w:sz w:val="20"/>
                <w:lang w:val="de-DE" w:eastAsia="de-DE" w:bidi="ar-SA"/>
              </w:rPr>
              <w:t>,</w:t>
            </w:r>
            <w:r>
              <w:rPr>
                <w:rFonts w:ascii="Verdana" w:hAnsi="Verdana" w:cs="Calibri"/>
                <w:color w:val="000000"/>
                <w:sz w:val="20"/>
                <w:lang w:val="de-DE" w:eastAsia="de-DE" w:bidi="ar-SA"/>
              </w:rPr>
              <w:t>481</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5,996</w:t>
            </w:r>
          </w:p>
        </w:tc>
        <w:tc>
          <w:tcPr>
            <w:tcW w:w="1418"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8</w:t>
            </w:r>
            <w:r w:rsidR="00D84E9C" w:rsidRPr="00884E98">
              <w:rPr>
                <w:rFonts w:ascii="Verdana" w:hAnsi="Verdana" w:cs="Calibri"/>
                <w:color w:val="000000"/>
                <w:sz w:val="20"/>
                <w:lang w:val="de-DE" w:eastAsia="de-DE" w:bidi="ar-SA"/>
              </w:rPr>
              <w:t>%</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Gearing ratio (net debt / capital)</w:t>
            </w:r>
          </w:p>
        </w:tc>
        <w:tc>
          <w:tcPr>
            <w:tcW w:w="1330"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60</w:t>
            </w:r>
            <w:r w:rsidR="00D84E9C" w:rsidRPr="00884E98">
              <w:rPr>
                <w:rFonts w:ascii="Verdana" w:hAnsi="Verdana" w:cs="Calibri"/>
                <w:color w:val="000000"/>
                <w:sz w:val="20"/>
                <w:lang w:val="de-DE" w:eastAsia="de-DE" w:bidi="ar-SA"/>
              </w:rPr>
              <w:t>%</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28%</w:t>
            </w:r>
          </w:p>
        </w:tc>
        <w:tc>
          <w:tcPr>
            <w:tcW w:w="1418"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114</w:t>
            </w:r>
            <w:r w:rsidR="00D84E9C" w:rsidRPr="00884E98">
              <w:rPr>
                <w:rFonts w:ascii="Verdana" w:hAnsi="Verdana" w:cs="Calibri"/>
                <w:color w:val="000000"/>
                <w:sz w:val="20"/>
                <w:lang w:val="de-DE" w:eastAsia="de-DE" w:bidi="ar-SA"/>
              </w:rPr>
              <w:t>%</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Solvency (group equity / total liabilities)</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28%</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32%</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-14%</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Debt ratio (net debt / EBITDA)</w:t>
            </w:r>
          </w:p>
        </w:tc>
        <w:tc>
          <w:tcPr>
            <w:tcW w:w="1330" w:type="dxa"/>
            <w:tcBorders>
              <w:top w:val="nil"/>
              <w:left w:val="nil"/>
              <w:bottom w:val="nil"/>
              <w:right w:val="nil"/>
            </w:tcBorders>
            <w:shd w:val="clear" w:color="auto" w:fill="auto"/>
            <w:noWrap/>
            <w:vAlign w:val="center"/>
            <w:hideMark/>
          </w:tcPr>
          <w:p w:rsidR="00D84E9C" w:rsidRPr="00884E98" w:rsidRDefault="000B00BA"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-7</w:t>
            </w:r>
            <w:r w:rsidR="000F226B">
              <w:rPr>
                <w:rFonts w:ascii="Verdana" w:hAnsi="Verdana" w:cs="Calibri"/>
                <w:color w:val="000000"/>
                <w:sz w:val="20"/>
                <w:lang w:val="de-DE" w:eastAsia="de-DE" w:bidi="ar-SA"/>
              </w:rPr>
              <w:t>.</w:t>
            </w:r>
            <w:r>
              <w:rPr>
                <w:rFonts w:ascii="Verdana" w:hAnsi="Verdana" w:cs="Calibri"/>
                <w:color w:val="000000"/>
                <w:sz w:val="20"/>
                <w:lang w:val="de-DE" w:eastAsia="de-DE" w:bidi="ar-SA"/>
              </w:rPr>
              <w:t>83</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-4.43</w:t>
            </w:r>
          </w:p>
        </w:tc>
        <w:tc>
          <w:tcPr>
            <w:tcW w:w="1418" w:type="dxa"/>
            <w:tcBorders>
              <w:top w:val="nil"/>
              <w:left w:val="nil"/>
              <w:bottom w:val="nil"/>
              <w:right w:val="nil"/>
            </w:tcBorders>
            <w:shd w:val="clear" w:color="auto" w:fill="auto"/>
            <w:noWrap/>
            <w:vAlign w:val="center"/>
            <w:hideMark/>
          </w:tcPr>
          <w:p w:rsidR="00D84E9C" w:rsidRPr="00884E98" w:rsidRDefault="000B00BA" w:rsidP="000B00BA">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77</w:t>
            </w:r>
            <w:r w:rsidR="00D84E9C" w:rsidRPr="00884E98">
              <w:rPr>
                <w:rFonts w:ascii="Verdana" w:hAnsi="Verdana" w:cs="Calibri"/>
                <w:color w:val="000000"/>
                <w:sz w:val="20"/>
                <w:lang w:val="de-DE" w:eastAsia="de-DE" w:bidi="ar-SA"/>
              </w:rPr>
              <w:t>%</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Net working capital</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540</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560</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Working capital ratio</w:t>
            </w:r>
          </w:p>
        </w:tc>
        <w:tc>
          <w:tcPr>
            <w:tcW w:w="1330" w:type="dxa"/>
            <w:vMerge w:val="restart"/>
            <w:tcBorders>
              <w:top w:val="nil"/>
              <w:left w:val="nil"/>
              <w:bottom w:val="nil"/>
              <w:right w:val="nil"/>
            </w:tcBorders>
            <w:shd w:val="clear" w:color="auto" w:fill="auto"/>
            <w:noWrap/>
            <w:vAlign w:val="center"/>
            <w:hideMark/>
          </w:tcPr>
          <w:p w:rsidR="00D84E9C" w:rsidRPr="00884E98" w:rsidRDefault="00731C20"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1.23</w:t>
            </w:r>
          </w:p>
        </w:tc>
        <w:tc>
          <w:tcPr>
            <w:tcW w:w="1417" w:type="dxa"/>
            <w:vMerge w:val="restart"/>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1.27</w:t>
            </w:r>
          </w:p>
        </w:tc>
        <w:tc>
          <w:tcPr>
            <w:tcW w:w="1418" w:type="dxa"/>
            <w:vMerge w:val="restart"/>
            <w:tcBorders>
              <w:top w:val="nil"/>
              <w:left w:val="nil"/>
              <w:bottom w:val="nil"/>
              <w:right w:val="nil"/>
            </w:tcBorders>
            <w:shd w:val="clear" w:color="auto" w:fill="auto"/>
            <w:noWrap/>
            <w:vAlign w:val="center"/>
            <w:hideMark/>
          </w:tcPr>
          <w:p w:rsidR="00D84E9C" w:rsidRPr="00884E98" w:rsidRDefault="00731C20"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w:t>
            </w:r>
            <w:r w:rsidR="00D84E9C" w:rsidRPr="00884E98">
              <w:rPr>
                <w:rFonts w:ascii="Verdana" w:hAnsi="Verdana" w:cs="Calibri"/>
                <w:color w:val="000000"/>
                <w:sz w:val="20"/>
                <w:lang w:val="de-DE" w:eastAsia="de-DE" w:bidi="ar-SA"/>
              </w:rPr>
              <w:t>3%</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(current assets / current liabilities)</w:t>
            </w:r>
          </w:p>
        </w:tc>
        <w:tc>
          <w:tcPr>
            <w:tcW w:w="1330" w:type="dxa"/>
            <w:vMerge/>
            <w:tcBorders>
              <w:top w:val="nil"/>
              <w:left w:val="nil"/>
              <w:bottom w:val="nil"/>
              <w:right w:val="nil"/>
            </w:tcBorders>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7" w:type="dxa"/>
            <w:vMerge/>
            <w:tcBorders>
              <w:top w:val="nil"/>
              <w:left w:val="nil"/>
              <w:bottom w:val="nil"/>
              <w:right w:val="nil"/>
            </w:tcBorders>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8" w:type="dxa"/>
            <w:vMerge/>
            <w:tcBorders>
              <w:top w:val="nil"/>
              <w:left w:val="nil"/>
              <w:bottom w:val="nil"/>
              <w:right w:val="nil"/>
            </w:tcBorders>
            <w:vAlign w:val="center"/>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bottom"/>
            <w:hideMark/>
          </w:tcPr>
          <w:p w:rsidR="00D84E9C" w:rsidRPr="00884E98" w:rsidRDefault="00D84E9C" w:rsidP="0064523D">
            <w:pPr>
              <w:rPr>
                <w:rFonts w:ascii="Verdana" w:hAnsi="Verdana" w:cs="Calibri"/>
                <w:color w:val="000000"/>
                <w:sz w:val="20"/>
                <w:lang w:val="de-DE" w:eastAsia="de-DE" w:bidi="ar-SA"/>
              </w:rPr>
            </w:pP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Assets</w:t>
            </w: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Tangible and intangible fixed assets</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7,684</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6,908</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11%</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Investments in (in)tangible fixed assets</w:t>
            </w:r>
          </w:p>
        </w:tc>
        <w:tc>
          <w:tcPr>
            <w:tcW w:w="1330" w:type="dxa"/>
            <w:tcBorders>
              <w:top w:val="nil"/>
              <w:left w:val="nil"/>
              <w:bottom w:val="nil"/>
              <w:right w:val="nil"/>
            </w:tcBorders>
            <w:shd w:val="clear" w:color="auto" w:fill="auto"/>
            <w:noWrap/>
            <w:vAlign w:val="center"/>
            <w:hideMark/>
          </w:tcPr>
          <w:p w:rsidR="00D84E9C" w:rsidRPr="00884E98" w:rsidRDefault="000F226B"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1,803</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726</w:t>
            </w:r>
          </w:p>
        </w:tc>
        <w:tc>
          <w:tcPr>
            <w:tcW w:w="1418" w:type="dxa"/>
            <w:tcBorders>
              <w:top w:val="nil"/>
              <w:left w:val="nil"/>
              <w:bottom w:val="nil"/>
              <w:right w:val="nil"/>
            </w:tcBorders>
            <w:shd w:val="clear" w:color="auto" w:fill="auto"/>
            <w:noWrap/>
            <w:vAlign w:val="center"/>
            <w:hideMark/>
          </w:tcPr>
          <w:p w:rsidR="00D84E9C" w:rsidRPr="00884E98" w:rsidRDefault="000F226B" w:rsidP="009551E7">
            <w:pPr>
              <w:jc w:val="right"/>
              <w:rPr>
                <w:rFonts w:ascii="Verdana" w:hAnsi="Verdana" w:cs="Calibri"/>
                <w:color w:val="000000"/>
                <w:sz w:val="20"/>
                <w:lang w:val="de-DE" w:eastAsia="de-DE" w:bidi="ar-SA"/>
              </w:rPr>
            </w:pPr>
            <w:r>
              <w:rPr>
                <w:rFonts w:ascii="Verdana" w:hAnsi="Verdana" w:cs="Calibri"/>
                <w:color w:val="000000"/>
                <w:sz w:val="20"/>
                <w:lang w:val="de-DE" w:eastAsia="de-DE" w:bidi="ar-SA"/>
              </w:rPr>
              <w:t>148</w:t>
            </w:r>
            <w:r w:rsidR="00D84E9C" w:rsidRPr="00884E98">
              <w:rPr>
                <w:rFonts w:ascii="Verdana" w:hAnsi="Verdana" w:cs="Calibri"/>
                <w:color w:val="000000"/>
                <w:sz w:val="20"/>
                <w:lang w:val="de-DE" w:eastAsia="de-DE" w:bidi="ar-SA"/>
              </w:rPr>
              <w:t>%</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Depreciation of (in)tangible fixed assets</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sidR="000F226B">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029</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930</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11%</w:t>
            </w:r>
          </w:p>
        </w:tc>
      </w:tr>
      <w:tr w:rsidR="00D84E9C" w:rsidRPr="00884E98" w:rsidTr="00884E98">
        <w:trPr>
          <w:trHeight w:val="255"/>
        </w:trPr>
        <w:tc>
          <w:tcPr>
            <w:tcW w:w="4635" w:type="dxa"/>
            <w:tcBorders>
              <w:top w:val="nil"/>
              <w:left w:val="nil"/>
              <w:bottom w:val="nil"/>
              <w:right w:val="nil"/>
            </w:tcBorders>
            <w:shd w:val="clear" w:color="auto" w:fill="auto"/>
            <w:noWrap/>
            <w:vAlign w:val="bottom"/>
            <w:hideMark/>
          </w:tcPr>
          <w:p w:rsidR="00D84E9C" w:rsidRPr="00884E98" w:rsidRDefault="00D84E9C" w:rsidP="0064523D">
            <w:pPr>
              <w:rPr>
                <w:rFonts w:ascii="Verdana" w:hAnsi="Verdana" w:cs="Calibri"/>
                <w:color w:val="000000"/>
                <w:sz w:val="20"/>
                <w:lang w:val="de-DE" w:eastAsia="de-DE" w:bidi="ar-SA"/>
              </w:rPr>
            </w:pP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Issue of nominal shares</w:t>
            </w:r>
          </w:p>
        </w:tc>
        <w:tc>
          <w:tcPr>
            <w:tcW w:w="1330"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bottom"/>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At year-end (x 1,000)</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63,441</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54,411</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17%</w:t>
            </w: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Number of FTEs (permanent)</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p>
        </w:tc>
      </w:tr>
      <w:tr w:rsidR="00D84E9C" w:rsidRPr="00884E98" w:rsidTr="00884E98">
        <w:trPr>
          <w:trHeight w:val="255"/>
        </w:trPr>
        <w:tc>
          <w:tcPr>
            <w:tcW w:w="4635" w:type="dxa"/>
            <w:tcBorders>
              <w:top w:val="nil"/>
              <w:left w:val="nil"/>
              <w:bottom w:val="nil"/>
              <w:right w:val="nil"/>
            </w:tcBorders>
            <w:shd w:val="clear" w:color="auto" w:fill="auto"/>
            <w:noWrap/>
            <w:vAlign w:val="center"/>
            <w:hideMark/>
          </w:tcPr>
          <w:p w:rsidR="00D84E9C" w:rsidRPr="00884E98" w:rsidRDefault="00D84E9C"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Average</w:t>
            </w:r>
          </w:p>
        </w:tc>
        <w:tc>
          <w:tcPr>
            <w:tcW w:w="1330"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91</w:t>
            </w:r>
          </w:p>
        </w:tc>
        <w:tc>
          <w:tcPr>
            <w:tcW w:w="1417"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94</w:t>
            </w:r>
          </w:p>
        </w:tc>
        <w:tc>
          <w:tcPr>
            <w:tcW w:w="1418" w:type="dxa"/>
            <w:tcBorders>
              <w:top w:val="nil"/>
              <w:left w:val="nil"/>
              <w:bottom w:val="nil"/>
              <w:right w:val="nil"/>
            </w:tcBorders>
            <w:shd w:val="clear" w:color="auto" w:fill="auto"/>
            <w:noWrap/>
            <w:vAlign w:val="center"/>
            <w:hideMark/>
          </w:tcPr>
          <w:p w:rsidR="00D84E9C" w:rsidRPr="00884E98" w:rsidRDefault="00D84E9C" w:rsidP="009551E7">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w:t>
            </w:r>
          </w:p>
        </w:tc>
      </w:tr>
    </w:tbl>
    <w:p w:rsidR="00731C20" w:rsidRDefault="00731C20">
      <w:pPr>
        <w:spacing w:after="200" w:line="276" w:lineRule="auto"/>
        <w:rPr>
          <w:rFonts w:ascii="Verdana" w:hAnsi="Verdana"/>
          <w:b/>
          <w:color w:val="B71234"/>
          <w:sz w:val="20"/>
        </w:rPr>
      </w:pPr>
      <w:r>
        <w:rPr>
          <w:rFonts w:ascii="Verdana" w:hAnsi="Verdana"/>
          <w:b/>
          <w:color w:val="B71234"/>
          <w:sz w:val="20"/>
        </w:rPr>
        <w:br w:type="page"/>
      </w:r>
    </w:p>
    <w:p w:rsidR="00691A1A" w:rsidRPr="00884E98" w:rsidRDefault="00691A1A" w:rsidP="0064523D">
      <w:pPr>
        <w:spacing w:after="200" w:line="276" w:lineRule="auto"/>
        <w:rPr>
          <w:rFonts w:ascii="Verdana" w:hAnsi="Verdana"/>
          <w:b/>
          <w:color w:val="B71234"/>
          <w:sz w:val="20"/>
        </w:rPr>
      </w:pPr>
      <w:r w:rsidRPr="00884E98">
        <w:rPr>
          <w:rFonts w:ascii="Verdana" w:hAnsi="Verdana"/>
          <w:b/>
          <w:color w:val="B71234"/>
          <w:sz w:val="20"/>
        </w:rPr>
        <w:lastRenderedPageBreak/>
        <w:t>Sales and result</w:t>
      </w:r>
    </w:p>
    <w:p w:rsidR="009256F2" w:rsidRPr="00884E98" w:rsidRDefault="008D4FB2" w:rsidP="0064523D">
      <w:pPr>
        <w:spacing w:line="276" w:lineRule="auto"/>
        <w:rPr>
          <w:rFonts w:ascii="Verdana" w:hAnsi="Verdana"/>
          <w:color w:val="000000"/>
          <w:sz w:val="20"/>
        </w:rPr>
      </w:pPr>
      <w:r w:rsidRPr="00884E98">
        <w:rPr>
          <w:rFonts w:ascii="Verdana" w:hAnsi="Verdana"/>
          <w:color w:val="000000"/>
          <w:sz w:val="20"/>
        </w:rPr>
        <w:t>The sales results</w:t>
      </w:r>
      <w:r w:rsidR="009256F2" w:rsidRPr="00884E98">
        <w:rPr>
          <w:rFonts w:ascii="Verdana" w:hAnsi="Verdana"/>
          <w:color w:val="000000"/>
          <w:sz w:val="20"/>
        </w:rPr>
        <w:t xml:space="preserve"> broken down by customer segment:</w:t>
      </w:r>
    </w:p>
    <w:p w:rsidR="009256F2" w:rsidRPr="00884E98" w:rsidRDefault="009256F2" w:rsidP="0064523D">
      <w:pPr>
        <w:spacing w:line="276" w:lineRule="auto"/>
        <w:rPr>
          <w:rFonts w:ascii="Verdana" w:hAnsi="Verdana" w:cs="Verdana"/>
          <w:bCs/>
          <w:color w:val="000000"/>
          <w:sz w:val="20"/>
        </w:rPr>
      </w:pPr>
    </w:p>
    <w:tbl>
      <w:tblPr>
        <w:tblW w:w="9036" w:type="dxa"/>
        <w:tblInd w:w="2" w:type="dxa"/>
        <w:tblLook w:val="00A0"/>
      </w:tblPr>
      <w:tblGrid>
        <w:gridCol w:w="5068"/>
        <w:gridCol w:w="1275"/>
        <w:gridCol w:w="1418"/>
        <w:gridCol w:w="1275"/>
      </w:tblGrid>
      <w:tr w:rsidR="00691A1A" w:rsidRPr="00884E98" w:rsidTr="00884E98">
        <w:tc>
          <w:tcPr>
            <w:tcW w:w="5068" w:type="dxa"/>
            <w:tcBorders>
              <w:bottom w:val="single" w:sz="4" w:space="0" w:color="auto"/>
            </w:tcBorders>
          </w:tcPr>
          <w:p w:rsidR="00691A1A" w:rsidRPr="00884E98" w:rsidRDefault="008473C4" w:rsidP="0064523D">
            <w:pPr>
              <w:spacing w:line="276" w:lineRule="auto"/>
              <w:rPr>
                <w:rFonts w:ascii="Verdana" w:hAnsi="Verdana" w:cs="Verdana"/>
                <w:sz w:val="20"/>
              </w:rPr>
            </w:pPr>
            <w:r>
              <w:rPr>
                <w:rFonts w:ascii="Verdana" w:hAnsi="Verdana"/>
                <w:sz w:val="20"/>
              </w:rPr>
              <w:t>(</w:t>
            </w:r>
            <w:r w:rsidR="0064523D" w:rsidRPr="00884E98">
              <w:rPr>
                <w:rFonts w:ascii="Verdana" w:hAnsi="Verdana"/>
                <w:sz w:val="20"/>
              </w:rPr>
              <w:t xml:space="preserve">EUR </w:t>
            </w:r>
            <w:r w:rsidR="00691A1A" w:rsidRPr="00884E98">
              <w:rPr>
                <w:rFonts w:ascii="Verdana" w:hAnsi="Verdana"/>
                <w:sz w:val="20"/>
              </w:rPr>
              <w:t>x 1,000)</w:t>
            </w:r>
          </w:p>
        </w:tc>
        <w:tc>
          <w:tcPr>
            <w:tcW w:w="1275" w:type="dxa"/>
            <w:tcBorders>
              <w:bottom w:val="single" w:sz="4" w:space="0" w:color="auto"/>
            </w:tcBorders>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201</w:t>
            </w:r>
            <w:r w:rsidR="00023C0C" w:rsidRPr="00884E98">
              <w:rPr>
                <w:rFonts w:ascii="Verdana" w:hAnsi="Verdana"/>
                <w:sz w:val="20"/>
              </w:rPr>
              <w:t>6</w:t>
            </w:r>
          </w:p>
        </w:tc>
        <w:tc>
          <w:tcPr>
            <w:tcW w:w="1418" w:type="dxa"/>
            <w:tcBorders>
              <w:bottom w:val="single" w:sz="4" w:space="0" w:color="auto"/>
            </w:tcBorders>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201</w:t>
            </w:r>
            <w:r w:rsidR="00023C0C" w:rsidRPr="00884E98">
              <w:rPr>
                <w:rFonts w:ascii="Verdana" w:hAnsi="Verdana"/>
                <w:sz w:val="20"/>
              </w:rPr>
              <w:t>5</w:t>
            </w:r>
          </w:p>
        </w:tc>
        <w:tc>
          <w:tcPr>
            <w:tcW w:w="1275" w:type="dxa"/>
            <w:tcBorders>
              <w:bottom w:val="single" w:sz="4" w:space="0" w:color="auto"/>
            </w:tcBorders>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change</w:t>
            </w:r>
          </w:p>
        </w:tc>
      </w:tr>
      <w:tr w:rsidR="00691A1A" w:rsidRPr="00884E98" w:rsidTr="00884E98">
        <w:tc>
          <w:tcPr>
            <w:tcW w:w="5068" w:type="dxa"/>
            <w:tcBorders>
              <w:top w:val="single" w:sz="4" w:space="0" w:color="auto"/>
            </w:tcBorders>
          </w:tcPr>
          <w:p w:rsidR="00691A1A" w:rsidRPr="00884E98" w:rsidRDefault="00691A1A" w:rsidP="0064523D">
            <w:pPr>
              <w:spacing w:line="276" w:lineRule="auto"/>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418"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r>
      <w:tr w:rsidR="00691A1A" w:rsidRPr="00884E98" w:rsidTr="00884E98">
        <w:tc>
          <w:tcPr>
            <w:tcW w:w="5068" w:type="dxa"/>
          </w:tcPr>
          <w:p w:rsidR="00691A1A" w:rsidRPr="00884E98" w:rsidRDefault="00691A1A" w:rsidP="0064523D">
            <w:pPr>
              <w:spacing w:line="276" w:lineRule="auto"/>
              <w:rPr>
                <w:rFonts w:ascii="Verdana" w:hAnsi="Verdana" w:cs="Verdana"/>
                <w:sz w:val="20"/>
              </w:rPr>
            </w:pPr>
            <w:r w:rsidRPr="00884E98">
              <w:rPr>
                <w:rFonts w:ascii="Verdana" w:hAnsi="Verdana"/>
                <w:sz w:val="20"/>
              </w:rPr>
              <w:t>Automotive</w:t>
            </w:r>
          </w:p>
        </w:tc>
        <w:tc>
          <w:tcPr>
            <w:tcW w:w="1275" w:type="dxa"/>
          </w:tcPr>
          <w:p w:rsidR="00691A1A" w:rsidRPr="00884E98" w:rsidRDefault="00023C0C" w:rsidP="0064523D">
            <w:pPr>
              <w:spacing w:line="276" w:lineRule="auto"/>
              <w:jc w:val="right"/>
              <w:rPr>
                <w:rFonts w:ascii="Verdana" w:hAnsi="Verdana" w:cs="Verdana"/>
                <w:sz w:val="20"/>
              </w:rPr>
            </w:pPr>
            <w:r w:rsidRPr="00884E98">
              <w:rPr>
                <w:rFonts w:ascii="Verdana" w:hAnsi="Verdana"/>
                <w:sz w:val="20"/>
              </w:rPr>
              <w:t>4,013</w:t>
            </w:r>
          </w:p>
        </w:tc>
        <w:tc>
          <w:tcPr>
            <w:tcW w:w="1418" w:type="dxa"/>
          </w:tcPr>
          <w:p w:rsidR="00691A1A" w:rsidRPr="00884E98" w:rsidRDefault="00023C0C" w:rsidP="0064523D">
            <w:pPr>
              <w:spacing w:line="276" w:lineRule="auto"/>
              <w:jc w:val="right"/>
              <w:rPr>
                <w:rFonts w:ascii="Verdana" w:hAnsi="Verdana" w:cs="Verdana"/>
                <w:sz w:val="20"/>
              </w:rPr>
            </w:pPr>
            <w:r w:rsidRPr="00884E98">
              <w:rPr>
                <w:rFonts w:ascii="Verdana" w:hAnsi="Verdana"/>
                <w:sz w:val="20"/>
              </w:rPr>
              <w:t>3,021</w:t>
            </w:r>
          </w:p>
        </w:tc>
        <w:tc>
          <w:tcPr>
            <w:tcW w:w="1275" w:type="dxa"/>
          </w:tcPr>
          <w:p w:rsidR="00691A1A" w:rsidRPr="00884E98" w:rsidRDefault="00956A02" w:rsidP="0064523D">
            <w:pPr>
              <w:spacing w:line="276" w:lineRule="auto"/>
              <w:jc w:val="right"/>
              <w:rPr>
                <w:rFonts w:ascii="Verdana" w:hAnsi="Verdana" w:cs="Verdana"/>
                <w:sz w:val="20"/>
              </w:rPr>
            </w:pPr>
            <w:r w:rsidRPr="00884E98">
              <w:rPr>
                <w:rFonts w:ascii="Verdana" w:hAnsi="Verdana"/>
                <w:sz w:val="20"/>
              </w:rPr>
              <w:t>+</w:t>
            </w:r>
            <w:r w:rsidR="00023C0C" w:rsidRPr="00884E98">
              <w:rPr>
                <w:rFonts w:ascii="Verdana" w:hAnsi="Verdana"/>
                <w:sz w:val="20"/>
              </w:rPr>
              <w:t>33</w:t>
            </w:r>
            <w:r w:rsidR="00691A1A" w:rsidRPr="00884E98">
              <w:rPr>
                <w:rFonts w:ascii="Verdana" w:hAnsi="Verdana"/>
                <w:sz w:val="20"/>
              </w:rPr>
              <w:t>%</w:t>
            </w:r>
          </w:p>
        </w:tc>
      </w:tr>
      <w:tr w:rsidR="00691A1A" w:rsidRPr="00884E98" w:rsidTr="00884E98">
        <w:tc>
          <w:tcPr>
            <w:tcW w:w="5068" w:type="dxa"/>
          </w:tcPr>
          <w:p w:rsidR="00691A1A" w:rsidRPr="00884E98" w:rsidRDefault="00691A1A" w:rsidP="0064523D">
            <w:pPr>
              <w:spacing w:line="276" w:lineRule="auto"/>
              <w:rPr>
                <w:rFonts w:ascii="Verdana" w:hAnsi="Verdana" w:cs="Verdana"/>
                <w:sz w:val="20"/>
              </w:rPr>
            </w:pPr>
            <w:r w:rsidRPr="00884E98">
              <w:rPr>
                <w:rFonts w:ascii="Verdana" w:hAnsi="Verdana"/>
                <w:sz w:val="20"/>
              </w:rPr>
              <w:t>Industrial/Medical</w:t>
            </w:r>
          </w:p>
        </w:tc>
        <w:tc>
          <w:tcPr>
            <w:tcW w:w="1275" w:type="dxa"/>
          </w:tcPr>
          <w:p w:rsidR="00691A1A" w:rsidRPr="00884E98" w:rsidRDefault="00023C0C" w:rsidP="0064523D">
            <w:pPr>
              <w:spacing w:line="276" w:lineRule="auto"/>
              <w:jc w:val="right"/>
              <w:rPr>
                <w:rFonts w:ascii="Verdana" w:hAnsi="Verdana" w:cs="Verdana"/>
                <w:sz w:val="20"/>
              </w:rPr>
            </w:pPr>
            <w:r w:rsidRPr="00884E98">
              <w:rPr>
                <w:rFonts w:ascii="Verdana" w:hAnsi="Verdana"/>
                <w:sz w:val="20"/>
              </w:rPr>
              <w:t>4,700</w:t>
            </w:r>
          </w:p>
        </w:tc>
        <w:tc>
          <w:tcPr>
            <w:tcW w:w="1418" w:type="dxa"/>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5,</w:t>
            </w:r>
            <w:r w:rsidR="00023C0C" w:rsidRPr="00884E98">
              <w:rPr>
                <w:rFonts w:ascii="Verdana" w:hAnsi="Verdana"/>
                <w:sz w:val="20"/>
              </w:rPr>
              <w:t>201</w:t>
            </w:r>
          </w:p>
        </w:tc>
        <w:tc>
          <w:tcPr>
            <w:tcW w:w="1275" w:type="dxa"/>
          </w:tcPr>
          <w:p w:rsidR="00691A1A" w:rsidRPr="00884E98" w:rsidRDefault="00956A02" w:rsidP="0064523D">
            <w:pPr>
              <w:spacing w:line="276" w:lineRule="auto"/>
              <w:jc w:val="right"/>
              <w:rPr>
                <w:rFonts w:ascii="Verdana" w:hAnsi="Verdana" w:cs="Verdana"/>
                <w:sz w:val="20"/>
              </w:rPr>
            </w:pPr>
            <w:r w:rsidRPr="00884E98">
              <w:rPr>
                <w:rFonts w:ascii="Verdana" w:hAnsi="Verdana"/>
                <w:sz w:val="20"/>
              </w:rPr>
              <w:t>-</w:t>
            </w:r>
            <w:r w:rsidR="00023C0C" w:rsidRPr="00884E98">
              <w:rPr>
                <w:rFonts w:ascii="Verdana" w:hAnsi="Verdana"/>
                <w:sz w:val="20"/>
              </w:rPr>
              <w:t>10</w:t>
            </w:r>
            <w:r w:rsidR="00691A1A" w:rsidRPr="00884E98">
              <w:rPr>
                <w:rFonts w:ascii="Verdana" w:hAnsi="Verdana"/>
                <w:sz w:val="20"/>
              </w:rPr>
              <w:t>%</w:t>
            </w:r>
          </w:p>
        </w:tc>
      </w:tr>
      <w:tr w:rsidR="00691A1A" w:rsidRPr="00884E98" w:rsidTr="00884E98">
        <w:tc>
          <w:tcPr>
            <w:tcW w:w="5068" w:type="dxa"/>
          </w:tcPr>
          <w:p w:rsidR="00691A1A" w:rsidRPr="00884E98" w:rsidRDefault="00472454" w:rsidP="0064523D">
            <w:pPr>
              <w:spacing w:line="276" w:lineRule="auto"/>
              <w:rPr>
                <w:rFonts w:ascii="Verdana" w:hAnsi="Verdana" w:cs="Verdana"/>
                <w:sz w:val="20"/>
              </w:rPr>
            </w:pPr>
            <w:r w:rsidRPr="00884E98">
              <w:rPr>
                <w:rFonts w:ascii="Verdana" w:hAnsi="Verdana"/>
                <w:sz w:val="20"/>
              </w:rPr>
              <w:t>Hi-</w:t>
            </w:r>
            <w:proofErr w:type="spellStart"/>
            <w:r w:rsidRPr="00884E98">
              <w:rPr>
                <w:rFonts w:ascii="Verdana" w:hAnsi="Verdana"/>
                <w:sz w:val="20"/>
              </w:rPr>
              <w:t>rel</w:t>
            </w:r>
            <w:proofErr w:type="spellEnd"/>
            <w:r w:rsidRPr="00884E98">
              <w:rPr>
                <w:rFonts w:ascii="Verdana" w:hAnsi="Verdana"/>
                <w:sz w:val="20"/>
              </w:rPr>
              <w:t>/Space</w:t>
            </w:r>
            <w:r w:rsidRPr="00884E98" w:rsidDel="00472454">
              <w:rPr>
                <w:rFonts w:ascii="Verdana" w:hAnsi="Verdana"/>
                <w:sz w:val="20"/>
              </w:rPr>
              <w:t xml:space="preserve"> </w:t>
            </w:r>
          </w:p>
        </w:tc>
        <w:tc>
          <w:tcPr>
            <w:tcW w:w="1275" w:type="dxa"/>
          </w:tcPr>
          <w:p w:rsidR="00691A1A" w:rsidRPr="00884E98" w:rsidRDefault="00472454" w:rsidP="0064523D">
            <w:pPr>
              <w:spacing w:line="276" w:lineRule="auto"/>
              <w:jc w:val="right"/>
              <w:rPr>
                <w:rFonts w:ascii="Verdana" w:hAnsi="Verdana" w:cs="Verdana"/>
                <w:sz w:val="20"/>
              </w:rPr>
            </w:pPr>
            <w:r w:rsidRPr="00884E98">
              <w:rPr>
                <w:rFonts w:ascii="Verdana" w:hAnsi="Verdana" w:cs="Verdana"/>
                <w:sz w:val="20"/>
              </w:rPr>
              <w:t>779</w:t>
            </w:r>
          </w:p>
        </w:tc>
        <w:tc>
          <w:tcPr>
            <w:tcW w:w="1418" w:type="dxa"/>
          </w:tcPr>
          <w:p w:rsidR="00691A1A" w:rsidRPr="00884E98" w:rsidRDefault="00472454" w:rsidP="0064523D">
            <w:pPr>
              <w:spacing w:line="276" w:lineRule="auto"/>
              <w:jc w:val="right"/>
              <w:rPr>
                <w:rFonts w:ascii="Verdana" w:hAnsi="Verdana" w:cs="Verdana"/>
                <w:sz w:val="20"/>
              </w:rPr>
            </w:pPr>
            <w:r w:rsidRPr="00884E98">
              <w:rPr>
                <w:rFonts w:ascii="Verdana" w:hAnsi="Verdana"/>
                <w:sz w:val="20"/>
              </w:rPr>
              <w:t>668</w:t>
            </w:r>
          </w:p>
        </w:tc>
        <w:tc>
          <w:tcPr>
            <w:tcW w:w="1275" w:type="dxa"/>
          </w:tcPr>
          <w:p w:rsidR="00691A1A" w:rsidRPr="00884E98" w:rsidRDefault="00472454" w:rsidP="0064523D">
            <w:pPr>
              <w:spacing w:line="276" w:lineRule="auto"/>
              <w:jc w:val="right"/>
              <w:rPr>
                <w:rFonts w:ascii="Verdana" w:hAnsi="Verdana" w:cs="Verdana"/>
                <w:sz w:val="20"/>
              </w:rPr>
            </w:pPr>
            <w:r w:rsidRPr="00884E98">
              <w:rPr>
                <w:rFonts w:ascii="Verdana" w:hAnsi="Verdana"/>
                <w:sz w:val="20"/>
              </w:rPr>
              <w:t>+17%</w:t>
            </w:r>
          </w:p>
        </w:tc>
      </w:tr>
      <w:tr w:rsidR="00691A1A" w:rsidRPr="00884E98" w:rsidTr="00884E98">
        <w:tc>
          <w:tcPr>
            <w:tcW w:w="5068" w:type="dxa"/>
            <w:tcBorders>
              <w:bottom w:val="single" w:sz="4" w:space="0" w:color="auto"/>
            </w:tcBorders>
          </w:tcPr>
          <w:p w:rsidR="00691A1A" w:rsidRPr="00884E98" w:rsidRDefault="00884E98" w:rsidP="0064523D">
            <w:pPr>
              <w:spacing w:line="276" w:lineRule="auto"/>
              <w:rPr>
                <w:rFonts w:ascii="Verdana" w:hAnsi="Verdana" w:cs="Verdana"/>
                <w:sz w:val="20"/>
              </w:rPr>
            </w:pPr>
            <w:r w:rsidRPr="00884E98">
              <w:rPr>
                <w:rFonts w:ascii="Verdana" w:hAnsi="Verdana"/>
                <w:sz w:val="20"/>
              </w:rPr>
              <w:t>Others</w:t>
            </w:r>
          </w:p>
        </w:tc>
        <w:tc>
          <w:tcPr>
            <w:tcW w:w="1275" w:type="dxa"/>
            <w:tcBorders>
              <w:bottom w:val="single" w:sz="4" w:space="0" w:color="auto"/>
            </w:tcBorders>
          </w:tcPr>
          <w:p w:rsidR="00691A1A" w:rsidRPr="00884E98" w:rsidRDefault="00884E98" w:rsidP="0064523D">
            <w:pPr>
              <w:spacing w:line="276" w:lineRule="auto"/>
              <w:jc w:val="right"/>
              <w:rPr>
                <w:rFonts w:ascii="Verdana" w:hAnsi="Verdana" w:cs="Verdana"/>
                <w:sz w:val="20"/>
              </w:rPr>
            </w:pPr>
            <w:r w:rsidRPr="00884E98">
              <w:rPr>
                <w:rFonts w:ascii="Verdana" w:hAnsi="Verdana"/>
                <w:sz w:val="20"/>
              </w:rPr>
              <w:t>973</w:t>
            </w:r>
          </w:p>
        </w:tc>
        <w:tc>
          <w:tcPr>
            <w:tcW w:w="1418" w:type="dxa"/>
            <w:tcBorders>
              <w:bottom w:val="single" w:sz="4" w:space="0" w:color="auto"/>
            </w:tcBorders>
          </w:tcPr>
          <w:p w:rsidR="00691A1A" w:rsidRPr="00884E98" w:rsidRDefault="00884E98" w:rsidP="0064523D">
            <w:pPr>
              <w:spacing w:line="276" w:lineRule="auto"/>
              <w:jc w:val="right"/>
              <w:rPr>
                <w:rFonts w:ascii="Verdana" w:hAnsi="Verdana" w:cs="Verdana"/>
                <w:sz w:val="20"/>
              </w:rPr>
            </w:pPr>
            <w:r w:rsidRPr="00884E98">
              <w:rPr>
                <w:rFonts w:ascii="Verdana" w:hAnsi="Verdana"/>
                <w:sz w:val="20"/>
              </w:rPr>
              <w:t>1,360</w:t>
            </w:r>
          </w:p>
        </w:tc>
        <w:tc>
          <w:tcPr>
            <w:tcW w:w="1275" w:type="dxa"/>
            <w:tcBorders>
              <w:bottom w:val="single" w:sz="4" w:space="0" w:color="auto"/>
            </w:tcBorders>
          </w:tcPr>
          <w:p w:rsidR="00691A1A" w:rsidRPr="00884E98" w:rsidRDefault="00884E98" w:rsidP="0064523D">
            <w:pPr>
              <w:spacing w:line="276" w:lineRule="auto"/>
              <w:jc w:val="right"/>
              <w:rPr>
                <w:rFonts w:ascii="Verdana" w:hAnsi="Verdana" w:cs="Verdana"/>
                <w:sz w:val="20"/>
              </w:rPr>
            </w:pPr>
            <w:r w:rsidRPr="00884E98">
              <w:rPr>
                <w:rFonts w:ascii="Verdana" w:hAnsi="Verdana"/>
                <w:sz w:val="20"/>
              </w:rPr>
              <w:t>28%</w:t>
            </w:r>
          </w:p>
        </w:tc>
      </w:tr>
      <w:tr w:rsidR="00691A1A" w:rsidRPr="00884E98" w:rsidTr="00884E98">
        <w:tc>
          <w:tcPr>
            <w:tcW w:w="5068" w:type="dxa"/>
            <w:tcBorders>
              <w:top w:val="single" w:sz="4" w:space="0" w:color="auto"/>
            </w:tcBorders>
          </w:tcPr>
          <w:p w:rsidR="00691A1A" w:rsidRPr="00884E98" w:rsidRDefault="00691A1A" w:rsidP="0064523D">
            <w:pPr>
              <w:spacing w:line="276" w:lineRule="auto"/>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418"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r>
      <w:tr w:rsidR="00691A1A" w:rsidRPr="00884E98" w:rsidTr="00884E98">
        <w:tc>
          <w:tcPr>
            <w:tcW w:w="5068" w:type="dxa"/>
          </w:tcPr>
          <w:p w:rsidR="00691A1A" w:rsidRPr="00884E98" w:rsidRDefault="00691A1A" w:rsidP="0064523D">
            <w:pPr>
              <w:spacing w:line="276" w:lineRule="auto"/>
              <w:rPr>
                <w:rFonts w:ascii="Verdana" w:hAnsi="Verdana" w:cs="Verdana"/>
                <w:b/>
                <w:bCs/>
                <w:sz w:val="20"/>
              </w:rPr>
            </w:pPr>
            <w:r w:rsidRPr="00884E98">
              <w:rPr>
                <w:rFonts w:ascii="Verdana" w:hAnsi="Verdana"/>
                <w:b/>
                <w:sz w:val="20"/>
              </w:rPr>
              <w:t>Total</w:t>
            </w:r>
          </w:p>
        </w:tc>
        <w:tc>
          <w:tcPr>
            <w:tcW w:w="1275" w:type="dxa"/>
          </w:tcPr>
          <w:p w:rsidR="00691A1A" w:rsidRPr="00884E98" w:rsidRDefault="00691A1A" w:rsidP="0064523D">
            <w:pPr>
              <w:spacing w:line="276" w:lineRule="auto"/>
              <w:jc w:val="right"/>
              <w:rPr>
                <w:rFonts w:ascii="Verdana" w:hAnsi="Verdana" w:cs="Verdana"/>
                <w:b/>
                <w:bCs/>
                <w:sz w:val="20"/>
              </w:rPr>
            </w:pPr>
            <w:r w:rsidRPr="00884E98">
              <w:rPr>
                <w:rFonts w:ascii="Verdana" w:hAnsi="Verdana"/>
                <w:b/>
                <w:sz w:val="20"/>
              </w:rPr>
              <w:t>1</w:t>
            </w:r>
            <w:r w:rsidR="004455DC" w:rsidRPr="00884E98">
              <w:rPr>
                <w:rFonts w:ascii="Verdana" w:hAnsi="Verdana"/>
                <w:b/>
                <w:sz w:val="20"/>
              </w:rPr>
              <w:t>0,465</w:t>
            </w:r>
          </w:p>
        </w:tc>
        <w:tc>
          <w:tcPr>
            <w:tcW w:w="1418" w:type="dxa"/>
          </w:tcPr>
          <w:p w:rsidR="00691A1A" w:rsidRPr="00884E98" w:rsidRDefault="004455DC" w:rsidP="0064523D">
            <w:pPr>
              <w:spacing w:line="276" w:lineRule="auto"/>
              <w:jc w:val="right"/>
              <w:rPr>
                <w:rFonts w:ascii="Verdana" w:hAnsi="Verdana" w:cs="Verdana"/>
                <w:b/>
                <w:bCs/>
                <w:sz w:val="20"/>
              </w:rPr>
            </w:pPr>
            <w:r w:rsidRPr="00884E98">
              <w:rPr>
                <w:rFonts w:ascii="Verdana" w:hAnsi="Verdana"/>
                <w:b/>
                <w:sz w:val="20"/>
              </w:rPr>
              <w:t>10,250</w:t>
            </w:r>
          </w:p>
        </w:tc>
        <w:tc>
          <w:tcPr>
            <w:tcW w:w="1275" w:type="dxa"/>
          </w:tcPr>
          <w:p w:rsidR="00691A1A" w:rsidRPr="00884E98" w:rsidRDefault="00956A02" w:rsidP="0064523D">
            <w:pPr>
              <w:spacing w:line="276" w:lineRule="auto"/>
              <w:jc w:val="right"/>
              <w:rPr>
                <w:rFonts w:ascii="Verdana" w:hAnsi="Verdana" w:cs="Verdana"/>
                <w:b/>
                <w:bCs/>
                <w:sz w:val="20"/>
              </w:rPr>
            </w:pPr>
            <w:r w:rsidRPr="00884E98">
              <w:rPr>
                <w:rFonts w:ascii="Verdana" w:hAnsi="Verdana"/>
                <w:b/>
                <w:sz w:val="20"/>
              </w:rPr>
              <w:t>+</w:t>
            </w:r>
            <w:r w:rsidR="00023C0C" w:rsidRPr="00884E98">
              <w:rPr>
                <w:rFonts w:ascii="Verdana" w:hAnsi="Verdana"/>
                <w:b/>
                <w:sz w:val="20"/>
              </w:rPr>
              <w:t>2</w:t>
            </w:r>
            <w:r w:rsidR="00691A1A" w:rsidRPr="00884E98">
              <w:rPr>
                <w:rFonts w:ascii="Verdana" w:hAnsi="Verdana"/>
                <w:b/>
                <w:sz w:val="20"/>
              </w:rPr>
              <w:t>%</w:t>
            </w:r>
          </w:p>
        </w:tc>
      </w:tr>
    </w:tbl>
    <w:p w:rsidR="00023C0C" w:rsidRDefault="00023C0C" w:rsidP="0064523D">
      <w:pPr>
        <w:spacing w:line="276" w:lineRule="auto"/>
        <w:rPr>
          <w:rFonts w:ascii="Verdana" w:hAnsi="Verdana" w:cs="Verdana"/>
          <w:sz w:val="20"/>
          <w:highlight w:val="yellow"/>
        </w:rPr>
      </w:pPr>
    </w:p>
    <w:p w:rsidR="000B00BA" w:rsidRPr="00884E98" w:rsidRDefault="000B00BA" w:rsidP="0064523D">
      <w:pPr>
        <w:spacing w:line="276" w:lineRule="auto"/>
        <w:rPr>
          <w:rFonts w:ascii="Verdana" w:hAnsi="Verdana" w:cs="Verdana"/>
          <w:sz w:val="20"/>
          <w:highlight w:val="yellow"/>
        </w:rPr>
      </w:pPr>
    </w:p>
    <w:p w:rsidR="007E2539" w:rsidRPr="00884E98" w:rsidRDefault="00066D20" w:rsidP="0064523D">
      <w:pPr>
        <w:spacing w:line="276" w:lineRule="auto"/>
        <w:rPr>
          <w:rFonts w:ascii="Verdana" w:hAnsi="Verdana" w:cs="Verdana"/>
          <w:sz w:val="20"/>
        </w:rPr>
      </w:pPr>
      <w:r w:rsidRPr="00884E98">
        <w:rPr>
          <w:rFonts w:ascii="Verdana" w:hAnsi="Verdana" w:cs="Verdana"/>
          <w:sz w:val="20"/>
        </w:rPr>
        <w:t>The increase in the automotive market</w:t>
      </w:r>
      <w:r w:rsidR="002816A1" w:rsidRPr="00884E98">
        <w:rPr>
          <w:rFonts w:ascii="Verdana" w:hAnsi="Verdana" w:cs="Verdana"/>
          <w:sz w:val="20"/>
        </w:rPr>
        <w:t xml:space="preserve"> is a result of </w:t>
      </w:r>
      <w:r w:rsidR="007E2539" w:rsidRPr="00884E98">
        <w:rPr>
          <w:rFonts w:ascii="Verdana" w:hAnsi="Verdana" w:cs="Verdana"/>
          <w:sz w:val="20"/>
        </w:rPr>
        <w:t>efforts to consolidate</w:t>
      </w:r>
      <w:r w:rsidRPr="00884E98">
        <w:rPr>
          <w:rFonts w:ascii="Verdana" w:hAnsi="Verdana" w:cs="Verdana"/>
          <w:sz w:val="20"/>
        </w:rPr>
        <w:t xml:space="preserve"> </w:t>
      </w:r>
      <w:r w:rsidR="007E2539" w:rsidRPr="00884E98">
        <w:rPr>
          <w:rFonts w:ascii="Verdana" w:hAnsi="Verdana" w:cs="Verdana"/>
          <w:sz w:val="20"/>
        </w:rPr>
        <w:t xml:space="preserve">our </w:t>
      </w:r>
      <w:r w:rsidR="008D4FB2" w:rsidRPr="00884E98">
        <w:rPr>
          <w:rFonts w:ascii="Verdana" w:hAnsi="Verdana" w:cs="Verdana"/>
          <w:sz w:val="20"/>
        </w:rPr>
        <w:t>Automotive Competence C</w:t>
      </w:r>
      <w:r w:rsidR="007E2539" w:rsidRPr="00884E98">
        <w:rPr>
          <w:rFonts w:ascii="Verdana" w:hAnsi="Verdana" w:cs="Verdana"/>
          <w:sz w:val="20"/>
        </w:rPr>
        <w:t>entre and attract large new orders in automotive. Our growth in this sector is very much in line with our strategic goals to expand our activities in this industry, which is being revolutionised by the disruptive technologies of artificial intelligence, automation and the internet of things, driving up demand for bespoke semiconductor products and services.</w:t>
      </w:r>
    </w:p>
    <w:p w:rsidR="005B7FBE" w:rsidRPr="00884E98" w:rsidRDefault="005B7FBE" w:rsidP="0064523D">
      <w:pPr>
        <w:spacing w:line="276" w:lineRule="auto"/>
        <w:rPr>
          <w:rFonts w:ascii="Verdana" w:hAnsi="Verdana" w:cs="Verdana"/>
          <w:sz w:val="20"/>
        </w:rPr>
      </w:pPr>
    </w:p>
    <w:p w:rsidR="00226027" w:rsidRPr="00884E98" w:rsidRDefault="00162247" w:rsidP="0064523D">
      <w:pPr>
        <w:spacing w:line="276" w:lineRule="auto"/>
        <w:rPr>
          <w:rFonts w:ascii="Verdana" w:hAnsi="Verdana" w:cs="Verdana"/>
          <w:sz w:val="20"/>
        </w:rPr>
      </w:pPr>
      <w:r w:rsidRPr="00884E98">
        <w:rPr>
          <w:rFonts w:ascii="Verdana" w:hAnsi="Verdana" w:cs="Verdana"/>
          <w:sz w:val="20"/>
        </w:rPr>
        <w:t xml:space="preserve">The </w:t>
      </w:r>
      <w:r w:rsidR="008D4FB2" w:rsidRPr="00884E98">
        <w:rPr>
          <w:rFonts w:ascii="Verdana" w:hAnsi="Verdana" w:cs="Verdana"/>
          <w:sz w:val="20"/>
        </w:rPr>
        <w:t>i</w:t>
      </w:r>
      <w:r w:rsidR="00066D20" w:rsidRPr="00884E98">
        <w:rPr>
          <w:rFonts w:ascii="Verdana" w:hAnsi="Verdana" w:cs="Verdana"/>
          <w:sz w:val="20"/>
        </w:rPr>
        <w:t>ndustrial</w:t>
      </w:r>
      <w:r w:rsidR="008D4FB2" w:rsidRPr="00884E98">
        <w:rPr>
          <w:rFonts w:ascii="Verdana" w:hAnsi="Verdana" w:cs="Verdana"/>
          <w:sz w:val="20"/>
        </w:rPr>
        <w:t>/m</w:t>
      </w:r>
      <w:r w:rsidRPr="00884E98">
        <w:rPr>
          <w:rFonts w:ascii="Verdana" w:hAnsi="Verdana" w:cs="Verdana"/>
          <w:sz w:val="20"/>
        </w:rPr>
        <w:t>edical segment saw a 10% decrease compared to 2015 due to delays of a large order by a Brazilian client in the sector, tied to the economic difficulties in the market. We expect the regained momentum of this project to contribute to a pick-up in sales into 2017. A solid increase in sales over the Hi-</w:t>
      </w:r>
      <w:proofErr w:type="spellStart"/>
      <w:r w:rsidRPr="00884E98">
        <w:rPr>
          <w:rFonts w:ascii="Verdana" w:hAnsi="Verdana" w:cs="Verdana"/>
          <w:sz w:val="20"/>
        </w:rPr>
        <w:t>rel</w:t>
      </w:r>
      <w:proofErr w:type="spellEnd"/>
      <w:r w:rsidRPr="00884E98">
        <w:rPr>
          <w:rFonts w:ascii="Verdana" w:hAnsi="Verdana" w:cs="Verdana"/>
          <w:sz w:val="20"/>
        </w:rPr>
        <w:t xml:space="preserve">/Space field underlines </w:t>
      </w:r>
      <w:proofErr w:type="spellStart"/>
      <w:r w:rsidR="00282285" w:rsidRPr="00282285">
        <w:rPr>
          <w:rFonts w:ascii="Verdana" w:hAnsi="Verdana"/>
          <w:color w:val="C00000"/>
          <w:sz w:val="20"/>
        </w:rPr>
        <w:t>Rood</w:t>
      </w:r>
      <w:r w:rsidRPr="00884E98">
        <w:rPr>
          <w:rFonts w:ascii="Verdana" w:hAnsi="Verdana" w:cs="Verdana"/>
          <w:sz w:val="20"/>
        </w:rPr>
        <w:t>Microtec’s</w:t>
      </w:r>
      <w:proofErr w:type="spellEnd"/>
      <w:r w:rsidRPr="00884E98">
        <w:rPr>
          <w:rFonts w:ascii="Verdana" w:hAnsi="Verdana" w:cs="Verdana"/>
          <w:sz w:val="20"/>
        </w:rPr>
        <w:t xml:space="preserve"> market expansion into this </w:t>
      </w:r>
      <w:r w:rsidR="00D60BC0" w:rsidRPr="00884E98">
        <w:rPr>
          <w:rFonts w:ascii="Verdana" w:hAnsi="Verdana" w:cs="Verdana"/>
          <w:sz w:val="20"/>
        </w:rPr>
        <w:t>high-tech</w:t>
      </w:r>
      <w:r w:rsidR="00F10437" w:rsidRPr="00884E98">
        <w:rPr>
          <w:rFonts w:ascii="Verdana" w:hAnsi="Verdana" w:cs="Verdana"/>
          <w:sz w:val="20"/>
        </w:rPr>
        <w:t xml:space="preserve"> </w:t>
      </w:r>
      <w:r w:rsidRPr="00884E98">
        <w:rPr>
          <w:rFonts w:ascii="Verdana" w:hAnsi="Verdana" w:cs="Verdana"/>
          <w:sz w:val="20"/>
        </w:rPr>
        <w:t xml:space="preserve">field </w:t>
      </w:r>
      <w:r w:rsidR="00226027" w:rsidRPr="00884E98">
        <w:rPr>
          <w:rFonts w:ascii="Verdana" w:hAnsi="Verdana" w:cs="Verdana"/>
          <w:sz w:val="20"/>
        </w:rPr>
        <w:t xml:space="preserve">with exceptionally stringent quality standards. Other sectors have seen a net sales decline which resulted from difficulties in the broader European semiconductor market, and a strategic shift towards the automotive and industrial sectors. </w:t>
      </w:r>
    </w:p>
    <w:p w:rsidR="00691A1A" w:rsidRDefault="00691A1A" w:rsidP="0064523D">
      <w:pPr>
        <w:spacing w:line="276" w:lineRule="auto"/>
        <w:rPr>
          <w:rFonts w:ascii="Verdana" w:hAnsi="Verdana" w:cs="Verdana"/>
          <w:sz w:val="20"/>
          <w:highlight w:val="yellow"/>
        </w:rPr>
      </w:pPr>
    </w:p>
    <w:p w:rsidR="000B00BA" w:rsidRPr="00884E98" w:rsidRDefault="000B00BA" w:rsidP="0064523D">
      <w:pPr>
        <w:spacing w:line="276" w:lineRule="auto"/>
        <w:rPr>
          <w:rFonts w:ascii="Verdana" w:hAnsi="Verdana" w:cs="Verdana"/>
          <w:sz w:val="20"/>
          <w:highlight w:val="yellow"/>
        </w:rPr>
      </w:pPr>
    </w:p>
    <w:p w:rsidR="00691A1A" w:rsidRPr="00884E98" w:rsidRDefault="00691A1A" w:rsidP="0064523D">
      <w:pPr>
        <w:spacing w:line="276" w:lineRule="auto"/>
        <w:rPr>
          <w:rFonts w:ascii="Verdana" w:hAnsi="Verdana" w:cs="Verdana"/>
          <w:b/>
          <w:bCs/>
          <w:color w:val="000000"/>
          <w:sz w:val="20"/>
        </w:rPr>
      </w:pPr>
      <w:r w:rsidRPr="00884E98">
        <w:rPr>
          <w:rFonts w:ascii="Verdana" w:hAnsi="Verdana"/>
          <w:color w:val="000000"/>
          <w:sz w:val="20"/>
        </w:rPr>
        <w:t>The sales results of the business units were as follows:</w:t>
      </w:r>
    </w:p>
    <w:p w:rsidR="00691A1A" w:rsidRPr="0064523D" w:rsidRDefault="00691A1A" w:rsidP="0064523D">
      <w:pPr>
        <w:spacing w:line="276" w:lineRule="auto"/>
        <w:rPr>
          <w:rFonts w:ascii="Verdana" w:hAnsi="Verdana" w:cs="Verdana"/>
          <w:sz w:val="20"/>
          <w:highlight w:val="yellow"/>
        </w:rPr>
      </w:pPr>
    </w:p>
    <w:tbl>
      <w:tblPr>
        <w:tblW w:w="8896" w:type="dxa"/>
        <w:tblLook w:val="00A0"/>
      </w:tblPr>
      <w:tblGrid>
        <w:gridCol w:w="4786"/>
        <w:gridCol w:w="1455"/>
        <w:gridCol w:w="1380"/>
        <w:gridCol w:w="1275"/>
      </w:tblGrid>
      <w:tr w:rsidR="00691A1A" w:rsidRPr="00884E98" w:rsidTr="0064523D">
        <w:tc>
          <w:tcPr>
            <w:tcW w:w="4786" w:type="dxa"/>
            <w:tcBorders>
              <w:bottom w:val="single" w:sz="4" w:space="0" w:color="auto"/>
            </w:tcBorders>
          </w:tcPr>
          <w:p w:rsidR="00691A1A" w:rsidRPr="00884E98" w:rsidRDefault="00691A1A" w:rsidP="0064523D">
            <w:pPr>
              <w:spacing w:line="276" w:lineRule="auto"/>
              <w:rPr>
                <w:rFonts w:ascii="Verdana" w:hAnsi="Verdana" w:cs="Verdana"/>
                <w:sz w:val="20"/>
              </w:rPr>
            </w:pPr>
            <w:r w:rsidRPr="00884E98">
              <w:rPr>
                <w:rFonts w:ascii="Verdana" w:hAnsi="Verdana"/>
                <w:sz w:val="20"/>
              </w:rPr>
              <w:t>(</w:t>
            </w:r>
            <w:r w:rsidR="0064523D" w:rsidRPr="00884E98">
              <w:rPr>
                <w:rFonts w:ascii="Verdana" w:hAnsi="Verdana"/>
                <w:sz w:val="20"/>
              </w:rPr>
              <w:t xml:space="preserve">EUR </w:t>
            </w:r>
            <w:r w:rsidRPr="00884E98">
              <w:rPr>
                <w:rFonts w:ascii="Verdana" w:hAnsi="Verdana"/>
                <w:sz w:val="20"/>
              </w:rPr>
              <w:t>x 1,000)</w:t>
            </w:r>
          </w:p>
        </w:tc>
        <w:tc>
          <w:tcPr>
            <w:tcW w:w="1455" w:type="dxa"/>
            <w:tcBorders>
              <w:bottom w:val="single" w:sz="4" w:space="0" w:color="auto"/>
            </w:tcBorders>
          </w:tcPr>
          <w:p w:rsidR="00691A1A" w:rsidRPr="00884E98" w:rsidRDefault="00691A1A" w:rsidP="0064523D">
            <w:pPr>
              <w:spacing w:line="276" w:lineRule="auto"/>
              <w:ind w:left="-250"/>
              <w:jc w:val="right"/>
              <w:rPr>
                <w:rFonts w:ascii="Verdana" w:hAnsi="Verdana" w:cs="Verdana"/>
                <w:sz w:val="20"/>
              </w:rPr>
            </w:pPr>
            <w:r w:rsidRPr="00884E98">
              <w:rPr>
                <w:rFonts w:ascii="Verdana" w:hAnsi="Verdana"/>
                <w:sz w:val="20"/>
              </w:rPr>
              <w:t>201</w:t>
            </w:r>
            <w:r w:rsidR="00C8648B" w:rsidRPr="00884E98">
              <w:rPr>
                <w:rFonts w:ascii="Verdana" w:hAnsi="Verdana"/>
                <w:sz w:val="20"/>
              </w:rPr>
              <w:t>6</w:t>
            </w:r>
          </w:p>
        </w:tc>
        <w:tc>
          <w:tcPr>
            <w:tcW w:w="1380" w:type="dxa"/>
            <w:tcBorders>
              <w:bottom w:val="single" w:sz="4" w:space="0" w:color="auto"/>
            </w:tcBorders>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201</w:t>
            </w:r>
            <w:r w:rsidR="00C8648B" w:rsidRPr="00884E98">
              <w:rPr>
                <w:rFonts w:ascii="Verdana" w:hAnsi="Verdana"/>
                <w:sz w:val="20"/>
              </w:rPr>
              <w:t>5</w:t>
            </w:r>
          </w:p>
        </w:tc>
        <w:tc>
          <w:tcPr>
            <w:tcW w:w="1275" w:type="dxa"/>
            <w:tcBorders>
              <w:bottom w:val="single" w:sz="4" w:space="0" w:color="auto"/>
            </w:tcBorders>
          </w:tcPr>
          <w:p w:rsidR="00691A1A" w:rsidRPr="00884E98" w:rsidRDefault="00691A1A" w:rsidP="0064523D">
            <w:pPr>
              <w:spacing w:line="276" w:lineRule="auto"/>
              <w:jc w:val="right"/>
              <w:rPr>
                <w:rFonts w:ascii="Verdana" w:hAnsi="Verdana" w:cs="Verdana"/>
                <w:sz w:val="20"/>
              </w:rPr>
            </w:pPr>
            <w:r w:rsidRPr="00884E98">
              <w:rPr>
                <w:rFonts w:ascii="Verdana" w:hAnsi="Verdana"/>
                <w:sz w:val="20"/>
              </w:rPr>
              <w:t>change</w:t>
            </w:r>
          </w:p>
        </w:tc>
      </w:tr>
      <w:tr w:rsidR="00691A1A" w:rsidRPr="00884E98" w:rsidTr="0064523D">
        <w:tc>
          <w:tcPr>
            <w:tcW w:w="4786" w:type="dxa"/>
            <w:tcBorders>
              <w:top w:val="single" w:sz="4" w:space="0" w:color="auto"/>
            </w:tcBorders>
          </w:tcPr>
          <w:p w:rsidR="00691A1A" w:rsidRPr="00884E98" w:rsidRDefault="00691A1A" w:rsidP="0064523D">
            <w:pPr>
              <w:spacing w:line="276" w:lineRule="auto"/>
              <w:rPr>
                <w:rFonts w:ascii="Verdana" w:hAnsi="Verdana" w:cs="Verdana"/>
                <w:sz w:val="20"/>
              </w:rPr>
            </w:pPr>
          </w:p>
        </w:tc>
        <w:tc>
          <w:tcPr>
            <w:tcW w:w="1455" w:type="dxa"/>
            <w:tcBorders>
              <w:top w:val="single" w:sz="4" w:space="0" w:color="auto"/>
            </w:tcBorders>
          </w:tcPr>
          <w:p w:rsidR="00691A1A" w:rsidRPr="00884E98" w:rsidRDefault="00691A1A" w:rsidP="0064523D">
            <w:pPr>
              <w:spacing w:line="276" w:lineRule="auto"/>
              <w:ind w:left="-250"/>
              <w:jc w:val="right"/>
              <w:rPr>
                <w:rFonts w:ascii="Verdana" w:hAnsi="Verdana" w:cs="Verdana"/>
                <w:sz w:val="20"/>
              </w:rPr>
            </w:pPr>
          </w:p>
        </w:tc>
        <w:tc>
          <w:tcPr>
            <w:tcW w:w="1380"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r>
      <w:tr w:rsidR="00691A1A" w:rsidRPr="00884E98" w:rsidTr="0064523D">
        <w:tc>
          <w:tcPr>
            <w:tcW w:w="4786" w:type="dxa"/>
          </w:tcPr>
          <w:p w:rsidR="00691A1A" w:rsidRPr="00884E98" w:rsidRDefault="00691A1A" w:rsidP="0064523D">
            <w:pPr>
              <w:spacing w:line="276" w:lineRule="auto"/>
              <w:rPr>
                <w:rFonts w:ascii="Verdana" w:hAnsi="Verdana" w:cs="Verdana"/>
                <w:sz w:val="20"/>
              </w:rPr>
            </w:pPr>
            <w:r w:rsidRPr="00884E98">
              <w:rPr>
                <w:rFonts w:ascii="Verdana" w:hAnsi="Verdana"/>
                <w:sz w:val="20"/>
              </w:rPr>
              <w:t>Test</w:t>
            </w:r>
            <w:r w:rsidR="00C8648B" w:rsidRPr="00884E98">
              <w:rPr>
                <w:rFonts w:ascii="Verdana" w:hAnsi="Verdana"/>
                <w:sz w:val="20"/>
              </w:rPr>
              <w:t xml:space="preserve"> Operations</w:t>
            </w:r>
          </w:p>
        </w:tc>
        <w:tc>
          <w:tcPr>
            <w:tcW w:w="1455" w:type="dxa"/>
          </w:tcPr>
          <w:p w:rsidR="00691A1A" w:rsidRPr="00884E98" w:rsidRDefault="00C8648B" w:rsidP="0064523D">
            <w:pPr>
              <w:spacing w:line="276" w:lineRule="auto"/>
              <w:ind w:left="-250"/>
              <w:jc w:val="right"/>
              <w:rPr>
                <w:rFonts w:ascii="Verdana" w:hAnsi="Verdana" w:cs="Verdana"/>
                <w:sz w:val="20"/>
              </w:rPr>
            </w:pPr>
            <w:r w:rsidRPr="00884E98">
              <w:rPr>
                <w:rFonts w:ascii="Verdana" w:hAnsi="Verdana"/>
                <w:sz w:val="20"/>
              </w:rPr>
              <w:t>3,727</w:t>
            </w:r>
          </w:p>
        </w:tc>
        <w:tc>
          <w:tcPr>
            <w:tcW w:w="1380"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3,676</w:t>
            </w:r>
          </w:p>
        </w:tc>
        <w:tc>
          <w:tcPr>
            <w:tcW w:w="1275"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+1</w:t>
            </w:r>
            <w:r w:rsidR="00691A1A" w:rsidRPr="00884E98">
              <w:rPr>
                <w:rFonts w:ascii="Verdana" w:hAnsi="Verdana"/>
                <w:sz w:val="20"/>
              </w:rPr>
              <w:t>%</w:t>
            </w:r>
          </w:p>
        </w:tc>
      </w:tr>
      <w:tr w:rsidR="00691A1A" w:rsidRPr="00884E98" w:rsidTr="0064523D">
        <w:tc>
          <w:tcPr>
            <w:tcW w:w="4786" w:type="dxa"/>
          </w:tcPr>
          <w:p w:rsidR="00691A1A" w:rsidRPr="00884E98" w:rsidRDefault="00691A1A" w:rsidP="0064523D">
            <w:pPr>
              <w:spacing w:line="276" w:lineRule="auto"/>
              <w:rPr>
                <w:rFonts w:ascii="Verdana" w:hAnsi="Verdana" w:cs="Verdana"/>
                <w:sz w:val="20"/>
              </w:rPr>
            </w:pPr>
            <w:r w:rsidRPr="00884E98">
              <w:rPr>
                <w:rFonts w:ascii="Verdana" w:hAnsi="Verdana"/>
                <w:sz w:val="20"/>
              </w:rPr>
              <w:t>Supply Chain Management</w:t>
            </w:r>
          </w:p>
        </w:tc>
        <w:tc>
          <w:tcPr>
            <w:tcW w:w="1455" w:type="dxa"/>
          </w:tcPr>
          <w:p w:rsidR="00691A1A" w:rsidRPr="00884E98" w:rsidRDefault="00C8648B" w:rsidP="0064523D">
            <w:pPr>
              <w:spacing w:line="276" w:lineRule="auto"/>
              <w:ind w:left="-250"/>
              <w:jc w:val="right"/>
              <w:rPr>
                <w:rFonts w:ascii="Verdana" w:hAnsi="Verdana" w:cs="Verdana"/>
                <w:sz w:val="20"/>
              </w:rPr>
            </w:pPr>
            <w:r w:rsidRPr="00884E98">
              <w:rPr>
                <w:rFonts w:ascii="Verdana" w:hAnsi="Verdana"/>
                <w:sz w:val="20"/>
              </w:rPr>
              <w:t>2,077</w:t>
            </w:r>
          </w:p>
        </w:tc>
        <w:tc>
          <w:tcPr>
            <w:tcW w:w="1380"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2,348</w:t>
            </w:r>
          </w:p>
        </w:tc>
        <w:tc>
          <w:tcPr>
            <w:tcW w:w="1275"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-12</w:t>
            </w:r>
            <w:r w:rsidR="00691A1A" w:rsidRPr="00884E98">
              <w:rPr>
                <w:rFonts w:ascii="Verdana" w:hAnsi="Verdana"/>
                <w:sz w:val="20"/>
              </w:rPr>
              <w:t>%</w:t>
            </w:r>
          </w:p>
        </w:tc>
      </w:tr>
      <w:tr w:rsidR="00691A1A" w:rsidRPr="00884E98" w:rsidTr="0064523D">
        <w:tc>
          <w:tcPr>
            <w:tcW w:w="4786" w:type="dxa"/>
          </w:tcPr>
          <w:p w:rsidR="00691A1A" w:rsidRPr="00884E98" w:rsidRDefault="00691A1A" w:rsidP="0064523D">
            <w:pPr>
              <w:spacing w:line="276" w:lineRule="auto"/>
              <w:rPr>
                <w:rFonts w:ascii="Verdana" w:hAnsi="Verdana" w:cs="Verdana"/>
                <w:sz w:val="20"/>
              </w:rPr>
            </w:pPr>
            <w:r w:rsidRPr="00884E98">
              <w:rPr>
                <w:rFonts w:ascii="Verdana" w:hAnsi="Verdana"/>
                <w:sz w:val="20"/>
              </w:rPr>
              <w:t>Failure &amp; Technology Analysis</w:t>
            </w:r>
          </w:p>
        </w:tc>
        <w:tc>
          <w:tcPr>
            <w:tcW w:w="1455" w:type="dxa"/>
          </w:tcPr>
          <w:p w:rsidR="00691A1A" w:rsidRPr="00884E98" w:rsidRDefault="00C8648B" w:rsidP="0064523D">
            <w:pPr>
              <w:spacing w:line="276" w:lineRule="auto"/>
              <w:ind w:left="-250"/>
              <w:jc w:val="right"/>
              <w:rPr>
                <w:rFonts w:ascii="Verdana" w:hAnsi="Verdana" w:cs="Verdana"/>
                <w:sz w:val="20"/>
              </w:rPr>
            </w:pPr>
            <w:r w:rsidRPr="00884E98">
              <w:rPr>
                <w:rFonts w:ascii="Verdana" w:hAnsi="Verdana"/>
                <w:sz w:val="20"/>
              </w:rPr>
              <w:t>1,494</w:t>
            </w:r>
          </w:p>
        </w:tc>
        <w:tc>
          <w:tcPr>
            <w:tcW w:w="1380"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1,655</w:t>
            </w:r>
          </w:p>
        </w:tc>
        <w:tc>
          <w:tcPr>
            <w:tcW w:w="1275"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-10</w:t>
            </w:r>
            <w:r w:rsidR="00956A02" w:rsidRPr="00884E98">
              <w:rPr>
                <w:rFonts w:ascii="Verdana" w:hAnsi="Verdana"/>
                <w:sz w:val="20"/>
              </w:rPr>
              <w:t>%</w:t>
            </w:r>
          </w:p>
        </w:tc>
      </w:tr>
      <w:tr w:rsidR="00691A1A" w:rsidRPr="00884E98" w:rsidTr="0064523D">
        <w:tc>
          <w:tcPr>
            <w:tcW w:w="4786" w:type="dxa"/>
          </w:tcPr>
          <w:p w:rsidR="00691A1A" w:rsidRPr="00884E98" w:rsidRDefault="00691A1A" w:rsidP="0064523D">
            <w:pPr>
              <w:spacing w:line="276" w:lineRule="auto"/>
              <w:rPr>
                <w:rFonts w:ascii="Verdana" w:hAnsi="Verdana" w:cs="Verdana"/>
                <w:sz w:val="20"/>
              </w:rPr>
            </w:pPr>
            <w:r w:rsidRPr="00884E98">
              <w:rPr>
                <w:rFonts w:ascii="Verdana" w:hAnsi="Verdana"/>
                <w:sz w:val="20"/>
              </w:rPr>
              <w:t>Test Engineering</w:t>
            </w:r>
          </w:p>
        </w:tc>
        <w:tc>
          <w:tcPr>
            <w:tcW w:w="1455" w:type="dxa"/>
          </w:tcPr>
          <w:p w:rsidR="00691A1A" w:rsidRPr="00884E98" w:rsidRDefault="00C8648B" w:rsidP="0064523D">
            <w:pPr>
              <w:spacing w:line="276" w:lineRule="auto"/>
              <w:ind w:left="-250"/>
              <w:jc w:val="right"/>
              <w:rPr>
                <w:rFonts w:ascii="Verdana" w:hAnsi="Verdana" w:cs="Verdana"/>
                <w:sz w:val="20"/>
              </w:rPr>
            </w:pPr>
            <w:r w:rsidRPr="00884E98">
              <w:rPr>
                <w:rFonts w:ascii="Verdana" w:hAnsi="Verdana"/>
                <w:sz w:val="20"/>
              </w:rPr>
              <w:t>471</w:t>
            </w:r>
          </w:p>
        </w:tc>
        <w:tc>
          <w:tcPr>
            <w:tcW w:w="1380"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437</w:t>
            </w:r>
          </w:p>
        </w:tc>
        <w:tc>
          <w:tcPr>
            <w:tcW w:w="1275"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+8</w:t>
            </w:r>
            <w:r w:rsidR="00691A1A" w:rsidRPr="00884E98">
              <w:rPr>
                <w:rFonts w:ascii="Verdana" w:hAnsi="Verdana"/>
                <w:sz w:val="20"/>
              </w:rPr>
              <w:t>%</w:t>
            </w:r>
          </w:p>
        </w:tc>
      </w:tr>
      <w:tr w:rsidR="00691A1A" w:rsidRPr="00884E98" w:rsidTr="0064523D">
        <w:tc>
          <w:tcPr>
            <w:tcW w:w="4786" w:type="dxa"/>
          </w:tcPr>
          <w:p w:rsidR="00691A1A" w:rsidRPr="00884E98" w:rsidRDefault="00691A1A" w:rsidP="0064523D">
            <w:pPr>
              <w:spacing w:line="276" w:lineRule="auto"/>
              <w:rPr>
                <w:rFonts w:ascii="Verdana" w:hAnsi="Verdana" w:cs="Verdana"/>
                <w:sz w:val="20"/>
              </w:rPr>
            </w:pPr>
            <w:r w:rsidRPr="00884E98">
              <w:rPr>
                <w:rFonts w:ascii="Verdana" w:hAnsi="Verdana"/>
                <w:sz w:val="20"/>
              </w:rPr>
              <w:t>Qualification &amp; Reliability</w:t>
            </w:r>
            <w:r w:rsidR="008D4FB2" w:rsidRPr="00884E98">
              <w:rPr>
                <w:rFonts w:ascii="Verdana" w:hAnsi="Verdana"/>
                <w:sz w:val="20"/>
              </w:rPr>
              <w:t xml:space="preserve"> Investigations</w:t>
            </w:r>
          </w:p>
        </w:tc>
        <w:tc>
          <w:tcPr>
            <w:tcW w:w="1455" w:type="dxa"/>
          </w:tcPr>
          <w:p w:rsidR="00691A1A" w:rsidRPr="00884E98" w:rsidRDefault="00C8648B" w:rsidP="0064523D">
            <w:pPr>
              <w:spacing w:line="276" w:lineRule="auto"/>
              <w:ind w:left="-250"/>
              <w:jc w:val="right"/>
              <w:rPr>
                <w:rFonts w:ascii="Verdana" w:hAnsi="Verdana" w:cs="Verdana"/>
                <w:sz w:val="20"/>
              </w:rPr>
            </w:pPr>
            <w:r w:rsidRPr="00884E98">
              <w:rPr>
                <w:rFonts w:ascii="Verdana" w:hAnsi="Verdana"/>
                <w:sz w:val="20"/>
              </w:rPr>
              <w:t>2,696</w:t>
            </w:r>
          </w:p>
        </w:tc>
        <w:tc>
          <w:tcPr>
            <w:tcW w:w="1380"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2,134</w:t>
            </w:r>
          </w:p>
        </w:tc>
        <w:tc>
          <w:tcPr>
            <w:tcW w:w="1275" w:type="dxa"/>
          </w:tcPr>
          <w:p w:rsidR="00691A1A" w:rsidRPr="00884E98" w:rsidRDefault="00C8648B" w:rsidP="0064523D">
            <w:pPr>
              <w:spacing w:line="276" w:lineRule="auto"/>
              <w:jc w:val="right"/>
              <w:rPr>
                <w:rFonts w:ascii="Verdana" w:hAnsi="Verdana" w:cs="Verdana"/>
                <w:sz w:val="20"/>
              </w:rPr>
            </w:pPr>
            <w:r w:rsidRPr="00884E98">
              <w:rPr>
                <w:rFonts w:ascii="Verdana" w:hAnsi="Verdana"/>
                <w:sz w:val="20"/>
              </w:rPr>
              <w:t>+26</w:t>
            </w:r>
            <w:r w:rsidR="00691A1A" w:rsidRPr="00884E98">
              <w:rPr>
                <w:rFonts w:ascii="Verdana" w:hAnsi="Verdana"/>
                <w:sz w:val="20"/>
              </w:rPr>
              <w:t>%</w:t>
            </w:r>
          </w:p>
        </w:tc>
      </w:tr>
      <w:tr w:rsidR="00691A1A" w:rsidRPr="00884E98" w:rsidTr="0064523D">
        <w:tc>
          <w:tcPr>
            <w:tcW w:w="4786" w:type="dxa"/>
            <w:tcBorders>
              <w:top w:val="single" w:sz="4" w:space="0" w:color="auto"/>
            </w:tcBorders>
          </w:tcPr>
          <w:p w:rsidR="00691A1A" w:rsidRPr="00884E98" w:rsidRDefault="00691A1A" w:rsidP="0064523D">
            <w:pPr>
              <w:spacing w:line="276" w:lineRule="auto"/>
              <w:rPr>
                <w:rFonts w:ascii="Verdana" w:hAnsi="Verdana" w:cs="Verdana"/>
                <w:sz w:val="20"/>
              </w:rPr>
            </w:pPr>
          </w:p>
        </w:tc>
        <w:tc>
          <w:tcPr>
            <w:tcW w:w="1455" w:type="dxa"/>
            <w:tcBorders>
              <w:top w:val="single" w:sz="4" w:space="0" w:color="auto"/>
            </w:tcBorders>
          </w:tcPr>
          <w:p w:rsidR="00691A1A" w:rsidRPr="00884E98" w:rsidRDefault="00691A1A" w:rsidP="0064523D">
            <w:pPr>
              <w:spacing w:line="276" w:lineRule="auto"/>
              <w:ind w:left="-250"/>
              <w:jc w:val="right"/>
              <w:rPr>
                <w:rFonts w:ascii="Verdana" w:hAnsi="Verdana" w:cs="Verdana"/>
                <w:sz w:val="20"/>
              </w:rPr>
            </w:pPr>
          </w:p>
        </w:tc>
        <w:tc>
          <w:tcPr>
            <w:tcW w:w="1380"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c>
          <w:tcPr>
            <w:tcW w:w="1275" w:type="dxa"/>
            <w:tcBorders>
              <w:top w:val="single" w:sz="4" w:space="0" w:color="auto"/>
            </w:tcBorders>
          </w:tcPr>
          <w:p w:rsidR="00691A1A" w:rsidRPr="00884E98" w:rsidRDefault="00691A1A" w:rsidP="0064523D">
            <w:pPr>
              <w:spacing w:line="276" w:lineRule="auto"/>
              <w:jc w:val="right"/>
              <w:rPr>
                <w:rFonts w:ascii="Verdana" w:hAnsi="Verdana" w:cs="Verdana"/>
                <w:sz w:val="20"/>
              </w:rPr>
            </w:pPr>
          </w:p>
        </w:tc>
      </w:tr>
      <w:tr w:rsidR="00691A1A" w:rsidRPr="00884E98" w:rsidTr="0064523D">
        <w:tc>
          <w:tcPr>
            <w:tcW w:w="4786" w:type="dxa"/>
          </w:tcPr>
          <w:p w:rsidR="00691A1A" w:rsidRPr="00884E98" w:rsidRDefault="00691A1A" w:rsidP="0064523D">
            <w:pPr>
              <w:spacing w:line="276" w:lineRule="auto"/>
              <w:rPr>
                <w:rFonts w:ascii="Verdana" w:hAnsi="Verdana" w:cs="Verdana"/>
                <w:b/>
                <w:bCs/>
                <w:sz w:val="20"/>
              </w:rPr>
            </w:pPr>
            <w:r w:rsidRPr="00884E98">
              <w:rPr>
                <w:rFonts w:ascii="Verdana" w:hAnsi="Verdana"/>
                <w:b/>
                <w:sz w:val="20"/>
              </w:rPr>
              <w:t>Total</w:t>
            </w:r>
          </w:p>
        </w:tc>
        <w:tc>
          <w:tcPr>
            <w:tcW w:w="1455" w:type="dxa"/>
          </w:tcPr>
          <w:p w:rsidR="00691A1A" w:rsidRPr="00884E98" w:rsidRDefault="00C8648B" w:rsidP="0064523D">
            <w:pPr>
              <w:spacing w:line="276" w:lineRule="auto"/>
              <w:ind w:left="-250"/>
              <w:jc w:val="right"/>
              <w:rPr>
                <w:rFonts w:ascii="Verdana" w:hAnsi="Verdana" w:cs="Verdana"/>
                <w:b/>
                <w:bCs/>
                <w:sz w:val="20"/>
              </w:rPr>
            </w:pPr>
            <w:r w:rsidRPr="00884E98">
              <w:rPr>
                <w:rFonts w:ascii="Verdana" w:hAnsi="Verdana"/>
                <w:b/>
                <w:sz w:val="20"/>
              </w:rPr>
              <w:t>10,465</w:t>
            </w:r>
          </w:p>
        </w:tc>
        <w:tc>
          <w:tcPr>
            <w:tcW w:w="1380" w:type="dxa"/>
          </w:tcPr>
          <w:p w:rsidR="00691A1A" w:rsidRPr="00884E98" w:rsidRDefault="00C8648B" w:rsidP="0064523D">
            <w:pPr>
              <w:spacing w:line="276" w:lineRule="auto"/>
              <w:jc w:val="right"/>
              <w:rPr>
                <w:rFonts w:ascii="Verdana" w:hAnsi="Verdana" w:cs="Verdana"/>
                <w:b/>
                <w:bCs/>
                <w:sz w:val="20"/>
              </w:rPr>
            </w:pPr>
            <w:r w:rsidRPr="00884E98">
              <w:rPr>
                <w:rFonts w:ascii="Verdana" w:hAnsi="Verdana"/>
                <w:b/>
                <w:sz w:val="20"/>
              </w:rPr>
              <w:t>10,250</w:t>
            </w:r>
          </w:p>
        </w:tc>
        <w:tc>
          <w:tcPr>
            <w:tcW w:w="1275" w:type="dxa"/>
          </w:tcPr>
          <w:p w:rsidR="00691A1A" w:rsidRPr="00884E98" w:rsidRDefault="00C8648B" w:rsidP="0064523D">
            <w:pPr>
              <w:spacing w:line="276" w:lineRule="auto"/>
              <w:jc w:val="right"/>
              <w:rPr>
                <w:rFonts w:ascii="Verdana" w:hAnsi="Verdana" w:cs="Verdana"/>
                <w:b/>
                <w:bCs/>
                <w:sz w:val="20"/>
              </w:rPr>
            </w:pPr>
            <w:r w:rsidRPr="00884E98">
              <w:rPr>
                <w:rFonts w:ascii="Verdana" w:hAnsi="Verdana"/>
                <w:b/>
                <w:sz w:val="20"/>
              </w:rPr>
              <w:t>+2</w:t>
            </w:r>
            <w:r w:rsidR="00691A1A" w:rsidRPr="00884E98">
              <w:rPr>
                <w:rFonts w:ascii="Verdana" w:hAnsi="Verdana"/>
                <w:b/>
                <w:sz w:val="20"/>
              </w:rPr>
              <w:t>%</w:t>
            </w:r>
          </w:p>
        </w:tc>
      </w:tr>
    </w:tbl>
    <w:p w:rsidR="00B64310" w:rsidRPr="00884E98" w:rsidRDefault="00B64310" w:rsidP="0064523D">
      <w:pPr>
        <w:rPr>
          <w:rFonts w:ascii="Verdana" w:hAnsi="Verdana" w:cs="Silom"/>
          <w:sz w:val="20"/>
          <w:lang w:eastAsia="zh-CN"/>
        </w:rPr>
      </w:pPr>
    </w:p>
    <w:p w:rsidR="00B64310" w:rsidRPr="00884E98" w:rsidRDefault="00B64310" w:rsidP="0064523D">
      <w:pPr>
        <w:rPr>
          <w:rFonts w:ascii="Verdana" w:hAnsi="Verdana" w:cs="Silom"/>
          <w:sz w:val="20"/>
          <w:lang w:eastAsia="zh-CN"/>
        </w:rPr>
      </w:pPr>
    </w:p>
    <w:p w:rsidR="000F7888" w:rsidRDefault="000F7888" w:rsidP="0064523D">
      <w:pPr>
        <w:spacing w:after="200" w:line="276" w:lineRule="auto"/>
        <w:rPr>
          <w:rFonts w:ascii="Verdana" w:hAnsi="Verdana"/>
          <w:b/>
          <w:color w:val="B71234"/>
          <w:sz w:val="20"/>
        </w:rPr>
      </w:pPr>
      <w:r>
        <w:rPr>
          <w:rFonts w:ascii="Verdana" w:hAnsi="Verdana"/>
          <w:b/>
          <w:color w:val="B71234"/>
          <w:sz w:val="20"/>
        </w:rPr>
        <w:br w:type="page"/>
      </w:r>
    </w:p>
    <w:p w:rsidR="008D4FB2" w:rsidRPr="008473C4" w:rsidRDefault="008D4FB2" w:rsidP="0064523D">
      <w:pPr>
        <w:spacing w:after="200" w:line="276" w:lineRule="auto"/>
        <w:rPr>
          <w:rFonts w:ascii="Verdana" w:hAnsi="Verdana"/>
          <w:b/>
          <w:color w:val="B71234"/>
          <w:sz w:val="20"/>
        </w:rPr>
      </w:pPr>
      <w:r w:rsidRPr="008473C4">
        <w:rPr>
          <w:rFonts w:ascii="Verdana" w:hAnsi="Verdana"/>
          <w:b/>
          <w:color w:val="B71234"/>
          <w:sz w:val="20"/>
        </w:rPr>
        <w:lastRenderedPageBreak/>
        <w:t>Developments</w:t>
      </w:r>
    </w:p>
    <w:p w:rsidR="00C8648B" w:rsidRPr="00884E98" w:rsidRDefault="006162A3" w:rsidP="0064523D">
      <w:pPr>
        <w:spacing w:line="276" w:lineRule="auto"/>
        <w:rPr>
          <w:rFonts w:ascii="Verdana" w:hAnsi="Verdana" w:cs="Silom"/>
          <w:sz w:val="20"/>
          <w:lang w:eastAsia="zh-CN"/>
        </w:rPr>
      </w:pPr>
      <w:r w:rsidRPr="00884E98">
        <w:rPr>
          <w:rFonts w:ascii="Verdana" w:hAnsi="Verdana" w:cs="Silom"/>
          <w:sz w:val="20"/>
          <w:lang w:eastAsia="zh-CN"/>
        </w:rPr>
        <w:t xml:space="preserve">The </w:t>
      </w:r>
      <w:r w:rsidR="000F5F95" w:rsidRPr="00884E98">
        <w:rPr>
          <w:rFonts w:ascii="Verdana" w:hAnsi="Verdana" w:cs="Silom"/>
          <w:sz w:val="20"/>
          <w:lang w:eastAsia="zh-CN"/>
        </w:rPr>
        <w:t xml:space="preserve">sales of the </w:t>
      </w:r>
      <w:r w:rsidR="00C8648B" w:rsidRPr="00884E98">
        <w:rPr>
          <w:rFonts w:ascii="Verdana" w:hAnsi="Verdana" w:cs="Silom"/>
          <w:sz w:val="20"/>
          <w:lang w:eastAsia="zh-CN"/>
        </w:rPr>
        <w:t xml:space="preserve">Test </w:t>
      </w:r>
      <w:r w:rsidRPr="00884E98">
        <w:rPr>
          <w:rFonts w:ascii="Verdana" w:hAnsi="Verdana" w:cs="Silom"/>
          <w:sz w:val="20"/>
          <w:lang w:eastAsia="zh-CN"/>
        </w:rPr>
        <w:t>O</w:t>
      </w:r>
      <w:r w:rsidR="00C8648B" w:rsidRPr="00884E98">
        <w:rPr>
          <w:rFonts w:ascii="Verdana" w:hAnsi="Verdana" w:cs="Silom"/>
          <w:sz w:val="20"/>
          <w:lang w:eastAsia="zh-CN"/>
        </w:rPr>
        <w:t xml:space="preserve">perations </w:t>
      </w:r>
      <w:r w:rsidR="000F5F95" w:rsidRPr="00884E98">
        <w:rPr>
          <w:rFonts w:ascii="Verdana" w:hAnsi="Verdana" w:cs="Silom"/>
          <w:sz w:val="20"/>
          <w:lang w:eastAsia="zh-CN"/>
        </w:rPr>
        <w:t xml:space="preserve">Business Unit was stable as </w:t>
      </w:r>
      <w:proofErr w:type="spellStart"/>
      <w:r w:rsidR="00282285" w:rsidRPr="00282285">
        <w:rPr>
          <w:rFonts w:ascii="Verdana" w:hAnsi="Verdana"/>
          <w:color w:val="C00000"/>
          <w:sz w:val="20"/>
        </w:rPr>
        <w:t>Rood</w:t>
      </w:r>
      <w:r w:rsidR="000F5F95" w:rsidRPr="00884E98">
        <w:rPr>
          <w:rFonts w:ascii="Verdana" w:hAnsi="Verdana" w:cs="Silom"/>
          <w:sz w:val="20"/>
          <w:lang w:eastAsia="zh-CN"/>
        </w:rPr>
        <w:t>Microtec</w:t>
      </w:r>
      <w:proofErr w:type="spellEnd"/>
      <w:r w:rsidR="00C8648B" w:rsidRPr="00884E98">
        <w:rPr>
          <w:rFonts w:ascii="Verdana" w:hAnsi="Verdana" w:cs="Silom"/>
          <w:sz w:val="20"/>
          <w:lang w:eastAsia="zh-CN"/>
        </w:rPr>
        <w:t xml:space="preserve"> prepar</w:t>
      </w:r>
      <w:r w:rsidR="000F5F95" w:rsidRPr="00884E98">
        <w:rPr>
          <w:rFonts w:ascii="Verdana" w:hAnsi="Verdana" w:cs="Silom"/>
          <w:sz w:val="20"/>
          <w:lang w:eastAsia="zh-CN"/>
        </w:rPr>
        <w:t>es</w:t>
      </w:r>
      <w:r w:rsidR="00C8648B" w:rsidRPr="00884E98">
        <w:rPr>
          <w:rFonts w:ascii="Verdana" w:hAnsi="Verdana" w:cs="Silom"/>
          <w:sz w:val="20"/>
          <w:lang w:eastAsia="zh-CN"/>
        </w:rPr>
        <w:t xml:space="preserve"> for the increase in orders that </w:t>
      </w:r>
      <w:r w:rsidR="002C07AB" w:rsidRPr="00884E98">
        <w:rPr>
          <w:rFonts w:ascii="Verdana" w:hAnsi="Verdana" w:cs="Silom"/>
          <w:sz w:val="20"/>
          <w:lang w:eastAsia="zh-CN"/>
        </w:rPr>
        <w:t xml:space="preserve">are </w:t>
      </w:r>
      <w:r w:rsidR="00C8648B" w:rsidRPr="00884E98">
        <w:rPr>
          <w:rFonts w:ascii="Verdana" w:hAnsi="Verdana" w:cs="Silom"/>
          <w:sz w:val="20"/>
          <w:lang w:eastAsia="zh-CN"/>
        </w:rPr>
        <w:t>com</w:t>
      </w:r>
      <w:r w:rsidR="002C07AB" w:rsidRPr="00884E98">
        <w:rPr>
          <w:rFonts w:ascii="Verdana" w:hAnsi="Verdana" w:cs="Silom"/>
          <w:sz w:val="20"/>
          <w:lang w:eastAsia="zh-CN"/>
        </w:rPr>
        <w:t>ing in as a result of new test equipment purchased in 2016. The n</w:t>
      </w:r>
      <w:r w:rsidR="00C8648B" w:rsidRPr="00884E98">
        <w:rPr>
          <w:rFonts w:ascii="Verdana" w:hAnsi="Verdana" w:cs="Silom"/>
          <w:sz w:val="20"/>
          <w:lang w:eastAsia="zh-CN"/>
        </w:rPr>
        <w:t>ew test system and a 12” wafer prober</w:t>
      </w:r>
      <w:r w:rsidR="002C07AB" w:rsidRPr="00884E98">
        <w:rPr>
          <w:rFonts w:ascii="Verdana" w:hAnsi="Verdana" w:cs="Silom"/>
          <w:sz w:val="20"/>
          <w:lang w:eastAsia="zh-CN"/>
        </w:rPr>
        <w:t xml:space="preserve"> that joined the </w:t>
      </w:r>
      <w:r w:rsidR="00B243AF" w:rsidRPr="00884E98">
        <w:rPr>
          <w:rFonts w:ascii="Verdana" w:hAnsi="Verdana" w:cs="Silom"/>
          <w:sz w:val="20"/>
          <w:lang w:eastAsia="zh-CN"/>
        </w:rPr>
        <w:t xml:space="preserve">company’s </w:t>
      </w:r>
      <w:r w:rsidR="002C07AB" w:rsidRPr="00884E98">
        <w:rPr>
          <w:rFonts w:ascii="Verdana" w:hAnsi="Verdana" w:cs="Silom"/>
          <w:sz w:val="20"/>
          <w:lang w:eastAsia="zh-CN"/>
        </w:rPr>
        <w:t xml:space="preserve">equipment arsenal </w:t>
      </w:r>
      <w:r w:rsidR="00C8648B" w:rsidRPr="00884E98">
        <w:rPr>
          <w:rFonts w:ascii="Verdana" w:hAnsi="Verdana" w:cs="Silom"/>
          <w:sz w:val="20"/>
          <w:lang w:eastAsia="zh-CN"/>
        </w:rPr>
        <w:t>ha</w:t>
      </w:r>
      <w:r w:rsidR="002C07AB" w:rsidRPr="00884E98">
        <w:rPr>
          <w:rFonts w:ascii="Verdana" w:hAnsi="Verdana" w:cs="Silom"/>
          <w:sz w:val="20"/>
          <w:lang w:eastAsia="zh-CN"/>
        </w:rPr>
        <w:t>ve</w:t>
      </w:r>
      <w:r w:rsidR="00C8648B" w:rsidRPr="00884E98">
        <w:rPr>
          <w:rFonts w:ascii="Verdana" w:hAnsi="Verdana" w:cs="Silom"/>
          <w:sz w:val="20"/>
          <w:lang w:eastAsia="zh-CN"/>
        </w:rPr>
        <w:t xml:space="preserve"> already generated additional sales and </w:t>
      </w:r>
      <w:r w:rsidR="002C07AB" w:rsidRPr="00884E98">
        <w:rPr>
          <w:rFonts w:ascii="Verdana" w:hAnsi="Verdana" w:cs="Silom"/>
          <w:sz w:val="20"/>
          <w:lang w:eastAsia="zh-CN"/>
        </w:rPr>
        <w:t xml:space="preserve">are expected to fuel further </w:t>
      </w:r>
      <w:r w:rsidR="00C8648B" w:rsidRPr="00884E98">
        <w:rPr>
          <w:rFonts w:ascii="Verdana" w:hAnsi="Verdana" w:cs="Silom"/>
          <w:sz w:val="20"/>
          <w:lang w:eastAsia="zh-CN"/>
        </w:rPr>
        <w:t>grow</w:t>
      </w:r>
      <w:r w:rsidR="002C07AB" w:rsidRPr="00884E98">
        <w:rPr>
          <w:rFonts w:ascii="Verdana" w:hAnsi="Verdana" w:cs="Silom"/>
          <w:sz w:val="20"/>
          <w:lang w:eastAsia="zh-CN"/>
        </w:rPr>
        <w:t>th of the business unit</w:t>
      </w:r>
      <w:r w:rsidR="00C8648B" w:rsidRPr="00884E98">
        <w:rPr>
          <w:rFonts w:ascii="Verdana" w:hAnsi="Verdana" w:cs="Silom"/>
          <w:sz w:val="20"/>
          <w:lang w:eastAsia="zh-CN"/>
        </w:rPr>
        <w:t xml:space="preserve"> in the upcoming years.</w:t>
      </w:r>
    </w:p>
    <w:p w:rsidR="00C8648B" w:rsidRPr="00884E98" w:rsidRDefault="00C8648B" w:rsidP="0064523D">
      <w:pPr>
        <w:spacing w:line="276" w:lineRule="auto"/>
        <w:rPr>
          <w:rFonts w:ascii="Verdana" w:hAnsi="Verdana" w:cs="Silom"/>
          <w:sz w:val="20"/>
          <w:lang w:eastAsia="zh-CN"/>
        </w:rPr>
      </w:pPr>
    </w:p>
    <w:p w:rsidR="00C8648B" w:rsidRPr="00884E98" w:rsidRDefault="00C8648B" w:rsidP="0064523D">
      <w:pPr>
        <w:spacing w:line="276" w:lineRule="auto"/>
        <w:rPr>
          <w:rFonts w:ascii="Verdana" w:hAnsi="Verdana" w:cs="Silom"/>
          <w:sz w:val="20"/>
          <w:lang w:eastAsia="zh-CN"/>
        </w:rPr>
      </w:pPr>
      <w:r w:rsidRPr="00884E98">
        <w:rPr>
          <w:rFonts w:ascii="Verdana" w:hAnsi="Verdana" w:cs="Silom"/>
          <w:sz w:val="20"/>
          <w:lang w:eastAsia="zh-CN"/>
        </w:rPr>
        <w:t xml:space="preserve">In Supply Chain Management </w:t>
      </w:r>
      <w:r w:rsidR="002C07AB" w:rsidRPr="00884E98">
        <w:rPr>
          <w:rFonts w:ascii="Verdana" w:hAnsi="Verdana" w:cs="Silom"/>
          <w:sz w:val="20"/>
          <w:lang w:eastAsia="zh-CN"/>
        </w:rPr>
        <w:t xml:space="preserve">(SCM) </w:t>
      </w:r>
      <w:r w:rsidRPr="00884E98">
        <w:rPr>
          <w:rFonts w:ascii="Verdana" w:hAnsi="Verdana" w:cs="Silom"/>
          <w:sz w:val="20"/>
          <w:lang w:eastAsia="zh-CN"/>
        </w:rPr>
        <w:t>we have revised</w:t>
      </w:r>
      <w:r w:rsidR="002C07AB" w:rsidRPr="00884E98">
        <w:rPr>
          <w:rFonts w:ascii="Verdana" w:hAnsi="Verdana" w:cs="Silom"/>
          <w:sz w:val="20"/>
          <w:lang w:eastAsia="zh-CN"/>
        </w:rPr>
        <w:t xml:space="preserve"> the </w:t>
      </w:r>
      <w:r w:rsidRPr="00884E98">
        <w:rPr>
          <w:rFonts w:ascii="Verdana" w:hAnsi="Verdana" w:cs="Silom"/>
          <w:sz w:val="20"/>
          <w:lang w:eastAsia="zh-CN"/>
        </w:rPr>
        <w:t>organi</w:t>
      </w:r>
      <w:r w:rsidR="002C07AB" w:rsidRPr="00884E98">
        <w:rPr>
          <w:rFonts w:ascii="Verdana" w:hAnsi="Verdana" w:cs="Silom"/>
          <w:sz w:val="20"/>
          <w:lang w:eastAsia="zh-CN"/>
        </w:rPr>
        <w:t>s</w:t>
      </w:r>
      <w:r w:rsidRPr="00884E98">
        <w:rPr>
          <w:rFonts w:ascii="Verdana" w:hAnsi="Verdana" w:cs="Silom"/>
          <w:sz w:val="20"/>
          <w:lang w:eastAsia="zh-CN"/>
        </w:rPr>
        <w:t>ation</w:t>
      </w:r>
      <w:r w:rsidR="002C07AB" w:rsidRPr="00884E98">
        <w:rPr>
          <w:rFonts w:ascii="Verdana" w:hAnsi="Verdana" w:cs="Silom"/>
          <w:sz w:val="20"/>
          <w:lang w:eastAsia="zh-CN"/>
        </w:rPr>
        <w:t>al</w:t>
      </w:r>
      <w:r w:rsidRPr="00884E98">
        <w:rPr>
          <w:rFonts w:ascii="Verdana" w:hAnsi="Verdana" w:cs="Silom"/>
          <w:sz w:val="20"/>
          <w:lang w:eastAsia="zh-CN"/>
        </w:rPr>
        <w:t xml:space="preserve"> </w:t>
      </w:r>
      <w:r w:rsidR="002C07AB" w:rsidRPr="00884E98">
        <w:rPr>
          <w:rFonts w:ascii="Verdana" w:hAnsi="Verdana" w:cs="Silom"/>
          <w:sz w:val="20"/>
          <w:lang w:eastAsia="zh-CN"/>
        </w:rPr>
        <w:t xml:space="preserve">workflow </w:t>
      </w:r>
      <w:r w:rsidR="003804E1" w:rsidRPr="00884E98">
        <w:rPr>
          <w:rFonts w:ascii="Verdana" w:hAnsi="Verdana" w:cs="Silom"/>
          <w:sz w:val="20"/>
          <w:lang w:eastAsia="zh-CN"/>
        </w:rPr>
        <w:t xml:space="preserve">of the business unit </w:t>
      </w:r>
      <w:r w:rsidRPr="00884E98">
        <w:rPr>
          <w:rFonts w:ascii="Verdana" w:hAnsi="Verdana" w:cs="Silom"/>
          <w:sz w:val="20"/>
          <w:lang w:eastAsia="zh-CN"/>
        </w:rPr>
        <w:t xml:space="preserve">to be able to handle the </w:t>
      </w:r>
      <w:r w:rsidR="002C07AB" w:rsidRPr="00884E98">
        <w:rPr>
          <w:rFonts w:ascii="Verdana" w:hAnsi="Verdana" w:cs="Silom"/>
          <w:sz w:val="20"/>
          <w:lang w:eastAsia="zh-CN"/>
        </w:rPr>
        <w:t xml:space="preserve">many </w:t>
      </w:r>
      <w:r w:rsidRPr="00884E98">
        <w:rPr>
          <w:rFonts w:ascii="Verdana" w:hAnsi="Verdana" w:cs="Silom"/>
          <w:sz w:val="20"/>
          <w:lang w:eastAsia="zh-CN"/>
        </w:rPr>
        <w:t>new projects that are ramping to production over the next years. The year-on-year revenue does not</w:t>
      </w:r>
      <w:r w:rsidR="003804E1" w:rsidRPr="00884E98">
        <w:rPr>
          <w:rFonts w:ascii="Verdana" w:hAnsi="Verdana" w:cs="Silom"/>
          <w:sz w:val="20"/>
          <w:lang w:eastAsia="zh-CN"/>
        </w:rPr>
        <w:t xml:space="preserve"> yet</w:t>
      </w:r>
      <w:r w:rsidRPr="00884E98">
        <w:rPr>
          <w:rFonts w:ascii="Verdana" w:hAnsi="Verdana" w:cs="Silom"/>
          <w:sz w:val="20"/>
          <w:lang w:eastAsia="zh-CN"/>
        </w:rPr>
        <w:t xml:space="preserve"> </w:t>
      </w:r>
      <w:r w:rsidR="003804E1" w:rsidRPr="00884E98">
        <w:rPr>
          <w:rFonts w:ascii="Verdana" w:hAnsi="Verdana" w:cs="Silom"/>
          <w:sz w:val="20"/>
          <w:lang w:eastAsia="zh-CN"/>
        </w:rPr>
        <w:t xml:space="preserve">reflect these </w:t>
      </w:r>
      <w:r w:rsidRPr="00884E98">
        <w:rPr>
          <w:rFonts w:ascii="Verdana" w:hAnsi="Verdana" w:cs="Silom"/>
          <w:sz w:val="20"/>
          <w:lang w:eastAsia="zh-CN"/>
        </w:rPr>
        <w:t>change</w:t>
      </w:r>
      <w:r w:rsidR="003804E1" w:rsidRPr="00884E98">
        <w:rPr>
          <w:rFonts w:ascii="Verdana" w:hAnsi="Verdana" w:cs="Silom"/>
          <w:sz w:val="20"/>
          <w:lang w:eastAsia="zh-CN"/>
        </w:rPr>
        <w:t>s</w:t>
      </w:r>
      <w:r w:rsidR="00487878" w:rsidRPr="00884E98">
        <w:rPr>
          <w:rFonts w:ascii="Verdana" w:hAnsi="Verdana" w:cs="Silom"/>
          <w:sz w:val="20"/>
          <w:lang w:eastAsia="zh-CN"/>
        </w:rPr>
        <w:t xml:space="preserve">, mainly due to problems </w:t>
      </w:r>
      <w:r w:rsidR="004D2BE7" w:rsidRPr="00884E98">
        <w:rPr>
          <w:rFonts w:ascii="Verdana" w:hAnsi="Verdana" w:cs="Silom"/>
          <w:sz w:val="20"/>
          <w:lang w:eastAsia="zh-CN"/>
        </w:rPr>
        <w:t>encountered by one of our</w:t>
      </w:r>
      <w:r w:rsidR="00487878" w:rsidRPr="00884E98">
        <w:rPr>
          <w:rFonts w:ascii="Verdana" w:hAnsi="Verdana" w:cs="Silom"/>
          <w:sz w:val="20"/>
          <w:lang w:eastAsia="zh-CN"/>
        </w:rPr>
        <w:t xml:space="preserve"> long</w:t>
      </w:r>
      <w:r w:rsidR="004D2BE7" w:rsidRPr="00884E98">
        <w:rPr>
          <w:rFonts w:ascii="Verdana" w:hAnsi="Verdana" w:cs="Silom"/>
          <w:sz w:val="20"/>
          <w:lang w:eastAsia="zh-CN"/>
        </w:rPr>
        <w:t>-</w:t>
      </w:r>
      <w:r w:rsidR="00487878" w:rsidRPr="00884E98">
        <w:rPr>
          <w:rFonts w:ascii="Verdana" w:hAnsi="Verdana" w:cs="Silom"/>
          <w:sz w:val="20"/>
          <w:lang w:eastAsia="zh-CN"/>
        </w:rPr>
        <w:t>term customer</w:t>
      </w:r>
      <w:r w:rsidR="004D2BE7" w:rsidRPr="00884E98">
        <w:rPr>
          <w:rFonts w:ascii="Verdana" w:hAnsi="Verdana" w:cs="Silom"/>
          <w:sz w:val="20"/>
          <w:lang w:eastAsia="zh-CN"/>
        </w:rPr>
        <w:t>s</w:t>
      </w:r>
      <w:r w:rsidR="00487878" w:rsidRPr="00884E98">
        <w:rPr>
          <w:rFonts w:ascii="Verdana" w:hAnsi="Verdana" w:cs="Silom"/>
          <w:sz w:val="20"/>
          <w:lang w:eastAsia="zh-CN"/>
        </w:rPr>
        <w:t xml:space="preserve"> in some markets</w:t>
      </w:r>
      <w:r w:rsidR="004D2BE7" w:rsidRPr="00884E98">
        <w:rPr>
          <w:rFonts w:ascii="Verdana" w:hAnsi="Verdana" w:cs="Silom"/>
          <w:sz w:val="20"/>
          <w:lang w:eastAsia="zh-CN"/>
        </w:rPr>
        <w:t xml:space="preserve">. </w:t>
      </w:r>
      <w:r w:rsidR="004D2BE7" w:rsidRPr="00963B44">
        <w:rPr>
          <w:rFonts w:ascii="Verdana" w:hAnsi="Verdana" w:cs="Silom"/>
          <w:sz w:val="20"/>
          <w:lang w:eastAsia="zh-CN"/>
        </w:rPr>
        <w:t xml:space="preserve">However, </w:t>
      </w:r>
      <w:r w:rsidR="003732FD" w:rsidRPr="00963B44">
        <w:rPr>
          <w:rFonts w:ascii="Verdana" w:hAnsi="Verdana" w:cs="Silom"/>
          <w:sz w:val="20"/>
          <w:lang w:eastAsia="zh-CN"/>
        </w:rPr>
        <w:t>a</w:t>
      </w:r>
      <w:r w:rsidR="003804E1" w:rsidRPr="00963B44">
        <w:rPr>
          <w:rFonts w:ascii="Verdana" w:hAnsi="Verdana" w:cs="Silom"/>
          <w:sz w:val="20"/>
          <w:lang w:eastAsia="zh-CN"/>
        </w:rPr>
        <w:t xml:space="preserve"> pickup in SCM sales over the</w:t>
      </w:r>
      <w:r w:rsidRPr="00963B44">
        <w:rPr>
          <w:rFonts w:ascii="Verdana" w:hAnsi="Verdana" w:cs="Silom"/>
          <w:sz w:val="20"/>
          <w:lang w:eastAsia="zh-CN"/>
        </w:rPr>
        <w:t xml:space="preserve"> second half of 2016</w:t>
      </w:r>
      <w:r w:rsidR="003804E1" w:rsidRPr="00963B44">
        <w:rPr>
          <w:rFonts w:ascii="Verdana" w:hAnsi="Verdana" w:cs="Silom"/>
          <w:sz w:val="20"/>
          <w:lang w:eastAsia="zh-CN"/>
        </w:rPr>
        <w:t xml:space="preserve"> (</w:t>
      </w:r>
      <w:r w:rsidR="003C05A3" w:rsidRPr="00963B44">
        <w:rPr>
          <w:rFonts w:ascii="Verdana" w:hAnsi="Verdana" w:cs="Silom"/>
          <w:sz w:val="20"/>
          <w:lang w:eastAsia="zh-CN"/>
        </w:rPr>
        <w:t xml:space="preserve">+24% vs. the first half of 2016) </w:t>
      </w:r>
      <w:r w:rsidR="00885E33" w:rsidRPr="00963B44">
        <w:rPr>
          <w:rFonts w:ascii="Verdana" w:hAnsi="Verdana" w:cs="Silom"/>
          <w:sz w:val="20"/>
          <w:lang w:eastAsia="zh-CN"/>
        </w:rPr>
        <w:t>result</w:t>
      </w:r>
      <w:r w:rsidR="003732FD" w:rsidRPr="00963B44">
        <w:rPr>
          <w:rFonts w:ascii="Verdana" w:hAnsi="Verdana" w:cs="Silom"/>
          <w:sz w:val="20"/>
          <w:lang w:eastAsia="zh-CN"/>
        </w:rPr>
        <w:t>ed</w:t>
      </w:r>
      <w:r w:rsidR="00885E33" w:rsidRPr="00963B44">
        <w:rPr>
          <w:rFonts w:ascii="Verdana" w:hAnsi="Verdana" w:cs="Silom"/>
          <w:sz w:val="20"/>
          <w:lang w:eastAsia="zh-CN"/>
        </w:rPr>
        <w:t xml:space="preserve"> </w:t>
      </w:r>
      <w:r w:rsidR="00963B44" w:rsidRPr="00963B44">
        <w:rPr>
          <w:rFonts w:ascii="Verdana" w:hAnsi="Verdana" w:cs="Silom"/>
          <w:sz w:val="20"/>
          <w:lang w:eastAsia="zh-CN"/>
        </w:rPr>
        <w:t xml:space="preserve">from ramping up </w:t>
      </w:r>
      <w:r w:rsidR="00963B44">
        <w:rPr>
          <w:rFonts w:ascii="Verdana" w:hAnsi="Verdana" w:cs="Silom"/>
          <w:sz w:val="20"/>
          <w:lang w:eastAsia="zh-CN"/>
        </w:rPr>
        <w:t xml:space="preserve">of </w:t>
      </w:r>
      <w:r w:rsidR="00963B44" w:rsidRPr="00963B44">
        <w:rPr>
          <w:rFonts w:ascii="Verdana" w:hAnsi="Verdana" w:cs="Silom"/>
          <w:sz w:val="20"/>
          <w:lang w:eastAsia="zh-CN"/>
        </w:rPr>
        <w:t xml:space="preserve">the production </w:t>
      </w:r>
      <w:r w:rsidR="00963B44">
        <w:rPr>
          <w:rFonts w:ascii="Verdana" w:hAnsi="Verdana" w:cs="Silom"/>
          <w:sz w:val="20"/>
          <w:lang w:eastAsia="zh-CN"/>
        </w:rPr>
        <w:t xml:space="preserve">contract with </w:t>
      </w:r>
      <w:r w:rsidR="00963B44" w:rsidRPr="00963B44">
        <w:rPr>
          <w:rFonts w:ascii="Verdana" w:hAnsi="Verdana" w:cs="Silom"/>
          <w:sz w:val="20"/>
          <w:lang w:eastAsia="zh-CN"/>
        </w:rPr>
        <w:t xml:space="preserve">Swiss semiconductor firm </w:t>
      </w:r>
      <w:proofErr w:type="spellStart"/>
      <w:r w:rsidR="00963B44" w:rsidRPr="00963B44">
        <w:rPr>
          <w:rFonts w:ascii="Verdana" w:hAnsi="Verdana" w:cs="Silom"/>
          <w:sz w:val="20"/>
          <w:lang w:eastAsia="zh-CN"/>
        </w:rPr>
        <w:t>Altec</w:t>
      </w:r>
      <w:proofErr w:type="spellEnd"/>
      <w:r w:rsidR="00963B44" w:rsidRPr="00963B44">
        <w:rPr>
          <w:rFonts w:ascii="Verdana" w:hAnsi="Verdana" w:cs="Silom"/>
          <w:sz w:val="20"/>
          <w:lang w:eastAsia="zh-CN"/>
        </w:rPr>
        <w:t xml:space="preserve"> AG.</w:t>
      </w:r>
      <w:r w:rsidR="00797404" w:rsidRPr="00884E98">
        <w:rPr>
          <w:rFonts w:ascii="Verdana" w:hAnsi="Verdana" w:cs="Silom"/>
          <w:sz w:val="20"/>
          <w:lang w:eastAsia="zh-CN"/>
        </w:rPr>
        <w:t xml:space="preserve"> Our expertise in SCM is furthermore being endorsed by partnerships we have forged with other leaders in the industry. </w:t>
      </w:r>
    </w:p>
    <w:p w:rsidR="00C8648B" w:rsidRPr="00884E98" w:rsidRDefault="00C8648B" w:rsidP="0064523D">
      <w:pPr>
        <w:spacing w:line="276" w:lineRule="auto"/>
        <w:rPr>
          <w:rFonts w:ascii="Verdana" w:hAnsi="Verdana" w:cs="Silom"/>
          <w:sz w:val="20"/>
          <w:lang w:eastAsia="zh-CN"/>
        </w:rPr>
      </w:pPr>
    </w:p>
    <w:p w:rsidR="00C8648B" w:rsidRPr="00884E98" w:rsidRDefault="005250B1" w:rsidP="0064523D">
      <w:pPr>
        <w:spacing w:line="276" w:lineRule="auto"/>
        <w:rPr>
          <w:rFonts w:ascii="Verdana" w:hAnsi="Verdana" w:cs="Silom"/>
          <w:sz w:val="20"/>
          <w:lang w:eastAsia="zh-CN"/>
        </w:rPr>
      </w:pPr>
      <w:r w:rsidRPr="00884E98">
        <w:rPr>
          <w:rFonts w:ascii="Verdana" w:hAnsi="Verdana" w:cs="Silom"/>
          <w:sz w:val="20"/>
          <w:lang w:eastAsia="zh-CN"/>
        </w:rPr>
        <w:t xml:space="preserve">Our </w:t>
      </w:r>
      <w:r w:rsidR="008D4FB2" w:rsidRPr="00884E98">
        <w:rPr>
          <w:rFonts w:ascii="Verdana" w:hAnsi="Verdana" w:cs="Silom"/>
          <w:sz w:val="20"/>
          <w:lang w:eastAsia="zh-CN"/>
        </w:rPr>
        <w:t>Failure &amp;</w:t>
      </w:r>
      <w:r w:rsidR="00C8648B" w:rsidRPr="00884E98">
        <w:rPr>
          <w:rFonts w:ascii="Verdana" w:hAnsi="Verdana" w:cs="Silom"/>
          <w:sz w:val="20"/>
          <w:lang w:eastAsia="zh-CN"/>
        </w:rPr>
        <w:t xml:space="preserve"> Technology </w:t>
      </w:r>
      <w:r w:rsidRPr="00884E98">
        <w:rPr>
          <w:rFonts w:ascii="Verdana" w:hAnsi="Verdana" w:cs="Silom"/>
          <w:sz w:val="20"/>
          <w:lang w:eastAsia="zh-CN"/>
        </w:rPr>
        <w:t>Analysis business very much depends</w:t>
      </w:r>
      <w:r w:rsidR="00C8648B" w:rsidRPr="00884E98">
        <w:rPr>
          <w:rFonts w:ascii="Verdana" w:hAnsi="Verdana" w:cs="Silom"/>
          <w:sz w:val="20"/>
          <w:lang w:eastAsia="zh-CN"/>
        </w:rPr>
        <w:t xml:space="preserve"> on the short term needs of our customers. In 2016 we saw a decline</w:t>
      </w:r>
      <w:r w:rsidRPr="00884E98">
        <w:rPr>
          <w:rFonts w:ascii="Verdana" w:hAnsi="Verdana" w:cs="Silom"/>
          <w:sz w:val="20"/>
          <w:lang w:eastAsia="zh-CN"/>
        </w:rPr>
        <w:t xml:space="preserve"> in sales for this</w:t>
      </w:r>
      <w:r w:rsidR="00C8648B" w:rsidRPr="00884E98">
        <w:rPr>
          <w:rFonts w:ascii="Verdana" w:hAnsi="Verdana" w:cs="Silom"/>
          <w:sz w:val="20"/>
          <w:lang w:eastAsia="zh-CN"/>
        </w:rPr>
        <w:t xml:space="preserve"> business</w:t>
      </w:r>
      <w:r w:rsidRPr="00884E98">
        <w:rPr>
          <w:rFonts w:ascii="Verdana" w:hAnsi="Verdana" w:cs="Silom"/>
          <w:sz w:val="20"/>
          <w:lang w:eastAsia="zh-CN"/>
        </w:rPr>
        <w:t xml:space="preserve"> unit</w:t>
      </w:r>
      <w:r w:rsidR="00C8648B" w:rsidRPr="00884E98">
        <w:rPr>
          <w:rFonts w:ascii="Verdana" w:hAnsi="Verdana" w:cs="Silom"/>
          <w:sz w:val="20"/>
          <w:lang w:eastAsia="zh-CN"/>
        </w:rPr>
        <w:t xml:space="preserve"> but </w:t>
      </w:r>
      <w:r w:rsidRPr="00884E98">
        <w:rPr>
          <w:rFonts w:ascii="Verdana" w:hAnsi="Verdana" w:cs="Silom"/>
          <w:sz w:val="20"/>
          <w:lang w:eastAsia="zh-CN"/>
        </w:rPr>
        <w:t xml:space="preserve">are picking up new customer leads while our efforts to consolidate this important part of our business is </w:t>
      </w:r>
      <w:r w:rsidR="00C8648B" w:rsidRPr="00884E98">
        <w:rPr>
          <w:rFonts w:ascii="Verdana" w:hAnsi="Verdana" w:cs="Silom"/>
          <w:sz w:val="20"/>
          <w:lang w:eastAsia="zh-CN"/>
        </w:rPr>
        <w:t>lead</w:t>
      </w:r>
      <w:r w:rsidRPr="00884E98">
        <w:rPr>
          <w:rFonts w:ascii="Verdana" w:hAnsi="Verdana" w:cs="Silom"/>
          <w:sz w:val="20"/>
          <w:lang w:eastAsia="zh-CN"/>
        </w:rPr>
        <w:t>ing</w:t>
      </w:r>
      <w:r w:rsidR="00C8648B" w:rsidRPr="00884E98">
        <w:rPr>
          <w:rFonts w:ascii="Verdana" w:hAnsi="Verdana" w:cs="Silom"/>
          <w:sz w:val="20"/>
          <w:lang w:eastAsia="zh-CN"/>
        </w:rPr>
        <w:t xml:space="preserve"> to new long term contracts with </w:t>
      </w:r>
      <w:r w:rsidRPr="00884E98">
        <w:rPr>
          <w:rFonts w:ascii="Verdana" w:hAnsi="Verdana" w:cs="Silom"/>
          <w:sz w:val="20"/>
          <w:lang w:eastAsia="zh-CN"/>
        </w:rPr>
        <w:t xml:space="preserve">existing </w:t>
      </w:r>
      <w:r w:rsidR="00C8648B" w:rsidRPr="00884E98">
        <w:rPr>
          <w:rFonts w:ascii="Verdana" w:hAnsi="Verdana" w:cs="Silom"/>
          <w:sz w:val="20"/>
          <w:lang w:eastAsia="zh-CN"/>
        </w:rPr>
        <w:t>customers.</w:t>
      </w:r>
    </w:p>
    <w:p w:rsidR="00C8648B" w:rsidRPr="00884E98" w:rsidRDefault="00C8648B" w:rsidP="0064523D">
      <w:pPr>
        <w:spacing w:line="276" w:lineRule="auto"/>
        <w:rPr>
          <w:rFonts w:ascii="Verdana" w:hAnsi="Verdana" w:cs="Silom"/>
          <w:sz w:val="20"/>
          <w:lang w:eastAsia="zh-CN"/>
        </w:rPr>
      </w:pPr>
    </w:p>
    <w:p w:rsidR="00487878" w:rsidRPr="00884E98" w:rsidRDefault="00C8648B" w:rsidP="0064523D">
      <w:pPr>
        <w:spacing w:line="276" w:lineRule="auto"/>
        <w:rPr>
          <w:rFonts w:ascii="Verdana" w:hAnsi="Verdana" w:cs="Silom"/>
          <w:sz w:val="20"/>
          <w:lang w:eastAsia="zh-CN"/>
        </w:rPr>
      </w:pPr>
      <w:r w:rsidRPr="00884E98">
        <w:rPr>
          <w:rFonts w:ascii="Verdana" w:hAnsi="Verdana" w:cs="Silom"/>
          <w:sz w:val="20"/>
          <w:lang w:eastAsia="zh-CN"/>
        </w:rPr>
        <w:t xml:space="preserve">Test Engineering and </w:t>
      </w:r>
      <w:r w:rsidR="003357CD" w:rsidRPr="00884E98">
        <w:rPr>
          <w:rFonts w:ascii="Verdana" w:hAnsi="Verdana" w:cs="Silom"/>
          <w:sz w:val="20"/>
          <w:lang w:eastAsia="zh-CN"/>
        </w:rPr>
        <w:t xml:space="preserve">Qualification &amp; Reliability Investigation </w:t>
      </w:r>
      <w:r w:rsidR="00B64310" w:rsidRPr="00884E98">
        <w:rPr>
          <w:rFonts w:ascii="Verdana" w:hAnsi="Verdana" w:cs="Silom"/>
          <w:sz w:val="20"/>
          <w:lang w:eastAsia="zh-CN"/>
        </w:rPr>
        <w:t>saw a</w:t>
      </w:r>
      <w:r w:rsidR="003357CD" w:rsidRPr="00884E98">
        <w:rPr>
          <w:rFonts w:ascii="Verdana" w:hAnsi="Verdana" w:cs="Silom"/>
          <w:sz w:val="20"/>
          <w:lang w:eastAsia="zh-CN"/>
        </w:rPr>
        <w:t xml:space="preserve"> substantial year-on-year rise in sales over the past 12 months, on the back of some large ongoing projects and the start of qualification in other big contracts.</w:t>
      </w:r>
      <w:r w:rsidR="00487878" w:rsidRPr="00884E98">
        <w:rPr>
          <w:rFonts w:ascii="Verdana" w:hAnsi="Verdana" w:cs="Silom"/>
          <w:sz w:val="20"/>
          <w:lang w:eastAsia="zh-CN"/>
        </w:rPr>
        <w:t xml:space="preserve"> We see additional orders coming in to support qualification of standard components for the expanding automotive market.</w:t>
      </w:r>
    </w:p>
    <w:p w:rsidR="003357CD" w:rsidRPr="00884E98" w:rsidRDefault="003357CD" w:rsidP="0064523D">
      <w:pPr>
        <w:spacing w:line="276" w:lineRule="auto"/>
        <w:rPr>
          <w:rFonts w:ascii="Verdana" w:hAnsi="Verdana" w:cs="Silom"/>
          <w:sz w:val="20"/>
          <w:lang w:eastAsia="zh-CN"/>
        </w:rPr>
      </w:pPr>
    </w:p>
    <w:p w:rsidR="003357CD" w:rsidRPr="00884E98" w:rsidRDefault="00C8648B" w:rsidP="0064523D">
      <w:pPr>
        <w:spacing w:line="276" w:lineRule="auto"/>
        <w:rPr>
          <w:rFonts w:ascii="Verdana" w:hAnsi="Verdana" w:cs="Silom"/>
          <w:sz w:val="20"/>
          <w:lang w:eastAsia="zh-CN"/>
        </w:rPr>
      </w:pPr>
      <w:r w:rsidRPr="00884E98">
        <w:rPr>
          <w:rFonts w:ascii="Verdana" w:hAnsi="Verdana" w:cs="Silom"/>
          <w:sz w:val="20"/>
          <w:lang w:eastAsia="zh-CN"/>
        </w:rPr>
        <w:t xml:space="preserve">The </w:t>
      </w:r>
      <w:proofErr w:type="spellStart"/>
      <w:r w:rsidR="00282285" w:rsidRPr="00282285">
        <w:rPr>
          <w:rFonts w:ascii="Verdana" w:hAnsi="Verdana"/>
          <w:color w:val="C00000"/>
          <w:sz w:val="20"/>
        </w:rPr>
        <w:t>Rood</w:t>
      </w:r>
      <w:r w:rsidRPr="00884E98">
        <w:rPr>
          <w:rFonts w:ascii="Verdana" w:hAnsi="Verdana" w:cs="Silom"/>
          <w:sz w:val="20"/>
          <w:lang w:eastAsia="zh-CN"/>
        </w:rPr>
        <w:t>M</w:t>
      </w:r>
      <w:r w:rsidR="003357CD" w:rsidRPr="00884E98">
        <w:rPr>
          <w:rFonts w:ascii="Verdana" w:hAnsi="Verdana" w:cs="Silom"/>
          <w:sz w:val="20"/>
          <w:lang w:eastAsia="zh-CN"/>
        </w:rPr>
        <w:t>icrotec</w:t>
      </w:r>
      <w:proofErr w:type="spellEnd"/>
      <w:r w:rsidR="003357CD" w:rsidRPr="00884E98">
        <w:rPr>
          <w:rFonts w:ascii="Verdana" w:hAnsi="Verdana" w:cs="Silom"/>
          <w:sz w:val="20"/>
          <w:lang w:eastAsia="zh-CN"/>
        </w:rPr>
        <w:t xml:space="preserve"> management team is very positive about the future development of the company</w:t>
      </w:r>
      <w:r w:rsidR="001325C0" w:rsidRPr="00884E98">
        <w:rPr>
          <w:rFonts w:ascii="Verdana" w:hAnsi="Verdana" w:cs="Silom"/>
          <w:sz w:val="20"/>
          <w:lang w:eastAsia="zh-CN"/>
        </w:rPr>
        <w:t xml:space="preserve">, </w:t>
      </w:r>
      <w:r w:rsidR="00D60BC0" w:rsidRPr="00884E98">
        <w:rPr>
          <w:rFonts w:ascii="Verdana" w:hAnsi="Verdana" w:cs="Silom"/>
          <w:sz w:val="20"/>
          <w:lang w:eastAsia="zh-CN" w:bidi="ar-SA"/>
        </w:rPr>
        <w:t>as five of six important projects in the key strategic focus automotive and industrial/medical sectors will enter the industrialization or the production phase in 2017. These projects will generate a combined tu</w:t>
      </w:r>
      <w:r w:rsidR="008D4FB2" w:rsidRPr="00884E98">
        <w:rPr>
          <w:rFonts w:ascii="Verdana" w:hAnsi="Verdana" w:cs="Silom"/>
          <w:sz w:val="20"/>
          <w:lang w:eastAsia="zh-CN" w:bidi="ar-SA"/>
        </w:rPr>
        <w:t>rnover of up to €10</w:t>
      </w:r>
      <w:r w:rsidR="00D60BC0" w:rsidRPr="00884E98">
        <w:rPr>
          <w:rFonts w:ascii="Verdana" w:hAnsi="Verdana" w:cs="Silom"/>
          <w:sz w:val="20"/>
          <w:lang w:eastAsia="zh-CN" w:bidi="ar-SA"/>
        </w:rPr>
        <w:t xml:space="preserve"> million</w:t>
      </w:r>
      <w:r w:rsidR="008D4FB2" w:rsidRPr="00884E98">
        <w:rPr>
          <w:rFonts w:ascii="Verdana" w:hAnsi="Verdana" w:cs="Silom"/>
          <w:sz w:val="20"/>
          <w:lang w:eastAsia="zh-CN" w:bidi="ar-SA"/>
        </w:rPr>
        <w:t xml:space="preserve"> per year</w:t>
      </w:r>
      <w:r w:rsidR="00D60BC0" w:rsidRPr="00884E98">
        <w:rPr>
          <w:rFonts w:ascii="Verdana" w:hAnsi="Verdana" w:cs="Silom"/>
          <w:sz w:val="20"/>
          <w:lang w:eastAsia="zh-CN" w:bidi="ar-SA"/>
        </w:rPr>
        <w:t xml:space="preserve"> when they have all been ramped up for full production. </w:t>
      </w:r>
      <w:r w:rsidR="005250B1" w:rsidRPr="00884E98">
        <w:rPr>
          <w:rFonts w:ascii="Verdana" w:hAnsi="Verdana" w:cs="Silom"/>
          <w:sz w:val="20"/>
          <w:lang w:eastAsia="zh-CN"/>
        </w:rPr>
        <w:t xml:space="preserve">Industry wide, </w:t>
      </w:r>
      <w:r w:rsidR="007401B1" w:rsidRPr="00884E98">
        <w:rPr>
          <w:rFonts w:ascii="Verdana" w:hAnsi="Verdana" w:cs="Silom"/>
          <w:sz w:val="20"/>
          <w:lang w:eastAsia="zh-CN"/>
        </w:rPr>
        <w:t xml:space="preserve">growth of </w:t>
      </w:r>
      <w:r w:rsidR="005250B1" w:rsidRPr="00884E98">
        <w:rPr>
          <w:rFonts w:ascii="Verdana" w:hAnsi="Verdana" w:cs="Silom"/>
          <w:sz w:val="20"/>
          <w:lang w:eastAsia="zh-CN"/>
        </w:rPr>
        <w:t>semiconductor businesses</w:t>
      </w:r>
      <w:r w:rsidR="00D52458" w:rsidRPr="00884E98">
        <w:rPr>
          <w:rFonts w:ascii="Verdana" w:hAnsi="Verdana" w:cs="Silom"/>
          <w:sz w:val="20"/>
          <w:lang w:eastAsia="zh-CN"/>
        </w:rPr>
        <w:t xml:space="preserve"> in Europe</w:t>
      </w:r>
      <w:r w:rsidR="005250B1" w:rsidRPr="00884E98">
        <w:rPr>
          <w:rFonts w:ascii="Verdana" w:hAnsi="Verdana" w:cs="Silom"/>
          <w:sz w:val="20"/>
          <w:lang w:eastAsia="zh-CN"/>
        </w:rPr>
        <w:t xml:space="preserve"> saw </w:t>
      </w:r>
      <w:r w:rsidR="007401B1" w:rsidRPr="00884E98">
        <w:rPr>
          <w:rFonts w:ascii="Verdana" w:hAnsi="Verdana" w:cs="Silom"/>
          <w:sz w:val="20"/>
          <w:lang w:eastAsia="zh-CN"/>
        </w:rPr>
        <w:t xml:space="preserve">a </w:t>
      </w:r>
      <w:r w:rsidR="00D52458" w:rsidRPr="00884E98">
        <w:rPr>
          <w:rFonts w:ascii="Verdana" w:hAnsi="Verdana" w:cs="Silom"/>
          <w:sz w:val="20"/>
          <w:lang w:eastAsia="zh-CN"/>
        </w:rPr>
        <w:t>4.5</w:t>
      </w:r>
      <w:r w:rsidR="007401B1" w:rsidRPr="00884E98">
        <w:rPr>
          <w:rFonts w:ascii="Verdana" w:hAnsi="Verdana" w:cs="Silom"/>
          <w:sz w:val="20"/>
          <w:lang w:eastAsia="zh-CN"/>
        </w:rPr>
        <w:t xml:space="preserve">% </w:t>
      </w:r>
      <w:r w:rsidR="00D52458" w:rsidRPr="00884E98">
        <w:rPr>
          <w:rFonts w:ascii="Verdana" w:hAnsi="Verdana" w:cs="Silom"/>
          <w:sz w:val="20"/>
          <w:lang w:eastAsia="zh-CN"/>
        </w:rPr>
        <w:t>decrease</w:t>
      </w:r>
      <w:r w:rsidR="007401B1" w:rsidRPr="00884E98">
        <w:rPr>
          <w:rFonts w:ascii="Verdana" w:hAnsi="Verdana" w:cs="Silom"/>
          <w:sz w:val="20"/>
          <w:lang w:eastAsia="zh-CN"/>
        </w:rPr>
        <w:t xml:space="preserve">, which is due to get back on track with a projected </w:t>
      </w:r>
      <w:r w:rsidR="00D52458" w:rsidRPr="00884E98">
        <w:rPr>
          <w:rFonts w:ascii="Verdana" w:hAnsi="Verdana" w:cs="Silom"/>
          <w:sz w:val="20"/>
          <w:lang w:eastAsia="zh-CN"/>
        </w:rPr>
        <w:t>3.6</w:t>
      </w:r>
      <w:r w:rsidR="007401B1" w:rsidRPr="00884E98">
        <w:rPr>
          <w:rFonts w:ascii="Verdana" w:hAnsi="Verdana" w:cs="Silom"/>
          <w:sz w:val="20"/>
          <w:lang w:eastAsia="zh-CN"/>
        </w:rPr>
        <w:t>% increase in 2017 (WSTS</w:t>
      </w:r>
      <w:r w:rsidR="004F7E0F" w:rsidRPr="00884E98">
        <w:rPr>
          <w:rFonts w:ascii="Verdana" w:hAnsi="Verdana" w:cs="Silom"/>
          <w:sz w:val="20"/>
          <w:lang w:eastAsia="zh-CN"/>
        </w:rPr>
        <w:t xml:space="preserve"> Forecast Summary </w:t>
      </w:r>
      <w:r w:rsidR="00D52458" w:rsidRPr="00884E98">
        <w:rPr>
          <w:rFonts w:ascii="Verdana" w:hAnsi="Verdana" w:cs="Silom"/>
          <w:sz w:val="20"/>
          <w:lang w:eastAsia="zh-CN"/>
        </w:rPr>
        <w:t>February 2017</w:t>
      </w:r>
      <w:r w:rsidR="007401B1" w:rsidRPr="00884E98">
        <w:rPr>
          <w:rFonts w:ascii="Verdana" w:hAnsi="Verdana" w:cs="Silom"/>
          <w:sz w:val="20"/>
          <w:lang w:eastAsia="zh-CN"/>
        </w:rPr>
        <w:t>)</w:t>
      </w:r>
      <w:r w:rsidR="004F7E0F" w:rsidRPr="00884E98">
        <w:rPr>
          <w:rFonts w:ascii="Verdana" w:hAnsi="Verdana" w:cs="Silom"/>
          <w:sz w:val="20"/>
          <w:lang w:eastAsia="zh-CN"/>
        </w:rPr>
        <w:t>.</w:t>
      </w:r>
      <w:r w:rsidR="001325C0" w:rsidRPr="00884E98">
        <w:rPr>
          <w:rFonts w:ascii="Verdana" w:hAnsi="Verdana" w:cs="Silom"/>
          <w:sz w:val="20"/>
          <w:lang w:eastAsia="zh-CN"/>
        </w:rPr>
        <w:t xml:space="preserve"> The management therefore </w:t>
      </w:r>
      <w:r w:rsidR="003357CD" w:rsidRPr="00884E98">
        <w:rPr>
          <w:rFonts w:ascii="Verdana" w:hAnsi="Verdana" w:cs="Silom"/>
          <w:sz w:val="20"/>
          <w:lang w:eastAsia="zh-CN"/>
        </w:rPr>
        <w:t xml:space="preserve">reinforces its outlook for an increase in sales turnover of 75% by 2020. </w:t>
      </w:r>
    </w:p>
    <w:p w:rsidR="00252EC9" w:rsidRPr="008473C4" w:rsidRDefault="00252EC9" w:rsidP="0064523D">
      <w:pPr>
        <w:autoSpaceDE w:val="0"/>
        <w:autoSpaceDN w:val="0"/>
        <w:adjustRightInd w:val="0"/>
        <w:spacing w:line="276" w:lineRule="auto"/>
        <w:rPr>
          <w:rFonts w:ascii="Verdana" w:hAnsi="Verdana" w:cs="Verdana"/>
          <w:bCs/>
          <w:sz w:val="20"/>
          <w:highlight w:val="yellow"/>
        </w:rPr>
      </w:pPr>
    </w:p>
    <w:p w:rsidR="008473C4" w:rsidRPr="008473C4" w:rsidRDefault="008473C4" w:rsidP="0064523D">
      <w:pPr>
        <w:autoSpaceDE w:val="0"/>
        <w:autoSpaceDN w:val="0"/>
        <w:adjustRightInd w:val="0"/>
        <w:spacing w:line="276" w:lineRule="auto"/>
        <w:rPr>
          <w:rFonts w:ascii="Verdana" w:hAnsi="Verdana" w:cs="Verdana"/>
          <w:bCs/>
          <w:sz w:val="20"/>
          <w:highlight w:val="yellow"/>
        </w:rPr>
      </w:pPr>
    </w:p>
    <w:p w:rsidR="00E95087" w:rsidRPr="00884E98" w:rsidRDefault="00E95087" w:rsidP="0064523D">
      <w:pPr>
        <w:spacing w:after="200" w:line="276" w:lineRule="auto"/>
        <w:rPr>
          <w:rFonts w:ascii="Verdana" w:hAnsi="Verdana"/>
          <w:b/>
          <w:color w:val="B71234"/>
          <w:sz w:val="20"/>
        </w:rPr>
      </w:pPr>
      <w:r w:rsidRPr="00884E98">
        <w:rPr>
          <w:rFonts w:ascii="Verdana" w:hAnsi="Verdana"/>
          <w:b/>
          <w:color w:val="B71234"/>
          <w:sz w:val="20"/>
        </w:rPr>
        <w:t>Personnel and organi</w:t>
      </w:r>
      <w:r w:rsidR="00024056" w:rsidRPr="00884E98">
        <w:rPr>
          <w:rFonts w:ascii="Verdana" w:hAnsi="Verdana"/>
          <w:b/>
          <w:color w:val="B71234"/>
          <w:sz w:val="20"/>
        </w:rPr>
        <w:t>s</w:t>
      </w:r>
      <w:r w:rsidRPr="00884E98">
        <w:rPr>
          <w:rFonts w:ascii="Verdana" w:hAnsi="Verdana"/>
          <w:b/>
          <w:color w:val="B71234"/>
          <w:sz w:val="20"/>
        </w:rPr>
        <w:t>ation</w:t>
      </w:r>
    </w:p>
    <w:p w:rsidR="006A5F45" w:rsidRPr="00884E98" w:rsidRDefault="006A5F45" w:rsidP="0064523D">
      <w:pPr>
        <w:autoSpaceDE w:val="0"/>
        <w:autoSpaceDN w:val="0"/>
        <w:adjustRightInd w:val="0"/>
        <w:spacing w:line="276" w:lineRule="auto"/>
        <w:rPr>
          <w:rFonts w:ascii="Verdana" w:hAnsi="Verdana"/>
          <w:sz w:val="20"/>
        </w:rPr>
      </w:pPr>
      <w:r w:rsidRPr="00884E98">
        <w:rPr>
          <w:rFonts w:ascii="Verdana" w:hAnsi="Verdana"/>
          <w:sz w:val="20"/>
        </w:rPr>
        <w:t>During 201</w:t>
      </w:r>
      <w:r w:rsidR="003357CD" w:rsidRPr="00884E98">
        <w:rPr>
          <w:rFonts w:ascii="Verdana" w:hAnsi="Verdana"/>
          <w:sz w:val="20"/>
        </w:rPr>
        <w:t>6</w:t>
      </w:r>
      <w:r w:rsidRPr="00884E98">
        <w:rPr>
          <w:rFonts w:ascii="Verdana" w:hAnsi="Verdana"/>
          <w:sz w:val="20"/>
        </w:rPr>
        <w:t xml:space="preserve"> </w:t>
      </w:r>
      <w:proofErr w:type="spellStart"/>
      <w:r w:rsidRPr="00884E98">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continued the consolidation process in personnel and organisation.</w:t>
      </w:r>
      <w:r w:rsidR="00C8648B" w:rsidRPr="00884E98">
        <w:rPr>
          <w:rFonts w:ascii="Verdana" w:hAnsi="Verdana"/>
          <w:sz w:val="20"/>
        </w:rPr>
        <w:t xml:space="preserve"> </w:t>
      </w:r>
      <w:r w:rsidR="003357CD" w:rsidRPr="00884E98">
        <w:rPr>
          <w:rFonts w:ascii="Verdana" w:hAnsi="Verdana"/>
          <w:sz w:val="20"/>
        </w:rPr>
        <w:t xml:space="preserve">Philip </w:t>
      </w:r>
      <w:proofErr w:type="spellStart"/>
      <w:r w:rsidR="003357CD" w:rsidRPr="00884E98">
        <w:rPr>
          <w:rFonts w:ascii="Verdana" w:hAnsi="Verdana"/>
          <w:sz w:val="20"/>
        </w:rPr>
        <w:t>Nijenhuis</w:t>
      </w:r>
      <w:proofErr w:type="spellEnd"/>
      <w:r w:rsidR="003357CD" w:rsidRPr="00884E98">
        <w:rPr>
          <w:rFonts w:ascii="Verdana" w:hAnsi="Verdana"/>
          <w:sz w:val="20"/>
        </w:rPr>
        <w:t xml:space="preserve"> stepped down as CEO and Martin Sallenhag took over this role. </w:t>
      </w:r>
      <w:proofErr w:type="spellStart"/>
      <w:r w:rsidR="003357CD" w:rsidRPr="00884E98">
        <w:rPr>
          <w:rFonts w:ascii="Verdana" w:hAnsi="Verdana"/>
          <w:sz w:val="20"/>
        </w:rPr>
        <w:t>Reinhard</w:t>
      </w:r>
      <w:proofErr w:type="spellEnd"/>
      <w:r w:rsidR="003357CD" w:rsidRPr="00884E98">
        <w:rPr>
          <w:rFonts w:ascii="Verdana" w:hAnsi="Verdana"/>
          <w:sz w:val="20"/>
        </w:rPr>
        <w:t xml:space="preserve"> </w:t>
      </w:r>
      <w:proofErr w:type="spellStart"/>
      <w:r w:rsidR="003357CD" w:rsidRPr="00884E98">
        <w:rPr>
          <w:rFonts w:ascii="Verdana" w:hAnsi="Verdana"/>
          <w:sz w:val="20"/>
        </w:rPr>
        <w:t>Pusch</w:t>
      </w:r>
      <w:proofErr w:type="spellEnd"/>
      <w:r w:rsidR="003357CD" w:rsidRPr="00884E98">
        <w:rPr>
          <w:rFonts w:ascii="Verdana" w:hAnsi="Verdana"/>
          <w:sz w:val="20"/>
        </w:rPr>
        <w:t xml:space="preserve"> was promoted to COO and </w:t>
      </w:r>
      <w:proofErr w:type="spellStart"/>
      <w:r w:rsidR="003357CD" w:rsidRPr="00884E98">
        <w:rPr>
          <w:rFonts w:ascii="Verdana" w:hAnsi="Verdana"/>
          <w:sz w:val="20"/>
        </w:rPr>
        <w:t>Arvid</w:t>
      </w:r>
      <w:proofErr w:type="spellEnd"/>
      <w:r w:rsidR="003357CD" w:rsidRPr="00884E98">
        <w:rPr>
          <w:rFonts w:ascii="Verdana" w:hAnsi="Verdana"/>
          <w:sz w:val="20"/>
        </w:rPr>
        <w:t xml:space="preserve"> </w:t>
      </w:r>
      <w:proofErr w:type="spellStart"/>
      <w:r w:rsidR="003357CD" w:rsidRPr="00884E98">
        <w:rPr>
          <w:rFonts w:ascii="Verdana" w:hAnsi="Verdana"/>
          <w:sz w:val="20"/>
        </w:rPr>
        <w:t>Ladega</w:t>
      </w:r>
      <w:proofErr w:type="spellEnd"/>
      <w:r w:rsidR="003357CD" w:rsidRPr="00884E98">
        <w:rPr>
          <w:rFonts w:ascii="Verdana" w:hAnsi="Verdana"/>
          <w:sz w:val="20"/>
        </w:rPr>
        <w:t xml:space="preserve"> joined the company as CFO.</w:t>
      </w:r>
    </w:p>
    <w:p w:rsidR="0091109A" w:rsidRPr="00884E98" w:rsidRDefault="0091109A" w:rsidP="0064523D">
      <w:pPr>
        <w:spacing w:line="276" w:lineRule="auto"/>
        <w:rPr>
          <w:rFonts w:ascii="Verdana" w:hAnsi="Verdana" w:cs="Verdana"/>
          <w:sz w:val="20"/>
        </w:rPr>
      </w:pPr>
      <w:r w:rsidRPr="00884E98">
        <w:rPr>
          <w:rFonts w:ascii="Verdana" w:hAnsi="Verdana"/>
          <w:sz w:val="20"/>
        </w:rPr>
        <w:t>The average number of full-time employees (FTE) decreased by approx. 3% from 9</w:t>
      </w:r>
      <w:r w:rsidR="003357CD" w:rsidRPr="00884E98">
        <w:rPr>
          <w:rFonts w:ascii="Verdana" w:hAnsi="Verdana"/>
          <w:sz w:val="20"/>
        </w:rPr>
        <w:t>4</w:t>
      </w:r>
      <w:r w:rsidRPr="00884E98">
        <w:rPr>
          <w:rFonts w:ascii="Verdana" w:hAnsi="Verdana"/>
          <w:sz w:val="20"/>
        </w:rPr>
        <w:t xml:space="preserve"> FTE</w:t>
      </w:r>
      <w:r w:rsidR="001E2928" w:rsidRPr="00884E98">
        <w:rPr>
          <w:rFonts w:ascii="Verdana" w:hAnsi="Verdana"/>
          <w:sz w:val="20"/>
        </w:rPr>
        <w:t>s</w:t>
      </w:r>
      <w:r w:rsidRPr="00884E98">
        <w:rPr>
          <w:rFonts w:ascii="Verdana" w:hAnsi="Verdana"/>
          <w:sz w:val="20"/>
        </w:rPr>
        <w:t xml:space="preserve"> in 201</w:t>
      </w:r>
      <w:r w:rsidR="003357CD" w:rsidRPr="00884E98">
        <w:rPr>
          <w:rFonts w:ascii="Verdana" w:hAnsi="Verdana"/>
          <w:sz w:val="20"/>
        </w:rPr>
        <w:t>5</w:t>
      </w:r>
      <w:r w:rsidRPr="00884E98">
        <w:rPr>
          <w:rFonts w:ascii="Verdana" w:hAnsi="Verdana"/>
          <w:sz w:val="20"/>
        </w:rPr>
        <w:t xml:space="preserve"> to 9</w:t>
      </w:r>
      <w:r w:rsidR="003357CD" w:rsidRPr="00884E98">
        <w:rPr>
          <w:rFonts w:ascii="Verdana" w:hAnsi="Verdana"/>
          <w:sz w:val="20"/>
        </w:rPr>
        <w:t>1</w:t>
      </w:r>
      <w:r w:rsidRPr="00884E98">
        <w:rPr>
          <w:rFonts w:ascii="Verdana" w:hAnsi="Verdana"/>
          <w:sz w:val="20"/>
        </w:rPr>
        <w:t xml:space="preserve"> FTE</w:t>
      </w:r>
      <w:r w:rsidR="001E2928" w:rsidRPr="00884E98">
        <w:rPr>
          <w:rFonts w:ascii="Verdana" w:hAnsi="Verdana"/>
          <w:sz w:val="20"/>
        </w:rPr>
        <w:t>s</w:t>
      </w:r>
      <w:r w:rsidRPr="00884E98">
        <w:rPr>
          <w:rFonts w:ascii="Verdana" w:hAnsi="Verdana"/>
          <w:sz w:val="20"/>
        </w:rPr>
        <w:t xml:space="preserve"> in 201</w:t>
      </w:r>
      <w:r w:rsidR="003357CD" w:rsidRPr="00884E98">
        <w:rPr>
          <w:rFonts w:ascii="Verdana" w:hAnsi="Verdana"/>
          <w:sz w:val="20"/>
        </w:rPr>
        <w:t>6</w:t>
      </w:r>
      <w:r w:rsidRPr="00884E98">
        <w:rPr>
          <w:rFonts w:ascii="Verdana" w:hAnsi="Verdana"/>
          <w:sz w:val="20"/>
        </w:rPr>
        <w:t>. Sales per full-time employee increased by app</w:t>
      </w:r>
      <w:r w:rsidR="002F4A7C" w:rsidRPr="00884E98">
        <w:rPr>
          <w:rFonts w:ascii="Verdana" w:hAnsi="Verdana"/>
          <w:sz w:val="20"/>
        </w:rPr>
        <w:t>rox. 6% from EUR 10</w:t>
      </w:r>
      <w:r w:rsidR="003357CD" w:rsidRPr="00884E98">
        <w:rPr>
          <w:rFonts w:ascii="Verdana" w:hAnsi="Verdana"/>
          <w:sz w:val="20"/>
        </w:rPr>
        <w:t>9</w:t>
      </w:r>
      <w:r w:rsidR="002F4A7C" w:rsidRPr="00884E98">
        <w:rPr>
          <w:rFonts w:ascii="Verdana" w:hAnsi="Verdana"/>
          <w:sz w:val="20"/>
        </w:rPr>
        <w:t>,000 in 201</w:t>
      </w:r>
      <w:r w:rsidR="003357CD" w:rsidRPr="00884E98">
        <w:rPr>
          <w:rFonts w:ascii="Verdana" w:hAnsi="Verdana"/>
          <w:sz w:val="20"/>
        </w:rPr>
        <w:t>5</w:t>
      </w:r>
      <w:r w:rsidR="002F4A7C" w:rsidRPr="00884E98">
        <w:rPr>
          <w:rFonts w:ascii="Verdana" w:hAnsi="Verdana"/>
          <w:sz w:val="20"/>
        </w:rPr>
        <w:t xml:space="preserve"> </w:t>
      </w:r>
      <w:r w:rsidRPr="00884E98">
        <w:rPr>
          <w:rFonts w:ascii="Verdana" w:hAnsi="Verdana"/>
          <w:sz w:val="20"/>
        </w:rPr>
        <w:t>to EUR 1</w:t>
      </w:r>
      <w:r w:rsidR="003357CD" w:rsidRPr="00884E98">
        <w:rPr>
          <w:rFonts w:ascii="Verdana" w:hAnsi="Verdana"/>
          <w:sz w:val="20"/>
        </w:rPr>
        <w:t>15</w:t>
      </w:r>
      <w:r w:rsidRPr="00884E98">
        <w:rPr>
          <w:rFonts w:ascii="Verdana" w:hAnsi="Verdana"/>
          <w:sz w:val="20"/>
        </w:rPr>
        <w:t>,000 in 201</w:t>
      </w:r>
      <w:r w:rsidR="003357CD" w:rsidRPr="00884E98">
        <w:rPr>
          <w:rFonts w:ascii="Verdana" w:hAnsi="Verdana"/>
          <w:sz w:val="20"/>
        </w:rPr>
        <w:t>6</w:t>
      </w:r>
      <w:r w:rsidRPr="00884E98">
        <w:rPr>
          <w:rFonts w:ascii="Verdana" w:hAnsi="Verdana"/>
          <w:sz w:val="20"/>
        </w:rPr>
        <w:t xml:space="preserve">. Our policy is to continue to strive for growth of sales per FTE. </w:t>
      </w:r>
    </w:p>
    <w:p w:rsidR="008473C4" w:rsidRDefault="008473C4" w:rsidP="0064523D">
      <w:pPr>
        <w:autoSpaceDE w:val="0"/>
        <w:autoSpaceDN w:val="0"/>
        <w:adjustRightInd w:val="0"/>
        <w:spacing w:line="276" w:lineRule="auto"/>
        <w:rPr>
          <w:rFonts w:ascii="Verdana" w:hAnsi="Verdana" w:cs="Verdana"/>
          <w:bCs/>
          <w:sz w:val="20"/>
          <w:highlight w:val="yellow"/>
        </w:rPr>
      </w:pPr>
    </w:p>
    <w:p w:rsidR="000F7888" w:rsidRDefault="000F7888" w:rsidP="0064523D">
      <w:pPr>
        <w:spacing w:after="200" w:line="276" w:lineRule="auto"/>
        <w:rPr>
          <w:rFonts w:ascii="Verdana" w:hAnsi="Verdana"/>
          <w:b/>
          <w:color w:val="B71234"/>
          <w:sz w:val="20"/>
        </w:rPr>
      </w:pPr>
      <w:r>
        <w:rPr>
          <w:rFonts w:ascii="Verdana" w:hAnsi="Verdana"/>
          <w:b/>
          <w:color w:val="B71234"/>
          <w:sz w:val="20"/>
        </w:rPr>
        <w:br w:type="page"/>
      </w:r>
    </w:p>
    <w:p w:rsidR="00145DAD" w:rsidRPr="00884E98" w:rsidRDefault="00E95087" w:rsidP="0064523D">
      <w:pPr>
        <w:spacing w:after="200" w:line="276" w:lineRule="auto"/>
        <w:rPr>
          <w:rFonts w:ascii="Verdana" w:hAnsi="Verdana"/>
          <w:b/>
          <w:color w:val="B71234"/>
          <w:sz w:val="20"/>
        </w:rPr>
      </w:pPr>
      <w:r w:rsidRPr="00884E98">
        <w:rPr>
          <w:rFonts w:ascii="Verdana" w:hAnsi="Verdana"/>
          <w:b/>
          <w:color w:val="B71234"/>
          <w:sz w:val="20"/>
        </w:rPr>
        <w:lastRenderedPageBreak/>
        <w:t>Strategy</w:t>
      </w:r>
    </w:p>
    <w:p w:rsidR="00A13FDF" w:rsidRPr="00884E98" w:rsidRDefault="003F4641" w:rsidP="0064523D">
      <w:pPr>
        <w:pStyle w:val="Listenabsatz"/>
        <w:numPr>
          <w:ilvl w:val="0"/>
          <w:numId w:val="22"/>
        </w:numPr>
        <w:ind w:left="284" w:hanging="284"/>
        <w:rPr>
          <w:rFonts w:ascii="Verdana" w:hAnsi="Verdana"/>
          <w:sz w:val="20"/>
          <w:szCs w:val="20"/>
          <w:lang w:val="en-GB"/>
        </w:rPr>
      </w:pPr>
      <w:r w:rsidRPr="00884E98">
        <w:rPr>
          <w:rFonts w:ascii="Verdana" w:hAnsi="Verdana"/>
          <w:sz w:val="20"/>
          <w:szCs w:val="20"/>
          <w:lang w:val="en-GB"/>
        </w:rPr>
        <w:t xml:space="preserve">We will focus on </w:t>
      </w:r>
      <w:r w:rsidR="00917889" w:rsidRPr="00884E98">
        <w:rPr>
          <w:rFonts w:ascii="Verdana" w:hAnsi="Verdana"/>
          <w:sz w:val="20"/>
          <w:szCs w:val="20"/>
          <w:lang w:val="en-GB"/>
        </w:rPr>
        <w:t xml:space="preserve">the </w:t>
      </w:r>
      <w:r w:rsidRPr="00884E98">
        <w:rPr>
          <w:rFonts w:ascii="Verdana" w:hAnsi="Verdana"/>
          <w:sz w:val="20"/>
          <w:szCs w:val="20"/>
          <w:lang w:val="en-GB"/>
        </w:rPr>
        <w:t>automotive and industrial markets to grow further in both sectors.</w:t>
      </w:r>
    </w:p>
    <w:p w:rsidR="00A13FDF" w:rsidRPr="00884E98" w:rsidRDefault="003F4641"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 xml:space="preserve">We will continue to work with fabless companies to show that </w:t>
      </w:r>
      <w:proofErr w:type="spellStart"/>
      <w:r w:rsidR="00282285" w:rsidRPr="00282285">
        <w:rPr>
          <w:rFonts w:ascii="Verdana" w:hAnsi="Verdana"/>
          <w:color w:val="C00000"/>
          <w:sz w:val="20"/>
          <w:lang w:val="en-GB"/>
        </w:rPr>
        <w:t>Rood</w:t>
      </w:r>
      <w:r w:rsidRPr="00884E98">
        <w:rPr>
          <w:rFonts w:ascii="Verdana" w:hAnsi="Verdana"/>
          <w:sz w:val="20"/>
          <w:szCs w:val="20"/>
          <w:lang w:val="en-GB"/>
        </w:rPr>
        <w:t>Microtec</w:t>
      </w:r>
      <w:proofErr w:type="spellEnd"/>
      <w:r w:rsidRPr="00884E98">
        <w:rPr>
          <w:rFonts w:ascii="Verdana" w:hAnsi="Verdana"/>
          <w:sz w:val="20"/>
          <w:szCs w:val="20"/>
          <w:lang w:val="en-GB"/>
        </w:rPr>
        <w:t xml:space="preserve"> is a competitive SCM partner and encourage them so strengthen partnership</w:t>
      </w:r>
      <w:r w:rsidR="00917889" w:rsidRPr="00884E98">
        <w:rPr>
          <w:rFonts w:ascii="Verdana" w:hAnsi="Verdana"/>
          <w:sz w:val="20"/>
          <w:szCs w:val="20"/>
          <w:lang w:val="en-GB"/>
        </w:rPr>
        <w:t>s</w:t>
      </w:r>
      <w:r w:rsidRPr="00884E98">
        <w:rPr>
          <w:rFonts w:ascii="Verdana" w:hAnsi="Verdana"/>
          <w:sz w:val="20"/>
          <w:szCs w:val="20"/>
          <w:lang w:val="en-GB"/>
        </w:rPr>
        <w:t xml:space="preserve"> with our company.</w:t>
      </w:r>
    </w:p>
    <w:p w:rsidR="00A13FDF" w:rsidRPr="00884E98" w:rsidRDefault="003F4641"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 xml:space="preserve">We will continue to work with OEMs to show that </w:t>
      </w:r>
      <w:proofErr w:type="spellStart"/>
      <w:r w:rsidR="00282285" w:rsidRPr="00282285">
        <w:rPr>
          <w:rFonts w:ascii="Verdana" w:hAnsi="Verdana"/>
          <w:color w:val="C00000"/>
          <w:sz w:val="20"/>
          <w:lang w:val="en-GB"/>
        </w:rPr>
        <w:t>Rood</w:t>
      </w:r>
      <w:r w:rsidRPr="00884E98">
        <w:rPr>
          <w:rFonts w:ascii="Verdana" w:hAnsi="Verdana"/>
          <w:sz w:val="20"/>
          <w:szCs w:val="20"/>
          <w:lang w:val="en-GB"/>
        </w:rPr>
        <w:t>Microtec</w:t>
      </w:r>
      <w:proofErr w:type="spellEnd"/>
      <w:r w:rsidRPr="00884E98">
        <w:rPr>
          <w:rFonts w:ascii="Verdana" w:hAnsi="Verdana"/>
          <w:sz w:val="20"/>
          <w:szCs w:val="20"/>
          <w:lang w:val="en-GB"/>
        </w:rPr>
        <w:t xml:space="preserve"> can offer competitive </w:t>
      </w:r>
      <w:proofErr w:type="spellStart"/>
      <w:r w:rsidRPr="00884E98">
        <w:rPr>
          <w:rFonts w:ascii="Verdana" w:hAnsi="Verdana"/>
          <w:sz w:val="20"/>
          <w:szCs w:val="20"/>
          <w:lang w:val="en-GB"/>
        </w:rPr>
        <w:t>e</w:t>
      </w:r>
      <w:r w:rsidRPr="0064523D">
        <w:rPr>
          <w:rFonts w:ascii="Verdana" w:hAnsi="Verdana"/>
          <w:color w:val="C00000"/>
          <w:sz w:val="20"/>
          <w:szCs w:val="20"/>
          <w:lang w:val="en-GB"/>
        </w:rPr>
        <w:t>X</w:t>
      </w:r>
      <w:r w:rsidRPr="00884E98">
        <w:rPr>
          <w:rFonts w:ascii="Verdana" w:hAnsi="Verdana"/>
          <w:sz w:val="20"/>
          <w:szCs w:val="20"/>
          <w:lang w:val="en-GB"/>
        </w:rPr>
        <w:t>tended</w:t>
      </w:r>
      <w:proofErr w:type="spellEnd"/>
      <w:r w:rsidRPr="00884E98">
        <w:rPr>
          <w:rFonts w:ascii="Verdana" w:hAnsi="Verdana"/>
          <w:sz w:val="20"/>
          <w:szCs w:val="20"/>
          <w:lang w:val="en-GB"/>
        </w:rPr>
        <w:t xml:space="preserve"> SCM in conjunction with design companies. </w:t>
      </w:r>
    </w:p>
    <w:p w:rsidR="00A13FDF" w:rsidRPr="00884E98" w:rsidRDefault="003F4641"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We will continue to look for smaller faster turnaround opportunities in Failure Analysis, Qualification &amp; Reliability and Test</w:t>
      </w:r>
      <w:r w:rsidR="008D4FB2" w:rsidRPr="00884E98">
        <w:rPr>
          <w:rFonts w:ascii="Verdana" w:hAnsi="Verdana"/>
          <w:sz w:val="20"/>
          <w:szCs w:val="20"/>
          <w:lang w:val="en-GB"/>
        </w:rPr>
        <w:t xml:space="preserve"> Operations</w:t>
      </w:r>
      <w:r w:rsidRPr="00884E98">
        <w:rPr>
          <w:rFonts w:ascii="Verdana" w:hAnsi="Verdana"/>
          <w:sz w:val="20"/>
          <w:szCs w:val="20"/>
          <w:lang w:val="en-GB"/>
        </w:rPr>
        <w:t>.</w:t>
      </w:r>
    </w:p>
    <w:p w:rsidR="00A13FDF" w:rsidRPr="00884E98" w:rsidRDefault="003F4641"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 xml:space="preserve">We will continue to strengthen our internal quality system by maintaining the certification according </w:t>
      </w:r>
      <w:r w:rsidR="00CB4142" w:rsidRPr="00884E98">
        <w:rPr>
          <w:rFonts w:ascii="Verdana" w:hAnsi="Verdana"/>
          <w:sz w:val="20"/>
          <w:szCs w:val="20"/>
          <w:lang w:val="en-GB"/>
        </w:rPr>
        <w:t xml:space="preserve">to </w:t>
      </w:r>
      <w:r w:rsidRPr="00884E98">
        <w:rPr>
          <w:rFonts w:ascii="Verdana" w:hAnsi="Verdana"/>
          <w:sz w:val="20"/>
          <w:szCs w:val="20"/>
          <w:lang w:val="en-GB"/>
        </w:rPr>
        <w:t xml:space="preserve">the </w:t>
      </w:r>
      <w:r w:rsidR="00CB4142" w:rsidRPr="00884E98">
        <w:rPr>
          <w:rFonts w:ascii="Verdana" w:hAnsi="Verdana"/>
          <w:sz w:val="20"/>
          <w:szCs w:val="20"/>
          <w:lang w:val="en-GB"/>
        </w:rPr>
        <w:t xml:space="preserve">2015 </w:t>
      </w:r>
      <w:r w:rsidRPr="00884E98">
        <w:rPr>
          <w:rFonts w:ascii="Verdana" w:hAnsi="Verdana"/>
          <w:sz w:val="20"/>
          <w:szCs w:val="20"/>
          <w:lang w:val="en-GB"/>
        </w:rPr>
        <w:t>version of ISO 9001</w:t>
      </w:r>
    </w:p>
    <w:p w:rsidR="003E576B" w:rsidRPr="00884E98" w:rsidRDefault="003F4641"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 xml:space="preserve">To strengthen our technical </w:t>
      </w:r>
      <w:r w:rsidR="006162A3" w:rsidRPr="00884E98">
        <w:rPr>
          <w:rFonts w:ascii="Verdana" w:hAnsi="Verdana"/>
          <w:sz w:val="20"/>
          <w:szCs w:val="20"/>
          <w:lang w:val="en-GB"/>
        </w:rPr>
        <w:t>position,</w:t>
      </w:r>
      <w:r w:rsidRPr="00884E98">
        <w:rPr>
          <w:rFonts w:ascii="Verdana" w:hAnsi="Verdana"/>
          <w:sz w:val="20"/>
          <w:szCs w:val="20"/>
          <w:lang w:val="en-GB"/>
        </w:rPr>
        <w:t xml:space="preserve"> we will invest in a new high-technological equipment to be able to service the market.</w:t>
      </w:r>
    </w:p>
    <w:p w:rsidR="00E95087" w:rsidRPr="00884E98" w:rsidRDefault="00E95087" w:rsidP="0064523D">
      <w:pPr>
        <w:tabs>
          <w:tab w:val="left" w:pos="284"/>
        </w:tabs>
        <w:spacing w:line="276" w:lineRule="auto"/>
        <w:rPr>
          <w:rFonts w:ascii="Verdana" w:hAnsi="Verdana"/>
          <w:sz w:val="20"/>
        </w:rPr>
      </w:pPr>
      <w:r w:rsidRPr="00884E98">
        <w:rPr>
          <w:rFonts w:ascii="Verdana" w:hAnsi="Verdana"/>
          <w:sz w:val="20"/>
        </w:rPr>
        <w:t>The above items will result in a good combination of long-term contracts with long lead time</w:t>
      </w:r>
      <w:r w:rsidR="001E2928" w:rsidRPr="00884E98">
        <w:rPr>
          <w:rFonts w:ascii="Verdana" w:hAnsi="Verdana"/>
          <w:sz w:val="20"/>
        </w:rPr>
        <w:t>s</w:t>
      </w:r>
      <w:r w:rsidRPr="00884E98">
        <w:rPr>
          <w:rFonts w:ascii="Verdana" w:hAnsi="Verdana"/>
          <w:sz w:val="20"/>
        </w:rPr>
        <w:t xml:space="preserve"> and short term orders with short lead time</w:t>
      </w:r>
      <w:r w:rsidR="001E2928" w:rsidRPr="00884E98">
        <w:rPr>
          <w:rFonts w:ascii="Verdana" w:hAnsi="Verdana"/>
          <w:sz w:val="20"/>
        </w:rPr>
        <w:t>s</w:t>
      </w:r>
      <w:r w:rsidRPr="00884E98">
        <w:rPr>
          <w:rFonts w:ascii="Verdana" w:hAnsi="Verdana"/>
          <w:sz w:val="20"/>
        </w:rPr>
        <w:t xml:space="preserve">. </w:t>
      </w:r>
      <w:r w:rsidR="00487878" w:rsidRPr="00884E98">
        <w:rPr>
          <w:rFonts w:ascii="Verdana" w:hAnsi="Verdana"/>
          <w:sz w:val="20"/>
        </w:rPr>
        <w:t xml:space="preserve">In future we certainly need short-term orders to generate cash flow </w:t>
      </w:r>
      <w:r w:rsidR="00974B45" w:rsidRPr="00884E98">
        <w:rPr>
          <w:rFonts w:ascii="Verdana" w:hAnsi="Verdana"/>
          <w:sz w:val="20"/>
        </w:rPr>
        <w:t>while</w:t>
      </w:r>
      <w:r w:rsidR="00487878" w:rsidRPr="00884E98">
        <w:rPr>
          <w:rFonts w:ascii="Verdana" w:hAnsi="Verdana"/>
          <w:sz w:val="20"/>
        </w:rPr>
        <w:t xml:space="preserve"> continu</w:t>
      </w:r>
      <w:r w:rsidR="00974B45" w:rsidRPr="00884E98">
        <w:rPr>
          <w:rFonts w:ascii="Verdana" w:hAnsi="Verdana"/>
          <w:sz w:val="20"/>
        </w:rPr>
        <w:t>ing</w:t>
      </w:r>
      <w:r w:rsidR="00487878" w:rsidRPr="00884E98">
        <w:rPr>
          <w:rFonts w:ascii="Verdana" w:hAnsi="Verdana"/>
          <w:sz w:val="20"/>
        </w:rPr>
        <w:t xml:space="preserve"> to focus on </w:t>
      </w:r>
      <w:r w:rsidR="00974B45" w:rsidRPr="00884E98">
        <w:rPr>
          <w:rFonts w:ascii="Verdana" w:hAnsi="Verdana"/>
          <w:sz w:val="20"/>
        </w:rPr>
        <w:t>l</w:t>
      </w:r>
      <w:r w:rsidR="00487878" w:rsidRPr="00884E98">
        <w:rPr>
          <w:rFonts w:ascii="Verdana" w:hAnsi="Verdana"/>
          <w:sz w:val="20"/>
        </w:rPr>
        <w:t xml:space="preserve">ong-term contracts, which bring much more stable, predictable recurring revenues and </w:t>
      </w:r>
      <w:r w:rsidR="00974B45" w:rsidRPr="00884E98">
        <w:rPr>
          <w:rFonts w:ascii="Verdana" w:hAnsi="Verdana"/>
          <w:sz w:val="20"/>
        </w:rPr>
        <w:t>underpin our role as</w:t>
      </w:r>
      <w:r w:rsidR="00487878" w:rsidRPr="00884E98">
        <w:rPr>
          <w:rFonts w:ascii="Verdana" w:hAnsi="Verdana"/>
          <w:sz w:val="20"/>
        </w:rPr>
        <w:t xml:space="preserve"> the supply chain specialist.</w:t>
      </w:r>
    </w:p>
    <w:p w:rsidR="00E95087" w:rsidRPr="00884E98" w:rsidRDefault="00E95087" w:rsidP="0064523D">
      <w:pPr>
        <w:tabs>
          <w:tab w:val="left" w:pos="284"/>
        </w:tabs>
        <w:spacing w:line="276" w:lineRule="auto"/>
        <w:rPr>
          <w:rFonts w:ascii="Verdana" w:hAnsi="Verdana"/>
          <w:sz w:val="20"/>
        </w:rPr>
      </w:pPr>
    </w:p>
    <w:p w:rsidR="00DC2BF9" w:rsidRPr="00884E98" w:rsidRDefault="00DC2BF9" w:rsidP="0064523D">
      <w:pPr>
        <w:tabs>
          <w:tab w:val="left" w:pos="284"/>
        </w:tabs>
        <w:spacing w:line="276" w:lineRule="auto"/>
        <w:rPr>
          <w:rFonts w:ascii="Verdana" w:hAnsi="Verdana"/>
          <w:sz w:val="20"/>
        </w:rPr>
      </w:pPr>
      <w:r w:rsidRPr="00884E98">
        <w:rPr>
          <w:rFonts w:ascii="Verdana" w:hAnsi="Verdana"/>
          <w:sz w:val="20"/>
        </w:rPr>
        <w:t>Furthermore, we will:</w:t>
      </w:r>
    </w:p>
    <w:p w:rsidR="00E95087" w:rsidRPr="00884E98" w:rsidRDefault="00DC2BF9"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E</w:t>
      </w:r>
      <w:r w:rsidR="00E95087" w:rsidRPr="00884E98">
        <w:rPr>
          <w:rFonts w:ascii="Verdana" w:hAnsi="Verdana"/>
          <w:sz w:val="20"/>
          <w:szCs w:val="20"/>
          <w:lang w:val="en-GB"/>
        </w:rPr>
        <w:t>stablish direct contact with Tier 1 customers as an ASIC provider. This will enable</w:t>
      </w:r>
      <w:r w:rsidR="001E2928" w:rsidRPr="00884E98">
        <w:rPr>
          <w:rFonts w:ascii="Verdana" w:hAnsi="Verdana"/>
          <w:sz w:val="20"/>
          <w:szCs w:val="20"/>
          <w:lang w:val="en-GB"/>
        </w:rPr>
        <w:t xml:space="preserve"> us</w:t>
      </w:r>
      <w:r w:rsidR="00E95087" w:rsidRPr="00884E98">
        <w:rPr>
          <w:rFonts w:ascii="Verdana" w:hAnsi="Verdana"/>
          <w:sz w:val="20"/>
          <w:szCs w:val="20"/>
          <w:lang w:val="en-GB"/>
        </w:rPr>
        <w:t xml:space="preserve"> to take on more of the tasks in the complete flow</w:t>
      </w:r>
      <w:r w:rsidR="004C65F2" w:rsidRPr="00884E98">
        <w:rPr>
          <w:rFonts w:ascii="Verdana" w:hAnsi="Verdana"/>
          <w:sz w:val="20"/>
          <w:szCs w:val="20"/>
          <w:lang w:val="en-GB"/>
        </w:rPr>
        <w:t xml:space="preserve">, </w:t>
      </w:r>
      <w:r w:rsidR="00E95087" w:rsidRPr="00884E98">
        <w:rPr>
          <w:rFonts w:ascii="Verdana" w:hAnsi="Verdana"/>
          <w:sz w:val="20"/>
          <w:szCs w:val="20"/>
          <w:lang w:val="en-GB"/>
        </w:rPr>
        <w:t>generat</w:t>
      </w:r>
      <w:r w:rsidR="004C65F2" w:rsidRPr="00884E98">
        <w:rPr>
          <w:rFonts w:ascii="Verdana" w:hAnsi="Verdana"/>
          <w:sz w:val="20"/>
          <w:szCs w:val="20"/>
          <w:lang w:val="en-GB"/>
        </w:rPr>
        <w:t>ing</w:t>
      </w:r>
      <w:r w:rsidR="00E95087" w:rsidRPr="00884E98">
        <w:rPr>
          <w:rFonts w:ascii="Verdana" w:hAnsi="Verdana"/>
          <w:sz w:val="20"/>
          <w:szCs w:val="20"/>
          <w:lang w:val="en-GB"/>
        </w:rPr>
        <w:t xml:space="preserve"> higher </w:t>
      </w:r>
      <w:r w:rsidR="0031191B" w:rsidRPr="00884E98">
        <w:rPr>
          <w:rFonts w:ascii="Verdana" w:hAnsi="Verdana"/>
          <w:sz w:val="20"/>
          <w:szCs w:val="20"/>
          <w:lang w:val="en-GB"/>
        </w:rPr>
        <w:t>sales</w:t>
      </w:r>
      <w:r w:rsidR="004C65F2" w:rsidRPr="00884E98">
        <w:rPr>
          <w:rFonts w:ascii="Verdana" w:hAnsi="Verdana"/>
          <w:sz w:val="20"/>
          <w:szCs w:val="20"/>
          <w:lang w:val="en-GB"/>
        </w:rPr>
        <w:t xml:space="preserve"> volumes</w:t>
      </w:r>
      <w:r w:rsidR="00E95087" w:rsidRPr="00884E98">
        <w:rPr>
          <w:rFonts w:ascii="Verdana" w:hAnsi="Verdana"/>
          <w:sz w:val="20"/>
          <w:szCs w:val="20"/>
          <w:lang w:val="en-GB"/>
        </w:rPr>
        <w:t>.</w:t>
      </w:r>
    </w:p>
    <w:p w:rsidR="00E95087" w:rsidRPr="00884E98" w:rsidRDefault="004C65F2"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S</w:t>
      </w:r>
      <w:r w:rsidR="00E95087" w:rsidRPr="00884E98">
        <w:rPr>
          <w:rFonts w:ascii="Verdana" w:hAnsi="Verdana"/>
          <w:sz w:val="20"/>
          <w:szCs w:val="20"/>
          <w:lang w:val="en-GB"/>
        </w:rPr>
        <w:t>trengthen relationships with customers, suppliers and appropriate partners (foundries, assemblers</w:t>
      </w:r>
      <w:r w:rsidR="008D4FB2" w:rsidRPr="00884E98">
        <w:rPr>
          <w:rFonts w:ascii="Verdana" w:hAnsi="Verdana"/>
          <w:sz w:val="20"/>
          <w:szCs w:val="20"/>
          <w:lang w:val="en-GB"/>
        </w:rPr>
        <w:t xml:space="preserve">, design houses, OEMs and </w:t>
      </w:r>
      <w:r w:rsidR="00D37A90" w:rsidRPr="00884E98">
        <w:rPr>
          <w:rFonts w:ascii="Verdana" w:hAnsi="Verdana"/>
          <w:sz w:val="20"/>
          <w:szCs w:val="20"/>
          <w:lang w:val="en-GB"/>
        </w:rPr>
        <w:t>system houses</w:t>
      </w:r>
      <w:r w:rsidR="00E95087" w:rsidRPr="00884E98">
        <w:rPr>
          <w:rFonts w:ascii="Verdana" w:hAnsi="Verdana"/>
          <w:sz w:val="20"/>
          <w:szCs w:val="20"/>
          <w:lang w:val="en-GB"/>
        </w:rPr>
        <w:t>)</w:t>
      </w:r>
      <w:r w:rsidRPr="00884E98">
        <w:rPr>
          <w:rFonts w:ascii="Verdana" w:hAnsi="Verdana"/>
          <w:sz w:val="20"/>
          <w:szCs w:val="20"/>
          <w:lang w:val="en-GB"/>
        </w:rPr>
        <w:t xml:space="preserve"> to emphasise our reputation in the market.</w:t>
      </w:r>
    </w:p>
    <w:p w:rsidR="00487878" w:rsidRPr="00884E98" w:rsidRDefault="00487878" w:rsidP="0064523D">
      <w:pPr>
        <w:pStyle w:val="Listenabsatz"/>
        <w:numPr>
          <w:ilvl w:val="0"/>
          <w:numId w:val="9"/>
        </w:numPr>
        <w:tabs>
          <w:tab w:val="left" w:pos="284"/>
        </w:tabs>
        <w:spacing w:line="276" w:lineRule="auto"/>
        <w:ind w:left="284" w:hanging="284"/>
        <w:rPr>
          <w:rFonts w:ascii="Verdana" w:hAnsi="Verdana"/>
          <w:sz w:val="20"/>
          <w:szCs w:val="20"/>
          <w:lang w:val="en-GB"/>
        </w:rPr>
      </w:pPr>
      <w:r w:rsidRPr="00884E98">
        <w:rPr>
          <w:rFonts w:ascii="Verdana" w:hAnsi="Verdana"/>
          <w:sz w:val="20"/>
          <w:szCs w:val="20"/>
          <w:lang w:val="en-GB"/>
        </w:rPr>
        <w:t>Continu</w:t>
      </w:r>
      <w:r w:rsidR="004C65F2" w:rsidRPr="00884E98">
        <w:rPr>
          <w:rFonts w:ascii="Verdana" w:hAnsi="Verdana"/>
          <w:sz w:val="20"/>
          <w:szCs w:val="20"/>
          <w:lang w:val="en-GB"/>
        </w:rPr>
        <w:t>e</w:t>
      </w:r>
      <w:r w:rsidRPr="00884E98">
        <w:rPr>
          <w:rFonts w:ascii="Verdana" w:hAnsi="Verdana"/>
          <w:sz w:val="20"/>
          <w:szCs w:val="20"/>
          <w:lang w:val="en-GB"/>
        </w:rPr>
        <w:t xml:space="preserve"> </w:t>
      </w:r>
      <w:r w:rsidR="004C65F2" w:rsidRPr="00884E98">
        <w:rPr>
          <w:rFonts w:ascii="Verdana" w:hAnsi="Verdana"/>
          <w:sz w:val="20"/>
          <w:szCs w:val="20"/>
          <w:lang w:val="en-GB"/>
        </w:rPr>
        <w:t xml:space="preserve">to </w:t>
      </w:r>
      <w:r w:rsidRPr="00884E98">
        <w:rPr>
          <w:rFonts w:ascii="Verdana" w:hAnsi="Verdana"/>
          <w:sz w:val="20"/>
          <w:szCs w:val="20"/>
          <w:lang w:val="en-GB"/>
        </w:rPr>
        <w:t xml:space="preserve">focus on development of new technologies and special requirements from the market, </w:t>
      </w:r>
      <w:r w:rsidR="004C65F2" w:rsidRPr="00884E98">
        <w:rPr>
          <w:rFonts w:ascii="Verdana" w:hAnsi="Verdana"/>
          <w:sz w:val="20"/>
          <w:szCs w:val="20"/>
          <w:lang w:val="en-GB"/>
        </w:rPr>
        <w:t>such as</w:t>
      </w:r>
      <w:r w:rsidRPr="00884E98">
        <w:rPr>
          <w:rFonts w:ascii="Verdana" w:hAnsi="Verdana"/>
          <w:sz w:val="20"/>
          <w:szCs w:val="20"/>
          <w:lang w:val="en-GB"/>
        </w:rPr>
        <w:t xml:space="preserve"> optical sensors, MEMS and RF solutions for the automotive and industrial markets. </w:t>
      </w:r>
    </w:p>
    <w:p w:rsidR="008348AA" w:rsidRDefault="004C65F2" w:rsidP="0064523D">
      <w:pPr>
        <w:pStyle w:val="Listenabsatz"/>
        <w:numPr>
          <w:ilvl w:val="0"/>
          <w:numId w:val="9"/>
        </w:numPr>
        <w:tabs>
          <w:tab w:val="left" w:pos="284"/>
        </w:tabs>
        <w:spacing w:after="0" w:line="276" w:lineRule="auto"/>
        <w:ind w:left="284" w:hanging="284"/>
        <w:rPr>
          <w:rFonts w:ascii="Verdana" w:hAnsi="Verdana"/>
          <w:sz w:val="20"/>
          <w:szCs w:val="20"/>
          <w:lang w:val="en-GB"/>
        </w:rPr>
      </w:pPr>
      <w:r w:rsidRPr="00884E98">
        <w:rPr>
          <w:rFonts w:ascii="Verdana" w:hAnsi="Verdana"/>
          <w:sz w:val="20"/>
          <w:szCs w:val="20"/>
          <w:lang w:val="en-GB"/>
        </w:rPr>
        <w:t>S</w:t>
      </w:r>
      <w:r w:rsidR="001E2928" w:rsidRPr="00884E98">
        <w:rPr>
          <w:rFonts w:ascii="Verdana" w:hAnsi="Verdana"/>
          <w:sz w:val="20"/>
          <w:szCs w:val="20"/>
          <w:lang w:val="en-GB"/>
        </w:rPr>
        <w:t xml:space="preserve">trengthen </w:t>
      </w:r>
      <w:r w:rsidR="00E95087" w:rsidRPr="00884E98">
        <w:rPr>
          <w:rFonts w:ascii="Verdana" w:hAnsi="Verdana"/>
          <w:sz w:val="20"/>
          <w:szCs w:val="20"/>
          <w:lang w:val="en-GB"/>
        </w:rPr>
        <w:t>our awareness in the market by organi</w:t>
      </w:r>
      <w:r w:rsidR="001E2928" w:rsidRPr="00884E98">
        <w:rPr>
          <w:rFonts w:ascii="Verdana" w:hAnsi="Verdana"/>
          <w:sz w:val="20"/>
          <w:szCs w:val="20"/>
          <w:lang w:val="en-GB"/>
        </w:rPr>
        <w:t>s</w:t>
      </w:r>
      <w:r w:rsidR="00E95087" w:rsidRPr="00884E98">
        <w:rPr>
          <w:rFonts w:ascii="Verdana" w:hAnsi="Verdana"/>
          <w:sz w:val="20"/>
          <w:szCs w:val="20"/>
          <w:lang w:val="en-GB"/>
        </w:rPr>
        <w:t>ing seminars on qu</w:t>
      </w:r>
      <w:r w:rsidR="007E706B" w:rsidRPr="00884E98">
        <w:rPr>
          <w:rFonts w:ascii="Verdana" w:hAnsi="Verdana"/>
          <w:sz w:val="20"/>
          <w:szCs w:val="20"/>
          <w:lang w:val="en-GB"/>
        </w:rPr>
        <w:t xml:space="preserve">alification, failure analysis, </w:t>
      </w:r>
      <w:r w:rsidR="00E95087" w:rsidRPr="00884E98">
        <w:rPr>
          <w:rFonts w:ascii="Verdana" w:hAnsi="Verdana"/>
          <w:sz w:val="20"/>
          <w:szCs w:val="20"/>
          <w:lang w:val="en-GB"/>
        </w:rPr>
        <w:t>outsourcing and supply chain activities.</w:t>
      </w:r>
    </w:p>
    <w:p w:rsidR="00D37A90" w:rsidRDefault="00D37A90" w:rsidP="0064523D">
      <w:pPr>
        <w:spacing w:line="276" w:lineRule="auto"/>
        <w:rPr>
          <w:rFonts w:ascii="Verdana" w:hAnsi="Verdana" w:cs="Verdana"/>
          <w:color w:val="000000"/>
          <w:sz w:val="20"/>
          <w:highlight w:val="yellow"/>
        </w:rPr>
      </w:pPr>
    </w:p>
    <w:p w:rsidR="008473C4" w:rsidRPr="00884E98" w:rsidRDefault="008473C4" w:rsidP="0064523D">
      <w:pPr>
        <w:spacing w:line="276" w:lineRule="auto"/>
        <w:rPr>
          <w:rFonts w:ascii="Verdana" w:hAnsi="Verdana" w:cs="Verdana"/>
          <w:color w:val="000000"/>
          <w:sz w:val="20"/>
          <w:highlight w:val="yellow"/>
        </w:rPr>
      </w:pPr>
    </w:p>
    <w:p w:rsidR="007E706B" w:rsidRPr="00884E98" w:rsidRDefault="007E706B" w:rsidP="0064523D">
      <w:pPr>
        <w:spacing w:after="200" w:line="276" w:lineRule="auto"/>
        <w:rPr>
          <w:rFonts w:ascii="Verdana" w:hAnsi="Verdana"/>
          <w:b/>
          <w:color w:val="B71234"/>
          <w:sz w:val="20"/>
        </w:rPr>
      </w:pPr>
      <w:r w:rsidRPr="00884E98">
        <w:rPr>
          <w:rFonts w:ascii="Verdana" w:hAnsi="Verdana"/>
          <w:b/>
          <w:color w:val="B71234"/>
          <w:sz w:val="20"/>
        </w:rPr>
        <w:t>Outlook for 201</w:t>
      </w:r>
      <w:r w:rsidR="0097568C" w:rsidRPr="00884E98">
        <w:rPr>
          <w:rFonts w:ascii="Verdana" w:hAnsi="Verdana"/>
          <w:b/>
          <w:color w:val="B71234"/>
          <w:sz w:val="20"/>
        </w:rPr>
        <w:t>7</w:t>
      </w:r>
    </w:p>
    <w:p w:rsidR="0060633D" w:rsidRPr="00884E98" w:rsidRDefault="00D221A3" w:rsidP="0064523D">
      <w:pPr>
        <w:spacing w:line="276" w:lineRule="auto"/>
        <w:rPr>
          <w:rFonts w:ascii="Verdana" w:hAnsi="Verdana"/>
          <w:sz w:val="20"/>
        </w:rPr>
      </w:pPr>
      <w:r w:rsidRPr="00884E98">
        <w:rPr>
          <w:rFonts w:ascii="Verdana" w:hAnsi="Verdana"/>
          <w:sz w:val="20"/>
        </w:rPr>
        <w:t>As a result of new announced arrangements and the contracts announced in 201</w:t>
      </w:r>
      <w:r w:rsidR="007A17C0" w:rsidRPr="00884E98">
        <w:rPr>
          <w:rFonts w:ascii="Verdana" w:hAnsi="Verdana"/>
          <w:sz w:val="20"/>
        </w:rPr>
        <w:t>6</w:t>
      </w:r>
      <w:r w:rsidRPr="00884E98">
        <w:rPr>
          <w:rFonts w:ascii="Verdana" w:hAnsi="Verdana"/>
          <w:sz w:val="20"/>
        </w:rPr>
        <w:t xml:space="preserve">, </w:t>
      </w:r>
      <w:proofErr w:type="spellStart"/>
      <w:r w:rsidR="00282285" w:rsidRPr="00282285">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expects that turnover will increase substantially in the coming years. We expect that in 2020 our turnover will approximately be 75% higher compared to the total turnover of over EUR 10 million in 2015. </w:t>
      </w:r>
    </w:p>
    <w:p w:rsidR="00880888" w:rsidRPr="00884E98" w:rsidRDefault="00880888" w:rsidP="0064523D">
      <w:pPr>
        <w:spacing w:line="276" w:lineRule="auto"/>
        <w:rPr>
          <w:rFonts w:ascii="Verdana" w:hAnsi="Verdana"/>
          <w:sz w:val="20"/>
        </w:rPr>
      </w:pPr>
      <w:r w:rsidRPr="00884E98">
        <w:rPr>
          <w:rFonts w:ascii="Verdana" w:hAnsi="Verdana"/>
          <w:sz w:val="20"/>
        </w:rPr>
        <w:t xml:space="preserve">With a number of new projects ramping to production during the second half of 2017 we expect to see an increase in revenue and improved results compared to 2016. </w:t>
      </w:r>
    </w:p>
    <w:p w:rsidR="00FC581C" w:rsidRDefault="00FC581C" w:rsidP="0064523D">
      <w:pPr>
        <w:spacing w:line="276" w:lineRule="auto"/>
        <w:rPr>
          <w:rFonts w:ascii="Verdana" w:hAnsi="Verdana"/>
          <w:sz w:val="20"/>
        </w:rPr>
      </w:pPr>
    </w:p>
    <w:p w:rsidR="008473C4" w:rsidRPr="00884E98" w:rsidRDefault="008473C4" w:rsidP="0064523D">
      <w:pPr>
        <w:spacing w:line="276" w:lineRule="auto"/>
        <w:rPr>
          <w:rFonts w:ascii="Verdana" w:hAnsi="Verdana"/>
          <w:sz w:val="20"/>
        </w:rPr>
      </w:pPr>
    </w:p>
    <w:p w:rsidR="000F7888" w:rsidRDefault="000F7888" w:rsidP="0064523D">
      <w:pPr>
        <w:spacing w:after="200" w:line="276" w:lineRule="auto"/>
        <w:rPr>
          <w:rFonts w:ascii="Verdana" w:hAnsi="Verdana"/>
          <w:b/>
          <w:color w:val="B71234"/>
          <w:sz w:val="20"/>
        </w:rPr>
      </w:pPr>
      <w:r>
        <w:rPr>
          <w:rFonts w:ascii="Verdana" w:hAnsi="Verdana"/>
          <w:b/>
          <w:color w:val="B71234"/>
          <w:sz w:val="20"/>
        </w:rPr>
        <w:br w:type="page"/>
      </w:r>
    </w:p>
    <w:p w:rsidR="004B0FE9" w:rsidRPr="00884E98" w:rsidRDefault="0086510E" w:rsidP="0064523D">
      <w:pPr>
        <w:spacing w:after="200" w:line="276" w:lineRule="auto"/>
        <w:rPr>
          <w:rFonts w:ascii="Verdana" w:hAnsi="Verdana"/>
          <w:b/>
          <w:color w:val="B71234"/>
          <w:sz w:val="20"/>
        </w:rPr>
      </w:pPr>
      <w:r w:rsidRPr="00884E98">
        <w:rPr>
          <w:rFonts w:ascii="Verdana" w:hAnsi="Verdana"/>
          <w:b/>
          <w:color w:val="B71234"/>
          <w:sz w:val="20"/>
        </w:rPr>
        <w:lastRenderedPageBreak/>
        <w:t xml:space="preserve">Conference call today, </w:t>
      </w:r>
      <w:r w:rsidR="007A17C0" w:rsidRPr="00884E98">
        <w:rPr>
          <w:rFonts w:ascii="Verdana" w:hAnsi="Verdana"/>
          <w:b/>
          <w:color w:val="B71234"/>
          <w:sz w:val="20"/>
        </w:rPr>
        <w:t>9</w:t>
      </w:r>
      <w:r w:rsidRPr="00884E98">
        <w:rPr>
          <w:rFonts w:ascii="Verdana" w:hAnsi="Verdana"/>
          <w:b/>
          <w:color w:val="B71234"/>
          <w:sz w:val="20"/>
        </w:rPr>
        <w:t xml:space="preserve"> March 201</w:t>
      </w:r>
      <w:r w:rsidR="007A17C0" w:rsidRPr="00884E98">
        <w:rPr>
          <w:rFonts w:ascii="Verdana" w:hAnsi="Verdana"/>
          <w:b/>
          <w:color w:val="B71234"/>
          <w:sz w:val="20"/>
        </w:rPr>
        <w:t>7</w:t>
      </w:r>
      <w:r w:rsidRPr="00884E98">
        <w:rPr>
          <w:rFonts w:ascii="Verdana" w:hAnsi="Verdana"/>
          <w:b/>
          <w:color w:val="B71234"/>
          <w:sz w:val="20"/>
        </w:rPr>
        <w:t>, start 9.30 am</w:t>
      </w:r>
    </w:p>
    <w:p w:rsidR="00FC581C" w:rsidRPr="00884E98" w:rsidRDefault="00FC581C" w:rsidP="0064523D">
      <w:pPr>
        <w:spacing w:line="276" w:lineRule="auto"/>
        <w:rPr>
          <w:rFonts w:ascii="Verdana" w:hAnsi="Verdana" w:cs="Arial"/>
          <w:sz w:val="20"/>
        </w:rPr>
      </w:pPr>
      <w:r w:rsidRPr="00884E98">
        <w:rPr>
          <w:rFonts w:ascii="Verdana" w:hAnsi="Verdana" w:cs="Arial"/>
          <w:sz w:val="20"/>
        </w:rPr>
        <w:t xml:space="preserve">A conference call will be held for press, analysts and other interested parties on </w:t>
      </w:r>
      <w:r w:rsidR="0097568C" w:rsidRPr="00884E98">
        <w:rPr>
          <w:rFonts w:ascii="Verdana" w:hAnsi="Verdana" w:cs="Arial"/>
          <w:sz w:val="20"/>
        </w:rPr>
        <w:t>9</w:t>
      </w:r>
      <w:r w:rsidRPr="00884E98">
        <w:rPr>
          <w:rFonts w:ascii="Verdana" w:hAnsi="Verdana" w:cs="Arial"/>
          <w:sz w:val="20"/>
        </w:rPr>
        <w:t xml:space="preserve"> March</w:t>
      </w:r>
      <w:r w:rsidR="00BA34C9" w:rsidRPr="00884E98">
        <w:rPr>
          <w:rFonts w:ascii="Verdana" w:hAnsi="Verdana" w:cs="Arial"/>
          <w:sz w:val="20"/>
        </w:rPr>
        <w:t xml:space="preserve"> </w:t>
      </w:r>
      <w:r w:rsidR="000E66BF" w:rsidRPr="00884E98">
        <w:rPr>
          <w:rFonts w:ascii="Verdana" w:hAnsi="Verdana" w:cs="Arial"/>
          <w:sz w:val="20"/>
        </w:rPr>
        <w:t>2017</w:t>
      </w:r>
      <w:r w:rsidRPr="00884E98">
        <w:rPr>
          <w:rFonts w:ascii="Verdana" w:hAnsi="Verdana" w:cs="Arial"/>
          <w:sz w:val="20"/>
        </w:rPr>
        <w:t>.</w:t>
      </w:r>
    </w:p>
    <w:p w:rsidR="00BF2DDD" w:rsidRPr="00884E98" w:rsidRDefault="00BF2DDD" w:rsidP="0064523D">
      <w:pPr>
        <w:rPr>
          <w:rFonts w:ascii="Verdana" w:hAnsi="Verdana" w:cs="Arial"/>
          <w:sz w:val="20"/>
        </w:rPr>
      </w:pPr>
    </w:p>
    <w:p w:rsidR="000F7888" w:rsidRDefault="000E66BF" w:rsidP="0064523D">
      <w:pPr>
        <w:spacing w:line="276" w:lineRule="auto"/>
        <w:rPr>
          <w:rFonts w:ascii="Verdana" w:hAnsi="Verdana"/>
          <w:color w:val="000000"/>
          <w:sz w:val="20"/>
          <w:lang w:eastAsia="zh-CN" w:bidi="ar-SA"/>
        </w:rPr>
      </w:pPr>
      <w:r w:rsidRPr="00884E98">
        <w:rPr>
          <w:rFonts w:ascii="Verdana" w:hAnsi="Verdana"/>
          <w:b/>
          <w:bCs/>
          <w:i/>
          <w:iCs/>
          <w:color w:val="2F2F2F"/>
          <w:sz w:val="20"/>
          <w:lang w:eastAsia="zh-CN" w:bidi="ar-SA"/>
        </w:rPr>
        <w:t>Dial-in numbers:</w:t>
      </w:r>
    </w:p>
    <w:tbl>
      <w:tblPr>
        <w:tblW w:w="0" w:type="auto"/>
        <w:tblInd w:w="38" w:type="dxa"/>
        <w:tblCellMar>
          <w:left w:w="70" w:type="dxa"/>
          <w:right w:w="70" w:type="dxa"/>
        </w:tblCellMar>
        <w:tblLook w:val="0000"/>
      </w:tblPr>
      <w:tblGrid>
        <w:gridCol w:w="3151"/>
        <w:gridCol w:w="1997"/>
      </w:tblGrid>
      <w:tr w:rsidR="000F7888" w:rsidTr="000F7888">
        <w:trPr>
          <w:trHeight w:val="227"/>
        </w:trPr>
        <w:tc>
          <w:tcPr>
            <w:tcW w:w="3151" w:type="dxa"/>
          </w:tcPr>
          <w:p w:rsidR="000F7888" w:rsidRDefault="000F7888" w:rsidP="0064523D">
            <w:pPr>
              <w:spacing w:line="276" w:lineRule="auto"/>
              <w:ind w:left="32"/>
              <w:rPr>
                <w:rFonts w:ascii="Verdana" w:hAnsi="Verdana"/>
                <w:color w:val="000000"/>
                <w:sz w:val="20"/>
                <w:lang w:eastAsia="zh-CN" w:bidi="ar-SA"/>
              </w:rPr>
            </w:pPr>
            <w:r w:rsidRPr="00884E98">
              <w:rPr>
                <w:rFonts w:ascii="Verdana" w:hAnsi="Verdana"/>
                <w:color w:val="000000"/>
                <w:sz w:val="20"/>
                <w:lang w:eastAsia="zh-CN" w:bidi="ar-SA"/>
              </w:rPr>
              <w:t>The Netherlands</w:t>
            </w:r>
          </w:p>
        </w:tc>
        <w:tc>
          <w:tcPr>
            <w:tcW w:w="1997" w:type="dxa"/>
          </w:tcPr>
          <w:p w:rsidR="000F7888" w:rsidRDefault="000F7888" w:rsidP="0064523D">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020</w:t>
            </w:r>
            <w:r>
              <w:rPr>
                <w:rFonts w:ascii="Verdana" w:hAnsi="Verdana"/>
                <w:color w:val="000000"/>
                <w:sz w:val="20"/>
                <w:lang w:eastAsia="zh-CN" w:bidi="ar-SA"/>
              </w:rPr>
              <w:t xml:space="preserve"> </w:t>
            </w:r>
            <w:r w:rsidRPr="00884E98">
              <w:rPr>
                <w:rFonts w:ascii="Verdana" w:hAnsi="Verdana"/>
                <w:color w:val="000000"/>
                <w:sz w:val="20"/>
                <w:lang w:eastAsia="zh-CN" w:bidi="ar-SA"/>
              </w:rPr>
              <w:t>7133444</w:t>
            </w:r>
          </w:p>
        </w:tc>
      </w:tr>
      <w:tr w:rsidR="000F7888" w:rsidTr="000F7888">
        <w:trPr>
          <w:trHeight w:val="227"/>
        </w:trPr>
        <w:tc>
          <w:tcPr>
            <w:tcW w:w="3151" w:type="dxa"/>
          </w:tcPr>
          <w:p w:rsidR="000F7888" w:rsidRPr="00884E98" w:rsidRDefault="000F7888" w:rsidP="0064523D">
            <w:pPr>
              <w:spacing w:line="276" w:lineRule="auto"/>
              <w:ind w:left="32"/>
              <w:rPr>
                <w:rFonts w:ascii="Verdana" w:hAnsi="Verdana"/>
                <w:color w:val="000000"/>
                <w:sz w:val="20"/>
                <w:lang w:eastAsia="zh-CN" w:bidi="ar-SA"/>
              </w:rPr>
            </w:pPr>
            <w:r w:rsidRPr="00884E98">
              <w:rPr>
                <w:rFonts w:ascii="Verdana" w:hAnsi="Verdana"/>
                <w:color w:val="000000"/>
                <w:sz w:val="20"/>
                <w:lang w:eastAsia="zh-CN" w:bidi="ar-SA"/>
              </w:rPr>
              <w:t>Germany</w:t>
            </w:r>
          </w:p>
        </w:tc>
        <w:tc>
          <w:tcPr>
            <w:tcW w:w="1997" w:type="dxa"/>
          </w:tcPr>
          <w:p w:rsidR="000F7888" w:rsidRPr="00884E98" w:rsidRDefault="000F7888" w:rsidP="0064523D">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0800 00 05415</w:t>
            </w:r>
          </w:p>
        </w:tc>
      </w:tr>
      <w:tr w:rsidR="000F7888" w:rsidTr="000F7888">
        <w:trPr>
          <w:trHeight w:val="227"/>
        </w:trPr>
        <w:tc>
          <w:tcPr>
            <w:tcW w:w="3151" w:type="dxa"/>
          </w:tcPr>
          <w:p w:rsidR="000F7888" w:rsidRPr="00884E98" w:rsidRDefault="000F7888" w:rsidP="0064523D">
            <w:pPr>
              <w:spacing w:line="276" w:lineRule="auto"/>
              <w:ind w:left="32"/>
              <w:rPr>
                <w:rFonts w:ascii="Verdana" w:hAnsi="Verdana"/>
                <w:color w:val="000000"/>
                <w:sz w:val="20"/>
                <w:lang w:eastAsia="zh-CN" w:bidi="ar-SA"/>
              </w:rPr>
            </w:pPr>
            <w:r w:rsidRPr="00884E98">
              <w:rPr>
                <w:rFonts w:ascii="Verdana" w:hAnsi="Verdana"/>
                <w:color w:val="000000"/>
                <w:sz w:val="20"/>
                <w:lang w:eastAsia="zh-CN" w:bidi="ar-SA"/>
              </w:rPr>
              <w:t>Belgium (Brussels)</w:t>
            </w:r>
          </w:p>
        </w:tc>
        <w:tc>
          <w:tcPr>
            <w:tcW w:w="1997" w:type="dxa"/>
          </w:tcPr>
          <w:p w:rsidR="000F7888" w:rsidRPr="00884E98" w:rsidRDefault="000F7888" w:rsidP="0064523D">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w:t>
            </w:r>
            <w:r>
              <w:rPr>
                <w:rFonts w:ascii="Verdana" w:hAnsi="Verdana"/>
                <w:color w:val="000000"/>
                <w:sz w:val="20"/>
                <w:lang w:eastAsia="zh-CN" w:bidi="ar-SA"/>
              </w:rPr>
              <w:t xml:space="preserve"> </w:t>
            </w:r>
            <w:r w:rsidRPr="00884E98">
              <w:rPr>
                <w:rFonts w:ascii="Verdana" w:hAnsi="Verdana"/>
                <w:color w:val="000000"/>
                <w:sz w:val="20"/>
                <w:lang w:eastAsia="zh-CN" w:bidi="ar-SA"/>
              </w:rPr>
              <w:t>4001923</w:t>
            </w:r>
          </w:p>
        </w:tc>
      </w:tr>
      <w:tr w:rsidR="000F7888" w:rsidTr="000F7888">
        <w:trPr>
          <w:trHeight w:val="227"/>
        </w:trPr>
        <w:tc>
          <w:tcPr>
            <w:tcW w:w="3151" w:type="dxa"/>
          </w:tcPr>
          <w:p w:rsidR="000F7888" w:rsidRPr="00884E98" w:rsidRDefault="000F7888" w:rsidP="0064523D">
            <w:pPr>
              <w:spacing w:line="276" w:lineRule="auto"/>
              <w:ind w:left="32"/>
              <w:rPr>
                <w:rFonts w:ascii="Verdana" w:hAnsi="Verdana"/>
                <w:color w:val="000000"/>
                <w:sz w:val="20"/>
                <w:lang w:eastAsia="zh-CN" w:bidi="ar-SA"/>
              </w:rPr>
            </w:pPr>
            <w:r w:rsidRPr="00884E98">
              <w:rPr>
                <w:rFonts w:ascii="Verdana" w:hAnsi="Verdana"/>
                <w:color w:val="000000"/>
                <w:sz w:val="20"/>
                <w:lang w:eastAsia="zh-CN" w:bidi="ar-SA"/>
              </w:rPr>
              <w:t>UK (London)</w:t>
            </w:r>
          </w:p>
        </w:tc>
        <w:tc>
          <w:tcPr>
            <w:tcW w:w="1997" w:type="dxa"/>
          </w:tcPr>
          <w:p w:rsidR="000F7888" w:rsidRPr="00884E98" w:rsidRDefault="000F7888" w:rsidP="0064523D">
            <w:pPr>
              <w:spacing w:line="276" w:lineRule="auto"/>
              <w:ind w:left="70"/>
              <w:rPr>
                <w:rFonts w:ascii="Verdana" w:hAnsi="Verdana"/>
                <w:color w:val="000000"/>
                <w:sz w:val="20"/>
                <w:lang w:eastAsia="zh-CN" w:bidi="ar-SA"/>
              </w:rPr>
            </w:pPr>
            <w:r w:rsidRPr="00884E98">
              <w:rPr>
                <w:rFonts w:ascii="Verdana" w:hAnsi="Verdana"/>
                <w:color w:val="000000"/>
                <w:sz w:val="20"/>
                <w:lang w:eastAsia="zh-CN" w:bidi="ar-SA"/>
              </w:rPr>
              <w:t>02081181091</w:t>
            </w:r>
          </w:p>
        </w:tc>
      </w:tr>
    </w:tbl>
    <w:p w:rsidR="000E66BF" w:rsidRPr="00884E98" w:rsidRDefault="000E66BF" w:rsidP="0064523D">
      <w:pPr>
        <w:spacing w:before="100" w:beforeAutospacing="1" w:after="100" w:afterAutospacing="1"/>
        <w:rPr>
          <w:rFonts w:ascii="Verdana" w:eastAsiaTheme="minorHAnsi" w:hAnsi="Verdana"/>
          <w:color w:val="000000"/>
          <w:sz w:val="20"/>
          <w:lang w:eastAsia="zh-CN" w:bidi="ar-SA"/>
        </w:rPr>
      </w:pPr>
      <w:r w:rsidRPr="00884E98">
        <w:rPr>
          <w:rFonts w:ascii="Verdana" w:eastAsiaTheme="minorHAnsi" w:hAnsi="Verdana"/>
          <w:b/>
          <w:bCs/>
          <w:color w:val="000000"/>
          <w:sz w:val="20"/>
          <w:lang w:eastAsia="zh-CN" w:bidi="ar-SA"/>
        </w:rPr>
        <w:t>Conference Code: 1918764#</w:t>
      </w:r>
    </w:p>
    <w:p w:rsidR="00BF2DDD" w:rsidRPr="00884E98" w:rsidRDefault="000E66BF" w:rsidP="0064523D">
      <w:pPr>
        <w:spacing w:before="100" w:beforeAutospacing="1" w:line="276" w:lineRule="auto"/>
        <w:rPr>
          <w:rFonts w:ascii="Verdana" w:eastAsiaTheme="minorHAnsi" w:hAnsi="Verdana"/>
          <w:b/>
          <w:bCs/>
          <w:color w:val="000000"/>
          <w:sz w:val="20"/>
          <w:lang w:eastAsia="zh-CN" w:bidi="ar-SA"/>
        </w:rPr>
      </w:pPr>
      <w:r w:rsidRPr="00884E98">
        <w:rPr>
          <w:rFonts w:ascii="Verdana" w:eastAsiaTheme="minorHAnsi" w:hAnsi="Verdana"/>
          <w:color w:val="000000"/>
          <w:sz w:val="20"/>
          <w:lang w:eastAsia="zh-CN" w:bidi="ar-SA"/>
        </w:rPr>
        <w:t>Back-up number in case your country is not mentioned above:</w:t>
      </w:r>
      <w:r w:rsidRPr="00884E98">
        <w:rPr>
          <w:rFonts w:ascii="Verdana" w:eastAsiaTheme="minorHAnsi" w:hAnsi="Verdana"/>
          <w:b/>
          <w:bCs/>
          <w:color w:val="000000"/>
          <w:sz w:val="20"/>
          <w:lang w:eastAsia="zh-CN" w:bidi="ar-SA"/>
        </w:rPr>
        <w:t> </w:t>
      </w:r>
    </w:p>
    <w:p w:rsidR="000E66BF" w:rsidRPr="00884E98" w:rsidRDefault="000E66BF" w:rsidP="0064523D">
      <w:pPr>
        <w:rPr>
          <w:rFonts w:ascii="Verdana" w:eastAsiaTheme="minorHAnsi" w:hAnsi="Verdana"/>
          <w:color w:val="000000"/>
          <w:sz w:val="20"/>
          <w:lang w:eastAsia="zh-CN" w:bidi="ar-SA"/>
        </w:rPr>
      </w:pPr>
      <w:r w:rsidRPr="00884E98">
        <w:rPr>
          <w:rFonts w:ascii="Verdana" w:eastAsiaTheme="minorHAnsi" w:hAnsi="Verdana"/>
          <w:b/>
          <w:bCs/>
          <w:color w:val="000000"/>
          <w:sz w:val="20"/>
          <w:lang w:eastAsia="zh-CN" w:bidi="ar-SA"/>
        </w:rPr>
        <w:t>International dial-in number</w:t>
      </w:r>
      <w:r w:rsidRPr="00884E98">
        <w:rPr>
          <w:rFonts w:ascii="Verdana" w:eastAsiaTheme="minorHAnsi" w:hAnsi="Verdana"/>
          <w:color w:val="000000"/>
          <w:sz w:val="20"/>
          <w:lang w:eastAsia="zh-CN" w:bidi="ar-SA"/>
        </w:rPr>
        <w:t> +44 208 1181 091</w:t>
      </w:r>
    </w:p>
    <w:p w:rsidR="008348AA" w:rsidRDefault="008348AA" w:rsidP="0064523D">
      <w:pPr>
        <w:spacing w:line="276" w:lineRule="auto"/>
        <w:rPr>
          <w:rFonts w:ascii="Verdana" w:hAnsi="Verdana" w:cs="Verdana"/>
          <w:color w:val="000000"/>
          <w:sz w:val="20"/>
          <w:highlight w:val="yellow"/>
        </w:rPr>
      </w:pPr>
    </w:p>
    <w:p w:rsidR="0064523D" w:rsidRPr="00884E98" w:rsidRDefault="0064523D" w:rsidP="0064523D">
      <w:pPr>
        <w:spacing w:line="276" w:lineRule="auto"/>
        <w:rPr>
          <w:rFonts w:ascii="Verdana" w:hAnsi="Verdana" w:cs="Verdana"/>
          <w:color w:val="000000"/>
          <w:sz w:val="20"/>
          <w:highlight w:val="yellow"/>
        </w:rPr>
      </w:pPr>
    </w:p>
    <w:p w:rsidR="001E7EE9" w:rsidRPr="00884E98" w:rsidRDefault="001E7EE9" w:rsidP="0064523D">
      <w:pPr>
        <w:spacing w:after="200" w:line="276" w:lineRule="auto"/>
        <w:rPr>
          <w:rFonts w:ascii="Verdana" w:hAnsi="Verdana"/>
          <w:b/>
          <w:color w:val="B71234"/>
          <w:sz w:val="20"/>
        </w:rPr>
      </w:pPr>
      <w:r w:rsidRPr="00884E98">
        <w:rPr>
          <w:rFonts w:ascii="Verdana" w:hAnsi="Verdana"/>
          <w:b/>
          <w:color w:val="B71234"/>
          <w:sz w:val="20"/>
        </w:rPr>
        <w:t>Financial agenda</w:t>
      </w:r>
    </w:p>
    <w:tbl>
      <w:tblPr>
        <w:tblW w:w="0" w:type="auto"/>
        <w:tblInd w:w="2" w:type="dxa"/>
        <w:tblLook w:val="00A0"/>
      </w:tblPr>
      <w:tblGrid>
        <w:gridCol w:w="3275"/>
        <w:gridCol w:w="4877"/>
      </w:tblGrid>
      <w:tr w:rsidR="001E7EE9" w:rsidRPr="00884E98" w:rsidTr="004B0FE9">
        <w:trPr>
          <w:trHeight w:val="284"/>
        </w:trPr>
        <w:tc>
          <w:tcPr>
            <w:tcW w:w="3275" w:type="dxa"/>
          </w:tcPr>
          <w:p w:rsidR="001E7EE9" w:rsidRPr="00884E98" w:rsidRDefault="008D4FB2" w:rsidP="0064523D">
            <w:pPr>
              <w:spacing w:line="276" w:lineRule="auto"/>
              <w:rPr>
                <w:rFonts w:ascii="Verdana" w:hAnsi="Verdana" w:cs="Verdana"/>
                <w:sz w:val="20"/>
              </w:rPr>
            </w:pPr>
            <w:r w:rsidRPr="00884E98">
              <w:rPr>
                <w:rFonts w:ascii="Verdana" w:hAnsi="Verdana"/>
                <w:sz w:val="20"/>
              </w:rPr>
              <w:t>27 April 2017</w:t>
            </w:r>
            <w:r w:rsidR="001E7EE9" w:rsidRPr="00884E98">
              <w:rPr>
                <w:rFonts w:ascii="Verdana" w:hAnsi="Verdana"/>
                <w:sz w:val="20"/>
              </w:rPr>
              <w:t xml:space="preserve"> </w:t>
            </w:r>
          </w:p>
        </w:tc>
        <w:tc>
          <w:tcPr>
            <w:tcW w:w="4877" w:type="dxa"/>
          </w:tcPr>
          <w:p w:rsidR="001E7EE9" w:rsidRPr="00884E98" w:rsidRDefault="008D4FB2" w:rsidP="0064523D">
            <w:pPr>
              <w:spacing w:line="276" w:lineRule="auto"/>
              <w:rPr>
                <w:rFonts w:ascii="Verdana" w:hAnsi="Verdana" w:cs="Verdana"/>
                <w:sz w:val="20"/>
              </w:rPr>
            </w:pPr>
            <w:r w:rsidRPr="00884E98">
              <w:rPr>
                <w:rFonts w:ascii="Verdana" w:hAnsi="Verdana"/>
                <w:sz w:val="20"/>
              </w:rPr>
              <w:t>Publication annual report 2016</w:t>
            </w:r>
          </w:p>
        </w:tc>
      </w:tr>
      <w:tr w:rsidR="008D4FB2" w:rsidRPr="00884E98" w:rsidTr="004B0FE9">
        <w:trPr>
          <w:trHeight w:val="284"/>
        </w:trPr>
        <w:tc>
          <w:tcPr>
            <w:tcW w:w="3275" w:type="dxa"/>
          </w:tcPr>
          <w:p w:rsidR="008D4FB2" w:rsidRPr="00884E98" w:rsidRDefault="008D4FB2" w:rsidP="0064523D">
            <w:pPr>
              <w:spacing w:line="276" w:lineRule="auto"/>
              <w:rPr>
                <w:rFonts w:ascii="Verdana" w:hAnsi="Verdana" w:cs="Verdana"/>
                <w:sz w:val="20"/>
              </w:rPr>
            </w:pPr>
            <w:r w:rsidRPr="00884E98">
              <w:rPr>
                <w:rFonts w:ascii="Verdana" w:hAnsi="Verdana"/>
                <w:sz w:val="20"/>
              </w:rPr>
              <w:t>8 June 2017</w:t>
            </w:r>
          </w:p>
        </w:tc>
        <w:tc>
          <w:tcPr>
            <w:tcW w:w="4877" w:type="dxa"/>
          </w:tcPr>
          <w:p w:rsidR="008D4FB2" w:rsidRPr="00884E98" w:rsidRDefault="008D4FB2" w:rsidP="0064523D">
            <w:pPr>
              <w:spacing w:line="276" w:lineRule="auto"/>
              <w:rPr>
                <w:rFonts w:ascii="Verdana" w:hAnsi="Verdana" w:cs="Verdana"/>
                <w:sz w:val="20"/>
              </w:rPr>
            </w:pPr>
            <w:r w:rsidRPr="00884E98">
              <w:rPr>
                <w:rFonts w:ascii="Verdana" w:hAnsi="Verdana"/>
                <w:sz w:val="20"/>
              </w:rPr>
              <w:t>Annual general meeting of shareholders</w:t>
            </w:r>
          </w:p>
        </w:tc>
      </w:tr>
      <w:tr w:rsidR="008D4FB2" w:rsidRPr="00884E98" w:rsidTr="004B0FE9">
        <w:trPr>
          <w:trHeight w:val="284"/>
        </w:trPr>
        <w:tc>
          <w:tcPr>
            <w:tcW w:w="3275" w:type="dxa"/>
          </w:tcPr>
          <w:p w:rsidR="008D4FB2" w:rsidRPr="00884E98" w:rsidRDefault="008D4FB2" w:rsidP="0064523D">
            <w:pPr>
              <w:spacing w:line="276" w:lineRule="auto"/>
              <w:rPr>
                <w:rFonts w:ascii="Verdana" w:hAnsi="Verdana" w:cs="Verdana"/>
                <w:sz w:val="20"/>
              </w:rPr>
            </w:pPr>
            <w:r w:rsidRPr="00884E98">
              <w:rPr>
                <w:rFonts w:ascii="Verdana" w:hAnsi="Verdana"/>
                <w:sz w:val="20"/>
              </w:rPr>
              <w:t>9 June 2017</w:t>
            </w:r>
          </w:p>
        </w:tc>
        <w:tc>
          <w:tcPr>
            <w:tcW w:w="4877" w:type="dxa"/>
          </w:tcPr>
          <w:p w:rsidR="008D4FB2" w:rsidRPr="00884E98" w:rsidRDefault="008D4FB2" w:rsidP="0064523D">
            <w:pPr>
              <w:spacing w:line="276" w:lineRule="auto"/>
              <w:rPr>
                <w:rFonts w:ascii="Verdana" w:hAnsi="Verdana" w:cs="Verdana"/>
                <w:sz w:val="20"/>
              </w:rPr>
            </w:pPr>
            <w:r w:rsidRPr="00884E98">
              <w:rPr>
                <w:rFonts w:ascii="Verdana" w:hAnsi="Verdana"/>
                <w:sz w:val="20"/>
              </w:rPr>
              <w:t>Bondholder meeting</w:t>
            </w:r>
          </w:p>
        </w:tc>
      </w:tr>
      <w:tr w:rsidR="008D4FB2" w:rsidRPr="00884E98" w:rsidTr="004B0FE9">
        <w:trPr>
          <w:trHeight w:val="284"/>
        </w:trPr>
        <w:tc>
          <w:tcPr>
            <w:tcW w:w="3275" w:type="dxa"/>
          </w:tcPr>
          <w:p w:rsidR="008D4FB2" w:rsidRPr="00884E98" w:rsidRDefault="008D4FB2" w:rsidP="0064523D">
            <w:pPr>
              <w:spacing w:line="276" w:lineRule="auto"/>
              <w:rPr>
                <w:rFonts w:ascii="Verdana" w:hAnsi="Verdana" w:cs="Verdana"/>
                <w:sz w:val="20"/>
              </w:rPr>
            </w:pPr>
            <w:r w:rsidRPr="00884E98">
              <w:rPr>
                <w:rFonts w:ascii="Verdana" w:hAnsi="Verdana"/>
                <w:sz w:val="20"/>
              </w:rPr>
              <w:t>6 July 2017</w:t>
            </w:r>
          </w:p>
        </w:tc>
        <w:tc>
          <w:tcPr>
            <w:tcW w:w="4877" w:type="dxa"/>
          </w:tcPr>
          <w:p w:rsidR="008D4FB2" w:rsidRPr="00884E98" w:rsidRDefault="008D4FB2" w:rsidP="0064523D">
            <w:pPr>
              <w:spacing w:line="276" w:lineRule="auto"/>
              <w:rPr>
                <w:rFonts w:ascii="Verdana" w:hAnsi="Verdana" w:cs="Verdana"/>
                <w:sz w:val="20"/>
              </w:rPr>
            </w:pPr>
            <w:r w:rsidRPr="00884E98">
              <w:rPr>
                <w:rFonts w:ascii="Verdana" w:hAnsi="Verdana"/>
                <w:sz w:val="20"/>
              </w:rPr>
              <w:t>Publication sales figures first half 2017</w:t>
            </w:r>
          </w:p>
        </w:tc>
      </w:tr>
      <w:tr w:rsidR="008D4FB2" w:rsidRPr="00884E98" w:rsidTr="004B0FE9">
        <w:trPr>
          <w:trHeight w:val="299"/>
        </w:trPr>
        <w:tc>
          <w:tcPr>
            <w:tcW w:w="3275" w:type="dxa"/>
          </w:tcPr>
          <w:p w:rsidR="008D4FB2" w:rsidRPr="00884E98" w:rsidRDefault="008D4FB2" w:rsidP="0064523D">
            <w:pPr>
              <w:spacing w:line="276" w:lineRule="auto"/>
              <w:rPr>
                <w:rFonts w:ascii="Verdana" w:hAnsi="Verdana" w:cs="Verdana"/>
                <w:sz w:val="20"/>
              </w:rPr>
            </w:pPr>
            <w:r w:rsidRPr="00884E98">
              <w:rPr>
                <w:rFonts w:ascii="Verdana" w:hAnsi="Verdana"/>
                <w:sz w:val="20"/>
              </w:rPr>
              <w:t>24 August 2017</w:t>
            </w:r>
          </w:p>
        </w:tc>
        <w:tc>
          <w:tcPr>
            <w:tcW w:w="4877" w:type="dxa"/>
          </w:tcPr>
          <w:p w:rsidR="008D4FB2" w:rsidRPr="00884E98" w:rsidRDefault="008D4FB2" w:rsidP="0064523D">
            <w:pPr>
              <w:spacing w:line="276" w:lineRule="auto"/>
              <w:rPr>
                <w:rFonts w:ascii="Verdana" w:hAnsi="Verdana" w:cs="Verdana"/>
                <w:sz w:val="20"/>
              </w:rPr>
            </w:pPr>
            <w:r w:rsidRPr="00884E98">
              <w:rPr>
                <w:rFonts w:ascii="Verdana" w:hAnsi="Verdana"/>
                <w:sz w:val="20"/>
              </w:rPr>
              <w:t>Publication interim report 2017</w:t>
            </w:r>
          </w:p>
        </w:tc>
      </w:tr>
      <w:tr w:rsidR="008D4FB2" w:rsidRPr="00884E98" w:rsidTr="004B0FE9">
        <w:trPr>
          <w:trHeight w:val="284"/>
        </w:trPr>
        <w:tc>
          <w:tcPr>
            <w:tcW w:w="3275" w:type="dxa"/>
          </w:tcPr>
          <w:p w:rsidR="008D4FB2" w:rsidRPr="00884E98" w:rsidRDefault="008D4FB2" w:rsidP="0064523D">
            <w:pPr>
              <w:spacing w:line="276" w:lineRule="auto"/>
              <w:rPr>
                <w:rFonts w:ascii="Verdana" w:hAnsi="Verdana" w:cs="Verdana"/>
                <w:sz w:val="20"/>
              </w:rPr>
            </w:pPr>
            <w:r w:rsidRPr="00884E98">
              <w:rPr>
                <w:rFonts w:ascii="Verdana" w:hAnsi="Verdana"/>
                <w:sz w:val="20"/>
              </w:rPr>
              <w:t>24 August 2017</w:t>
            </w:r>
          </w:p>
        </w:tc>
        <w:tc>
          <w:tcPr>
            <w:tcW w:w="4877" w:type="dxa"/>
          </w:tcPr>
          <w:p w:rsidR="008D4FB2" w:rsidRPr="00884E98" w:rsidRDefault="008D4FB2" w:rsidP="0064523D">
            <w:pPr>
              <w:spacing w:line="276" w:lineRule="auto"/>
              <w:rPr>
                <w:rFonts w:ascii="Verdana" w:hAnsi="Verdana" w:cs="Verdana"/>
                <w:sz w:val="20"/>
              </w:rPr>
            </w:pPr>
            <w:r w:rsidRPr="00884E98">
              <w:rPr>
                <w:rFonts w:ascii="Verdana" w:hAnsi="Verdana"/>
                <w:sz w:val="20"/>
              </w:rPr>
              <w:t>Conference call for press and analysts</w:t>
            </w:r>
          </w:p>
        </w:tc>
      </w:tr>
    </w:tbl>
    <w:p w:rsidR="008473C4" w:rsidRDefault="008473C4" w:rsidP="0064523D">
      <w:pPr>
        <w:spacing w:line="276" w:lineRule="auto"/>
        <w:rPr>
          <w:rFonts w:ascii="Verdana" w:hAnsi="Verdana" w:cs="Verdana"/>
          <w:color w:val="000000"/>
          <w:sz w:val="20"/>
          <w:highlight w:val="yellow"/>
        </w:rPr>
      </w:pPr>
    </w:p>
    <w:p w:rsidR="008473C4" w:rsidRPr="00884E98" w:rsidRDefault="008473C4" w:rsidP="0064523D">
      <w:pPr>
        <w:spacing w:line="276" w:lineRule="auto"/>
        <w:rPr>
          <w:rFonts w:ascii="Verdana" w:hAnsi="Verdana" w:cs="Verdana"/>
          <w:color w:val="000000"/>
          <w:sz w:val="20"/>
          <w:highlight w:val="yellow"/>
        </w:rPr>
      </w:pPr>
    </w:p>
    <w:p w:rsidR="00902366" w:rsidRPr="00884E98" w:rsidRDefault="00902366" w:rsidP="0064523D">
      <w:pPr>
        <w:spacing w:after="200" w:line="276" w:lineRule="auto"/>
        <w:rPr>
          <w:rFonts w:ascii="Verdana" w:hAnsi="Verdana"/>
          <w:b/>
          <w:color w:val="B71234"/>
          <w:sz w:val="20"/>
        </w:rPr>
      </w:pPr>
      <w:r w:rsidRPr="00884E98">
        <w:rPr>
          <w:rFonts w:ascii="Verdana" w:hAnsi="Verdana"/>
          <w:b/>
          <w:color w:val="B71234"/>
          <w:sz w:val="20"/>
        </w:rPr>
        <w:t>Forward-looking statements</w:t>
      </w:r>
    </w:p>
    <w:p w:rsidR="00902366" w:rsidRPr="00884E98" w:rsidRDefault="00902366" w:rsidP="0064523D">
      <w:pPr>
        <w:spacing w:line="276" w:lineRule="auto"/>
        <w:rPr>
          <w:rFonts w:ascii="Verdana" w:hAnsi="Verdana" w:cs="Tahoma"/>
          <w:sz w:val="20"/>
        </w:rPr>
      </w:pPr>
      <w:r w:rsidRPr="00884E98">
        <w:rPr>
          <w:rFonts w:ascii="Verdana" w:hAnsi="Verdana"/>
          <w:sz w:val="20"/>
        </w:rPr>
        <w:t xml:space="preserve">This press release contains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00282285" w:rsidRPr="00282285">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cannot guarantee that its expectations will materialise. Furthermore, </w:t>
      </w:r>
      <w:proofErr w:type="spellStart"/>
      <w:r w:rsidRPr="00884E98">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does not accept any obligation to update the statements made in this press release. </w:t>
      </w:r>
    </w:p>
    <w:p w:rsidR="00902366" w:rsidRPr="008473C4" w:rsidRDefault="00902366" w:rsidP="0064523D">
      <w:pPr>
        <w:spacing w:line="276" w:lineRule="auto"/>
        <w:rPr>
          <w:rFonts w:ascii="Verdana" w:hAnsi="Verdana" w:cs="Verdana"/>
          <w:color w:val="000000"/>
          <w:sz w:val="20"/>
          <w:highlight w:val="yellow"/>
        </w:rPr>
      </w:pPr>
    </w:p>
    <w:p w:rsidR="007E706B" w:rsidRPr="008473C4" w:rsidRDefault="007E706B" w:rsidP="0064523D">
      <w:pPr>
        <w:spacing w:line="276" w:lineRule="auto"/>
        <w:rPr>
          <w:rFonts w:ascii="Verdana" w:hAnsi="Verdana" w:cs="Verdana"/>
          <w:color w:val="000000"/>
          <w:sz w:val="20"/>
          <w:highlight w:val="yellow"/>
        </w:rPr>
      </w:pPr>
    </w:p>
    <w:p w:rsidR="00837F48" w:rsidRDefault="00837F48" w:rsidP="00837F48">
      <w:pPr>
        <w:spacing w:line="276" w:lineRule="auto"/>
        <w:rPr>
          <w:rFonts w:ascii="Verdana" w:hAnsi="Verdana"/>
          <w:b/>
          <w:sz w:val="20"/>
        </w:rPr>
      </w:pPr>
      <w:r>
        <w:rPr>
          <w:rFonts w:ascii="Verdana" w:hAnsi="Verdana"/>
          <w:b/>
          <w:sz w:val="20"/>
        </w:rPr>
        <w:t>About</w:t>
      </w:r>
      <w:r>
        <w:rPr>
          <w:rFonts w:ascii="Verdana" w:hAnsi="Verdana"/>
          <w:b/>
          <w:color w:val="B71234"/>
          <w:sz w:val="20"/>
        </w:rPr>
        <w:t xml:space="preserve"> </w:t>
      </w:r>
      <w:proofErr w:type="spellStart"/>
      <w:r>
        <w:rPr>
          <w:rFonts w:ascii="Verdana" w:hAnsi="Verdana"/>
          <w:b/>
          <w:color w:val="B71234"/>
          <w:sz w:val="20"/>
        </w:rPr>
        <w:t>Rood</w:t>
      </w:r>
      <w:r>
        <w:rPr>
          <w:rFonts w:ascii="Verdana" w:hAnsi="Verdana"/>
          <w:b/>
          <w:sz w:val="20"/>
        </w:rPr>
        <w:t>Microtec</w:t>
      </w:r>
      <w:proofErr w:type="spellEnd"/>
    </w:p>
    <w:p w:rsidR="00837F48" w:rsidRDefault="00837F48" w:rsidP="00837F48">
      <w:pPr>
        <w:spacing w:after="240" w:line="276" w:lineRule="auto"/>
        <w:rPr>
          <w:rFonts w:ascii="Verdana" w:hAnsi="Verdana"/>
          <w:sz w:val="20"/>
        </w:rPr>
      </w:pPr>
      <w:r>
        <w:rPr>
          <w:rFonts w:ascii="Verdana" w:hAnsi="Verdana"/>
          <w:sz w:val="20"/>
        </w:rPr>
        <w:t>With more than 45 years</w:t>
      </w:r>
      <w:r w:rsidRPr="00837F48">
        <w:rPr>
          <w:rFonts w:ascii="Verdana" w:hAnsi="Verdana"/>
          <w:sz w:val="20"/>
        </w:rPr>
        <w:t xml:space="preserve">’ </w:t>
      </w:r>
      <w:r>
        <w:rPr>
          <w:rFonts w:ascii="Verdana" w:hAnsi="Verdana"/>
          <w:sz w:val="20"/>
        </w:rPr>
        <w:t xml:space="preserve">experience as an independent value-added service provider in the area of micro and optoelectronics, </w:t>
      </w:r>
      <w:proofErr w:type="spellStart"/>
      <w:r w:rsidRPr="00837F48">
        <w:rPr>
          <w:rFonts w:ascii="Verdana" w:hAnsi="Verdana"/>
          <w:color w:val="C00000"/>
          <w:sz w:val="20"/>
        </w:rPr>
        <w:t>Rood</w:t>
      </w:r>
      <w:r>
        <w:rPr>
          <w:rFonts w:ascii="Verdana" w:hAnsi="Verdana"/>
          <w:sz w:val="20"/>
        </w:rPr>
        <w:t>Microtec</w:t>
      </w:r>
      <w:proofErr w:type="spellEnd"/>
      <w:r>
        <w:rPr>
          <w:rFonts w:ascii="Verdana" w:hAnsi="Verdana"/>
          <w:sz w:val="20"/>
        </w:rPr>
        <w:t xml:space="preserve"> offers </w:t>
      </w:r>
      <w:proofErr w:type="spellStart"/>
      <w:r>
        <w:rPr>
          <w:rFonts w:ascii="Verdana" w:hAnsi="Verdana"/>
          <w:sz w:val="20"/>
        </w:rPr>
        <w:t>Fabless</w:t>
      </w:r>
      <w:proofErr w:type="spellEnd"/>
      <w:r>
        <w:rPr>
          <w:rFonts w:ascii="Verdana" w:hAnsi="Verdana"/>
          <w:sz w:val="20"/>
        </w:rPr>
        <w:t xml:space="preserve"> Companies, OEMs and other companies a one-stop shop proposition. With its </w:t>
      </w:r>
      <w:r w:rsidRPr="00837F48">
        <w:rPr>
          <w:rFonts w:ascii="Verdana" w:hAnsi="Verdana"/>
          <w:sz w:val="20"/>
        </w:rPr>
        <w:t xml:space="preserve">powerful solutions </w:t>
      </w:r>
      <w:proofErr w:type="spellStart"/>
      <w:r w:rsidRPr="00837F48">
        <w:rPr>
          <w:rFonts w:ascii="Verdana" w:hAnsi="Verdana"/>
          <w:color w:val="C00000"/>
          <w:sz w:val="20"/>
        </w:rPr>
        <w:t>Rood</w:t>
      </w:r>
      <w:r>
        <w:rPr>
          <w:rFonts w:ascii="Verdana" w:hAnsi="Verdana"/>
          <w:sz w:val="20"/>
        </w:rPr>
        <w:t>Microtec</w:t>
      </w:r>
      <w:proofErr w:type="spellEnd"/>
      <w:r>
        <w:rPr>
          <w:rFonts w:ascii="Verdana" w:hAnsi="Verdana"/>
          <w:sz w:val="20"/>
        </w:rPr>
        <w:t xml:space="preserve"> has built up a strong position in Europe.</w:t>
      </w:r>
    </w:p>
    <w:p w:rsidR="00837F48" w:rsidRDefault="00837F48" w:rsidP="00837F48">
      <w:pPr>
        <w:spacing w:after="240" w:line="276" w:lineRule="auto"/>
        <w:rPr>
          <w:rFonts w:ascii="Verdana" w:hAnsi="Verdana"/>
          <w:sz w:val="20"/>
        </w:rPr>
      </w:pPr>
      <w:r>
        <w:rPr>
          <w:rFonts w:ascii="Verdana" w:hAnsi="Verdana"/>
          <w:sz w:val="20"/>
        </w:rPr>
        <w:t>Our services comply with the industrial and quality requirements of the high reliability/space, automotive, telecommunications, medical, industrial and electronics sectors.</w:t>
      </w:r>
    </w:p>
    <w:p w:rsidR="00837F48" w:rsidRDefault="00837F48" w:rsidP="00837F48">
      <w:pPr>
        <w:spacing w:after="240" w:line="276" w:lineRule="auto"/>
        <w:rPr>
          <w:rFonts w:ascii="Verdana" w:hAnsi="Verdana"/>
          <w:sz w:val="20"/>
        </w:rPr>
      </w:pPr>
      <w:r>
        <w:rPr>
          <w:rFonts w:ascii="Verdana" w:hAnsi="Verdana"/>
          <w:i/>
          <w:sz w:val="20"/>
        </w:rPr>
        <w:lastRenderedPageBreak/>
        <w:t xml:space="preserve">Certified by </w:t>
      </w:r>
      <w:proofErr w:type="spellStart"/>
      <w:r>
        <w:rPr>
          <w:rFonts w:ascii="Verdana" w:hAnsi="Verdana"/>
          <w:i/>
          <w:color w:val="C00000"/>
          <w:sz w:val="20"/>
        </w:rPr>
        <w:t>Rood</w:t>
      </w:r>
      <w:r>
        <w:rPr>
          <w:rFonts w:ascii="Verdana" w:hAnsi="Verdana"/>
          <w:i/>
          <w:sz w:val="20"/>
        </w:rPr>
        <w:t>Microtec</w:t>
      </w:r>
      <w:proofErr w:type="spellEnd"/>
      <w:r>
        <w:rPr>
          <w:rFonts w:ascii="Verdana" w:hAnsi="Verdana"/>
          <w:sz w:val="20"/>
        </w:rPr>
        <w:t xml:space="preserve"> concerns inter alia certification of products to the stringent ISO/TS 16949 standard that applies to suppliers to the automotive industry. The company also has an accredited laboratory for test activities and qualification to the ISO/IEC 17025 standard.</w:t>
      </w:r>
    </w:p>
    <w:p w:rsidR="00837F48" w:rsidRDefault="00837F48" w:rsidP="00837F48">
      <w:pPr>
        <w:spacing w:after="240" w:line="276" w:lineRule="auto"/>
        <w:rPr>
          <w:rFonts w:ascii="Verdana" w:hAnsi="Verdana"/>
          <w:sz w:val="20"/>
        </w:rPr>
      </w:pPr>
      <w:r>
        <w:rPr>
          <w:rFonts w:ascii="Verdana" w:hAnsi="Verdana"/>
          <w:sz w:val="20"/>
        </w:rPr>
        <w:t>Its value-added services include (</w:t>
      </w:r>
      <w:proofErr w:type="spellStart"/>
      <w:r>
        <w:rPr>
          <w:rFonts w:ascii="Verdana" w:hAnsi="Verdana"/>
          <w:sz w:val="20"/>
        </w:rPr>
        <w:t>e</w:t>
      </w:r>
      <w:r>
        <w:rPr>
          <w:rFonts w:ascii="Verdana" w:hAnsi="Verdana"/>
          <w:color w:val="C00000"/>
          <w:sz w:val="20"/>
        </w:rPr>
        <w:t>X</w:t>
      </w:r>
      <w:r>
        <w:rPr>
          <w:rFonts w:ascii="Verdana" w:hAnsi="Verdana"/>
          <w:sz w:val="20"/>
        </w:rPr>
        <w:t>tended</w:t>
      </w:r>
      <w:proofErr w:type="spellEnd"/>
      <w:r>
        <w:rPr>
          <w:rFonts w:ascii="Verdana" w:hAnsi="Verdana"/>
          <w:sz w:val="20"/>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837F48" w:rsidRDefault="00837F48" w:rsidP="00837F48">
      <w:pPr>
        <w:spacing w:after="240" w:line="276" w:lineRule="auto"/>
        <w:rPr>
          <w:rFonts w:ascii="Verdana" w:hAnsi="Verdana"/>
          <w:sz w:val="20"/>
        </w:rPr>
      </w:pPr>
      <w:proofErr w:type="spellStart"/>
      <w:r>
        <w:rPr>
          <w:rFonts w:ascii="Verdana" w:hAnsi="Verdana"/>
          <w:color w:val="C00000"/>
          <w:sz w:val="20"/>
        </w:rPr>
        <w:t>Rood</w:t>
      </w:r>
      <w:r>
        <w:rPr>
          <w:rFonts w:ascii="Verdana" w:hAnsi="Verdana"/>
          <w:sz w:val="20"/>
        </w:rPr>
        <w:t>Microtec</w:t>
      </w:r>
      <w:proofErr w:type="spellEnd"/>
      <w:r>
        <w:rPr>
          <w:rFonts w:ascii="Verdana" w:hAnsi="Verdana"/>
          <w:sz w:val="20"/>
        </w:rPr>
        <w:t xml:space="preserve"> has branches in Germany (Dresden, </w:t>
      </w:r>
      <w:proofErr w:type="spellStart"/>
      <w:r>
        <w:rPr>
          <w:rFonts w:ascii="Verdana" w:hAnsi="Verdana"/>
          <w:sz w:val="20"/>
        </w:rPr>
        <w:t>Nördlingen</w:t>
      </w:r>
      <w:proofErr w:type="spellEnd"/>
      <w:r>
        <w:rPr>
          <w:rFonts w:ascii="Verdana" w:hAnsi="Verdana"/>
          <w:sz w:val="20"/>
        </w:rPr>
        <w:t xml:space="preserve">, </w:t>
      </w:r>
      <w:proofErr w:type="gramStart"/>
      <w:r>
        <w:rPr>
          <w:rFonts w:ascii="Verdana" w:hAnsi="Verdana"/>
          <w:sz w:val="20"/>
        </w:rPr>
        <w:t>Stuttgart</w:t>
      </w:r>
      <w:proofErr w:type="gramEnd"/>
      <w:r>
        <w:rPr>
          <w:rFonts w:ascii="Verdana" w:hAnsi="Verdana"/>
          <w:sz w:val="20"/>
        </w:rPr>
        <w:t xml:space="preserve">), United Kingdom (Bath) and the Netherlands (Zwolle). </w:t>
      </w:r>
    </w:p>
    <w:p w:rsidR="00837F48" w:rsidRDefault="00837F48" w:rsidP="00837F48">
      <w:pPr>
        <w:spacing w:after="240" w:line="276" w:lineRule="auto"/>
        <w:rPr>
          <w:rFonts w:ascii="Verdana" w:hAnsi="Verdana"/>
          <w:b/>
          <w:sz w:val="20"/>
        </w:rPr>
      </w:pPr>
      <w:r>
        <w:rPr>
          <w:rFonts w:ascii="Verdana" w:hAnsi="Verdana"/>
          <w:sz w:val="20"/>
        </w:rPr>
        <w:t>For more information visit</w:t>
      </w:r>
      <w:r>
        <w:rPr>
          <w:rFonts w:ascii="Verdana" w:hAnsi="Verdana"/>
          <w:b/>
          <w:sz w:val="20"/>
        </w:rPr>
        <w:t xml:space="preserve"> </w:t>
      </w:r>
      <w:hyperlink r:id="rId9" w:history="1">
        <w:r>
          <w:rPr>
            <w:rStyle w:val="Hyperlink"/>
            <w:rFonts w:ascii="Verdana" w:hAnsi="Verdana"/>
            <w:b/>
            <w:sz w:val="20"/>
          </w:rPr>
          <w:t>http://www.roodmicrotec.com</w:t>
        </w:r>
      </w:hyperlink>
      <w:r>
        <w:rPr>
          <w:rFonts w:ascii="Verdana" w:hAnsi="Verdana"/>
          <w:b/>
          <w:sz w:val="20"/>
        </w:rPr>
        <w:t xml:space="preserve"> </w:t>
      </w:r>
    </w:p>
    <w:p w:rsidR="007E706B" w:rsidRPr="008473C4" w:rsidRDefault="007E706B" w:rsidP="0064523D">
      <w:pPr>
        <w:spacing w:line="276" w:lineRule="auto"/>
        <w:rPr>
          <w:rFonts w:ascii="Verdana" w:hAnsi="Verdana" w:cs="Verdana"/>
          <w:color w:val="000000"/>
          <w:sz w:val="20"/>
          <w:highlight w:val="yellow"/>
        </w:rPr>
      </w:pPr>
    </w:p>
    <w:p w:rsidR="00014A2A" w:rsidRPr="008473C4" w:rsidRDefault="00014A2A" w:rsidP="0064523D">
      <w:pPr>
        <w:spacing w:line="276" w:lineRule="auto"/>
        <w:rPr>
          <w:rFonts w:ascii="Verdana" w:hAnsi="Verdana" w:cs="Verdana"/>
          <w:color w:val="000000"/>
          <w:sz w:val="20"/>
          <w:highlight w:val="yellow"/>
        </w:rPr>
      </w:pPr>
    </w:p>
    <w:p w:rsidR="007E706B" w:rsidRPr="00884E98" w:rsidRDefault="007E706B" w:rsidP="0064523D">
      <w:pPr>
        <w:spacing w:after="200" w:line="276" w:lineRule="auto"/>
        <w:rPr>
          <w:rFonts w:ascii="Verdana" w:hAnsi="Verdana"/>
          <w:b/>
          <w:color w:val="B71234"/>
          <w:sz w:val="20"/>
        </w:rPr>
      </w:pPr>
      <w:r w:rsidRPr="00884E98">
        <w:rPr>
          <w:rFonts w:ascii="Verdana" w:hAnsi="Verdana"/>
          <w:b/>
          <w:color w:val="B71234"/>
          <w:sz w:val="20"/>
        </w:rPr>
        <w:t>Further information:</w:t>
      </w:r>
    </w:p>
    <w:p w:rsidR="007E706B" w:rsidRPr="00884E98" w:rsidRDefault="008D4FB2" w:rsidP="0064523D">
      <w:pPr>
        <w:tabs>
          <w:tab w:val="left" w:pos="3402"/>
          <w:tab w:val="left" w:pos="6804"/>
        </w:tabs>
        <w:spacing w:line="276" w:lineRule="auto"/>
        <w:rPr>
          <w:rFonts w:ascii="Verdana" w:hAnsi="Verdana" w:cs="Arial"/>
          <w:sz w:val="20"/>
        </w:rPr>
      </w:pPr>
      <w:r w:rsidRPr="00884E98">
        <w:rPr>
          <w:rFonts w:ascii="Verdana" w:hAnsi="Verdana" w:cs="Arial"/>
          <w:sz w:val="20"/>
        </w:rPr>
        <w:t xml:space="preserve">Martin </w:t>
      </w:r>
      <w:proofErr w:type="spellStart"/>
      <w:r w:rsidRPr="00884E98">
        <w:rPr>
          <w:rFonts w:ascii="Verdana" w:hAnsi="Verdana" w:cs="Arial"/>
          <w:sz w:val="20"/>
        </w:rPr>
        <w:t>Sallenhag</w:t>
      </w:r>
      <w:proofErr w:type="spellEnd"/>
      <w:r w:rsidRPr="00884E98">
        <w:rPr>
          <w:rFonts w:ascii="Verdana" w:hAnsi="Verdana" w:cs="Arial"/>
          <w:sz w:val="20"/>
        </w:rPr>
        <w:t xml:space="preserve"> - CEO, </w:t>
      </w:r>
      <w:proofErr w:type="spellStart"/>
      <w:r w:rsidRPr="00884E98">
        <w:rPr>
          <w:rFonts w:ascii="Verdana" w:hAnsi="Verdana" w:cs="Arial"/>
          <w:sz w:val="20"/>
        </w:rPr>
        <w:t>Reinhard</w:t>
      </w:r>
      <w:proofErr w:type="spellEnd"/>
      <w:r w:rsidRPr="00884E98">
        <w:rPr>
          <w:rFonts w:ascii="Verdana" w:hAnsi="Verdana" w:cs="Arial"/>
          <w:sz w:val="20"/>
        </w:rPr>
        <w:t xml:space="preserve"> </w:t>
      </w:r>
      <w:proofErr w:type="spellStart"/>
      <w:r w:rsidRPr="00884E98">
        <w:rPr>
          <w:rFonts w:ascii="Verdana" w:hAnsi="Verdana" w:cs="Arial"/>
          <w:sz w:val="20"/>
        </w:rPr>
        <w:t>Pusch</w:t>
      </w:r>
      <w:proofErr w:type="spellEnd"/>
      <w:r w:rsidRPr="00884E98">
        <w:rPr>
          <w:rFonts w:ascii="Verdana" w:hAnsi="Verdana" w:cs="Arial"/>
          <w:sz w:val="20"/>
        </w:rPr>
        <w:t xml:space="preserve"> - </w:t>
      </w:r>
      <w:r w:rsidR="004455DC" w:rsidRPr="00884E98">
        <w:rPr>
          <w:rFonts w:ascii="Verdana" w:hAnsi="Verdana" w:cs="Arial"/>
          <w:sz w:val="20"/>
        </w:rPr>
        <w:t>COO</w:t>
      </w:r>
      <w:r w:rsidR="007E706B" w:rsidRPr="00884E98">
        <w:rPr>
          <w:rFonts w:ascii="Verdana" w:hAnsi="Verdana" w:cs="Arial"/>
          <w:sz w:val="20"/>
        </w:rPr>
        <w:t xml:space="preserve">, </w:t>
      </w:r>
      <w:proofErr w:type="spellStart"/>
      <w:r w:rsidR="004455DC" w:rsidRPr="00884E98">
        <w:rPr>
          <w:rFonts w:ascii="Verdana" w:hAnsi="Verdana" w:cs="Arial"/>
          <w:sz w:val="20"/>
        </w:rPr>
        <w:t>Arvid</w:t>
      </w:r>
      <w:proofErr w:type="spellEnd"/>
      <w:r w:rsidR="004455DC" w:rsidRPr="00884E98">
        <w:rPr>
          <w:rFonts w:ascii="Verdana" w:hAnsi="Verdana" w:cs="Arial"/>
          <w:sz w:val="20"/>
        </w:rPr>
        <w:t xml:space="preserve"> </w:t>
      </w:r>
      <w:proofErr w:type="spellStart"/>
      <w:r w:rsidR="004455DC" w:rsidRPr="00884E98">
        <w:rPr>
          <w:rFonts w:ascii="Verdana" w:hAnsi="Verdana" w:cs="Arial"/>
          <w:sz w:val="20"/>
        </w:rPr>
        <w:t>Ladega</w:t>
      </w:r>
      <w:proofErr w:type="spellEnd"/>
      <w:r w:rsidRPr="00884E98">
        <w:rPr>
          <w:rFonts w:ascii="Verdana" w:hAnsi="Verdana" w:cs="Arial"/>
          <w:sz w:val="20"/>
        </w:rPr>
        <w:t xml:space="preserve"> - </w:t>
      </w:r>
      <w:r w:rsidR="007E706B" w:rsidRPr="00884E98">
        <w:rPr>
          <w:rFonts w:ascii="Verdana" w:hAnsi="Verdana" w:cs="Arial"/>
          <w:sz w:val="20"/>
        </w:rPr>
        <w:t>CFO</w:t>
      </w:r>
      <w:r w:rsidR="007E706B" w:rsidRPr="00884E98">
        <w:rPr>
          <w:rFonts w:ascii="Verdana" w:hAnsi="Verdana"/>
          <w:color w:val="000000"/>
          <w:sz w:val="20"/>
        </w:rPr>
        <w:tab/>
      </w:r>
    </w:p>
    <w:p w:rsidR="007E706B" w:rsidRPr="00884E98" w:rsidRDefault="007E706B" w:rsidP="0064523D">
      <w:pPr>
        <w:tabs>
          <w:tab w:val="left" w:pos="3402"/>
          <w:tab w:val="left" w:pos="6804"/>
        </w:tabs>
        <w:spacing w:line="276" w:lineRule="auto"/>
        <w:rPr>
          <w:rFonts w:ascii="Verdana" w:hAnsi="Verdana" w:cs="Arial"/>
          <w:sz w:val="20"/>
        </w:rPr>
      </w:pPr>
      <w:r w:rsidRPr="00884E98">
        <w:rPr>
          <w:rFonts w:ascii="Verdana" w:hAnsi="Verdana"/>
          <w:color w:val="000000"/>
          <w:sz w:val="20"/>
        </w:rPr>
        <w:t>Telephone: +31 38 4215216</w:t>
      </w:r>
    </w:p>
    <w:p w:rsidR="007E706B" w:rsidRPr="00884E98" w:rsidRDefault="00133F54" w:rsidP="0064523D">
      <w:pPr>
        <w:tabs>
          <w:tab w:val="left" w:pos="1134"/>
          <w:tab w:val="left" w:pos="3969"/>
          <w:tab w:val="left" w:pos="6804"/>
        </w:tabs>
        <w:spacing w:line="276" w:lineRule="auto"/>
        <w:rPr>
          <w:rFonts w:ascii="Verdana" w:hAnsi="Verdana"/>
          <w:sz w:val="20"/>
        </w:rPr>
      </w:pPr>
      <w:r w:rsidRPr="00884E98">
        <w:rPr>
          <w:rFonts w:ascii="Verdana" w:hAnsi="Verdana"/>
          <w:color w:val="000000"/>
          <w:sz w:val="20"/>
        </w:rPr>
        <w:t>Email:</w:t>
      </w:r>
      <w:r w:rsidRPr="00884E98">
        <w:rPr>
          <w:rFonts w:ascii="Verdana" w:hAnsi="Verdana"/>
          <w:color w:val="000000"/>
          <w:sz w:val="20"/>
        </w:rPr>
        <w:tab/>
      </w:r>
      <w:hyperlink r:id="rId10" w:history="1">
        <w:r w:rsidRPr="00884E98">
          <w:rPr>
            <w:rStyle w:val="Hyperlink"/>
            <w:rFonts w:ascii="Verdana" w:eastAsia="MS ????" w:hAnsi="Verdana"/>
            <w:sz w:val="20"/>
          </w:rPr>
          <w:t>investor-relations@roodmicrotec.com</w:t>
        </w:r>
      </w:hyperlink>
    </w:p>
    <w:p w:rsidR="007E706B" w:rsidRPr="00884E98" w:rsidRDefault="00133F54" w:rsidP="0064523D">
      <w:pPr>
        <w:tabs>
          <w:tab w:val="left" w:pos="1134"/>
          <w:tab w:val="left" w:pos="3969"/>
          <w:tab w:val="left" w:pos="6804"/>
        </w:tabs>
        <w:spacing w:line="276" w:lineRule="auto"/>
        <w:rPr>
          <w:rFonts w:ascii="Verdana" w:hAnsi="Verdana"/>
          <w:sz w:val="20"/>
        </w:rPr>
      </w:pPr>
      <w:r w:rsidRPr="00884E98">
        <w:rPr>
          <w:rFonts w:ascii="Verdana" w:hAnsi="Verdana"/>
          <w:color w:val="000000"/>
          <w:sz w:val="20"/>
        </w:rPr>
        <w:t>Web:</w:t>
      </w:r>
      <w:r w:rsidRPr="00884E98">
        <w:rPr>
          <w:rFonts w:ascii="Verdana" w:hAnsi="Verdana"/>
          <w:sz w:val="20"/>
        </w:rPr>
        <w:t xml:space="preserve"> </w:t>
      </w:r>
      <w:r w:rsidRPr="00884E98">
        <w:rPr>
          <w:rFonts w:ascii="Verdana" w:hAnsi="Verdana"/>
          <w:sz w:val="20"/>
        </w:rPr>
        <w:tab/>
      </w:r>
      <w:hyperlink r:id="rId11" w:history="1">
        <w:r w:rsidRPr="00884E98">
          <w:rPr>
            <w:rStyle w:val="Hyperlink"/>
            <w:rFonts w:ascii="Verdana" w:eastAsia="MS ????" w:hAnsi="Verdana"/>
            <w:sz w:val="20"/>
          </w:rPr>
          <w:t>www.roodmicrotec.com</w:t>
        </w:r>
      </w:hyperlink>
    </w:p>
    <w:p w:rsidR="00BA34C9" w:rsidRDefault="00BA34C9" w:rsidP="0064523D">
      <w:pPr>
        <w:spacing w:after="200" w:line="276" w:lineRule="auto"/>
        <w:rPr>
          <w:rFonts w:ascii="Verdana" w:hAnsi="Verdana"/>
          <w:b/>
          <w:sz w:val="20"/>
          <w:highlight w:val="yellow"/>
        </w:rPr>
      </w:pPr>
    </w:p>
    <w:p w:rsidR="008473C4" w:rsidRDefault="008473C4" w:rsidP="0064523D">
      <w:pPr>
        <w:spacing w:after="200" w:line="276" w:lineRule="auto"/>
        <w:rPr>
          <w:rFonts w:ascii="Verdana" w:hAnsi="Verdana"/>
          <w:b/>
          <w:sz w:val="20"/>
          <w:highlight w:val="yellow"/>
        </w:rPr>
      </w:pPr>
    </w:p>
    <w:p w:rsidR="008473C4" w:rsidRDefault="008473C4" w:rsidP="0064523D">
      <w:pPr>
        <w:spacing w:after="200" w:line="276" w:lineRule="auto"/>
        <w:rPr>
          <w:rFonts w:ascii="Verdana" w:hAnsi="Verdana"/>
          <w:b/>
          <w:sz w:val="20"/>
          <w:highlight w:val="yellow"/>
        </w:rPr>
      </w:pPr>
    </w:p>
    <w:p w:rsidR="008473C4" w:rsidRPr="00884E98" w:rsidRDefault="008473C4" w:rsidP="0064523D">
      <w:pPr>
        <w:spacing w:after="200" w:line="276" w:lineRule="auto"/>
        <w:rPr>
          <w:rFonts w:ascii="Verdana" w:hAnsi="Verdana"/>
          <w:b/>
          <w:sz w:val="20"/>
          <w:highlight w:val="yellow"/>
        </w:rPr>
      </w:pPr>
    </w:p>
    <w:p w:rsidR="00BA34C9" w:rsidRPr="00884E98" w:rsidRDefault="00BA34C9" w:rsidP="0064523D">
      <w:pPr>
        <w:spacing w:line="276" w:lineRule="auto"/>
        <w:rPr>
          <w:rFonts w:ascii="Verdana" w:hAnsi="Verdana"/>
          <w:i/>
          <w:sz w:val="20"/>
        </w:rPr>
      </w:pPr>
      <w:r w:rsidRPr="009551E7">
        <w:rPr>
          <w:rFonts w:ascii="Verdana" w:hAnsi="Verdana"/>
          <w:i/>
          <w:sz w:val="20"/>
        </w:rPr>
        <w:t>This press release is published in English</w:t>
      </w:r>
      <w:r w:rsidR="009551E7" w:rsidRPr="009551E7">
        <w:rPr>
          <w:rFonts w:ascii="Verdana" w:hAnsi="Verdana"/>
          <w:i/>
          <w:sz w:val="20"/>
        </w:rPr>
        <w:t xml:space="preserve"> and </w:t>
      </w:r>
      <w:r w:rsidRPr="009551E7">
        <w:rPr>
          <w:rFonts w:ascii="Verdana" w:hAnsi="Verdana"/>
          <w:i/>
          <w:sz w:val="20"/>
        </w:rPr>
        <w:t>Dutch. In case of conflict between these versions the English version shall prevail.</w:t>
      </w:r>
    </w:p>
    <w:p w:rsidR="00321380" w:rsidRPr="00884E98" w:rsidRDefault="00133F54" w:rsidP="0064523D">
      <w:pPr>
        <w:spacing w:after="200" w:line="276" w:lineRule="auto"/>
        <w:rPr>
          <w:rFonts w:ascii="Verdana" w:hAnsi="Verdana"/>
          <w:b/>
          <w:sz w:val="20"/>
          <w:highlight w:val="yellow"/>
        </w:rPr>
      </w:pPr>
      <w:r w:rsidRPr="00884E98">
        <w:rPr>
          <w:rFonts w:ascii="Verdana" w:hAnsi="Verdana"/>
          <w:b/>
          <w:sz w:val="20"/>
          <w:highlight w:val="yellow"/>
        </w:rPr>
        <w:br w:type="page"/>
      </w:r>
    </w:p>
    <w:p w:rsidR="002F4A7C" w:rsidRPr="00884E98" w:rsidRDefault="002F4A7C" w:rsidP="0064523D">
      <w:pPr>
        <w:spacing w:line="276" w:lineRule="auto"/>
        <w:rPr>
          <w:rFonts w:ascii="Verdana" w:hAnsi="Verdana" w:cs="Verdana"/>
          <w:b/>
          <w:bCs/>
          <w:sz w:val="20"/>
        </w:rPr>
      </w:pPr>
      <w:r w:rsidRPr="00884E98">
        <w:rPr>
          <w:rFonts w:ascii="Verdana" w:hAnsi="Verdana"/>
          <w:b/>
          <w:sz w:val="20"/>
        </w:rPr>
        <w:lastRenderedPageBreak/>
        <w:t>Consolidated sta</w:t>
      </w:r>
      <w:r w:rsidR="004C4970">
        <w:rPr>
          <w:rFonts w:ascii="Verdana" w:hAnsi="Verdana"/>
          <w:b/>
          <w:sz w:val="20"/>
        </w:rPr>
        <w:t>tement of profit or loss</w:t>
      </w:r>
      <w:r w:rsidR="004C4970">
        <w:rPr>
          <w:rFonts w:ascii="Verdana" w:hAnsi="Verdana"/>
          <w:b/>
          <w:sz w:val="20"/>
        </w:rPr>
        <w:tab/>
      </w:r>
      <w:r w:rsidRPr="00884E98">
        <w:rPr>
          <w:rFonts w:ascii="Verdana" w:hAnsi="Verdana"/>
          <w:b/>
          <w:sz w:val="20"/>
        </w:rPr>
        <w:tab/>
      </w:r>
      <w:r w:rsidRPr="00884E98">
        <w:rPr>
          <w:rFonts w:ascii="Verdana" w:hAnsi="Verdana"/>
          <w:b/>
          <w:sz w:val="20"/>
        </w:rPr>
        <w:tab/>
      </w:r>
      <w:r w:rsidRPr="00884E98">
        <w:rPr>
          <w:rFonts w:ascii="Verdana" w:hAnsi="Verdana"/>
          <w:b/>
          <w:sz w:val="20"/>
        </w:rPr>
        <w:tab/>
      </w:r>
      <w:r w:rsidRPr="00884E98">
        <w:rPr>
          <w:rFonts w:ascii="Verdana" w:hAnsi="Verdana"/>
          <w:b/>
          <w:sz w:val="20"/>
        </w:rPr>
        <w:tab/>
      </w:r>
      <w:r w:rsidRPr="00884E98">
        <w:rPr>
          <w:rFonts w:ascii="Verdana" w:hAnsi="Verdana"/>
          <w:b/>
          <w:sz w:val="20"/>
        </w:rPr>
        <w:tab/>
      </w:r>
      <w:r w:rsidRPr="00884E98">
        <w:rPr>
          <w:rFonts w:ascii="Verdana" w:hAnsi="Verdana"/>
          <w:sz w:val="20"/>
        </w:rPr>
        <w:t>Unaudited</w:t>
      </w:r>
    </w:p>
    <w:p w:rsidR="002F4A7C" w:rsidRPr="00884E98" w:rsidRDefault="002F4A7C" w:rsidP="0064523D">
      <w:pPr>
        <w:tabs>
          <w:tab w:val="left" w:pos="4320"/>
        </w:tabs>
        <w:autoSpaceDE w:val="0"/>
        <w:spacing w:line="276" w:lineRule="auto"/>
        <w:rPr>
          <w:rFonts w:ascii="Verdana" w:hAnsi="Verdana"/>
          <w:sz w:val="20"/>
        </w:rPr>
      </w:pPr>
    </w:p>
    <w:tbl>
      <w:tblPr>
        <w:tblW w:w="9083" w:type="dxa"/>
        <w:tblInd w:w="59" w:type="dxa"/>
        <w:tblCellMar>
          <w:left w:w="70" w:type="dxa"/>
          <w:right w:w="70" w:type="dxa"/>
        </w:tblCellMar>
        <w:tblLook w:val="04A0"/>
      </w:tblPr>
      <w:tblGrid>
        <w:gridCol w:w="3460"/>
        <w:gridCol w:w="960"/>
        <w:gridCol w:w="2254"/>
        <w:gridCol w:w="2409"/>
      </w:tblGrid>
      <w:tr w:rsidR="00502DB2" w:rsidRPr="00884E98" w:rsidTr="000E2CAE">
        <w:trPr>
          <w:trHeight w:val="284"/>
        </w:trPr>
        <w:tc>
          <w:tcPr>
            <w:tcW w:w="3460" w:type="dxa"/>
            <w:vMerge w:val="restart"/>
            <w:tcBorders>
              <w:top w:val="single" w:sz="8" w:space="0" w:color="000000"/>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(x EUR 1,000)</w:t>
            </w:r>
          </w:p>
        </w:tc>
        <w:tc>
          <w:tcPr>
            <w:tcW w:w="960" w:type="dxa"/>
            <w:vMerge w:val="restart"/>
            <w:tcBorders>
              <w:top w:val="single" w:sz="8" w:space="0" w:color="000000"/>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single" w:sz="8" w:space="0" w:color="000000"/>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409" w:type="dxa"/>
            <w:tcBorders>
              <w:top w:val="single" w:sz="8" w:space="0" w:color="000000"/>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r>
      <w:tr w:rsidR="00502DB2" w:rsidRPr="00884E98" w:rsidTr="000E2CAE">
        <w:trPr>
          <w:trHeight w:val="284"/>
        </w:trPr>
        <w:tc>
          <w:tcPr>
            <w:tcW w:w="3460" w:type="dxa"/>
            <w:vMerge/>
            <w:tcBorders>
              <w:top w:val="single" w:sz="8" w:space="0" w:color="000000"/>
              <w:left w:val="nil"/>
              <w:bottom w:val="single" w:sz="8" w:space="0" w:color="000000"/>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960" w:type="dxa"/>
            <w:vMerge/>
            <w:tcBorders>
              <w:top w:val="single" w:sz="8" w:space="0" w:color="000000"/>
              <w:left w:val="nil"/>
              <w:bottom w:val="single" w:sz="8" w:space="0" w:color="000000"/>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single" w:sz="8" w:space="0" w:color="000000"/>
              <w:right w:val="nil"/>
            </w:tcBorders>
            <w:shd w:val="clear" w:color="auto" w:fill="auto"/>
            <w:vAlign w:val="center"/>
            <w:hideMark/>
          </w:tcPr>
          <w:p w:rsidR="00502DB2" w:rsidRPr="004E0F46" w:rsidRDefault="00502DB2" w:rsidP="0064523D">
            <w:pPr>
              <w:jc w:val="right"/>
              <w:rPr>
                <w:rFonts w:ascii="Verdana" w:hAnsi="Verdana" w:cs="Calibri"/>
                <w:b/>
                <w:color w:val="000000"/>
                <w:sz w:val="20"/>
                <w:lang w:val="de-DE" w:eastAsia="de-DE" w:bidi="ar-SA"/>
              </w:rPr>
            </w:pPr>
            <w:r w:rsidRPr="004E0F46">
              <w:rPr>
                <w:rFonts w:ascii="Verdana" w:hAnsi="Verdana" w:cs="Calibri"/>
                <w:b/>
                <w:color w:val="000000"/>
                <w:sz w:val="20"/>
                <w:lang w:val="de-DE" w:eastAsia="de-DE" w:bidi="ar-SA"/>
              </w:rPr>
              <w:t>2016</w:t>
            </w:r>
          </w:p>
        </w:tc>
        <w:tc>
          <w:tcPr>
            <w:tcW w:w="2409" w:type="dxa"/>
            <w:tcBorders>
              <w:top w:val="nil"/>
              <w:left w:val="nil"/>
              <w:bottom w:val="single" w:sz="8" w:space="0" w:color="000000"/>
              <w:right w:val="nil"/>
            </w:tcBorders>
            <w:shd w:val="clear" w:color="auto" w:fill="auto"/>
            <w:vAlign w:val="center"/>
            <w:hideMark/>
          </w:tcPr>
          <w:p w:rsidR="00502DB2" w:rsidRPr="004E0F46" w:rsidRDefault="00502DB2" w:rsidP="0064523D">
            <w:pPr>
              <w:jc w:val="right"/>
              <w:rPr>
                <w:rFonts w:ascii="Verdana" w:hAnsi="Verdana" w:cs="Calibri"/>
                <w:b/>
                <w:color w:val="000000"/>
                <w:sz w:val="20"/>
                <w:lang w:val="de-DE" w:eastAsia="de-DE" w:bidi="ar-SA"/>
              </w:rPr>
            </w:pPr>
            <w:r w:rsidRPr="004E0F46">
              <w:rPr>
                <w:rFonts w:ascii="Verdana" w:hAnsi="Verdana" w:cs="Calibri"/>
                <w:b/>
                <w:color w:val="000000"/>
                <w:sz w:val="20"/>
                <w:lang w:val="de-DE" w:eastAsia="de-DE" w:bidi="ar-SA"/>
              </w:rPr>
              <w:t>2015</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Net sales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10,465</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10,250</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xml:space="preserve">Cost of sales </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-1,850</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-1,866</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Gross profit</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8,615</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8,384</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Personnel expenses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-6,016</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-5,860</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Other operating expenses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-2,909</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-2,902</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Total operating expenses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-8,925</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-8,762</w:t>
            </w:r>
          </w:p>
        </w:tc>
      </w:tr>
      <w:tr w:rsidR="00502DB2" w:rsidRPr="00884E98" w:rsidTr="000E2CAE">
        <w:trPr>
          <w:trHeight w:val="284"/>
        </w:trPr>
        <w:tc>
          <w:tcPr>
            <w:tcW w:w="34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9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409"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EBITDA</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-310</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-378</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r>
      <w:tr w:rsidR="00502DB2" w:rsidRPr="00884E98" w:rsidTr="000E2CAE">
        <w:trPr>
          <w:trHeight w:val="284"/>
        </w:trPr>
        <w:tc>
          <w:tcPr>
            <w:tcW w:w="34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Depreciation and amortisation</w:t>
            </w:r>
          </w:p>
        </w:tc>
        <w:tc>
          <w:tcPr>
            <w:tcW w:w="9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sidR="000F226B">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029</w:t>
            </w:r>
          </w:p>
        </w:tc>
        <w:tc>
          <w:tcPr>
            <w:tcW w:w="2409"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-930</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EBIT</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-1,339</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-1,308</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r>
      <w:tr w:rsidR="00502DB2" w:rsidRPr="00884E98" w:rsidTr="000E2CAE">
        <w:trPr>
          <w:trHeight w:val="284"/>
        </w:trPr>
        <w:tc>
          <w:tcPr>
            <w:tcW w:w="34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Financial expenses</w:t>
            </w:r>
          </w:p>
        </w:tc>
        <w:tc>
          <w:tcPr>
            <w:tcW w:w="9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-248</w:t>
            </w:r>
          </w:p>
        </w:tc>
        <w:tc>
          <w:tcPr>
            <w:tcW w:w="2409"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-187</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Profit before tax</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-1,5</w:t>
            </w:r>
            <w:r w:rsidR="001E06D1">
              <w:rPr>
                <w:rFonts w:ascii="Verdana" w:hAnsi="Verdana" w:cs="Calibri"/>
                <w:b/>
                <w:bCs/>
                <w:color w:val="000000"/>
                <w:sz w:val="20"/>
                <w:lang w:val="de-DE" w:eastAsia="de-DE" w:bidi="ar-SA"/>
              </w:rPr>
              <w:t>87</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-1,495</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p>
        </w:tc>
      </w:tr>
      <w:tr w:rsidR="00502DB2" w:rsidRPr="00884E98" w:rsidTr="000E2CAE">
        <w:trPr>
          <w:trHeight w:val="284"/>
        </w:trPr>
        <w:tc>
          <w:tcPr>
            <w:tcW w:w="34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Taxation</w:t>
            </w:r>
          </w:p>
        </w:tc>
        <w:tc>
          <w:tcPr>
            <w:tcW w:w="96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254"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9</w:t>
            </w:r>
          </w:p>
        </w:tc>
        <w:tc>
          <w:tcPr>
            <w:tcW w:w="2409" w:type="dxa"/>
            <w:tcBorders>
              <w:top w:val="nil"/>
              <w:left w:val="nil"/>
              <w:bottom w:val="single" w:sz="8" w:space="0" w:color="auto"/>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w:t>
            </w:r>
          </w:p>
        </w:tc>
      </w:tr>
      <w:tr w:rsidR="00502DB2" w:rsidRPr="00884E98" w:rsidTr="000E2CAE">
        <w:trPr>
          <w:trHeight w:val="284"/>
        </w:trPr>
        <w:tc>
          <w:tcPr>
            <w:tcW w:w="34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Net profit (loss)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2254"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-1,578</w:t>
            </w:r>
          </w:p>
        </w:tc>
        <w:tc>
          <w:tcPr>
            <w:tcW w:w="2409"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-1,505</w:t>
            </w:r>
          </w:p>
        </w:tc>
      </w:tr>
    </w:tbl>
    <w:p w:rsidR="00502DB2" w:rsidRPr="00884E98" w:rsidRDefault="00502DB2" w:rsidP="0064523D">
      <w:pPr>
        <w:spacing w:after="200" w:line="276" w:lineRule="auto"/>
        <w:rPr>
          <w:rFonts w:ascii="Verdana" w:hAnsi="Verdana"/>
          <w:b/>
          <w:sz w:val="20"/>
          <w:highlight w:val="yellow"/>
        </w:rPr>
      </w:pPr>
    </w:p>
    <w:p w:rsidR="00502DB2" w:rsidRPr="00884E98" w:rsidRDefault="00502DB2" w:rsidP="0064523D">
      <w:pPr>
        <w:spacing w:after="200" w:line="276" w:lineRule="auto"/>
        <w:rPr>
          <w:rFonts w:ascii="Verdana" w:hAnsi="Verdana"/>
          <w:b/>
          <w:sz w:val="20"/>
          <w:highlight w:val="yellow"/>
        </w:rPr>
      </w:pPr>
    </w:p>
    <w:p w:rsidR="00502DB2" w:rsidRPr="00884E98" w:rsidRDefault="00502DB2" w:rsidP="0064523D">
      <w:pPr>
        <w:spacing w:line="276" w:lineRule="auto"/>
        <w:ind w:right="4"/>
        <w:rPr>
          <w:rFonts w:ascii="Verdana" w:hAnsi="Verdana" w:cs="Verdana"/>
          <w:b/>
          <w:bCs/>
          <w:sz w:val="20"/>
        </w:rPr>
      </w:pPr>
      <w:r w:rsidRPr="00884E98">
        <w:rPr>
          <w:rFonts w:ascii="Verdana" w:hAnsi="Verdana"/>
          <w:b/>
          <w:sz w:val="20"/>
        </w:rPr>
        <w:t xml:space="preserve">Consolidated statement of other comprehensive income </w:t>
      </w:r>
      <w:r w:rsidRPr="00884E98">
        <w:rPr>
          <w:rFonts w:ascii="Verdana" w:hAnsi="Verdana"/>
          <w:b/>
          <w:sz w:val="20"/>
        </w:rPr>
        <w:tab/>
      </w:r>
      <w:r w:rsidRPr="00884E98">
        <w:rPr>
          <w:rFonts w:ascii="Verdana" w:hAnsi="Verdana"/>
          <w:b/>
          <w:sz w:val="20"/>
        </w:rPr>
        <w:tab/>
      </w:r>
      <w:r w:rsidRPr="00884E98">
        <w:rPr>
          <w:rFonts w:ascii="Verdana" w:hAnsi="Verdana"/>
          <w:b/>
          <w:sz w:val="20"/>
        </w:rPr>
        <w:tab/>
      </w:r>
      <w:r w:rsidR="000F7888">
        <w:rPr>
          <w:rFonts w:ascii="Verdana" w:hAnsi="Verdana"/>
          <w:b/>
          <w:sz w:val="20"/>
        </w:rPr>
        <w:tab/>
      </w:r>
      <w:r w:rsidRPr="00884E98">
        <w:rPr>
          <w:rFonts w:ascii="Verdana" w:hAnsi="Verdana"/>
          <w:sz w:val="20"/>
        </w:rPr>
        <w:t>Unaudited</w:t>
      </w:r>
    </w:p>
    <w:p w:rsidR="00502DB2" w:rsidRPr="00884E98" w:rsidRDefault="00502DB2" w:rsidP="0064523D">
      <w:pPr>
        <w:spacing w:after="200" w:line="276" w:lineRule="auto"/>
        <w:rPr>
          <w:rFonts w:ascii="Verdana" w:hAnsi="Verdana"/>
          <w:b/>
          <w:sz w:val="20"/>
          <w:highlight w:val="yellow"/>
        </w:rPr>
      </w:pPr>
    </w:p>
    <w:tbl>
      <w:tblPr>
        <w:tblW w:w="9083" w:type="dxa"/>
        <w:tblInd w:w="59" w:type="dxa"/>
        <w:tblCellMar>
          <w:left w:w="70" w:type="dxa"/>
          <w:right w:w="70" w:type="dxa"/>
        </w:tblCellMar>
        <w:tblLook w:val="04A0"/>
      </w:tblPr>
      <w:tblGrid>
        <w:gridCol w:w="4973"/>
        <w:gridCol w:w="960"/>
        <w:gridCol w:w="882"/>
        <w:gridCol w:w="2268"/>
      </w:tblGrid>
      <w:tr w:rsidR="00502DB2" w:rsidRPr="00884E98" w:rsidTr="000E2CAE">
        <w:trPr>
          <w:trHeight w:val="284"/>
        </w:trPr>
        <w:tc>
          <w:tcPr>
            <w:tcW w:w="4973" w:type="dxa"/>
            <w:vMerge w:val="restart"/>
            <w:tcBorders>
              <w:top w:val="single" w:sz="8" w:space="0" w:color="000000"/>
              <w:left w:val="nil"/>
              <w:bottom w:val="single" w:sz="8" w:space="0" w:color="000000"/>
              <w:right w:val="nil"/>
            </w:tcBorders>
            <w:shd w:val="clear" w:color="auto" w:fill="auto"/>
            <w:vAlign w:val="center"/>
            <w:hideMark/>
          </w:tcPr>
          <w:p w:rsidR="00502DB2" w:rsidRPr="000F7888" w:rsidRDefault="00502DB2" w:rsidP="0064523D">
            <w:pPr>
              <w:rPr>
                <w:rFonts w:ascii="Verdana" w:hAnsi="Verdana" w:cs="Calibri"/>
                <w:color w:val="000000"/>
                <w:sz w:val="20"/>
                <w:lang w:eastAsia="de-DE" w:bidi="ar-SA"/>
              </w:rPr>
            </w:pPr>
            <w:r w:rsidRPr="000F7888">
              <w:rPr>
                <w:rFonts w:ascii="Verdana" w:hAnsi="Verdana" w:cs="Calibri"/>
                <w:color w:val="000000"/>
                <w:sz w:val="20"/>
                <w:lang w:eastAsia="de-DE" w:bidi="ar-SA"/>
              </w:rPr>
              <w:t>(x EUR 1,000)</w:t>
            </w:r>
          </w:p>
        </w:tc>
        <w:tc>
          <w:tcPr>
            <w:tcW w:w="960" w:type="dxa"/>
            <w:vMerge w:val="restart"/>
            <w:tcBorders>
              <w:top w:val="single" w:sz="8" w:space="0" w:color="000000"/>
              <w:left w:val="nil"/>
              <w:bottom w:val="single" w:sz="8" w:space="0" w:color="000000"/>
              <w:right w:val="nil"/>
            </w:tcBorders>
            <w:shd w:val="clear" w:color="auto" w:fill="auto"/>
            <w:vAlign w:val="center"/>
            <w:hideMark/>
          </w:tcPr>
          <w:p w:rsidR="00502DB2" w:rsidRPr="000F7888" w:rsidRDefault="00502DB2" w:rsidP="0064523D">
            <w:pPr>
              <w:rPr>
                <w:rFonts w:ascii="Verdana" w:hAnsi="Verdana" w:cs="Calibri"/>
                <w:color w:val="000000"/>
                <w:sz w:val="20"/>
                <w:lang w:eastAsia="de-DE" w:bidi="ar-SA"/>
              </w:rPr>
            </w:pPr>
            <w:r w:rsidRPr="000F7888">
              <w:rPr>
                <w:rFonts w:ascii="Verdana" w:hAnsi="Verdana" w:cs="Calibri"/>
                <w:color w:val="000000"/>
                <w:sz w:val="20"/>
                <w:lang w:eastAsia="de-DE" w:bidi="ar-SA"/>
              </w:rPr>
              <w:t> </w:t>
            </w:r>
          </w:p>
        </w:tc>
        <w:tc>
          <w:tcPr>
            <w:tcW w:w="882" w:type="dxa"/>
            <w:tcBorders>
              <w:top w:val="single" w:sz="8" w:space="0" w:color="000000"/>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r w:rsidRPr="000F7888">
              <w:rPr>
                <w:rFonts w:ascii="Verdana" w:hAnsi="Verdana" w:cs="Calibri"/>
                <w:color w:val="000000"/>
                <w:sz w:val="20"/>
                <w:lang w:eastAsia="de-DE" w:bidi="ar-SA"/>
              </w:rPr>
              <w:t> </w:t>
            </w:r>
          </w:p>
        </w:tc>
        <w:tc>
          <w:tcPr>
            <w:tcW w:w="2268" w:type="dxa"/>
            <w:tcBorders>
              <w:top w:val="single" w:sz="8" w:space="0" w:color="000000"/>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r w:rsidRPr="000F7888">
              <w:rPr>
                <w:rFonts w:ascii="Verdana" w:hAnsi="Verdana" w:cs="Calibri"/>
                <w:color w:val="000000"/>
                <w:sz w:val="20"/>
                <w:lang w:eastAsia="de-DE" w:bidi="ar-SA"/>
              </w:rPr>
              <w:t> </w:t>
            </w:r>
          </w:p>
        </w:tc>
      </w:tr>
      <w:tr w:rsidR="00502DB2" w:rsidRPr="00884E98" w:rsidTr="000E2CAE">
        <w:trPr>
          <w:trHeight w:val="284"/>
        </w:trPr>
        <w:tc>
          <w:tcPr>
            <w:tcW w:w="4973" w:type="dxa"/>
            <w:vMerge/>
            <w:tcBorders>
              <w:top w:val="single" w:sz="8" w:space="0" w:color="000000"/>
              <w:left w:val="nil"/>
              <w:bottom w:val="single" w:sz="8" w:space="0" w:color="000000"/>
              <w:right w:val="nil"/>
            </w:tcBorders>
            <w:vAlign w:val="center"/>
            <w:hideMark/>
          </w:tcPr>
          <w:p w:rsidR="00502DB2" w:rsidRPr="000F7888" w:rsidRDefault="00502DB2" w:rsidP="0064523D">
            <w:pPr>
              <w:rPr>
                <w:rFonts w:ascii="Verdana" w:hAnsi="Verdana" w:cs="Calibri"/>
                <w:color w:val="000000"/>
                <w:sz w:val="20"/>
                <w:lang w:eastAsia="de-DE" w:bidi="ar-SA"/>
              </w:rPr>
            </w:pPr>
          </w:p>
        </w:tc>
        <w:tc>
          <w:tcPr>
            <w:tcW w:w="960" w:type="dxa"/>
            <w:vMerge/>
            <w:tcBorders>
              <w:top w:val="single" w:sz="8" w:space="0" w:color="000000"/>
              <w:left w:val="nil"/>
              <w:bottom w:val="single" w:sz="8" w:space="0" w:color="000000"/>
              <w:right w:val="nil"/>
            </w:tcBorders>
            <w:vAlign w:val="center"/>
            <w:hideMark/>
          </w:tcPr>
          <w:p w:rsidR="00502DB2" w:rsidRPr="000F7888" w:rsidRDefault="00502DB2" w:rsidP="0064523D">
            <w:pPr>
              <w:rPr>
                <w:rFonts w:ascii="Verdana" w:hAnsi="Verdana" w:cs="Calibri"/>
                <w:color w:val="000000"/>
                <w:sz w:val="20"/>
                <w:lang w:eastAsia="de-DE" w:bidi="ar-SA"/>
              </w:rPr>
            </w:pPr>
          </w:p>
        </w:tc>
        <w:tc>
          <w:tcPr>
            <w:tcW w:w="882" w:type="dxa"/>
            <w:tcBorders>
              <w:top w:val="nil"/>
              <w:left w:val="nil"/>
              <w:bottom w:val="single" w:sz="8" w:space="0" w:color="000000"/>
              <w:right w:val="nil"/>
            </w:tcBorders>
            <w:shd w:val="clear" w:color="auto" w:fill="auto"/>
            <w:vAlign w:val="center"/>
            <w:hideMark/>
          </w:tcPr>
          <w:p w:rsidR="00502DB2" w:rsidRPr="004E0F46" w:rsidRDefault="00502DB2" w:rsidP="0064523D">
            <w:pPr>
              <w:jc w:val="right"/>
              <w:rPr>
                <w:rFonts w:ascii="Verdana" w:hAnsi="Verdana" w:cs="Calibri"/>
                <w:b/>
                <w:color w:val="000000"/>
                <w:sz w:val="20"/>
                <w:lang w:eastAsia="de-DE" w:bidi="ar-SA"/>
              </w:rPr>
            </w:pPr>
            <w:r w:rsidRPr="004E0F46">
              <w:rPr>
                <w:rFonts w:ascii="Verdana" w:hAnsi="Verdana" w:cs="Calibri"/>
                <w:b/>
                <w:color w:val="000000"/>
                <w:sz w:val="20"/>
                <w:lang w:eastAsia="de-DE" w:bidi="ar-SA"/>
              </w:rPr>
              <w:t>2016</w:t>
            </w:r>
          </w:p>
        </w:tc>
        <w:tc>
          <w:tcPr>
            <w:tcW w:w="2268" w:type="dxa"/>
            <w:tcBorders>
              <w:top w:val="nil"/>
              <w:left w:val="nil"/>
              <w:bottom w:val="single" w:sz="8" w:space="0" w:color="000000"/>
              <w:right w:val="nil"/>
            </w:tcBorders>
            <w:shd w:val="clear" w:color="auto" w:fill="auto"/>
            <w:vAlign w:val="center"/>
            <w:hideMark/>
          </w:tcPr>
          <w:p w:rsidR="00502DB2" w:rsidRPr="004E0F46" w:rsidRDefault="00502DB2" w:rsidP="0064523D">
            <w:pPr>
              <w:jc w:val="right"/>
              <w:rPr>
                <w:rFonts w:ascii="Verdana" w:hAnsi="Verdana" w:cs="Calibri"/>
                <w:b/>
                <w:color w:val="000000"/>
                <w:sz w:val="20"/>
                <w:lang w:eastAsia="de-DE" w:bidi="ar-SA"/>
              </w:rPr>
            </w:pPr>
            <w:r w:rsidRPr="004E0F46">
              <w:rPr>
                <w:rFonts w:ascii="Verdana" w:hAnsi="Verdana" w:cs="Calibri"/>
                <w:b/>
                <w:color w:val="000000"/>
                <w:sz w:val="20"/>
                <w:lang w:eastAsia="de-DE" w:bidi="ar-SA"/>
              </w:rPr>
              <w:t>2015</w:t>
            </w:r>
          </w:p>
        </w:tc>
      </w:tr>
      <w:tr w:rsidR="00502DB2" w:rsidRPr="00884E98" w:rsidTr="000E2CAE">
        <w:trPr>
          <w:trHeight w:val="284"/>
        </w:trPr>
        <w:tc>
          <w:tcPr>
            <w:tcW w:w="4973" w:type="dxa"/>
            <w:tcBorders>
              <w:top w:val="nil"/>
              <w:left w:val="nil"/>
              <w:bottom w:val="nil"/>
              <w:right w:val="nil"/>
            </w:tcBorders>
            <w:shd w:val="clear" w:color="auto" w:fill="auto"/>
            <w:vAlign w:val="center"/>
            <w:hideMark/>
          </w:tcPr>
          <w:p w:rsidR="00502DB2" w:rsidRPr="000F7888" w:rsidRDefault="00502DB2" w:rsidP="0064523D">
            <w:pPr>
              <w:rPr>
                <w:rFonts w:ascii="Verdana" w:hAnsi="Verdana" w:cs="Calibri"/>
                <w:b/>
                <w:bCs/>
                <w:color w:val="000000"/>
                <w:sz w:val="20"/>
                <w:lang w:eastAsia="de-DE" w:bidi="ar-SA"/>
              </w:rPr>
            </w:pPr>
          </w:p>
        </w:tc>
        <w:tc>
          <w:tcPr>
            <w:tcW w:w="960" w:type="dxa"/>
            <w:tcBorders>
              <w:top w:val="nil"/>
              <w:left w:val="nil"/>
              <w:bottom w:val="nil"/>
              <w:right w:val="nil"/>
            </w:tcBorders>
            <w:shd w:val="clear" w:color="auto" w:fill="auto"/>
            <w:vAlign w:val="center"/>
            <w:hideMark/>
          </w:tcPr>
          <w:p w:rsidR="00502DB2" w:rsidRPr="000F7888" w:rsidRDefault="00502DB2" w:rsidP="0064523D">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p>
        </w:tc>
        <w:tc>
          <w:tcPr>
            <w:tcW w:w="2268" w:type="dxa"/>
            <w:tcBorders>
              <w:top w:val="nil"/>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p>
        </w:tc>
      </w:tr>
      <w:tr w:rsidR="00502DB2" w:rsidRPr="00884E98" w:rsidTr="000E2CAE">
        <w:trPr>
          <w:trHeight w:val="284"/>
        </w:trPr>
        <w:tc>
          <w:tcPr>
            <w:tcW w:w="4973"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Net profit (loss) for the year</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r w:rsidRPr="000F7888">
              <w:rPr>
                <w:rFonts w:ascii="Verdana" w:hAnsi="Verdana" w:cs="Calibri"/>
                <w:color w:val="000000"/>
                <w:sz w:val="20"/>
                <w:lang w:eastAsia="de-DE" w:bidi="ar-SA"/>
              </w:rPr>
              <w:t>-1,578</w:t>
            </w:r>
          </w:p>
        </w:tc>
        <w:tc>
          <w:tcPr>
            <w:tcW w:w="2268" w:type="dxa"/>
            <w:tcBorders>
              <w:top w:val="nil"/>
              <w:left w:val="nil"/>
              <w:bottom w:val="nil"/>
              <w:right w:val="nil"/>
            </w:tcBorders>
            <w:shd w:val="clear" w:color="auto" w:fill="auto"/>
            <w:vAlign w:val="center"/>
            <w:hideMark/>
          </w:tcPr>
          <w:p w:rsidR="00502DB2" w:rsidRPr="000F7888" w:rsidRDefault="00502DB2" w:rsidP="0064523D">
            <w:pPr>
              <w:jc w:val="right"/>
              <w:rPr>
                <w:rFonts w:ascii="Verdana" w:hAnsi="Verdana" w:cs="Calibri"/>
                <w:color w:val="000000"/>
                <w:sz w:val="20"/>
                <w:lang w:eastAsia="de-DE" w:bidi="ar-SA"/>
              </w:rPr>
            </w:pPr>
            <w:r w:rsidRPr="000F7888">
              <w:rPr>
                <w:rFonts w:ascii="Verdana" w:hAnsi="Verdana" w:cs="Calibri"/>
                <w:color w:val="000000"/>
                <w:sz w:val="20"/>
                <w:lang w:eastAsia="de-DE" w:bidi="ar-SA"/>
              </w:rPr>
              <w:t>-1,505</w:t>
            </w:r>
          </w:p>
        </w:tc>
      </w:tr>
      <w:tr w:rsidR="00502DB2" w:rsidRPr="00884E98" w:rsidTr="000E2CAE">
        <w:trPr>
          <w:trHeight w:val="284"/>
        </w:trPr>
        <w:tc>
          <w:tcPr>
            <w:tcW w:w="4973"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proofErr w:type="spellStart"/>
            <w:r w:rsidRPr="00884E98">
              <w:rPr>
                <w:rFonts w:ascii="Verdana" w:hAnsi="Verdana" w:cs="Calibri"/>
                <w:color w:val="000000"/>
                <w:sz w:val="20"/>
                <w:lang w:eastAsia="de-DE" w:bidi="ar-SA"/>
              </w:rPr>
              <w:t>Remeasurement</w:t>
            </w:r>
            <w:proofErr w:type="spellEnd"/>
            <w:r w:rsidRPr="00884E98">
              <w:rPr>
                <w:rFonts w:ascii="Verdana" w:hAnsi="Verdana" w:cs="Calibri"/>
                <w:color w:val="000000"/>
                <w:sz w:val="20"/>
                <w:lang w:eastAsia="de-DE" w:bidi="ar-SA"/>
              </w:rPr>
              <w:t xml:space="preserve"> of defined benefit obligations</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-459</w:t>
            </w:r>
          </w:p>
        </w:tc>
        <w:tc>
          <w:tcPr>
            <w:tcW w:w="2268"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246</w:t>
            </w:r>
          </w:p>
        </w:tc>
      </w:tr>
      <w:tr w:rsidR="00502DB2" w:rsidRPr="00884E98" w:rsidTr="000E2CAE">
        <w:trPr>
          <w:trHeight w:val="284"/>
        </w:trPr>
        <w:tc>
          <w:tcPr>
            <w:tcW w:w="4973"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proofErr w:type="spellStart"/>
            <w:r w:rsidRPr="00884E98">
              <w:rPr>
                <w:rFonts w:ascii="Verdana" w:hAnsi="Verdana" w:cs="Calibri"/>
                <w:color w:val="000000"/>
                <w:sz w:val="20"/>
                <w:lang w:eastAsia="de-DE" w:bidi="ar-SA"/>
              </w:rPr>
              <w:t>Remeasurement</w:t>
            </w:r>
            <w:proofErr w:type="spellEnd"/>
            <w:r w:rsidRPr="00884E98">
              <w:rPr>
                <w:rFonts w:ascii="Verdana" w:hAnsi="Verdana" w:cs="Calibri"/>
                <w:color w:val="000000"/>
                <w:sz w:val="20"/>
                <w:lang w:eastAsia="de-DE" w:bidi="ar-SA"/>
              </w:rPr>
              <w:t xml:space="preserve"> of defined benefit obligations - DTL</w:t>
            </w:r>
          </w:p>
        </w:tc>
        <w:tc>
          <w:tcPr>
            <w:tcW w:w="96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p>
        </w:tc>
        <w:tc>
          <w:tcPr>
            <w:tcW w:w="882"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126</w:t>
            </w:r>
          </w:p>
        </w:tc>
        <w:tc>
          <w:tcPr>
            <w:tcW w:w="2268" w:type="dxa"/>
            <w:tcBorders>
              <w:top w:val="nil"/>
              <w:left w:val="nil"/>
              <w:bottom w:val="nil"/>
              <w:right w:val="nil"/>
            </w:tcBorders>
            <w:shd w:val="clear" w:color="auto" w:fill="auto"/>
            <w:vAlign w:val="center"/>
            <w:hideMark/>
          </w:tcPr>
          <w:p w:rsidR="00502DB2" w:rsidRPr="00884E98" w:rsidRDefault="00502DB2" w:rsidP="0064523D">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-107</w:t>
            </w:r>
          </w:p>
        </w:tc>
      </w:tr>
      <w:tr w:rsidR="00502DB2" w:rsidRPr="00884E98" w:rsidTr="000E2CAE">
        <w:trPr>
          <w:trHeight w:val="284"/>
        </w:trPr>
        <w:tc>
          <w:tcPr>
            <w:tcW w:w="4973" w:type="dxa"/>
            <w:tcBorders>
              <w:top w:val="single" w:sz="8" w:space="0" w:color="000000"/>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xml:space="preserve">Total comprehensive income </w:t>
            </w:r>
          </w:p>
        </w:tc>
        <w:tc>
          <w:tcPr>
            <w:tcW w:w="960" w:type="dxa"/>
            <w:tcBorders>
              <w:top w:val="single" w:sz="8" w:space="0" w:color="000000"/>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882" w:type="dxa"/>
            <w:tcBorders>
              <w:top w:val="single" w:sz="8" w:space="0" w:color="000000"/>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-1,911</w:t>
            </w:r>
          </w:p>
        </w:tc>
        <w:tc>
          <w:tcPr>
            <w:tcW w:w="2268" w:type="dxa"/>
            <w:tcBorders>
              <w:top w:val="single" w:sz="8" w:space="0" w:color="000000"/>
              <w:left w:val="nil"/>
              <w:bottom w:val="nil"/>
              <w:right w:val="nil"/>
            </w:tcBorders>
            <w:shd w:val="clear" w:color="auto" w:fill="auto"/>
            <w:vAlign w:val="center"/>
            <w:hideMark/>
          </w:tcPr>
          <w:p w:rsidR="00502DB2" w:rsidRPr="00884E98" w:rsidRDefault="00502DB2" w:rsidP="0064523D">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-1,366</w:t>
            </w:r>
          </w:p>
        </w:tc>
      </w:tr>
    </w:tbl>
    <w:p w:rsidR="00502DB2" w:rsidRPr="00884E98" w:rsidRDefault="00502DB2" w:rsidP="0064523D">
      <w:pPr>
        <w:spacing w:after="200" w:line="276" w:lineRule="auto"/>
        <w:rPr>
          <w:rFonts w:ascii="Verdana" w:hAnsi="Verdana"/>
          <w:b/>
          <w:sz w:val="20"/>
          <w:highlight w:val="yellow"/>
        </w:rPr>
      </w:pPr>
    </w:p>
    <w:p w:rsidR="00502DB2" w:rsidRPr="00884E98" w:rsidRDefault="00502DB2" w:rsidP="0064523D">
      <w:pPr>
        <w:spacing w:after="200" w:line="276" w:lineRule="auto"/>
        <w:rPr>
          <w:rFonts w:ascii="Verdana" w:hAnsi="Verdana"/>
          <w:b/>
          <w:sz w:val="20"/>
          <w:highlight w:val="yellow"/>
        </w:rPr>
      </w:pPr>
      <w:r w:rsidRPr="00884E98">
        <w:rPr>
          <w:rFonts w:ascii="Verdana" w:hAnsi="Verdana"/>
          <w:b/>
          <w:sz w:val="20"/>
          <w:highlight w:val="yellow"/>
        </w:rPr>
        <w:br w:type="page"/>
      </w:r>
    </w:p>
    <w:p w:rsidR="00502DB2" w:rsidRPr="00884E98" w:rsidRDefault="00502DB2" w:rsidP="0064523D">
      <w:pPr>
        <w:spacing w:line="276" w:lineRule="auto"/>
        <w:ind w:right="4"/>
        <w:rPr>
          <w:rFonts w:ascii="Verdana" w:hAnsi="Verdana"/>
          <w:sz w:val="20"/>
        </w:rPr>
      </w:pPr>
      <w:r w:rsidRPr="00884E98">
        <w:rPr>
          <w:rFonts w:ascii="Verdana" w:hAnsi="Verdana"/>
          <w:b/>
          <w:sz w:val="20"/>
        </w:rPr>
        <w:lastRenderedPageBreak/>
        <w:t xml:space="preserve">Consolidated statement of financial position </w:t>
      </w:r>
      <w:r w:rsidRPr="00884E98">
        <w:rPr>
          <w:rFonts w:ascii="Verdana" w:hAnsi="Verdana"/>
          <w:sz w:val="20"/>
        </w:rPr>
        <w:t>(after appropriation of net result)</w:t>
      </w:r>
      <w:r w:rsidRPr="00884E98">
        <w:rPr>
          <w:rFonts w:ascii="Verdana" w:hAnsi="Verdana"/>
          <w:b/>
          <w:sz w:val="20"/>
        </w:rPr>
        <w:tab/>
      </w:r>
      <w:r w:rsidRPr="00884E98">
        <w:rPr>
          <w:rFonts w:ascii="Verdana" w:hAnsi="Verdana"/>
          <w:sz w:val="20"/>
        </w:rPr>
        <w:t>Unaudited</w:t>
      </w:r>
    </w:p>
    <w:p w:rsidR="00502DB2" w:rsidRPr="00884E98" w:rsidRDefault="00502DB2" w:rsidP="0064523D">
      <w:pPr>
        <w:spacing w:line="276" w:lineRule="auto"/>
        <w:ind w:right="4"/>
        <w:rPr>
          <w:rFonts w:ascii="Verdana" w:hAnsi="Verdana" w:cs="Verdana"/>
          <w:b/>
          <w:bCs/>
          <w:sz w:val="20"/>
        </w:rPr>
      </w:pPr>
    </w:p>
    <w:tbl>
      <w:tblPr>
        <w:tblW w:w="9083" w:type="dxa"/>
        <w:tblInd w:w="59" w:type="dxa"/>
        <w:tblCellMar>
          <w:left w:w="70" w:type="dxa"/>
          <w:right w:w="70" w:type="dxa"/>
        </w:tblCellMar>
        <w:tblLook w:val="04A0"/>
      </w:tblPr>
      <w:tblGrid>
        <w:gridCol w:w="5540"/>
        <w:gridCol w:w="567"/>
        <w:gridCol w:w="850"/>
        <w:gridCol w:w="2126"/>
      </w:tblGrid>
      <w:tr w:rsidR="00502DB2" w:rsidRPr="00884E98" w:rsidTr="000E2CAE">
        <w:trPr>
          <w:trHeight w:val="284"/>
        </w:trPr>
        <w:tc>
          <w:tcPr>
            <w:tcW w:w="5540" w:type="dxa"/>
            <w:vMerge w:val="restart"/>
            <w:tcBorders>
              <w:top w:val="single" w:sz="8" w:space="0" w:color="000000"/>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(x EUR 1,000)</w:t>
            </w:r>
          </w:p>
        </w:tc>
        <w:tc>
          <w:tcPr>
            <w:tcW w:w="567" w:type="dxa"/>
            <w:vMerge w:val="restart"/>
            <w:tcBorders>
              <w:top w:val="single" w:sz="8" w:space="0" w:color="000000"/>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single" w:sz="8" w:space="0" w:color="000000"/>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2126" w:type="dxa"/>
            <w:tcBorders>
              <w:top w:val="single" w:sz="8" w:space="0" w:color="000000"/>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r>
      <w:tr w:rsidR="00502DB2" w:rsidRPr="00884E98" w:rsidTr="000E2CAE">
        <w:trPr>
          <w:trHeight w:val="284"/>
        </w:trPr>
        <w:tc>
          <w:tcPr>
            <w:tcW w:w="5540" w:type="dxa"/>
            <w:vMerge/>
            <w:tcBorders>
              <w:top w:val="single" w:sz="8" w:space="0" w:color="000000"/>
              <w:left w:val="nil"/>
              <w:bottom w:val="single" w:sz="8" w:space="0" w:color="000000"/>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vMerge/>
            <w:tcBorders>
              <w:top w:val="single" w:sz="8" w:space="0" w:color="000000"/>
              <w:left w:val="nil"/>
              <w:bottom w:val="single" w:sz="8" w:space="0" w:color="000000"/>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single" w:sz="8" w:space="0" w:color="000000"/>
              <w:right w:val="nil"/>
            </w:tcBorders>
            <w:shd w:val="clear" w:color="auto" w:fill="auto"/>
            <w:vAlign w:val="center"/>
            <w:hideMark/>
          </w:tcPr>
          <w:p w:rsidR="00502DB2" w:rsidRPr="004E0F46" w:rsidRDefault="00502DB2" w:rsidP="000E2CAE">
            <w:pPr>
              <w:ind w:left="-463"/>
              <w:jc w:val="right"/>
              <w:rPr>
                <w:rFonts w:ascii="Verdana" w:hAnsi="Verdana" w:cs="Calibri"/>
                <w:b/>
                <w:color w:val="000000"/>
                <w:sz w:val="20"/>
                <w:lang w:val="de-DE" w:eastAsia="de-DE" w:bidi="ar-SA"/>
              </w:rPr>
            </w:pPr>
            <w:r w:rsidRPr="004E0F46">
              <w:rPr>
                <w:rFonts w:ascii="Verdana" w:hAnsi="Verdana" w:cs="Calibri"/>
                <w:b/>
                <w:color w:val="000000"/>
                <w:sz w:val="20"/>
                <w:lang w:val="de-DE" w:eastAsia="de-DE" w:bidi="ar-SA"/>
              </w:rPr>
              <w:t>2016</w:t>
            </w:r>
          </w:p>
        </w:tc>
        <w:tc>
          <w:tcPr>
            <w:tcW w:w="2126" w:type="dxa"/>
            <w:tcBorders>
              <w:top w:val="nil"/>
              <w:left w:val="nil"/>
              <w:bottom w:val="single" w:sz="8" w:space="0" w:color="000000"/>
              <w:right w:val="nil"/>
            </w:tcBorders>
            <w:shd w:val="clear" w:color="auto" w:fill="auto"/>
            <w:vAlign w:val="center"/>
            <w:hideMark/>
          </w:tcPr>
          <w:p w:rsidR="00502DB2" w:rsidRPr="004E0F46" w:rsidRDefault="00502DB2" w:rsidP="000E2CAE">
            <w:pPr>
              <w:jc w:val="right"/>
              <w:rPr>
                <w:rFonts w:ascii="Verdana" w:hAnsi="Verdana" w:cs="Calibri"/>
                <w:b/>
                <w:color w:val="000000"/>
                <w:sz w:val="20"/>
                <w:lang w:val="de-DE" w:eastAsia="de-DE" w:bidi="ar-SA"/>
              </w:rPr>
            </w:pPr>
            <w:r w:rsidRPr="004E0F46">
              <w:rPr>
                <w:rFonts w:ascii="Verdana" w:hAnsi="Verdana" w:cs="Calibri"/>
                <w:b/>
                <w:color w:val="000000"/>
                <w:sz w:val="20"/>
                <w:lang w:val="de-DE" w:eastAsia="de-DE" w:bidi="ar-SA"/>
              </w:rPr>
              <w:t>2015</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3366FF"/>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ASSETS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Property, plant and equipment</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5,283</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4,732</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Intangible assets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2,401</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2,176</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Deferred income taxes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1,151</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1,016</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Financial assets</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3,001</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3,002</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Non-current assets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11,836</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10,926</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Inventories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474</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279</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Trade and other receivables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1,712</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1,659</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Cash and cash equivalents</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689</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667</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Current assets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2,875</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2,605</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TOTAL ASSETS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14,711</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13,531</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3366FF"/>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p>
        </w:tc>
        <w:tc>
          <w:tcPr>
            <w:tcW w:w="567" w:type="dxa"/>
            <w:vMerge w:val="restart"/>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vMerge w:val="restart"/>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vMerge w:val="restart"/>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EQUITY AND LIABILITIES</w:t>
            </w:r>
          </w:p>
        </w:tc>
        <w:tc>
          <w:tcPr>
            <w:tcW w:w="567" w:type="dxa"/>
            <w:vMerge/>
            <w:tcBorders>
              <w:top w:val="nil"/>
              <w:left w:val="nil"/>
              <w:bottom w:val="nil"/>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vMerge/>
            <w:tcBorders>
              <w:top w:val="nil"/>
              <w:left w:val="nil"/>
              <w:bottom w:val="nil"/>
              <w:right w:val="nil"/>
            </w:tcBorders>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vMerge/>
            <w:tcBorders>
              <w:top w:val="nil"/>
              <w:left w:val="nil"/>
              <w:bottom w:val="nil"/>
              <w:right w:val="nil"/>
            </w:tcBorders>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xml:space="preserve">Issued share capital </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6,979</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5,986</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Share premium</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19,659</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19,009</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Revaluation reserves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0F226B" w:rsidP="000E2CAE">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1,763</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1,822</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Retained earnings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0F226B" w:rsidP="000E2CAE">
            <w:pPr>
              <w:ind w:left="-463"/>
              <w:jc w:val="right"/>
              <w:rPr>
                <w:rFonts w:ascii="Verdana" w:hAnsi="Verdana" w:cs="Calibri"/>
                <w:color w:val="000000"/>
                <w:sz w:val="20"/>
                <w:lang w:val="de-DE" w:eastAsia="de-DE" w:bidi="ar-SA"/>
              </w:rPr>
            </w:pPr>
            <w:r>
              <w:rPr>
                <w:rFonts w:ascii="Verdana" w:hAnsi="Verdana" w:cs="Calibri"/>
                <w:color w:val="000000"/>
                <w:sz w:val="20"/>
                <w:lang w:val="de-DE" w:eastAsia="de-DE" w:bidi="ar-SA"/>
              </w:rPr>
              <w:t>-26,842</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-24,990</w:t>
            </w:r>
          </w:p>
        </w:tc>
      </w:tr>
      <w:tr w:rsidR="00502DB2" w:rsidRPr="00884E98" w:rsidTr="000E2CAE">
        <w:trPr>
          <w:trHeight w:val="284"/>
        </w:trPr>
        <w:tc>
          <w:tcPr>
            <w:tcW w:w="5540" w:type="dxa"/>
            <w:tcBorders>
              <w:top w:val="single" w:sz="8" w:space="0" w:color="000000"/>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Equity, attributable to equity holders</w:t>
            </w:r>
          </w:p>
        </w:tc>
        <w:tc>
          <w:tcPr>
            <w:tcW w:w="567" w:type="dxa"/>
            <w:vMerge w:val="restart"/>
            <w:tcBorders>
              <w:top w:val="single" w:sz="8" w:space="0" w:color="000000"/>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 </w:t>
            </w:r>
          </w:p>
        </w:tc>
        <w:tc>
          <w:tcPr>
            <w:tcW w:w="850" w:type="dxa"/>
            <w:vMerge w:val="restart"/>
            <w:tcBorders>
              <w:top w:val="single" w:sz="8" w:space="0" w:color="000000"/>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1,559</w:t>
            </w:r>
          </w:p>
        </w:tc>
        <w:tc>
          <w:tcPr>
            <w:tcW w:w="2126" w:type="dxa"/>
            <w:vMerge w:val="restart"/>
            <w:tcBorders>
              <w:top w:val="single" w:sz="8" w:space="0" w:color="000000"/>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1,827</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of the parent</w:t>
            </w:r>
          </w:p>
        </w:tc>
        <w:tc>
          <w:tcPr>
            <w:tcW w:w="567" w:type="dxa"/>
            <w:vMerge/>
            <w:tcBorders>
              <w:top w:val="single" w:sz="8" w:space="0" w:color="000000"/>
              <w:left w:val="nil"/>
              <w:bottom w:val="nil"/>
              <w:right w:val="nil"/>
            </w:tcBorders>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vMerge/>
            <w:tcBorders>
              <w:top w:val="single" w:sz="8" w:space="0" w:color="000000"/>
              <w:left w:val="nil"/>
              <w:bottom w:val="nil"/>
              <w:right w:val="nil"/>
            </w:tcBorders>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p>
        </w:tc>
        <w:tc>
          <w:tcPr>
            <w:tcW w:w="2126" w:type="dxa"/>
            <w:vMerge/>
            <w:tcBorders>
              <w:top w:val="single" w:sz="8" w:space="0" w:color="000000"/>
              <w:left w:val="nil"/>
              <w:bottom w:val="nil"/>
              <w:right w:val="nil"/>
            </w:tcBorders>
            <w:vAlign w:val="center"/>
            <w:hideMark/>
          </w:tcPr>
          <w:p w:rsidR="00502DB2" w:rsidRPr="00884E98" w:rsidRDefault="00502DB2" w:rsidP="000E2CAE">
            <w:pPr>
              <w:jc w:val="right"/>
              <w:rPr>
                <w:rFonts w:ascii="Verdana" w:hAnsi="Verdana" w:cs="Calibri"/>
                <w:b/>
                <w:bCs/>
                <w:color w:val="000000"/>
                <w:sz w:val="20"/>
                <w:lang w:val="de-DE" w:eastAsia="de-DE" w:bidi="ar-SA"/>
              </w:rPr>
            </w:pPr>
          </w:p>
        </w:tc>
      </w:tr>
      <w:tr w:rsidR="00502DB2" w:rsidRPr="00884E98" w:rsidTr="000E2CAE">
        <w:trPr>
          <w:trHeight w:val="284"/>
        </w:trPr>
        <w:tc>
          <w:tcPr>
            <w:tcW w:w="5540"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Non-controlling interests</w:t>
            </w:r>
          </w:p>
        </w:tc>
        <w:tc>
          <w:tcPr>
            <w:tcW w:w="567" w:type="dxa"/>
            <w:tcBorders>
              <w:top w:val="nil"/>
              <w:left w:val="nil"/>
              <w:bottom w:val="single" w:sz="8" w:space="0" w:color="auto"/>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auto"/>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2,494</w:t>
            </w:r>
          </w:p>
        </w:tc>
        <w:tc>
          <w:tcPr>
            <w:tcW w:w="2126" w:type="dxa"/>
            <w:tcBorders>
              <w:top w:val="nil"/>
              <w:left w:val="nil"/>
              <w:bottom w:val="single" w:sz="8" w:space="0" w:color="auto"/>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2,494</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Total equity</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4,053</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4,321</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Loans and borrowings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3,004</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2,301</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Retirement benefit obligation and provisions</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5,319</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4,864</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Non-current liabilities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8,323</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7,165</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Loans and borrowings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113</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41</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Trade and other payables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2,159</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1,945</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Current  tax liabilities</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63</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59</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Current liabilities</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2,335</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2,045</w:t>
            </w:r>
          </w:p>
        </w:tc>
      </w:tr>
      <w:tr w:rsidR="00502DB2" w:rsidRPr="00884E98" w:rsidTr="000E2CAE">
        <w:trPr>
          <w:trHeight w:val="284"/>
        </w:trPr>
        <w:tc>
          <w:tcPr>
            <w:tcW w:w="5540"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567" w:type="dxa"/>
            <w:tcBorders>
              <w:top w:val="nil"/>
              <w:left w:val="nil"/>
              <w:bottom w:val="single" w:sz="8" w:space="0" w:color="000000"/>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850" w:type="dxa"/>
            <w:tcBorders>
              <w:top w:val="nil"/>
              <w:left w:val="nil"/>
              <w:bottom w:val="single" w:sz="8" w:space="0" w:color="000000"/>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2126" w:type="dxa"/>
            <w:tcBorders>
              <w:top w:val="nil"/>
              <w:left w:val="nil"/>
              <w:bottom w:val="single" w:sz="8" w:space="0" w:color="000000"/>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502DB2" w:rsidRPr="00884E98" w:rsidTr="000E2CAE">
        <w:trPr>
          <w:trHeight w:val="284"/>
        </w:trPr>
        <w:tc>
          <w:tcPr>
            <w:tcW w:w="5540"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xml:space="preserve">TOTAL EQUITY AND LIABILITIES </w:t>
            </w:r>
          </w:p>
        </w:tc>
        <w:tc>
          <w:tcPr>
            <w:tcW w:w="567" w:type="dxa"/>
            <w:tcBorders>
              <w:top w:val="nil"/>
              <w:left w:val="nil"/>
              <w:bottom w:val="nil"/>
              <w:right w:val="nil"/>
            </w:tcBorders>
            <w:shd w:val="clear" w:color="auto" w:fill="auto"/>
            <w:vAlign w:val="center"/>
            <w:hideMark/>
          </w:tcPr>
          <w:p w:rsidR="00502DB2" w:rsidRPr="00884E98" w:rsidRDefault="00502DB2" w:rsidP="0064523D">
            <w:pPr>
              <w:rPr>
                <w:rFonts w:ascii="Verdana" w:hAnsi="Verdana" w:cs="Calibri"/>
                <w:color w:val="000000"/>
                <w:sz w:val="20"/>
                <w:lang w:val="de-DE" w:eastAsia="de-DE" w:bidi="ar-SA"/>
              </w:rPr>
            </w:pPr>
          </w:p>
        </w:tc>
        <w:tc>
          <w:tcPr>
            <w:tcW w:w="850" w:type="dxa"/>
            <w:tcBorders>
              <w:top w:val="nil"/>
              <w:left w:val="nil"/>
              <w:bottom w:val="nil"/>
              <w:right w:val="nil"/>
            </w:tcBorders>
            <w:shd w:val="clear" w:color="auto" w:fill="auto"/>
            <w:vAlign w:val="center"/>
            <w:hideMark/>
          </w:tcPr>
          <w:p w:rsidR="00502DB2" w:rsidRPr="00884E98" w:rsidRDefault="00502DB2" w:rsidP="000E2CAE">
            <w:pPr>
              <w:ind w:left="-463"/>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14,711</w:t>
            </w:r>
          </w:p>
        </w:tc>
        <w:tc>
          <w:tcPr>
            <w:tcW w:w="2126" w:type="dxa"/>
            <w:tcBorders>
              <w:top w:val="nil"/>
              <w:left w:val="nil"/>
              <w:bottom w:val="nil"/>
              <w:right w:val="nil"/>
            </w:tcBorders>
            <w:shd w:val="clear" w:color="auto" w:fill="auto"/>
            <w:vAlign w:val="center"/>
            <w:hideMark/>
          </w:tcPr>
          <w:p w:rsidR="00502DB2" w:rsidRPr="00884E98" w:rsidRDefault="00502DB2"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13,531</w:t>
            </w:r>
          </w:p>
        </w:tc>
      </w:tr>
    </w:tbl>
    <w:p w:rsidR="00502DB2" w:rsidRPr="00884E98" w:rsidRDefault="00502DB2" w:rsidP="0064523D">
      <w:pPr>
        <w:spacing w:after="200" w:line="276" w:lineRule="auto"/>
        <w:rPr>
          <w:rFonts w:ascii="Verdana" w:hAnsi="Verdana"/>
          <w:b/>
          <w:sz w:val="20"/>
          <w:highlight w:val="yellow"/>
        </w:rPr>
      </w:pPr>
      <w:r w:rsidRPr="00884E98">
        <w:rPr>
          <w:rFonts w:ascii="Verdana" w:hAnsi="Verdana"/>
          <w:b/>
          <w:sz w:val="20"/>
          <w:highlight w:val="yellow"/>
        </w:rPr>
        <w:br w:type="page"/>
      </w:r>
    </w:p>
    <w:p w:rsidR="00502DB2" w:rsidRPr="004C4970" w:rsidRDefault="000D524B" w:rsidP="0064523D">
      <w:pPr>
        <w:spacing w:after="200" w:line="276" w:lineRule="auto"/>
      </w:pPr>
      <w:r>
        <w:rPr>
          <w:rFonts w:ascii="Verdana" w:hAnsi="Verdana"/>
          <w:b/>
          <w:sz w:val="20"/>
        </w:rPr>
        <w:lastRenderedPageBreak/>
        <w:t>Consolidated Ca</w:t>
      </w:r>
      <w:r w:rsidR="005B23D3" w:rsidRPr="00884E98">
        <w:rPr>
          <w:rFonts w:ascii="Verdana" w:hAnsi="Verdana"/>
          <w:b/>
          <w:sz w:val="20"/>
        </w:rPr>
        <w:t>sh Flow Statement</w:t>
      </w:r>
      <w:r w:rsidR="004C4970">
        <w:rPr>
          <w:rFonts w:ascii="Verdana" w:hAnsi="Verdana"/>
          <w:b/>
          <w:sz w:val="20"/>
        </w:rPr>
        <w:tab/>
      </w:r>
      <w:r w:rsidR="004C4970">
        <w:rPr>
          <w:rFonts w:ascii="Verdana" w:hAnsi="Verdana"/>
          <w:b/>
          <w:sz w:val="20"/>
        </w:rPr>
        <w:tab/>
      </w:r>
      <w:r w:rsidR="004C4970">
        <w:rPr>
          <w:rFonts w:ascii="Verdana" w:hAnsi="Verdana"/>
          <w:b/>
          <w:sz w:val="20"/>
        </w:rPr>
        <w:tab/>
      </w:r>
      <w:r w:rsidR="004C4970" w:rsidRPr="00884E98">
        <w:rPr>
          <w:rFonts w:ascii="Verdana" w:hAnsi="Verdana"/>
          <w:b/>
          <w:sz w:val="20"/>
        </w:rPr>
        <w:tab/>
      </w:r>
      <w:r w:rsidR="004C4970" w:rsidRPr="00884E98">
        <w:rPr>
          <w:rFonts w:ascii="Verdana" w:hAnsi="Verdana"/>
          <w:b/>
          <w:sz w:val="20"/>
        </w:rPr>
        <w:tab/>
      </w:r>
      <w:r w:rsidR="004C4970" w:rsidRPr="00884E98">
        <w:rPr>
          <w:rFonts w:ascii="Verdana" w:hAnsi="Verdana"/>
          <w:b/>
          <w:sz w:val="20"/>
        </w:rPr>
        <w:tab/>
      </w:r>
      <w:r w:rsidR="004C4970" w:rsidRPr="00884E98">
        <w:rPr>
          <w:rFonts w:ascii="Verdana" w:hAnsi="Verdana"/>
          <w:b/>
          <w:sz w:val="20"/>
        </w:rPr>
        <w:tab/>
      </w:r>
      <w:r w:rsidR="004C4970" w:rsidRPr="00884E98">
        <w:rPr>
          <w:rFonts w:ascii="Verdana" w:hAnsi="Verdana"/>
          <w:sz w:val="20"/>
        </w:rPr>
        <w:t>Unaudited</w:t>
      </w:r>
    </w:p>
    <w:tbl>
      <w:tblPr>
        <w:tblW w:w="9083" w:type="dxa"/>
        <w:tblInd w:w="59" w:type="dxa"/>
        <w:tblCellMar>
          <w:left w:w="70" w:type="dxa"/>
          <w:right w:w="70" w:type="dxa"/>
        </w:tblCellMar>
        <w:tblLook w:val="04A0"/>
      </w:tblPr>
      <w:tblGrid>
        <w:gridCol w:w="5880"/>
        <w:gridCol w:w="960"/>
        <w:gridCol w:w="542"/>
        <w:gridCol w:w="1701"/>
      </w:tblGrid>
      <w:tr w:rsidR="005B23D3" w:rsidRPr="00884E98" w:rsidTr="000E2CAE">
        <w:trPr>
          <w:trHeight w:val="284"/>
        </w:trPr>
        <w:tc>
          <w:tcPr>
            <w:tcW w:w="5880"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(x EUR 1,000)</w:t>
            </w:r>
          </w:p>
        </w:tc>
        <w:tc>
          <w:tcPr>
            <w:tcW w:w="960"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2016</w:t>
            </w:r>
          </w:p>
        </w:tc>
        <w:tc>
          <w:tcPr>
            <w:tcW w:w="542"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2015</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EBITDA</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-310</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-378</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Adjustments for:</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731C20">
            <w:pPr>
              <w:ind w:firstLineChars="254" w:firstLine="508"/>
              <w:rPr>
                <w:rFonts w:ascii="Verdana" w:hAnsi="Verdana" w:cs="Calibri"/>
                <w:color w:val="000000"/>
                <w:sz w:val="20"/>
                <w:lang w:eastAsia="de-DE" w:bidi="ar-SA"/>
              </w:rPr>
            </w:pPr>
            <w:r w:rsidRPr="00884E98">
              <w:rPr>
                <w:rFonts w:ascii="Verdana" w:hAnsi="Verdana" w:cs="Calibri"/>
                <w:color w:val="000000"/>
                <w:sz w:val="20"/>
                <w:lang w:eastAsia="de-DE" w:bidi="ar-SA"/>
              </w:rPr>
              <w:t>-</w:t>
            </w:r>
            <w:r w:rsidRPr="00884E98">
              <w:rPr>
                <w:rFonts w:ascii="Verdana" w:hAnsi="Verdana"/>
                <w:color w:val="000000"/>
                <w:sz w:val="20"/>
                <w:lang w:eastAsia="de-DE" w:bidi="ar-SA"/>
              </w:rPr>
              <w:t xml:space="preserve">      </w:t>
            </w:r>
            <w:r w:rsidRPr="00884E98">
              <w:rPr>
                <w:rFonts w:ascii="Verdana" w:hAnsi="Verdana" w:cs="Calibri"/>
                <w:color w:val="000000"/>
                <w:sz w:val="20"/>
                <w:lang w:eastAsia="de-DE" w:bidi="ar-SA"/>
              </w:rPr>
              <w:t>Movements in retirement benefit obligations</w:t>
            </w:r>
          </w:p>
        </w:tc>
        <w:tc>
          <w:tcPr>
            <w:tcW w:w="960"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-76</w:t>
            </w:r>
          </w:p>
        </w:tc>
        <w:tc>
          <w:tcPr>
            <w:tcW w:w="542" w:type="dxa"/>
            <w:tcBorders>
              <w:top w:val="nil"/>
              <w:left w:val="nil"/>
              <w:bottom w:val="nil"/>
              <w:right w:val="nil"/>
            </w:tcBorders>
            <w:shd w:val="clear" w:color="auto" w:fill="auto"/>
            <w:vAlign w:val="center"/>
            <w:hideMark/>
          </w:tcPr>
          <w:p w:rsidR="005B23D3" w:rsidRPr="009551E7"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-122</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731C20">
            <w:pPr>
              <w:ind w:firstLineChars="254" w:firstLine="508"/>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r w:rsidRPr="00884E98">
              <w:rPr>
                <w:rFonts w:ascii="Verdana" w:hAnsi="Verdana"/>
                <w:color w:val="000000"/>
                <w:sz w:val="20"/>
                <w:lang w:val="de-DE" w:eastAsia="de-DE" w:bidi="ar-SA"/>
              </w:rPr>
              <w:t xml:space="preserve">      </w:t>
            </w:r>
            <w:r w:rsidRPr="00884E98">
              <w:rPr>
                <w:rFonts w:ascii="Verdana" w:hAnsi="Verdana" w:cs="Calibri"/>
                <w:color w:val="000000"/>
                <w:sz w:val="20"/>
                <w:lang w:val="de-DE" w:eastAsia="de-DE" w:bidi="ar-SA"/>
              </w:rPr>
              <w:t>Share-based payments</w:t>
            </w:r>
          </w:p>
        </w:tc>
        <w:tc>
          <w:tcPr>
            <w:tcW w:w="960"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13</w:t>
            </w:r>
          </w:p>
        </w:tc>
        <w:tc>
          <w:tcPr>
            <w:tcW w:w="542" w:type="dxa"/>
            <w:tcBorders>
              <w:top w:val="nil"/>
              <w:left w:val="nil"/>
              <w:bottom w:val="nil"/>
              <w:right w:val="nil"/>
            </w:tcBorders>
            <w:shd w:val="clear" w:color="auto" w:fill="auto"/>
            <w:vAlign w:val="center"/>
            <w:hideMark/>
          </w:tcPr>
          <w:p w:rsidR="005B23D3" w:rsidRPr="009551E7"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30</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9551E7" w:rsidRDefault="005B23D3" w:rsidP="00731C20">
            <w:pPr>
              <w:ind w:firstLineChars="254" w:firstLine="508"/>
              <w:rPr>
                <w:rFonts w:ascii="Verdana" w:hAnsi="Verdana" w:cs="Calibri"/>
                <w:color w:val="000000"/>
                <w:sz w:val="20"/>
                <w:lang w:eastAsia="de-DE" w:bidi="ar-SA"/>
              </w:rPr>
            </w:pPr>
            <w:r w:rsidRPr="009551E7">
              <w:rPr>
                <w:rFonts w:ascii="Verdana" w:hAnsi="Verdana" w:cs="Calibri"/>
                <w:color w:val="000000"/>
                <w:sz w:val="20"/>
                <w:lang w:eastAsia="de-DE" w:bidi="ar-SA"/>
              </w:rPr>
              <w:t>-</w:t>
            </w:r>
            <w:r w:rsidRPr="009551E7">
              <w:rPr>
                <w:rFonts w:ascii="Verdana" w:hAnsi="Verdana"/>
                <w:color w:val="000000"/>
                <w:sz w:val="20"/>
                <w:lang w:eastAsia="de-DE" w:bidi="ar-SA"/>
              </w:rPr>
              <w:t xml:space="preserve">      </w:t>
            </w:r>
            <w:r w:rsidRPr="009551E7">
              <w:rPr>
                <w:rFonts w:ascii="Verdana" w:hAnsi="Verdana" w:cs="Calibri"/>
                <w:color w:val="000000"/>
                <w:sz w:val="20"/>
                <w:lang w:eastAsia="de-DE" w:bidi="ar-SA"/>
              </w:rPr>
              <w:t>Accrued interest</w:t>
            </w:r>
          </w:p>
        </w:tc>
        <w:tc>
          <w:tcPr>
            <w:tcW w:w="960"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-28</w:t>
            </w:r>
          </w:p>
        </w:tc>
        <w:tc>
          <w:tcPr>
            <w:tcW w:w="542" w:type="dxa"/>
            <w:tcBorders>
              <w:top w:val="nil"/>
              <w:left w:val="nil"/>
              <w:bottom w:val="nil"/>
              <w:right w:val="nil"/>
            </w:tcBorders>
            <w:shd w:val="clear" w:color="auto" w:fill="auto"/>
            <w:vAlign w:val="center"/>
            <w:hideMark/>
          </w:tcPr>
          <w:p w:rsidR="005B23D3" w:rsidRPr="009551E7"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r w:rsidRPr="009551E7">
              <w:rPr>
                <w:rFonts w:ascii="Verdana" w:hAnsi="Verdana" w:cs="Calibri"/>
                <w:color w:val="000000"/>
                <w:sz w:val="20"/>
                <w:lang w:eastAsia="de-DE" w:bidi="ar-SA"/>
              </w:rPr>
              <w:t>–</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9551E7" w:rsidRDefault="005B23D3" w:rsidP="0064523D">
            <w:pPr>
              <w:rPr>
                <w:rFonts w:ascii="Verdana" w:hAnsi="Verdana" w:cs="Calibri"/>
                <w:color w:val="000000"/>
                <w:sz w:val="20"/>
                <w:lang w:eastAsia="de-DE" w:bidi="ar-SA"/>
              </w:rPr>
            </w:pPr>
            <w:r w:rsidRPr="009551E7">
              <w:rPr>
                <w:rFonts w:ascii="Verdana" w:hAnsi="Verdana" w:cs="Calibri"/>
                <w:color w:val="000000"/>
                <w:sz w:val="20"/>
                <w:lang w:eastAsia="de-DE" w:bidi="ar-SA"/>
              </w:rPr>
              <w:t xml:space="preserve">Changes in working capital: </w:t>
            </w:r>
          </w:p>
        </w:tc>
        <w:tc>
          <w:tcPr>
            <w:tcW w:w="960"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p>
        </w:tc>
        <w:tc>
          <w:tcPr>
            <w:tcW w:w="542" w:type="dxa"/>
            <w:tcBorders>
              <w:top w:val="nil"/>
              <w:left w:val="nil"/>
              <w:bottom w:val="nil"/>
              <w:right w:val="nil"/>
            </w:tcBorders>
            <w:shd w:val="clear" w:color="auto" w:fill="auto"/>
            <w:vAlign w:val="center"/>
            <w:hideMark/>
          </w:tcPr>
          <w:p w:rsidR="005B23D3" w:rsidRPr="009551E7"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9551E7" w:rsidRDefault="005B23D3" w:rsidP="000E2CAE">
            <w:pPr>
              <w:jc w:val="right"/>
              <w:rPr>
                <w:rFonts w:ascii="Verdana" w:hAnsi="Verdana" w:cs="Calibri"/>
                <w:color w:val="000000"/>
                <w:sz w:val="20"/>
                <w:lang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9551E7" w:rsidRDefault="005B23D3" w:rsidP="00731C20">
            <w:pPr>
              <w:ind w:firstLineChars="254" w:firstLine="508"/>
              <w:rPr>
                <w:rFonts w:ascii="Verdana" w:hAnsi="Verdana" w:cs="Calibri"/>
                <w:color w:val="000000"/>
                <w:sz w:val="20"/>
                <w:lang w:eastAsia="de-DE" w:bidi="ar-SA"/>
              </w:rPr>
            </w:pPr>
            <w:r w:rsidRPr="009551E7">
              <w:rPr>
                <w:rFonts w:ascii="Verdana" w:hAnsi="Verdana" w:cs="Calibri"/>
                <w:color w:val="000000"/>
                <w:sz w:val="20"/>
                <w:lang w:eastAsia="de-DE" w:bidi="ar-SA"/>
              </w:rPr>
              <w:t>-</w:t>
            </w:r>
            <w:r w:rsidRPr="009551E7">
              <w:rPr>
                <w:rFonts w:ascii="Verdana" w:hAnsi="Verdana"/>
                <w:color w:val="000000"/>
                <w:sz w:val="20"/>
                <w:lang w:eastAsia="de-DE" w:bidi="ar-SA"/>
              </w:rPr>
              <w:t xml:space="preserve">      </w:t>
            </w:r>
            <w:r w:rsidRPr="009551E7">
              <w:rPr>
                <w:rFonts w:ascii="Verdana" w:hAnsi="Verdana" w:cs="Calibri"/>
                <w:color w:val="000000"/>
                <w:sz w:val="20"/>
                <w:lang w:eastAsia="de-DE" w:bidi="ar-SA"/>
              </w:rPr>
              <w:t>Inventories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9551E7">
              <w:rPr>
                <w:rFonts w:ascii="Verdana" w:hAnsi="Verdana" w:cs="Calibri"/>
                <w:color w:val="000000"/>
                <w:sz w:val="20"/>
                <w:lang w:eastAsia="de-DE" w:bidi="ar-SA"/>
              </w:rPr>
              <w:t>-19</w:t>
            </w:r>
            <w:r w:rsidRPr="00884E98">
              <w:rPr>
                <w:rFonts w:ascii="Verdana" w:hAnsi="Verdana" w:cs="Calibri"/>
                <w:color w:val="000000"/>
                <w:sz w:val="20"/>
                <w:lang w:val="de-DE" w:eastAsia="de-DE" w:bidi="ar-SA"/>
              </w:rPr>
              <w:t>4</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65</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731C20">
            <w:pPr>
              <w:ind w:firstLineChars="254" w:firstLine="508"/>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r w:rsidRPr="00884E98">
              <w:rPr>
                <w:rFonts w:ascii="Verdana" w:hAnsi="Verdana"/>
                <w:color w:val="000000"/>
                <w:sz w:val="20"/>
                <w:lang w:val="de-DE" w:eastAsia="de-DE" w:bidi="ar-SA"/>
              </w:rPr>
              <w:t xml:space="preserve">      </w:t>
            </w:r>
            <w:r w:rsidRPr="00884E98">
              <w:rPr>
                <w:rFonts w:ascii="Verdana" w:hAnsi="Verdana" w:cs="Calibri"/>
                <w:color w:val="000000"/>
                <w:sz w:val="20"/>
                <w:lang w:val="de-DE" w:eastAsia="de-DE" w:bidi="ar-SA"/>
              </w:rPr>
              <w:t>Trade and other receivables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-53</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53</w:t>
            </w:r>
          </w:p>
        </w:tc>
      </w:tr>
      <w:tr w:rsidR="005B23D3" w:rsidRPr="00884E98" w:rsidTr="000E2CAE">
        <w:trPr>
          <w:trHeight w:val="284"/>
        </w:trPr>
        <w:tc>
          <w:tcPr>
            <w:tcW w:w="5880" w:type="dxa"/>
            <w:tcBorders>
              <w:top w:val="nil"/>
              <w:left w:val="nil"/>
              <w:bottom w:val="single" w:sz="8" w:space="0" w:color="auto"/>
              <w:right w:val="nil"/>
            </w:tcBorders>
            <w:shd w:val="clear" w:color="auto" w:fill="auto"/>
            <w:vAlign w:val="center"/>
            <w:hideMark/>
          </w:tcPr>
          <w:p w:rsidR="005B23D3" w:rsidRPr="00884E98" w:rsidRDefault="005B23D3" w:rsidP="00731C20">
            <w:pPr>
              <w:ind w:firstLineChars="254" w:firstLine="508"/>
              <w:rPr>
                <w:rFonts w:ascii="Verdana" w:hAnsi="Verdana" w:cs="Calibri"/>
                <w:color w:val="000000"/>
                <w:sz w:val="20"/>
                <w:lang w:eastAsia="de-DE" w:bidi="ar-SA"/>
              </w:rPr>
            </w:pPr>
            <w:r w:rsidRPr="00884E98">
              <w:rPr>
                <w:rFonts w:ascii="Verdana" w:hAnsi="Verdana" w:cs="Calibri"/>
                <w:color w:val="000000"/>
                <w:sz w:val="20"/>
                <w:lang w:eastAsia="de-DE" w:bidi="ar-SA"/>
              </w:rPr>
              <w:t>-</w:t>
            </w:r>
            <w:r w:rsidRPr="00884E98">
              <w:rPr>
                <w:rFonts w:ascii="Verdana" w:hAnsi="Verdana"/>
                <w:color w:val="000000"/>
                <w:sz w:val="20"/>
                <w:lang w:eastAsia="de-DE" w:bidi="ar-SA"/>
              </w:rPr>
              <w:t xml:space="preserve">      </w:t>
            </w:r>
            <w:r w:rsidRPr="00884E98">
              <w:rPr>
                <w:rFonts w:ascii="Verdana" w:hAnsi="Verdana" w:cs="Calibri"/>
                <w:color w:val="000000"/>
                <w:sz w:val="20"/>
                <w:lang w:eastAsia="de-DE" w:bidi="ar-SA"/>
              </w:rPr>
              <w:t>Trade and other current liabilities</w:t>
            </w:r>
          </w:p>
        </w:tc>
        <w:tc>
          <w:tcPr>
            <w:tcW w:w="960"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286</w:t>
            </w:r>
          </w:p>
        </w:tc>
        <w:tc>
          <w:tcPr>
            <w:tcW w:w="542"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-328</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Cash flow from operating activities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-362</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-680</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Interest paid</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-165</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-152</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Income taxes paid</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r>
      <w:tr w:rsidR="005B23D3" w:rsidRPr="00884E98" w:rsidTr="000E2CAE">
        <w:trPr>
          <w:trHeight w:val="284"/>
        </w:trPr>
        <w:tc>
          <w:tcPr>
            <w:tcW w:w="5880"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Net cash flow from operating activities</w:t>
            </w:r>
          </w:p>
        </w:tc>
        <w:tc>
          <w:tcPr>
            <w:tcW w:w="960"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-527</w:t>
            </w:r>
          </w:p>
        </w:tc>
        <w:tc>
          <w:tcPr>
            <w:tcW w:w="542"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-832</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Cash flow from investing activities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Investments in property, plant and equipment</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w:t>
            </w:r>
            <w:r w:rsidR="000F226B">
              <w:rPr>
                <w:rFonts w:ascii="Verdana" w:hAnsi="Verdana" w:cs="Calibri"/>
                <w:color w:val="000000"/>
                <w:sz w:val="20"/>
                <w:lang w:val="de-DE" w:eastAsia="de-DE" w:bidi="ar-SA"/>
              </w:rPr>
              <w:t>,</w:t>
            </w:r>
            <w:r w:rsidRPr="00884E98">
              <w:rPr>
                <w:rFonts w:ascii="Verdana" w:hAnsi="Verdana" w:cs="Calibri"/>
                <w:color w:val="000000"/>
                <w:sz w:val="20"/>
                <w:lang w:val="de-DE" w:eastAsia="de-DE" w:bidi="ar-SA"/>
              </w:rPr>
              <w:t>578</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-291</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 xml:space="preserve">Disposals of property, plant and equipment </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Investments in intangible assets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-225</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-435</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Net investments in financial assets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-20</w:t>
            </w:r>
          </w:p>
        </w:tc>
      </w:tr>
      <w:tr w:rsidR="005B23D3" w:rsidRPr="00884E98" w:rsidTr="000E2CAE">
        <w:trPr>
          <w:trHeight w:val="284"/>
        </w:trPr>
        <w:tc>
          <w:tcPr>
            <w:tcW w:w="5880"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Net cash flow from investing activities</w:t>
            </w:r>
          </w:p>
        </w:tc>
        <w:tc>
          <w:tcPr>
            <w:tcW w:w="960"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-1</w:t>
            </w:r>
            <w:r w:rsidR="000F226B">
              <w:rPr>
                <w:rFonts w:ascii="Verdana" w:hAnsi="Verdana" w:cs="Calibri"/>
                <w:b/>
                <w:bCs/>
                <w:color w:val="000000"/>
                <w:sz w:val="20"/>
                <w:lang w:val="de-DE" w:eastAsia="de-DE" w:bidi="ar-SA"/>
              </w:rPr>
              <w:t>,</w:t>
            </w:r>
            <w:bookmarkStart w:id="3" w:name="_GoBack"/>
            <w:bookmarkEnd w:id="3"/>
            <w:r w:rsidRPr="00884E98">
              <w:rPr>
                <w:rFonts w:ascii="Verdana" w:hAnsi="Verdana" w:cs="Calibri"/>
                <w:b/>
                <w:bCs/>
                <w:color w:val="000000"/>
                <w:sz w:val="20"/>
                <w:lang w:val="de-DE" w:eastAsia="de-DE" w:bidi="ar-SA"/>
              </w:rPr>
              <w:t>803</w:t>
            </w:r>
          </w:p>
        </w:tc>
        <w:tc>
          <w:tcPr>
            <w:tcW w:w="542"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-746</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Cash flow from financing activities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Proceeds from issuance of share capital</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1,629</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2,093</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Proceeds from borrowings</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723</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xml:space="preserve">Repayment of borrowings </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-40</w:t>
            </w:r>
          </w:p>
        </w:tc>
      </w:tr>
      <w:tr w:rsidR="005B23D3" w:rsidRPr="00884E98" w:rsidTr="000E2CAE">
        <w:trPr>
          <w:trHeight w:val="284"/>
        </w:trPr>
        <w:tc>
          <w:tcPr>
            <w:tcW w:w="5880"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eastAsia="de-DE" w:bidi="ar-SA"/>
              </w:rPr>
            </w:pPr>
            <w:r w:rsidRPr="00884E98">
              <w:rPr>
                <w:rFonts w:ascii="Verdana" w:hAnsi="Verdana" w:cs="Calibri"/>
                <w:b/>
                <w:bCs/>
                <w:color w:val="000000"/>
                <w:sz w:val="20"/>
                <w:lang w:eastAsia="de-DE" w:bidi="ar-SA"/>
              </w:rPr>
              <w:t>Net cash flow from financing activities</w:t>
            </w:r>
          </w:p>
        </w:tc>
        <w:tc>
          <w:tcPr>
            <w:tcW w:w="960"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2,352</w:t>
            </w:r>
          </w:p>
        </w:tc>
        <w:tc>
          <w:tcPr>
            <w:tcW w:w="542" w:type="dxa"/>
            <w:tcBorders>
              <w:top w:val="single" w:sz="8" w:space="0" w:color="auto"/>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701" w:type="dxa"/>
            <w:tcBorders>
              <w:top w:val="single" w:sz="8" w:space="0" w:color="auto"/>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2,053</w:t>
            </w:r>
          </w:p>
        </w:tc>
      </w:tr>
      <w:tr w:rsidR="005B23D3" w:rsidRPr="00884E98" w:rsidTr="000E2CAE">
        <w:trPr>
          <w:trHeight w:val="284"/>
        </w:trPr>
        <w:tc>
          <w:tcPr>
            <w:tcW w:w="5880"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960"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542"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r>
      <w:tr w:rsidR="005B23D3" w:rsidRPr="00884E98" w:rsidTr="000E2CAE">
        <w:trPr>
          <w:trHeight w:val="284"/>
        </w:trPr>
        <w:tc>
          <w:tcPr>
            <w:tcW w:w="5880" w:type="dxa"/>
            <w:tcBorders>
              <w:top w:val="nil"/>
              <w:left w:val="nil"/>
              <w:bottom w:val="double" w:sz="6"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Net cash flow</w:t>
            </w:r>
          </w:p>
        </w:tc>
        <w:tc>
          <w:tcPr>
            <w:tcW w:w="960" w:type="dxa"/>
            <w:tcBorders>
              <w:top w:val="nil"/>
              <w:left w:val="nil"/>
              <w:bottom w:val="double" w:sz="6"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22</w:t>
            </w:r>
          </w:p>
        </w:tc>
        <w:tc>
          <w:tcPr>
            <w:tcW w:w="542" w:type="dxa"/>
            <w:tcBorders>
              <w:top w:val="nil"/>
              <w:left w:val="nil"/>
              <w:bottom w:val="double" w:sz="6" w:space="0" w:color="auto"/>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701" w:type="dxa"/>
            <w:tcBorders>
              <w:top w:val="nil"/>
              <w:left w:val="nil"/>
              <w:bottom w:val="double" w:sz="6"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475</w:t>
            </w: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p>
        </w:tc>
      </w:tr>
      <w:tr w:rsidR="005B23D3" w:rsidRPr="00884E98" w:rsidTr="000E2CAE">
        <w:trPr>
          <w:trHeight w:val="284"/>
        </w:trPr>
        <w:tc>
          <w:tcPr>
            <w:tcW w:w="5880"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Cash -/- bank overdrafts at beginning of period</w:t>
            </w:r>
          </w:p>
        </w:tc>
        <w:tc>
          <w:tcPr>
            <w:tcW w:w="960"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667</w:t>
            </w:r>
          </w:p>
        </w:tc>
        <w:tc>
          <w:tcPr>
            <w:tcW w:w="542" w:type="dxa"/>
            <w:tcBorders>
              <w:top w:val="nil"/>
              <w:left w:val="nil"/>
              <w:bottom w:val="nil"/>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p>
        </w:tc>
        <w:tc>
          <w:tcPr>
            <w:tcW w:w="1701" w:type="dxa"/>
            <w:tcBorders>
              <w:top w:val="nil"/>
              <w:left w:val="nil"/>
              <w:bottom w:val="nil"/>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192</w:t>
            </w:r>
          </w:p>
        </w:tc>
      </w:tr>
      <w:tr w:rsidR="005B23D3" w:rsidRPr="00884E98" w:rsidTr="000E2CAE">
        <w:trPr>
          <w:trHeight w:val="284"/>
        </w:trPr>
        <w:tc>
          <w:tcPr>
            <w:tcW w:w="5880"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color w:val="000000"/>
                <w:sz w:val="20"/>
                <w:lang w:eastAsia="de-DE" w:bidi="ar-SA"/>
              </w:rPr>
            </w:pPr>
            <w:r w:rsidRPr="00884E98">
              <w:rPr>
                <w:rFonts w:ascii="Verdana" w:hAnsi="Verdana" w:cs="Calibri"/>
                <w:color w:val="000000"/>
                <w:sz w:val="20"/>
                <w:lang w:eastAsia="de-DE" w:bidi="ar-SA"/>
              </w:rPr>
              <w:t>Cash -/- bank overdrafts at end of period</w:t>
            </w:r>
          </w:p>
        </w:tc>
        <w:tc>
          <w:tcPr>
            <w:tcW w:w="960"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689</w:t>
            </w:r>
          </w:p>
        </w:tc>
        <w:tc>
          <w:tcPr>
            <w:tcW w:w="542" w:type="dxa"/>
            <w:tcBorders>
              <w:top w:val="nil"/>
              <w:left w:val="nil"/>
              <w:bottom w:val="single" w:sz="8" w:space="0" w:color="auto"/>
              <w:right w:val="nil"/>
            </w:tcBorders>
            <w:shd w:val="clear" w:color="auto" w:fill="auto"/>
            <w:vAlign w:val="center"/>
            <w:hideMark/>
          </w:tcPr>
          <w:p w:rsidR="005B23D3" w:rsidRPr="00884E98" w:rsidRDefault="005B23D3" w:rsidP="0064523D">
            <w:pPr>
              <w:rPr>
                <w:rFonts w:ascii="Verdana" w:hAnsi="Verdana" w:cs="Calibri"/>
                <w:color w:val="000000"/>
                <w:sz w:val="20"/>
                <w:lang w:val="de-DE" w:eastAsia="de-DE" w:bidi="ar-SA"/>
              </w:rPr>
            </w:pPr>
            <w:r w:rsidRPr="00884E98">
              <w:rPr>
                <w:rFonts w:ascii="Verdana" w:hAnsi="Verdana" w:cs="Calibri"/>
                <w:color w:val="000000"/>
                <w:sz w:val="20"/>
                <w:lang w:val="de-DE" w:eastAsia="de-DE" w:bidi="ar-SA"/>
              </w:rPr>
              <w:t> </w:t>
            </w:r>
          </w:p>
        </w:tc>
        <w:tc>
          <w:tcPr>
            <w:tcW w:w="1701" w:type="dxa"/>
            <w:tcBorders>
              <w:top w:val="nil"/>
              <w:left w:val="nil"/>
              <w:bottom w:val="single" w:sz="8" w:space="0" w:color="auto"/>
              <w:right w:val="nil"/>
            </w:tcBorders>
            <w:shd w:val="clear" w:color="auto" w:fill="auto"/>
            <w:vAlign w:val="center"/>
            <w:hideMark/>
          </w:tcPr>
          <w:p w:rsidR="005B23D3" w:rsidRPr="00884E98" w:rsidRDefault="005B23D3" w:rsidP="000E2CAE">
            <w:pPr>
              <w:jc w:val="right"/>
              <w:rPr>
                <w:rFonts w:ascii="Verdana" w:hAnsi="Verdana" w:cs="Calibri"/>
                <w:color w:val="000000"/>
                <w:sz w:val="20"/>
                <w:lang w:val="de-DE" w:eastAsia="de-DE" w:bidi="ar-SA"/>
              </w:rPr>
            </w:pPr>
            <w:r w:rsidRPr="00884E98">
              <w:rPr>
                <w:rFonts w:ascii="Verdana" w:hAnsi="Verdana" w:cs="Calibri"/>
                <w:color w:val="000000"/>
                <w:sz w:val="20"/>
                <w:lang w:val="de-DE" w:eastAsia="de-DE" w:bidi="ar-SA"/>
              </w:rPr>
              <w:t>667</w:t>
            </w:r>
          </w:p>
        </w:tc>
      </w:tr>
      <w:tr w:rsidR="005B23D3" w:rsidRPr="00884E98" w:rsidTr="000E2CAE">
        <w:trPr>
          <w:trHeight w:val="284"/>
        </w:trPr>
        <w:tc>
          <w:tcPr>
            <w:tcW w:w="5880" w:type="dxa"/>
            <w:tcBorders>
              <w:top w:val="nil"/>
              <w:left w:val="nil"/>
              <w:bottom w:val="double" w:sz="6"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Net cash flow</w:t>
            </w:r>
          </w:p>
        </w:tc>
        <w:tc>
          <w:tcPr>
            <w:tcW w:w="960" w:type="dxa"/>
            <w:tcBorders>
              <w:top w:val="nil"/>
              <w:left w:val="nil"/>
              <w:bottom w:val="double" w:sz="6"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22</w:t>
            </w:r>
          </w:p>
        </w:tc>
        <w:tc>
          <w:tcPr>
            <w:tcW w:w="542" w:type="dxa"/>
            <w:tcBorders>
              <w:top w:val="nil"/>
              <w:left w:val="nil"/>
              <w:bottom w:val="double" w:sz="6" w:space="0" w:color="auto"/>
              <w:right w:val="nil"/>
            </w:tcBorders>
            <w:shd w:val="clear" w:color="auto" w:fill="auto"/>
            <w:vAlign w:val="center"/>
            <w:hideMark/>
          </w:tcPr>
          <w:p w:rsidR="005B23D3" w:rsidRPr="00884E98" w:rsidRDefault="005B23D3" w:rsidP="0064523D">
            <w:pPr>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 </w:t>
            </w:r>
          </w:p>
        </w:tc>
        <w:tc>
          <w:tcPr>
            <w:tcW w:w="1701" w:type="dxa"/>
            <w:tcBorders>
              <w:top w:val="nil"/>
              <w:left w:val="nil"/>
              <w:bottom w:val="double" w:sz="6" w:space="0" w:color="auto"/>
              <w:right w:val="nil"/>
            </w:tcBorders>
            <w:shd w:val="clear" w:color="auto" w:fill="auto"/>
            <w:vAlign w:val="center"/>
            <w:hideMark/>
          </w:tcPr>
          <w:p w:rsidR="005B23D3" w:rsidRPr="00884E98" w:rsidRDefault="005B23D3" w:rsidP="000E2CAE">
            <w:pPr>
              <w:jc w:val="right"/>
              <w:rPr>
                <w:rFonts w:ascii="Verdana" w:hAnsi="Verdana" w:cs="Calibri"/>
                <w:b/>
                <w:bCs/>
                <w:color w:val="000000"/>
                <w:sz w:val="20"/>
                <w:lang w:val="de-DE" w:eastAsia="de-DE" w:bidi="ar-SA"/>
              </w:rPr>
            </w:pPr>
            <w:r w:rsidRPr="00884E98">
              <w:rPr>
                <w:rFonts w:ascii="Verdana" w:hAnsi="Verdana" w:cs="Calibri"/>
                <w:b/>
                <w:bCs/>
                <w:color w:val="000000"/>
                <w:sz w:val="20"/>
                <w:lang w:val="de-DE" w:eastAsia="de-DE" w:bidi="ar-SA"/>
              </w:rPr>
              <w:t>475</w:t>
            </w:r>
          </w:p>
        </w:tc>
      </w:tr>
    </w:tbl>
    <w:p w:rsidR="005B23D3" w:rsidRPr="00884E98" w:rsidRDefault="005B23D3" w:rsidP="0064523D">
      <w:pPr>
        <w:spacing w:after="200" w:line="276" w:lineRule="auto"/>
        <w:rPr>
          <w:rFonts w:ascii="Verdana" w:hAnsi="Verdana"/>
          <w:b/>
          <w:sz w:val="20"/>
          <w:highlight w:val="yellow"/>
        </w:rPr>
      </w:pPr>
    </w:p>
    <w:p w:rsidR="00FC581C" w:rsidRPr="00884E98" w:rsidRDefault="00FC581C" w:rsidP="0064523D">
      <w:pPr>
        <w:spacing w:after="200" w:line="276" w:lineRule="auto"/>
        <w:rPr>
          <w:rFonts w:ascii="Verdana" w:hAnsi="Verdana"/>
          <w:b/>
          <w:sz w:val="20"/>
          <w:highlight w:val="yellow"/>
        </w:rPr>
      </w:pPr>
      <w:r w:rsidRPr="00884E98">
        <w:rPr>
          <w:rFonts w:ascii="Verdana" w:hAnsi="Verdana"/>
          <w:b/>
          <w:sz w:val="20"/>
          <w:highlight w:val="yellow"/>
        </w:rPr>
        <w:br w:type="page"/>
      </w:r>
    </w:p>
    <w:p w:rsidR="002F4A7C" w:rsidRPr="00884E98" w:rsidRDefault="002F4A7C" w:rsidP="0064523D">
      <w:pPr>
        <w:spacing w:after="200" w:line="276" w:lineRule="auto"/>
        <w:rPr>
          <w:rFonts w:ascii="Verdana" w:hAnsi="Verdana"/>
          <w:b/>
          <w:color w:val="B71234"/>
          <w:sz w:val="20"/>
        </w:rPr>
      </w:pPr>
      <w:r w:rsidRPr="00884E98">
        <w:rPr>
          <w:rFonts w:ascii="Verdana" w:hAnsi="Verdana"/>
          <w:b/>
          <w:color w:val="B71234"/>
          <w:sz w:val="20"/>
        </w:rPr>
        <w:lastRenderedPageBreak/>
        <w:t>Accounting policies used in the preparation of the annual accounts</w:t>
      </w:r>
    </w:p>
    <w:p w:rsidR="00B97259" w:rsidRPr="00884E98" w:rsidRDefault="00B97259" w:rsidP="0064523D">
      <w:pPr>
        <w:spacing w:line="276" w:lineRule="auto"/>
        <w:rPr>
          <w:rFonts w:ascii="Verdana" w:hAnsi="Verdana"/>
          <w:sz w:val="20"/>
        </w:rPr>
      </w:pPr>
      <w:proofErr w:type="spellStart"/>
      <w:r w:rsidRPr="00884E98">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N.V.’s annual accounts for the financial year 201</w:t>
      </w:r>
      <w:r w:rsidR="004B21E8">
        <w:rPr>
          <w:rFonts w:ascii="Verdana" w:hAnsi="Verdana"/>
          <w:sz w:val="20"/>
        </w:rPr>
        <w:t>6</w:t>
      </w:r>
      <w:r w:rsidRPr="00884E98">
        <w:rPr>
          <w:rFonts w:ascii="Verdana" w:hAnsi="Verdana"/>
          <w:sz w:val="20"/>
        </w:rPr>
        <w:t xml:space="preserve"> contain an overview of the applied accounting policies for financial reporting. The principles laid out in this overview are in accordance with the standards laid down by the International Accounting Standards Board (IASB) and approved by the European Commission, as applicable on 31 December 201</w:t>
      </w:r>
      <w:r w:rsidR="004B21E8">
        <w:rPr>
          <w:rFonts w:ascii="Verdana" w:hAnsi="Verdana"/>
          <w:sz w:val="20"/>
        </w:rPr>
        <w:t>6</w:t>
      </w:r>
      <w:r w:rsidRPr="00884E98">
        <w:rPr>
          <w:rFonts w:ascii="Verdana" w:hAnsi="Verdana"/>
          <w:sz w:val="20"/>
        </w:rPr>
        <w:t>. The accounting policies have been applied consistently to the periods presented i</w:t>
      </w:r>
      <w:r w:rsidR="005B23D3" w:rsidRPr="00884E98">
        <w:rPr>
          <w:rFonts w:ascii="Verdana" w:hAnsi="Verdana"/>
          <w:sz w:val="20"/>
        </w:rPr>
        <w:t>n this press release.</w:t>
      </w:r>
    </w:p>
    <w:p w:rsidR="00B97259" w:rsidRPr="00884E98" w:rsidRDefault="00B97259" w:rsidP="0064523D">
      <w:pPr>
        <w:spacing w:line="276" w:lineRule="auto"/>
        <w:rPr>
          <w:rFonts w:ascii="Verdana" w:hAnsi="Verdana"/>
          <w:sz w:val="20"/>
        </w:rPr>
      </w:pPr>
    </w:p>
    <w:p w:rsidR="00B97259" w:rsidRPr="00884E98" w:rsidRDefault="00B97259" w:rsidP="0064523D">
      <w:pPr>
        <w:spacing w:line="276" w:lineRule="auto"/>
        <w:rPr>
          <w:rFonts w:ascii="Verdana" w:hAnsi="Verdana"/>
          <w:sz w:val="20"/>
          <w:highlight w:val="yellow"/>
        </w:rPr>
      </w:pPr>
      <w:proofErr w:type="spellStart"/>
      <w:r w:rsidRPr="00884E98">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N.V. has applied all the new and amended standards and interpretations applicable to the year under review, which have been laid down by the IASB and approved by the European Commission and which were in force for the period beginning 1 January 201</w:t>
      </w:r>
      <w:r w:rsidR="004B21E8">
        <w:rPr>
          <w:rFonts w:ascii="Verdana" w:hAnsi="Verdana"/>
          <w:sz w:val="20"/>
        </w:rPr>
        <w:t>6</w:t>
      </w:r>
      <w:r w:rsidRPr="00884E98">
        <w:rPr>
          <w:rFonts w:ascii="Verdana" w:hAnsi="Verdana"/>
          <w:sz w:val="20"/>
        </w:rPr>
        <w:t>. None of these standards had a material effect on the Group’s financial statements.</w:t>
      </w:r>
    </w:p>
    <w:p w:rsidR="002F4A7C" w:rsidRPr="00884E98" w:rsidRDefault="002F4A7C" w:rsidP="0064523D">
      <w:pPr>
        <w:spacing w:line="276" w:lineRule="auto"/>
        <w:rPr>
          <w:rFonts w:ascii="Verdana" w:hAnsi="Verdana"/>
          <w:sz w:val="20"/>
        </w:rPr>
      </w:pPr>
    </w:p>
    <w:p w:rsidR="004F7FB4" w:rsidRPr="00884E98" w:rsidRDefault="004F7FB4" w:rsidP="0064523D">
      <w:pPr>
        <w:spacing w:line="276" w:lineRule="auto"/>
        <w:rPr>
          <w:rFonts w:ascii="Verdana" w:hAnsi="Verdana"/>
          <w:sz w:val="20"/>
        </w:rPr>
      </w:pPr>
    </w:p>
    <w:p w:rsidR="004F7FB4" w:rsidRPr="00884E98" w:rsidRDefault="004F7FB4" w:rsidP="0064523D">
      <w:pPr>
        <w:spacing w:after="200" w:line="276" w:lineRule="auto"/>
        <w:rPr>
          <w:rFonts w:ascii="Verdana" w:hAnsi="Verdana"/>
          <w:b/>
          <w:color w:val="B71234"/>
          <w:sz w:val="20"/>
        </w:rPr>
      </w:pPr>
      <w:r w:rsidRPr="00884E98">
        <w:rPr>
          <w:rFonts w:ascii="Verdana" w:hAnsi="Verdana"/>
          <w:b/>
          <w:color w:val="B71234"/>
          <w:sz w:val="20"/>
        </w:rPr>
        <w:t>Other</w:t>
      </w:r>
    </w:p>
    <w:p w:rsidR="004F7FB4" w:rsidRPr="00884E98" w:rsidRDefault="004F7FB4" w:rsidP="0064523D">
      <w:pPr>
        <w:spacing w:line="276" w:lineRule="auto"/>
        <w:rPr>
          <w:rFonts w:ascii="Verdana" w:hAnsi="Verdana"/>
          <w:sz w:val="20"/>
        </w:rPr>
      </w:pPr>
      <w:r w:rsidRPr="00884E98">
        <w:rPr>
          <w:rFonts w:ascii="Verdana" w:hAnsi="Verdana"/>
          <w:sz w:val="20"/>
        </w:rPr>
        <w:t xml:space="preserve">The condensed financial information presented in this press release </w:t>
      </w:r>
      <w:proofErr w:type="gramStart"/>
      <w:r w:rsidRPr="00884E98">
        <w:rPr>
          <w:rFonts w:ascii="Verdana" w:hAnsi="Verdana"/>
          <w:sz w:val="20"/>
        </w:rPr>
        <w:t>have</w:t>
      </w:r>
      <w:proofErr w:type="gramEnd"/>
      <w:r w:rsidRPr="00884E98">
        <w:rPr>
          <w:rFonts w:ascii="Verdana" w:hAnsi="Verdana"/>
          <w:sz w:val="20"/>
        </w:rPr>
        <w:t xml:space="preserve"> not been audited. For the insight required to arrive at a responsible opinion concerning the financi</w:t>
      </w:r>
      <w:r w:rsidR="00BA34C9" w:rsidRPr="00884E98">
        <w:rPr>
          <w:rFonts w:ascii="Verdana" w:hAnsi="Verdana"/>
          <w:sz w:val="20"/>
        </w:rPr>
        <w:t xml:space="preserve">al position and the results of </w:t>
      </w:r>
      <w:r w:rsidRPr="00884E98">
        <w:rPr>
          <w:rFonts w:ascii="Verdana" w:hAnsi="Verdana"/>
          <w:sz w:val="20"/>
        </w:rPr>
        <w:t>the company, this press release should be read in combinati</w:t>
      </w:r>
      <w:r w:rsidR="005B23D3" w:rsidRPr="00884E98">
        <w:rPr>
          <w:rFonts w:ascii="Verdana" w:hAnsi="Verdana"/>
          <w:sz w:val="20"/>
        </w:rPr>
        <w:t>on with the annual accounts.</w:t>
      </w:r>
    </w:p>
    <w:p w:rsidR="004F7FB4" w:rsidRPr="00884E98" w:rsidRDefault="004F7FB4" w:rsidP="0064523D">
      <w:pPr>
        <w:spacing w:line="276" w:lineRule="auto"/>
        <w:rPr>
          <w:rFonts w:ascii="Verdana" w:hAnsi="Verdana"/>
          <w:sz w:val="20"/>
        </w:rPr>
      </w:pPr>
    </w:p>
    <w:p w:rsidR="004F7FB4" w:rsidRPr="00884E98" w:rsidRDefault="004F7FB4" w:rsidP="0064523D">
      <w:pPr>
        <w:spacing w:line="276" w:lineRule="auto"/>
        <w:rPr>
          <w:rFonts w:ascii="Verdana" w:hAnsi="Verdana"/>
          <w:sz w:val="20"/>
        </w:rPr>
      </w:pPr>
      <w:proofErr w:type="spellStart"/>
      <w:r w:rsidRPr="00884E98">
        <w:rPr>
          <w:rFonts w:ascii="Verdana" w:hAnsi="Verdana"/>
          <w:color w:val="C00000"/>
          <w:sz w:val="20"/>
        </w:rPr>
        <w:t>Rood</w:t>
      </w:r>
      <w:r w:rsidRPr="00884E98">
        <w:rPr>
          <w:rFonts w:ascii="Verdana" w:hAnsi="Verdana"/>
          <w:sz w:val="20"/>
        </w:rPr>
        <w:t>Microtec</w:t>
      </w:r>
      <w:proofErr w:type="spellEnd"/>
      <w:r w:rsidRPr="00884E98">
        <w:rPr>
          <w:rFonts w:ascii="Verdana" w:hAnsi="Verdana"/>
          <w:sz w:val="20"/>
        </w:rPr>
        <w:t xml:space="preserve"> N.V. will publish </w:t>
      </w:r>
      <w:r w:rsidR="00A0371C" w:rsidRPr="00884E98">
        <w:rPr>
          <w:rFonts w:ascii="Verdana" w:hAnsi="Verdana"/>
          <w:sz w:val="20"/>
        </w:rPr>
        <w:t>its annual report 2016 on 27</w:t>
      </w:r>
      <w:r w:rsidRPr="00884E98">
        <w:rPr>
          <w:rFonts w:ascii="Verdana" w:hAnsi="Verdana"/>
          <w:sz w:val="20"/>
        </w:rPr>
        <w:t xml:space="preserve"> April</w:t>
      </w:r>
      <w:r w:rsidR="00A0371C" w:rsidRPr="00884E98">
        <w:rPr>
          <w:rFonts w:ascii="Verdana" w:hAnsi="Verdana"/>
          <w:sz w:val="20"/>
        </w:rPr>
        <w:t xml:space="preserve"> 2017. The annual accounts 2016</w:t>
      </w:r>
      <w:r w:rsidRPr="00884E98">
        <w:rPr>
          <w:rFonts w:ascii="Verdana" w:hAnsi="Verdana"/>
          <w:sz w:val="20"/>
        </w:rPr>
        <w:t xml:space="preserve"> will be submitted to the General Meeting of Shareholders for adopt</w:t>
      </w:r>
      <w:r w:rsidR="00A0371C" w:rsidRPr="00884E98">
        <w:rPr>
          <w:rFonts w:ascii="Verdana" w:hAnsi="Verdana"/>
          <w:sz w:val="20"/>
        </w:rPr>
        <w:t xml:space="preserve">ion on </w:t>
      </w:r>
      <w:r w:rsidR="005B23D3" w:rsidRPr="00884E98">
        <w:rPr>
          <w:rFonts w:ascii="Verdana" w:hAnsi="Verdana"/>
          <w:sz w:val="20"/>
        </w:rPr>
        <w:t>8</w:t>
      </w:r>
      <w:r w:rsidR="00A0371C" w:rsidRPr="00884E98">
        <w:rPr>
          <w:rFonts w:ascii="Verdana" w:hAnsi="Verdana"/>
          <w:sz w:val="20"/>
        </w:rPr>
        <w:t xml:space="preserve"> June 2017</w:t>
      </w:r>
      <w:r w:rsidR="005B23D3" w:rsidRPr="00884E98">
        <w:rPr>
          <w:rFonts w:ascii="Verdana" w:hAnsi="Verdana"/>
          <w:sz w:val="20"/>
        </w:rPr>
        <w:t>.</w:t>
      </w:r>
    </w:p>
    <w:p w:rsidR="004F7FB4" w:rsidRPr="00884E98" w:rsidRDefault="004F7FB4" w:rsidP="0064523D">
      <w:pPr>
        <w:spacing w:line="276" w:lineRule="auto"/>
        <w:rPr>
          <w:rFonts w:ascii="Verdana" w:hAnsi="Verdana"/>
          <w:sz w:val="20"/>
        </w:rPr>
      </w:pPr>
    </w:p>
    <w:sectPr w:rsidR="004F7FB4" w:rsidRPr="00884E98" w:rsidSect="00C9486C">
      <w:headerReference w:type="default" r:id="rId12"/>
      <w:footerReference w:type="default" r:id="rId13"/>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F46" w:rsidRDefault="004E0F46" w:rsidP="00C9486C">
      <w:r>
        <w:separator/>
      </w:r>
    </w:p>
  </w:endnote>
  <w:endnote w:type="continuationSeparator" w:id="0">
    <w:p w:rsidR="004E0F46" w:rsidRDefault="004E0F46"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ilom">
    <w:charset w:val="DE"/>
    <w:family w:val="auto"/>
    <w:pitch w:val="variable"/>
    <w:sig w:usb0="A10000FF" w:usb1="5000205A" w:usb2="00000020" w:usb3="00000000" w:csb0="0001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46" w:rsidRPr="008C1A6B" w:rsidRDefault="004E0F46" w:rsidP="00C9486C">
    <w:pPr>
      <w:pStyle w:val="Fuzeile"/>
      <w:pBdr>
        <w:top w:val="single" w:sz="12" w:space="0" w:color="B71234"/>
      </w:pBdr>
      <w:tabs>
        <w:tab w:val="clear" w:pos="9072"/>
        <w:tab w:val="right" w:pos="9639"/>
      </w:tabs>
      <w:rPr>
        <w:rStyle w:val="Seitenzahl"/>
        <w:rFonts w:ascii="Verdana" w:hAnsi="Verdana"/>
        <w:sz w:val="16"/>
        <w:szCs w:val="16"/>
      </w:rPr>
    </w:pPr>
  </w:p>
  <w:p w:rsidR="004E0F46" w:rsidRPr="00321380" w:rsidRDefault="00F125DF"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4E0F46" w:rsidRPr="008C1A6B">
      <w:rPr>
        <w:rStyle w:val="Seitenzahl"/>
        <w:sz w:val="16"/>
        <w:szCs w:val="16"/>
      </w:rPr>
      <w:instrText xml:space="preserve"> PAGE </w:instrText>
    </w:r>
    <w:r w:rsidRPr="008C1A6B">
      <w:rPr>
        <w:rStyle w:val="Seitenzahl"/>
        <w:sz w:val="16"/>
        <w:szCs w:val="16"/>
      </w:rPr>
      <w:fldChar w:fldCharType="separate"/>
    </w:r>
    <w:r w:rsidR="00D744D5">
      <w:rPr>
        <w:rStyle w:val="Seitenzahl"/>
        <w:noProof/>
        <w:sz w:val="16"/>
        <w:szCs w:val="16"/>
      </w:rPr>
      <w:t>11</w:t>
    </w:r>
    <w:r w:rsidRPr="008C1A6B">
      <w:rPr>
        <w:rStyle w:val="Seitenzahl"/>
        <w:sz w:val="16"/>
        <w:szCs w:val="16"/>
      </w:rPr>
      <w:fldChar w:fldCharType="end"/>
    </w:r>
    <w:r w:rsidR="004E0F46">
      <w:rPr>
        <w:rStyle w:val="Seitenzahl"/>
        <w:sz w:val="16"/>
      </w:rPr>
      <w:t xml:space="preserve"> / </w:t>
    </w:r>
    <w:r w:rsidRPr="008C1A6B">
      <w:rPr>
        <w:rStyle w:val="Seitenzahl"/>
        <w:sz w:val="16"/>
        <w:szCs w:val="16"/>
      </w:rPr>
      <w:fldChar w:fldCharType="begin"/>
    </w:r>
    <w:r w:rsidR="004E0F46" w:rsidRPr="008C1A6B">
      <w:rPr>
        <w:rStyle w:val="Seitenzahl"/>
        <w:sz w:val="16"/>
        <w:szCs w:val="16"/>
      </w:rPr>
      <w:instrText xml:space="preserve"> NUMPAGES </w:instrText>
    </w:r>
    <w:r w:rsidRPr="008C1A6B">
      <w:rPr>
        <w:rStyle w:val="Seitenzahl"/>
        <w:sz w:val="16"/>
        <w:szCs w:val="16"/>
      </w:rPr>
      <w:fldChar w:fldCharType="separate"/>
    </w:r>
    <w:r w:rsidR="00D744D5">
      <w:rPr>
        <w:rStyle w:val="Seitenzahl"/>
        <w:noProof/>
        <w:sz w:val="16"/>
        <w:szCs w:val="16"/>
      </w:rPr>
      <w:t>11</w:t>
    </w:r>
    <w:r w:rsidRPr="008C1A6B">
      <w:rPr>
        <w:rStyle w:val="Seitenzahl"/>
        <w:sz w:val="16"/>
        <w:szCs w:val="16"/>
      </w:rPr>
      <w:fldChar w:fldCharType="end"/>
    </w:r>
    <w:r w:rsidR="004E0F46">
      <w:tab/>
    </w:r>
    <w:proofErr w:type="spellStart"/>
    <w:r w:rsidR="004E0F46" w:rsidRPr="00282285">
      <w:rPr>
        <w:rFonts w:eastAsiaTheme="minorHAnsi"/>
        <w:color w:val="C00000"/>
        <w:sz w:val="16"/>
      </w:rPr>
      <w:t>Rood</w:t>
    </w:r>
    <w:r w:rsidR="004E0F46">
      <w:rPr>
        <w:rFonts w:eastAsiaTheme="minorHAnsi"/>
        <w:color w:val="1A1A1A"/>
        <w:sz w:val="16"/>
      </w:rPr>
      <w:t>Microtec</w:t>
    </w:r>
    <w:proofErr w:type="spellEnd"/>
    <w:r w:rsidR="004E0F46">
      <w:rPr>
        <w:rFonts w:eastAsiaTheme="minorHAnsi"/>
        <w:color w:val="1A1A1A"/>
        <w:sz w:val="16"/>
      </w:rPr>
      <w:t xml:space="preserve"> N.V. – Unaudited annual figures 2016</w:t>
    </w:r>
    <w:r w:rsidR="004E0F46">
      <w:tab/>
    </w:r>
    <w:r w:rsidR="004E0F46">
      <w:rPr>
        <w:color w:val="B71234"/>
        <w:sz w:val="16"/>
      </w:rPr>
      <w:t xml:space="preserve">… certified by </w:t>
    </w:r>
    <w:proofErr w:type="spellStart"/>
    <w:r w:rsidR="004E0F46">
      <w:rPr>
        <w:color w:val="B71234"/>
        <w:sz w:val="16"/>
      </w:rPr>
      <w:t>Rood</w:t>
    </w:r>
    <w:r w:rsidR="004E0F46">
      <w:rPr>
        <w:sz w:val="16"/>
      </w:rPr>
      <w:t>Microtec</w:t>
    </w:r>
    <w:proofErr w:type="spellEnd"/>
    <w:r w:rsidR="004E0F46">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F46" w:rsidRDefault="004E0F46" w:rsidP="00C9486C">
      <w:r>
        <w:separator/>
      </w:r>
    </w:p>
  </w:footnote>
  <w:footnote w:type="continuationSeparator" w:id="0">
    <w:p w:rsidR="004E0F46" w:rsidRDefault="004E0F46"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46" w:rsidRDefault="004E0F46" w:rsidP="00C9486C">
    <w:pPr>
      <w:pStyle w:val="Kopfzeile"/>
      <w:tabs>
        <w:tab w:val="clear" w:pos="9072"/>
        <w:tab w:val="right" w:pos="9639"/>
      </w:tabs>
      <w:rPr>
        <w:rFonts w:ascii="Verdana" w:hAnsi="Verdana"/>
      </w:rPr>
    </w:pPr>
  </w:p>
  <w:p w:rsidR="004E0F46" w:rsidRDefault="004E0F46" w:rsidP="00C9486C">
    <w:pPr>
      <w:pStyle w:val="Kopfzeile"/>
      <w:tabs>
        <w:tab w:val="clear" w:pos="9072"/>
        <w:tab w:val="right" w:pos="9639"/>
      </w:tabs>
      <w:rPr>
        <w:rFonts w:ascii="Verdana" w:hAnsi="Verdana"/>
      </w:rPr>
    </w:pPr>
  </w:p>
  <w:p w:rsidR="004E0F46" w:rsidRDefault="004E0F46" w:rsidP="00C9486C">
    <w:pPr>
      <w:pStyle w:val="Kopfzeile"/>
      <w:tabs>
        <w:tab w:val="clear" w:pos="9072"/>
        <w:tab w:val="right" w:pos="9639"/>
      </w:tabs>
      <w:rPr>
        <w:rFonts w:ascii="Verdana" w:hAnsi="Verdana"/>
      </w:rPr>
    </w:pPr>
  </w:p>
  <w:p w:rsidR="004E0F46" w:rsidRDefault="004E0F46" w:rsidP="00C9486C">
    <w:pPr>
      <w:pStyle w:val="Kopfzeile"/>
      <w:tabs>
        <w:tab w:val="clear" w:pos="9072"/>
        <w:tab w:val="right" w:pos="9639"/>
      </w:tabs>
      <w:rPr>
        <w:rFonts w:ascii="Verdana" w:hAnsi="Verdana"/>
      </w:rPr>
    </w:pPr>
  </w:p>
  <w:p w:rsidR="004E0F46" w:rsidRDefault="004E0F46" w:rsidP="00C9486C">
    <w:pPr>
      <w:pStyle w:val="Kopfzeile"/>
      <w:tabs>
        <w:tab w:val="clear" w:pos="9072"/>
        <w:tab w:val="right" w:pos="9639"/>
      </w:tabs>
      <w:rPr>
        <w:rFonts w:ascii="Verdana" w:hAnsi="Verdana"/>
      </w:rPr>
    </w:pPr>
  </w:p>
  <w:p w:rsidR="004E0F46" w:rsidRPr="007272B9" w:rsidRDefault="004E0F46"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1554480</wp:posOffset>
          </wp:positionH>
          <wp:positionV relativeFrom="page">
            <wp:posOffset>228600</wp:posOffset>
          </wp:positionV>
          <wp:extent cx="2758440" cy="1185545"/>
          <wp:effectExtent l="19050" t="0" r="381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58440" cy="1185545"/>
                  </a:xfrm>
                  <a:prstGeom prst="rect">
                    <a:avLst/>
                  </a:prstGeom>
                  <a:noFill/>
                  <a:ln w="9525">
                    <a:noFill/>
                    <a:miter lim="800000"/>
                    <a:headEnd/>
                    <a:tailEnd/>
                  </a:ln>
                </pic:spPr>
              </pic:pic>
            </a:graphicData>
          </a:graphic>
        </wp:anchor>
      </w:drawing>
    </w:r>
  </w:p>
  <w:p w:rsidR="004E0F46" w:rsidRPr="007272B9" w:rsidRDefault="004E0F46" w:rsidP="004E5D8E">
    <w:pPr>
      <w:pStyle w:val="Kopfzeile"/>
      <w:pBdr>
        <w:top w:val="single" w:sz="12" w:space="0" w:color="B71234"/>
      </w:pBdr>
      <w:tabs>
        <w:tab w:val="clear" w:pos="9072"/>
        <w:tab w:val="right" w:pos="9639"/>
      </w:tabs>
      <w:rPr>
        <w:rFonts w:ascii="Verdana" w:hAnsi="Verdana"/>
      </w:rPr>
    </w:pPr>
  </w:p>
  <w:p w:rsidR="004E0F46" w:rsidRPr="007272B9" w:rsidRDefault="004E0F46"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0F7"/>
    <w:multiLevelType w:val="hybridMultilevel"/>
    <w:tmpl w:val="E3D4C204"/>
    <w:lvl w:ilvl="0" w:tplc="867A92BC">
      <w:start w:val="2015"/>
      <w:numFmt w:val="bullet"/>
      <w:lvlText w:val="-"/>
      <w:lvlJc w:val="left"/>
      <w:pPr>
        <w:ind w:left="720" w:hanging="360"/>
      </w:pPr>
      <w:rPr>
        <w:rFonts w:ascii="Verdana" w:eastAsia="Times New Roman" w:hAnsi="Verdana" w:cs="Silo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7465DB"/>
    <w:multiLevelType w:val="hybridMultilevel"/>
    <w:tmpl w:val="B6ECFF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C01568"/>
    <w:multiLevelType w:val="hybridMultilevel"/>
    <w:tmpl w:val="CF3A78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A3BAD"/>
    <w:multiLevelType w:val="hybridMultilevel"/>
    <w:tmpl w:val="5E0AFC12"/>
    <w:lvl w:ilvl="0" w:tplc="F21EF6E0">
      <w:start w:val="1"/>
      <w:numFmt w:val="bullet"/>
      <w:lvlText w:val=""/>
      <w:lvlJc w:val="left"/>
      <w:pPr>
        <w:tabs>
          <w:tab w:val="num" w:pos="720"/>
        </w:tabs>
        <w:ind w:left="720" w:hanging="360"/>
      </w:pPr>
      <w:rPr>
        <w:rFonts w:ascii="Symbol" w:hAnsi="Symbol" w:hint="default"/>
      </w:rPr>
    </w:lvl>
    <w:lvl w:ilvl="1" w:tplc="8938C8DA" w:tentative="1">
      <w:start w:val="1"/>
      <w:numFmt w:val="bullet"/>
      <w:lvlText w:val=""/>
      <w:lvlJc w:val="left"/>
      <w:pPr>
        <w:tabs>
          <w:tab w:val="num" w:pos="1440"/>
        </w:tabs>
        <w:ind w:left="1440" w:hanging="360"/>
      </w:pPr>
      <w:rPr>
        <w:rFonts w:ascii="Symbol" w:hAnsi="Symbol" w:hint="default"/>
      </w:rPr>
    </w:lvl>
    <w:lvl w:ilvl="2" w:tplc="D2EC1D56" w:tentative="1">
      <w:start w:val="1"/>
      <w:numFmt w:val="bullet"/>
      <w:lvlText w:val=""/>
      <w:lvlJc w:val="left"/>
      <w:pPr>
        <w:tabs>
          <w:tab w:val="num" w:pos="2160"/>
        </w:tabs>
        <w:ind w:left="2160" w:hanging="360"/>
      </w:pPr>
      <w:rPr>
        <w:rFonts w:ascii="Symbol" w:hAnsi="Symbol" w:hint="default"/>
      </w:rPr>
    </w:lvl>
    <w:lvl w:ilvl="3" w:tplc="F150424E" w:tentative="1">
      <w:start w:val="1"/>
      <w:numFmt w:val="bullet"/>
      <w:lvlText w:val=""/>
      <w:lvlJc w:val="left"/>
      <w:pPr>
        <w:tabs>
          <w:tab w:val="num" w:pos="2880"/>
        </w:tabs>
        <w:ind w:left="2880" w:hanging="360"/>
      </w:pPr>
      <w:rPr>
        <w:rFonts w:ascii="Symbol" w:hAnsi="Symbol" w:hint="default"/>
      </w:rPr>
    </w:lvl>
    <w:lvl w:ilvl="4" w:tplc="161C7B6E" w:tentative="1">
      <w:start w:val="1"/>
      <w:numFmt w:val="bullet"/>
      <w:lvlText w:val=""/>
      <w:lvlJc w:val="left"/>
      <w:pPr>
        <w:tabs>
          <w:tab w:val="num" w:pos="3600"/>
        </w:tabs>
        <w:ind w:left="3600" w:hanging="360"/>
      </w:pPr>
      <w:rPr>
        <w:rFonts w:ascii="Symbol" w:hAnsi="Symbol" w:hint="default"/>
      </w:rPr>
    </w:lvl>
    <w:lvl w:ilvl="5" w:tplc="8B2EFD28" w:tentative="1">
      <w:start w:val="1"/>
      <w:numFmt w:val="bullet"/>
      <w:lvlText w:val=""/>
      <w:lvlJc w:val="left"/>
      <w:pPr>
        <w:tabs>
          <w:tab w:val="num" w:pos="4320"/>
        </w:tabs>
        <w:ind w:left="4320" w:hanging="360"/>
      </w:pPr>
      <w:rPr>
        <w:rFonts w:ascii="Symbol" w:hAnsi="Symbol" w:hint="default"/>
      </w:rPr>
    </w:lvl>
    <w:lvl w:ilvl="6" w:tplc="8062B32E" w:tentative="1">
      <w:start w:val="1"/>
      <w:numFmt w:val="bullet"/>
      <w:lvlText w:val=""/>
      <w:lvlJc w:val="left"/>
      <w:pPr>
        <w:tabs>
          <w:tab w:val="num" w:pos="5040"/>
        </w:tabs>
        <w:ind w:left="5040" w:hanging="360"/>
      </w:pPr>
      <w:rPr>
        <w:rFonts w:ascii="Symbol" w:hAnsi="Symbol" w:hint="default"/>
      </w:rPr>
    </w:lvl>
    <w:lvl w:ilvl="7" w:tplc="5E60E98A" w:tentative="1">
      <w:start w:val="1"/>
      <w:numFmt w:val="bullet"/>
      <w:lvlText w:val=""/>
      <w:lvlJc w:val="left"/>
      <w:pPr>
        <w:tabs>
          <w:tab w:val="num" w:pos="5760"/>
        </w:tabs>
        <w:ind w:left="5760" w:hanging="360"/>
      </w:pPr>
      <w:rPr>
        <w:rFonts w:ascii="Symbol" w:hAnsi="Symbol" w:hint="default"/>
      </w:rPr>
    </w:lvl>
    <w:lvl w:ilvl="8" w:tplc="F1EA5D14" w:tentative="1">
      <w:start w:val="1"/>
      <w:numFmt w:val="bullet"/>
      <w:lvlText w:val=""/>
      <w:lvlJc w:val="left"/>
      <w:pPr>
        <w:tabs>
          <w:tab w:val="num" w:pos="6480"/>
        </w:tabs>
        <w:ind w:left="6480" w:hanging="360"/>
      </w:pPr>
      <w:rPr>
        <w:rFonts w:ascii="Symbol" w:hAnsi="Symbol" w:hint="default"/>
      </w:rPr>
    </w:lvl>
  </w:abstractNum>
  <w:abstractNum w:abstractNumId="5">
    <w:nsid w:val="23047ED8"/>
    <w:multiLevelType w:val="hybridMultilevel"/>
    <w:tmpl w:val="119293D2"/>
    <w:lvl w:ilvl="0" w:tplc="79505D00">
      <w:start w:val="1"/>
      <w:numFmt w:val="bullet"/>
      <w:lvlText w:val=""/>
      <w:lvlJc w:val="left"/>
      <w:pPr>
        <w:tabs>
          <w:tab w:val="num" w:pos="720"/>
        </w:tabs>
        <w:ind w:left="720" w:hanging="360"/>
      </w:pPr>
      <w:rPr>
        <w:rFonts w:ascii="Symbol" w:hAnsi="Symbol" w:hint="default"/>
      </w:rPr>
    </w:lvl>
    <w:lvl w:ilvl="1" w:tplc="644C3510" w:tentative="1">
      <w:start w:val="1"/>
      <w:numFmt w:val="bullet"/>
      <w:lvlText w:val=""/>
      <w:lvlJc w:val="left"/>
      <w:pPr>
        <w:tabs>
          <w:tab w:val="num" w:pos="1440"/>
        </w:tabs>
        <w:ind w:left="1440" w:hanging="360"/>
      </w:pPr>
      <w:rPr>
        <w:rFonts w:ascii="Symbol" w:hAnsi="Symbol" w:hint="default"/>
      </w:rPr>
    </w:lvl>
    <w:lvl w:ilvl="2" w:tplc="F51AA6E6" w:tentative="1">
      <w:start w:val="1"/>
      <w:numFmt w:val="bullet"/>
      <w:lvlText w:val=""/>
      <w:lvlJc w:val="left"/>
      <w:pPr>
        <w:tabs>
          <w:tab w:val="num" w:pos="2160"/>
        </w:tabs>
        <w:ind w:left="2160" w:hanging="360"/>
      </w:pPr>
      <w:rPr>
        <w:rFonts w:ascii="Symbol" w:hAnsi="Symbol" w:hint="default"/>
      </w:rPr>
    </w:lvl>
    <w:lvl w:ilvl="3" w:tplc="30E6584A" w:tentative="1">
      <w:start w:val="1"/>
      <w:numFmt w:val="bullet"/>
      <w:lvlText w:val=""/>
      <w:lvlJc w:val="left"/>
      <w:pPr>
        <w:tabs>
          <w:tab w:val="num" w:pos="2880"/>
        </w:tabs>
        <w:ind w:left="2880" w:hanging="360"/>
      </w:pPr>
      <w:rPr>
        <w:rFonts w:ascii="Symbol" w:hAnsi="Symbol" w:hint="default"/>
      </w:rPr>
    </w:lvl>
    <w:lvl w:ilvl="4" w:tplc="9C1C6F08" w:tentative="1">
      <w:start w:val="1"/>
      <w:numFmt w:val="bullet"/>
      <w:lvlText w:val=""/>
      <w:lvlJc w:val="left"/>
      <w:pPr>
        <w:tabs>
          <w:tab w:val="num" w:pos="3600"/>
        </w:tabs>
        <w:ind w:left="3600" w:hanging="360"/>
      </w:pPr>
      <w:rPr>
        <w:rFonts w:ascii="Symbol" w:hAnsi="Symbol" w:hint="default"/>
      </w:rPr>
    </w:lvl>
    <w:lvl w:ilvl="5" w:tplc="E4008C8E" w:tentative="1">
      <w:start w:val="1"/>
      <w:numFmt w:val="bullet"/>
      <w:lvlText w:val=""/>
      <w:lvlJc w:val="left"/>
      <w:pPr>
        <w:tabs>
          <w:tab w:val="num" w:pos="4320"/>
        </w:tabs>
        <w:ind w:left="4320" w:hanging="360"/>
      </w:pPr>
      <w:rPr>
        <w:rFonts w:ascii="Symbol" w:hAnsi="Symbol" w:hint="default"/>
      </w:rPr>
    </w:lvl>
    <w:lvl w:ilvl="6" w:tplc="BE0A2052" w:tentative="1">
      <w:start w:val="1"/>
      <w:numFmt w:val="bullet"/>
      <w:lvlText w:val=""/>
      <w:lvlJc w:val="left"/>
      <w:pPr>
        <w:tabs>
          <w:tab w:val="num" w:pos="5040"/>
        </w:tabs>
        <w:ind w:left="5040" w:hanging="360"/>
      </w:pPr>
      <w:rPr>
        <w:rFonts w:ascii="Symbol" w:hAnsi="Symbol" w:hint="default"/>
      </w:rPr>
    </w:lvl>
    <w:lvl w:ilvl="7" w:tplc="41AA8956" w:tentative="1">
      <w:start w:val="1"/>
      <w:numFmt w:val="bullet"/>
      <w:lvlText w:val=""/>
      <w:lvlJc w:val="left"/>
      <w:pPr>
        <w:tabs>
          <w:tab w:val="num" w:pos="5760"/>
        </w:tabs>
        <w:ind w:left="5760" w:hanging="360"/>
      </w:pPr>
      <w:rPr>
        <w:rFonts w:ascii="Symbol" w:hAnsi="Symbol" w:hint="default"/>
      </w:rPr>
    </w:lvl>
    <w:lvl w:ilvl="8" w:tplc="2CF2B29C" w:tentative="1">
      <w:start w:val="1"/>
      <w:numFmt w:val="bullet"/>
      <w:lvlText w:val=""/>
      <w:lvlJc w:val="left"/>
      <w:pPr>
        <w:tabs>
          <w:tab w:val="num" w:pos="6480"/>
        </w:tabs>
        <w:ind w:left="6480" w:hanging="360"/>
      </w:pPr>
      <w:rPr>
        <w:rFonts w:ascii="Symbol" w:hAnsi="Symbol" w:hint="default"/>
      </w:rPr>
    </w:lvl>
  </w:abstractNum>
  <w:abstractNum w:abstractNumId="6">
    <w:nsid w:val="2E9C5D89"/>
    <w:multiLevelType w:val="hybridMultilevel"/>
    <w:tmpl w:val="5A9C714A"/>
    <w:lvl w:ilvl="0" w:tplc="9C68E990">
      <w:start w:val="1"/>
      <w:numFmt w:val="bullet"/>
      <w:lvlText w:val=""/>
      <w:lvlJc w:val="left"/>
      <w:pPr>
        <w:tabs>
          <w:tab w:val="num" w:pos="720"/>
        </w:tabs>
        <w:ind w:left="720" w:hanging="360"/>
      </w:pPr>
      <w:rPr>
        <w:rFonts w:ascii="Symbol" w:hAnsi="Symbol" w:hint="default"/>
      </w:rPr>
    </w:lvl>
    <w:lvl w:ilvl="1" w:tplc="C7208AA0" w:tentative="1">
      <w:start w:val="1"/>
      <w:numFmt w:val="bullet"/>
      <w:lvlText w:val=""/>
      <w:lvlJc w:val="left"/>
      <w:pPr>
        <w:tabs>
          <w:tab w:val="num" w:pos="1440"/>
        </w:tabs>
        <w:ind w:left="1440" w:hanging="360"/>
      </w:pPr>
      <w:rPr>
        <w:rFonts w:ascii="Symbol" w:hAnsi="Symbol" w:hint="default"/>
      </w:rPr>
    </w:lvl>
    <w:lvl w:ilvl="2" w:tplc="898E93CC" w:tentative="1">
      <w:start w:val="1"/>
      <w:numFmt w:val="bullet"/>
      <w:lvlText w:val=""/>
      <w:lvlJc w:val="left"/>
      <w:pPr>
        <w:tabs>
          <w:tab w:val="num" w:pos="2160"/>
        </w:tabs>
        <w:ind w:left="2160" w:hanging="360"/>
      </w:pPr>
      <w:rPr>
        <w:rFonts w:ascii="Symbol" w:hAnsi="Symbol" w:hint="default"/>
      </w:rPr>
    </w:lvl>
    <w:lvl w:ilvl="3" w:tplc="622EE932" w:tentative="1">
      <w:start w:val="1"/>
      <w:numFmt w:val="bullet"/>
      <w:lvlText w:val=""/>
      <w:lvlJc w:val="left"/>
      <w:pPr>
        <w:tabs>
          <w:tab w:val="num" w:pos="2880"/>
        </w:tabs>
        <w:ind w:left="2880" w:hanging="360"/>
      </w:pPr>
      <w:rPr>
        <w:rFonts w:ascii="Symbol" w:hAnsi="Symbol" w:hint="default"/>
      </w:rPr>
    </w:lvl>
    <w:lvl w:ilvl="4" w:tplc="B2B676EE" w:tentative="1">
      <w:start w:val="1"/>
      <w:numFmt w:val="bullet"/>
      <w:lvlText w:val=""/>
      <w:lvlJc w:val="left"/>
      <w:pPr>
        <w:tabs>
          <w:tab w:val="num" w:pos="3600"/>
        </w:tabs>
        <w:ind w:left="3600" w:hanging="360"/>
      </w:pPr>
      <w:rPr>
        <w:rFonts w:ascii="Symbol" w:hAnsi="Symbol" w:hint="default"/>
      </w:rPr>
    </w:lvl>
    <w:lvl w:ilvl="5" w:tplc="F83C9D0C" w:tentative="1">
      <w:start w:val="1"/>
      <w:numFmt w:val="bullet"/>
      <w:lvlText w:val=""/>
      <w:lvlJc w:val="left"/>
      <w:pPr>
        <w:tabs>
          <w:tab w:val="num" w:pos="4320"/>
        </w:tabs>
        <w:ind w:left="4320" w:hanging="360"/>
      </w:pPr>
      <w:rPr>
        <w:rFonts w:ascii="Symbol" w:hAnsi="Symbol" w:hint="default"/>
      </w:rPr>
    </w:lvl>
    <w:lvl w:ilvl="6" w:tplc="60FE4EB4" w:tentative="1">
      <w:start w:val="1"/>
      <w:numFmt w:val="bullet"/>
      <w:lvlText w:val=""/>
      <w:lvlJc w:val="left"/>
      <w:pPr>
        <w:tabs>
          <w:tab w:val="num" w:pos="5040"/>
        </w:tabs>
        <w:ind w:left="5040" w:hanging="360"/>
      </w:pPr>
      <w:rPr>
        <w:rFonts w:ascii="Symbol" w:hAnsi="Symbol" w:hint="default"/>
      </w:rPr>
    </w:lvl>
    <w:lvl w:ilvl="7" w:tplc="BFB40C82" w:tentative="1">
      <w:start w:val="1"/>
      <w:numFmt w:val="bullet"/>
      <w:lvlText w:val=""/>
      <w:lvlJc w:val="left"/>
      <w:pPr>
        <w:tabs>
          <w:tab w:val="num" w:pos="5760"/>
        </w:tabs>
        <w:ind w:left="5760" w:hanging="360"/>
      </w:pPr>
      <w:rPr>
        <w:rFonts w:ascii="Symbol" w:hAnsi="Symbol" w:hint="default"/>
      </w:rPr>
    </w:lvl>
    <w:lvl w:ilvl="8" w:tplc="31EA5302" w:tentative="1">
      <w:start w:val="1"/>
      <w:numFmt w:val="bullet"/>
      <w:lvlText w:val=""/>
      <w:lvlJc w:val="left"/>
      <w:pPr>
        <w:tabs>
          <w:tab w:val="num" w:pos="6480"/>
        </w:tabs>
        <w:ind w:left="6480" w:hanging="360"/>
      </w:pPr>
      <w:rPr>
        <w:rFonts w:ascii="Symbol" w:hAnsi="Symbol" w:hint="default"/>
      </w:rPr>
    </w:lvl>
  </w:abstractNum>
  <w:abstractNum w:abstractNumId="7">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1">
    <w:nsid w:val="56CE59B8"/>
    <w:multiLevelType w:val="hybridMultilevel"/>
    <w:tmpl w:val="7E60B97A"/>
    <w:lvl w:ilvl="0" w:tplc="06FC5BAE">
      <w:start w:val="1"/>
      <w:numFmt w:val="bullet"/>
      <w:lvlText w:val=""/>
      <w:lvlJc w:val="left"/>
      <w:pPr>
        <w:tabs>
          <w:tab w:val="num" w:pos="720"/>
        </w:tabs>
        <w:ind w:left="720" w:hanging="360"/>
      </w:pPr>
      <w:rPr>
        <w:rFonts w:ascii="Symbol" w:hAnsi="Symbol" w:hint="default"/>
      </w:rPr>
    </w:lvl>
    <w:lvl w:ilvl="1" w:tplc="B41882F0" w:tentative="1">
      <w:start w:val="1"/>
      <w:numFmt w:val="bullet"/>
      <w:lvlText w:val=""/>
      <w:lvlJc w:val="left"/>
      <w:pPr>
        <w:tabs>
          <w:tab w:val="num" w:pos="1440"/>
        </w:tabs>
        <w:ind w:left="1440" w:hanging="360"/>
      </w:pPr>
      <w:rPr>
        <w:rFonts w:ascii="Symbol" w:hAnsi="Symbol" w:hint="default"/>
      </w:rPr>
    </w:lvl>
    <w:lvl w:ilvl="2" w:tplc="92D44C30" w:tentative="1">
      <w:start w:val="1"/>
      <w:numFmt w:val="bullet"/>
      <w:lvlText w:val=""/>
      <w:lvlJc w:val="left"/>
      <w:pPr>
        <w:tabs>
          <w:tab w:val="num" w:pos="2160"/>
        </w:tabs>
        <w:ind w:left="2160" w:hanging="360"/>
      </w:pPr>
      <w:rPr>
        <w:rFonts w:ascii="Symbol" w:hAnsi="Symbol" w:hint="default"/>
      </w:rPr>
    </w:lvl>
    <w:lvl w:ilvl="3" w:tplc="2D22C7E2" w:tentative="1">
      <w:start w:val="1"/>
      <w:numFmt w:val="bullet"/>
      <w:lvlText w:val=""/>
      <w:lvlJc w:val="left"/>
      <w:pPr>
        <w:tabs>
          <w:tab w:val="num" w:pos="2880"/>
        </w:tabs>
        <w:ind w:left="2880" w:hanging="360"/>
      </w:pPr>
      <w:rPr>
        <w:rFonts w:ascii="Symbol" w:hAnsi="Symbol" w:hint="default"/>
      </w:rPr>
    </w:lvl>
    <w:lvl w:ilvl="4" w:tplc="A6DE2A1C" w:tentative="1">
      <w:start w:val="1"/>
      <w:numFmt w:val="bullet"/>
      <w:lvlText w:val=""/>
      <w:lvlJc w:val="left"/>
      <w:pPr>
        <w:tabs>
          <w:tab w:val="num" w:pos="3600"/>
        </w:tabs>
        <w:ind w:left="3600" w:hanging="360"/>
      </w:pPr>
      <w:rPr>
        <w:rFonts w:ascii="Symbol" w:hAnsi="Symbol" w:hint="default"/>
      </w:rPr>
    </w:lvl>
    <w:lvl w:ilvl="5" w:tplc="ECD42186" w:tentative="1">
      <w:start w:val="1"/>
      <w:numFmt w:val="bullet"/>
      <w:lvlText w:val=""/>
      <w:lvlJc w:val="left"/>
      <w:pPr>
        <w:tabs>
          <w:tab w:val="num" w:pos="4320"/>
        </w:tabs>
        <w:ind w:left="4320" w:hanging="360"/>
      </w:pPr>
      <w:rPr>
        <w:rFonts w:ascii="Symbol" w:hAnsi="Symbol" w:hint="default"/>
      </w:rPr>
    </w:lvl>
    <w:lvl w:ilvl="6" w:tplc="58482340" w:tentative="1">
      <w:start w:val="1"/>
      <w:numFmt w:val="bullet"/>
      <w:lvlText w:val=""/>
      <w:lvlJc w:val="left"/>
      <w:pPr>
        <w:tabs>
          <w:tab w:val="num" w:pos="5040"/>
        </w:tabs>
        <w:ind w:left="5040" w:hanging="360"/>
      </w:pPr>
      <w:rPr>
        <w:rFonts w:ascii="Symbol" w:hAnsi="Symbol" w:hint="default"/>
      </w:rPr>
    </w:lvl>
    <w:lvl w:ilvl="7" w:tplc="C5108396" w:tentative="1">
      <w:start w:val="1"/>
      <w:numFmt w:val="bullet"/>
      <w:lvlText w:val=""/>
      <w:lvlJc w:val="left"/>
      <w:pPr>
        <w:tabs>
          <w:tab w:val="num" w:pos="5760"/>
        </w:tabs>
        <w:ind w:left="5760" w:hanging="360"/>
      </w:pPr>
      <w:rPr>
        <w:rFonts w:ascii="Symbol" w:hAnsi="Symbol" w:hint="default"/>
      </w:rPr>
    </w:lvl>
    <w:lvl w:ilvl="8" w:tplc="BA307D54" w:tentative="1">
      <w:start w:val="1"/>
      <w:numFmt w:val="bullet"/>
      <w:lvlText w:val=""/>
      <w:lvlJc w:val="left"/>
      <w:pPr>
        <w:tabs>
          <w:tab w:val="num" w:pos="6480"/>
        </w:tabs>
        <w:ind w:left="6480" w:hanging="360"/>
      </w:pPr>
      <w:rPr>
        <w:rFonts w:ascii="Symbol" w:hAnsi="Symbol" w:hint="default"/>
      </w:rPr>
    </w:lvl>
  </w:abstractNum>
  <w:abstractNum w:abstractNumId="12">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7B33E9"/>
    <w:multiLevelType w:val="hybridMultilevel"/>
    <w:tmpl w:val="8BDC0098"/>
    <w:lvl w:ilvl="0" w:tplc="2C643F52">
      <w:start w:val="2015"/>
      <w:numFmt w:val="bullet"/>
      <w:lvlText w:val="-"/>
      <w:lvlJc w:val="left"/>
      <w:pPr>
        <w:ind w:left="720" w:hanging="360"/>
      </w:pPr>
      <w:rPr>
        <w:rFonts w:ascii="Verdana" w:eastAsia="Times New Roman" w:hAnsi="Verdana" w:cs="Silo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AC1A1B"/>
    <w:multiLevelType w:val="hybridMultilevel"/>
    <w:tmpl w:val="5784D272"/>
    <w:lvl w:ilvl="0" w:tplc="186C60F4">
      <w:start w:val="1"/>
      <w:numFmt w:val="bullet"/>
      <w:lvlText w:val=""/>
      <w:lvlJc w:val="left"/>
      <w:pPr>
        <w:tabs>
          <w:tab w:val="num" w:pos="720"/>
        </w:tabs>
        <w:ind w:left="720" w:hanging="360"/>
      </w:pPr>
      <w:rPr>
        <w:rFonts w:ascii="Symbol" w:hAnsi="Symbol" w:hint="default"/>
      </w:rPr>
    </w:lvl>
    <w:lvl w:ilvl="1" w:tplc="E53272AE" w:tentative="1">
      <w:start w:val="1"/>
      <w:numFmt w:val="bullet"/>
      <w:lvlText w:val=""/>
      <w:lvlJc w:val="left"/>
      <w:pPr>
        <w:tabs>
          <w:tab w:val="num" w:pos="1440"/>
        </w:tabs>
        <w:ind w:left="1440" w:hanging="360"/>
      </w:pPr>
      <w:rPr>
        <w:rFonts w:ascii="Symbol" w:hAnsi="Symbol" w:hint="default"/>
      </w:rPr>
    </w:lvl>
    <w:lvl w:ilvl="2" w:tplc="05CA6A80" w:tentative="1">
      <w:start w:val="1"/>
      <w:numFmt w:val="bullet"/>
      <w:lvlText w:val=""/>
      <w:lvlJc w:val="left"/>
      <w:pPr>
        <w:tabs>
          <w:tab w:val="num" w:pos="2160"/>
        </w:tabs>
        <w:ind w:left="2160" w:hanging="360"/>
      </w:pPr>
      <w:rPr>
        <w:rFonts w:ascii="Symbol" w:hAnsi="Symbol" w:hint="default"/>
      </w:rPr>
    </w:lvl>
    <w:lvl w:ilvl="3" w:tplc="1504B71C" w:tentative="1">
      <w:start w:val="1"/>
      <w:numFmt w:val="bullet"/>
      <w:lvlText w:val=""/>
      <w:lvlJc w:val="left"/>
      <w:pPr>
        <w:tabs>
          <w:tab w:val="num" w:pos="2880"/>
        </w:tabs>
        <w:ind w:left="2880" w:hanging="360"/>
      </w:pPr>
      <w:rPr>
        <w:rFonts w:ascii="Symbol" w:hAnsi="Symbol" w:hint="default"/>
      </w:rPr>
    </w:lvl>
    <w:lvl w:ilvl="4" w:tplc="1B12FC36" w:tentative="1">
      <w:start w:val="1"/>
      <w:numFmt w:val="bullet"/>
      <w:lvlText w:val=""/>
      <w:lvlJc w:val="left"/>
      <w:pPr>
        <w:tabs>
          <w:tab w:val="num" w:pos="3600"/>
        </w:tabs>
        <w:ind w:left="3600" w:hanging="360"/>
      </w:pPr>
      <w:rPr>
        <w:rFonts w:ascii="Symbol" w:hAnsi="Symbol" w:hint="default"/>
      </w:rPr>
    </w:lvl>
    <w:lvl w:ilvl="5" w:tplc="5748BFE0" w:tentative="1">
      <w:start w:val="1"/>
      <w:numFmt w:val="bullet"/>
      <w:lvlText w:val=""/>
      <w:lvlJc w:val="left"/>
      <w:pPr>
        <w:tabs>
          <w:tab w:val="num" w:pos="4320"/>
        </w:tabs>
        <w:ind w:left="4320" w:hanging="360"/>
      </w:pPr>
      <w:rPr>
        <w:rFonts w:ascii="Symbol" w:hAnsi="Symbol" w:hint="default"/>
      </w:rPr>
    </w:lvl>
    <w:lvl w:ilvl="6" w:tplc="74B0EFFE" w:tentative="1">
      <w:start w:val="1"/>
      <w:numFmt w:val="bullet"/>
      <w:lvlText w:val=""/>
      <w:lvlJc w:val="left"/>
      <w:pPr>
        <w:tabs>
          <w:tab w:val="num" w:pos="5040"/>
        </w:tabs>
        <w:ind w:left="5040" w:hanging="360"/>
      </w:pPr>
      <w:rPr>
        <w:rFonts w:ascii="Symbol" w:hAnsi="Symbol" w:hint="default"/>
      </w:rPr>
    </w:lvl>
    <w:lvl w:ilvl="7" w:tplc="7CB0E778" w:tentative="1">
      <w:start w:val="1"/>
      <w:numFmt w:val="bullet"/>
      <w:lvlText w:val=""/>
      <w:lvlJc w:val="left"/>
      <w:pPr>
        <w:tabs>
          <w:tab w:val="num" w:pos="5760"/>
        </w:tabs>
        <w:ind w:left="5760" w:hanging="360"/>
      </w:pPr>
      <w:rPr>
        <w:rFonts w:ascii="Symbol" w:hAnsi="Symbol" w:hint="default"/>
      </w:rPr>
    </w:lvl>
    <w:lvl w:ilvl="8" w:tplc="6F0C95E4" w:tentative="1">
      <w:start w:val="1"/>
      <w:numFmt w:val="bullet"/>
      <w:lvlText w:val=""/>
      <w:lvlJc w:val="left"/>
      <w:pPr>
        <w:tabs>
          <w:tab w:val="num" w:pos="6480"/>
        </w:tabs>
        <w:ind w:left="6480" w:hanging="360"/>
      </w:pPr>
      <w:rPr>
        <w:rFonts w:ascii="Symbol" w:hAnsi="Symbol" w:hint="default"/>
      </w:rPr>
    </w:lvl>
  </w:abstractNum>
  <w:abstractNum w:abstractNumId="16">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7F84A2D"/>
    <w:multiLevelType w:val="hybridMultilevel"/>
    <w:tmpl w:val="DBF4B780"/>
    <w:lvl w:ilvl="0" w:tplc="17542FB4">
      <w:start w:val="1"/>
      <w:numFmt w:val="bullet"/>
      <w:lvlText w:val=""/>
      <w:lvlJc w:val="left"/>
      <w:pPr>
        <w:tabs>
          <w:tab w:val="num" w:pos="720"/>
        </w:tabs>
        <w:ind w:left="720" w:hanging="360"/>
      </w:pPr>
      <w:rPr>
        <w:rFonts w:ascii="Symbol" w:hAnsi="Symbol" w:hint="default"/>
      </w:rPr>
    </w:lvl>
    <w:lvl w:ilvl="1" w:tplc="880498E0" w:tentative="1">
      <w:start w:val="1"/>
      <w:numFmt w:val="bullet"/>
      <w:lvlText w:val=""/>
      <w:lvlJc w:val="left"/>
      <w:pPr>
        <w:tabs>
          <w:tab w:val="num" w:pos="1440"/>
        </w:tabs>
        <w:ind w:left="1440" w:hanging="360"/>
      </w:pPr>
      <w:rPr>
        <w:rFonts w:ascii="Symbol" w:hAnsi="Symbol" w:hint="default"/>
      </w:rPr>
    </w:lvl>
    <w:lvl w:ilvl="2" w:tplc="75B62B96" w:tentative="1">
      <w:start w:val="1"/>
      <w:numFmt w:val="bullet"/>
      <w:lvlText w:val=""/>
      <w:lvlJc w:val="left"/>
      <w:pPr>
        <w:tabs>
          <w:tab w:val="num" w:pos="2160"/>
        </w:tabs>
        <w:ind w:left="2160" w:hanging="360"/>
      </w:pPr>
      <w:rPr>
        <w:rFonts w:ascii="Symbol" w:hAnsi="Symbol" w:hint="default"/>
      </w:rPr>
    </w:lvl>
    <w:lvl w:ilvl="3" w:tplc="914E04C6" w:tentative="1">
      <w:start w:val="1"/>
      <w:numFmt w:val="bullet"/>
      <w:lvlText w:val=""/>
      <w:lvlJc w:val="left"/>
      <w:pPr>
        <w:tabs>
          <w:tab w:val="num" w:pos="2880"/>
        </w:tabs>
        <w:ind w:left="2880" w:hanging="360"/>
      </w:pPr>
      <w:rPr>
        <w:rFonts w:ascii="Symbol" w:hAnsi="Symbol" w:hint="default"/>
      </w:rPr>
    </w:lvl>
    <w:lvl w:ilvl="4" w:tplc="A030C556" w:tentative="1">
      <w:start w:val="1"/>
      <w:numFmt w:val="bullet"/>
      <w:lvlText w:val=""/>
      <w:lvlJc w:val="left"/>
      <w:pPr>
        <w:tabs>
          <w:tab w:val="num" w:pos="3600"/>
        </w:tabs>
        <w:ind w:left="3600" w:hanging="360"/>
      </w:pPr>
      <w:rPr>
        <w:rFonts w:ascii="Symbol" w:hAnsi="Symbol" w:hint="default"/>
      </w:rPr>
    </w:lvl>
    <w:lvl w:ilvl="5" w:tplc="FCD07B8C" w:tentative="1">
      <w:start w:val="1"/>
      <w:numFmt w:val="bullet"/>
      <w:lvlText w:val=""/>
      <w:lvlJc w:val="left"/>
      <w:pPr>
        <w:tabs>
          <w:tab w:val="num" w:pos="4320"/>
        </w:tabs>
        <w:ind w:left="4320" w:hanging="360"/>
      </w:pPr>
      <w:rPr>
        <w:rFonts w:ascii="Symbol" w:hAnsi="Symbol" w:hint="default"/>
      </w:rPr>
    </w:lvl>
    <w:lvl w:ilvl="6" w:tplc="3B381D56" w:tentative="1">
      <w:start w:val="1"/>
      <w:numFmt w:val="bullet"/>
      <w:lvlText w:val=""/>
      <w:lvlJc w:val="left"/>
      <w:pPr>
        <w:tabs>
          <w:tab w:val="num" w:pos="5040"/>
        </w:tabs>
        <w:ind w:left="5040" w:hanging="360"/>
      </w:pPr>
      <w:rPr>
        <w:rFonts w:ascii="Symbol" w:hAnsi="Symbol" w:hint="default"/>
      </w:rPr>
    </w:lvl>
    <w:lvl w:ilvl="7" w:tplc="E0CA4AA4" w:tentative="1">
      <w:start w:val="1"/>
      <w:numFmt w:val="bullet"/>
      <w:lvlText w:val=""/>
      <w:lvlJc w:val="left"/>
      <w:pPr>
        <w:tabs>
          <w:tab w:val="num" w:pos="5760"/>
        </w:tabs>
        <w:ind w:left="5760" w:hanging="360"/>
      </w:pPr>
      <w:rPr>
        <w:rFonts w:ascii="Symbol" w:hAnsi="Symbol" w:hint="default"/>
      </w:rPr>
    </w:lvl>
    <w:lvl w:ilvl="8" w:tplc="F6FCE438" w:tentative="1">
      <w:start w:val="1"/>
      <w:numFmt w:val="bullet"/>
      <w:lvlText w:val=""/>
      <w:lvlJc w:val="left"/>
      <w:pPr>
        <w:tabs>
          <w:tab w:val="num" w:pos="6480"/>
        </w:tabs>
        <w:ind w:left="6480" w:hanging="360"/>
      </w:pPr>
      <w:rPr>
        <w:rFonts w:ascii="Symbol" w:hAnsi="Symbol" w:hint="default"/>
      </w:rPr>
    </w:lvl>
  </w:abstractNum>
  <w:abstractNum w:abstractNumId="21">
    <w:nsid w:val="7C80065F"/>
    <w:multiLevelType w:val="hybridMultilevel"/>
    <w:tmpl w:val="2A2637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10"/>
  </w:num>
  <w:num w:numId="5">
    <w:abstractNumId w:val="8"/>
  </w:num>
  <w:num w:numId="6">
    <w:abstractNumId w:val="18"/>
  </w:num>
  <w:num w:numId="7">
    <w:abstractNumId w:val="19"/>
  </w:num>
  <w:num w:numId="8">
    <w:abstractNumId w:val="16"/>
  </w:num>
  <w:num w:numId="9">
    <w:abstractNumId w:val="2"/>
  </w:num>
  <w:num w:numId="10">
    <w:abstractNumId w:val="17"/>
  </w:num>
  <w:num w:numId="11">
    <w:abstractNumId w:val="0"/>
  </w:num>
  <w:num w:numId="12">
    <w:abstractNumId w:val="14"/>
  </w:num>
  <w:num w:numId="13">
    <w:abstractNumId w:val="20"/>
  </w:num>
  <w:num w:numId="14">
    <w:abstractNumId w:val="11"/>
  </w:num>
  <w:num w:numId="15">
    <w:abstractNumId w:val="4"/>
  </w:num>
  <w:num w:numId="16">
    <w:abstractNumId w:val="15"/>
  </w:num>
  <w:num w:numId="17">
    <w:abstractNumId w:val="6"/>
  </w:num>
  <w:num w:numId="18">
    <w:abstractNumId w:val="5"/>
  </w:num>
  <w:num w:numId="19">
    <w:abstractNumId w:val="1"/>
  </w:num>
  <w:num w:numId="20">
    <w:abstractNumId w:val="3"/>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A90243"/>
    <w:rsid w:val="00005A77"/>
    <w:rsid w:val="00011B96"/>
    <w:rsid w:val="00014A2A"/>
    <w:rsid w:val="00023B81"/>
    <w:rsid w:val="00023C0C"/>
    <w:rsid w:val="00024056"/>
    <w:rsid w:val="0002519C"/>
    <w:rsid w:val="00030961"/>
    <w:rsid w:val="00047FE6"/>
    <w:rsid w:val="00052619"/>
    <w:rsid w:val="00066D20"/>
    <w:rsid w:val="00070814"/>
    <w:rsid w:val="000808CF"/>
    <w:rsid w:val="00081F0F"/>
    <w:rsid w:val="00082645"/>
    <w:rsid w:val="000A2AA9"/>
    <w:rsid w:val="000A522B"/>
    <w:rsid w:val="000B00BA"/>
    <w:rsid w:val="000B39FE"/>
    <w:rsid w:val="000C27E5"/>
    <w:rsid w:val="000C31B5"/>
    <w:rsid w:val="000D4B3B"/>
    <w:rsid w:val="000D524B"/>
    <w:rsid w:val="000E11FE"/>
    <w:rsid w:val="000E2CAE"/>
    <w:rsid w:val="000E66BF"/>
    <w:rsid w:val="000E7919"/>
    <w:rsid w:val="000F05BC"/>
    <w:rsid w:val="000F226B"/>
    <w:rsid w:val="000F5F95"/>
    <w:rsid w:val="000F7888"/>
    <w:rsid w:val="00100822"/>
    <w:rsid w:val="00112C3D"/>
    <w:rsid w:val="00116A43"/>
    <w:rsid w:val="00122359"/>
    <w:rsid w:val="0012703F"/>
    <w:rsid w:val="001325C0"/>
    <w:rsid w:val="00133F54"/>
    <w:rsid w:val="00134902"/>
    <w:rsid w:val="001413EE"/>
    <w:rsid w:val="00145DAD"/>
    <w:rsid w:val="001460A1"/>
    <w:rsid w:val="00162247"/>
    <w:rsid w:val="00165195"/>
    <w:rsid w:val="001720B5"/>
    <w:rsid w:val="0017550D"/>
    <w:rsid w:val="001764EA"/>
    <w:rsid w:val="00181DB1"/>
    <w:rsid w:val="001827AF"/>
    <w:rsid w:val="00197730"/>
    <w:rsid w:val="001A747C"/>
    <w:rsid w:val="001C5A92"/>
    <w:rsid w:val="001C75D3"/>
    <w:rsid w:val="001D39A5"/>
    <w:rsid w:val="001E06D1"/>
    <w:rsid w:val="001E2928"/>
    <w:rsid w:val="001E3224"/>
    <w:rsid w:val="001E7EE9"/>
    <w:rsid w:val="001F1D29"/>
    <w:rsid w:val="0020294D"/>
    <w:rsid w:val="00204890"/>
    <w:rsid w:val="0020691F"/>
    <w:rsid w:val="0021516E"/>
    <w:rsid w:val="00226027"/>
    <w:rsid w:val="002317EF"/>
    <w:rsid w:val="0024066E"/>
    <w:rsid w:val="00252EC9"/>
    <w:rsid w:val="00253A31"/>
    <w:rsid w:val="0027249F"/>
    <w:rsid w:val="0027327C"/>
    <w:rsid w:val="002738AA"/>
    <w:rsid w:val="00276D7B"/>
    <w:rsid w:val="00277B80"/>
    <w:rsid w:val="002816A1"/>
    <w:rsid w:val="00282285"/>
    <w:rsid w:val="00292700"/>
    <w:rsid w:val="0029427C"/>
    <w:rsid w:val="002956DB"/>
    <w:rsid w:val="0029613B"/>
    <w:rsid w:val="002A0049"/>
    <w:rsid w:val="002A0F4E"/>
    <w:rsid w:val="002C07AB"/>
    <w:rsid w:val="002C0FAA"/>
    <w:rsid w:val="002C4FF7"/>
    <w:rsid w:val="002D359C"/>
    <w:rsid w:val="002F4A7C"/>
    <w:rsid w:val="00300934"/>
    <w:rsid w:val="00301C58"/>
    <w:rsid w:val="003105B6"/>
    <w:rsid w:val="0031191B"/>
    <w:rsid w:val="0031194E"/>
    <w:rsid w:val="00314589"/>
    <w:rsid w:val="003152A8"/>
    <w:rsid w:val="00321380"/>
    <w:rsid w:val="003357CD"/>
    <w:rsid w:val="00336A52"/>
    <w:rsid w:val="00354EA4"/>
    <w:rsid w:val="00364CDC"/>
    <w:rsid w:val="00365F83"/>
    <w:rsid w:val="003732FD"/>
    <w:rsid w:val="00380489"/>
    <w:rsid w:val="003804E1"/>
    <w:rsid w:val="00393044"/>
    <w:rsid w:val="00395A0B"/>
    <w:rsid w:val="00396A56"/>
    <w:rsid w:val="003A4C66"/>
    <w:rsid w:val="003A6C13"/>
    <w:rsid w:val="003C05A3"/>
    <w:rsid w:val="003C09C9"/>
    <w:rsid w:val="003D701B"/>
    <w:rsid w:val="003E576B"/>
    <w:rsid w:val="003E6EE2"/>
    <w:rsid w:val="003F4641"/>
    <w:rsid w:val="003F6192"/>
    <w:rsid w:val="00401104"/>
    <w:rsid w:val="00401E02"/>
    <w:rsid w:val="004037DB"/>
    <w:rsid w:val="00412D13"/>
    <w:rsid w:val="00420A1B"/>
    <w:rsid w:val="00422213"/>
    <w:rsid w:val="00426A05"/>
    <w:rsid w:val="00442AAA"/>
    <w:rsid w:val="004455DC"/>
    <w:rsid w:val="00453EEA"/>
    <w:rsid w:val="004604AE"/>
    <w:rsid w:val="00471454"/>
    <w:rsid w:val="00472454"/>
    <w:rsid w:val="0047321C"/>
    <w:rsid w:val="00475F87"/>
    <w:rsid w:val="00487878"/>
    <w:rsid w:val="004B0FE9"/>
    <w:rsid w:val="004B21E8"/>
    <w:rsid w:val="004C4970"/>
    <w:rsid w:val="004C65F2"/>
    <w:rsid w:val="004D2BE7"/>
    <w:rsid w:val="004E0F46"/>
    <w:rsid w:val="004E5D8E"/>
    <w:rsid w:val="004F69E9"/>
    <w:rsid w:val="004F7E0F"/>
    <w:rsid w:val="004F7FB4"/>
    <w:rsid w:val="00502604"/>
    <w:rsid w:val="00502DB2"/>
    <w:rsid w:val="00516C2E"/>
    <w:rsid w:val="0051782D"/>
    <w:rsid w:val="005250B1"/>
    <w:rsid w:val="00525205"/>
    <w:rsid w:val="00531765"/>
    <w:rsid w:val="00535CD3"/>
    <w:rsid w:val="00563C56"/>
    <w:rsid w:val="00572860"/>
    <w:rsid w:val="0058128B"/>
    <w:rsid w:val="0058151C"/>
    <w:rsid w:val="0058261D"/>
    <w:rsid w:val="005A07B8"/>
    <w:rsid w:val="005A27D1"/>
    <w:rsid w:val="005A3CC9"/>
    <w:rsid w:val="005B229E"/>
    <w:rsid w:val="005B23D3"/>
    <w:rsid w:val="005B7FBE"/>
    <w:rsid w:val="005C1D1F"/>
    <w:rsid w:val="005C2E03"/>
    <w:rsid w:val="005C564E"/>
    <w:rsid w:val="005E07C7"/>
    <w:rsid w:val="005E170A"/>
    <w:rsid w:val="005E5733"/>
    <w:rsid w:val="005F5C60"/>
    <w:rsid w:val="006003C7"/>
    <w:rsid w:val="00601AFD"/>
    <w:rsid w:val="00602C76"/>
    <w:rsid w:val="00603483"/>
    <w:rsid w:val="006040C2"/>
    <w:rsid w:val="006055BA"/>
    <w:rsid w:val="0060633D"/>
    <w:rsid w:val="00615BB3"/>
    <w:rsid w:val="006162A3"/>
    <w:rsid w:val="0064523D"/>
    <w:rsid w:val="0064735F"/>
    <w:rsid w:val="0065267B"/>
    <w:rsid w:val="00673683"/>
    <w:rsid w:val="00673C6F"/>
    <w:rsid w:val="00682A32"/>
    <w:rsid w:val="00691A1A"/>
    <w:rsid w:val="006A4C3F"/>
    <w:rsid w:val="006A5F45"/>
    <w:rsid w:val="006D14E0"/>
    <w:rsid w:val="006D318E"/>
    <w:rsid w:val="006D3844"/>
    <w:rsid w:val="006E2262"/>
    <w:rsid w:val="006F0932"/>
    <w:rsid w:val="006F6904"/>
    <w:rsid w:val="007008ED"/>
    <w:rsid w:val="00701B20"/>
    <w:rsid w:val="0070391B"/>
    <w:rsid w:val="00703A69"/>
    <w:rsid w:val="007061B7"/>
    <w:rsid w:val="007157C8"/>
    <w:rsid w:val="007208AC"/>
    <w:rsid w:val="0072255D"/>
    <w:rsid w:val="00731C20"/>
    <w:rsid w:val="00734F81"/>
    <w:rsid w:val="007401B1"/>
    <w:rsid w:val="007529E4"/>
    <w:rsid w:val="00766144"/>
    <w:rsid w:val="00770AB5"/>
    <w:rsid w:val="00773F54"/>
    <w:rsid w:val="00774BB3"/>
    <w:rsid w:val="00775EBC"/>
    <w:rsid w:val="00792694"/>
    <w:rsid w:val="00794273"/>
    <w:rsid w:val="00797404"/>
    <w:rsid w:val="007A0B0A"/>
    <w:rsid w:val="007A17C0"/>
    <w:rsid w:val="007A4437"/>
    <w:rsid w:val="007A739C"/>
    <w:rsid w:val="007B2894"/>
    <w:rsid w:val="007B2CF8"/>
    <w:rsid w:val="007B4BE2"/>
    <w:rsid w:val="007C34E7"/>
    <w:rsid w:val="007C5F54"/>
    <w:rsid w:val="007D732A"/>
    <w:rsid w:val="007E0970"/>
    <w:rsid w:val="007E0CF7"/>
    <w:rsid w:val="007E2539"/>
    <w:rsid w:val="007E4CD4"/>
    <w:rsid w:val="007E706B"/>
    <w:rsid w:val="00803E49"/>
    <w:rsid w:val="00813E24"/>
    <w:rsid w:val="00821114"/>
    <w:rsid w:val="008348AA"/>
    <w:rsid w:val="00837F48"/>
    <w:rsid w:val="00842851"/>
    <w:rsid w:val="008462F2"/>
    <w:rsid w:val="008473C4"/>
    <w:rsid w:val="0086510E"/>
    <w:rsid w:val="008656F5"/>
    <w:rsid w:val="00875550"/>
    <w:rsid w:val="00880888"/>
    <w:rsid w:val="00884E98"/>
    <w:rsid w:val="00885E33"/>
    <w:rsid w:val="00887178"/>
    <w:rsid w:val="008A4D8D"/>
    <w:rsid w:val="008A7B9D"/>
    <w:rsid w:val="008B4E09"/>
    <w:rsid w:val="008C1A6B"/>
    <w:rsid w:val="008C5096"/>
    <w:rsid w:val="008D4C0B"/>
    <w:rsid w:val="008D4FB2"/>
    <w:rsid w:val="008F3EE9"/>
    <w:rsid w:val="00902366"/>
    <w:rsid w:val="009031F8"/>
    <w:rsid w:val="009033EB"/>
    <w:rsid w:val="0090399D"/>
    <w:rsid w:val="009050F8"/>
    <w:rsid w:val="0091109A"/>
    <w:rsid w:val="00912D0C"/>
    <w:rsid w:val="00913F45"/>
    <w:rsid w:val="00916DB1"/>
    <w:rsid w:val="00917889"/>
    <w:rsid w:val="00920B62"/>
    <w:rsid w:val="00921871"/>
    <w:rsid w:val="009256F2"/>
    <w:rsid w:val="00942A3B"/>
    <w:rsid w:val="00942C63"/>
    <w:rsid w:val="0095398B"/>
    <w:rsid w:val="009551E7"/>
    <w:rsid w:val="00956A02"/>
    <w:rsid w:val="00963B44"/>
    <w:rsid w:val="00974B45"/>
    <w:rsid w:val="0097568C"/>
    <w:rsid w:val="009849BA"/>
    <w:rsid w:val="009A01FA"/>
    <w:rsid w:val="009B6B3C"/>
    <w:rsid w:val="009C0316"/>
    <w:rsid w:val="009E234A"/>
    <w:rsid w:val="009E36D1"/>
    <w:rsid w:val="009F2D72"/>
    <w:rsid w:val="00A0371C"/>
    <w:rsid w:val="00A13FDF"/>
    <w:rsid w:val="00A2591F"/>
    <w:rsid w:val="00A33763"/>
    <w:rsid w:val="00A42B2D"/>
    <w:rsid w:val="00A43BBC"/>
    <w:rsid w:val="00A44020"/>
    <w:rsid w:val="00A51641"/>
    <w:rsid w:val="00A525D8"/>
    <w:rsid w:val="00A670FC"/>
    <w:rsid w:val="00A7060E"/>
    <w:rsid w:val="00A710B1"/>
    <w:rsid w:val="00A8159E"/>
    <w:rsid w:val="00A83637"/>
    <w:rsid w:val="00A85874"/>
    <w:rsid w:val="00A90243"/>
    <w:rsid w:val="00AA0C9B"/>
    <w:rsid w:val="00AA6476"/>
    <w:rsid w:val="00AB2F20"/>
    <w:rsid w:val="00AB34CB"/>
    <w:rsid w:val="00AC2373"/>
    <w:rsid w:val="00AC4C70"/>
    <w:rsid w:val="00AE3DA6"/>
    <w:rsid w:val="00AE47FD"/>
    <w:rsid w:val="00AE5ED6"/>
    <w:rsid w:val="00AE6E2B"/>
    <w:rsid w:val="00B166A0"/>
    <w:rsid w:val="00B17BBF"/>
    <w:rsid w:val="00B243AF"/>
    <w:rsid w:val="00B4167E"/>
    <w:rsid w:val="00B41C3B"/>
    <w:rsid w:val="00B549BF"/>
    <w:rsid w:val="00B64310"/>
    <w:rsid w:val="00B81B27"/>
    <w:rsid w:val="00B8595D"/>
    <w:rsid w:val="00B91433"/>
    <w:rsid w:val="00B926B9"/>
    <w:rsid w:val="00B9580F"/>
    <w:rsid w:val="00B97259"/>
    <w:rsid w:val="00BA1E50"/>
    <w:rsid w:val="00BA34C9"/>
    <w:rsid w:val="00BA3AC7"/>
    <w:rsid w:val="00BB3BAE"/>
    <w:rsid w:val="00BB636A"/>
    <w:rsid w:val="00BC5D9A"/>
    <w:rsid w:val="00BE2B36"/>
    <w:rsid w:val="00BF0F4A"/>
    <w:rsid w:val="00BF2DDD"/>
    <w:rsid w:val="00C0780F"/>
    <w:rsid w:val="00C1275B"/>
    <w:rsid w:val="00C21D46"/>
    <w:rsid w:val="00C263C1"/>
    <w:rsid w:val="00C27EEE"/>
    <w:rsid w:val="00C511EC"/>
    <w:rsid w:val="00C625AC"/>
    <w:rsid w:val="00C65144"/>
    <w:rsid w:val="00C67A1A"/>
    <w:rsid w:val="00C71167"/>
    <w:rsid w:val="00C8648B"/>
    <w:rsid w:val="00C9486C"/>
    <w:rsid w:val="00CA5D21"/>
    <w:rsid w:val="00CB2471"/>
    <w:rsid w:val="00CB4142"/>
    <w:rsid w:val="00CC2697"/>
    <w:rsid w:val="00CC7B07"/>
    <w:rsid w:val="00CE4B0E"/>
    <w:rsid w:val="00CF2B37"/>
    <w:rsid w:val="00CF7108"/>
    <w:rsid w:val="00CF7110"/>
    <w:rsid w:val="00D10E57"/>
    <w:rsid w:val="00D125D6"/>
    <w:rsid w:val="00D221A3"/>
    <w:rsid w:val="00D242DC"/>
    <w:rsid w:val="00D37A90"/>
    <w:rsid w:val="00D41225"/>
    <w:rsid w:val="00D47AF3"/>
    <w:rsid w:val="00D52458"/>
    <w:rsid w:val="00D54F09"/>
    <w:rsid w:val="00D60BC0"/>
    <w:rsid w:val="00D63850"/>
    <w:rsid w:val="00D744D5"/>
    <w:rsid w:val="00D84E9C"/>
    <w:rsid w:val="00D933F6"/>
    <w:rsid w:val="00DC1957"/>
    <w:rsid w:val="00DC2BF9"/>
    <w:rsid w:val="00DD0103"/>
    <w:rsid w:val="00DD265B"/>
    <w:rsid w:val="00DD4C2C"/>
    <w:rsid w:val="00DD78BA"/>
    <w:rsid w:val="00DE4BE8"/>
    <w:rsid w:val="00DE4C01"/>
    <w:rsid w:val="00DF6D4E"/>
    <w:rsid w:val="00E01EEE"/>
    <w:rsid w:val="00E07E36"/>
    <w:rsid w:val="00E1301E"/>
    <w:rsid w:val="00E13D34"/>
    <w:rsid w:val="00E153A0"/>
    <w:rsid w:val="00E15E15"/>
    <w:rsid w:val="00E22D65"/>
    <w:rsid w:val="00E23299"/>
    <w:rsid w:val="00E44FF6"/>
    <w:rsid w:val="00E52682"/>
    <w:rsid w:val="00E603C7"/>
    <w:rsid w:val="00E627DF"/>
    <w:rsid w:val="00E716DE"/>
    <w:rsid w:val="00E80A00"/>
    <w:rsid w:val="00E865CB"/>
    <w:rsid w:val="00E93817"/>
    <w:rsid w:val="00E94AC2"/>
    <w:rsid w:val="00E95087"/>
    <w:rsid w:val="00E97C59"/>
    <w:rsid w:val="00EA0678"/>
    <w:rsid w:val="00EA485E"/>
    <w:rsid w:val="00EA5793"/>
    <w:rsid w:val="00EB0B1F"/>
    <w:rsid w:val="00EB4F3E"/>
    <w:rsid w:val="00EC588C"/>
    <w:rsid w:val="00ED0F57"/>
    <w:rsid w:val="00ED71F7"/>
    <w:rsid w:val="00EE2043"/>
    <w:rsid w:val="00EE52EE"/>
    <w:rsid w:val="00EF0B18"/>
    <w:rsid w:val="00EF0CF1"/>
    <w:rsid w:val="00EF3FF9"/>
    <w:rsid w:val="00F02EDA"/>
    <w:rsid w:val="00F076C4"/>
    <w:rsid w:val="00F10437"/>
    <w:rsid w:val="00F110CA"/>
    <w:rsid w:val="00F125DF"/>
    <w:rsid w:val="00F272C0"/>
    <w:rsid w:val="00F379D4"/>
    <w:rsid w:val="00F37FA9"/>
    <w:rsid w:val="00F40139"/>
    <w:rsid w:val="00F515D2"/>
    <w:rsid w:val="00F57D9C"/>
    <w:rsid w:val="00F63E7D"/>
    <w:rsid w:val="00F70038"/>
    <w:rsid w:val="00F76886"/>
    <w:rsid w:val="00F90323"/>
    <w:rsid w:val="00FA68A4"/>
    <w:rsid w:val="00FC1BD5"/>
    <w:rsid w:val="00FC581C"/>
    <w:rsid w:val="00FD52AF"/>
    <w:rsid w:val="00FF0BA3"/>
    <w:rsid w:val="00FF4987"/>
    <w:rsid w:val="00FF4A3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 w:type="paragraph" w:styleId="berarbeitung">
    <w:name w:val="Revision"/>
    <w:hidden/>
    <w:uiPriority w:val="99"/>
    <w:semiHidden/>
    <w:rsid w:val="00472454"/>
    <w:pPr>
      <w:spacing w:after="0" w:line="240" w:lineRule="auto"/>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79764969">
      <w:bodyDiv w:val="1"/>
      <w:marLeft w:val="0"/>
      <w:marRight w:val="0"/>
      <w:marTop w:val="0"/>
      <w:marBottom w:val="0"/>
      <w:divBdr>
        <w:top w:val="none" w:sz="0" w:space="0" w:color="auto"/>
        <w:left w:val="none" w:sz="0" w:space="0" w:color="auto"/>
        <w:bottom w:val="none" w:sz="0" w:space="0" w:color="auto"/>
        <w:right w:val="none" w:sz="0" w:space="0" w:color="auto"/>
      </w:divBdr>
    </w:div>
    <w:div w:id="181893370">
      <w:bodyDiv w:val="1"/>
      <w:marLeft w:val="0"/>
      <w:marRight w:val="0"/>
      <w:marTop w:val="0"/>
      <w:marBottom w:val="0"/>
      <w:divBdr>
        <w:top w:val="none" w:sz="0" w:space="0" w:color="auto"/>
        <w:left w:val="none" w:sz="0" w:space="0" w:color="auto"/>
        <w:bottom w:val="none" w:sz="0" w:space="0" w:color="auto"/>
        <w:right w:val="none" w:sz="0" w:space="0" w:color="auto"/>
      </w:divBdr>
    </w:div>
    <w:div w:id="264774647">
      <w:bodyDiv w:val="1"/>
      <w:marLeft w:val="0"/>
      <w:marRight w:val="0"/>
      <w:marTop w:val="0"/>
      <w:marBottom w:val="0"/>
      <w:divBdr>
        <w:top w:val="none" w:sz="0" w:space="0" w:color="auto"/>
        <w:left w:val="none" w:sz="0" w:space="0" w:color="auto"/>
        <w:bottom w:val="none" w:sz="0" w:space="0" w:color="auto"/>
        <w:right w:val="none" w:sz="0" w:space="0" w:color="auto"/>
      </w:divBdr>
    </w:div>
    <w:div w:id="357507105">
      <w:bodyDiv w:val="1"/>
      <w:marLeft w:val="0"/>
      <w:marRight w:val="0"/>
      <w:marTop w:val="0"/>
      <w:marBottom w:val="0"/>
      <w:divBdr>
        <w:top w:val="none" w:sz="0" w:space="0" w:color="auto"/>
        <w:left w:val="none" w:sz="0" w:space="0" w:color="auto"/>
        <w:bottom w:val="none" w:sz="0" w:space="0" w:color="auto"/>
        <w:right w:val="none" w:sz="0" w:space="0" w:color="auto"/>
      </w:divBdr>
    </w:div>
    <w:div w:id="398401902">
      <w:bodyDiv w:val="1"/>
      <w:marLeft w:val="0"/>
      <w:marRight w:val="0"/>
      <w:marTop w:val="0"/>
      <w:marBottom w:val="0"/>
      <w:divBdr>
        <w:top w:val="none" w:sz="0" w:space="0" w:color="auto"/>
        <w:left w:val="none" w:sz="0" w:space="0" w:color="auto"/>
        <w:bottom w:val="none" w:sz="0" w:space="0" w:color="auto"/>
        <w:right w:val="none" w:sz="0" w:space="0" w:color="auto"/>
      </w:divBdr>
    </w:div>
    <w:div w:id="424114257">
      <w:bodyDiv w:val="1"/>
      <w:marLeft w:val="0"/>
      <w:marRight w:val="0"/>
      <w:marTop w:val="0"/>
      <w:marBottom w:val="0"/>
      <w:divBdr>
        <w:top w:val="none" w:sz="0" w:space="0" w:color="auto"/>
        <w:left w:val="none" w:sz="0" w:space="0" w:color="auto"/>
        <w:bottom w:val="none" w:sz="0" w:space="0" w:color="auto"/>
        <w:right w:val="none" w:sz="0" w:space="0" w:color="auto"/>
      </w:divBdr>
      <w:divsChild>
        <w:div w:id="1489638939">
          <w:marLeft w:val="0"/>
          <w:marRight w:val="0"/>
          <w:marTop w:val="0"/>
          <w:marBottom w:val="0"/>
          <w:divBdr>
            <w:top w:val="none" w:sz="0" w:space="0" w:color="auto"/>
            <w:left w:val="none" w:sz="0" w:space="0" w:color="auto"/>
            <w:bottom w:val="none" w:sz="0" w:space="0" w:color="auto"/>
            <w:right w:val="none" w:sz="0" w:space="0" w:color="auto"/>
          </w:divBdr>
        </w:div>
        <w:div w:id="459105389">
          <w:marLeft w:val="0"/>
          <w:marRight w:val="0"/>
          <w:marTop w:val="0"/>
          <w:marBottom w:val="0"/>
          <w:divBdr>
            <w:top w:val="none" w:sz="0" w:space="0" w:color="auto"/>
            <w:left w:val="none" w:sz="0" w:space="0" w:color="auto"/>
            <w:bottom w:val="none" w:sz="0" w:space="0" w:color="auto"/>
            <w:right w:val="none" w:sz="0" w:space="0" w:color="auto"/>
          </w:divBdr>
        </w:div>
        <w:div w:id="1091269921">
          <w:marLeft w:val="0"/>
          <w:marRight w:val="0"/>
          <w:marTop w:val="0"/>
          <w:marBottom w:val="0"/>
          <w:divBdr>
            <w:top w:val="none" w:sz="0" w:space="0" w:color="auto"/>
            <w:left w:val="none" w:sz="0" w:space="0" w:color="auto"/>
            <w:bottom w:val="none" w:sz="0" w:space="0" w:color="auto"/>
            <w:right w:val="none" w:sz="0" w:space="0" w:color="auto"/>
          </w:divBdr>
        </w:div>
      </w:divsChild>
    </w:div>
    <w:div w:id="581375824">
      <w:bodyDiv w:val="1"/>
      <w:marLeft w:val="0"/>
      <w:marRight w:val="0"/>
      <w:marTop w:val="0"/>
      <w:marBottom w:val="0"/>
      <w:divBdr>
        <w:top w:val="none" w:sz="0" w:space="0" w:color="auto"/>
        <w:left w:val="none" w:sz="0" w:space="0" w:color="auto"/>
        <w:bottom w:val="none" w:sz="0" w:space="0" w:color="auto"/>
        <w:right w:val="none" w:sz="0" w:space="0" w:color="auto"/>
      </w:divBdr>
    </w:div>
    <w:div w:id="604536734">
      <w:bodyDiv w:val="1"/>
      <w:marLeft w:val="0"/>
      <w:marRight w:val="0"/>
      <w:marTop w:val="0"/>
      <w:marBottom w:val="0"/>
      <w:divBdr>
        <w:top w:val="none" w:sz="0" w:space="0" w:color="auto"/>
        <w:left w:val="none" w:sz="0" w:space="0" w:color="auto"/>
        <w:bottom w:val="none" w:sz="0" w:space="0" w:color="auto"/>
        <w:right w:val="none" w:sz="0" w:space="0" w:color="auto"/>
      </w:divBdr>
      <w:divsChild>
        <w:div w:id="1641302042">
          <w:marLeft w:val="0"/>
          <w:marRight w:val="0"/>
          <w:marTop w:val="90"/>
          <w:marBottom w:val="0"/>
          <w:divBdr>
            <w:top w:val="none" w:sz="0" w:space="0" w:color="auto"/>
            <w:left w:val="none" w:sz="0" w:space="0" w:color="auto"/>
            <w:bottom w:val="none" w:sz="0" w:space="0" w:color="auto"/>
            <w:right w:val="none" w:sz="0" w:space="0" w:color="auto"/>
          </w:divBdr>
          <w:divsChild>
            <w:div w:id="583685725">
              <w:marLeft w:val="0"/>
              <w:marRight w:val="0"/>
              <w:marTop w:val="0"/>
              <w:marBottom w:val="0"/>
              <w:divBdr>
                <w:top w:val="none" w:sz="0" w:space="0" w:color="auto"/>
                <w:left w:val="none" w:sz="0" w:space="0" w:color="auto"/>
                <w:bottom w:val="none" w:sz="0" w:space="0" w:color="auto"/>
                <w:right w:val="none" w:sz="0" w:space="0" w:color="auto"/>
              </w:divBdr>
              <w:divsChild>
                <w:div w:id="1179807229">
                  <w:marLeft w:val="0"/>
                  <w:marRight w:val="0"/>
                  <w:marTop w:val="0"/>
                  <w:marBottom w:val="0"/>
                  <w:divBdr>
                    <w:top w:val="none" w:sz="0" w:space="0" w:color="auto"/>
                    <w:left w:val="none" w:sz="0" w:space="0" w:color="auto"/>
                    <w:bottom w:val="none" w:sz="0" w:space="0" w:color="auto"/>
                    <w:right w:val="none" w:sz="0" w:space="0" w:color="auto"/>
                  </w:divBdr>
                  <w:divsChild>
                    <w:div w:id="1213494562">
                      <w:marLeft w:val="0"/>
                      <w:marRight w:val="0"/>
                      <w:marTop w:val="0"/>
                      <w:marBottom w:val="0"/>
                      <w:divBdr>
                        <w:top w:val="none" w:sz="0" w:space="0" w:color="auto"/>
                        <w:left w:val="none" w:sz="0" w:space="0" w:color="auto"/>
                        <w:bottom w:val="none" w:sz="0" w:space="0" w:color="auto"/>
                        <w:right w:val="none" w:sz="0" w:space="0" w:color="auto"/>
                      </w:divBdr>
                      <w:divsChild>
                        <w:div w:id="1021858136">
                          <w:marLeft w:val="0"/>
                          <w:marRight w:val="0"/>
                          <w:marTop w:val="0"/>
                          <w:marBottom w:val="390"/>
                          <w:divBdr>
                            <w:top w:val="none" w:sz="0" w:space="0" w:color="auto"/>
                            <w:left w:val="none" w:sz="0" w:space="0" w:color="auto"/>
                            <w:bottom w:val="none" w:sz="0" w:space="0" w:color="auto"/>
                            <w:right w:val="none" w:sz="0" w:space="0" w:color="auto"/>
                          </w:divBdr>
                          <w:divsChild>
                            <w:div w:id="7023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25974447">
      <w:bodyDiv w:val="1"/>
      <w:marLeft w:val="0"/>
      <w:marRight w:val="0"/>
      <w:marTop w:val="0"/>
      <w:marBottom w:val="0"/>
      <w:divBdr>
        <w:top w:val="none" w:sz="0" w:space="0" w:color="auto"/>
        <w:left w:val="none" w:sz="0" w:space="0" w:color="auto"/>
        <w:bottom w:val="none" w:sz="0" w:space="0" w:color="auto"/>
        <w:right w:val="none" w:sz="0" w:space="0" w:color="auto"/>
      </w:divBdr>
    </w:div>
    <w:div w:id="860700108">
      <w:bodyDiv w:val="1"/>
      <w:marLeft w:val="0"/>
      <w:marRight w:val="0"/>
      <w:marTop w:val="0"/>
      <w:marBottom w:val="0"/>
      <w:divBdr>
        <w:top w:val="none" w:sz="0" w:space="0" w:color="auto"/>
        <w:left w:val="none" w:sz="0" w:space="0" w:color="auto"/>
        <w:bottom w:val="none" w:sz="0" w:space="0" w:color="auto"/>
        <w:right w:val="none" w:sz="0" w:space="0" w:color="auto"/>
      </w:divBdr>
      <w:divsChild>
        <w:div w:id="2094357316">
          <w:marLeft w:val="590"/>
          <w:marRight w:val="0"/>
          <w:marTop w:val="120"/>
          <w:marBottom w:val="120"/>
          <w:divBdr>
            <w:top w:val="none" w:sz="0" w:space="0" w:color="auto"/>
            <w:left w:val="none" w:sz="0" w:space="0" w:color="auto"/>
            <w:bottom w:val="none" w:sz="0" w:space="0" w:color="auto"/>
            <w:right w:val="none" w:sz="0" w:space="0" w:color="auto"/>
          </w:divBdr>
        </w:div>
        <w:div w:id="1717584708">
          <w:marLeft w:val="590"/>
          <w:marRight w:val="0"/>
          <w:marTop w:val="120"/>
          <w:marBottom w:val="120"/>
          <w:divBdr>
            <w:top w:val="none" w:sz="0" w:space="0" w:color="auto"/>
            <w:left w:val="none" w:sz="0" w:space="0" w:color="auto"/>
            <w:bottom w:val="none" w:sz="0" w:space="0" w:color="auto"/>
            <w:right w:val="none" w:sz="0" w:space="0" w:color="auto"/>
          </w:divBdr>
        </w:div>
        <w:div w:id="2130121992">
          <w:marLeft w:val="590"/>
          <w:marRight w:val="0"/>
          <w:marTop w:val="120"/>
          <w:marBottom w:val="120"/>
          <w:divBdr>
            <w:top w:val="none" w:sz="0" w:space="0" w:color="auto"/>
            <w:left w:val="none" w:sz="0" w:space="0" w:color="auto"/>
            <w:bottom w:val="none" w:sz="0" w:space="0" w:color="auto"/>
            <w:right w:val="none" w:sz="0" w:space="0" w:color="auto"/>
          </w:divBdr>
        </w:div>
        <w:div w:id="728191930">
          <w:marLeft w:val="590"/>
          <w:marRight w:val="0"/>
          <w:marTop w:val="120"/>
          <w:marBottom w:val="120"/>
          <w:divBdr>
            <w:top w:val="none" w:sz="0" w:space="0" w:color="auto"/>
            <w:left w:val="none" w:sz="0" w:space="0" w:color="auto"/>
            <w:bottom w:val="none" w:sz="0" w:space="0" w:color="auto"/>
            <w:right w:val="none" w:sz="0" w:space="0" w:color="auto"/>
          </w:divBdr>
        </w:div>
        <w:div w:id="1322001345">
          <w:marLeft w:val="590"/>
          <w:marRight w:val="0"/>
          <w:marTop w:val="120"/>
          <w:marBottom w:val="120"/>
          <w:divBdr>
            <w:top w:val="none" w:sz="0" w:space="0" w:color="auto"/>
            <w:left w:val="none" w:sz="0" w:space="0" w:color="auto"/>
            <w:bottom w:val="none" w:sz="0" w:space="0" w:color="auto"/>
            <w:right w:val="none" w:sz="0" w:space="0" w:color="auto"/>
          </w:divBdr>
        </w:div>
        <w:div w:id="627319268">
          <w:marLeft w:val="590"/>
          <w:marRight w:val="0"/>
          <w:marTop w:val="120"/>
          <w:marBottom w:val="120"/>
          <w:divBdr>
            <w:top w:val="none" w:sz="0" w:space="0" w:color="auto"/>
            <w:left w:val="none" w:sz="0" w:space="0" w:color="auto"/>
            <w:bottom w:val="none" w:sz="0" w:space="0" w:color="auto"/>
            <w:right w:val="none" w:sz="0" w:space="0" w:color="auto"/>
          </w:divBdr>
        </w:div>
      </w:divsChild>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999579987">
      <w:bodyDiv w:val="1"/>
      <w:marLeft w:val="0"/>
      <w:marRight w:val="0"/>
      <w:marTop w:val="0"/>
      <w:marBottom w:val="0"/>
      <w:divBdr>
        <w:top w:val="none" w:sz="0" w:space="0" w:color="auto"/>
        <w:left w:val="none" w:sz="0" w:space="0" w:color="auto"/>
        <w:bottom w:val="none" w:sz="0" w:space="0" w:color="auto"/>
        <w:right w:val="none" w:sz="0" w:space="0" w:color="auto"/>
      </w:divBdr>
    </w:div>
    <w:div w:id="1022435618">
      <w:bodyDiv w:val="1"/>
      <w:marLeft w:val="0"/>
      <w:marRight w:val="0"/>
      <w:marTop w:val="0"/>
      <w:marBottom w:val="0"/>
      <w:divBdr>
        <w:top w:val="none" w:sz="0" w:space="0" w:color="auto"/>
        <w:left w:val="none" w:sz="0" w:space="0" w:color="auto"/>
        <w:bottom w:val="none" w:sz="0" w:space="0" w:color="auto"/>
        <w:right w:val="none" w:sz="0" w:space="0" w:color="auto"/>
      </w:divBdr>
      <w:divsChild>
        <w:div w:id="840971609">
          <w:marLeft w:val="0"/>
          <w:marRight w:val="0"/>
          <w:marTop w:val="90"/>
          <w:marBottom w:val="0"/>
          <w:divBdr>
            <w:top w:val="none" w:sz="0" w:space="0" w:color="auto"/>
            <w:left w:val="none" w:sz="0" w:space="0" w:color="auto"/>
            <w:bottom w:val="none" w:sz="0" w:space="0" w:color="auto"/>
            <w:right w:val="none" w:sz="0" w:space="0" w:color="auto"/>
          </w:divBdr>
          <w:divsChild>
            <w:div w:id="793058481">
              <w:marLeft w:val="0"/>
              <w:marRight w:val="0"/>
              <w:marTop w:val="0"/>
              <w:marBottom w:val="0"/>
              <w:divBdr>
                <w:top w:val="none" w:sz="0" w:space="0" w:color="auto"/>
                <w:left w:val="none" w:sz="0" w:space="0" w:color="auto"/>
                <w:bottom w:val="none" w:sz="0" w:space="0" w:color="auto"/>
                <w:right w:val="none" w:sz="0" w:space="0" w:color="auto"/>
              </w:divBdr>
              <w:divsChild>
                <w:div w:id="675572464">
                  <w:marLeft w:val="0"/>
                  <w:marRight w:val="0"/>
                  <w:marTop w:val="0"/>
                  <w:marBottom w:val="0"/>
                  <w:divBdr>
                    <w:top w:val="none" w:sz="0" w:space="0" w:color="auto"/>
                    <w:left w:val="none" w:sz="0" w:space="0" w:color="auto"/>
                    <w:bottom w:val="none" w:sz="0" w:space="0" w:color="auto"/>
                    <w:right w:val="none" w:sz="0" w:space="0" w:color="auto"/>
                  </w:divBdr>
                  <w:divsChild>
                    <w:div w:id="1422875879">
                      <w:marLeft w:val="0"/>
                      <w:marRight w:val="0"/>
                      <w:marTop w:val="0"/>
                      <w:marBottom w:val="0"/>
                      <w:divBdr>
                        <w:top w:val="none" w:sz="0" w:space="0" w:color="auto"/>
                        <w:left w:val="none" w:sz="0" w:space="0" w:color="auto"/>
                        <w:bottom w:val="none" w:sz="0" w:space="0" w:color="auto"/>
                        <w:right w:val="none" w:sz="0" w:space="0" w:color="auto"/>
                      </w:divBdr>
                      <w:divsChild>
                        <w:div w:id="1027296043">
                          <w:marLeft w:val="0"/>
                          <w:marRight w:val="0"/>
                          <w:marTop w:val="0"/>
                          <w:marBottom w:val="390"/>
                          <w:divBdr>
                            <w:top w:val="none" w:sz="0" w:space="0" w:color="auto"/>
                            <w:left w:val="none" w:sz="0" w:space="0" w:color="auto"/>
                            <w:bottom w:val="none" w:sz="0" w:space="0" w:color="auto"/>
                            <w:right w:val="none" w:sz="0" w:space="0" w:color="auto"/>
                          </w:divBdr>
                          <w:divsChild>
                            <w:div w:id="1227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984608">
      <w:bodyDiv w:val="1"/>
      <w:marLeft w:val="0"/>
      <w:marRight w:val="0"/>
      <w:marTop w:val="0"/>
      <w:marBottom w:val="0"/>
      <w:divBdr>
        <w:top w:val="none" w:sz="0" w:space="0" w:color="auto"/>
        <w:left w:val="none" w:sz="0" w:space="0" w:color="auto"/>
        <w:bottom w:val="none" w:sz="0" w:space="0" w:color="auto"/>
        <w:right w:val="none" w:sz="0" w:space="0" w:color="auto"/>
      </w:divBdr>
    </w:div>
    <w:div w:id="1350180517">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 w:id="1408112583">
      <w:bodyDiv w:val="1"/>
      <w:marLeft w:val="0"/>
      <w:marRight w:val="0"/>
      <w:marTop w:val="0"/>
      <w:marBottom w:val="0"/>
      <w:divBdr>
        <w:top w:val="none" w:sz="0" w:space="0" w:color="auto"/>
        <w:left w:val="none" w:sz="0" w:space="0" w:color="auto"/>
        <w:bottom w:val="none" w:sz="0" w:space="0" w:color="auto"/>
        <w:right w:val="none" w:sz="0" w:space="0" w:color="auto"/>
      </w:divBdr>
    </w:div>
    <w:div w:id="1477795710">
      <w:bodyDiv w:val="1"/>
      <w:marLeft w:val="0"/>
      <w:marRight w:val="0"/>
      <w:marTop w:val="0"/>
      <w:marBottom w:val="0"/>
      <w:divBdr>
        <w:top w:val="none" w:sz="0" w:space="0" w:color="auto"/>
        <w:left w:val="none" w:sz="0" w:space="0" w:color="auto"/>
        <w:bottom w:val="none" w:sz="0" w:space="0" w:color="auto"/>
        <w:right w:val="none" w:sz="0" w:space="0" w:color="auto"/>
      </w:divBdr>
      <w:divsChild>
        <w:div w:id="1770391918">
          <w:marLeft w:val="0"/>
          <w:marRight w:val="0"/>
          <w:marTop w:val="90"/>
          <w:marBottom w:val="0"/>
          <w:divBdr>
            <w:top w:val="none" w:sz="0" w:space="0" w:color="auto"/>
            <w:left w:val="none" w:sz="0" w:space="0" w:color="auto"/>
            <w:bottom w:val="none" w:sz="0" w:space="0" w:color="auto"/>
            <w:right w:val="none" w:sz="0" w:space="0" w:color="auto"/>
          </w:divBdr>
          <w:divsChild>
            <w:div w:id="1832797018">
              <w:marLeft w:val="0"/>
              <w:marRight w:val="0"/>
              <w:marTop w:val="0"/>
              <w:marBottom w:val="0"/>
              <w:divBdr>
                <w:top w:val="none" w:sz="0" w:space="0" w:color="auto"/>
                <w:left w:val="none" w:sz="0" w:space="0" w:color="auto"/>
                <w:bottom w:val="none" w:sz="0" w:space="0" w:color="auto"/>
                <w:right w:val="none" w:sz="0" w:space="0" w:color="auto"/>
              </w:divBdr>
              <w:divsChild>
                <w:div w:id="1274089673">
                  <w:marLeft w:val="0"/>
                  <w:marRight w:val="0"/>
                  <w:marTop w:val="0"/>
                  <w:marBottom w:val="0"/>
                  <w:divBdr>
                    <w:top w:val="none" w:sz="0" w:space="0" w:color="auto"/>
                    <w:left w:val="none" w:sz="0" w:space="0" w:color="auto"/>
                    <w:bottom w:val="none" w:sz="0" w:space="0" w:color="auto"/>
                    <w:right w:val="none" w:sz="0" w:space="0" w:color="auto"/>
                  </w:divBdr>
                  <w:divsChild>
                    <w:div w:id="1576278727">
                      <w:marLeft w:val="0"/>
                      <w:marRight w:val="0"/>
                      <w:marTop w:val="0"/>
                      <w:marBottom w:val="0"/>
                      <w:divBdr>
                        <w:top w:val="none" w:sz="0" w:space="0" w:color="auto"/>
                        <w:left w:val="none" w:sz="0" w:space="0" w:color="auto"/>
                        <w:bottom w:val="none" w:sz="0" w:space="0" w:color="auto"/>
                        <w:right w:val="none" w:sz="0" w:space="0" w:color="auto"/>
                      </w:divBdr>
                      <w:divsChild>
                        <w:div w:id="1205869085">
                          <w:marLeft w:val="0"/>
                          <w:marRight w:val="0"/>
                          <w:marTop w:val="0"/>
                          <w:marBottom w:val="390"/>
                          <w:divBdr>
                            <w:top w:val="none" w:sz="0" w:space="0" w:color="auto"/>
                            <w:left w:val="none" w:sz="0" w:space="0" w:color="auto"/>
                            <w:bottom w:val="none" w:sz="0" w:space="0" w:color="auto"/>
                            <w:right w:val="none" w:sz="0" w:space="0" w:color="auto"/>
                          </w:divBdr>
                          <w:divsChild>
                            <w:div w:id="803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8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odmicrote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vestor-relations@roodmicrotec.com" TargetMode="External"/><Relationship Id="rId4" Type="http://schemas.openxmlformats.org/officeDocument/2006/relationships/styles" Target="styles.xml"/><Relationship Id="rId9" Type="http://schemas.openxmlformats.org/officeDocument/2006/relationships/hyperlink" Target="http://www.roodmicrote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67A0-54CA-4F9C-B856-81F746FDC93B}">
  <ds:schemaRefs>
    <ds:schemaRef ds:uri="http://schemas.openxmlformats.org/officeDocument/2006/bibliography"/>
  </ds:schemaRefs>
</ds:datastoreItem>
</file>

<file path=customXml/itemProps2.xml><?xml version="1.0" encoding="utf-8"?>
<ds:datastoreItem xmlns:ds="http://schemas.openxmlformats.org/officeDocument/2006/customXml" ds:itemID="{B40FD4DC-3DFC-48B3-92B4-DE30ABF5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2544</Words>
  <Characters>16030</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3</cp:revision>
  <cp:lastPrinted>2017-03-09T04:59:00Z</cp:lastPrinted>
  <dcterms:created xsi:type="dcterms:W3CDTF">2017-03-09T04:57:00Z</dcterms:created>
  <dcterms:modified xsi:type="dcterms:W3CDTF">2017-03-09T04:59:00Z</dcterms:modified>
</cp:coreProperties>
</file>