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8A6" w:rsidRDefault="00D7156E" w:rsidP="00D73A71">
      <w:pPr>
        <w:pStyle w:val="berschrift1"/>
      </w:pPr>
      <w:proofErr w:type="spellStart"/>
      <w:r w:rsidRPr="00D7156E">
        <w:t>RoodMicrotec’s</w:t>
      </w:r>
      <w:proofErr w:type="spellEnd"/>
      <w:r w:rsidRPr="00D7156E">
        <w:t xml:space="preserve"> half year sales rises 19 percent</w:t>
      </w:r>
    </w:p>
    <w:p w:rsidR="00D7156E" w:rsidRPr="00010D5C" w:rsidRDefault="00D7156E" w:rsidP="00D7156E">
      <w:pPr>
        <w:pStyle w:val="Listenabsatz"/>
        <w:numPr>
          <w:ilvl w:val="0"/>
          <w:numId w:val="2"/>
        </w:numPr>
        <w:spacing w:after="200"/>
        <w:rPr>
          <w:b/>
          <w:lang w:val="en-GB"/>
        </w:rPr>
      </w:pPr>
      <w:r w:rsidRPr="00010D5C">
        <w:rPr>
          <w:b/>
          <w:lang w:val="en-GB"/>
        </w:rPr>
        <w:t>Maintained high book-to-bill ratio well above one</w:t>
      </w:r>
    </w:p>
    <w:p w:rsidR="00D7156E" w:rsidRPr="00010D5C" w:rsidRDefault="00D7156E" w:rsidP="00D7156E">
      <w:pPr>
        <w:pStyle w:val="Listenabsatz"/>
        <w:numPr>
          <w:ilvl w:val="0"/>
          <w:numId w:val="2"/>
        </w:numPr>
        <w:spacing w:after="200"/>
        <w:rPr>
          <w:b/>
          <w:lang w:val="en-GB"/>
        </w:rPr>
      </w:pPr>
      <w:r w:rsidRPr="00010D5C">
        <w:rPr>
          <w:b/>
          <w:lang w:val="en-GB"/>
        </w:rPr>
        <w:t>High economic growth rates in Supply Chain Management and Test Engineering</w:t>
      </w:r>
    </w:p>
    <w:p w:rsidR="00D7156E" w:rsidRPr="00010D5C" w:rsidRDefault="00D7156E" w:rsidP="00D7156E">
      <w:pPr>
        <w:pStyle w:val="Listenabsatz"/>
        <w:numPr>
          <w:ilvl w:val="0"/>
          <w:numId w:val="2"/>
        </w:numPr>
        <w:spacing w:after="200"/>
        <w:rPr>
          <w:b/>
          <w:lang w:val="en-GB"/>
        </w:rPr>
      </w:pPr>
      <w:r w:rsidRPr="00010D5C">
        <w:rPr>
          <w:b/>
          <w:lang w:val="en-GB"/>
        </w:rPr>
        <w:t>Automotive top-selling sector with 35 percent increase over first half last year</w:t>
      </w:r>
    </w:p>
    <w:p w:rsidR="00D7156E" w:rsidRPr="00D7156E" w:rsidRDefault="00D7156E" w:rsidP="00D7156E">
      <w:pPr>
        <w:ind w:left="227" w:right="284"/>
        <w:jc w:val="both"/>
        <w:rPr>
          <w:rFonts w:cs="Segoe UI"/>
          <w:szCs w:val="20"/>
          <w:lang w:val="en-GB"/>
        </w:rPr>
      </w:pPr>
      <w:proofErr w:type="spellStart"/>
      <w:r w:rsidRPr="00D7156E">
        <w:rPr>
          <w:rFonts w:cs="Segoe UI"/>
          <w:color w:val="B71234"/>
          <w:szCs w:val="20"/>
          <w:lang w:val="en-GB"/>
        </w:rPr>
        <w:t>Rood</w:t>
      </w:r>
      <w:r w:rsidRPr="00D7156E">
        <w:rPr>
          <w:rFonts w:cs="Segoe UI"/>
          <w:szCs w:val="20"/>
          <w:lang w:val="en-GB"/>
        </w:rPr>
        <w:t>Microtec</w:t>
      </w:r>
      <w:proofErr w:type="spellEnd"/>
      <w:r w:rsidRPr="00D7156E">
        <w:rPr>
          <w:rFonts w:cs="Segoe UI"/>
          <w:szCs w:val="20"/>
          <w:lang w:val="en-GB"/>
        </w:rPr>
        <w:t xml:space="preserve">, the Dutch supplier of semiconductors and advanced microchips, increased its half year sales by 19 percent year-on-year due to its good order situation at a maintained high book-to-bill ratio well above one. Especially the areas Supply Chain Management (SCM) and Test Engineering registered high economic growth rates. </w:t>
      </w:r>
    </w:p>
    <w:p w:rsidR="00D7156E" w:rsidRPr="00D7156E" w:rsidRDefault="00D7156E" w:rsidP="00D7156E">
      <w:pPr>
        <w:ind w:left="227" w:right="284"/>
        <w:jc w:val="both"/>
        <w:rPr>
          <w:rFonts w:cs="Segoe UI"/>
          <w:szCs w:val="20"/>
          <w:lang w:val="en-GB"/>
        </w:rPr>
      </w:pPr>
      <w:r w:rsidRPr="00D7156E">
        <w:rPr>
          <w:rFonts w:cs="Segoe UI"/>
          <w:szCs w:val="20"/>
          <w:lang w:val="en-GB"/>
        </w:rPr>
        <w:t xml:space="preserve">Within the markets, </w:t>
      </w:r>
      <w:proofErr w:type="spellStart"/>
      <w:r w:rsidRPr="00D7156E">
        <w:rPr>
          <w:rFonts w:cs="Segoe UI"/>
          <w:color w:val="B71234"/>
          <w:szCs w:val="20"/>
          <w:lang w:val="en-GB"/>
        </w:rPr>
        <w:t>Rood</w:t>
      </w:r>
      <w:r w:rsidRPr="00D7156E">
        <w:rPr>
          <w:rFonts w:cs="Segoe UI"/>
          <w:szCs w:val="20"/>
          <w:lang w:val="en-GB"/>
        </w:rPr>
        <w:t>Microtec</w:t>
      </w:r>
      <w:proofErr w:type="spellEnd"/>
      <w:r w:rsidRPr="00D7156E">
        <w:rPr>
          <w:rFonts w:cs="Segoe UI"/>
          <w:szCs w:val="20"/>
          <w:lang w:val="en-GB"/>
        </w:rPr>
        <w:t xml:space="preserve"> scored especially in the </w:t>
      </w:r>
      <w:proofErr w:type="gramStart"/>
      <w:r w:rsidRPr="00D7156E">
        <w:rPr>
          <w:rFonts w:cs="Segoe UI"/>
          <w:szCs w:val="20"/>
          <w:lang w:val="en-GB"/>
        </w:rPr>
        <w:t>Automotive</w:t>
      </w:r>
      <w:proofErr w:type="gramEnd"/>
      <w:r w:rsidRPr="00D7156E">
        <w:rPr>
          <w:rFonts w:cs="Segoe UI"/>
          <w:szCs w:val="20"/>
          <w:lang w:val="en-GB"/>
        </w:rPr>
        <w:t xml:space="preserve"> sector with an economic growth of 35 percent year over year and 15 percent growth in the Industrial sector. </w:t>
      </w:r>
    </w:p>
    <w:p w:rsidR="00D7156E" w:rsidRPr="00D7156E" w:rsidRDefault="00D7156E" w:rsidP="00D7156E">
      <w:pPr>
        <w:ind w:left="227" w:right="284"/>
        <w:jc w:val="both"/>
        <w:rPr>
          <w:rFonts w:cs="Segoe UI"/>
          <w:szCs w:val="20"/>
          <w:lang w:val="en-GB"/>
        </w:rPr>
      </w:pPr>
      <w:r w:rsidRPr="00D7156E">
        <w:rPr>
          <w:rFonts w:cs="Segoe UI"/>
          <w:szCs w:val="20"/>
          <w:lang w:val="en-GB"/>
        </w:rPr>
        <w:t xml:space="preserve">Furthermore, </w:t>
      </w:r>
      <w:proofErr w:type="spellStart"/>
      <w:r w:rsidRPr="00D7156E">
        <w:rPr>
          <w:rFonts w:cs="Segoe UI"/>
          <w:color w:val="B71234"/>
          <w:szCs w:val="20"/>
          <w:lang w:val="en-GB"/>
        </w:rPr>
        <w:t>Rood</w:t>
      </w:r>
      <w:r w:rsidRPr="00D7156E">
        <w:rPr>
          <w:rFonts w:cs="Segoe UI"/>
          <w:szCs w:val="20"/>
          <w:lang w:val="en-GB"/>
        </w:rPr>
        <w:t>Microtec</w:t>
      </w:r>
      <w:proofErr w:type="spellEnd"/>
      <w:r w:rsidRPr="00D7156E">
        <w:rPr>
          <w:rFonts w:cs="Segoe UI"/>
          <w:szCs w:val="20"/>
          <w:lang w:val="en-GB"/>
        </w:rPr>
        <w:t xml:space="preserve"> has taken two of currently six major SCM projects within the Automotive and Healthcare sector into the production phase over the last few months. The client of the Healthcare SCM project has significantly expanded the expected production cycle from five to now 15 years.</w:t>
      </w:r>
    </w:p>
    <w:p w:rsidR="009D1A77" w:rsidRDefault="00D7156E" w:rsidP="00D7156E">
      <w:pPr>
        <w:ind w:left="227" w:right="284"/>
        <w:jc w:val="both"/>
        <w:rPr>
          <w:rFonts w:cs="Segoe UI"/>
          <w:szCs w:val="20"/>
          <w:lang w:val="en-GB"/>
        </w:rPr>
      </w:pPr>
      <w:r w:rsidRPr="00D7156E">
        <w:rPr>
          <w:rFonts w:cs="Segoe UI"/>
          <w:i/>
          <w:szCs w:val="20"/>
          <w:lang w:val="en-GB"/>
        </w:rPr>
        <w:t xml:space="preserve">“I’m very pleased with the 19 percent sales growth rate in the first half year which moves us strongly towards our goal of reaching the cross over point where a positive quarterly net profit is reached this year. The figures </w:t>
      </w:r>
      <w:proofErr w:type="gramStart"/>
      <w:r w:rsidRPr="00D7156E">
        <w:rPr>
          <w:rFonts w:cs="Segoe UI"/>
          <w:i/>
          <w:szCs w:val="20"/>
          <w:lang w:val="en-GB"/>
        </w:rPr>
        <w:t>prove,</w:t>
      </w:r>
      <w:proofErr w:type="gramEnd"/>
      <w:r w:rsidRPr="00D7156E">
        <w:rPr>
          <w:rFonts w:cs="Segoe UI"/>
          <w:i/>
          <w:szCs w:val="20"/>
          <w:lang w:val="en-GB"/>
        </w:rPr>
        <w:t xml:space="preserve"> that we have a good reputation with established as well as new clients. The high economic growth in SCM and Test Engineering confirms our strategy and service portfolio,”</w:t>
      </w:r>
      <w:r w:rsidRPr="00D7156E">
        <w:rPr>
          <w:rFonts w:cs="Segoe UI"/>
          <w:szCs w:val="20"/>
          <w:lang w:val="en-GB"/>
        </w:rPr>
        <w:t xml:space="preserve"> said </w:t>
      </w:r>
      <w:proofErr w:type="spellStart"/>
      <w:r w:rsidRPr="00D7156E">
        <w:rPr>
          <w:rFonts w:cs="Segoe UI"/>
          <w:color w:val="B71234"/>
          <w:szCs w:val="20"/>
          <w:lang w:val="en-GB"/>
        </w:rPr>
        <w:t>Rood</w:t>
      </w:r>
      <w:r w:rsidRPr="00D7156E">
        <w:rPr>
          <w:rFonts w:cs="Segoe UI"/>
          <w:szCs w:val="20"/>
          <w:lang w:val="en-GB"/>
        </w:rPr>
        <w:t>Microtec</w:t>
      </w:r>
      <w:proofErr w:type="spellEnd"/>
      <w:r w:rsidRPr="00D7156E">
        <w:rPr>
          <w:rFonts w:cs="Segoe UI"/>
          <w:szCs w:val="20"/>
          <w:lang w:val="en-GB"/>
        </w:rPr>
        <w:t xml:space="preserve"> CEO Martin </w:t>
      </w:r>
      <w:proofErr w:type="spellStart"/>
      <w:r w:rsidRPr="00D7156E">
        <w:rPr>
          <w:rFonts w:cs="Segoe UI"/>
          <w:szCs w:val="20"/>
          <w:lang w:val="en-GB"/>
        </w:rPr>
        <w:t>Sallenhag</w:t>
      </w:r>
      <w:proofErr w:type="spellEnd"/>
      <w:r w:rsidRPr="00D7156E">
        <w:rPr>
          <w:rFonts w:cs="Segoe UI"/>
          <w:szCs w:val="20"/>
          <w:lang w:val="en-GB"/>
        </w:rPr>
        <w:t>.</w:t>
      </w:r>
    </w:p>
    <w:p w:rsidR="00D7156E" w:rsidRDefault="00D7156E" w:rsidP="00D7156E">
      <w:pPr>
        <w:ind w:left="227" w:right="284"/>
        <w:jc w:val="both"/>
        <w:rPr>
          <w:rFonts w:cs="Segoe UI"/>
          <w:szCs w:val="20"/>
          <w:lang w:val="en-GB"/>
        </w:rPr>
      </w:pPr>
    </w:p>
    <w:p w:rsidR="00D7156E" w:rsidRPr="007557BE" w:rsidRDefault="00D7156E" w:rsidP="00D7156E">
      <w:pPr>
        <w:ind w:left="227"/>
        <w:rPr>
          <w:b/>
          <w:color w:val="B71234"/>
          <w:sz w:val="22"/>
          <w:lang w:val="en-GB"/>
        </w:rPr>
      </w:pPr>
      <w:r w:rsidRPr="007557BE">
        <w:rPr>
          <w:b/>
          <w:color w:val="B71234"/>
          <w:sz w:val="22"/>
          <w:lang w:val="en-GB"/>
        </w:rPr>
        <w:t xml:space="preserve">Sales by business unit in the first half of 2017 compared to </w:t>
      </w:r>
      <w:r w:rsidR="008C621D" w:rsidRPr="007557BE">
        <w:rPr>
          <w:b/>
          <w:color w:val="B71234"/>
          <w:sz w:val="22"/>
          <w:lang w:val="en-GB"/>
        </w:rPr>
        <w:t>first half of 2016</w:t>
      </w:r>
    </w:p>
    <w:tbl>
      <w:tblPr>
        <w:tblStyle w:val="Tabellengitternetz"/>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1843"/>
        <w:gridCol w:w="1843"/>
        <w:gridCol w:w="1843"/>
      </w:tblGrid>
      <w:tr w:rsidR="00D7156E" w:rsidRPr="00D7156E" w:rsidTr="00D7156E">
        <w:trPr>
          <w:trHeight w:hRule="exact" w:val="284"/>
        </w:trPr>
        <w:tc>
          <w:tcPr>
            <w:tcW w:w="3510" w:type="dxa"/>
          </w:tcPr>
          <w:p w:rsidR="00D7156E" w:rsidRPr="00D7156E" w:rsidRDefault="00D7156E" w:rsidP="00233B1A">
            <w:pPr>
              <w:rPr>
                <w:b/>
                <w:sz w:val="20"/>
                <w:szCs w:val="20"/>
                <w:lang w:val="en-GB"/>
              </w:rPr>
            </w:pPr>
            <w:r w:rsidRPr="00D7156E">
              <w:rPr>
                <w:b/>
                <w:sz w:val="20"/>
                <w:szCs w:val="20"/>
                <w:lang w:val="en-GB"/>
              </w:rPr>
              <w:t>(x € 1,000)</w:t>
            </w:r>
          </w:p>
        </w:tc>
        <w:tc>
          <w:tcPr>
            <w:tcW w:w="1843" w:type="dxa"/>
          </w:tcPr>
          <w:p w:rsidR="00D7156E" w:rsidRPr="00D7156E" w:rsidRDefault="00D7156E" w:rsidP="00233B1A">
            <w:pPr>
              <w:jc w:val="right"/>
              <w:rPr>
                <w:b/>
                <w:sz w:val="20"/>
                <w:szCs w:val="20"/>
                <w:lang w:val="en-GB"/>
              </w:rPr>
            </w:pPr>
            <w:r w:rsidRPr="00D7156E">
              <w:rPr>
                <w:b/>
                <w:sz w:val="20"/>
                <w:szCs w:val="20"/>
                <w:lang w:val="en-GB"/>
              </w:rPr>
              <w:t>HY1 2017</w:t>
            </w:r>
          </w:p>
        </w:tc>
        <w:tc>
          <w:tcPr>
            <w:tcW w:w="1843" w:type="dxa"/>
          </w:tcPr>
          <w:p w:rsidR="00D7156E" w:rsidRPr="00D7156E" w:rsidRDefault="00D7156E" w:rsidP="00233B1A">
            <w:pPr>
              <w:jc w:val="right"/>
              <w:rPr>
                <w:b/>
                <w:sz w:val="20"/>
                <w:szCs w:val="20"/>
                <w:lang w:val="en-GB"/>
              </w:rPr>
            </w:pPr>
            <w:r w:rsidRPr="00D7156E">
              <w:rPr>
                <w:b/>
                <w:sz w:val="20"/>
                <w:szCs w:val="20"/>
                <w:lang w:val="en-GB"/>
              </w:rPr>
              <w:t>HY1 2016</w:t>
            </w:r>
          </w:p>
        </w:tc>
        <w:tc>
          <w:tcPr>
            <w:tcW w:w="1843" w:type="dxa"/>
          </w:tcPr>
          <w:p w:rsidR="00D7156E" w:rsidRPr="00D7156E" w:rsidRDefault="00D7156E" w:rsidP="00233B1A">
            <w:pPr>
              <w:jc w:val="right"/>
              <w:rPr>
                <w:b/>
                <w:sz w:val="20"/>
                <w:szCs w:val="20"/>
                <w:lang w:val="en-GB"/>
              </w:rPr>
            </w:pPr>
            <w:r w:rsidRPr="00D7156E">
              <w:rPr>
                <w:b/>
                <w:sz w:val="20"/>
                <w:szCs w:val="20"/>
                <w:lang w:val="en-GB"/>
              </w:rPr>
              <w:t>Change</w:t>
            </w:r>
          </w:p>
        </w:tc>
      </w:tr>
      <w:tr w:rsidR="00D7156E" w:rsidRPr="00D7156E" w:rsidTr="00D7156E">
        <w:trPr>
          <w:trHeight w:hRule="exact" w:val="284"/>
        </w:trPr>
        <w:tc>
          <w:tcPr>
            <w:tcW w:w="3510" w:type="dxa"/>
          </w:tcPr>
          <w:p w:rsidR="00D7156E" w:rsidRPr="00D7156E" w:rsidRDefault="00D7156E" w:rsidP="00233B1A">
            <w:pPr>
              <w:rPr>
                <w:sz w:val="20"/>
                <w:szCs w:val="20"/>
                <w:lang w:val="en-GB"/>
              </w:rPr>
            </w:pPr>
          </w:p>
        </w:tc>
        <w:tc>
          <w:tcPr>
            <w:tcW w:w="1843" w:type="dxa"/>
          </w:tcPr>
          <w:p w:rsidR="00D7156E" w:rsidRPr="00D7156E" w:rsidRDefault="00D7156E" w:rsidP="00233B1A">
            <w:pPr>
              <w:jc w:val="right"/>
              <w:rPr>
                <w:sz w:val="20"/>
                <w:szCs w:val="20"/>
                <w:lang w:val="en-GB"/>
              </w:rPr>
            </w:pPr>
          </w:p>
        </w:tc>
        <w:tc>
          <w:tcPr>
            <w:tcW w:w="1843" w:type="dxa"/>
          </w:tcPr>
          <w:p w:rsidR="00D7156E" w:rsidRPr="00D7156E" w:rsidRDefault="00D7156E" w:rsidP="00233B1A">
            <w:pPr>
              <w:jc w:val="right"/>
              <w:rPr>
                <w:sz w:val="20"/>
                <w:szCs w:val="20"/>
                <w:lang w:val="en-GB"/>
              </w:rPr>
            </w:pPr>
          </w:p>
        </w:tc>
        <w:tc>
          <w:tcPr>
            <w:tcW w:w="1843" w:type="dxa"/>
          </w:tcPr>
          <w:p w:rsidR="00D7156E" w:rsidRPr="00D7156E" w:rsidRDefault="00D7156E" w:rsidP="00233B1A">
            <w:pPr>
              <w:jc w:val="right"/>
              <w:rPr>
                <w:sz w:val="20"/>
                <w:szCs w:val="20"/>
                <w:lang w:val="en-GB"/>
              </w:rPr>
            </w:pPr>
          </w:p>
        </w:tc>
      </w:tr>
      <w:tr w:rsidR="00D7156E" w:rsidRPr="00D7156E" w:rsidTr="00D7156E">
        <w:trPr>
          <w:trHeight w:hRule="exact" w:val="284"/>
        </w:trPr>
        <w:tc>
          <w:tcPr>
            <w:tcW w:w="3510" w:type="dxa"/>
          </w:tcPr>
          <w:p w:rsidR="00D7156E" w:rsidRPr="00D7156E" w:rsidRDefault="00D7156E" w:rsidP="00233B1A">
            <w:pPr>
              <w:rPr>
                <w:sz w:val="20"/>
                <w:szCs w:val="20"/>
                <w:lang w:val="en-GB"/>
              </w:rPr>
            </w:pPr>
            <w:r w:rsidRPr="00D7156E">
              <w:rPr>
                <w:sz w:val="20"/>
                <w:szCs w:val="20"/>
                <w:lang w:val="en-GB"/>
              </w:rPr>
              <w:t>Test Operations</w:t>
            </w:r>
          </w:p>
        </w:tc>
        <w:tc>
          <w:tcPr>
            <w:tcW w:w="1843" w:type="dxa"/>
          </w:tcPr>
          <w:p w:rsidR="00D7156E" w:rsidRPr="00D7156E" w:rsidRDefault="00D7156E" w:rsidP="00233B1A">
            <w:pPr>
              <w:jc w:val="right"/>
              <w:rPr>
                <w:sz w:val="20"/>
                <w:szCs w:val="20"/>
                <w:lang w:val="en-GB"/>
              </w:rPr>
            </w:pPr>
            <w:r w:rsidRPr="00D7156E">
              <w:rPr>
                <w:sz w:val="20"/>
                <w:szCs w:val="20"/>
                <w:lang w:val="en-GB"/>
              </w:rPr>
              <w:t>1,767</w:t>
            </w:r>
          </w:p>
        </w:tc>
        <w:tc>
          <w:tcPr>
            <w:tcW w:w="1843" w:type="dxa"/>
          </w:tcPr>
          <w:p w:rsidR="00D7156E" w:rsidRPr="00D7156E" w:rsidRDefault="00D7156E" w:rsidP="00233B1A">
            <w:pPr>
              <w:jc w:val="right"/>
              <w:rPr>
                <w:sz w:val="20"/>
                <w:szCs w:val="20"/>
                <w:lang w:val="en-GB"/>
              </w:rPr>
            </w:pPr>
            <w:r w:rsidRPr="00D7156E">
              <w:rPr>
                <w:sz w:val="20"/>
                <w:szCs w:val="20"/>
                <w:lang w:val="en-GB"/>
              </w:rPr>
              <w:t>1,702</w:t>
            </w:r>
          </w:p>
        </w:tc>
        <w:tc>
          <w:tcPr>
            <w:tcW w:w="1843" w:type="dxa"/>
          </w:tcPr>
          <w:p w:rsidR="00D7156E" w:rsidRPr="00D7156E" w:rsidRDefault="00D7156E" w:rsidP="00233B1A">
            <w:pPr>
              <w:jc w:val="right"/>
              <w:rPr>
                <w:sz w:val="20"/>
                <w:szCs w:val="20"/>
                <w:lang w:val="en-GB"/>
              </w:rPr>
            </w:pPr>
            <w:r w:rsidRPr="00D7156E">
              <w:rPr>
                <w:sz w:val="20"/>
                <w:szCs w:val="20"/>
                <w:lang w:val="en-GB"/>
              </w:rPr>
              <w:t>+4%</w:t>
            </w:r>
          </w:p>
        </w:tc>
      </w:tr>
      <w:tr w:rsidR="00D7156E" w:rsidRPr="00D7156E" w:rsidTr="00D7156E">
        <w:trPr>
          <w:trHeight w:hRule="exact" w:val="284"/>
        </w:trPr>
        <w:tc>
          <w:tcPr>
            <w:tcW w:w="3510" w:type="dxa"/>
          </w:tcPr>
          <w:p w:rsidR="00D7156E" w:rsidRPr="00D7156E" w:rsidRDefault="00D7156E" w:rsidP="00233B1A">
            <w:pPr>
              <w:rPr>
                <w:sz w:val="20"/>
                <w:szCs w:val="20"/>
                <w:lang w:val="en-GB"/>
              </w:rPr>
            </w:pPr>
            <w:r w:rsidRPr="00D7156E">
              <w:rPr>
                <w:sz w:val="20"/>
                <w:szCs w:val="20"/>
                <w:lang w:val="en-GB"/>
              </w:rPr>
              <w:t>Supply Chain Management</w:t>
            </w:r>
          </w:p>
        </w:tc>
        <w:tc>
          <w:tcPr>
            <w:tcW w:w="1843" w:type="dxa"/>
          </w:tcPr>
          <w:p w:rsidR="00D7156E" w:rsidRPr="00D7156E" w:rsidRDefault="00D7156E" w:rsidP="00233B1A">
            <w:pPr>
              <w:jc w:val="right"/>
              <w:rPr>
                <w:sz w:val="20"/>
                <w:szCs w:val="20"/>
                <w:lang w:val="en-GB"/>
              </w:rPr>
            </w:pPr>
            <w:r w:rsidRPr="00D7156E">
              <w:rPr>
                <w:sz w:val="20"/>
                <w:szCs w:val="20"/>
                <w:lang w:val="en-GB"/>
              </w:rPr>
              <w:t>1,162</w:t>
            </w:r>
          </w:p>
        </w:tc>
        <w:tc>
          <w:tcPr>
            <w:tcW w:w="1843" w:type="dxa"/>
          </w:tcPr>
          <w:p w:rsidR="00D7156E" w:rsidRPr="00D7156E" w:rsidRDefault="00D7156E" w:rsidP="00233B1A">
            <w:pPr>
              <w:jc w:val="right"/>
              <w:rPr>
                <w:sz w:val="20"/>
                <w:szCs w:val="20"/>
                <w:lang w:val="en-GB"/>
              </w:rPr>
            </w:pPr>
            <w:r w:rsidRPr="00D7156E">
              <w:rPr>
                <w:sz w:val="20"/>
                <w:szCs w:val="20"/>
                <w:lang w:val="en-GB"/>
              </w:rPr>
              <w:t>926</w:t>
            </w:r>
          </w:p>
        </w:tc>
        <w:tc>
          <w:tcPr>
            <w:tcW w:w="1843" w:type="dxa"/>
          </w:tcPr>
          <w:p w:rsidR="00D7156E" w:rsidRPr="00D7156E" w:rsidRDefault="00D7156E" w:rsidP="00233B1A">
            <w:pPr>
              <w:jc w:val="right"/>
              <w:rPr>
                <w:sz w:val="20"/>
                <w:szCs w:val="20"/>
                <w:lang w:val="en-GB"/>
              </w:rPr>
            </w:pPr>
            <w:r w:rsidRPr="00D7156E">
              <w:rPr>
                <w:sz w:val="20"/>
                <w:szCs w:val="20"/>
                <w:lang w:val="en-GB"/>
              </w:rPr>
              <w:t>+25%</w:t>
            </w:r>
          </w:p>
        </w:tc>
      </w:tr>
      <w:tr w:rsidR="00D7156E" w:rsidRPr="00D7156E" w:rsidTr="00D7156E">
        <w:trPr>
          <w:trHeight w:hRule="exact" w:val="284"/>
        </w:trPr>
        <w:tc>
          <w:tcPr>
            <w:tcW w:w="3510" w:type="dxa"/>
          </w:tcPr>
          <w:p w:rsidR="00D7156E" w:rsidRPr="00D7156E" w:rsidRDefault="00D7156E" w:rsidP="00233B1A">
            <w:pPr>
              <w:rPr>
                <w:sz w:val="20"/>
                <w:szCs w:val="20"/>
                <w:lang w:val="en-GB"/>
              </w:rPr>
            </w:pPr>
            <w:r w:rsidRPr="00D7156E">
              <w:rPr>
                <w:sz w:val="20"/>
                <w:szCs w:val="20"/>
                <w:lang w:val="en-GB"/>
              </w:rPr>
              <w:t>Failure &amp; Technology Analysis</w:t>
            </w:r>
          </w:p>
        </w:tc>
        <w:tc>
          <w:tcPr>
            <w:tcW w:w="1843" w:type="dxa"/>
          </w:tcPr>
          <w:p w:rsidR="00D7156E" w:rsidRPr="00D7156E" w:rsidRDefault="00D7156E" w:rsidP="00233B1A">
            <w:pPr>
              <w:jc w:val="right"/>
              <w:rPr>
                <w:sz w:val="20"/>
                <w:szCs w:val="20"/>
                <w:lang w:val="en-GB"/>
              </w:rPr>
            </w:pPr>
            <w:r w:rsidRPr="00D7156E">
              <w:rPr>
                <w:sz w:val="20"/>
                <w:szCs w:val="20"/>
                <w:lang w:val="en-GB"/>
              </w:rPr>
              <w:t>891</w:t>
            </w:r>
          </w:p>
        </w:tc>
        <w:tc>
          <w:tcPr>
            <w:tcW w:w="1843" w:type="dxa"/>
          </w:tcPr>
          <w:p w:rsidR="00D7156E" w:rsidRPr="00D7156E" w:rsidRDefault="00D7156E" w:rsidP="00233B1A">
            <w:pPr>
              <w:jc w:val="right"/>
              <w:rPr>
                <w:sz w:val="20"/>
                <w:szCs w:val="20"/>
                <w:lang w:val="en-GB"/>
              </w:rPr>
            </w:pPr>
            <w:r w:rsidRPr="00D7156E">
              <w:rPr>
                <w:sz w:val="20"/>
                <w:szCs w:val="20"/>
                <w:lang w:val="en-GB"/>
              </w:rPr>
              <w:t>751</w:t>
            </w:r>
          </w:p>
        </w:tc>
        <w:tc>
          <w:tcPr>
            <w:tcW w:w="1843" w:type="dxa"/>
          </w:tcPr>
          <w:p w:rsidR="00D7156E" w:rsidRPr="00D7156E" w:rsidRDefault="00D7156E" w:rsidP="00233B1A">
            <w:pPr>
              <w:jc w:val="right"/>
              <w:rPr>
                <w:sz w:val="20"/>
                <w:szCs w:val="20"/>
                <w:lang w:val="en-GB"/>
              </w:rPr>
            </w:pPr>
            <w:r w:rsidRPr="00D7156E">
              <w:rPr>
                <w:sz w:val="20"/>
                <w:szCs w:val="20"/>
                <w:lang w:val="en-GB"/>
              </w:rPr>
              <w:t>+19%</w:t>
            </w:r>
          </w:p>
        </w:tc>
      </w:tr>
      <w:tr w:rsidR="00D7156E" w:rsidRPr="00D7156E" w:rsidTr="00D7156E">
        <w:trPr>
          <w:trHeight w:hRule="exact" w:val="284"/>
        </w:trPr>
        <w:tc>
          <w:tcPr>
            <w:tcW w:w="3510" w:type="dxa"/>
          </w:tcPr>
          <w:p w:rsidR="00D7156E" w:rsidRPr="00D7156E" w:rsidRDefault="00D7156E" w:rsidP="00233B1A">
            <w:pPr>
              <w:rPr>
                <w:sz w:val="20"/>
                <w:szCs w:val="20"/>
                <w:lang w:val="en-GB"/>
              </w:rPr>
            </w:pPr>
            <w:r w:rsidRPr="00D7156E">
              <w:rPr>
                <w:sz w:val="20"/>
                <w:szCs w:val="20"/>
                <w:lang w:val="en-GB"/>
              </w:rPr>
              <w:t>Test Engineering</w:t>
            </w:r>
          </w:p>
        </w:tc>
        <w:tc>
          <w:tcPr>
            <w:tcW w:w="1843" w:type="dxa"/>
          </w:tcPr>
          <w:p w:rsidR="00D7156E" w:rsidRPr="00D7156E" w:rsidRDefault="00D7156E" w:rsidP="00233B1A">
            <w:pPr>
              <w:jc w:val="right"/>
              <w:rPr>
                <w:sz w:val="20"/>
                <w:szCs w:val="20"/>
                <w:lang w:val="en-GB"/>
              </w:rPr>
            </w:pPr>
            <w:r w:rsidRPr="00D7156E">
              <w:rPr>
                <w:sz w:val="20"/>
                <w:szCs w:val="20"/>
                <w:lang w:val="en-GB"/>
              </w:rPr>
              <w:t>435</w:t>
            </w:r>
          </w:p>
        </w:tc>
        <w:tc>
          <w:tcPr>
            <w:tcW w:w="1843" w:type="dxa"/>
          </w:tcPr>
          <w:p w:rsidR="00D7156E" w:rsidRPr="00D7156E" w:rsidRDefault="00D7156E" w:rsidP="00233B1A">
            <w:pPr>
              <w:jc w:val="right"/>
              <w:rPr>
                <w:sz w:val="20"/>
                <w:szCs w:val="20"/>
                <w:lang w:val="en-GB"/>
              </w:rPr>
            </w:pPr>
            <w:r w:rsidRPr="00D7156E">
              <w:rPr>
                <w:sz w:val="20"/>
                <w:szCs w:val="20"/>
                <w:lang w:val="en-GB"/>
              </w:rPr>
              <w:t>230</w:t>
            </w:r>
          </w:p>
        </w:tc>
        <w:tc>
          <w:tcPr>
            <w:tcW w:w="1843" w:type="dxa"/>
          </w:tcPr>
          <w:p w:rsidR="00D7156E" w:rsidRPr="00D7156E" w:rsidRDefault="00D7156E" w:rsidP="00233B1A">
            <w:pPr>
              <w:jc w:val="right"/>
              <w:rPr>
                <w:sz w:val="20"/>
                <w:szCs w:val="20"/>
                <w:lang w:val="en-GB"/>
              </w:rPr>
            </w:pPr>
            <w:r w:rsidRPr="00D7156E">
              <w:rPr>
                <w:sz w:val="20"/>
                <w:szCs w:val="20"/>
                <w:lang w:val="en-GB"/>
              </w:rPr>
              <w:t>+89%</w:t>
            </w:r>
          </w:p>
        </w:tc>
      </w:tr>
      <w:tr w:rsidR="00D7156E" w:rsidRPr="00D7156E" w:rsidTr="00D7156E">
        <w:trPr>
          <w:trHeight w:hRule="exact" w:val="284"/>
        </w:trPr>
        <w:tc>
          <w:tcPr>
            <w:tcW w:w="3510" w:type="dxa"/>
          </w:tcPr>
          <w:p w:rsidR="00D7156E" w:rsidRPr="00D7156E" w:rsidRDefault="00D7156E" w:rsidP="00233B1A">
            <w:pPr>
              <w:rPr>
                <w:sz w:val="20"/>
                <w:szCs w:val="20"/>
                <w:lang w:val="en-GB"/>
              </w:rPr>
            </w:pPr>
            <w:r w:rsidRPr="00D7156E">
              <w:rPr>
                <w:sz w:val="20"/>
                <w:szCs w:val="20"/>
                <w:lang w:val="en-GB"/>
              </w:rPr>
              <w:t>Qualification &amp; Reliability Investigation</w:t>
            </w:r>
          </w:p>
        </w:tc>
        <w:tc>
          <w:tcPr>
            <w:tcW w:w="1843" w:type="dxa"/>
          </w:tcPr>
          <w:p w:rsidR="00D7156E" w:rsidRPr="00D7156E" w:rsidRDefault="00D7156E" w:rsidP="00233B1A">
            <w:pPr>
              <w:jc w:val="right"/>
              <w:rPr>
                <w:sz w:val="20"/>
                <w:szCs w:val="20"/>
                <w:lang w:val="en-GB"/>
              </w:rPr>
            </w:pPr>
            <w:r w:rsidRPr="00D7156E">
              <w:rPr>
                <w:sz w:val="20"/>
                <w:szCs w:val="20"/>
                <w:lang w:val="en-GB"/>
              </w:rPr>
              <w:t>1,577</w:t>
            </w:r>
          </w:p>
        </w:tc>
        <w:tc>
          <w:tcPr>
            <w:tcW w:w="1843" w:type="dxa"/>
          </w:tcPr>
          <w:p w:rsidR="00D7156E" w:rsidRPr="00D7156E" w:rsidRDefault="00D7156E" w:rsidP="00233B1A">
            <w:pPr>
              <w:jc w:val="right"/>
              <w:rPr>
                <w:sz w:val="20"/>
                <w:szCs w:val="20"/>
                <w:lang w:val="en-GB"/>
              </w:rPr>
            </w:pPr>
            <w:r w:rsidRPr="00D7156E">
              <w:rPr>
                <w:sz w:val="20"/>
                <w:szCs w:val="20"/>
                <w:lang w:val="en-GB"/>
              </w:rPr>
              <w:t>1,310</w:t>
            </w:r>
          </w:p>
        </w:tc>
        <w:tc>
          <w:tcPr>
            <w:tcW w:w="1843" w:type="dxa"/>
          </w:tcPr>
          <w:p w:rsidR="00D7156E" w:rsidRPr="00D7156E" w:rsidRDefault="00D7156E" w:rsidP="00233B1A">
            <w:pPr>
              <w:jc w:val="right"/>
              <w:rPr>
                <w:sz w:val="20"/>
                <w:szCs w:val="20"/>
                <w:lang w:val="en-GB"/>
              </w:rPr>
            </w:pPr>
            <w:r w:rsidRPr="00D7156E">
              <w:rPr>
                <w:sz w:val="20"/>
                <w:szCs w:val="20"/>
                <w:lang w:val="en-GB"/>
              </w:rPr>
              <w:t>+20%</w:t>
            </w:r>
          </w:p>
        </w:tc>
      </w:tr>
      <w:tr w:rsidR="00D7156E" w:rsidRPr="00D7156E" w:rsidTr="00D7156E">
        <w:trPr>
          <w:trHeight w:hRule="exact" w:val="284"/>
        </w:trPr>
        <w:tc>
          <w:tcPr>
            <w:tcW w:w="3510" w:type="dxa"/>
          </w:tcPr>
          <w:p w:rsidR="00D7156E" w:rsidRPr="00D7156E" w:rsidRDefault="00D7156E" w:rsidP="00233B1A">
            <w:pPr>
              <w:rPr>
                <w:sz w:val="20"/>
                <w:szCs w:val="20"/>
                <w:lang w:val="en-GB"/>
              </w:rPr>
            </w:pPr>
          </w:p>
        </w:tc>
        <w:tc>
          <w:tcPr>
            <w:tcW w:w="1843" w:type="dxa"/>
          </w:tcPr>
          <w:p w:rsidR="00D7156E" w:rsidRPr="00D7156E" w:rsidRDefault="00D7156E" w:rsidP="00233B1A">
            <w:pPr>
              <w:jc w:val="right"/>
              <w:rPr>
                <w:sz w:val="20"/>
                <w:szCs w:val="20"/>
                <w:lang w:val="en-GB"/>
              </w:rPr>
            </w:pPr>
          </w:p>
        </w:tc>
        <w:tc>
          <w:tcPr>
            <w:tcW w:w="1843" w:type="dxa"/>
          </w:tcPr>
          <w:p w:rsidR="00D7156E" w:rsidRPr="00D7156E" w:rsidRDefault="00D7156E" w:rsidP="00233B1A">
            <w:pPr>
              <w:jc w:val="right"/>
              <w:rPr>
                <w:sz w:val="20"/>
                <w:szCs w:val="20"/>
                <w:lang w:val="en-GB"/>
              </w:rPr>
            </w:pPr>
          </w:p>
        </w:tc>
        <w:tc>
          <w:tcPr>
            <w:tcW w:w="1843" w:type="dxa"/>
          </w:tcPr>
          <w:p w:rsidR="00D7156E" w:rsidRPr="00D7156E" w:rsidRDefault="00D7156E" w:rsidP="00233B1A">
            <w:pPr>
              <w:jc w:val="right"/>
              <w:rPr>
                <w:sz w:val="20"/>
                <w:szCs w:val="20"/>
                <w:lang w:val="en-GB"/>
              </w:rPr>
            </w:pPr>
          </w:p>
        </w:tc>
      </w:tr>
      <w:tr w:rsidR="00D7156E" w:rsidRPr="00D7156E" w:rsidTr="00D7156E">
        <w:trPr>
          <w:trHeight w:hRule="exact" w:val="284"/>
        </w:trPr>
        <w:tc>
          <w:tcPr>
            <w:tcW w:w="3510" w:type="dxa"/>
          </w:tcPr>
          <w:p w:rsidR="00D7156E" w:rsidRPr="00D7156E" w:rsidRDefault="00D7156E" w:rsidP="00233B1A">
            <w:pPr>
              <w:rPr>
                <w:b/>
                <w:sz w:val="20"/>
                <w:szCs w:val="20"/>
                <w:lang w:val="en-GB"/>
              </w:rPr>
            </w:pPr>
            <w:r w:rsidRPr="00D7156E">
              <w:rPr>
                <w:b/>
                <w:sz w:val="20"/>
                <w:szCs w:val="20"/>
                <w:lang w:val="en-GB"/>
              </w:rPr>
              <w:t>TOTAL</w:t>
            </w:r>
          </w:p>
        </w:tc>
        <w:tc>
          <w:tcPr>
            <w:tcW w:w="1843" w:type="dxa"/>
          </w:tcPr>
          <w:p w:rsidR="00D7156E" w:rsidRPr="00D7156E" w:rsidRDefault="00D7156E" w:rsidP="00233B1A">
            <w:pPr>
              <w:jc w:val="right"/>
              <w:rPr>
                <w:b/>
                <w:sz w:val="20"/>
                <w:szCs w:val="20"/>
                <w:lang w:val="en-GB"/>
              </w:rPr>
            </w:pPr>
            <w:r w:rsidRPr="00D7156E">
              <w:rPr>
                <w:b/>
                <w:sz w:val="20"/>
                <w:szCs w:val="20"/>
                <w:lang w:val="en-GB"/>
              </w:rPr>
              <w:t>5,832</w:t>
            </w:r>
          </w:p>
        </w:tc>
        <w:tc>
          <w:tcPr>
            <w:tcW w:w="1843" w:type="dxa"/>
          </w:tcPr>
          <w:p w:rsidR="00D7156E" w:rsidRPr="00D7156E" w:rsidRDefault="00D7156E" w:rsidP="00233B1A">
            <w:pPr>
              <w:jc w:val="right"/>
              <w:rPr>
                <w:b/>
                <w:sz w:val="20"/>
                <w:szCs w:val="20"/>
                <w:lang w:val="en-GB"/>
              </w:rPr>
            </w:pPr>
            <w:r w:rsidRPr="00D7156E">
              <w:rPr>
                <w:b/>
                <w:sz w:val="20"/>
                <w:szCs w:val="20"/>
                <w:lang w:val="en-GB"/>
              </w:rPr>
              <w:t>4,919</w:t>
            </w:r>
          </w:p>
        </w:tc>
        <w:tc>
          <w:tcPr>
            <w:tcW w:w="1843" w:type="dxa"/>
          </w:tcPr>
          <w:p w:rsidR="00D7156E" w:rsidRPr="00D7156E" w:rsidRDefault="00D7156E" w:rsidP="00233B1A">
            <w:pPr>
              <w:jc w:val="right"/>
              <w:rPr>
                <w:b/>
                <w:sz w:val="20"/>
                <w:szCs w:val="20"/>
                <w:lang w:val="en-GB"/>
              </w:rPr>
            </w:pPr>
            <w:r w:rsidRPr="00D7156E">
              <w:rPr>
                <w:b/>
                <w:sz w:val="20"/>
                <w:szCs w:val="20"/>
                <w:lang w:val="en-GB"/>
              </w:rPr>
              <w:t>+19%</w:t>
            </w:r>
          </w:p>
        </w:tc>
      </w:tr>
    </w:tbl>
    <w:p w:rsidR="00D7156E" w:rsidRDefault="00D7156E" w:rsidP="00D7156E">
      <w:pPr>
        <w:ind w:left="227" w:right="284"/>
        <w:jc w:val="both"/>
        <w:rPr>
          <w:lang w:val="en-GB"/>
        </w:rPr>
      </w:pPr>
    </w:p>
    <w:p w:rsidR="00D7156E" w:rsidRPr="007557BE" w:rsidRDefault="008C621D" w:rsidP="00D7156E">
      <w:pPr>
        <w:ind w:left="227"/>
        <w:rPr>
          <w:b/>
          <w:color w:val="B71234"/>
          <w:sz w:val="22"/>
          <w:lang w:val="en-GB"/>
        </w:rPr>
      </w:pPr>
      <w:r w:rsidRPr="007557BE">
        <w:rPr>
          <w:b/>
          <w:color w:val="B71234"/>
          <w:sz w:val="22"/>
          <w:lang w:val="en-GB"/>
        </w:rPr>
        <w:t>Outlook for 2017</w:t>
      </w:r>
    </w:p>
    <w:p w:rsidR="00D7156E" w:rsidRPr="00D7156E" w:rsidRDefault="00D7156E" w:rsidP="00D7156E">
      <w:pPr>
        <w:ind w:left="227" w:right="284"/>
        <w:jc w:val="both"/>
        <w:rPr>
          <w:lang w:val="en-GB"/>
        </w:rPr>
      </w:pPr>
      <w:r w:rsidRPr="00D7156E">
        <w:rPr>
          <w:lang w:val="en-GB"/>
        </w:rPr>
        <w:t xml:space="preserve">As a result of the new arrangements and contracts announced in 2016, </w:t>
      </w:r>
      <w:proofErr w:type="spellStart"/>
      <w:r w:rsidRPr="00D7156E">
        <w:rPr>
          <w:color w:val="B71234"/>
          <w:lang w:val="en-GB"/>
        </w:rPr>
        <w:t>Rood</w:t>
      </w:r>
      <w:r w:rsidRPr="00D7156E">
        <w:rPr>
          <w:lang w:val="en-GB"/>
        </w:rPr>
        <w:t>Microtec</w:t>
      </w:r>
      <w:proofErr w:type="spellEnd"/>
      <w:r w:rsidRPr="00D7156E">
        <w:rPr>
          <w:lang w:val="en-GB"/>
        </w:rPr>
        <w:t xml:space="preserve"> expects that turnover will increase substantially in coming years. </w:t>
      </w:r>
      <w:proofErr w:type="gramStart"/>
      <w:r w:rsidRPr="00D7156E">
        <w:rPr>
          <w:lang w:val="en-GB"/>
        </w:rPr>
        <w:t>The company projects that its turnover will be approximately 75 percent higher by 2020, compared with the total turnover of around EUR 10 million in 2015.</w:t>
      </w:r>
      <w:proofErr w:type="gramEnd"/>
      <w:r w:rsidRPr="00D7156E">
        <w:rPr>
          <w:lang w:val="en-GB"/>
        </w:rPr>
        <w:t xml:space="preserve"> With a number of new projects ramping up for production during the second half of 2017, </w:t>
      </w:r>
      <w:proofErr w:type="spellStart"/>
      <w:r w:rsidRPr="00D7156E">
        <w:rPr>
          <w:color w:val="B71234"/>
          <w:lang w:val="en-GB"/>
        </w:rPr>
        <w:t>Rood</w:t>
      </w:r>
      <w:r w:rsidRPr="00D7156E">
        <w:rPr>
          <w:lang w:val="en-GB"/>
        </w:rPr>
        <w:t>Microtec</w:t>
      </w:r>
      <w:proofErr w:type="spellEnd"/>
      <w:r w:rsidRPr="00D7156E">
        <w:rPr>
          <w:lang w:val="en-GB"/>
        </w:rPr>
        <w:t xml:space="preserve"> foresees an increase in revenue and improved results compared with 2016. In 2017, the company is expected to come to the cross over point where a positive quarterly net profit is reached.</w:t>
      </w:r>
    </w:p>
    <w:p w:rsidR="00D7156E" w:rsidRDefault="00D7156E" w:rsidP="00D7156E">
      <w:pPr>
        <w:ind w:left="227" w:right="284"/>
        <w:jc w:val="both"/>
        <w:rPr>
          <w:lang w:val="en-GB"/>
        </w:rPr>
      </w:pPr>
      <w:r w:rsidRPr="00D7156E">
        <w:rPr>
          <w:lang w:val="en-GB"/>
        </w:rPr>
        <w:lastRenderedPageBreak/>
        <w:t>The Interim Report will be released earlier this year. It will be published on 3rd August 2017 together with the conference call for press and analysts.</w:t>
      </w:r>
    </w:p>
    <w:p w:rsidR="00D7156E" w:rsidRPr="00D7156E" w:rsidRDefault="00D7156E" w:rsidP="00D7156E">
      <w:pPr>
        <w:ind w:left="227" w:right="284"/>
        <w:jc w:val="both"/>
        <w:rPr>
          <w:lang w:val="en-GB"/>
        </w:rPr>
      </w:pPr>
    </w:p>
    <w:p w:rsidR="00BD28A6" w:rsidRPr="007557BE" w:rsidRDefault="00BD28A6" w:rsidP="00BD28A6">
      <w:pPr>
        <w:ind w:left="227"/>
        <w:rPr>
          <w:b/>
          <w:color w:val="B71234"/>
          <w:sz w:val="22"/>
          <w:lang w:val="en-GB"/>
        </w:rPr>
      </w:pPr>
      <w:r w:rsidRPr="007557BE">
        <w:rPr>
          <w:b/>
          <w:color w:val="B71234"/>
          <w:sz w:val="22"/>
          <w:lang w:val="en-GB"/>
        </w:rPr>
        <w:t>Financial agenda</w:t>
      </w:r>
    </w:p>
    <w:tbl>
      <w:tblPr>
        <w:tblW w:w="9604" w:type="dxa"/>
        <w:tblInd w:w="229" w:type="dxa"/>
        <w:tblLook w:val="00A0"/>
      </w:tblPr>
      <w:tblGrid>
        <w:gridCol w:w="2800"/>
        <w:gridCol w:w="6804"/>
      </w:tblGrid>
      <w:tr w:rsidR="00BD28A6" w:rsidRPr="00BD28A6" w:rsidTr="00BD28A6">
        <w:trPr>
          <w:trHeight w:hRule="exact" w:val="284"/>
        </w:trPr>
        <w:tc>
          <w:tcPr>
            <w:tcW w:w="2800" w:type="dxa"/>
          </w:tcPr>
          <w:p w:rsidR="00BD28A6" w:rsidRPr="00BD28A6" w:rsidRDefault="00BD28A6" w:rsidP="00D61BA1">
            <w:pPr>
              <w:jc w:val="both"/>
              <w:rPr>
                <w:rFonts w:cstheme="minorHAnsi"/>
                <w:szCs w:val="20"/>
                <w:lang w:val="en-GB"/>
              </w:rPr>
            </w:pPr>
            <w:r w:rsidRPr="00BD28A6">
              <w:rPr>
                <w:rFonts w:cstheme="minorHAnsi"/>
                <w:szCs w:val="20"/>
                <w:lang w:val="en-GB"/>
              </w:rPr>
              <w:t>03 August 2017</w:t>
            </w:r>
          </w:p>
        </w:tc>
        <w:tc>
          <w:tcPr>
            <w:tcW w:w="6804" w:type="dxa"/>
          </w:tcPr>
          <w:p w:rsidR="00BD28A6" w:rsidRPr="00BD28A6" w:rsidRDefault="00BD28A6" w:rsidP="00D61BA1">
            <w:pPr>
              <w:jc w:val="both"/>
              <w:rPr>
                <w:rFonts w:cstheme="minorHAnsi"/>
                <w:szCs w:val="20"/>
                <w:lang w:val="en-GB"/>
              </w:rPr>
            </w:pPr>
            <w:r w:rsidRPr="00BD28A6">
              <w:rPr>
                <w:rFonts w:cstheme="minorHAnsi"/>
                <w:szCs w:val="20"/>
                <w:lang w:val="en-GB"/>
              </w:rPr>
              <w:t>Publication interim report 2017</w:t>
            </w:r>
          </w:p>
        </w:tc>
      </w:tr>
      <w:tr w:rsidR="00BD28A6" w:rsidRPr="00D1348F" w:rsidTr="00BD28A6">
        <w:trPr>
          <w:trHeight w:hRule="exact" w:val="284"/>
        </w:trPr>
        <w:tc>
          <w:tcPr>
            <w:tcW w:w="2800" w:type="dxa"/>
          </w:tcPr>
          <w:p w:rsidR="00BD28A6" w:rsidRPr="00BD28A6" w:rsidRDefault="00BD28A6" w:rsidP="00D61BA1">
            <w:pPr>
              <w:jc w:val="both"/>
              <w:rPr>
                <w:rFonts w:cstheme="minorHAnsi"/>
                <w:szCs w:val="20"/>
                <w:lang w:val="en-GB"/>
              </w:rPr>
            </w:pPr>
            <w:r w:rsidRPr="00BD28A6">
              <w:rPr>
                <w:rFonts w:cstheme="minorHAnsi"/>
                <w:szCs w:val="20"/>
                <w:lang w:val="en-GB"/>
              </w:rPr>
              <w:t>03 August 2017</w:t>
            </w:r>
          </w:p>
        </w:tc>
        <w:tc>
          <w:tcPr>
            <w:tcW w:w="6804" w:type="dxa"/>
          </w:tcPr>
          <w:p w:rsidR="00BD28A6" w:rsidRPr="00BD28A6" w:rsidRDefault="00BD28A6" w:rsidP="00D61BA1">
            <w:pPr>
              <w:jc w:val="both"/>
              <w:rPr>
                <w:rFonts w:cstheme="minorHAnsi"/>
                <w:szCs w:val="20"/>
                <w:lang w:val="en-GB"/>
              </w:rPr>
            </w:pPr>
            <w:r w:rsidRPr="00BD28A6">
              <w:rPr>
                <w:rFonts w:cstheme="minorHAnsi"/>
                <w:szCs w:val="20"/>
                <w:lang w:val="en-GB"/>
              </w:rPr>
              <w:t>Conference call for press and analysts</w:t>
            </w:r>
          </w:p>
        </w:tc>
      </w:tr>
      <w:tr w:rsidR="00BD28A6" w:rsidRPr="00D1348F" w:rsidTr="00BD28A6">
        <w:trPr>
          <w:trHeight w:hRule="exact" w:val="284"/>
        </w:trPr>
        <w:tc>
          <w:tcPr>
            <w:tcW w:w="2800" w:type="dxa"/>
          </w:tcPr>
          <w:p w:rsidR="00BD28A6" w:rsidRPr="00BD28A6" w:rsidRDefault="00BD28A6" w:rsidP="00D61BA1">
            <w:pPr>
              <w:jc w:val="both"/>
              <w:rPr>
                <w:rFonts w:cstheme="minorHAnsi"/>
                <w:szCs w:val="20"/>
                <w:lang w:val="en-GB"/>
              </w:rPr>
            </w:pPr>
            <w:r w:rsidRPr="00BD28A6">
              <w:rPr>
                <w:rFonts w:cstheme="minorHAnsi"/>
                <w:szCs w:val="20"/>
                <w:lang w:val="en-GB"/>
              </w:rPr>
              <w:t>11 January 2018</w:t>
            </w:r>
          </w:p>
        </w:tc>
        <w:tc>
          <w:tcPr>
            <w:tcW w:w="6804" w:type="dxa"/>
          </w:tcPr>
          <w:p w:rsidR="00BD28A6" w:rsidRPr="00BD28A6" w:rsidRDefault="00BD28A6" w:rsidP="00D61BA1">
            <w:pPr>
              <w:jc w:val="both"/>
              <w:rPr>
                <w:rFonts w:cstheme="minorHAnsi"/>
                <w:szCs w:val="20"/>
                <w:lang w:val="en-GB"/>
              </w:rPr>
            </w:pPr>
            <w:r w:rsidRPr="00BD28A6">
              <w:rPr>
                <w:rFonts w:cstheme="minorHAnsi"/>
                <w:szCs w:val="20"/>
                <w:lang w:val="en-GB"/>
              </w:rPr>
              <w:t>Publication (preliminary) annual sales figures 2017</w:t>
            </w:r>
          </w:p>
        </w:tc>
      </w:tr>
      <w:tr w:rsidR="00BD28A6" w:rsidRPr="00BD28A6" w:rsidTr="00BD28A6">
        <w:trPr>
          <w:trHeight w:hRule="exact" w:val="284"/>
        </w:trPr>
        <w:tc>
          <w:tcPr>
            <w:tcW w:w="2800" w:type="dxa"/>
          </w:tcPr>
          <w:p w:rsidR="00BD28A6" w:rsidRPr="00BD28A6" w:rsidRDefault="00BD28A6" w:rsidP="00D61BA1">
            <w:pPr>
              <w:jc w:val="both"/>
              <w:rPr>
                <w:rFonts w:cstheme="minorHAnsi"/>
                <w:szCs w:val="20"/>
                <w:lang w:val="en-GB"/>
              </w:rPr>
            </w:pPr>
            <w:r w:rsidRPr="00BD28A6">
              <w:rPr>
                <w:rFonts w:cstheme="minorHAnsi"/>
                <w:szCs w:val="20"/>
                <w:lang w:val="en-GB"/>
              </w:rPr>
              <w:t>08 March 2018</w:t>
            </w:r>
          </w:p>
        </w:tc>
        <w:tc>
          <w:tcPr>
            <w:tcW w:w="6804" w:type="dxa"/>
          </w:tcPr>
          <w:p w:rsidR="00BD28A6" w:rsidRPr="00BD28A6" w:rsidRDefault="00BD28A6" w:rsidP="00D61BA1">
            <w:pPr>
              <w:jc w:val="both"/>
              <w:rPr>
                <w:rFonts w:cstheme="minorHAnsi"/>
                <w:szCs w:val="20"/>
                <w:lang w:val="en-GB"/>
              </w:rPr>
            </w:pPr>
            <w:r w:rsidRPr="00BD28A6">
              <w:rPr>
                <w:rFonts w:cstheme="minorHAnsi"/>
                <w:szCs w:val="20"/>
                <w:lang w:val="en-GB"/>
              </w:rPr>
              <w:t>Publication (preliminary) annual figures 2017</w:t>
            </w:r>
          </w:p>
        </w:tc>
      </w:tr>
      <w:tr w:rsidR="00BD28A6" w:rsidRPr="00D1348F" w:rsidTr="00BD28A6">
        <w:trPr>
          <w:trHeight w:hRule="exact" w:val="284"/>
        </w:trPr>
        <w:tc>
          <w:tcPr>
            <w:tcW w:w="2800" w:type="dxa"/>
          </w:tcPr>
          <w:p w:rsidR="00BD28A6" w:rsidRPr="00BD28A6" w:rsidRDefault="00BD28A6" w:rsidP="00D61BA1">
            <w:pPr>
              <w:jc w:val="both"/>
              <w:rPr>
                <w:rFonts w:cstheme="minorHAnsi"/>
                <w:szCs w:val="20"/>
                <w:lang w:val="en-GB"/>
              </w:rPr>
            </w:pPr>
            <w:r w:rsidRPr="00BD28A6">
              <w:rPr>
                <w:rFonts w:cstheme="minorHAnsi"/>
                <w:szCs w:val="20"/>
                <w:lang w:val="en-GB"/>
              </w:rPr>
              <w:t>08 March 2018</w:t>
            </w:r>
          </w:p>
        </w:tc>
        <w:tc>
          <w:tcPr>
            <w:tcW w:w="6804" w:type="dxa"/>
          </w:tcPr>
          <w:p w:rsidR="00BD28A6" w:rsidRPr="00BD28A6" w:rsidRDefault="00BD28A6" w:rsidP="00D61BA1">
            <w:pPr>
              <w:jc w:val="both"/>
              <w:rPr>
                <w:rFonts w:cstheme="minorHAnsi"/>
                <w:szCs w:val="20"/>
                <w:lang w:val="en-GB"/>
              </w:rPr>
            </w:pPr>
            <w:r w:rsidRPr="00BD28A6">
              <w:rPr>
                <w:rFonts w:cstheme="minorHAnsi"/>
                <w:szCs w:val="20"/>
                <w:lang w:val="en-GB"/>
              </w:rPr>
              <w:t>Conference call for press and analysts</w:t>
            </w:r>
          </w:p>
        </w:tc>
      </w:tr>
      <w:tr w:rsidR="00BD28A6" w:rsidRPr="00BD28A6" w:rsidTr="00BD28A6">
        <w:trPr>
          <w:trHeight w:hRule="exact" w:val="284"/>
        </w:trPr>
        <w:tc>
          <w:tcPr>
            <w:tcW w:w="2800" w:type="dxa"/>
          </w:tcPr>
          <w:p w:rsidR="00BD28A6" w:rsidRPr="00BD28A6" w:rsidRDefault="00BD28A6" w:rsidP="00D61BA1">
            <w:pPr>
              <w:jc w:val="both"/>
              <w:rPr>
                <w:rFonts w:cstheme="minorHAnsi"/>
                <w:szCs w:val="20"/>
                <w:lang w:val="en-GB"/>
              </w:rPr>
            </w:pPr>
            <w:r w:rsidRPr="00BD28A6">
              <w:rPr>
                <w:rFonts w:cstheme="minorHAnsi"/>
                <w:szCs w:val="20"/>
                <w:lang w:val="en-GB"/>
              </w:rPr>
              <w:t>28 March 2018</w:t>
            </w:r>
          </w:p>
        </w:tc>
        <w:tc>
          <w:tcPr>
            <w:tcW w:w="6804" w:type="dxa"/>
          </w:tcPr>
          <w:p w:rsidR="00BD28A6" w:rsidRPr="00BD28A6" w:rsidRDefault="00BD28A6" w:rsidP="00D61BA1">
            <w:pPr>
              <w:jc w:val="both"/>
              <w:rPr>
                <w:rFonts w:cstheme="minorHAnsi"/>
                <w:szCs w:val="20"/>
                <w:lang w:val="en-GB"/>
              </w:rPr>
            </w:pPr>
            <w:r w:rsidRPr="00BD28A6">
              <w:rPr>
                <w:rFonts w:cstheme="minorHAnsi"/>
                <w:szCs w:val="20"/>
                <w:lang w:val="en-GB"/>
              </w:rPr>
              <w:t>Publication annual report 2017</w:t>
            </w:r>
          </w:p>
        </w:tc>
      </w:tr>
      <w:tr w:rsidR="00BD28A6" w:rsidRPr="00D1348F" w:rsidTr="00BD28A6">
        <w:trPr>
          <w:trHeight w:hRule="exact" w:val="284"/>
        </w:trPr>
        <w:tc>
          <w:tcPr>
            <w:tcW w:w="2800" w:type="dxa"/>
          </w:tcPr>
          <w:p w:rsidR="00BD28A6" w:rsidRPr="00BD28A6" w:rsidRDefault="00BD28A6" w:rsidP="00D61BA1">
            <w:pPr>
              <w:jc w:val="both"/>
              <w:rPr>
                <w:rFonts w:cstheme="minorHAnsi"/>
                <w:szCs w:val="20"/>
                <w:lang w:val="en-GB"/>
              </w:rPr>
            </w:pPr>
            <w:r w:rsidRPr="00BD28A6">
              <w:rPr>
                <w:rFonts w:cstheme="minorHAnsi"/>
                <w:szCs w:val="20"/>
                <w:lang w:val="en-GB"/>
              </w:rPr>
              <w:t>17 May 2018</w:t>
            </w:r>
          </w:p>
        </w:tc>
        <w:tc>
          <w:tcPr>
            <w:tcW w:w="6804" w:type="dxa"/>
          </w:tcPr>
          <w:p w:rsidR="00BD28A6" w:rsidRPr="00BD28A6" w:rsidRDefault="00BD28A6" w:rsidP="00D61BA1">
            <w:pPr>
              <w:jc w:val="both"/>
              <w:rPr>
                <w:rFonts w:cstheme="minorHAnsi"/>
                <w:szCs w:val="20"/>
                <w:lang w:val="en-GB"/>
              </w:rPr>
            </w:pPr>
            <w:r w:rsidRPr="00BD28A6">
              <w:rPr>
                <w:rFonts w:cstheme="minorHAnsi"/>
                <w:szCs w:val="20"/>
                <w:lang w:val="en-GB"/>
              </w:rPr>
              <w:t>Annual general meeting of shareholders</w:t>
            </w:r>
          </w:p>
        </w:tc>
      </w:tr>
      <w:tr w:rsidR="00BD28A6" w:rsidRPr="00BD28A6" w:rsidTr="00BD28A6">
        <w:trPr>
          <w:trHeight w:hRule="exact" w:val="284"/>
        </w:trPr>
        <w:tc>
          <w:tcPr>
            <w:tcW w:w="2800" w:type="dxa"/>
          </w:tcPr>
          <w:p w:rsidR="00BD28A6" w:rsidRPr="00BD28A6" w:rsidRDefault="00BD28A6" w:rsidP="00D61BA1">
            <w:pPr>
              <w:jc w:val="both"/>
              <w:rPr>
                <w:rFonts w:cstheme="minorHAnsi"/>
                <w:szCs w:val="20"/>
                <w:lang w:val="en-GB"/>
              </w:rPr>
            </w:pPr>
            <w:r w:rsidRPr="00BD28A6">
              <w:rPr>
                <w:rFonts w:cstheme="minorHAnsi"/>
                <w:szCs w:val="20"/>
                <w:lang w:val="en-GB"/>
              </w:rPr>
              <w:t>18 May 2018</w:t>
            </w:r>
          </w:p>
        </w:tc>
        <w:tc>
          <w:tcPr>
            <w:tcW w:w="6804" w:type="dxa"/>
          </w:tcPr>
          <w:p w:rsidR="00BD28A6" w:rsidRPr="00BD28A6" w:rsidRDefault="00BD28A6" w:rsidP="00D61BA1">
            <w:pPr>
              <w:jc w:val="both"/>
              <w:rPr>
                <w:rFonts w:cstheme="minorHAnsi"/>
                <w:szCs w:val="20"/>
                <w:lang w:val="en-GB"/>
              </w:rPr>
            </w:pPr>
            <w:r w:rsidRPr="00BD28A6">
              <w:rPr>
                <w:rFonts w:cstheme="minorHAnsi"/>
                <w:szCs w:val="20"/>
                <w:lang w:val="en-GB"/>
              </w:rPr>
              <w:t xml:space="preserve">Annual bondholders meeting </w:t>
            </w:r>
          </w:p>
        </w:tc>
      </w:tr>
      <w:tr w:rsidR="00BD28A6" w:rsidRPr="00D1348F" w:rsidTr="00BD28A6">
        <w:trPr>
          <w:trHeight w:hRule="exact" w:val="284"/>
        </w:trPr>
        <w:tc>
          <w:tcPr>
            <w:tcW w:w="2800" w:type="dxa"/>
          </w:tcPr>
          <w:p w:rsidR="00BD28A6" w:rsidRPr="00BD28A6" w:rsidRDefault="00BD28A6" w:rsidP="00D61BA1">
            <w:pPr>
              <w:jc w:val="both"/>
              <w:rPr>
                <w:rFonts w:cstheme="minorHAnsi"/>
                <w:szCs w:val="20"/>
                <w:lang w:val="en-GB"/>
              </w:rPr>
            </w:pPr>
            <w:r w:rsidRPr="00BD28A6">
              <w:rPr>
                <w:rFonts w:cstheme="minorHAnsi"/>
                <w:szCs w:val="20"/>
                <w:lang w:val="en-GB"/>
              </w:rPr>
              <w:t>05 July 2018</w:t>
            </w:r>
          </w:p>
        </w:tc>
        <w:tc>
          <w:tcPr>
            <w:tcW w:w="6804" w:type="dxa"/>
          </w:tcPr>
          <w:p w:rsidR="00BD28A6" w:rsidRPr="00BD28A6" w:rsidRDefault="00BD28A6" w:rsidP="00D61BA1">
            <w:pPr>
              <w:jc w:val="both"/>
              <w:rPr>
                <w:rFonts w:cstheme="minorHAnsi"/>
                <w:szCs w:val="20"/>
                <w:lang w:val="en-GB"/>
              </w:rPr>
            </w:pPr>
            <w:r w:rsidRPr="00BD28A6">
              <w:rPr>
                <w:rFonts w:cstheme="minorHAnsi"/>
                <w:szCs w:val="20"/>
                <w:lang w:val="en-GB"/>
              </w:rPr>
              <w:t>Publication sales figures first half 2018</w:t>
            </w:r>
          </w:p>
        </w:tc>
      </w:tr>
      <w:tr w:rsidR="00BD28A6" w:rsidRPr="00BD28A6" w:rsidTr="00BD28A6">
        <w:trPr>
          <w:trHeight w:hRule="exact" w:val="284"/>
        </w:trPr>
        <w:tc>
          <w:tcPr>
            <w:tcW w:w="2800" w:type="dxa"/>
          </w:tcPr>
          <w:p w:rsidR="00BD28A6" w:rsidRPr="00BD28A6" w:rsidRDefault="00BD28A6" w:rsidP="00D61BA1">
            <w:pPr>
              <w:jc w:val="both"/>
              <w:rPr>
                <w:rFonts w:cstheme="minorHAnsi"/>
                <w:szCs w:val="20"/>
                <w:lang w:val="en-GB"/>
              </w:rPr>
            </w:pPr>
            <w:r w:rsidRPr="00BD28A6">
              <w:rPr>
                <w:rFonts w:cstheme="minorHAnsi"/>
                <w:szCs w:val="20"/>
                <w:lang w:val="en-GB"/>
              </w:rPr>
              <w:t>02 August 2018</w:t>
            </w:r>
          </w:p>
        </w:tc>
        <w:tc>
          <w:tcPr>
            <w:tcW w:w="6804" w:type="dxa"/>
          </w:tcPr>
          <w:p w:rsidR="00BD28A6" w:rsidRPr="00BD28A6" w:rsidRDefault="00BD28A6" w:rsidP="00D61BA1">
            <w:pPr>
              <w:jc w:val="both"/>
              <w:rPr>
                <w:rFonts w:cstheme="minorHAnsi"/>
                <w:szCs w:val="20"/>
                <w:lang w:val="en-GB"/>
              </w:rPr>
            </w:pPr>
            <w:r w:rsidRPr="00BD28A6">
              <w:rPr>
                <w:rFonts w:cstheme="minorHAnsi"/>
                <w:szCs w:val="20"/>
                <w:lang w:val="en-GB"/>
              </w:rPr>
              <w:t>Publication interim report 2018</w:t>
            </w:r>
          </w:p>
        </w:tc>
      </w:tr>
      <w:tr w:rsidR="00BD28A6" w:rsidRPr="00D1348F" w:rsidTr="00BD28A6">
        <w:trPr>
          <w:trHeight w:hRule="exact" w:val="284"/>
        </w:trPr>
        <w:tc>
          <w:tcPr>
            <w:tcW w:w="2800" w:type="dxa"/>
          </w:tcPr>
          <w:p w:rsidR="00BD28A6" w:rsidRPr="00BD28A6" w:rsidRDefault="00BD28A6" w:rsidP="00D61BA1">
            <w:pPr>
              <w:jc w:val="both"/>
              <w:rPr>
                <w:rFonts w:cstheme="minorHAnsi"/>
                <w:szCs w:val="20"/>
                <w:lang w:val="en-GB"/>
              </w:rPr>
            </w:pPr>
            <w:r w:rsidRPr="00BD28A6">
              <w:rPr>
                <w:rFonts w:cstheme="minorHAnsi"/>
                <w:szCs w:val="20"/>
                <w:lang w:val="en-GB"/>
              </w:rPr>
              <w:t>02 August 2018</w:t>
            </w:r>
          </w:p>
        </w:tc>
        <w:tc>
          <w:tcPr>
            <w:tcW w:w="6804" w:type="dxa"/>
          </w:tcPr>
          <w:p w:rsidR="00BD28A6" w:rsidRPr="00BD28A6" w:rsidRDefault="00BD28A6" w:rsidP="00D61BA1">
            <w:pPr>
              <w:jc w:val="both"/>
              <w:rPr>
                <w:rFonts w:cstheme="minorHAnsi"/>
                <w:szCs w:val="20"/>
                <w:lang w:val="en-GB"/>
              </w:rPr>
            </w:pPr>
            <w:r w:rsidRPr="00BD28A6">
              <w:rPr>
                <w:rFonts w:cstheme="minorHAnsi"/>
                <w:szCs w:val="20"/>
                <w:lang w:val="en-GB"/>
              </w:rPr>
              <w:t>Conference call for press and analysts</w:t>
            </w:r>
          </w:p>
        </w:tc>
      </w:tr>
    </w:tbl>
    <w:p w:rsidR="00BD28A6" w:rsidRPr="00BD28A6" w:rsidRDefault="00BD28A6" w:rsidP="00BD28A6">
      <w:pPr>
        <w:ind w:left="227"/>
        <w:rPr>
          <w:szCs w:val="20"/>
          <w:lang w:val="en-GB"/>
        </w:rPr>
      </w:pPr>
    </w:p>
    <w:p w:rsidR="00FA460A" w:rsidRPr="007557BE" w:rsidRDefault="00FA460A" w:rsidP="00D63542">
      <w:pPr>
        <w:ind w:left="227" w:right="284"/>
        <w:jc w:val="both"/>
        <w:rPr>
          <w:b/>
          <w:sz w:val="22"/>
          <w:lang w:val="en-GB"/>
        </w:rPr>
      </w:pPr>
      <w:r w:rsidRPr="007557BE">
        <w:rPr>
          <w:b/>
          <w:sz w:val="22"/>
          <w:lang w:val="en-GB"/>
        </w:rPr>
        <w:t xml:space="preserve">About </w:t>
      </w:r>
      <w:proofErr w:type="spellStart"/>
      <w:r w:rsidRPr="007557BE">
        <w:rPr>
          <w:b/>
          <w:color w:val="B71234"/>
          <w:sz w:val="22"/>
          <w:lang w:val="en-GB"/>
        </w:rPr>
        <w:t>Rood</w:t>
      </w:r>
      <w:r w:rsidRPr="007557BE">
        <w:rPr>
          <w:b/>
          <w:sz w:val="22"/>
          <w:lang w:val="en-GB"/>
        </w:rPr>
        <w:t>Microtec</w:t>
      </w:r>
      <w:proofErr w:type="spellEnd"/>
    </w:p>
    <w:p w:rsidR="00FA460A" w:rsidRDefault="00FA460A" w:rsidP="00DB29E6">
      <w:pPr>
        <w:spacing w:line="240" w:lineRule="exact"/>
        <w:ind w:left="227" w:right="284"/>
        <w:jc w:val="both"/>
        <w:rPr>
          <w:szCs w:val="20"/>
          <w:lang w:val="en-GB"/>
        </w:rPr>
      </w:pPr>
      <w:r w:rsidRPr="00737837">
        <w:rPr>
          <w:szCs w:val="20"/>
          <w:lang w:val="en-GB"/>
        </w:rPr>
        <w:t>With more than 45 years</w:t>
      </w:r>
      <w:r w:rsidR="00D1348F">
        <w:rPr>
          <w:szCs w:val="20"/>
          <w:lang w:val="en-GB"/>
        </w:rPr>
        <w:t>’</w:t>
      </w:r>
      <w:r w:rsidRPr="00737837">
        <w:rPr>
          <w:szCs w:val="20"/>
          <w:lang w:val="en-GB"/>
        </w:rPr>
        <w:t xml:space="preserve"> experience as an independent value-added service provider in the area of micro and optoelectronics, </w:t>
      </w: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offers </w:t>
      </w:r>
      <w:proofErr w:type="spellStart"/>
      <w:r w:rsidRPr="00737837">
        <w:rPr>
          <w:szCs w:val="20"/>
          <w:lang w:val="en-GB"/>
        </w:rPr>
        <w:t>Fabless</w:t>
      </w:r>
      <w:proofErr w:type="spellEnd"/>
      <w:r w:rsidRPr="00737837">
        <w:rPr>
          <w:szCs w:val="20"/>
          <w:lang w:val="en-GB"/>
        </w:rPr>
        <w:t xml:space="preserve"> Companies, OEMs and other companies a one-stop shop proposition. With its powerful solutions </w:t>
      </w: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has built up a strong position in Europe.</w:t>
      </w:r>
    </w:p>
    <w:p w:rsidR="00FA460A" w:rsidRPr="00737837" w:rsidRDefault="00FA460A" w:rsidP="00DB29E6">
      <w:pPr>
        <w:spacing w:line="240" w:lineRule="exact"/>
        <w:ind w:left="227" w:right="284"/>
        <w:jc w:val="both"/>
        <w:rPr>
          <w:szCs w:val="20"/>
          <w:lang w:val="en-GB"/>
        </w:rPr>
      </w:pPr>
      <w:r w:rsidRPr="00737837">
        <w:rPr>
          <w:szCs w:val="20"/>
          <w:lang w:val="en-GB"/>
        </w:rPr>
        <w:t>Our services comply with the industrial and quality requirements of the high reliability/space, automotive, telecommunications, medical, industrial and electronics sectors.</w:t>
      </w:r>
    </w:p>
    <w:p w:rsidR="00D1348F" w:rsidRPr="00D1348F" w:rsidRDefault="00D1348F" w:rsidP="00DB29E6">
      <w:pPr>
        <w:spacing w:line="240" w:lineRule="exact"/>
        <w:ind w:left="227" w:right="284"/>
        <w:jc w:val="both"/>
        <w:rPr>
          <w:szCs w:val="20"/>
          <w:lang w:val="en-GB"/>
        </w:rPr>
      </w:pPr>
      <w:r w:rsidRPr="00D1348F">
        <w:rPr>
          <w:szCs w:val="20"/>
          <w:lang w:val="en-GB"/>
        </w:rPr>
        <w:t xml:space="preserve">Our integrated quality management system is based on international DIN EN ISO 9001:2015 standards. In addition, our quality management is broadly consistent with the Automotive Specification ISO/TS 16949. The company also has an accredited laboratory for test activities and qualification to the ISO/IEC 17025 standard. </w:t>
      </w:r>
    </w:p>
    <w:p w:rsidR="00FA460A" w:rsidRPr="00737837" w:rsidRDefault="00FA460A" w:rsidP="00DB29E6">
      <w:pPr>
        <w:spacing w:line="240" w:lineRule="exact"/>
        <w:ind w:left="227" w:right="284"/>
        <w:jc w:val="both"/>
        <w:rPr>
          <w:szCs w:val="20"/>
          <w:lang w:val="en-GB"/>
        </w:rPr>
      </w:pPr>
      <w:r w:rsidRPr="00737837">
        <w:rPr>
          <w:szCs w:val="20"/>
          <w:lang w:val="en-GB"/>
        </w:rPr>
        <w:t>Its value-added services include (</w:t>
      </w:r>
      <w:proofErr w:type="spellStart"/>
      <w:r w:rsidRPr="00737837">
        <w:rPr>
          <w:szCs w:val="20"/>
          <w:lang w:val="en-GB"/>
        </w:rPr>
        <w:t>e</w:t>
      </w:r>
      <w:r w:rsidRPr="00D63542">
        <w:rPr>
          <w:color w:val="C00000"/>
          <w:szCs w:val="20"/>
          <w:lang w:val="en-GB"/>
        </w:rPr>
        <w:t>X</w:t>
      </w:r>
      <w:r w:rsidRPr="00737837">
        <w:rPr>
          <w:szCs w:val="20"/>
          <w:lang w:val="en-GB"/>
        </w:rPr>
        <w:t>tended</w:t>
      </w:r>
      <w:proofErr w:type="spellEnd"/>
      <w:r w:rsidRPr="00737837">
        <w:rPr>
          <w:szCs w:val="20"/>
          <w:lang w:val="en-GB"/>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FA460A" w:rsidRPr="00737837" w:rsidRDefault="00FA460A" w:rsidP="00DB29E6">
      <w:pPr>
        <w:spacing w:line="240" w:lineRule="exact"/>
        <w:ind w:left="227" w:right="284"/>
        <w:jc w:val="both"/>
        <w:rPr>
          <w:szCs w:val="20"/>
          <w:lang w:val="en-GB"/>
        </w:rPr>
      </w:pP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has branches in Germany (Dresden, </w:t>
      </w:r>
      <w:proofErr w:type="spellStart"/>
      <w:r w:rsidRPr="00737837">
        <w:rPr>
          <w:szCs w:val="20"/>
          <w:lang w:val="en-GB"/>
        </w:rPr>
        <w:t>Nördlingen</w:t>
      </w:r>
      <w:proofErr w:type="spellEnd"/>
      <w:r w:rsidRPr="00737837">
        <w:rPr>
          <w:szCs w:val="20"/>
          <w:lang w:val="en-GB"/>
        </w:rPr>
        <w:t xml:space="preserve">, </w:t>
      </w:r>
      <w:proofErr w:type="gramStart"/>
      <w:r w:rsidRPr="00737837">
        <w:rPr>
          <w:szCs w:val="20"/>
          <w:lang w:val="en-GB"/>
        </w:rPr>
        <w:t>Stuttgart</w:t>
      </w:r>
      <w:proofErr w:type="gramEnd"/>
      <w:r w:rsidRPr="00737837">
        <w:rPr>
          <w:szCs w:val="20"/>
          <w:lang w:val="en-GB"/>
        </w:rPr>
        <w:t xml:space="preserve">), United Kingdom (Bath) and the Netherlands (Zwolle). </w:t>
      </w:r>
    </w:p>
    <w:p w:rsidR="00FA460A" w:rsidRDefault="00FA460A" w:rsidP="00DB29E6">
      <w:pPr>
        <w:spacing w:line="240" w:lineRule="exact"/>
        <w:ind w:left="227" w:right="284"/>
        <w:jc w:val="both"/>
        <w:rPr>
          <w:szCs w:val="20"/>
          <w:lang w:val="en-GB"/>
        </w:rPr>
      </w:pPr>
      <w:r w:rsidRPr="00737837">
        <w:rPr>
          <w:szCs w:val="20"/>
          <w:lang w:val="en-GB"/>
        </w:rPr>
        <w:t xml:space="preserve">For more information visit </w:t>
      </w:r>
      <w:hyperlink r:id="rId8" w:history="1">
        <w:r w:rsidR="009B4F9B" w:rsidRPr="00737837">
          <w:rPr>
            <w:rStyle w:val="Hyperlink"/>
            <w:szCs w:val="20"/>
            <w:lang w:val="en-GB"/>
          </w:rPr>
          <w:t>http://www.roodmicrotec.com</w:t>
        </w:r>
      </w:hyperlink>
      <w:r w:rsidR="009B4F9B" w:rsidRPr="00737837">
        <w:rPr>
          <w:szCs w:val="20"/>
          <w:lang w:val="en-GB"/>
        </w:rPr>
        <w:t xml:space="preserve"> </w:t>
      </w:r>
    </w:p>
    <w:p w:rsidR="00DB29E6" w:rsidRDefault="00DB29E6" w:rsidP="00DB29E6">
      <w:pPr>
        <w:spacing w:line="240" w:lineRule="exact"/>
        <w:ind w:left="227" w:right="284"/>
        <w:jc w:val="both"/>
        <w:rPr>
          <w:szCs w:val="20"/>
          <w:lang w:val="en-GB"/>
        </w:rPr>
      </w:pPr>
    </w:p>
    <w:p w:rsidR="00D7156E" w:rsidRDefault="00D7156E" w:rsidP="00DB29E6">
      <w:pPr>
        <w:spacing w:line="240" w:lineRule="exact"/>
        <w:ind w:left="227" w:right="284"/>
        <w:jc w:val="both"/>
        <w:rPr>
          <w:szCs w:val="20"/>
          <w:lang w:val="en-GB"/>
        </w:rPr>
      </w:pPr>
    </w:p>
    <w:p w:rsidR="00D7156E" w:rsidRDefault="00D7156E" w:rsidP="00DB29E6">
      <w:pPr>
        <w:spacing w:line="240" w:lineRule="exact"/>
        <w:ind w:left="227" w:right="284"/>
        <w:jc w:val="both"/>
        <w:rPr>
          <w:szCs w:val="20"/>
          <w:lang w:val="en-GB"/>
        </w:rPr>
      </w:pPr>
    </w:p>
    <w:p w:rsidR="00D7156E" w:rsidRPr="00737837" w:rsidRDefault="00D7156E" w:rsidP="00DB29E6">
      <w:pPr>
        <w:spacing w:line="240" w:lineRule="exact"/>
        <w:ind w:left="227" w:right="284"/>
        <w:jc w:val="both"/>
        <w:rPr>
          <w:szCs w:val="20"/>
          <w:lang w:val="en-GB"/>
        </w:rPr>
      </w:pPr>
    </w:p>
    <w:p w:rsidR="00FA460A" w:rsidRPr="00737837" w:rsidRDefault="00FA460A" w:rsidP="00DB29E6">
      <w:pPr>
        <w:spacing w:before="240"/>
        <w:ind w:left="227" w:right="284"/>
        <w:jc w:val="both"/>
        <w:rPr>
          <w:i/>
          <w:szCs w:val="20"/>
          <w:lang w:val="en-GB"/>
        </w:rPr>
      </w:pPr>
      <w:r w:rsidRPr="00737837">
        <w:rPr>
          <w:i/>
          <w:szCs w:val="20"/>
          <w:lang w:val="en-GB"/>
        </w:rPr>
        <w:t>This press release is published in English, Dutch and German. In case of conflict between these versions the English version shall prevail.</w:t>
      </w:r>
    </w:p>
    <w:sectPr w:rsidR="00FA460A" w:rsidRPr="00737837" w:rsidSect="00B50948">
      <w:footerReference w:type="default" r:id="rId9"/>
      <w:headerReference w:type="first" r:id="rId10"/>
      <w:footerReference w:type="first" r:id="rId11"/>
      <w:pgSz w:w="11906" w:h="16838" w:code="9"/>
      <w:pgMar w:top="568" w:right="424"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A71" w:rsidRDefault="00D73A71" w:rsidP="00487DE4">
      <w:pPr>
        <w:spacing w:after="0" w:line="240" w:lineRule="auto"/>
      </w:pPr>
      <w:r>
        <w:separator/>
      </w:r>
    </w:p>
  </w:endnote>
  <w:endnote w:type="continuationSeparator" w:id="0">
    <w:p w:rsidR="00D73A71" w:rsidRDefault="00D73A71"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71" w:rsidRDefault="003B7A9E"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D73A71" w:rsidRPr="00B50948" w:rsidRDefault="00BD28A6" w:rsidP="00B50948">
                <w:pPr>
                  <w:tabs>
                    <w:tab w:val="center" w:pos="5387"/>
                    <w:tab w:val="right" w:pos="10625"/>
                  </w:tabs>
                  <w:ind w:left="284" w:right="-47"/>
                  <w:rPr>
                    <w:color w:val="FFFFFF"/>
                    <w:lang w:val="en-GB"/>
                  </w:rPr>
                </w:pPr>
                <w:r>
                  <w:rPr>
                    <w:color w:val="FFFFFF"/>
                    <w:lang w:val="en-GB"/>
                  </w:rPr>
                  <w:t>Sales figures 1</w:t>
                </w:r>
                <w:r w:rsidRPr="00BD28A6">
                  <w:rPr>
                    <w:color w:val="FFFFFF"/>
                    <w:vertAlign w:val="superscript"/>
                    <w:lang w:val="en-GB"/>
                  </w:rPr>
                  <w:t>st</w:t>
                </w:r>
                <w:r>
                  <w:rPr>
                    <w:color w:val="FFFFFF"/>
                    <w:lang w:val="en-GB"/>
                  </w:rPr>
                  <w:t xml:space="preserve"> half 2017</w:t>
                </w:r>
                <w:r w:rsidR="00D73A71" w:rsidRPr="00B50948">
                  <w:rPr>
                    <w:color w:val="FFFFFF"/>
                    <w:lang w:val="en-GB"/>
                  </w:rPr>
                  <w:tab/>
                </w:r>
                <w:r w:rsidR="003B7A9E" w:rsidRPr="00B50948">
                  <w:rPr>
                    <w:color w:val="FFFFFF"/>
                  </w:rPr>
                  <w:fldChar w:fldCharType="begin"/>
                </w:r>
                <w:r w:rsidR="00D73A71" w:rsidRPr="00B50948">
                  <w:rPr>
                    <w:color w:val="FFFFFF"/>
                    <w:lang w:val="en-GB"/>
                  </w:rPr>
                  <w:instrText xml:space="preserve"> PAGE   \* MERGEFORMAT </w:instrText>
                </w:r>
                <w:r w:rsidR="003B7A9E" w:rsidRPr="00B50948">
                  <w:rPr>
                    <w:color w:val="FFFFFF"/>
                  </w:rPr>
                  <w:fldChar w:fldCharType="separate"/>
                </w:r>
                <w:r w:rsidR="00D1348F">
                  <w:rPr>
                    <w:noProof/>
                    <w:color w:val="FFFFFF"/>
                    <w:lang w:val="en-GB"/>
                  </w:rPr>
                  <w:t>2</w:t>
                </w:r>
                <w:r w:rsidR="003B7A9E" w:rsidRPr="00B50948">
                  <w:rPr>
                    <w:color w:val="FFFFFF"/>
                  </w:rPr>
                  <w:fldChar w:fldCharType="end"/>
                </w:r>
                <w:r w:rsidR="00D73A71" w:rsidRPr="00B50948">
                  <w:rPr>
                    <w:color w:val="FFFFFF"/>
                    <w:lang w:val="en-GB"/>
                  </w:rPr>
                  <w:tab/>
                </w:r>
                <w:proofErr w:type="spellStart"/>
                <w:r w:rsidR="00D73A71">
                  <w:rPr>
                    <w:color w:val="FFFFFF"/>
                    <w:lang w:val="en-GB"/>
                  </w:rPr>
                  <w:t>RoodMicrotec</w:t>
                </w:r>
                <w:proofErr w:type="spellEnd"/>
                <w:r w:rsidR="00D73A71">
                  <w:rPr>
                    <w:color w:val="FFFFFF"/>
                    <w:lang w:val="en-GB"/>
                  </w:rPr>
                  <w:t xml:space="preserve"> </w:t>
                </w:r>
                <w:r w:rsidR="00D73A71" w:rsidRPr="00B50948">
                  <w:rPr>
                    <w:color w:val="FFFFFF"/>
                    <w:lang w:val="en-GB"/>
                  </w:rPr>
                  <w:t>Press Release</w:t>
                </w:r>
              </w:p>
              <w:p w:rsidR="00D73A71" w:rsidRPr="00F33608" w:rsidRDefault="00D73A71" w:rsidP="00B50948">
                <w:pPr>
                  <w:tabs>
                    <w:tab w:val="center" w:pos="5387"/>
                  </w:tabs>
                  <w:ind w:left="284"/>
                  <w:rPr>
                    <w:lang w:val="en-GB"/>
                  </w:rPr>
                </w:pPr>
              </w:p>
            </w:txbxContent>
          </v:textbox>
        </v:shape>
      </w:pict>
    </w:r>
    <w:r w:rsidR="00D73A71">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71" w:rsidRDefault="003B7A9E"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4.4pt;z-index:251656192;mso-width-relative:margin;mso-height-relative:margin;v-text-anchor:middle" filled="f" stroked="f">
          <v:textbox style="mso-next-textbox:#_x0000_s2051" inset="0,0,0,0">
            <w:txbxContent>
              <w:p w:rsidR="00D73A71" w:rsidRPr="009D767A" w:rsidRDefault="00BD28A6" w:rsidP="009D767A">
                <w:pPr>
                  <w:tabs>
                    <w:tab w:val="center" w:pos="5387"/>
                    <w:tab w:val="right" w:pos="10632"/>
                  </w:tabs>
                  <w:ind w:left="284" w:right="-63"/>
                  <w:rPr>
                    <w:color w:val="FFFFFF"/>
                    <w:lang w:val="en-GB"/>
                  </w:rPr>
                </w:pPr>
                <w:r>
                  <w:rPr>
                    <w:color w:val="FFFFFF"/>
                    <w:lang w:val="en-GB"/>
                  </w:rPr>
                  <w:t>Sales figures 1</w:t>
                </w:r>
                <w:r w:rsidRPr="00BD28A6">
                  <w:rPr>
                    <w:color w:val="FFFFFF"/>
                    <w:vertAlign w:val="superscript"/>
                    <w:lang w:val="en-GB"/>
                  </w:rPr>
                  <w:t>st</w:t>
                </w:r>
                <w:r>
                  <w:rPr>
                    <w:color w:val="FFFFFF"/>
                    <w:lang w:val="en-GB"/>
                  </w:rPr>
                  <w:t xml:space="preserve"> half 2017</w:t>
                </w:r>
                <w:r w:rsidR="00D73A71" w:rsidRPr="009D767A">
                  <w:rPr>
                    <w:color w:val="FFFFFF"/>
                    <w:lang w:val="en-GB"/>
                  </w:rPr>
                  <w:tab/>
                </w:r>
                <w:r w:rsidR="003B7A9E" w:rsidRPr="009D767A">
                  <w:rPr>
                    <w:color w:val="FFFFFF"/>
                  </w:rPr>
                  <w:fldChar w:fldCharType="begin"/>
                </w:r>
                <w:r w:rsidR="00D73A71" w:rsidRPr="009D767A">
                  <w:rPr>
                    <w:color w:val="FFFFFF"/>
                    <w:lang w:val="en-GB"/>
                  </w:rPr>
                  <w:instrText xml:space="preserve"> PAGE   \* MERGEFORMAT </w:instrText>
                </w:r>
                <w:r w:rsidR="003B7A9E" w:rsidRPr="009D767A">
                  <w:rPr>
                    <w:color w:val="FFFFFF"/>
                  </w:rPr>
                  <w:fldChar w:fldCharType="separate"/>
                </w:r>
                <w:r w:rsidR="00D1348F">
                  <w:rPr>
                    <w:noProof/>
                    <w:color w:val="FFFFFF"/>
                    <w:lang w:val="en-GB"/>
                  </w:rPr>
                  <w:t>1</w:t>
                </w:r>
                <w:r w:rsidR="003B7A9E" w:rsidRPr="009D767A">
                  <w:rPr>
                    <w:color w:val="FFFFFF"/>
                  </w:rPr>
                  <w:fldChar w:fldCharType="end"/>
                </w:r>
                <w:r w:rsidR="00D73A71" w:rsidRPr="009D767A">
                  <w:rPr>
                    <w:color w:val="FFFFFF"/>
                    <w:lang w:val="en-GB"/>
                  </w:rPr>
                  <w:tab/>
                  <w:t>Press Release</w:t>
                </w:r>
              </w:p>
              <w:p w:rsidR="00D73A71" w:rsidRPr="00F33608" w:rsidRDefault="00D73A71" w:rsidP="00657E90">
                <w:pPr>
                  <w:ind w:right="-205"/>
                  <w:rPr>
                    <w:lang w:val="en-GB"/>
                  </w:rPr>
                </w:pPr>
              </w:p>
            </w:txbxContent>
          </v:textbox>
        </v:shape>
      </w:pict>
    </w:r>
    <w:r w:rsidR="00D73A71">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A71" w:rsidRDefault="00D73A71" w:rsidP="00487DE4">
      <w:pPr>
        <w:spacing w:after="0" w:line="240" w:lineRule="auto"/>
      </w:pPr>
      <w:r>
        <w:separator/>
      </w:r>
    </w:p>
  </w:footnote>
  <w:footnote w:type="continuationSeparator" w:id="0">
    <w:p w:rsidR="00D73A71" w:rsidRDefault="00D73A71"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71" w:rsidRDefault="003B7A9E"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D73A71" w:rsidRPr="00FE6420" w:rsidRDefault="00D73A71"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D73A71" w:rsidRPr="00FE6420" w:rsidRDefault="00D73A71"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D73A71" w:rsidRPr="00FE6420" w:rsidRDefault="00D73A71"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D73A71" w:rsidRPr="00FE6420" w:rsidRDefault="00D73A71" w:rsidP="006A787C">
                <w:pPr>
                  <w:spacing w:after="0" w:line="240" w:lineRule="auto"/>
                  <w:rPr>
                    <w:sz w:val="18"/>
                    <w:szCs w:val="18"/>
                    <w:lang w:val="en-GB"/>
                  </w:rPr>
                </w:pPr>
              </w:p>
              <w:p w:rsidR="00D73A71" w:rsidRPr="009D767A" w:rsidRDefault="00D73A71" w:rsidP="006A787C">
                <w:pPr>
                  <w:spacing w:after="0" w:line="240" w:lineRule="auto"/>
                  <w:rPr>
                    <w:b/>
                    <w:sz w:val="18"/>
                    <w:szCs w:val="18"/>
                    <w:lang w:val="nl-NL"/>
                  </w:rPr>
                </w:pPr>
                <w:r w:rsidRPr="001E3A10">
                  <w:rPr>
                    <w:b/>
                    <w:color w:val="B71234"/>
                    <w:sz w:val="18"/>
                    <w:szCs w:val="18"/>
                    <w:lang w:val="nl-NL"/>
                  </w:rPr>
                  <w:t>Rood</w:t>
                </w:r>
                <w:r w:rsidRPr="009D767A">
                  <w:rPr>
                    <w:b/>
                    <w:sz w:val="18"/>
                    <w:szCs w:val="18"/>
                    <w:lang w:val="nl-NL"/>
                  </w:rPr>
                  <w:t>Microtec N.V.</w:t>
                </w:r>
              </w:p>
              <w:p w:rsidR="00D73A71" w:rsidRPr="00FE6420" w:rsidRDefault="00D73A71" w:rsidP="006A787C">
                <w:pPr>
                  <w:spacing w:after="0" w:line="240" w:lineRule="auto"/>
                  <w:rPr>
                    <w:sz w:val="18"/>
                    <w:szCs w:val="18"/>
                    <w:lang w:val="nl-NL"/>
                  </w:rPr>
                </w:pPr>
                <w:r w:rsidRPr="00FE6420">
                  <w:rPr>
                    <w:sz w:val="18"/>
                    <w:szCs w:val="18"/>
                    <w:lang w:val="nl-NL"/>
                  </w:rPr>
                  <w:t>‘Rembrandt’; Dokter van Deenweg 58</w:t>
                </w:r>
              </w:p>
              <w:p w:rsidR="00D73A71" w:rsidRPr="00FE6420" w:rsidRDefault="00D73A71" w:rsidP="006A787C">
                <w:pPr>
                  <w:spacing w:after="0" w:line="240" w:lineRule="auto"/>
                  <w:rPr>
                    <w:sz w:val="18"/>
                    <w:szCs w:val="18"/>
                    <w:lang w:val="en-GB"/>
                  </w:rPr>
                </w:pPr>
                <w:r w:rsidRPr="00FE6420">
                  <w:rPr>
                    <w:sz w:val="18"/>
                    <w:szCs w:val="18"/>
                    <w:lang w:val="en-GB"/>
                  </w:rPr>
                  <w:t>NL-8001 BA Zwolle</w:t>
                </w:r>
              </w:p>
              <w:p w:rsidR="00D73A71" w:rsidRPr="00FE6420" w:rsidRDefault="00D73A71" w:rsidP="006A787C">
                <w:pPr>
                  <w:spacing w:after="0" w:line="240" w:lineRule="auto"/>
                  <w:rPr>
                    <w:sz w:val="18"/>
                    <w:szCs w:val="18"/>
                    <w:lang w:val="en-GB"/>
                  </w:rPr>
                </w:pPr>
              </w:p>
              <w:p w:rsidR="00D73A71" w:rsidRPr="00FE6420" w:rsidRDefault="00D73A71"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D73A71" w:rsidRPr="00FE6420" w:rsidRDefault="00D73A71"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D73A71" w:rsidRPr="00FE6420" w:rsidRDefault="00D73A71"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w:txbxContent>
              <w:p w:rsidR="00D73A71" w:rsidRPr="00E878A9" w:rsidRDefault="00D73A71"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sidR="00BD28A6">
                  <w:rPr>
                    <w:rFonts w:asciiTheme="minorHAnsi" w:hAnsiTheme="minorHAnsi" w:cstheme="minorHAnsi"/>
                    <w:color w:val="FFFFFF" w:themeColor="background1"/>
                    <w:sz w:val="22"/>
                  </w:rPr>
                  <w:t xml:space="preserve">06th </w:t>
                </w:r>
                <w:proofErr w:type="spellStart"/>
                <w:r w:rsidR="00BD28A6">
                  <w:rPr>
                    <w:rFonts w:asciiTheme="minorHAnsi" w:hAnsiTheme="minorHAnsi" w:cstheme="minorHAnsi"/>
                    <w:color w:val="FFFFFF" w:themeColor="background1"/>
                    <w:sz w:val="22"/>
                  </w:rPr>
                  <w:t>July</w:t>
                </w:r>
                <w:proofErr w:type="spellEnd"/>
                <w:r w:rsidRPr="009D767A">
                  <w:rPr>
                    <w:rFonts w:asciiTheme="minorHAnsi" w:hAnsiTheme="minorHAnsi" w:cstheme="minorHAnsi"/>
                    <w:color w:val="FFFFFF" w:themeColor="background1"/>
                    <w:sz w:val="22"/>
                  </w:rPr>
                  <w:t xml:space="preserve"> 2017</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sidR="00D73A71">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D73A71">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FF65C5"/>
    <w:rsid w:val="000032BA"/>
    <w:rsid w:val="0005578B"/>
    <w:rsid w:val="00127576"/>
    <w:rsid w:val="00161C05"/>
    <w:rsid w:val="001649FA"/>
    <w:rsid w:val="001720A4"/>
    <w:rsid w:val="00186B6E"/>
    <w:rsid w:val="001E3A10"/>
    <w:rsid w:val="0020005B"/>
    <w:rsid w:val="0027201E"/>
    <w:rsid w:val="002A0D07"/>
    <w:rsid w:val="002B40F6"/>
    <w:rsid w:val="002D5E7D"/>
    <w:rsid w:val="0036342D"/>
    <w:rsid w:val="003A6DC1"/>
    <w:rsid w:val="003B7A9E"/>
    <w:rsid w:val="003D5390"/>
    <w:rsid w:val="003D6A82"/>
    <w:rsid w:val="003E75B5"/>
    <w:rsid w:val="004152A2"/>
    <w:rsid w:val="00434690"/>
    <w:rsid w:val="0047010F"/>
    <w:rsid w:val="00487DE4"/>
    <w:rsid w:val="004955AE"/>
    <w:rsid w:val="00595340"/>
    <w:rsid w:val="005A69F3"/>
    <w:rsid w:val="00657E90"/>
    <w:rsid w:val="006A787C"/>
    <w:rsid w:val="006B777C"/>
    <w:rsid w:val="00732161"/>
    <w:rsid w:val="00737837"/>
    <w:rsid w:val="007557BE"/>
    <w:rsid w:val="00774401"/>
    <w:rsid w:val="007815CD"/>
    <w:rsid w:val="007834C3"/>
    <w:rsid w:val="00793CEB"/>
    <w:rsid w:val="007B1FC8"/>
    <w:rsid w:val="007B640C"/>
    <w:rsid w:val="00815117"/>
    <w:rsid w:val="00820CB6"/>
    <w:rsid w:val="0087320B"/>
    <w:rsid w:val="00881D9A"/>
    <w:rsid w:val="00892457"/>
    <w:rsid w:val="008B3CE5"/>
    <w:rsid w:val="008C621D"/>
    <w:rsid w:val="009B4F9B"/>
    <w:rsid w:val="009C32BB"/>
    <w:rsid w:val="009D1A77"/>
    <w:rsid w:val="009D767A"/>
    <w:rsid w:val="00AB303D"/>
    <w:rsid w:val="00B0249B"/>
    <w:rsid w:val="00B12DF5"/>
    <w:rsid w:val="00B30686"/>
    <w:rsid w:val="00B379AD"/>
    <w:rsid w:val="00B50948"/>
    <w:rsid w:val="00BD28A6"/>
    <w:rsid w:val="00BF7D94"/>
    <w:rsid w:val="00C309CD"/>
    <w:rsid w:val="00C32FBA"/>
    <w:rsid w:val="00C42AA3"/>
    <w:rsid w:val="00CB0F85"/>
    <w:rsid w:val="00D1348F"/>
    <w:rsid w:val="00D63542"/>
    <w:rsid w:val="00D7156E"/>
    <w:rsid w:val="00D73A71"/>
    <w:rsid w:val="00D9366C"/>
    <w:rsid w:val="00DB29E6"/>
    <w:rsid w:val="00DC1818"/>
    <w:rsid w:val="00DE3384"/>
    <w:rsid w:val="00E90550"/>
    <w:rsid w:val="00F15FE0"/>
    <w:rsid w:val="00F33608"/>
    <w:rsid w:val="00F45F6A"/>
    <w:rsid w:val="00FA460A"/>
    <w:rsid w:val="00FB2BA3"/>
    <w:rsid w:val="00FC3035"/>
    <w:rsid w:val="00FE6420"/>
    <w:rsid w:val="00FF65C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1E3A10"/>
    <w:pPr>
      <w:keepNext/>
      <w:keepLines/>
      <w:tabs>
        <w:tab w:val="left" w:pos="10415"/>
      </w:tabs>
      <w:spacing w:before="100" w:beforeAutospacing="1" w:after="480"/>
      <w:ind w:left="227" w:right="283"/>
      <w:jc w:val="both"/>
      <w:outlineLvl w:val="0"/>
    </w:pPr>
    <w:rPr>
      <w:rFonts w:eastAsiaTheme="majorEastAsia" w:cstheme="majorBidi"/>
      <w:b/>
      <w:bCs/>
      <w:color w:val="B71234"/>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1E3A10"/>
    <w:rPr>
      <w:rFonts w:eastAsiaTheme="majorEastAsia" w:cstheme="majorBidi"/>
      <w:b/>
      <w:bCs/>
      <w:color w:val="B71234"/>
      <w:sz w:val="28"/>
      <w:szCs w:val="28"/>
      <w:lang w:val="en-GB" w:eastAsia="en-GB"/>
    </w:rPr>
  </w:style>
  <w:style w:type="table" w:styleId="Tabellengitternetz">
    <w:name w:val="Table Grid"/>
    <w:basedOn w:val="NormaleTabelle"/>
    <w:uiPriority w:val="59"/>
    <w:rsid w:val="00D715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E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3128C-FF9E-4780-A440-9E3889CC6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2017_E_PR_Vorlage_New design.dotx</Template>
  <TotalTime>0</TotalTime>
  <Pages>2</Pages>
  <Words>651</Words>
  <Characters>4107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2017-04-25T08:12:00Z</cp:lastPrinted>
  <dcterms:created xsi:type="dcterms:W3CDTF">2017-07-06T04:09:00Z</dcterms:created>
  <dcterms:modified xsi:type="dcterms:W3CDTF">2017-07-06T04:09:00Z</dcterms:modified>
</cp:coreProperties>
</file>