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8A6" w:rsidRPr="0006071C" w:rsidRDefault="00D61A83" w:rsidP="0006071C">
      <w:pPr>
        <w:pStyle w:val="berschrift1"/>
      </w:pPr>
      <w:r w:rsidRPr="0006071C">
        <w:t xml:space="preserve">First half 2017: </w:t>
      </w:r>
      <w:proofErr w:type="spellStart"/>
      <w:r w:rsidRPr="0006071C">
        <w:t>RoodMicrotec</w:t>
      </w:r>
      <w:proofErr w:type="spellEnd"/>
      <w:r w:rsidRPr="0006071C">
        <w:t xml:space="preserve"> achieves significant improvement in net result</w:t>
      </w:r>
    </w:p>
    <w:p w:rsidR="00D61A83" w:rsidRPr="00D61A83" w:rsidRDefault="00D61A83" w:rsidP="00D61A83">
      <w:pPr>
        <w:pStyle w:val="Listenabsatz"/>
        <w:numPr>
          <w:ilvl w:val="0"/>
          <w:numId w:val="3"/>
        </w:numPr>
        <w:ind w:left="567"/>
        <w:rPr>
          <w:b/>
          <w:sz w:val="22"/>
          <w:lang w:val="en-GB"/>
        </w:rPr>
      </w:pPr>
      <w:r w:rsidRPr="00D61A83">
        <w:rPr>
          <w:b/>
          <w:sz w:val="22"/>
          <w:lang w:val="en-GB"/>
        </w:rPr>
        <w:t xml:space="preserve">Improvement in net result confirms turn-around of the company </w:t>
      </w:r>
    </w:p>
    <w:p w:rsidR="00D61A83" w:rsidRPr="00D61A83" w:rsidRDefault="00D61A83" w:rsidP="00D61A83">
      <w:pPr>
        <w:pStyle w:val="Listenabsatz"/>
        <w:numPr>
          <w:ilvl w:val="0"/>
          <w:numId w:val="3"/>
        </w:numPr>
        <w:ind w:left="567"/>
        <w:rPr>
          <w:b/>
          <w:sz w:val="22"/>
          <w:lang w:val="en-GB"/>
        </w:rPr>
      </w:pPr>
      <w:r w:rsidRPr="00D61A83">
        <w:rPr>
          <w:b/>
          <w:sz w:val="22"/>
          <w:lang w:val="en-GB"/>
        </w:rPr>
        <w:t>Sales plus 19 percent with positive EBITDA, EBIT and book-to-bill ratio</w:t>
      </w:r>
    </w:p>
    <w:p w:rsidR="00D61A83" w:rsidRPr="00D61A83" w:rsidRDefault="00D61A83" w:rsidP="00D61A83">
      <w:pPr>
        <w:pStyle w:val="Listenabsatz"/>
        <w:numPr>
          <w:ilvl w:val="0"/>
          <w:numId w:val="3"/>
        </w:numPr>
        <w:ind w:left="567"/>
        <w:rPr>
          <w:b/>
          <w:sz w:val="22"/>
          <w:lang w:val="en-GB"/>
        </w:rPr>
      </w:pPr>
      <w:r w:rsidRPr="00D61A83">
        <w:rPr>
          <w:b/>
          <w:sz w:val="22"/>
          <w:lang w:val="en-GB"/>
        </w:rPr>
        <w:t>Supply Chain Management and Test Engineering main drivers of expansion</w:t>
      </w:r>
    </w:p>
    <w:p w:rsidR="00D61A83" w:rsidRDefault="00D61A83" w:rsidP="00D7156E">
      <w:pPr>
        <w:ind w:left="227" w:right="284"/>
        <w:jc w:val="both"/>
        <w:rPr>
          <w:rFonts w:cs="Segoe UI"/>
          <w:color w:val="B71234"/>
          <w:szCs w:val="20"/>
          <w:lang w:val="en-GB"/>
        </w:rPr>
      </w:pPr>
    </w:p>
    <w:p w:rsidR="00D61A83" w:rsidRPr="00D61A83" w:rsidRDefault="00D7156E" w:rsidP="00D61A83">
      <w:pPr>
        <w:ind w:left="227" w:right="284"/>
        <w:jc w:val="both"/>
        <w:rPr>
          <w:szCs w:val="20"/>
          <w:lang w:val="en-GB"/>
        </w:rPr>
      </w:pPr>
      <w:proofErr w:type="spellStart"/>
      <w:r w:rsidRPr="0006071C">
        <w:rPr>
          <w:rFonts w:cs="Segoe UI"/>
          <w:color w:val="B71234"/>
          <w:szCs w:val="20"/>
          <w:lang w:val="en-GB"/>
        </w:rPr>
        <w:t>Rood</w:t>
      </w:r>
      <w:r w:rsidRPr="00D7156E">
        <w:rPr>
          <w:rFonts w:cs="Segoe UI"/>
          <w:szCs w:val="20"/>
          <w:lang w:val="en-GB"/>
        </w:rPr>
        <w:t>Microtec</w:t>
      </w:r>
      <w:proofErr w:type="spellEnd"/>
      <w:r w:rsidRPr="00D7156E">
        <w:rPr>
          <w:rFonts w:cs="Segoe UI"/>
          <w:szCs w:val="20"/>
          <w:lang w:val="en-GB"/>
        </w:rPr>
        <w:t xml:space="preserve">, the Dutch supplier of semiconductors and advanced microchips, </w:t>
      </w:r>
      <w:r w:rsidR="00D61A83" w:rsidRPr="00D61A83">
        <w:rPr>
          <w:szCs w:val="20"/>
          <w:lang w:val="en-GB"/>
        </w:rPr>
        <w:t xml:space="preserve">achieved a significant improvement in year-on-year net result for the first half 2017 and a 19 percent increase in sales with positive EBITDA and EBIT. The strongest </w:t>
      </w:r>
      <w:r w:rsidR="00573576">
        <w:rPr>
          <w:szCs w:val="20"/>
          <w:lang w:val="en-GB"/>
        </w:rPr>
        <w:t xml:space="preserve">leading </w:t>
      </w:r>
      <w:r w:rsidR="00D61A83" w:rsidRPr="00D61A83">
        <w:rPr>
          <w:szCs w:val="20"/>
          <w:lang w:val="en-GB"/>
        </w:rPr>
        <w:t xml:space="preserve">indicator – a positive book-to-bill ratio – is maintained consistently at a level higher than one. Main drivers of expansion are especially the Supply Chain Management (SCM) with 25 percent increase and the Test Engineering unit with a plus of 89 percent. Furthermore, all other business units showed a good order situation and therefore economic growth. New and promising orders especially from the Automotive, Industrial and </w:t>
      </w:r>
      <w:r w:rsidR="00DF2AFE">
        <w:rPr>
          <w:szCs w:val="20"/>
          <w:lang w:val="en-GB"/>
        </w:rPr>
        <w:t>Healthcare sectors are setting the</w:t>
      </w:r>
      <w:r w:rsidR="00D61A83" w:rsidRPr="00D61A83">
        <w:rPr>
          <w:szCs w:val="20"/>
          <w:lang w:val="en-GB"/>
        </w:rPr>
        <w:t xml:space="preserve"> stage for a positive outlook. </w:t>
      </w:r>
    </w:p>
    <w:p w:rsidR="00D61A83" w:rsidRDefault="00D61A83" w:rsidP="00D61A83">
      <w:pPr>
        <w:ind w:left="227" w:right="283"/>
        <w:jc w:val="both"/>
        <w:rPr>
          <w:szCs w:val="20"/>
          <w:lang w:val="en-GB"/>
        </w:rPr>
      </w:pPr>
      <w:r w:rsidRPr="00D61A83">
        <w:rPr>
          <w:szCs w:val="20"/>
          <w:lang w:val="en-GB"/>
        </w:rPr>
        <w:t xml:space="preserve">Martin </w:t>
      </w:r>
      <w:proofErr w:type="spellStart"/>
      <w:r w:rsidRPr="00D61A83">
        <w:rPr>
          <w:szCs w:val="20"/>
          <w:lang w:val="en-GB"/>
        </w:rPr>
        <w:t>Sallenhag</w:t>
      </w:r>
      <w:proofErr w:type="spellEnd"/>
      <w:r w:rsidRPr="00D61A83">
        <w:rPr>
          <w:szCs w:val="20"/>
          <w:lang w:val="en-GB"/>
        </w:rPr>
        <w:t xml:space="preserve">, CEO of </w:t>
      </w:r>
      <w:proofErr w:type="spellStart"/>
      <w:r w:rsidRPr="0006071C">
        <w:rPr>
          <w:color w:val="B71234"/>
          <w:szCs w:val="20"/>
          <w:lang w:val="en-GB"/>
        </w:rPr>
        <w:t>Rood</w:t>
      </w:r>
      <w:r w:rsidRPr="00D61A83">
        <w:rPr>
          <w:szCs w:val="20"/>
          <w:lang w:val="en-GB"/>
        </w:rPr>
        <w:t>Microtec</w:t>
      </w:r>
      <w:proofErr w:type="spellEnd"/>
      <w:r w:rsidRPr="00D61A83">
        <w:rPr>
          <w:szCs w:val="20"/>
          <w:lang w:val="en-GB"/>
        </w:rPr>
        <w:t>: “</w:t>
      </w:r>
      <w:r w:rsidRPr="00D61A83">
        <w:rPr>
          <w:i/>
          <w:szCs w:val="20"/>
          <w:lang w:val="en-GB"/>
        </w:rPr>
        <w:t xml:space="preserve">The significant improvement in the net result as well as a positive EBIT for the first half of 2017 show that we are on the right track to turn around the company. Strong performance in the SCM and Test Engineering units shows that the base for future recurring business is in place. We have signed a number of very promising contracts with major players which will set the stage for the future of the company. I’m also very pleased with the fact that all business units are showing increases and this again shows that </w:t>
      </w:r>
      <w:proofErr w:type="spellStart"/>
      <w:r w:rsidRPr="0006071C">
        <w:rPr>
          <w:i/>
          <w:color w:val="B71234"/>
          <w:szCs w:val="20"/>
          <w:lang w:val="en-GB"/>
        </w:rPr>
        <w:t>Rood</w:t>
      </w:r>
      <w:r w:rsidRPr="00D61A83">
        <w:rPr>
          <w:i/>
          <w:szCs w:val="20"/>
          <w:lang w:val="en-GB"/>
        </w:rPr>
        <w:t>Microtec</w:t>
      </w:r>
      <w:proofErr w:type="spellEnd"/>
      <w:r w:rsidRPr="00D61A83">
        <w:rPr>
          <w:i/>
          <w:szCs w:val="20"/>
          <w:lang w:val="en-GB"/>
        </w:rPr>
        <w:t xml:space="preserve"> is a well-established player in the marke</w:t>
      </w:r>
      <w:r w:rsidRPr="00D61A83">
        <w:rPr>
          <w:szCs w:val="20"/>
          <w:lang w:val="en-GB"/>
        </w:rPr>
        <w:t>t.”</w:t>
      </w:r>
    </w:p>
    <w:p w:rsidR="00D61A83" w:rsidRPr="00D61A83" w:rsidRDefault="00D61A83" w:rsidP="00D61A83">
      <w:pPr>
        <w:ind w:left="227"/>
        <w:jc w:val="both"/>
        <w:rPr>
          <w:szCs w:val="20"/>
          <w:lang w:val="en-GB"/>
        </w:rPr>
      </w:pPr>
    </w:p>
    <w:p w:rsidR="00D61A83" w:rsidRPr="00DD35FD" w:rsidRDefault="00D61A83" w:rsidP="00D61A83">
      <w:pPr>
        <w:spacing w:line="240" w:lineRule="auto"/>
        <w:ind w:left="238"/>
        <w:rPr>
          <w:b/>
          <w:color w:val="B71234"/>
          <w:sz w:val="22"/>
          <w:lang w:val="en-GB"/>
        </w:rPr>
      </w:pPr>
      <w:r w:rsidRPr="00DD35FD">
        <w:rPr>
          <w:b/>
          <w:color w:val="B71234"/>
          <w:sz w:val="22"/>
          <w:lang w:val="en-GB"/>
        </w:rPr>
        <w:t xml:space="preserve">Summary HY1 2017 </w:t>
      </w:r>
    </w:p>
    <w:tbl>
      <w:tblPr>
        <w:tblW w:w="7942" w:type="dxa"/>
        <w:tblInd w:w="108" w:type="dxa"/>
        <w:tblLook w:val="04A0"/>
      </w:tblPr>
      <w:tblGrid>
        <w:gridCol w:w="3116"/>
        <w:gridCol w:w="2824"/>
        <w:gridCol w:w="1727"/>
        <w:gridCol w:w="275"/>
      </w:tblGrid>
      <w:tr w:rsidR="00D61A83" w:rsidRPr="00DD35FD" w:rsidTr="004B447E">
        <w:trPr>
          <w:trHeight w:val="216"/>
        </w:trPr>
        <w:tc>
          <w:tcPr>
            <w:tcW w:w="3116" w:type="dxa"/>
            <w:tcBorders>
              <w:top w:val="nil"/>
              <w:left w:val="nil"/>
              <w:bottom w:val="single" w:sz="8" w:space="0" w:color="auto"/>
              <w:right w:val="nil"/>
            </w:tcBorders>
            <w:vAlign w:val="center"/>
            <w:hideMark/>
          </w:tcPr>
          <w:p w:rsidR="00D61A83" w:rsidRPr="00D61A83" w:rsidRDefault="00D61A83" w:rsidP="00D61A83">
            <w:pPr>
              <w:spacing w:line="240" w:lineRule="auto"/>
              <w:ind w:left="238"/>
              <w:rPr>
                <w:rFonts w:asciiTheme="minorHAnsi" w:hAnsiTheme="minorHAnsi" w:cstheme="minorHAnsi"/>
                <w:b/>
                <w:bCs/>
                <w:color w:val="000000"/>
                <w:szCs w:val="20"/>
              </w:rPr>
            </w:pPr>
            <w:r w:rsidRPr="00D61A83">
              <w:rPr>
                <w:rFonts w:asciiTheme="minorHAnsi" w:hAnsiTheme="minorHAnsi" w:cstheme="minorHAnsi"/>
                <w:b/>
                <w:color w:val="000000"/>
                <w:szCs w:val="20"/>
              </w:rPr>
              <w:t>(x EUR 1,000)</w:t>
            </w:r>
          </w:p>
        </w:tc>
        <w:tc>
          <w:tcPr>
            <w:tcW w:w="2824" w:type="dxa"/>
            <w:tcBorders>
              <w:top w:val="nil"/>
              <w:left w:val="nil"/>
              <w:bottom w:val="single" w:sz="8" w:space="0" w:color="auto"/>
              <w:right w:val="nil"/>
            </w:tcBorders>
            <w:vAlign w:val="center"/>
            <w:hideMark/>
          </w:tcPr>
          <w:p w:rsidR="00D61A83" w:rsidRPr="00D61A83" w:rsidRDefault="00D61A83" w:rsidP="00D61A83">
            <w:pPr>
              <w:spacing w:line="240" w:lineRule="auto"/>
              <w:ind w:left="238" w:right="-68"/>
              <w:jc w:val="right"/>
              <w:rPr>
                <w:rFonts w:asciiTheme="minorHAnsi" w:hAnsiTheme="minorHAnsi" w:cstheme="minorHAnsi"/>
                <w:b/>
                <w:bCs/>
                <w:szCs w:val="20"/>
                <w:lang w:val="en-US"/>
              </w:rPr>
            </w:pPr>
            <w:r w:rsidRPr="00D61A83">
              <w:rPr>
                <w:rFonts w:asciiTheme="minorHAnsi" w:hAnsiTheme="minorHAnsi" w:cstheme="minorHAnsi"/>
                <w:b/>
                <w:szCs w:val="20"/>
                <w:lang w:val="en-US"/>
              </w:rPr>
              <w:t>Unaudited</w:t>
            </w:r>
            <w:r w:rsidRPr="00D61A83">
              <w:rPr>
                <w:rFonts w:asciiTheme="minorHAnsi" w:hAnsiTheme="minorHAnsi" w:cstheme="minorHAnsi"/>
                <w:b/>
                <w:szCs w:val="20"/>
                <w:lang w:val="en-US"/>
              </w:rPr>
              <w:br/>
              <w:t>HY1 2017</w:t>
            </w:r>
          </w:p>
        </w:tc>
        <w:tc>
          <w:tcPr>
            <w:tcW w:w="1727" w:type="dxa"/>
            <w:tcBorders>
              <w:top w:val="nil"/>
              <w:left w:val="nil"/>
              <w:bottom w:val="single" w:sz="8" w:space="0" w:color="auto"/>
              <w:right w:val="nil"/>
            </w:tcBorders>
            <w:vAlign w:val="center"/>
            <w:hideMark/>
          </w:tcPr>
          <w:p w:rsidR="00D61A83" w:rsidRPr="00D61A83" w:rsidRDefault="00D61A83" w:rsidP="00D61A83">
            <w:pPr>
              <w:spacing w:line="240" w:lineRule="auto"/>
              <w:ind w:left="238" w:right="-48"/>
              <w:jc w:val="right"/>
              <w:rPr>
                <w:rFonts w:asciiTheme="minorHAnsi" w:hAnsiTheme="minorHAnsi" w:cstheme="minorHAnsi"/>
                <w:b/>
                <w:bCs/>
                <w:szCs w:val="20"/>
                <w:lang w:val="en-US"/>
              </w:rPr>
            </w:pPr>
            <w:r w:rsidRPr="00D61A83">
              <w:rPr>
                <w:rFonts w:asciiTheme="minorHAnsi" w:hAnsiTheme="minorHAnsi" w:cstheme="minorHAnsi"/>
                <w:b/>
                <w:szCs w:val="20"/>
                <w:lang w:val="en-US"/>
              </w:rPr>
              <w:t>Unaudited</w:t>
            </w:r>
            <w:r w:rsidRPr="00D61A83">
              <w:rPr>
                <w:rFonts w:asciiTheme="minorHAnsi" w:hAnsiTheme="minorHAnsi" w:cstheme="minorHAnsi"/>
                <w:b/>
                <w:szCs w:val="20"/>
                <w:lang w:val="en-US"/>
              </w:rPr>
              <w:br/>
              <w:t>HY1 2016</w:t>
            </w:r>
          </w:p>
        </w:tc>
        <w:tc>
          <w:tcPr>
            <w:tcW w:w="275" w:type="dxa"/>
            <w:tcBorders>
              <w:top w:val="nil"/>
              <w:left w:val="nil"/>
              <w:bottom w:val="single" w:sz="8" w:space="0" w:color="auto"/>
              <w:right w:val="nil"/>
            </w:tcBorders>
          </w:tcPr>
          <w:p w:rsidR="00D61A83" w:rsidRPr="00DD35FD" w:rsidRDefault="00D61A83" w:rsidP="00D61A83">
            <w:pPr>
              <w:spacing w:line="240" w:lineRule="auto"/>
              <w:ind w:left="238" w:right="-48"/>
              <w:jc w:val="right"/>
              <w:rPr>
                <w:rFonts w:asciiTheme="minorHAnsi" w:hAnsiTheme="minorHAnsi" w:cstheme="minorHAnsi"/>
                <w:b/>
                <w:sz w:val="22"/>
                <w:lang w:val="en-US"/>
              </w:rPr>
            </w:pPr>
          </w:p>
        </w:tc>
      </w:tr>
      <w:tr w:rsidR="00D61A83" w:rsidRPr="00DD35FD" w:rsidTr="004B447E">
        <w:trPr>
          <w:trHeight w:val="264"/>
        </w:trPr>
        <w:tc>
          <w:tcPr>
            <w:tcW w:w="3116" w:type="dxa"/>
            <w:tcBorders>
              <w:top w:val="nil"/>
              <w:left w:val="nil"/>
              <w:bottom w:val="nil"/>
              <w:right w:val="nil"/>
            </w:tcBorders>
            <w:vAlign w:val="center"/>
            <w:hideMark/>
          </w:tcPr>
          <w:p w:rsidR="00D61A83" w:rsidRPr="00D61A83" w:rsidRDefault="00D61A83" w:rsidP="00D61A83">
            <w:pPr>
              <w:spacing w:line="240" w:lineRule="auto"/>
              <w:ind w:left="238"/>
              <w:rPr>
                <w:rFonts w:asciiTheme="minorHAnsi" w:hAnsiTheme="minorHAnsi" w:cstheme="minorHAnsi"/>
                <w:b/>
                <w:bCs/>
                <w:color w:val="000000"/>
                <w:szCs w:val="20"/>
                <w:lang w:val="en-US"/>
              </w:rPr>
            </w:pPr>
            <w:r w:rsidRPr="00D61A83">
              <w:rPr>
                <w:rFonts w:asciiTheme="minorHAnsi" w:hAnsiTheme="minorHAnsi" w:cstheme="minorHAnsi"/>
                <w:b/>
                <w:color w:val="000000"/>
                <w:szCs w:val="20"/>
                <w:lang w:val="en-US"/>
              </w:rPr>
              <w:t>Net Sales</w:t>
            </w:r>
          </w:p>
        </w:tc>
        <w:tc>
          <w:tcPr>
            <w:tcW w:w="2824" w:type="dxa"/>
            <w:tcBorders>
              <w:top w:val="nil"/>
              <w:left w:val="nil"/>
              <w:bottom w:val="nil"/>
              <w:right w:val="nil"/>
            </w:tcBorders>
            <w:vAlign w:val="center"/>
          </w:tcPr>
          <w:p w:rsidR="00D61A83" w:rsidRPr="00D61A83" w:rsidRDefault="00D61A83" w:rsidP="00D61A83">
            <w:pPr>
              <w:spacing w:line="240" w:lineRule="auto"/>
              <w:ind w:left="238" w:right="-68"/>
              <w:jc w:val="right"/>
              <w:rPr>
                <w:rFonts w:asciiTheme="minorHAnsi" w:hAnsiTheme="minorHAnsi" w:cstheme="minorHAnsi"/>
                <w:b/>
                <w:bCs/>
                <w:szCs w:val="20"/>
                <w:lang w:val="en-US"/>
              </w:rPr>
            </w:pPr>
            <w:r w:rsidRPr="00D61A83">
              <w:rPr>
                <w:rFonts w:asciiTheme="minorHAnsi" w:hAnsiTheme="minorHAnsi" w:cstheme="minorHAnsi"/>
                <w:b/>
                <w:bCs/>
                <w:szCs w:val="20"/>
                <w:lang w:val="en-US"/>
              </w:rPr>
              <w:t>5,832</w:t>
            </w:r>
          </w:p>
        </w:tc>
        <w:tc>
          <w:tcPr>
            <w:tcW w:w="1727" w:type="dxa"/>
            <w:tcBorders>
              <w:top w:val="nil"/>
              <w:left w:val="nil"/>
              <w:bottom w:val="nil"/>
              <w:right w:val="nil"/>
            </w:tcBorders>
            <w:vAlign w:val="center"/>
            <w:hideMark/>
          </w:tcPr>
          <w:p w:rsidR="00D61A83" w:rsidRPr="00D61A83" w:rsidRDefault="00D61A83" w:rsidP="00D61A83">
            <w:pPr>
              <w:spacing w:line="240" w:lineRule="auto"/>
              <w:ind w:left="238" w:right="-68"/>
              <w:jc w:val="right"/>
              <w:rPr>
                <w:rFonts w:asciiTheme="minorHAnsi" w:hAnsiTheme="minorHAnsi" w:cstheme="minorHAnsi"/>
                <w:b/>
                <w:bCs/>
                <w:szCs w:val="20"/>
                <w:lang w:val="en-US"/>
              </w:rPr>
            </w:pPr>
            <w:r w:rsidRPr="00D61A83">
              <w:rPr>
                <w:rFonts w:asciiTheme="minorHAnsi" w:hAnsiTheme="minorHAnsi" w:cstheme="minorHAnsi"/>
                <w:b/>
                <w:bCs/>
                <w:szCs w:val="20"/>
                <w:lang w:val="en-US"/>
              </w:rPr>
              <w:t>4,919</w:t>
            </w:r>
          </w:p>
        </w:tc>
        <w:tc>
          <w:tcPr>
            <w:tcW w:w="275" w:type="dxa"/>
            <w:tcBorders>
              <w:top w:val="nil"/>
              <w:left w:val="nil"/>
              <w:bottom w:val="nil"/>
              <w:right w:val="nil"/>
            </w:tcBorders>
          </w:tcPr>
          <w:p w:rsidR="00D61A83" w:rsidRPr="00DD35FD" w:rsidRDefault="00D61A83" w:rsidP="00D61A83">
            <w:pPr>
              <w:spacing w:line="240" w:lineRule="auto"/>
              <w:ind w:left="238" w:right="-68"/>
              <w:jc w:val="right"/>
              <w:rPr>
                <w:rFonts w:asciiTheme="minorHAnsi" w:hAnsiTheme="minorHAnsi" w:cstheme="minorHAnsi"/>
                <w:b/>
                <w:bCs/>
                <w:sz w:val="22"/>
                <w:lang w:val="en-US"/>
              </w:rPr>
            </w:pPr>
          </w:p>
        </w:tc>
      </w:tr>
      <w:tr w:rsidR="00D61A83" w:rsidRPr="00DD35FD" w:rsidTr="004B447E">
        <w:trPr>
          <w:trHeight w:val="264"/>
        </w:trPr>
        <w:tc>
          <w:tcPr>
            <w:tcW w:w="3116" w:type="dxa"/>
            <w:tcBorders>
              <w:top w:val="nil"/>
              <w:left w:val="nil"/>
              <w:bottom w:val="nil"/>
              <w:right w:val="nil"/>
            </w:tcBorders>
            <w:vAlign w:val="center"/>
            <w:hideMark/>
          </w:tcPr>
          <w:p w:rsidR="00D61A83" w:rsidRPr="00D61A83" w:rsidRDefault="00D61A83" w:rsidP="00D61A83">
            <w:pPr>
              <w:spacing w:line="240" w:lineRule="auto"/>
              <w:ind w:left="238"/>
              <w:rPr>
                <w:rFonts w:asciiTheme="minorHAnsi" w:hAnsiTheme="minorHAnsi" w:cstheme="minorHAnsi"/>
                <w:b/>
                <w:bCs/>
                <w:color w:val="000000"/>
                <w:szCs w:val="20"/>
                <w:lang w:val="en-US"/>
              </w:rPr>
            </w:pPr>
            <w:r w:rsidRPr="00D61A83">
              <w:rPr>
                <w:rFonts w:asciiTheme="minorHAnsi" w:hAnsiTheme="minorHAnsi" w:cstheme="minorHAnsi"/>
                <w:b/>
                <w:color w:val="000000"/>
                <w:szCs w:val="20"/>
                <w:lang w:val="en-US"/>
              </w:rPr>
              <w:t>Gross margin</w:t>
            </w:r>
          </w:p>
        </w:tc>
        <w:tc>
          <w:tcPr>
            <w:tcW w:w="2824" w:type="dxa"/>
            <w:tcBorders>
              <w:top w:val="nil"/>
              <w:left w:val="nil"/>
              <w:bottom w:val="nil"/>
              <w:right w:val="nil"/>
            </w:tcBorders>
            <w:vAlign w:val="center"/>
          </w:tcPr>
          <w:p w:rsidR="00D61A83" w:rsidRPr="00D61A83" w:rsidRDefault="00D61A83" w:rsidP="00D61A83">
            <w:pPr>
              <w:spacing w:line="240" w:lineRule="auto"/>
              <w:ind w:left="238" w:right="-68"/>
              <w:jc w:val="right"/>
              <w:rPr>
                <w:rFonts w:asciiTheme="minorHAnsi" w:hAnsiTheme="minorHAnsi" w:cstheme="minorHAnsi"/>
                <w:b/>
                <w:bCs/>
                <w:szCs w:val="20"/>
                <w:lang w:val="en-US"/>
              </w:rPr>
            </w:pPr>
            <w:r w:rsidRPr="00D61A83">
              <w:rPr>
                <w:rFonts w:asciiTheme="minorHAnsi" w:hAnsiTheme="minorHAnsi" w:cstheme="minorHAnsi"/>
                <w:b/>
                <w:bCs/>
                <w:szCs w:val="20"/>
                <w:lang w:val="en-US"/>
              </w:rPr>
              <w:t>4,817</w:t>
            </w:r>
          </w:p>
        </w:tc>
        <w:tc>
          <w:tcPr>
            <w:tcW w:w="1727" w:type="dxa"/>
            <w:tcBorders>
              <w:top w:val="nil"/>
              <w:left w:val="nil"/>
              <w:bottom w:val="nil"/>
              <w:right w:val="nil"/>
            </w:tcBorders>
            <w:vAlign w:val="center"/>
            <w:hideMark/>
          </w:tcPr>
          <w:p w:rsidR="00D61A83" w:rsidRPr="00D61A83" w:rsidRDefault="00D61A83" w:rsidP="00D61A83">
            <w:pPr>
              <w:spacing w:line="240" w:lineRule="auto"/>
              <w:ind w:left="238" w:right="-68"/>
              <w:jc w:val="right"/>
              <w:rPr>
                <w:rFonts w:asciiTheme="minorHAnsi" w:hAnsiTheme="minorHAnsi" w:cstheme="minorHAnsi"/>
                <w:b/>
                <w:bCs/>
                <w:szCs w:val="20"/>
                <w:lang w:val="en-US"/>
              </w:rPr>
            </w:pPr>
            <w:r w:rsidRPr="00D61A83">
              <w:rPr>
                <w:rFonts w:asciiTheme="minorHAnsi" w:hAnsiTheme="minorHAnsi" w:cstheme="minorHAnsi"/>
                <w:b/>
                <w:bCs/>
                <w:szCs w:val="20"/>
                <w:lang w:val="en-US"/>
              </w:rPr>
              <w:t>4,159</w:t>
            </w:r>
          </w:p>
        </w:tc>
        <w:tc>
          <w:tcPr>
            <w:tcW w:w="275" w:type="dxa"/>
            <w:tcBorders>
              <w:top w:val="nil"/>
              <w:left w:val="nil"/>
              <w:bottom w:val="nil"/>
              <w:right w:val="nil"/>
            </w:tcBorders>
          </w:tcPr>
          <w:p w:rsidR="00D61A83" w:rsidRPr="00DD35FD" w:rsidRDefault="00D61A83" w:rsidP="00D61A83">
            <w:pPr>
              <w:spacing w:line="240" w:lineRule="auto"/>
              <w:ind w:left="238" w:right="-68"/>
              <w:jc w:val="right"/>
              <w:rPr>
                <w:rFonts w:asciiTheme="minorHAnsi" w:hAnsiTheme="minorHAnsi" w:cstheme="minorHAnsi"/>
                <w:b/>
                <w:bCs/>
                <w:sz w:val="22"/>
                <w:lang w:val="en-US"/>
              </w:rPr>
            </w:pPr>
          </w:p>
        </w:tc>
      </w:tr>
      <w:tr w:rsidR="00D61A83" w:rsidRPr="00DD35FD" w:rsidTr="004B447E">
        <w:trPr>
          <w:trHeight w:val="264"/>
        </w:trPr>
        <w:tc>
          <w:tcPr>
            <w:tcW w:w="3116" w:type="dxa"/>
            <w:tcBorders>
              <w:top w:val="nil"/>
              <w:left w:val="nil"/>
              <w:bottom w:val="nil"/>
              <w:right w:val="nil"/>
            </w:tcBorders>
            <w:vAlign w:val="center"/>
            <w:hideMark/>
          </w:tcPr>
          <w:p w:rsidR="00D61A83" w:rsidRPr="00D61A83" w:rsidRDefault="00D61A83" w:rsidP="00D61A83">
            <w:pPr>
              <w:spacing w:line="240" w:lineRule="auto"/>
              <w:ind w:left="238"/>
              <w:rPr>
                <w:rFonts w:asciiTheme="minorHAnsi" w:hAnsiTheme="minorHAnsi" w:cstheme="minorHAnsi"/>
                <w:i/>
                <w:iCs/>
                <w:color w:val="000000"/>
                <w:szCs w:val="20"/>
                <w:lang w:val="en-US"/>
              </w:rPr>
            </w:pPr>
            <w:r w:rsidRPr="00D61A83">
              <w:rPr>
                <w:rFonts w:asciiTheme="minorHAnsi" w:hAnsiTheme="minorHAnsi" w:cstheme="minorHAnsi"/>
                <w:i/>
                <w:color w:val="000000"/>
                <w:szCs w:val="20"/>
                <w:lang w:val="en-US"/>
              </w:rPr>
              <w:t>Gross margin as % of net sales</w:t>
            </w:r>
          </w:p>
        </w:tc>
        <w:tc>
          <w:tcPr>
            <w:tcW w:w="2824" w:type="dxa"/>
            <w:tcBorders>
              <w:top w:val="nil"/>
              <w:left w:val="nil"/>
              <w:bottom w:val="nil"/>
              <w:right w:val="nil"/>
            </w:tcBorders>
            <w:vAlign w:val="center"/>
          </w:tcPr>
          <w:p w:rsidR="00D61A83" w:rsidRPr="00D61A83" w:rsidRDefault="00D61A83" w:rsidP="00D61A83">
            <w:pPr>
              <w:spacing w:line="240" w:lineRule="auto"/>
              <w:ind w:left="238" w:right="-68"/>
              <w:jc w:val="right"/>
              <w:rPr>
                <w:rFonts w:asciiTheme="minorHAnsi" w:hAnsiTheme="minorHAnsi" w:cstheme="minorHAnsi"/>
                <w:i/>
                <w:szCs w:val="20"/>
                <w:lang w:val="en-US"/>
              </w:rPr>
            </w:pPr>
            <w:r w:rsidRPr="00D61A83">
              <w:rPr>
                <w:rFonts w:asciiTheme="minorHAnsi" w:hAnsiTheme="minorHAnsi" w:cstheme="minorHAnsi"/>
                <w:i/>
                <w:szCs w:val="20"/>
                <w:lang w:val="en-US"/>
              </w:rPr>
              <w:t>83%</w:t>
            </w:r>
          </w:p>
        </w:tc>
        <w:tc>
          <w:tcPr>
            <w:tcW w:w="1727" w:type="dxa"/>
            <w:tcBorders>
              <w:top w:val="nil"/>
              <w:left w:val="nil"/>
              <w:bottom w:val="nil"/>
              <w:right w:val="nil"/>
            </w:tcBorders>
            <w:vAlign w:val="center"/>
            <w:hideMark/>
          </w:tcPr>
          <w:p w:rsidR="00D61A83" w:rsidRPr="00D61A83" w:rsidRDefault="00D61A83" w:rsidP="00D61A83">
            <w:pPr>
              <w:spacing w:line="240" w:lineRule="auto"/>
              <w:ind w:left="238" w:right="-68"/>
              <w:jc w:val="right"/>
              <w:rPr>
                <w:rFonts w:asciiTheme="minorHAnsi" w:hAnsiTheme="minorHAnsi" w:cstheme="minorHAnsi"/>
                <w:i/>
                <w:szCs w:val="20"/>
                <w:lang w:val="en-US"/>
              </w:rPr>
            </w:pPr>
            <w:r w:rsidRPr="00D61A83">
              <w:rPr>
                <w:rFonts w:asciiTheme="minorHAnsi" w:hAnsiTheme="minorHAnsi" w:cstheme="minorHAnsi"/>
                <w:i/>
                <w:szCs w:val="20"/>
                <w:lang w:val="en-US"/>
              </w:rPr>
              <w:t>85%</w:t>
            </w:r>
          </w:p>
        </w:tc>
        <w:tc>
          <w:tcPr>
            <w:tcW w:w="275" w:type="dxa"/>
            <w:tcBorders>
              <w:top w:val="nil"/>
              <w:left w:val="nil"/>
              <w:bottom w:val="nil"/>
              <w:right w:val="nil"/>
            </w:tcBorders>
          </w:tcPr>
          <w:p w:rsidR="00D61A83" w:rsidRPr="00DD35FD" w:rsidRDefault="00D61A83" w:rsidP="00D61A83">
            <w:pPr>
              <w:spacing w:line="240" w:lineRule="auto"/>
              <w:ind w:left="238" w:right="-68"/>
              <w:jc w:val="right"/>
              <w:rPr>
                <w:rFonts w:asciiTheme="minorHAnsi" w:hAnsiTheme="minorHAnsi" w:cstheme="minorHAnsi"/>
                <w:i/>
                <w:sz w:val="22"/>
                <w:lang w:val="en-US"/>
              </w:rPr>
            </w:pPr>
          </w:p>
        </w:tc>
      </w:tr>
      <w:tr w:rsidR="00D61A83" w:rsidRPr="00DD35FD" w:rsidTr="004B447E">
        <w:trPr>
          <w:trHeight w:val="264"/>
        </w:trPr>
        <w:tc>
          <w:tcPr>
            <w:tcW w:w="3116" w:type="dxa"/>
            <w:tcBorders>
              <w:top w:val="nil"/>
              <w:left w:val="nil"/>
              <w:bottom w:val="nil"/>
              <w:right w:val="nil"/>
            </w:tcBorders>
            <w:vAlign w:val="center"/>
            <w:hideMark/>
          </w:tcPr>
          <w:p w:rsidR="00D61A83" w:rsidRPr="00D61A83" w:rsidRDefault="00D61A83" w:rsidP="00D61A83">
            <w:pPr>
              <w:spacing w:line="240" w:lineRule="auto"/>
              <w:ind w:left="238"/>
              <w:rPr>
                <w:rFonts w:asciiTheme="minorHAnsi" w:hAnsiTheme="minorHAnsi" w:cstheme="minorHAnsi"/>
                <w:b/>
                <w:bCs/>
                <w:color w:val="000000"/>
                <w:szCs w:val="20"/>
                <w:lang w:val="en-US"/>
              </w:rPr>
            </w:pPr>
            <w:r w:rsidRPr="00D61A83">
              <w:rPr>
                <w:rFonts w:asciiTheme="minorHAnsi" w:hAnsiTheme="minorHAnsi" w:cstheme="minorHAnsi"/>
                <w:b/>
                <w:color w:val="000000"/>
                <w:szCs w:val="20"/>
                <w:lang w:val="en-US"/>
              </w:rPr>
              <w:t>EBITDA</w:t>
            </w:r>
          </w:p>
        </w:tc>
        <w:tc>
          <w:tcPr>
            <w:tcW w:w="2824" w:type="dxa"/>
            <w:tcBorders>
              <w:top w:val="nil"/>
              <w:left w:val="nil"/>
              <w:bottom w:val="nil"/>
              <w:right w:val="nil"/>
            </w:tcBorders>
            <w:vAlign w:val="center"/>
          </w:tcPr>
          <w:p w:rsidR="00D61A83" w:rsidRPr="00D61A83" w:rsidRDefault="00D61A83" w:rsidP="00D61A83">
            <w:pPr>
              <w:spacing w:line="240" w:lineRule="auto"/>
              <w:ind w:left="238" w:right="-68"/>
              <w:jc w:val="right"/>
              <w:rPr>
                <w:rFonts w:asciiTheme="minorHAnsi" w:hAnsiTheme="minorHAnsi" w:cstheme="minorHAnsi"/>
                <w:b/>
                <w:bCs/>
                <w:szCs w:val="20"/>
                <w:lang w:val="en-US"/>
              </w:rPr>
            </w:pPr>
            <w:r w:rsidRPr="00D61A83">
              <w:rPr>
                <w:rFonts w:asciiTheme="minorHAnsi" w:hAnsiTheme="minorHAnsi" w:cstheme="minorHAnsi"/>
                <w:b/>
                <w:bCs/>
                <w:szCs w:val="20"/>
                <w:lang w:val="en-US"/>
              </w:rPr>
              <w:t>534</w:t>
            </w:r>
          </w:p>
        </w:tc>
        <w:tc>
          <w:tcPr>
            <w:tcW w:w="1727" w:type="dxa"/>
            <w:tcBorders>
              <w:top w:val="nil"/>
              <w:left w:val="nil"/>
              <w:bottom w:val="nil"/>
              <w:right w:val="nil"/>
            </w:tcBorders>
            <w:vAlign w:val="center"/>
            <w:hideMark/>
          </w:tcPr>
          <w:p w:rsidR="00D61A83" w:rsidRPr="00D61A83" w:rsidRDefault="00D61A83" w:rsidP="00D61A83">
            <w:pPr>
              <w:spacing w:line="240" w:lineRule="auto"/>
              <w:ind w:left="238" w:right="-68"/>
              <w:jc w:val="right"/>
              <w:rPr>
                <w:rFonts w:asciiTheme="minorHAnsi" w:hAnsiTheme="minorHAnsi" w:cstheme="minorHAnsi"/>
                <w:b/>
                <w:bCs/>
                <w:szCs w:val="20"/>
                <w:lang w:val="en-US"/>
              </w:rPr>
            </w:pPr>
            <w:r w:rsidRPr="00D61A83">
              <w:rPr>
                <w:rFonts w:asciiTheme="minorHAnsi" w:hAnsiTheme="minorHAnsi" w:cstheme="minorHAnsi"/>
                <w:b/>
                <w:bCs/>
                <w:szCs w:val="20"/>
                <w:lang w:val="en-US"/>
              </w:rPr>
              <w:t>95</w:t>
            </w:r>
          </w:p>
        </w:tc>
        <w:tc>
          <w:tcPr>
            <w:tcW w:w="275" w:type="dxa"/>
            <w:tcBorders>
              <w:top w:val="nil"/>
              <w:left w:val="nil"/>
              <w:bottom w:val="nil"/>
              <w:right w:val="nil"/>
            </w:tcBorders>
          </w:tcPr>
          <w:p w:rsidR="00D61A83" w:rsidRPr="00DD35FD" w:rsidRDefault="00D61A83" w:rsidP="00D61A83">
            <w:pPr>
              <w:spacing w:line="240" w:lineRule="auto"/>
              <w:ind w:left="238" w:right="-68"/>
              <w:jc w:val="right"/>
              <w:rPr>
                <w:rFonts w:asciiTheme="minorHAnsi" w:hAnsiTheme="minorHAnsi" w:cstheme="minorHAnsi"/>
                <w:b/>
                <w:bCs/>
                <w:sz w:val="22"/>
                <w:lang w:val="en-US"/>
              </w:rPr>
            </w:pPr>
          </w:p>
        </w:tc>
      </w:tr>
      <w:tr w:rsidR="00D61A83" w:rsidRPr="00DD35FD" w:rsidTr="004B447E">
        <w:trPr>
          <w:trHeight w:val="264"/>
        </w:trPr>
        <w:tc>
          <w:tcPr>
            <w:tcW w:w="3116" w:type="dxa"/>
            <w:tcBorders>
              <w:top w:val="nil"/>
              <w:left w:val="nil"/>
              <w:bottom w:val="nil"/>
              <w:right w:val="nil"/>
            </w:tcBorders>
            <w:vAlign w:val="center"/>
            <w:hideMark/>
          </w:tcPr>
          <w:p w:rsidR="00D61A83" w:rsidRPr="00D61A83" w:rsidRDefault="00D61A83" w:rsidP="00D61A83">
            <w:pPr>
              <w:spacing w:line="240" w:lineRule="auto"/>
              <w:ind w:left="238"/>
              <w:rPr>
                <w:rFonts w:asciiTheme="minorHAnsi" w:hAnsiTheme="minorHAnsi" w:cstheme="minorHAnsi"/>
                <w:i/>
                <w:iCs/>
                <w:color w:val="000000"/>
                <w:szCs w:val="20"/>
                <w:lang w:val="en-US"/>
              </w:rPr>
            </w:pPr>
            <w:r w:rsidRPr="00D61A83">
              <w:rPr>
                <w:rFonts w:asciiTheme="minorHAnsi" w:hAnsiTheme="minorHAnsi" w:cstheme="minorHAnsi"/>
                <w:i/>
                <w:color w:val="000000"/>
                <w:szCs w:val="20"/>
                <w:lang w:val="en-US"/>
              </w:rPr>
              <w:t>EBITDA as % of net sales</w:t>
            </w:r>
          </w:p>
        </w:tc>
        <w:tc>
          <w:tcPr>
            <w:tcW w:w="2824" w:type="dxa"/>
            <w:tcBorders>
              <w:top w:val="nil"/>
              <w:left w:val="nil"/>
              <w:bottom w:val="nil"/>
              <w:right w:val="nil"/>
            </w:tcBorders>
            <w:vAlign w:val="center"/>
          </w:tcPr>
          <w:p w:rsidR="00D61A83" w:rsidRPr="00D61A83" w:rsidRDefault="00D61A83" w:rsidP="00D61A83">
            <w:pPr>
              <w:spacing w:line="240" w:lineRule="auto"/>
              <w:ind w:left="238" w:right="-68"/>
              <w:jc w:val="right"/>
              <w:rPr>
                <w:rFonts w:asciiTheme="minorHAnsi" w:hAnsiTheme="minorHAnsi" w:cstheme="minorHAnsi"/>
                <w:i/>
                <w:szCs w:val="20"/>
              </w:rPr>
            </w:pPr>
            <w:r w:rsidRPr="00D61A83">
              <w:rPr>
                <w:rFonts w:asciiTheme="minorHAnsi" w:hAnsiTheme="minorHAnsi" w:cstheme="minorHAnsi"/>
                <w:i/>
                <w:szCs w:val="20"/>
              </w:rPr>
              <w:t>9%</w:t>
            </w:r>
          </w:p>
        </w:tc>
        <w:tc>
          <w:tcPr>
            <w:tcW w:w="1727" w:type="dxa"/>
            <w:tcBorders>
              <w:top w:val="nil"/>
              <w:left w:val="nil"/>
              <w:bottom w:val="nil"/>
              <w:right w:val="nil"/>
            </w:tcBorders>
            <w:vAlign w:val="center"/>
            <w:hideMark/>
          </w:tcPr>
          <w:p w:rsidR="00D61A83" w:rsidRPr="00D61A83" w:rsidRDefault="00D61A83" w:rsidP="00D61A83">
            <w:pPr>
              <w:spacing w:line="240" w:lineRule="auto"/>
              <w:ind w:left="238" w:right="-68"/>
              <w:jc w:val="right"/>
              <w:rPr>
                <w:rFonts w:asciiTheme="minorHAnsi" w:hAnsiTheme="minorHAnsi" w:cstheme="minorHAnsi"/>
                <w:i/>
                <w:szCs w:val="20"/>
              </w:rPr>
            </w:pPr>
            <w:r w:rsidRPr="00D61A83">
              <w:rPr>
                <w:rFonts w:asciiTheme="minorHAnsi" w:hAnsiTheme="minorHAnsi" w:cstheme="minorHAnsi"/>
                <w:i/>
                <w:szCs w:val="20"/>
              </w:rPr>
              <w:t>2%</w:t>
            </w:r>
          </w:p>
        </w:tc>
        <w:tc>
          <w:tcPr>
            <w:tcW w:w="275" w:type="dxa"/>
            <w:tcBorders>
              <w:top w:val="nil"/>
              <w:left w:val="nil"/>
              <w:bottom w:val="nil"/>
              <w:right w:val="nil"/>
            </w:tcBorders>
          </w:tcPr>
          <w:p w:rsidR="00D61A83" w:rsidRPr="00DD35FD" w:rsidRDefault="00D61A83" w:rsidP="00D61A83">
            <w:pPr>
              <w:spacing w:line="240" w:lineRule="auto"/>
              <w:ind w:left="238" w:right="-68"/>
              <w:jc w:val="right"/>
              <w:rPr>
                <w:rFonts w:asciiTheme="minorHAnsi" w:hAnsiTheme="minorHAnsi" w:cstheme="minorHAnsi"/>
                <w:i/>
                <w:sz w:val="22"/>
              </w:rPr>
            </w:pPr>
          </w:p>
        </w:tc>
      </w:tr>
      <w:tr w:rsidR="00D61A83" w:rsidRPr="00DD35FD" w:rsidTr="004B447E">
        <w:trPr>
          <w:trHeight w:val="264"/>
        </w:trPr>
        <w:tc>
          <w:tcPr>
            <w:tcW w:w="3116" w:type="dxa"/>
            <w:tcBorders>
              <w:top w:val="nil"/>
              <w:left w:val="nil"/>
              <w:bottom w:val="nil"/>
              <w:right w:val="nil"/>
            </w:tcBorders>
            <w:vAlign w:val="center"/>
            <w:hideMark/>
          </w:tcPr>
          <w:p w:rsidR="00D61A83" w:rsidRPr="00D61A83" w:rsidRDefault="00D61A83" w:rsidP="00D61A83">
            <w:pPr>
              <w:spacing w:line="240" w:lineRule="auto"/>
              <w:ind w:left="238"/>
              <w:rPr>
                <w:rFonts w:asciiTheme="minorHAnsi" w:hAnsiTheme="minorHAnsi" w:cstheme="minorHAnsi"/>
                <w:b/>
                <w:bCs/>
                <w:color w:val="000000"/>
                <w:szCs w:val="20"/>
              </w:rPr>
            </w:pPr>
            <w:r w:rsidRPr="00D61A83">
              <w:rPr>
                <w:rFonts w:asciiTheme="minorHAnsi" w:hAnsiTheme="minorHAnsi" w:cstheme="minorHAnsi"/>
                <w:b/>
                <w:color w:val="000000"/>
                <w:szCs w:val="20"/>
              </w:rPr>
              <w:t>EBIT</w:t>
            </w:r>
          </w:p>
        </w:tc>
        <w:tc>
          <w:tcPr>
            <w:tcW w:w="2824" w:type="dxa"/>
            <w:tcBorders>
              <w:top w:val="nil"/>
              <w:left w:val="nil"/>
              <w:bottom w:val="nil"/>
              <w:right w:val="nil"/>
            </w:tcBorders>
            <w:vAlign w:val="center"/>
          </w:tcPr>
          <w:p w:rsidR="00D61A83" w:rsidRPr="00D61A83" w:rsidRDefault="00D61A83" w:rsidP="00D61A83">
            <w:pPr>
              <w:spacing w:line="240" w:lineRule="auto"/>
              <w:ind w:left="238" w:right="-68"/>
              <w:jc w:val="right"/>
              <w:rPr>
                <w:rFonts w:asciiTheme="minorHAnsi" w:hAnsiTheme="minorHAnsi" w:cstheme="minorHAnsi"/>
                <w:b/>
                <w:szCs w:val="20"/>
              </w:rPr>
            </w:pPr>
            <w:r w:rsidRPr="00D61A83">
              <w:rPr>
                <w:rFonts w:asciiTheme="minorHAnsi" w:hAnsiTheme="minorHAnsi" w:cstheme="minorHAnsi"/>
                <w:b/>
                <w:szCs w:val="20"/>
              </w:rPr>
              <w:t>44</w:t>
            </w:r>
          </w:p>
        </w:tc>
        <w:tc>
          <w:tcPr>
            <w:tcW w:w="1727" w:type="dxa"/>
            <w:tcBorders>
              <w:top w:val="nil"/>
              <w:left w:val="nil"/>
              <w:bottom w:val="nil"/>
              <w:right w:val="nil"/>
            </w:tcBorders>
            <w:vAlign w:val="center"/>
            <w:hideMark/>
          </w:tcPr>
          <w:p w:rsidR="00D61A83" w:rsidRPr="00D61A83" w:rsidRDefault="00D61A83" w:rsidP="00D61A83">
            <w:pPr>
              <w:spacing w:line="240" w:lineRule="auto"/>
              <w:ind w:left="238" w:right="-68"/>
              <w:jc w:val="right"/>
              <w:rPr>
                <w:rFonts w:asciiTheme="minorHAnsi" w:hAnsiTheme="minorHAnsi" w:cstheme="minorHAnsi"/>
                <w:b/>
                <w:szCs w:val="20"/>
              </w:rPr>
            </w:pPr>
            <w:r w:rsidRPr="00D61A83">
              <w:rPr>
                <w:rFonts w:asciiTheme="minorHAnsi" w:hAnsiTheme="minorHAnsi" w:cstheme="minorHAnsi"/>
                <w:b/>
                <w:szCs w:val="20"/>
              </w:rPr>
              <w:t>-429</w:t>
            </w:r>
          </w:p>
        </w:tc>
        <w:tc>
          <w:tcPr>
            <w:tcW w:w="275" w:type="dxa"/>
            <w:tcBorders>
              <w:top w:val="nil"/>
              <w:left w:val="nil"/>
              <w:bottom w:val="nil"/>
              <w:right w:val="nil"/>
            </w:tcBorders>
          </w:tcPr>
          <w:p w:rsidR="00D61A83" w:rsidRPr="00DD35FD" w:rsidRDefault="00D61A83" w:rsidP="00D61A83">
            <w:pPr>
              <w:spacing w:line="240" w:lineRule="auto"/>
              <w:ind w:left="238" w:right="-68"/>
              <w:jc w:val="right"/>
              <w:rPr>
                <w:rFonts w:asciiTheme="minorHAnsi" w:hAnsiTheme="minorHAnsi" w:cstheme="minorHAnsi"/>
                <w:b/>
                <w:sz w:val="22"/>
              </w:rPr>
            </w:pPr>
          </w:p>
        </w:tc>
      </w:tr>
      <w:tr w:rsidR="00D61A83" w:rsidRPr="00DD35FD" w:rsidTr="004B447E">
        <w:trPr>
          <w:trHeight w:val="264"/>
        </w:trPr>
        <w:tc>
          <w:tcPr>
            <w:tcW w:w="3116" w:type="dxa"/>
            <w:tcBorders>
              <w:top w:val="nil"/>
              <w:left w:val="nil"/>
              <w:bottom w:val="nil"/>
              <w:right w:val="nil"/>
            </w:tcBorders>
            <w:vAlign w:val="center"/>
            <w:hideMark/>
          </w:tcPr>
          <w:p w:rsidR="00D61A83" w:rsidRPr="00D61A83" w:rsidRDefault="00D61A83" w:rsidP="00D61A83">
            <w:pPr>
              <w:spacing w:line="240" w:lineRule="auto"/>
              <w:ind w:left="238"/>
              <w:rPr>
                <w:rFonts w:asciiTheme="minorHAnsi" w:hAnsiTheme="minorHAnsi" w:cstheme="minorHAnsi"/>
                <w:i/>
                <w:iCs/>
                <w:color w:val="000000"/>
                <w:szCs w:val="20"/>
                <w:lang w:val="en-US"/>
              </w:rPr>
            </w:pPr>
            <w:r w:rsidRPr="00D61A83">
              <w:rPr>
                <w:rFonts w:asciiTheme="minorHAnsi" w:hAnsiTheme="minorHAnsi" w:cstheme="minorHAnsi"/>
                <w:i/>
                <w:color w:val="000000"/>
                <w:szCs w:val="20"/>
                <w:lang w:val="en-US"/>
              </w:rPr>
              <w:t>EBIT as % of net sales</w:t>
            </w:r>
          </w:p>
        </w:tc>
        <w:tc>
          <w:tcPr>
            <w:tcW w:w="2824" w:type="dxa"/>
            <w:tcBorders>
              <w:top w:val="nil"/>
              <w:left w:val="nil"/>
              <w:bottom w:val="nil"/>
              <w:right w:val="nil"/>
            </w:tcBorders>
            <w:vAlign w:val="center"/>
          </w:tcPr>
          <w:p w:rsidR="00D61A83" w:rsidRPr="00D61A83" w:rsidRDefault="00D61A83" w:rsidP="00D61A83">
            <w:pPr>
              <w:spacing w:line="240" w:lineRule="auto"/>
              <w:ind w:left="238" w:right="-68"/>
              <w:jc w:val="right"/>
              <w:rPr>
                <w:rFonts w:asciiTheme="minorHAnsi" w:hAnsiTheme="minorHAnsi" w:cstheme="minorHAnsi"/>
                <w:i/>
                <w:szCs w:val="20"/>
              </w:rPr>
            </w:pPr>
            <w:r w:rsidRPr="00D61A83">
              <w:rPr>
                <w:rFonts w:asciiTheme="minorHAnsi" w:hAnsiTheme="minorHAnsi" w:cstheme="minorHAnsi"/>
                <w:i/>
                <w:szCs w:val="20"/>
              </w:rPr>
              <w:t>1%</w:t>
            </w:r>
          </w:p>
        </w:tc>
        <w:tc>
          <w:tcPr>
            <w:tcW w:w="1727" w:type="dxa"/>
            <w:tcBorders>
              <w:top w:val="nil"/>
              <w:left w:val="nil"/>
              <w:bottom w:val="nil"/>
              <w:right w:val="nil"/>
            </w:tcBorders>
            <w:vAlign w:val="center"/>
            <w:hideMark/>
          </w:tcPr>
          <w:p w:rsidR="00D61A83" w:rsidRPr="00D61A83" w:rsidRDefault="00D61A83" w:rsidP="00D61A83">
            <w:pPr>
              <w:spacing w:line="240" w:lineRule="auto"/>
              <w:ind w:left="238" w:right="-68"/>
              <w:jc w:val="right"/>
              <w:rPr>
                <w:rFonts w:asciiTheme="minorHAnsi" w:hAnsiTheme="minorHAnsi" w:cstheme="minorHAnsi"/>
                <w:i/>
                <w:szCs w:val="20"/>
              </w:rPr>
            </w:pPr>
            <w:r w:rsidRPr="00D61A83">
              <w:rPr>
                <w:rFonts w:asciiTheme="minorHAnsi" w:hAnsiTheme="minorHAnsi" w:cstheme="minorHAnsi"/>
                <w:i/>
                <w:szCs w:val="20"/>
              </w:rPr>
              <w:t>-9%</w:t>
            </w:r>
          </w:p>
        </w:tc>
        <w:tc>
          <w:tcPr>
            <w:tcW w:w="275" w:type="dxa"/>
            <w:tcBorders>
              <w:top w:val="nil"/>
              <w:left w:val="nil"/>
              <w:bottom w:val="nil"/>
              <w:right w:val="nil"/>
            </w:tcBorders>
          </w:tcPr>
          <w:p w:rsidR="00D61A83" w:rsidRPr="00DD35FD" w:rsidRDefault="00D61A83" w:rsidP="00D61A83">
            <w:pPr>
              <w:spacing w:line="240" w:lineRule="auto"/>
              <w:ind w:left="238" w:right="-68"/>
              <w:jc w:val="right"/>
              <w:rPr>
                <w:rFonts w:asciiTheme="minorHAnsi" w:hAnsiTheme="minorHAnsi" w:cstheme="minorHAnsi"/>
                <w:i/>
                <w:sz w:val="22"/>
              </w:rPr>
            </w:pPr>
          </w:p>
        </w:tc>
      </w:tr>
      <w:tr w:rsidR="00D61A83" w:rsidRPr="00DD35FD" w:rsidTr="004B447E">
        <w:trPr>
          <w:trHeight w:val="264"/>
        </w:trPr>
        <w:tc>
          <w:tcPr>
            <w:tcW w:w="3116" w:type="dxa"/>
            <w:tcBorders>
              <w:top w:val="nil"/>
              <w:left w:val="nil"/>
              <w:bottom w:val="nil"/>
              <w:right w:val="nil"/>
            </w:tcBorders>
            <w:vAlign w:val="center"/>
            <w:hideMark/>
          </w:tcPr>
          <w:p w:rsidR="00D61A83" w:rsidRPr="00D61A83" w:rsidRDefault="00D61A83" w:rsidP="00D61A83">
            <w:pPr>
              <w:spacing w:line="240" w:lineRule="auto"/>
              <w:ind w:left="238"/>
              <w:rPr>
                <w:rFonts w:asciiTheme="minorHAnsi" w:hAnsiTheme="minorHAnsi" w:cstheme="minorHAnsi"/>
                <w:b/>
                <w:bCs/>
                <w:color w:val="000000"/>
                <w:szCs w:val="20"/>
              </w:rPr>
            </w:pPr>
            <w:r w:rsidRPr="00D61A83">
              <w:rPr>
                <w:rFonts w:asciiTheme="minorHAnsi" w:hAnsiTheme="minorHAnsi" w:cstheme="minorHAnsi"/>
                <w:b/>
                <w:color w:val="000000"/>
                <w:szCs w:val="20"/>
              </w:rPr>
              <w:t xml:space="preserve">Net </w:t>
            </w:r>
            <w:proofErr w:type="spellStart"/>
            <w:r w:rsidRPr="00D61A83">
              <w:rPr>
                <w:rFonts w:asciiTheme="minorHAnsi" w:hAnsiTheme="minorHAnsi" w:cstheme="minorHAnsi"/>
                <w:b/>
                <w:color w:val="000000"/>
                <w:szCs w:val="20"/>
              </w:rPr>
              <w:t>result</w:t>
            </w:r>
            <w:proofErr w:type="spellEnd"/>
          </w:p>
        </w:tc>
        <w:tc>
          <w:tcPr>
            <w:tcW w:w="2824" w:type="dxa"/>
            <w:tcBorders>
              <w:top w:val="nil"/>
              <w:left w:val="nil"/>
              <w:bottom w:val="nil"/>
              <w:right w:val="nil"/>
            </w:tcBorders>
            <w:vAlign w:val="center"/>
          </w:tcPr>
          <w:p w:rsidR="00D61A83" w:rsidRPr="00D61A83" w:rsidRDefault="00D61A83" w:rsidP="00D61A83">
            <w:pPr>
              <w:spacing w:line="240" w:lineRule="auto"/>
              <w:ind w:left="238" w:right="-68"/>
              <w:jc w:val="right"/>
              <w:rPr>
                <w:rFonts w:asciiTheme="minorHAnsi" w:hAnsiTheme="minorHAnsi" w:cstheme="minorHAnsi"/>
                <w:b/>
                <w:bCs/>
                <w:szCs w:val="20"/>
              </w:rPr>
            </w:pPr>
            <w:r w:rsidRPr="00D61A83">
              <w:rPr>
                <w:rFonts w:asciiTheme="minorHAnsi" w:hAnsiTheme="minorHAnsi" w:cstheme="minorHAnsi"/>
                <w:b/>
                <w:bCs/>
                <w:szCs w:val="20"/>
              </w:rPr>
              <w:t>-85</w:t>
            </w:r>
          </w:p>
        </w:tc>
        <w:tc>
          <w:tcPr>
            <w:tcW w:w="1727" w:type="dxa"/>
            <w:tcBorders>
              <w:top w:val="nil"/>
              <w:left w:val="nil"/>
              <w:bottom w:val="nil"/>
              <w:right w:val="nil"/>
            </w:tcBorders>
            <w:vAlign w:val="center"/>
            <w:hideMark/>
          </w:tcPr>
          <w:p w:rsidR="00D61A83" w:rsidRPr="00D61A83" w:rsidRDefault="00D61A83" w:rsidP="00D61A83">
            <w:pPr>
              <w:spacing w:line="240" w:lineRule="auto"/>
              <w:ind w:left="238" w:right="-68"/>
              <w:jc w:val="right"/>
              <w:rPr>
                <w:rFonts w:asciiTheme="minorHAnsi" w:hAnsiTheme="minorHAnsi" w:cstheme="minorHAnsi"/>
                <w:b/>
                <w:bCs/>
                <w:szCs w:val="20"/>
              </w:rPr>
            </w:pPr>
            <w:r w:rsidRPr="00D61A83">
              <w:rPr>
                <w:rFonts w:asciiTheme="minorHAnsi" w:hAnsiTheme="minorHAnsi" w:cstheme="minorHAnsi"/>
                <w:b/>
                <w:bCs/>
                <w:szCs w:val="20"/>
              </w:rPr>
              <w:t>-541</w:t>
            </w:r>
          </w:p>
        </w:tc>
        <w:tc>
          <w:tcPr>
            <w:tcW w:w="275" w:type="dxa"/>
            <w:tcBorders>
              <w:top w:val="nil"/>
              <w:left w:val="nil"/>
              <w:bottom w:val="nil"/>
              <w:right w:val="nil"/>
            </w:tcBorders>
          </w:tcPr>
          <w:p w:rsidR="00D61A83" w:rsidRPr="00DD35FD" w:rsidRDefault="00D61A83" w:rsidP="00D61A83">
            <w:pPr>
              <w:spacing w:line="240" w:lineRule="auto"/>
              <w:ind w:left="238" w:right="-68"/>
              <w:jc w:val="right"/>
              <w:rPr>
                <w:rFonts w:asciiTheme="minorHAnsi" w:hAnsiTheme="minorHAnsi" w:cstheme="minorHAnsi"/>
                <w:b/>
                <w:bCs/>
                <w:sz w:val="22"/>
              </w:rPr>
            </w:pPr>
          </w:p>
        </w:tc>
      </w:tr>
      <w:tr w:rsidR="00D61A83" w:rsidRPr="00DD35FD" w:rsidTr="004B447E">
        <w:trPr>
          <w:trHeight w:val="138"/>
        </w:trPr>
        <w:tc>
          <w:tcPr>
            <w:tcW w:w="3116" w:type="dxa"/>
            <w:tcBorders>
              <w:top w:val="nil"/>
              <w:left w:val="nil"/>
              <w:bottom w:val="nil"/>
              <w:right w:val="nil"/>
            </w:tcBorders>
            <w:vAlign w:val="center"/>
            <w:hideMark/>
          </w:tcPr>
          <w:p w:rsidR="00D61A83" w:rsidRPr="00D61A83" w:rsidRDefault="00D61A83" w:rsidP="00D61A83">
            <w:pPr>
              <w:spacing w:line="240" w:lineRule="auto"/>
              <w:ind w:left="238"/>
              <w:rPr>
                <w:rFonts w:asciiTheme="minorHAnsi" w:hAnsiTheme="minorHAnsi" w:cstheme="minorHAnsi"/>
                <w:i/>
                <w:iCs/>
                <w:color w:val="000000"/>
                <w:szCs w:val="20"/>
                <w:lang w:val="en-US"/>
              </w:rPr>
            </w:pPr>
            <w:r w:rsidRPr="00D61A83">
              <w:rPr>
                <w:rFonts w:asciiTheme="minorHAnsi" w:hAnsiTheme="minorHAnsi" w:cstheme="minorHAnsi"/>
                <w:i/>
                <w:color w:val="000000"/>
                <w:szCs w:val="20"/>
                <w:lang w:val="en-US"/>
              </w:rPr>
              <w:t>Net result as % of net sales</w:t>
            </w:r>
          </w:p>
        </w:tc>
        <w:tc>
          <w:tcPr>
            <w:tcW w:w="2824" w:type="dxa"/>
            <w:tcBorders>
              <w:top w:val="nil"/>
              <w:left w:val="nil"/>
              <w:bottom w:val="nil"/>
              <w:right w:val="nil"/>
            </w:tcBorders>
            <w:vAlign w:val="center"/>
          </w:tcPr>
          <w:p w:rsidR="00D61A83" w:rsidRPr="00D61A83" w:rsidRDefault="00D61A83" w:rsidP="00D61A83">
            <w:pPr>
              <w:spacing w:line="240" w:lineRule="auto"/>
              <w:ind w:left="238" w:right="-68"/>
              <w:jc w:val="right"/>
              <w:rPr>
                <w:rFonts w:asciiTheme="minorHAnsi" w:hAnsiTheme="minorHAnsi" w:cstheme="minorHAnsi"/>
                <w:i/>
                <w:szCs w:val="20"/>
              </w:rPr>
            </w:pPr>
            <w:r w:rsidRPr="00D61A83">
              <w:rPr>
                <w:rFonts w:asciiTheme="minorHAnsi" w:hAnsiTheme="minorHAnsi" w:cstheme="minorHAnsi"/>
                <w:i/>
                <w:szCs w:val="20"/>
              </w:rPr>
              <w:t>-1%</w:t>
            </w:r>
          </w:p>
        </w:tc>
        <w:tc>
          <w:tcPr>
            <w:tcW w:w="1727" w:type="dxa"/>
            <w:tcBorders>
              <w:top w:val="nil"/>
              <w:left w:val="nil"/>
              <w:bottom w:val="nil"/>
              <w:right w:val="nil"/>
            </w:tcBorders>
            <w:vAlign w:val="center"/>
            <w:hideMark/>
          </w:tcPr>
          <w:p w:rsidR="00D61A83" w:rsidRPr="00D61A83" w:rsidRDefault="00D61A83" w:rsidP="00D61A83">
            <w:pPr>
              <w:spacing w:line="240" w:lineRule="auto"/>
              <w:ind w:left="238" w:right="-68"/>
              <w:jc w:val="right"/>
              <w:rPr>
                <w:rFonts w:asciiTheme="minorHAnsi" w:hAnsiTheme="minorHAnsi" w:cstheme="minorHAnsi"/>
                <w:i/>
                <w:szCs w:val="20"/>
              </w:rPr>
            </w:pPr>
            <w:r w:rsidRPr="00D61A83">
              <w:rPr>
                <w:rFonts w:asciiTheme="minorHAnsi" w:hAnsiTheme="minorHAnsi" w:cstheme="minorHAnsi"/>
                <w:i/>
                <w:szCs w:val="20"/>
              </w:rPr>
              <w:t>-11%</w:t>
            </w:r>
          </w:p>
        </w:tc>
        <w:tc>
          <w:tcPr>
            <w:tcW w:w="275" w:type="dxa"/>
            <w:tcBorders>
              <w:top w:val="nil"/>
              <w:left w:val="nil"/>
              <w:bottom w:val="nil"/>
              <w:right w:val="nil"/>
            </w:tcBorders>
          </w:tcPr>
          <w:p w:rsidR="00D61A83" w:rsidRPr="00DD35FD" w:rsidRDefault="00D61A83" w:rsidP="00D61A83">
            <w:pPr>
              <w:spacing w:line="240" w:lineRule="auto"/>
              <w:ind w:left="238" w:right="-68"/>
              <w:jc w:val="right"/>
              <w:rPr>
                <w:rFonts w:asciiTheme="minorHAnsi" w:hAnsiTheme="minorHAnsi" w:cstheme="minorHAnsi"/>
                <w:i/>
                <w:sz w:val="22"/>
              </w:rPr>
            </w:pPr>
          </w:p>
        </w:tc>
      </w:tr>
    </w:tbl>
    <w:p w:rsidR="00D61A83" w:rsidRDefault="00D61A83" w:rsidP="00D61A83">
      <w:pPr>
        <w:ind w:left="238" w:right="284"/>
        <w:jc w:val="both"/>
        <w:rPr>
          <w:rFonts w:cs="Segoe UI"/>
          <w:sz w:val="22"/>
          <w:lang w:val="en-GB"/>
        </w:rPr>
      </w:pPr>
    </w:p>
    <w:p w:rsidR="00D61A83" w:rsidRDefault="00D61A83">
      <w:pPr>
        <w:spacing w:after="0" w:line="240" w:lineRule="auto"/>
        <w:rPr>
          <w:rFonts w:cs="Segoe UI"/>
          <w:sz w:val="22"/>
          <w:lang w:val="en-GB"/>
        </w:rPr>
      </w:pPr>
      <w:r>
        <w:rPr>
          <w:rFonts w:cs="Segoe UI"/>
          <w:sz w:val="22"/>
          <w:lang w:val="en-GB"/>
        </w:rPr>
        <w:br w:type="page"/>
      </w:r>
    </w:p>
    <w:p w:rsidR="00D61A83" w:rsidRPr="00D61A83" w:rsidRDefault="00D61A83" w:rsidP="00D61A83">
      <w:pPr>
        <w:ind w:left="227"/>
        <w:rPr>
          <w:szCs w:val="20"/>
          <w:lang w:val="en-GB"/>
        </w:rPr>
      </w:pPr>
      <w:r w:rsidRPr="00D61A83">
        <w:rPr>
          <w:szCs w:val="20"/>
          <w:lang w:val="en-GB"/>
        </w:rPr>
        <w:lastRenderedPageBreak/>
        <w:t xml:space="preserve">You are invited to take part in </w:t>
      </w:r>
      <w:proofErr w:type="spellStart"/>
      <w:r w:rsidRPr="0006071C">
        <w:rPr>
          <w:color w:val="B71234"/>
          <w:szCs w:val="20"/>
          <w:lang w:val="en-GB"/>
        </w:rPr>
        <w:t>Rood</w:t>
      </w:r>
      <w:r w:rsidRPr="00D61A83">
        <w:rPr>
          <w:szCs w:val="20"/>
          <w:lang w:val="en-GB"/>
        </w:rPr>
        <w:t>Microtec’s</w:t>
      </w:r>
      <w:proofErr w:type="spellEnd"/>
      <w:r w:rsidRPr="00D61A83">
        <w:rPr>
          <w:szCs w:val="20"/>
          <w:lang w:val="en-GB"/>
        </w:rPr>
        <w:t xml:space="preserve"> conference call for press and analysts on </w:t>
      </w:r>
      <w:r w:rsidRPr="00D61A83">
        <w:rPr>
          <w:b/>
          <w:szCs w:val="20"/>
          <w:lang w:val="en-GB"/>
        </w:rPr>
        <w:t>Thursday, 3rd August 2017 at 9.30 am</w:t>
      </w:r>
      <w:r w:rsidRPr="00D61A83">
        <w:rPr>
          <w:szCs w:val="20"/>
          <w:lang w:val="en-GB"/>
        </w:rPr>
        <w:t>. The management will present the Interim Report 2017 in detail and answer your questions.</w:t>
      </w:r>
    </w:p>
    <w:p w:rsidR="00D61A83" w:rsidRPr="00D61A83" w:rsidRDefault="00D61A83" w:rsidP="00D61A83">
      <w:pPr>
        <w:ind w:left="227"/>
        <w:rPr>
          <w:szCs w:val="20"/>
          <w:lang w:val="en-GB"/>
        </w:rPr>
      </w:pPr>
      <w:r w:rsidRPr="00D61A83">
        <w:rPr>
          <w:szCs w:val="20"/>
          <w:lang w:val="en-GB"/>
        </w:rPr>
        <w:t xml:space="preserve">Please dial into the conference call using the following telephone number: </w:t>
      </w:r>
      <w:r w:rsidRPr="00D61A83">
        <w:rPr>
          <w:b/>
          <w:szCs w:val="20"/>
          <w:lang w:val="en-GB"/>
        </w:rPr>
        <w:t>+31(0)20 531 5850.</w:t>
      </w:r>
    </w:p>
    <w:p w:rsidR="00D7156E" w:rsidRPr="00D7156E" w:rsidRDefault="00D7156E" w:rsidP="00D7156E">
      <w:pPr>
        <w:ind w:left="227" w:right="284"/>
        <w:jc w:val="both"/>
        <w:rPr>
          <w:lang w:val="en-GB"/>
        </w:rPr>
      </w:pPr>
    </w:p>
    <w:p w:rsidR="00BD28A6" w:rsidRPr="00D61A83" w:rsidRDefault="00BD28A6" w:rsidP="00BD28A6">
      <w:pPr>
        <w:ind w:left="227"/>
        <w:rPr>
          <w:b/>
          <w:color w:val="B71234"/>
          <w:sz w:val="22"/>
          <w:lang w:val="en-GB"/>
        </w:rPr>
      </w:pPr>
      <w:r w:rsidRPr="00D61A83">
        <w:rPr>
          <w:b/>
          <w:color w:val="B71234"/>
          <w:sz w:val="22"/>
          <w:lang w:val="en-GB"/>
        </w:rPr>
        <w:t>Financial agenda</w:t>
      </w:r>
    </w:p>
    <w:tbl>
      <w:tblPr>
        <w:tblW w:w="9142" w:type="dxa"/>
        <w:tblInd w:w="229" w:type="dxa"/>
        <w:tblLook w:val="00A0"/>
      </w:tblPr>
      <w:tblGrid>
        <w:gridCol w:w="2707"/>
        <w:gridCol w:w="6435"/>
      </w:tblGrid>
      <w:tr w:rsidR="00C52BCD" w:rsidRPr="00DF2AFE" w:rsidTr="00C52BCD">
        <w:trPr>
          <w:trHeight w:hRule="exact" w:val="284"/>
        </w:trPr>
        <w:tc>
          <w:tcPr>
            <w:tcW w:w="2707" w:type="dxa"/>
          </w:tcPr>
          <w:p w:rsidR="00C52BCD" w:rsidRPr="00D61A83" w:rsidRDefault="00C52BCD" w:rsidP="00C52BCD">
            <w:pPr>
              <w:spacing w:after="0"/>
              <w:rPr>
                <w:rFonts w:cstheme="minorHAnsi"/>
                <w:szCs w:val="20"/>
                <w:lang w:val="en-GB"/>
              </w:rPr>
            </w:pPr>
            <w:r w:rsidRPr="00D61A83">
              <w:rPr>
                <w:rFonts w:cstheme="minorHAnsi"/>
                <w:szCs w:val="20"/>
                <w:lang w:val="en-GB"/>
              </w:rPr>
              <w:t>03 August 2017, 09:30 a.m.</w:t>
            </w:r>
          </w:p>
        </w:tc>
        <w:tc>
          <w:tcPr>
            <w:tcW w:w="6435" w:type="dxa"/>
          </w:tcPr>
          <w:p w:rsidR="00C52BCD" w:rsidRPr="00D61A83" w:rsidRDefault="00C52BCD" w:rsidP="005653A8">
            <w:pPr>
              <w:jc w:val="both"/>
              <w:rPr>
                <w:rFonts w:cstheme="minorHAnsi"/>
                <w:szCs w:val="20"/>
                <w:lang w:val="en-GB"/>
              </w:rPr>
            </w:pPr>
            <w:r w:rsidRPr="00D61A83">
              <w:rPr>
                <w:rFonts w:cstheme="minorHAnsi"/>
                <w:szCs w:val="20"/>
                <w:lang w:val="en-GB"/>
              </w:rPr>
              <w:t xml:space="preserve">Conference call for press and analysts – Interim Report </w:t>
            </w:r>
          </w:p>
        </w:tc>
      </w:tr>
      <w:tr w:rsidR="00BD28A6" w:rsidRPr="00DF2AFE" w:rsidTr="00C52BCD">
        <w:trPr>
          <w:trHeight w:hRule="exact" w:val="284"/>
        </w:trPr>
        <w:tc>
          <w:tcPr>
            <w:tcW w:w="2707" w:type="dxa"/>
          </w:tcPr>
          <w:p w:rsidR="00BD28A6" w:rsidRPr="00D61A83" w:rsidRDefault="00BD28A6" w:rsidP="00C52BCD">
            <w:pPr>
              <w:spacing w:after="0"/>
              <w:jc w:val="both"/>
              <w:rPr>
                <w:rFonts w:cstheme="minorHAnsi"/>
                <w:szCs w:val="20"/>
                <w:lang w:val="en-GB"/>
              </w:rPr>
            </w:pPr>
            <w:r w:rsidRPr="00D61A83">
              <w:rPr>
                <w:rFonts w:cstheme="minorHAnsi"/>
                <w:szCs w:val="20"/>
                <w:lang w:val="en-GB"/>
              </w:rPr>
              <w:t>11 January 2018</w:t>
            </w:r>
          </w:p>
        </w:tc>
        <w:tc>
          <w:tcPr>
            <w:tcW w:w="6435" w:type="dxa"/>
          </w:tcPr>
          <w:p w:rsidR="00BD28A6" w:rsidRPr="00D61A83" w:rsidRDefault="00BD28A6" w:rsidP="00D61BA1">
            <w:pPr>
              <w:jc w:val="both"/>
              <w:rPr>
                <w:rFonts w:cstheme="minorHAnsi"/>
                <w:szCs w:val="20"/>
                <w:lang w:val="en-GB"/>
              </w:rPr>
            </w:pPr>
            <w:r w:rsidRPr="00D61A83">
              <w:rPr>
                <w:rFonts w:cstheme="minorHAnsi"/>
                <w:szCs w:val="20"/>
                <w:lang w:val="en-GB"/>
              </w:rPr>
              <w:t>Publication (preliminary) annual sales figures 2017</w:t>
            </w:r>
          </w:p>
        </w:tc>
      </w:tr>
      <w:tr w:rsidR="00BD28A6" w:rsidRPr="00D61A83" w:rsidTr="00C52BCD">
        <w:trPr>
          <w:trHeight w:hRule="exact" w:val="284"/>
        </w:trPr>
        <w:tc>
          <w:tcPr>
            <w:tcW w:w="2707" w:type="dxa"/>
          </w:tcPr>
          <w:p w:rsidR="00BD28A6" w:rsidRPr="00D61A83" w:rsidRDefault="00BD28A6" w:rsidP="00D61BA1">
            <w:pPr>
              <w:jc w:val="both"/>
              <w:rPr>
                <w:rFonts w:cstheme="minorHAnsi"/>
                <w:szCs w:val="20"/>
                <w:lang w:val="en-GB"/>
              </w:rPr>
            </w:pPr>
            <w:r w:rsidRPr="00D61A83">
              <w:rPr>
                <w:rFonts w:cstheme="minorHAnsi"/>
                <w:szCs w:val="20"/>
                <w:lang w:val="en-GB"/>
              </w:rPr>
              <w:t>08 March 2018</w:t>
            </w:r>
          </w:p>
        </w:tc>
        <w:tc>
          <w:tcPr>
            <w:tcW w:w="6435" w:type="dxa"/>
          </w:tcPr>
          <w:p w:rsidR="00BD28A6" w:rsidRPr="00D61A83" w:rsidRDefault="00BD28A6" w:rsidP="00D61BA1">
            <w:pPr>
              <w:jc w:val="both"/>
              <w:rPr>
                <w:rFonts w:cstheme="minorHAnsi"/>
                <w:szCs w:val="20"/>
                <w:lang w:val="en-GB"/>
              </w:rPr>
            </w:pPr>
            <w:r w:rsidRPr="00D61A83">
              <w:rPr>
                <w:rFonts w:cstheme="minorHAnsi"/>
                <w:szCs w:val="20"/>
                <w:lang w:val="en-GB"/>
              </w:rPr>
              <w:t>Publication (preliminary) annual figures 2017</w:t>
            </w:r>
          </w:p>
        </w:tc>
      </w:tr>
      <w:tr w:rsidR="00BD28A6" w:rsidRPr="00DF2AFE" w:rsidTr="00C52BCD">
        <w:trPr>
          <w:trHeight w:hRule="exact" w:val="284"/>
        </w:trPr>
        <w:tc>
          <w:tcPr>
            <w:tcW w:w="2707" w:type="dxa"/>
          </w:tcPr>
          <w:p w:rsidR="00BD28A6" w:rsidRPr="00D61A83" w:rsidRDefault="00BD28A6" w:rsidP="00D61BA1">
            <w:pPr>
              <w:jc w:val="both"/>
              <w:rPr>
                <w:rFonts w:cstheme="minorHAnsi"/>
                <w:szCs w:val="20"/>
                <w:lang w:val="en-GB"/>
              </w:rPr>
            </w:pPr>
            <w:r w:rsidRPr="00D61A83">
              <w:rPr>
                <w:rFonts w:cstheme="minorHAnsi"/>
                <w:szCs w:val="20"/>
                <w:lang w:val="en-GB"/>
              </w:rPr>
              <w:t>08 March 2018</w:t>
            </w:r>
          </w:p>
        </w:tc>
        <w:tc>
          <w:tcPr>
            <w:tcW w:w="6435" w:type="dxa"/>
          </w:tcPr>
          <w:p w:rsidR="00BD28A6" w:rsidRPr="00D61A83" w:rsidRDefault="00BD28A6" w:rsidP="00D61BA1">
            <w:pPr>
              <w:jc w:val="both"/>
              <w:rPr>
                <w:rFonts w:cstheme="minorHAnsi"/>
                <w:szCs w:val="20"/>
                <w:lang w:val="en-GB"/>
              </w:rPr>
            </w:pPr>
            <w:r w:rsidRPr="00D61A83">
              <w:rPr>
                <w:rFonts w:cstheme="minorHAnsi"/>
                <w:szCs w:val="20"/>
                <w:lang w:val="en-GB"/>
              </w:rPr>
              <w:t>Conference call for press and analysts</w:t>
            </w:r>
          </w:p>
        </w:tc>
      </w:tr>
      <w:tr w:rsidR="00BD28A6" w:rsidRPr="00D61A83" w:rsidTr="00C52BCD">
        <w:trPr>
          <w:trHeight w:hRule="exact" w:val="284"/>
        </w:trPr>
        <w:tc>
          <w:tcPr>
            <w:tcW w:w="2707" w:type="dxa"/>
          </w:tcPr>
          <w:p w:rsidR="00BD28A6" w:rsidRPr="00D61A83" w:rsidRDefault="00BD28A6" w:rsidP="00D61BA1">
            <w:pPr>
              <w:jc w:val="both"/>
              <w:rPr>
                <w:rFonts w:cstheme="minorHAnsi"/>
                <w:szCs w:val="20"/>
                <w:lang w:val="en-GB"/>
              </w:rPr>
            </w:pPr>
            <w:r w:rsidRPr="00D61A83">
              <w:rPr>
                <w:rFonts w:cstheme="minorHAnsi"/>
                <w:szCs w:val="20"/>
                <w:lang w:val="en-GB"/>
              </w:rPr>
              <w:t>28 March 2018</w:t>
            </w:r>
          </w:p>
        </w:tc>
        <w:tc>
          <w:tcPr>
            <w:tcW w:w="6435" w:type="dxa"/>
          </w:tcPr>
          <w:p w:rsidR="00BD28A6" w:rsidRPr="00D61A83" w:rsidRDefault="00BD28A6" w:rsidP="00D61BA1">
            <w:pPr>
              <w:jc w:val="both"/>
              <w:rPr>
                <w:rFonts w:cstheme="minorHAnsi"/>
                <w:szCs w:val="20"/>
                <w:lang w:val="en-GB"/>
              </w:rPr>
            </w:pPr>
            <w:r w:rsidRPr="00D61A83">
              <w:rPr>
                <w:rFonts w:cstheme="minorHAnsi"/>
                <w:szCs w:val="20"/>
                <w:lang w:val="en-GB"/>
              </w:rPr>
              <w:t>Publication annual report 2017</w:t>
            </w:r>
          </w:p>
        </w:tc>
      </w:tr>
      <w:tr w:rsidR="00BD28A6" w:rsidRPr="00DF2AFE" w:rsidTr="00C52BCD">
        <w:trPr>
          <w:trHeight w:hRule="exact" w:val="284"/>
        </w:trPr>
        <w:tc>
          <w:tcPr>
            <w:tcW w:w="2707" w:type="dxa"/>
          </w:tcPr>
          <w:p w:rsidR="00BD28A6" w:rsidRPr="00D61A83" w:rsidRDefault="00BD28A6" w:rsidP="00D61BA1">
            <w:pPr>
              <w:jc w:val="both"/>
              <w:rPr>
                <w:rFonts w:cstheme="minorHAnsi"/>
                <w:szCs w:val="20"/>
                <w:lang w:val="en-GB"/>
              </w:rPr>
            </w:pPr>
            <w:r w:rsidRPr="00D61A83">
              <w:rPr>
                <w:rFonts w:cstheme="minorHAnsi"/>
                <w:szCs w:val="20"/>
                <w:lang w:val="en-GB"/>
              </w:rPr>
              <w:t>17 May 2018</w:t>
            </w:r>
          </w:p>
        </w:tc>
        <w:tc>
          <w:tcPr>
            <w:tcW w:w="6435" w:type="dxa"/>
          </w:tcPr>
          <w:p w:rsidR="00BD28A6" w:rsidRPr="00D61A83" w:rsidRDefault="00BD28A6" w:rsidP="00D61BA1">
            <w:pPr>
              <w:jc w:val="both"/>
              <w:rPr>
                <w:rFonts w:cstheme="minorHAnsi"/>
                <w:szCs w:val="20"/>
                <w:lang w:val="en-GB"/>
              </w:rPr>
            </w:pPr>
            <w:r w:rsidRPr="00D61A83">
              <w:rPr>
                <w:rFonts w:cstheme="minorHAnsi"/>
                <w:szCs w:val="20"/>
                <w:lang w:val="en-GB"/>
              </w:rPr>
              <w:t>Annual general meeting of shareholders</w:t>
            </w:r>
          </w:p>
        </w:tc>
      </w:tr>
      <w:tr w:rsidR="00BD28A6" w:rsidRPr="00D61A83" w:rsidTr="00C52BCD">
        <w:trPr>
          <w:trHeight w:hRule="exact" w:val="284"/>
        </w:trPr>
        <w:tc>
          <w:tcPr>
            <w:tcW w:w="2707" w:type="dxa"/>
          </w:tcPr>
          <w:p w:rsidR="00BD28A6" w:rsidRPr="00D61A83" w:rsidRDefault="00BD28A6" w:rsidP="00D61BA1">
            <w:pPr>
              <w:jc w:val="both"/>
              <w:rPr>
                <w:rFonts w:cstheme="minorHAnsi"/>
                <w:szCs w:val="20"/>
                <w:lang w:val="en-GB"/>
              </w:rPr>
            </w:pPr>
            <w:r w:rsidRPr="00D61A83">
              <w:rPr>
                <w:rFonts w:cstheme="minorHAnsi"/>
                <w:szCs w:val="20"/>
                <w:lang w:val="en-GB"/>
              </w:rPr>
              <w:t>18 May 2018</w:t>
            </w:r>
          </w:p>
        </w:tc>
        <w:tc>
          <w:tcPr>
            <w:tcW w:w="6435" w:type="dxa"/>
          </w:tcPr>
          <w:p w:rsidR="00BD28A6" w:rsidRPr="00D61A83" w:rsidRDefault="00BD28A6" w:rsidP="00D61BA1">
            <w:pPr>
              <w:jc w:val="both"/>
              <w:rPr>
                <w:rFonts w:cstheme="minorHAnsi"/>
                <w:szCs w:val="20"/>
                <w:lang w:val="en-GB"/>
              </w:rPr>
            </w:pPr>
            <w:r w:rsidRPr="00D61A83">
              <w:rPr>
                <w:rFonts w:cstheme="minorHAnsi"/>
                <w:szCs w:val="20"/>
                <w:lang w:val="en-GB"/>
              </w:rPr>
              <w:t xml:space="preserve">Annual bondholders meeting </w:t>
            </w:r>
          </w:p>
        </w:tc>
      </w:tr>
      <w:tr w:rsidR="00BD28A6" w:rsidRPr="00DF2AFE" w:rsidTr="00C52BCD">
        <w:trPr>
          <w:trHeight w:hRule="exact" w:val="284"/>
        </w:trPr>
        <w:tc>
          <w:tcPr>
            <w:tcW w:w="2707" w:type="dxa"/>
          </w:tcPr>
          <w:p w:rsidR="00BD28A6" w:rsidRPr="00D61A83" w:rsidRDefault="00BD28A6" w:rsidP="00D61BA1">
            <w:pPr>
              <w:jc w:val="both"/>
              <w:rPr>
                <w:rFonts w:cstheme="minorHAnsi"/>
                <w:szCs w:val="20"/>
                <w:lang w:val="en-GB"/>
              </w:rPr>
            </w:pPr>
            <w:r w:rsidRPr="00D61A83">
              <w:rPr>
                <w:rFonts w:cstheme="minorHAnsi"/>
                <w:szCs w:val="20"/>
                <w:lang w:val="en-GB"/>
              </w:rPr>
              <w:t>05 July 2018</w:t>
            </w:r>
          </w:p>
        </w:tc>
        <w:tc>
          <w:tcPr>
            <w:tcW w:w="6435" w:type="dxa"/>
          </w:tcPr>
          <w:p w:rsidR="00BD28A6" w:rsidRPr="00D61A83" w:rsidRDefault="00BD28A6" w:rsidP="00D61BA1">
            <w:pPr>
              <w:jc w:val="both"/>
              <w:rPr>
                <w:rFonts w:cstheme="minorHAnsi"/>
                <w:szCs w:val="20"/>
                <w:lang w:val="en-GB"/>
              </w:rPr>
            </w:pPr>
            <w:r w:rsidRPr="00D61A83">
              <w:rPr>
                <w:rFonts w:cstheme="minorHAnsi"/>
                <w:szCs w:val="20"/>
                <w:lang w:val="en-GB"/>
              </w:rPr>
              <w:t>Publication sales figures first half 2018</w:t>
            </w:r>
          </w:p>
        </w:tc>
      </w:tr>
      <w:tr w:rsidR="00BD28A6" w:rsidRPr="00D61A83" w:rsidTr="00C52BCD">
        <w:trPr>
          <w:trHeight w:hRule="exact" w:val="284"/>
        </w:trPr>
        <w:tc>
          <w:tcPr>
            <w:tcW w:w="2707" w:type="dxa"/>
          </w:tcPr>
          <w:p w:rsidR="00BD28A6" w:rsidRPr="00D61A83" w:rsidRDefault="00BD28A6" w:rsidP="00D61BA1">
            <w:pPr>
              <w:jc w:val="both"/>
              <w:rPr>
                <w:rFonts w:cstheme="minorHAnsi"/>
                <w:szCs w:val="20"/>
                <w:lang w:val="en-GB"/>
              </w:rPr>
            </w:pPr>
            <w:r w:rsidRPr="00D61A83">
              <w:rPr>
                <w:rFonts w:cstheme="minorHAnsi"/>
                <w:szCs w:val="20"/>
                <w:lang w:val="en-GB"/>
              </w:rPr>
              <w:t>02 August 2018</w:t>
            </w:r>
          </w:p>
        </w:tc>
        <w:tc>
          <w:tcPr>
            <w:tcW w:w="6435" w:type="dxa"/>
          </w:tcPr>
          <w:p w:rsidR="00BD28A6" w:rsidRPr="00D61A83" w:rsidRDefault="00BD28A6" w:rsidP="00D61BA1">
            <w:pPr>
              <w:jc w:val="both"/>
              <w:rPr>
                <w:rFonts w:cstheme="minorHAnsi"/>
                <w:szCs w:val="20"/>
                <w:lang w:val="en-GB"/>
              </w:rPr>
            </w:pPr>
            <w:r w:rsidRPr="00D61A83">
              <w:rPr>
                <w:rFonts w:cstheme="minorHAnsi"/>
                <w:szCs w:val="20"/>
                <w:lang w:val="en-GB"/>
              </w:rPr>
              <w:t>Publication interim report 2018</w:t>
            </w:r>
          </w:p>
        </w:tc>
      </w:tr>
      <w:tr w:rsidR="00BD28A6" w:rsidRPr="00DF2AFE" w:rsidTr="00C52BCD">
        <w:trPr>
          <w:trHeight w:hRule="exact" w:val="284"/>
        </w:trPr>
        <w:tc>
          <w:tcPr>
            <w:tcW w:w="2707" w:type="dxa"/>
          </w:tcPr>
          <w:p w:rsidR="00BD28A6" w:rsidRPr="00D61A83" w:rsidRDefault="00BD28A6" w:rsidP="00D61BA1">
            <w:pPr>
              <w:jc w:val="both"/>
              <w:rPr>
                <w:rFonts w:cstheme="minorHAnsi"/>
                <w:szCs w:val="20"/>
                <w:lang w:val="en-GB"/>
              </w:rPr>
            </w:pPr>
            <w:r w:rsidRPr="00D61A83">
              <w:rPr>
                <w:rFonts w:cstheme="minorHAnsi"/>
                <w:szCs w:val="20"/>
                <w:lang w:val="en-GB"/>
              </w:rPr>
              <w:t>02 August 2018</w:t>
            </w:r>
          </w:p>
        </w:tc>
        <w:tc>
          <w:tcPr>
            <w:tcW w:w="6435" w:type="dxa"/>
          </w:tcPr>
          <w:p w:rsidR="00BD28A6" w:rsidRPr="00BD28A6" w:rsidRDefault="00BD28A6" w:rsidP="00D61BA1">
            <w:pPr>
              <w:jc w:val="both"/>
              <w:rPr>
                <w:rFonts w:cstheme="minorHAnsi"/>
                <w:szCs w:val="20"/>
                <w:lang w:val="en-GB"/>
              </w:rPr>
            </w:pPr>
            <w:r w:rsidRPr="00D61A83">
              <w:rPr>
                <w:rFonts w:cstheme="minorHAnsi"/>
                <w:szCs w:val="20"/>
                <w:lang w:val="en-GB"/>
              </w:rPr>
              <w:t>Conference call for press and analysts</w:t>
            </w:r>
          </w:p>
        </w:tc>
      </w:tr>
    </w:tbl>
    <w:p w:rsidR="00BD28A6" w:rsidRPr="00BD28A6" w:rsidRDefault="00BD28A6" w:rsidP="00BB7256">
      <w:pPr>
        <w:spacing w:before="240"/>
        <w:ind w:left="227"/>
        <w:rPr>
          <w:szCs w:val="20"/>
          <w:lang w:val="en-GB"/>
        </w:rPr>
      </w:pPr>
    </w:p>
    <w:p w:rsidR="00FA460A" w:rsidRPr="00D61A83" w:rsidRDefault="00FA460A" w:rsidP="00BB7256">
      <w:pPr>
        <w:spacing w:before="240"/>
        <w:ind w:left="227" w:right="284"/>
        <w:jc w:val="both"/>
        <w:rPr>
          <w:b/>
          <w:sz w:val="22"/>
          <w:lang w:val="en-GB"/>
        </w:rPr>
      </w:pPr>
      <w:r w:rsidRPr="00D61A83">
        <w:rPr>
          <w:b/>
          <w:sz w:val="22"/>
          <w:lang w:val="en-GB"/>
        </w:rPr>
        <w:t xml:space="preserve">About </w:t>
      </w:r>
      <w:proofErr w:type="spellStart"/>
      <w:r w:rsidRPr="00D61A83">
        <w:rPr>
          <w:b/>
          <w:color w:val="B71234"/>
          <w:sz w:val="22"/>
          <w:lang w:val="en-GB"/>
        </w:rPr>
        <w:t>Rood</w:t>
      </w:r>
      <w:r w:rsidRPr="00D61A83">
        <w:rPr>
          <w:b/>
          <w:sz w:val="22"/>
          <w:lang w:val="en-GB"/>
        </w:rPr>
        <w:t>Microtec</w:t>
      </w:r>
      <w:proofErr w:type="spellEnd"/>
    </w:p>
    <w:p w:rsidR="00FA460A" w:rsidRPr="00D61A83" w:rsidRDefault="00FA460A" w:rsidP="00D61A83">
      <w:pPr>
        <w:ind w:left="227" w:right="284"/>
        <w:jc w:val="both"/>
        <w:rPr>
          <w:szCs w:val="20"/>
          <w:lang w:val="en-GB"/>
        </w:rPr>
      </w:pPr>
      <w:r w:rsidRPr="00D61A83">
        <w:rPr>
          <w:szCs w:val="20"/>
          <w:lang w:val="en-GB"/>
        </w:rPr>
        <w:t>With more than 45 years</w:t>
      </w:r>
      <w:r w:rsidR="00D1348F" w:rsidRPr="00D61A83">
        <w:rPr>
          <w:szCs w:val="20"/>
          <w:lang w:val="en-GB"/>
        </w:rPr>
        <w:t>’</w:t>
      </w:r>
      <w:r w:rsidRPr="00D61A83">
        <w:rPr>
          <w:szCs w:val="20"/>
          <w:lang w:val="en-GB"/>
        </w:rPr>
        <w:t xml:space="preserve"> experience as an independent value-added service provider in the area of micro and optoelectronics, </w:t>
      </w:r>
      <w:proofErr w:type="spellStart"/>
      <w:r w:rsidRPr="00D61A83">
        <w:rPr>
          <w:color w:val="B71234"/>
          <w:szCs w:val="20"/>
          <w:lang w:val="en-GB"/>
        </w:rPr>
        <w:t>Rood</w:t>
      </w:r>
      <w:r w:rsidRPr="00D61A83">
        <w:rPr>
          <w:szCs w:val="20"/>
          <w:lang w:val="en-GB"/>
        </w:rPr>
        <w:t>Microtec</w:t>
      </w:r>
      <w:proofErr w:type="spellEnd"/>
      <w:r w:rsidRPr="00D61A83">
        <w:rPr>
          <w:szCs w:val="20"/>
          <w:lang w:val="en-GB"/>
        </w:rPr>
        <w:t xml:space="preserve"> offers </w:t>
      </w:r>
      <w:proofErr w:type="spellStart"/>
      <w:r w:rsidRPr="00D61A83">
        <w:rPr>
          <w:szCs w:val="20"/>
          <w:lang w:val="en-GB"/>
        </w:rPr>
        <w:t>Fabless</w:t>
      </w:r>
      <w:proofErr w:type="spellEnd"/>
      <w:r w:rsidRPr="00D61A83">
        <w:rPr>
          <w:szCs w:val="20"/>
          <w:lang w:val="en-GB"/>
        </w:rPr>
        <w:t xml:space="preserve"> Companies, OEMs and other companies a one-stop shop proposition. With its powerful solutions </w:t>
      </w:r>
      <w:proofErr w:type="spellStart"/>
      <w:r w:rsidRPr="00D61A83">
        <w:rPr>
          <w:color w:val="B71234"/>
          <w:szCs w:val="20"/>
          <w:lang w:val="en-GB"/>
        </w:rPr>
        <w:t>Rood</w:t>
      </w:r>
      <w:r w:rsidRPr="00D61A83">
        <w:rPr>
          <w:szCs w:val="20"/>
          <w:lang w:val="en-GB"/>
        </w:rPr>
        <w:t>Microtec</w:t>
      </w:r>
      <w:proofErr w:type="spellEnd"/>
      <w:r w:rsidRPr="00D61A83">
        <w:rPr>
          <w:szCs w:val="20"/>
          <w:lang w:val="en-GB"/>
        </w:rPr>
        <w:t xml:space="preserve"> has built up a strong position in Europe.</w:t>
      </w:r>
    </w:p>
    <w:p w:rsidR="00FA460A" w:rsidRPr="00D61A83" w:rsidRDefault="00FA460A" w:rsidP="00D61A83">
      <w:pPr>
        <w:ind w:left="227" w:right="284"/>
        <w:jc w:val="both"/>
        <w:rPr>
          <w:szCs w:val="20"/>
          <w:lang w:val="en-GB"/>
        </w:rPr>
      </w:pPr>
      <w:r w:rsidRPr="00D61A83">
        <w:rPr>
          <w:szCs w:val="20"/>
          <w:lang w:val="en-GB"/>
        </w:rPr>
        <w:t>Our services comply with the industrial and quality requirements of the high reliability/space, automotive, telecommunications, medical, industrial and electronics sectors.</w:t>
      </w:r>
    </w:p>
    <w:p w:rsidR="00D1348F" w:rsidRPr="00D61A83" w:rsidRDefault="00D1348F" w:rsidP="00D61A83">
      <w:pPr>
        <w:ind w:left="227" w:right="284"/>
        <w:jc w:val="both"/>
        <w:rPr>
          <w:szCs w:val="20"/>
          <w:lang w:val="en-GB"/>
        </w:rPr>
      </w:pPr>
      <w:r w:rsidRPr="00D61A83">
        <w:rPr>
          <w:szCs w:val="20"/>
          <w:lang w:val="en-GB"/>
        </w:rPr>
        <w:t xml:space="preserve">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 </w:t>
      </w:r>
    </w:p>
    <w:p w:rsidR="00FA460A" w:rsidRPr="00D61A83" w:rsidRDefault="00FA460A" w:rsidP="00D61A83">
      <w:pPr>
        <w:ind w:left="227" w:right="284"/>
        <w:jc w:val="both"/>
        <w:rPr>
          <w:szCs w:val="20"/>
          <w:lang w:val="en-GB"/>
        </w:rPr>
      </w:pPr>
      <w:r w:rsidRPr="00D61A83">
        <w:rPr>
          <w:szCs w:val="20"/>
          <w:lang w:val="en-GB"/>
        </w:rPr>
        <w:t>Its value-added services include (</w:t>
      </w:r>
      <w:proofErr w:type="spellStart"/>
      <w:r w:rsidRPr="00D61A83">
        <w:rPr>
          <w:szCs w:val="20"/>
          <w:lang w:val="en-GB"/>
        </w:rPr>
        <w:t>e</w:t>
      </w:r>
      <w:r w:rsidRPr="00D61A83">
        <w:rPr>
          <w:color w:val="C00000"/>
          <w:szCs w:val="20"/>
          <w:lang w:val="en-GB"/>
        </w:rPr>
        <w:t>X</w:t>
      </w:r>
      <w:r w:rsidRPr="00D61A83">
        <w:rPr>
          <w:szCs w:val="20"/>
          <w:lang w:val="en-GB"/>
        </w:rPr>
        <w:t>tended</w:t>
      </w:r>
      <w:proofErr w:type="spellEnd"/>
      <w:r w:rsidRPr="00D61A83">
        <w:rPr>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FA460A" w:rsidRPr="00D61A83" w:rsidRDefault="00FA460A" w:rsidP="00D61A83">
      <w:pPr>
        <w:ind w:left="227" w:right="284"/>
        <w:jc w:val="both"/>
        <w:rPr>
          <w:szCs w:val="20"/>
          <w:lang w:val="en-GB"/>
        </w:rPr>
      </w:pPr>
      <w:proofErr w:type="spellStart"/>
      <w:r w:rsidRPr="00D61A83">
        <w:rPr>
          <w:color w:val="B71234"/>
          <w:szCs w:val="20"/>
          <w:lang w:val="en-GB"/>
        </w:rPr>
        <w:t>Rood</w:t>
      </w:r>
      <w:r w:rsidRPr="00D61A83">
        <w:rPr>
          <w:szCs w:val="20"/>
          <w:lang w:val="en-GB"/>
        </w:rPr>
        <w:t>Microtec</w:t>
      </w:r>
      <w:proofErr w:type="spellEnd"/>
      <w:r w:rsidRPr="00D61A83">
        <w:rPr>
          <w:szCs w:val="20"/>
          <w:lang w:val="en-GB"/>
        </w:rPr>
        <w:t xml:space="preserve"> has branches in Germany (Dresden, </w:t>
      </w:r>
      <w:proofErr w:type="spellStart"/>
      <w:r w:rsidRPr="00D61A83">
        <w:rPr>
          <w:szCs w:val="20"/>
          <w:lang w:val="en-GB"/>
        </w:rPr>
        <w:t>Nördlingen</w:t>
      </w:r>
      <w:proofErr w:type="spellEnd"/>
      <w:r w:rsidRPr="00D61A83">
        <w:rPr>
          <w:szCs w:val="20"/>
          <w:lang w:val="en-GB"/>
        </w:rPr>
        <w:t xml:space="preserve">, </w:t>
      </w:r>
      <w:proofErr w:type="gramStart"/>
      <w:r w:rsidRPr="00D61A83">
        <w:rPr>
          <w:szCs w:val="20"/>
          <w:lang w:val="en-GB"/>
        </w:rPr>
        <w:t>Stuttgart</w:t>
      </w:r>
      <w:proofErr w:type="gramEnd"/>
      <w:r w:rsidRPr="00D61A83">
        <w:rPr>
          <w:szCs w:val="20"/>
          <w:lang w:val="en-GB"/>
        </w:rPr>
        <w:t xml:space="preserve">), United Kingdom (Bath) and the Netherlands (Zwolle). </w:t>
      </w:r>
    </w:p>
    <w:p w:rsidR="00FA460A" w:rsidRDefault="00FA460A" w:rsidP="00D61A83">
      <w:pPr>
        <w:ind w:left="227" w:right="284"/>
        <w:jc w:val="both"/>
        <w:rPr>
          <w:szCs w:val="20"/>
          <w:lang w:val="en-GB"/>
        </w:rPr>
      </w:pPr>
      <w:r w:rsidRPr="00D61A83">
        <w:rPr>
          <w:szCs w:val="20"/>
          <w:lang w:val="en-GB"/>
        </w:rPr>
        <w:t xml:space="preserve">For more information visit </w:t>
      </w:r>
      <w:hyperlink r:id="rId8" w:history="1">
        <w:r w:rsidR="009B4F9B" w:rsidRPr="00D61A83">
          <w:rPr>
            <w:rStyle w:val="Hyperlink"/>
            <w:szCs w:val="20"/>
            <w:lang w:val="en-GB"/>
          </w:rPr>
          <w:t>http://www.roodmicrotec.com</w:t>
        </w:r>
      </w:hyperlink>
      <w:r w:rsidR="009B4F9B" w:rsidRPr="00737837">
        <w:rPr>
          <w:szCs w:val="20"/>
          <w:lang w:val="en-GB"/>
        </w:rPr>
        <w:t xml:space="preserve"> </w:t>
      </w:r>
    </w:p>
    <w:p w:rsidR="00DB29E6" w:rsidRDefault="00DB29E6" w:rsidP="00DB29E6">
      <w:pPr>
        <w:spacing w:line="240" w:lineRule="exact"/>
        <w:ind w:left="227" w:right="284"/>
        <w:jc w:val="both"/>
        <w:rPr>
          <w:szCs w:val="20"/>
          <w:lang w:val="en-GB"/>
        </w:rPr>
      </w:pPr>
    </w:p>
    <w:p w:rsidR="00D7156E" w:rsidRDefault="00D7156E" w:rsidP="00DB29E6">
      <w:pPr>
        <w:spacing w:line="240" w:lineRule="exact"/>
        <w:ind w:left="227" w:right="284"/>
        <w:jc w:val="both"/>
        <w:rPr>
          <w:szCs w:val="20"/>
          <w:lang w:val="en-GB"/>
        </w:rPr>
      </w:pPr>
    </w:p>
    <w:p w:rsidR="00D7156E" w:rsidRDefault="00D7156E" w:rsidP="00DB29E6">
      <w:pPr>
        <w:spacing w:line="240" w:lineRule="exact"/>
        <w:ind w:left="227" w:right="284"/>
        <w:jc w:val="both"/>
        <w:rPr>
          <w:szCs w:val="20"/>
          <w:lang w:val="en-GB"/>
        </w:rPr>
      </w:pPr>
    </w:p>
    <w:p w:rsidR="00D7156E" w:rsidRPr="00737837" w:rsidRDefault="00D7156E" w:rsidP="00DB29E6">
      <w:pPr>
        <w:spacing w:line="240" w:lineRule="exact"/>
        <w:ind w:left="227" w:right="284"/>
        <w:jc w:val="both"/>
        <w:rPr>
          <w:szCs w:val="20"/>
          <w:lang w:val="en-GB"/>
        </w:rPr>
      </w:pPr>
    </w:p>
    <w:p w:rsidR="00FA460A" w:rsidRPr="00737837" w:rsidRDefault="00FA460A" w:rsidP="00DB29E6">
      <w:pPr>
        <w:spacing w:before="240"/>
        <w:ind w:left="227" w:right="284"/>
        <w:jc w:val="both"/>
        <w:rPr>
          <w:i/>
          <w:szCs w:val="20"/>
          <w:lang w:val="en-GB"/>
        </w:rPr>
      </w:pPr>
      <w:r w:rsidRPr="00737837">
        <w:rPr>
          <w:i/>
          <w:szCs w:val="20"/>
          <w:lang w:val="en-GB"/>
        </w:rPr>
        <w:t>This press release is published in English, Dutch and German. In case of conflict between these versions the English version shall prevail.</w:t>
      </w:r>
    </w:p>
    <w:sectPr w:rsidR="00FA460A" w:rsidRPr="00737837" w:rsidSect="00B50948">
      <w:footerReference w:type="default" r:id="rId9"/>
      <w:headerReference w:type="first" r:id="rId10"/>
      <w:footerReference w:type="first" r:id="rId11"/>
      <w:pgSz w:w="11906" w:h="16838" w:code="9"/>
      <w:pgMar w:top="568" w:right="424"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A71" w:rsidRDefault="00D73A71" w:rsidP="00487DE4">
      <w:pPr>
        <w:spacing w:after="0" w:line="240" w:lineRule="auto"/>
      </w:pPr>
      <w:r>
        <w:separator/>
      </w:r>
    </w:p>
  </w:endnote>
  <w:endnote w:type="continuationSeparator" w:id="0">
    <w:p w:rsidR="00D73A71" w:rsidRDefault="00D73A71"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3A4B18"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D73A71" w:rsidRPr="00B50948" w:rsidRDefault="00BB7256" w:rsidP="00B50948">
                <w:pPr>
                  <w:tabs>
                    <w:tab w:val="center" w:pos="5387"/>
                    <w:tab w:val="right" w:pos="10625"/>
                  </w:tabs>
                  <w:ind w:left="284" w:right="-47"/>
                  <w:rPr>
                    <w:color w:val="FFFFFF"/>
                    <w:lang w:val="en-GB"/>
                  </w:rPr>
                </w:pPr>
                <w:r>
                  <w:rPr>
                    <w:color w:val="FFFFFF"/>
                    <w:lang w:val="en-GB"/>
                  </w:rPr>
                  <w:t>Half year report 2017</w:t>
                </w:r>
                <w:r w:rsidR="00D73A71" w:rsidRPr="00B50948">
                  <w:rPr>
                    <w:color w:val="FFFFFF"/>
                    <w:lang w:val="en-GB"/>
                  </w:rPr>
                  <w:tab/>
                </w:r>
                <w:r w:rsidR="003A4B18" w:rsidRPr="00B50948">
                  <w:rPr>
                    <w:color w:val="FFFFFF"/>
                  </w:rPr>
                  <w:fldChar w:fldCharType="begin"/>
                </w:r>
                <w:r w:rsidR="00D73A71" w:rsidRPr="00B50948">
                  <w:rPr>
                    <w:color w:val="FFFFFF"/>
                    <w:lang w:val="en-GB"/>
                  </w:rPr>
                  <w:instrText xml:space="preserve"> PAGE   \* MERGEFORMAT </w:instrText>
                </w:r>
                <w:r w:rsidR="003A4B18" w:rsidRPr="00B50948">
                  <w:rPr>
                    <w:color w:val="FFFFFF"/>
                  </w:rPr>
                  <w:fldChar w:fldCharType="separate"/>
                </w:r>
                <w:r w:rsidR="001D1AF1">
                  <w:rPr>
                    <w:noProof/>
                    <w:color w:val="FFFFFF"/>
                    <w:lang w:val="en-GB"/>
                  </w:rPr>
                  <w:t>2</w:t>
                </w:r>
                <w:r w:rsidR="003A4B18" w:rsidRPr="00B50948">
                  <w:rPr>
                    <w:color w:val="FFFFFF"/>
                  </w:rPr>
                  <w:fldChar w:fldCharType="end"/>
                </w:r>
                <w:r w:rsidR="00D73A71" w:rsidRPr="00B50948">
                  <w:rPr>
                    <w:color w:val="FFFFFF"/>
                    <w:lang w:val="en-GB"/>
                  </w:rPr>
                  <w:tab/>
                </w:r>
                <w:proofErr w:type="spellStart"/>
                <w:r w:rsidR="00D73A71">
                  <w:rPr>
                    <w:color w:val="FFFFFF"/>
                    <w:lang w:val="en-GB"/>
                  </w:rPr>
                  <w:t>RoodMicrotec</w:t>
                </w:r>
                <w:proofErr w:type="spellEnd"/>
                <w:r w:rsidR="00D73A71">
                  <w:rPr>
                    <w:color w:val="FFFFFF"/>
                    <w:lang w:val="en-GB"/>
                  </w:rPr>
                  <w:t xml:space="preserve"> </w:t>
                </w:r>
                <w:r w:rsidR="00D73A71" w:rsidRPr="00B50948">
                  <w:rPr>
                    <w:color w:val="FFFFFF"/>
                    <w:lang w:val="en-GB"/>
                  </w:rPr>
                  <w:t>Press Release</w:t>
                </w:r>
              </w:p>
              <w:p w:rsidR="00D73A71" w:rsidRPr="00F33608" w:rsidRDefault="00D73A71" w:rsidP="00B50948">
                <w:pPr>
                  <w:tabs>
                    <w:tab w:val="center" w:pos="5387"/>
                  </w:tabs>
                  <w:ind w:left="284"/>
                  <w:rPr>
                    <w:lang w:val="en-GB"/>
                  </w:rPr>
                </w:pPr>
              </w:p>
            </w:txbxContent>
          </v:textbox>
        </v:shape>
      </w:pict>
    </w:r>
    <w:r w:rsidR="00D73A71">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3A4B18"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4.4pt;z-index:251656192;mso-width-relative:margin;mso-height-relative:margin;v-text-anchor:middle" filled="f" stroked="f">
          <v:textbox style="mso-next-textbox:#_x0000_s2051" inset="0,0,0,0">
            <w:txbxContent>
              <w:p w:rsidR="00D73A71" w:rsidRPr="009D767A" w:rsidRDefault="00BB7256" w:rsidP="009D767A">
                <w:pPr>
                  <w:tabs>
                    <w:tab w:val="center" w:pos="5387"/>
                    <w:tab w:val="right" w:pos="10632"/>
                  </w:tabs>
                  <w:ind w:left="284" w:right="-63"/>
                  <w:rPr>
                    <w:color w:val="FFFFFF"/>
                    <w:lang w:val="en-GB"/>
                  </w:rPr>
                </w:pPr>
                <w:r>
                  <w:rPr>
                    <w:color w:val="FFFFFF"/>
                    <w:lang w:val="en-GB"/>
                  </w:rPr>
                  <w:t>Half year report 2017</w:t>
                </w:r>
                <w:r w:rsidR="00D73A71" w:rsidRPr="009D767A">
                  <w:rPr>
                    <w:color w:val="FFFFFF"/>
                    <w:lang w:val="en-GB"/>
                  </w:rPr>
                  <w:tab/>
                </w:r>
                <w:r w:rsidR="003A4B18" w:rsidRPr="009D767A">
                  <w:rPr>
                    <w:color w:val="FFFFFF"/>
                  </w:rPr>
                  <w:fldChar w:fldCharType="begin"/>
                </w:r>
                <w:r w:rsidR="00D73A71" w:rsidRPr="009D767A">
                  <w:rPr>
                    <w:color w:val="FFFFFF"/>
                    <w:lang w:val="en-GB"/>
                  </w:rPr>
                  <w:instrText xml:space="preserve"> PAGE   \* MERGEFORMAT </w:instrText>
                </w:r>
                <w:r w:rsidR="003A4B18" w:rsidRPr="009D767A">
                  <w:rPr>
                    <w:color w:val="FFFFFF"/>
                  </w:rPr>
                  <w:fldChar w:fldCharType="separate"/>
                </w:r>
                <w:r w:rsidR="001D1AF1">
                  <w:rPr>
                    <w:noProof/>
                    <w:color w:val="FFFFFF"/>
                    <w:lang w:val="en-GB"/>
                  </w:rPr>
                  <w:t>1</w:t>
                </w:r>
                <w:r w:rsidR="003A4B18" w:rsidRPr="009D767A">
                  <w:rPr>
                    <w:color w:val="FFFFFF"/>
                  </w:rPr>
                  <w:fldChar w:fldCharType="end"/>
                </w:r>
                <w:r w:rsidR="00D73A71" w:rsidRPr="009D767A">
                  <w:rPr>
                    <w:color w:val="FFFFFF"/>
                    <w:lang w:val="en-GB"/>
                  </w:rPr>
                  <w:tab/>
                </w:r>
                <w:r w:rsidR="00463E1E">
                  <w:rPr>
                    <w:color w:val="FFFFFF"/>
                    <w:lang w:val="en-GB"/>
                  </w:rPr>
                  <w:t xml:space="preserve"> </w:t>
                </w:r>
                <w:proofErr w:type="spellStart"/>
                <w:r w:rsidR="00463E1E">
                  <w:rPr>
                    <w:color w:val="FFFFFF"/>
                    <w:lang w:val="en-GB"/>
                  </w:rPr>
                  <w:t>RoodMicrotec</w:t>
                </w:r>
                <w:proofErr w:type="spellEnd"/>
                <w:r w:rsidR="00463E1E">
                  <w:rPr>
                    <w:color w:val="FFFFFF"/>
                    <w:lang w:val="en-GB"/>
                  </w:rPr>
                  <w:t xml:space="preserve"> </w:t>
                </w:r>
                <w:r w:rsidR="00D73A71" w:rsidRPr="009D767A">
                  <w:rPr>
                    <w:color w:val="FFFFFF"/>
                    <w:lang w:val="en-GB"/>
                  </w:rPr>
                  <w:t>Press Release</w:t>
                </w:r>
              </w:p>
              <w:p w:rsidR="00D73A71" w:rsidRPr="00F33608" w:rsidRDefault="00D73A71" w:rsidP="00657E90">
                <w:pPr>
                  <w:ind w:right="-205"/>
                  <w:rPr>
                    <w:lang w:val="en-GB"/>
                  </w:rPr>
                </w:pPr>
              </w:p>
            </w:txbxContent>
          </v:textbox>
        </v:shape>
      </w:pict>
    </w:r>
    <w:r w:rsidR="00D73A71">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A71" w:rsidRDefault="00D73A71" w:rsidP="00487DE4">
      <w:pPr>
        <w:spacing w:after="0" w:line="240" w:lineRule="auto"/>
      </w:pPr>
      <w:r>
        <w:separator/>
      </w:r>
    </w:p>
  </w:footnote>
  <w:footnote w:type="continuationSeparator" w:id="0">
    <w:p w:rsidR="00D73A71" w:rsidRDefault="00D73A71"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3A4B18"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D73A71" w:rsidRPr="00FE6420" w:rsidRDefault="00D73A71"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D73A71" w:rsidRPr="00FE6420" w:rsidRDefault="00D73A71"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D73A71" w:rsidRPr="00FE6420" w:rsidRDefault="00D73A71"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D73A71" w:rsidRPr="00FE6420" w:rsidRDefault="00D73A71" w:rsidP="006A787C">
                <w:pPr>
                  <w:spacing w:after="0" w:line="240" w:lineRule="auto"/>
                  <w:rPr>
                    <w:sz w:val="18"/>
                    <w:szCs w:val="18"/>
                    <w:lang w:val="en-GB"/>
                  </w:rPr>
                </w:pPr>
              </w:p>
              <w:p w:rsidR="00D73A71" w:rsidRPr="009D767A" w:rsidRDefault="00D73A71" w:rsidP="006A787C">
                <w:pPr>
                  <w:spacing w:after="0" w:line="240" w:lineRule="auto"/>
                  <w:rPr>
                    <w:b/>
                    <w:sz w:val="18"/>
                    <w:szCs w:val="18"/>
                    <w:lang w:val="nl-NL"/>
                  </w:rPr>
                </w:pPr>
                <w:r w:rsidRPr="001E3A10">
                  <w:rPr>
                    <w:b/>
                    <w:color w:val="B71234"/>
                    <w:sz w:val="18"/>
                    <w:szCs w:val="18"/>
                    <w:lang w:val="nl-NL"/>
                  </w:rPr>
                  <w:t>Rood</w:t>
                </w:r>
                <w:r w:rsidRPr="009D767A">
                  <w:rPr>
                    <w:b/>
                    <w:sz w:val="18"/>
                    <w:szCs w:val="18"/>
                    <w:lang w:val="nl-NL"/>
                  </w:rPr>
                  <w:t>Microtec N.V.</w:t>
                </w:r>
              </w:p>
              <w:p w:rsidR="00D73A71" w:rsidRPr="00FE6420" w:rsidRDefault="00D73A71" w:rsidP="006A787C">
                <w:pPr>
                  <w:spacing w:after="0" w:line="240" w:lineRule="auto"/>
                  <w:rPr>
                    <w:sz w:val="18"/>
                    <w:szCs w:val="18"/>
                    <w:lang w:val="nl-NL"/>
                  </w:rPr>
                </w:pPr>
                <w:r w:rsidRPr="00FE6420">
                  <w:rPr>
                    <w:sz w:val="18"/>
                    <w:szCs w:val="18"/>
                    <w:lang w:val="nl-NL"/>
                  </w:rPr>
                  <w:t>‘Rembrandt’; Dokter van Deenweg 58</w:t>
                </w:r>
              </w:p>
              <w:p w:rsidR="00D73A71" w:rsidRPr="00FE6420" w:rsidRDefault="00D73A71" w:rsidP="006A787C">
                <w:pPr>
                  <w:spacing w:after="0" w:line="240" w:lineRule="auto"/>
                  <w:rPr>
                    <w:sz w:val="18"/>
                    <w:szCs w:val="18"/>
                    <w:lang w:val="en-GB"/>
                  </w:rPr>
                </w:pPr>
                <w:r w:rsidRPr="00FE6420">
                  <w:rPr>
                    <w:sz w:val="18"/>
                    <w:szCs w:val="18"/>
                    <w:lang w:val="en-GB"/>
                  </w:rPr>
                  <w:t>NL-</w:t>
                </w:r>
                <w:r w:rsidR="004F2691">
                  <w:rPr>
                    <w:sz w:val="18"/>
                    <w:szCs w:val="18"/>
                    <w:lang w:val="en-GB"/>
                  </w:rPr>
                  <w:t xml:space="preserve">8025 BC </w:t>
                </w:r>
                <w:r w:rsidRPr="00FE6420">
                  <w:rPr>
                    <w:sz w:val="18"/>
                    <w:szCs w:val="18"/>
                    <w:lang w:val="en-GB"/>
                  </w:rPr>
                  <w:t>Zwolle</w:t>
                </w:r>
              </w:p>
              <w:p w:rsidR="00D73A71" w:rsidRPr="00FE6420" w:rsidRDefault="00D73A71" w:rsidP="006A787C">
                <w:pPr>
                  <w:spacing w:after="0" w:line="240" w:lineRule="auto"/>
                  <w:rPr>
                    <w:sz w:val="18"/>
                    <w:szCs w:val="18"/>
                    <w:lang w:val="en-GB"/>
                  </w:rPr>
                </w:pPr>
              </w:p>
              <w:p w:rsidR="00D73A71" w:rsidRPr="00FE6420" w:rsidRDefault="00D73A71"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D73A71" w:rsidRPr="00FE6420" w:rsidRDefault="00D73A7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D73A71" w:rsidRPr="00FE6420" w:rsidRDefault="00D73A7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w:txbxContent>
              <w:p w:rsidR="00D73A71" w:rsidRPr="00E878A9" w:rsidRDefault="00D73A71"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C52BCD" w:rsidRPr="00C52BCD">
                  <w:rPr>
                    <w:rFonts w:asciiTheme="minorHAnsi" w:hAnsiTheme="minorHAnsi" w:cstheme="minorHAnsi"/>
                    <w:color w:val="FFFFFF" w:themeColor="background1"/>
                    <w:sz w:val="22"/>
                  </w:rPr>
                  <w:t>03</w:t>
                </w:r>
                <w:r w:rsidR="00C52BCD" w:rsidRPr="00C52BCD">
                  <w:rPr>
                    <w:rFonts w:asciiTheme="minorHAnsi" w:hAnsiTheme="minorHAnsi" w:cstheme="minorHAnsi"/>
                    <w:color w:val="FFFFFF" w:themeColor="background1"/>
                    <w:sz w:val="22"/>
                    <w:vertAlign w:val="superscript"/>
                  </w:rPr>
                  <w:t>rd</w:t>
                </w:r>
                <w:r w:rsidR="00C52BCD">
                  <w:rPr>
                    <w:rFonts w:asciiTheme="minorHAnsi" w:hAnsiTheme="minorHAnsi" w:cstheme="minorHAnsi"/>
                    <w:color w:val="FFFFFF" w:themeColor="background1"/>
                    <w:sz w:val="22"/>
                  </w:rPr>
                  <w:t xml:space="preserve"> </w:t>
                </w:r>
                <w:r w:rsidR="00BB7256">
                  <w:rPr>
                    <w:rFonts w:asciiTheme="minorHAnsi" w:hAnsiTheme="minorHAnsi" w:cstheme="minorHAnsi"/>
                    <w:color w:val="FFFFFF" w:themeColor="background1"/>
                    <w:sz w:val="22"/>
                  </w:rPr>
                  <w:t>August</w:t>
                </w:r>
                <w:r w:rsidRPr="009D767A">
                  <w:rPr>
                    <w:rFonts w:asciiTheme="minorHAnsi" w:hAnsiTheme="minorHAnsi" w:cstheme="minorHAnsi"/>
                    <w:color w:val="FFFFFF" w:themeColor="background1"/>
                    <w:sz w:val="22"/>
                  </w:rPr>
                  <w:t xml:space="preserve"> 2017</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D73A71">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D73A71">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4FED"/>
    <w:multiLevelType w:val="hybridMultilevel"/>
    <w:tmpl w:val="55CCE960"/>
    <w:lvl w:ilvl="0" w:tplc="8994993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FF65C5"/>
    <w:rsid w:val="000032BA"/>
    <w:rsid w:val="0005578B"/>
    <w:rsid w:val="00057DA6"/>
    <w:rsid w:val="0006071C"/>
    <w:rsid w:val="00127576"/>
    <w:rsid w:val="00142EC6"/>
    <w:rsid w:val="00161C05"/>
    <w:rsid w:val="001649FA"/>
    <w:rsid w:val="001720A4"/>
    <w:rsid w:val="00186B6E"/>
    <w:rsid w:val="001D1AF1"/>
    <w:rsid w:val="001E3A10"/>
    <w:rsid w:val="0020005B"/>
    <w:rsid w:val="00255CD0"/>
    <w:rsid w:val="0027201E"/>
    <w:rsid w:val="00276FC8"/>
    <w:rsid w:val="002A0D07"/>
    <w:rsid w:val="002B3A96"/>
    <w:rsid w:val="002B40F6"/>
    <w:rsid w:val="002D5E7D"/>
    <w:rsid w:val="0036342D"/>
    <w:rsid w:val="003A4B18"/>
    <w:rsid w:val="003A6DC1"/>
    <w:rsid w:val="003B7A9E"/>
    <w:rsid w:val="003D5390"/>
    <w:rsid w:val="003D6A82"/>
    <w:rsid w:val="003E75B5"/>
    <w:rsid w:val="004152A2"/>
    <w:rsid w:val="00434690"/>
    <w:rsid w:val="00463E1E"/>
    <w:rsid w:val="0047010F"/>
    <w:rsid w:val="00487DE4"/>
    <w:rsid w:val="004955AE"/>
    <w:rsid w:val="004F2691"/>
    <w:rsid w:val="00573576"/>
    <w:rsid w:val="00595340"/>
    <w:rsid w:val="005A69F3"/>
    <w:rsid w:val="006507EB"/>
    <w:rsid w:val="00657E90"/>
    <w:rsid w:val="006A787C"/>
    <w:rsid w:val="006B777C"/>
    <w:rsid w:val="00732161"/>
    <w:rsid w:val="00737837"/>
    <w:rsid w:val="007557BE"/>
    <w:rsid w:val="00774401"/>
    <w:rsid w:val="007815CD"/>
    <w:rsid w:val="007834C3"/>
    <w:rsid w:val="00793CEB"/>
    <w:rsid w:val="007B1FC8"/>
    <w:rsid w:val="007B640C"/>
    <w:rsid w:val="007E731F"/>
    <w:rsid w:val="00815117"/>
    <w:rsid w:val="00820CB6"/>
    <w:rsid w:val="0087320B"/>
    <w:rsid w:val="00881D9A"/>
    <w:rsid w:val="00892457"/>
    <w:rsid w:val="008B3CE5"/>
    <w:rsid w:val="008C621D"/>
    <w:rsid w:val="009B4F9B"/>
    <w:rsid w:val="009C32BB"/>
    <w:rsid w:val="009D1A77"/>
    <w:rsid w:val="009D767A"/>
    <w:rsid w:val="00AB303D"/>
    <w:rsid w:val="00AE5FCE"/>
    <w:rsid w:val="00B0249B"/>
    <w:rsid w:val="00B12DF5"/>
    <w:rsid w:val="00B30686"/>
    <w:rsid w:val="00B379AD"/>
    <w:rsid w:val="00B50948"/>
    <w:rsid w:val="00B812F6"/>
    <w:rsid w:val="00BB7256"/>
    <w:rsid w:val="00BD28A6"/>
    <w:rsid w:val="00BF7D94"/>
    <w:rsid w:val="00C309CD"/>
    <w:rsid w:val="00C32FBA"/>
    <w:rsid w:val="00C42AA3"/>
    <w:rsid w:val="00C52BCD"/>
    <w:rsid w:val="00CB0F85"/>
    <w:rsid w:val="00CE767D"/>
    <w:rsid w:val="00D1348F"/>
    <w:rsid w:val="00D61A83"/>
    <w:rsid w:val="00D63542"/>
    <w:rsid w:val="00D7156E"/>
    <w:rsid w:val="00D73A71"/>
    <w:rsid w:val="00D9366C"/>
    <w:rsid w:val="00DB29E6"/>
    <w:rsid w:val="00DC1818"/>
    <w:rsid w:val="00DE3384"/>
    <w:rsid w:val="00DF2AFE"/>
    <w:rsid w:val="00E90550"/>
    <w:rsid w:val="00F15FE0"/>
    <w:rsid w:val="00F33608"/>
    <w:rsid w:val="00F45F6A"/>
    <w:rsid w:val="00FA460A"/>
    <w:rsid w:val="00FB2BA3"/>
    <w:rsid w:val="00FC3035"/>
    <w:rsid w:val="00FE6420"/>
    <w:rsid w:val="00FF65C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6071C"/>
    <w:pPr>
      <w:keepNext/>
      <w:keepLines/>
      <w:tabs>
        <w:tab w:val="left" w:pos="10415"/>
      </w:tabs>
      <w:spacing w:before="100" w:beforeAutospacing="1" w:after="240"/>
      <w:ind w:left="227" w:right="284"/>
      <w:jc w:val="both"/>
      <w:outlineLvl w:val="0"/>
    </w:pPr>
    <w:rPr>
      <w:rFonts w:eastAsiaTheme="majorEastAsia" w:cstheme="majorBidi"/>
      <w:b/>
      <w:bCs/>
      <w:color w:val="B71234"/>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06071C"/>
    <w:rPr>
      <w:rFonts w:eastAsiaTheme="majorEastAsia" w:cstheme="majorBidi"/>
      <w:b/>
      <w:bCs/>
      <w:color w:val="B71234"/>
      <w:sz w:val="28"/>
      <w:szCs w:val="28"/>
      <w:lang w:val="en-GB" w:eastAsia="en-GB"/>
    </w:rPr>
  </w:style>
  <w:style w:type="table" w:styleId="Tabellengitternetz">
    <w:name w:val="Table Grid"/>
    <w:basedOn w:val="NormaleTabelle"/>
    <w:uiPriority w:val="59"/>
    <w:rsid w:val="00D715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B7256"/>
    <w:rPr>
      <w:sz w:val="16"/>
      <w:szCs w:val="16"/>
    </w:rPr>
  </w:style>
  <w:style w:type="paragraph" w:styleId="Kommentartext">
    <w:name w:val="annotation text"/>
    <w:basedOn w:val="Standard"/>
    <w:link w:val="KommentartextZchn"/>
    <w:uiPriority w:val="99"/>
    <w:semiHidden/>
    <w:unhideWhenUsed/>
    <w:rsid w:val="00BB7256"/>
    <w:pPr>
      <w:spacing w:line="240" w:lineRule="auto"/>
    </w:pPr>
    <w:rPr>
      <w:szCs w:val="20"/>
    </w:rPr>
  </w:style>
  <w:style w:type="character" w:customStyle="1" w:styleId="KommentartextZchn">
    <w:name w:val="Kommentartext Zchn"/>
    <w:basedOn w:val="Absatz-Standardschriftart"/>
    <w:link w:val="Kommentartext"/>
    <w:uiPriority w:val="99"/>
    <w:semiHidden/>
    <w:rsid w:val="00BB7256"/>
    <w:rPr>
      <w:lang w:eastAsia="en-US"/>
    </w:rPr>
  </w:style>
  <w:style w:type="paragraph" w:styleId="Kommentarthema">
    <w:name w:val="annotation subject"/>
    <w:basedOn w:val="Kommentartext"/>
    <w:next w:val="Kommentartext"/>
    <w:link w:val="KommentarthemaZchn"/>
    <w:uiPriority w:val="99"/>
    <w:semiHidden/>
    <w:unhideWhenUsed/>
    <w:rsid w:val="00BB7256"/>
    <w:rPr>
      <w:b/>
      <w:bCs/>
    </w:rPr>
  </w:style>
  <w:style w:type="character" w:customStyle="1" w:styleId="KommentarthemaZchn">
    <w:name w:val="Kommentarthema Zchn"/>
    <w:basedOn w:val="KommentartextZchn"/>
    <w:link w:val="Kommentarthema"/>
    <w:uiPriority w:val="99"/>
    <w:semiHidden/>
    <w:rsid w:val="00BB7256"/>
    <w:rPr>
      <w:b/>
      <w:b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E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8F42F-34B0-4D71-9D61-AC83A6B1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2017_E_PR_Vorlage_New design.dotx</Template>
  <TotalTime>0</TotalTime>
  <Pages>2</Pages>
  <Words>601</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2017-04-25T08:12:00Z</cp:lastPrinted>
  <dcterms:created xsi:type="dcterms:W3CDTF">2017-08-01T08:13:00Z</dcterms:created>
  <dcterms:modified xsi:type="dcterms:W3CDTF">2017-08-01T08:13:00Z</dcterms:modified>
</cp:coreProperties>
</file>