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E69" w:rsidRDefault="003E1F91" w:rsidP="001C4809">
      <w:pPr>
        <w:pStyle w:val="berschrift1"/>
      </w:pPr>
      <w:proofErr w:type="spellStart"/>
      <w:r>
        <w:t>RoodMicrotec</w:t>
      </w:r>
      <w:proofErr w:type="spellEnd"/>
      <w:r>
        <w:t xml:space="preserve"> reports unaudited annual figures for 2017: Significant increase in cash flow from operating </w:t>
      </w:r>
      <w:r w:rsidRPr="00236E63">
        <w:rPr>
          <w:color w:val="C00000"/>
        </w:rPr>
        <w:t>act</w:t>
      </w:r>
      <w:r>
        <w:t xml:space="preserve">ivities and improved net result </w:t>
      </w:r>
      <w:r w:rsidR="00657139">
        <w:t>by</w:t>
      </w:r>
      <w:r>
        <w:t xml:space="preserve"> EUR 1.2 million over 2016</w:t>
      </w:r>
    </w:p>
    <w:p w:rsidR="003E1F91" w:rsidRDefault="003E1F91" w:rsidP="003E1F91">
      <w:pPr>
        <w:pStyle w:val="Listenabsatz"/>
        <w:numPr>
          <w:ilvl w:val="0"/>
          <w:numId w:val="6"/>
        </w:numPr>
        <w:autoSpaceDE w:val="0"/>
        <w:autoSpaceDN w:val="0"/>
        <w:adjustRightInd w:val="0"/>
        <w:spacing w:before="240" w:after="0" w:line="240" w:lineRule="auto"/>
        <w:ind w:left="280" w:right="-142" w:firstLine="42"/>
        <w:jc w:val="both"/>
        <w:rPr>
          <w:rFonts w:asciiTheme="minorHAnsi" w:hAnsiTheme="minorHAnsi" w:cstheme="minorHAnsi"/>
          <w:b/>
          <w:color w:val="000000"/>
          <w:szCs w:val="20"/>
          <w:lang w:val="en-GB" w:eastAsia="de-DE"/>
        </w:rPr>
      </w:pPr>
      <w:r>
        <w:rPr>
          <w:rFonts w:asciiTheme="minorHAnsi" w:hAnsiTheme="minorHAnsi" w:cstheme="minorHAnsi"/>
          <w:b/>
          <w:color w:val="000000"/>
          <w:szCs w:val="20"/>
          <w:lang w:val="en-GB" w:eastAsia="de-DE"/>
        </w:rPr>
        <w:t>Significant increase in cash flow from operating activities, EUR 0.63 million positive (2016: EUR 0.45 million negative)</w:t>
      </w:r>
    </w:p>
    <w:p w:rsidR="003E1F91" w:rsidRDefault="003E1F91" w:rsidP="003E1F91">
      <w:pPr>
        <w:pStyle w:val="Listenabsatz"/>
        <w:numPr>
          <w:ilvl w:val="0"/>
          <w:numId w:val="6"/>
        </w:numPr>
        <w:autoSpaceDE w:val="0"/>
        <w:autoSpaceDN w:val="0"/>
        <w:adjustRightInd w:val="0"/>
        <w:spacing w:before="240" w:after="0" w:line="240" w:lineRule="auto"/>
        <w:ind w:left="280" w:right="-142" w:firstLine="42"/>
        <w:jc w:val="both"/>
        <w:rPr>
          <w:rFonts w:asciiTheme="minorHAnsi" w:hAnsiTheme="minorHAnsi" w:cstheme="minorHAnsi"/>
          <w:b/>
          <w:color w:val="000000"/>
          <w:szCs w:val="20"/>
          <w:lang w:val="en-GB" w:eastAsia="de-DE"/>
        </w:rPr>
      </w:pPr>
      <w:r>
        <w:rPr>
          <w:rFonts w:asciiTheme="minorHAnsi" w:hAnsiTheme="minorHAnsi" w:cstheme="minorHAnsi"/>
          <w:b/>
          <w:color w:val="000000"/>
          <w:szCs w:val="20"/>
          <w:lang w:val="en-GB" w:eastAsia="de-DE"/>
        </w:rPr>
        <w:t xml:space="preserve">Positive result for the year, before one-time </w:t>
      </w:r>
      <w:r w:rsidR="00657139">
        <w:rPr>
          <w:rFonts w:asciiTheme="minorHAnsi" w:hAnsiTheme="minorHAnsi" w:cstheme="minorHAnsi"/>
          <w:b/>
          <w:color w:val="000000"/>
          <w:szCs w:val="20"/>
          <w:lang w:val="en-GB" w:eastAsia="de-DE"/>
        </w:rPr>
        <w:t>termination benefit</w:t>
      </w:r>
      <w:r>
        <w:rPr>
          <w:rFonts w:asciiTheme="minorHAnsi" w:hAnsiTheme="minorHAnsi" w:cstheme="minorHAnsi"/>
          <w:b/>
          <w:color w:val="000000"/>
          <w:szCs w:val="20"/>
          <w:lang w:val="en-GB" w:eastAsia="de-DE"/>
        </w:rPr>
        <w:t xml:space="preserve"> cost</w:t>
      </w:r>
      <w:r w:rsidR="00657139">
        <w:rPr>
          <w:rFonts w:asciiTheme="minorHAnsi" w:hAnsiTheme="minorHAnsi" w:cstheme="minorHAnsi"/>
          <w:b/>
          <w:color w:val="000000"/>
          <w:szCs w:val="20"/>
          <w:lang w:val="en-GB" w:eastAsia="de-DE"/>
        </w:rPr>
        <w:t>s</w:t>
      </w:r>
      <w:r>
        <w:rPr>
          <w:rFonts w:asciiTheme="minorHAnsi" w:hAnsiTheme="minorHAnsi" w:cstheme="minorHAnsi"/>
          <w:b/>
          <w:color w:val="000000"/>
          <w:szCs w:val="20"/>
          <w:lang w:val="en-GB" w:eastAsia="de-DE"/>
        </w:rPr>
        <w:t xml:space="preserve"> of EUR 0.4 million</w:t>
      </w:r>
    </w:p>
    <w:p w:rsidR="003E1F91" w:rsidRPr="003E1F91" w:rsidRDefault="003E1F91" w:rsidP="003E1F91">
      <w:pPr>
        <w:pStyle w:val="Listenabsatz"/>
        <w:numPr>
          <w:ilvl w:val="0"/>
          <w:numId w:val="6"/>
        </w:numPr>
        <w:autoSpaceDE w:val="0"/>
        <w:autoSpaceDN w:val="0"/>
        <w:adjustRightInd w:val="0"/>
        <w:spacing w:line="240" w:lineRule="auto"/>
        <w:ind w:left="280" w:right="-142" w:firstLine="42"/>
        <w:jc w:val="both"/>
        <w:rPr>
          <w:rFonts w:asciiTheme="minorHAnsi" w:eastAsia="CIDFont+F1" w:hAnsiTheme="minorHAnsi" w:cstheme="minorHAnsi"/>
          <w:szCs w:val="20"/>
          <w:lang w:val="en-GB" w:eastAsia="de-DE"/>
        </w:rPr>
      </w:pPr>
      <w:r>
        <w:rPr>
          <w:rFonts w:asciiTheme="minorHAnsi" w:eastAsia="CIDFont+F1" w:hAnsiTheme="minorHAnsi" w:cstheme="minorHAnsi"/>
          <w:b/>
          <w:szCs w:val="20"/>
          <w:lang w:val="en-GB" w:eastAsia="de-DE"/>
        </w:rPr>
        <w:t>Sales revenue climbs 16% to a level of EUR 12.1 million</w:t>
      </w:r>
    </w:p>
    <w:p w:rsidR="003E1F91" w:rsidRPr="003E1F91" w:rsidRDefault="003E1F91" w:rsidP="003E1F91">
      <w:pPr>
        <w:spacing w:line="240" w:lineRule="auto"/>
        <w:ind w:left="284"/>
        <w:jc w:val="both"/>
        <w:rPr>
          <w:rFonts w:asciiTheme="minorHAnsi" w:hAnsiTheme="minorHAnsi" w:cstheme="minorHAnsi"/>
          <w:szCs w:val="20"/>
          <w:lang w:val="en-GB"/>
        </w:rPr>
      </w:pPr>
    </w:p>
    <w:p w:rsidR="003E1F91" w:rsidRPr="003E1F91" w:rsidRDefault="003E1F91" w:rsidP="003E1F91">
      <w:pPr>
        <w:spacing w:before="240"/>
        <w:ind w:left="284"/>
        <w:jc w:val="both"/>
        <w:rPr>
          <w:rFonts w:asciiTheme="minorHAnsi" w:hAnsiTheme="minorHAnsi" w:cstheme="minorHAnsi"/>
          <w:szCs w:val="20"/>
          <w:lang w:val="en-GB"/>
        </w:rPr>
      </w:pPr>
      <w:proofErr w:type="spellStart"/>
      <w:r w:rsidRPr="007972CA">
        <w:rPr>
          <w:rFonts w:asciiTheme="minorHAnsi" w:hAnsiTheme="minorHAnsi" w:cstheme="minorHAnsi"/>
          <w:color w:val="B71234"/>
          <w:szCs w:val="20"/>
          <w:lang w:val="en-GB"/>
        </w:rPr>
        <w:t>Rood</w:t>
      </w:r>
      <w:r w:rsidRPr="003E1F91">
        <w:rPr>
          <w:rFonts w:asciiTheme="minorHAnsi" w:hAnsiTheme="minorHAnsi" w:cstheme="minorHAnsi"/>
          <w:szCs w:val="20"/>
          <w:lang w:val="en-GB"/>
        </w:rPr>
        <w:t>Microtec</w:t>
      </w:r>
      <w:proofErr w:type="spellEnd"/>
      <w:r w:rsidRPr="003E1F91">
        <w:rPr>
          <w:rFonts w:asciiTheme="minorHAnsi" w:hAnsiTheme="minorHAnsi" w:cstheme="minorHAnsi"/>
          <w:szCs w:val="20"/>
          <w:lang w:val="en-GB"/>
        </w:rPr>
        <w:t xml:space="preserve"> N.V., the leading independent company for semiconductors supply and quality services, released today its unaudited annual figures for 2017. The company reports positive result for the year before non-recurring restructuring costs. </w:t>
      </w:r>
      <w:proofErr w:type="spellStart"/>
      <w:r w:rsidRPr="007972CA">
        <w:rPr>
          <w:rFonts w:asciiTheme="minorHAnsi" w:hAnsiTheme="minorHAnsi" w:cstheme="minorHAnsi"/>
          <w:color w:val="B71234"/>
          <w:szCs w:val="20"/>
          <w:lang w:val="en-GB"/>
        </w:rPr>
        <w:t>Rood</w:t>
      </w:r>
      <w:r w:rsidRPr="003E1F91">
        <w:rPr>
          <w:rFonts w:asciiTheme="minorHAnsi" w:hAnsiTheme="minorHAnsi" w:cstheme="minorHAnsi"/>
          <w:szCs w:val="20"/>
          <w:lang w:val="en-GB"/>
        </w:rPr>
        <w:t>Microtec</w:t>
      </w:r>
      <w:proofErr w:type="spellEnd"/>
      <w:r w:rsidRPr="003E1F91">
        <w:rPr>
          <w:rFonts w:asciiTheme="minorHAnsi" w:hAnsiTheme="minorHAnsi" w:cstheme="minorHAnsi"/>
          <w:szCs w:val="20"/>
          <w:lang w:val="en-GB"/>
        </w:rPr>
        <w:t xml:space="preserve"> was confident to achieve a positive net result in 2017, but due to an extraordinary one-time payment to a former advisor, the company only narrowed its net loss to EUR 0.4 million, which is a significant improvement compared to the net loss of EUR 1.6 million </w:t>
      </w:r>
      <w:r w:rsidR="00657139">
        <w:rPr>
          <w:rFonts w:asciiTheme="minorHAnsi" w:hAnsiTheme="minorHAnsi" w:cstheme="minorHAnsi"/>
          <w:szCs w:val="20"/>
          <w:lang w:val="en-GB"/>
        </w:rPr>
        <w:t>realized</w:t>
      </w:r>
      <w:r w:rsidRPr="003E1F91">
        <w:rPr>
          <w:rFonts w:asciiTheme="minorHAnsi" w:hAnsiTheme="minorHAnsi" w:cstheme="minorHAnsi"/>
          <w:szCs w:val="20"/>
          <w:lang w:val="en-GB"/>
        </w:rPr>
        <w:t xml:space="preserve"> previous year. The company increased its sales revenue by 16% up to EUR 12.1 million. Another strong leading indicator is the positive cash flow from operating activities that the company achieved during 2017. </w:t>
      </w:r>
    </w:p>
    <w:p w:rsidR="003E1F91" w:rsidRPr="003E1F91" w:rsidRDefault="003E1F91" w:rsidP="003E1F91">
      <w:pPr>
        <w:ind w:left="284"/>
        <w:jc w:val="both"/>
        <w:rPr>
          <w:rFonts w:asciiTheme="minorHAnsi" w:hAnsiTheme="minorHAnsi" w:cstheme="minorHAnsi"/>
          <w:i/>
          <w:szCs w:val="20"/>
          <w:lang w:val="en-GB"/>
        </w:rPr>
      </w:pPr>
      <w:r w:rsidRPr="003E1F91">
        <w:rPr>
          <w:rFonts w:asciiTheme="minorHAnsi" w:hAnsiTheme="minorHAnsi" w:cstheme="minorHAnsi"/>
          <w:szCs w:val="20"/>
          <w:lang w:val="en-GB"/>
        </w:rPr>
        <w:t xml:space="preserve">Martin </w:t>
      </w:r>
      <w:proofErr w:type="spellStart"/>
      <w:r w:rsidRPr="003E1F91">
        <w:rPr>
          <w:rFonts w:asciiTheme="minorHAnsi" w:hAnsiTheme="minorHAnsi" w:cstheme="minorHAnsi"/>
          <w:szCs w:val="20"/>
          <w:lang w:val="en-GB"/>
        </w:rPr>
        <w:t>Sallenhag</w:t>
      </w:r>
      <w:proofErr w:type="spellEnd"/>
      <w:r w:rsidRPr="003E1F91">
        <w:rPr>
          <w:rFonts w:asciiTheme="minorHAnsi" w:hAnsiTheme="minorHAnsi" w:cstheme="minorHAnsi"/>
          <w:szCs w:val="20"/>
          <w:lang w:val="en-GB"/>
        </w:rPr>
        <w:t xml:space="preserve">, CEO </w:t>
      </w:r>
      <w:proofErr w:type="spellStart"/>
      <w:r w:rsidRPr="007972CA">
        <w:rPr>
          <w:rFonts w:asciiTheme="minorHAnsi" w:hAnsiTheme="minorHAnsi" w:cstheme="minorHAnsi"/>
          <w:color w:val="B71234"/>
          <w:szCs w:val="20"/>
          <w:lang w:val="en-GB"/>
        </w:rPr>
        <w:t>Rood</w:t>
      </w:r>
      <w:r w:rsidRPr="003E1F91">
        <w:rPr>
          <w:rFonts w:asciiTheme="minorHAnsi" w:hAnsiTheme="minorHAnsi" w:cstheme="minorHAnsi"/>
          <w:szCs w:val="20"/>
          <w:lang w:val="en-GB"/>
        </w:rPr>
        <w:t>Microtec</w:t>
      </w:r>
      <w:proofErr w:type="spellEnd"/>
      <w:proofErr w:type="gramStart"/>
      <w:r w:rsidRPr="003E1F91">
        <w:rPr>
          <w:rFonts w:asciiTheme="minorHAnsi" w:hAnsiTheme="minorHAnsi" w:cstheme="minorHAnsi"/>
          <w:i/>
          <w:szCs w:val="20"/>
          <w:lang w:val="en-GB"/>
        </w:rPr>
        <w:t>: ”</w:t>
      </w:r>
      <w:proofErr w:type="gramEnd"/>
      <w:r w:rsidRPr="003E1F91">
        <w:rPr>
          <w:rFonts w:asciiTheme="minorHAnsi" w:hAnsiTheme="minorHAnsi" w:cstheme="minorHAnsi"/>
          <w:i/>
          <w:szCs w:val="20"/>
          <w:lang w:val="en-GB"/>
        </w:rPr>
        <w:t xml:space="preserve">2017 was an exceptionally good year for </w:t>
      </w:r>
      <w:proofErr w:type="spellStart"/>
      <w:r w:rsidRPr="007972CA">
        <w:rPr>
          <w:rFonts w:asciiTheme="minorHAnsi" w:hAnsiTheme="minorHAnsi" w:cstheme="minorHAnsi"/>
          <w:i/>
          <w:color w:val="B71234"/>
          <w:szCs w:val="20"/>
          <w:lang w:val="en-GB"/>
        </w:rPr>
        <w:t>Rood</w:t>
      </w:r>
      <w:r w:rsidRPr="003E1F91">
        <w:rPr>
          <w:rFonts w:asciiTheme="minorHAnsi" w:hAnsiTheme="minorHAnsi" w:cstheme="minorHAnsi"/>
          <w:i/>
          <w:szCs w:val="20"/>
          <w:lang w:val="en-GB"/>
        </w:rPr>
        <w:t>Microtec</w:t>
      </w:r>
      <w:proofErr w:type="spellEnd"/>
      <w:r w:rsidRPr="003E1F91">
        <w:rPr>
          <w:rFonts w:asciiTheme="minorHAnsi" w:hAnsiTheme="minorHAnsi" w:cstheme="minorHAnsi"/>
          <w:i/>
          <w:szCs w:val="20"/>
          <w:lang w:val="en-GB"/>
        </w:rPr>
        <w:t>. We strengthened our position in the ASIC market with the signing of additional customers and together with the new equipment acquired in 2016 we offer a well aligned service portfolio. Consequently, we were able to increase revenues strongly and achieve a positive operational result. The increase of 55% in the order books compared to the beginning of 2017 together with high staff motivation levels and improvements in operational efficiency gives us confidence our growth is sustainable.”</w:t>
      </w:r>
    </w:p>
    <w:p w:rsidR="003E1F91" w:rsidRPr="003E1F91" w:rsidRDefault="003E1F91" w:rsidP="003E1F91">
      <w:pPr>
        <w:spacing w:line="240" w:lineRule="auto"/>
        <w:ind w:left="284"/>
        <w:jc w:val="both"/>
        <w:rPr>
          <w:rFonts w:asciiTheme="minorHAnsi" w:hAnsiTheme="minorHAnsi" w:cstheme="minorHAnsi"/>
          <w:szCs w:val="20"/>
          <w:lang w:val="en-GB"/>
        </w:rPr>
      </w:pPr>
    </w:p>
    <w:p w:rsidR="003E1F91" w:rsidRPr="003E1F91" w:rsidRDefault="003E1F91" w:rsidP="003E1F91">
      <w:pPr>
        <w:ind w:left="284"/>
        <w:jc w:val="both"/>
        <w:rPr>
          <w:rFonts w:asciiTheme="minorHAnsi" w:hAnsiTheme="minorHAnsi" w:cstheme="minorHAnsi"/>
          <w:b/>
          <w:color w:val="C00000"/>
          <w:sz w:val="22"/>
          <w:lang w:val="en-GB"/>
        </w:rPr>
      </w:pPr>
      <w:r w:rsidRPr="003E1F91">
        <w:rPr>
          <w:rFonts w:asciiTheme="minorHAnsi" w:hAnsiTheme="minorHAnsi" w:cstheme="minorHAnsi"/>
          <w:b/>
          <w:color w:val="C00000"/>
          <w:sz w:val="22"/>
          <w:lang w:val="en-GB"/>
        </w:rPr>
        <w:t>2017 HIGHLIGHTS</w:t>
      </w:r>
    </w:p>
    <w:p w:rsidR="003E1F91" w:rsidRPr="003E1F91" w:rsidRDefault="003E1F91" w:rsidP="003E1F91">
      <w:pPr>
        <w:ind w:left="284"/>
        <w:jc w:val="both"/>
        <w:rPr>
          <w:rFonts w:asciiTheme="minorHAnsi" w:hAnsiTheme="minorHAnsi" w:cstheme="minorHAnsi"/>
          <w:b/>
          <w:color w:val="C00000"/>
          <w:sz w:val="22"/>
          <w:lang w:val="en-GB"/>
        </w:rPr>
      </w:pPr>
      <w:r w:rsidRPr="003E1F91">
        <w:rPr>
          <w:rFonts w:asciiTheme="minorHAnsi" w:hAnsiTheme="minorHAnsi" w:cstheme="minorHAnsi"/>
          <w:b/>
          <w:color w:val="C00000"/>
          <w:sz w:val="22"/>
          <w:lang w:val="en-GB"/>
        </w:rPr>
        <w:t>Commercial/operational</w:t>
      </w:r>
    </w:p>
    <w:p w:rsidR="003E1F91" w:rsidRPr="003E1F91" w:rsidRDefault="003E1F91" w:rsidP="007972CA">
      <w:pPr>
        <w:numPr>
          <w:ilvl w:val="0"/>
          <w:numId w:val="9"/>
        </w:numPr>
        <w:spacing w:after="160"/>
        <w:contextualSpacing/>
        <w:jc w:val="both"/>
        <w:rPr>
          <w:rFonts w:asciiTheme="minorHAnsi" w:eastAsiaTheme="minorHAnsi" w:hAnsiTheme="minorHAnsi" w:cstheme="minorHAnsi"/>
          <w:szCs w:val="20"/>
          <w:lang w:val="en-GB"/>
        </w:rPr>
      </w:pPr>
      <w:r w:rsidRPr="003E1F91">
        <w:rPr>
          <w:rFonts w:asciiTheme="minorHAnsi" w:eastAsiaTheme="minorHAnsi" w:hAnsiTheme="minorHAnsi" w:cstheme="minorHAnsi"/>
          <w:szCs w:val="20"/>
          <w:lang w:val="en-GB"/>
        </w:rPr>
        <w:t>Significant increase in sales revenue in all business units.</w:t>
      </w:r>
    </w:p>
    <w:p w:rsidR="003E1F91" w:rsidRPr="003E1F91" w:rsidRDefault="003E1F91" w:rsidP="007972CA">
      <w:pPr>
        <w:numPr>
          <w:ilvl w:val="0"/>
          <w:numId w:val="9"/>
        </w:numPr>
        <w:spacing w:after="160"/>
        <w:contextualSpacing/>
        <w:jc w:val="both"/>
        <w:rPr>
          <w:rFonts w:asciiTheme="minorHAnsi" w:eastAsiaTheme="minorHAnsi" w:hAnsiTheme="minorHAnsi" w:cstheme="minorHAnsi"/>
          <w:szCs w:val="20"/>
          <w:lang w:val="en-GB"/>
        </w:rPr>
      </w:pPr>
      <w:r w:rsidRPr="003E1F91">
        <w:rPr>
          <w:rFonts w:asciiTheme="minorHAnsi" w:eastAsiaTheme="minorHAnsi" w:hAnsiTheme="minorHAnsi" w:cstheme="minorHAnsi"/>
          <w:szCs w:val="20"/>
          <w:lang w:val="en-GB"/>
        </w:rPr>
        <w:t>Significant growth of business in the two major market segments - automotive and industrial.</w:t>
      </w:r>
    </w:p>
    <w:p w:rsidR="003E1F91" w:rsidRPr="003E1F91" w:rsidRDefault="003E1F91" w:rsidP="007972CA">
      <w:pPr>
        <w:numPr>
          <w:ilvl w:val="0"/>
          <w:numId w:val="9"/>
        </w:numPr>
        <w:spacing w:after="160"/>
        <w:contextualSpacing/>
        <w:jc w:val="both"/>
        <w:rPr>
          <w:rFonts w:asciiTheme="minorHAnsi" w:eastAsiaTheme="minorHAnsi" w:hAnsiTheme="minorHAnsi" w:cstheme="minorHAnsi"/>
          <w:szCs w:val="20"/>
          <w:lang w:val="en-GB"/>
        </w:rPr>
      </w:pPr>
      <w:r w:rsidRPr="003E1F91">
        <w:rPr>
          <w:rFonts w:asciiTheme="minorHAnsi" w:eastAsiaTheme="minorHAnsi" w:hAnsiTheme="minorHAnsi" w:cstheme="minorHAnsi"/>
          <w:szCs w:val="20"/>
          <w:lang w:val="en-GB"/>
        </w:rPr>
        <w:t>Supply Chain Management framework agreement signed with leading test equipment manufacturer Rohde &amp; Schwarz.</w:t>
      </w:r>
    </w:p>
    <w:p w:rsidR="003E1F91" w:rsidRPr="003E1F91" w:rsidRDefault="003E1F91" w:rsidP="007972CA">
      <w:pPr>
        <w:numPr>
          <w:ilvl w:val="0"/>
          <w:numId w:val="9"/>
        </w:numPr>
        <w:spacing w:after="160"/>
        <w:contextualSpacing/>
        <w:jc w:val="both"/>
        <w:rPr>
          <w:rFonts w:asciiTheme="minorHAnsi" w:eastAsiaTheme="minorHAnsi" w:hAnsiTheme="minorHAnsi" w:cstheme="minorHAnsi"/>
          <w:szCs w:val="20"/>
          <w:lang w:val="en-GB"/>
        </w:rPr>
      </w:pPr>
      <w:r w:rsidRPr="003E1F91">
        <w:rPr>
          <w:rFonts w:asciiTheme="minorHAnsi" w:eastAsiaTheme="minorHAnsi" w:hAnsiTheme="minorHAnsi" w:cstheme="minorHAnsi"/>
          <w:szCs w:val="20"/>
          <w:lang w:val="en-US"/>
        </w:rPr>
        <w:t>Three new supply chain orders secured across key European markets.</w:t>
      </w:r>
    </w:p>
    <w:p w:rsidR="003E1F91" w:rsidRPr="003E1F91" w:rsidRDefault="003E1F91" w:rsidP="007972CA">
      <w:pPr>
        <w:numPr>
          <w:ilvl w:val="0"/>
          <w:numId w:val="9"/>
        </w:numPr>
        <w:spacing w:after="160"/>
        <w:contextualSpacing/>
        <w:jc w:val="both"/>
        <w:rPr>
          <w:rFonts w:asciiTheme="minorHAnsi" w:eastAsiaTheme="minorHAnsi" w:hAnsiTheme="minorHAnsi" w:cstheme="minorHAnsi"/>
          <w:szCs w:val="20"/>
          <w:lang w:val="en-GB"/>
        </w:rPr>
      </w:pPr>
      <w:r w:rsidRPr="003E1F91">
        <w:rPr>
          <w:rFonts w:asciiTheme="minorHAnsi" w:eastAsiaTheme="minorHAnsi" w:hAnsiTheme="minorHAnsi" w:cstheme="minorHAnsi"/>
          <w:szCs w:val="20"/>
          <w:lang w:val="en-GB"/>
        </w:rPr>
        <w:t xml:space="preserve">New foundry ecosystem with </w:t>
      </w:r>
      <w:proofErr w:type="spellStart"/>
      <w:r w:rsidRPr="007972CA">
        <w:rPr>
          <w:rFonts w:asciiTheme="minorHAnsi" w:eastAsiaTheme="minorHAnsi" w:hAnsiTheme="minorHAnsi" w:cstheme="minorHAnsi"/>
          <w:color w:val="B71234"/>
          <w:szCs w:val="20"/>
          <w:lang w:val="en-GB"/>
        </w:rPr>
        <w:t>Rood</w:t>
      </w:r>
      <w:r w:rsidRPr="003E1F91">
        <w:rPr>
          <w:rFonts w:asciiTheme="minorHAnsi" w:eastAsiaTheme="minorHAnsi" w:hAnsiTheme="minorHAnsi" w:cstheme="minorHAnsi"/>
          <w:szCs w:val="20"/>
          <w:lang w:val="en-GB"/>
        </w:rPr>
        <w:t>Microtec</w:t>
      </w:r>
      <w:proofErr w:type="spellEnd"/>
      <w:r w:rsidRPr="003E1F91">
        <w:rPr>
          <w:rFonts w:asciiTheme="minorHAnsi" w:eastAsiaTheme="minorHAnsi" w:hAnsiTheme="minorHAnsi" w:cstheme="minorHAnsi"/>
          <w:szCs w:val="20"/>
          <w:lang w:val="en-GB"/>
        </w:rPr>
        <w:t xml:space="preserve">, </w:t>
      </w:r>
      <w:proofErr w:type="spellStart"/>
      <w:r w:rsidRPr="003E1F91">
        <w:rPr>
          <w:rFonts w:asciiTheme="minorHAnsi" w:eastAsiaTheme="minorHAnsi" w:hAnsiTheme="minorHAnsi" w:cstheme="minorHAnsi"/>
          <w:szCs w:val="20"/>
          <w:lang w:val="en-GB"/>
        </w:rPr>
        <w:t>ams</w:t>
      </w:r>
      <w:proofErr w:type="spellEnd"/>
      <w:r w:rsidRPr="003E1F91">
        <w:rPr>
          <w:rFonts w:asciiTheme="minorHAnsi" w:eastAsiaTheme="minorHAnsi" w:hAnsiTheme="minorHAnsi" w:cstheme="minorHAnsi"/>
          <w:szCs w:val="20"/>
          <w:lang w:val="en-GB"/>
        </w:rPr>
        <w:t xml:space="preserve"> and </w:t>
      </w:r>
      <w:proofErr w:type="spellStart"/>
      <w:r w:rsidRPr="003E1F91">
        <w:rPr>
          <w:rFonts w:asciiTheme="minorHAnsi" w:eastAsiaTheme="minorHAnsi" w:hAnsiTheme="minorHAnsi" w:cstheme="minorHAnsi"/>
          <w:szCs w:val="20"/>
          <w:lang w:val="en-GB"/>
        </w:rPr>
        <w:t>Fraunhofer</w:t>
      </w:r>
      <w:proofErr w:type="spellEnd"/>
      <w:r w:rsidRPr="003E1F91">
        <w:rPr>
          <w:rFonts w:asciiTheme="minorHAnsi" w:eastAsiaTheme="minorHAnsi" w:hAnsiTheme="minorHAnsi" w:cstheme="minorHAnsi"/>
          <w:szCs w:val="20"/>
          <w:lang w:val="en-GB"/>
        </w:rPr>
        <w:t xml:space="preserve"> provides solutions for ASIC design service, testing and fabrication.</w:t>
      </w:r>
    </w:p>
    <w:p w:rsidR="003E1F91" w:rsidRPr="003E1F91" w:rsidRDefault="003E1F91" w:rsidP="007972CA">
      <w:pPr>
        <w:numPr>
          <w:ilvl w:val="0"/>
          <w:numId w:val="9"/>
        </w:numPr>
        <w:spacing w:after="160"/>
        <w:contextualSpacing/>
        <w:jc w:val="both"/>
        <w:rPr>
          <w:rFonts w:asciiTheme="minorHAnsi" w:eastAsiaTheme="minorHAnsi" w:hAnsiTheme="minorHAnsi" w:cstheme="minorHAnsi"/>
          <w:szCs w:val="20"/>
          <w:lang w:val="en-GB"/>
        </w:rPr>
      </w:pPr>
      <w:r w:rsidRPr="003E1F91">
        <w:rPr>
          <w:rFonts w:asciiTheme="minorHAnsi" w:eastAsiaTheme="minorHAnsi" w:hAnsiTheme="minorHAnsi" w:cstheme="minorHAnsi"/>
          <w:szCs w:val="20"/>
          <w:lang w:val="en-GB"/>
        </w:rPr>
        <w:t>Ramp</w:t>
      </w:r>
      <w:r w:rsidRPr="003E1F91">
        <w:rPr>
          <w:rFonts w:asciiTheme="minorHAnsi" w:eastAsiaTheme="minorHAnsi" w:hAnsiTheme="minorHAnsi" w:cstheme="minorHAnsi"/>
          <w:szCs w:val="20"/>
          <w:lang w:val="en-US"/>
        </w:rPr>
        <w:t xml:space="preserve"> up of two major SCM projects for production, as client extends lifetime of healthcare project to </w:t>
      </w:r>
      <w:r w:rsidRPr="003E1F91">
        <w:rPr>
          <w:rFonts w:asciiTheme="minorHAnsi" w:eastAsiaTheme="minorHAnsi" w:hAnsiTheme="minorHAnsi" w:cstheme="minorHAnsi"/>
          <w:szCs w:val="20"/>
          <w:lang w:val="en-GB"/>
        </w:rPr>
        <w:t>15 years.</w:t>
      </w:r>
    </w:p>
    <w:p w:rsidR="003E1F91" w:rsidRPr="003E1F91" w:rsidRDefault="003E1F91" w:rsidP="007972CA">
      <w:pPr>
        <w:numPr>
          <w:ilvl w:val="0"/>
          <w:numId w:val="9"/>
        </w:numPr>
        <w:spacing w:after="160"/>
        <w:contextualSpacing/>
        <w:jc w:val="both"/>
        <w:rPr>
          <w:rFonts w:asciiTheme="minorHAnsi" w:eastAsiaTheme="minorHAnsi" w:hAnsiTheme="minorHAnsi" w:cstheme="minorHAnsi"/>
          <w:szCs w:val="20"/>
          <w:lang w:val="en-GB"/>
        </w:rPr>
      </w:pPr>
      <w:r w:rsidRPr="003E1F91">
        <w:rPr>
          <w:rFonts w:asciiTheme="minorHAnsi" w:eastAsiaTheme="minorHAnsi" w:hAnsiTheme="minorHAnsi" w:cstheme="minorHAnsi"/>
          <w:szCs w:val="20"/>
          <w:lang w:val="en-GB"/>
        </w:rPr>
        <w:t>Two new orders in the field of optoelectronics worth more than EUR 250,000.</w:t>
      </w:r>
    </w:p>
    <w:p w:rsidR="003E1F91" w:rsidRPr="003E1F91" w:rsidRDefault="003E1F91" w:rsidP="007972CA">
      <w:pPr>
        <w:numPr>
          <w:ilvl w:val="0"/>
          <w:numId w:val="9"/>
        </w:numPr>
        <w:spacing w:after="160"/>
        <w:contextualSpacing/>
        <w:jc w:val="both"/>
        <w:rPr>
          <w:rFonts w:asciiTheme="minorHAnsi" w:eastAsiaTheme="minorHAnsi" w:hAnsiTheme="minorHAnsi" w:cstheme="minorHAnsi"/>
          <w:szCs w:val="20"/>
          <w:lang w:val="en-GB"/>
        </w:rPr>
      </w:pPr>
      <w:proofErr w:type="spellStart"/>
      <w:r w:rsidRPr="003E1F91">
        <w:rPr>
          <w:rFonts w:asciiTheme="minorHAnsi" w:eastAsiaTheme="minorHAnsi" w:hAnsiTheme="minorHAnsi" w:cstheme="minorHAnsi"/>
          <w:szCs w:val="20"/>
          <w:lang w:val="en-US"/>
        </w:rPr>
        <w:t>EuroPAT</w:t>
      </w:r>
      <w:proofErr w:type="spellEnd"/>
      <w:r w:rsidRPr="003E1F91">
        <w:rPr>
          <w:rFonts w:asciiTheme="minorHAnsi" w:eastAsiaTheme="minorHAnsi" w:hAnsiTheme="minorHAnsi" w:cstheme="minorHAnsi"/>
          <w:szCs w:val="20"/>
          <w:lang w:val="en-US"/>
        </w:rPr>
        <w:t>-MASIP project secures ECSEL funding to bring semiconductor packaging back to Europe.</w:t>
      </w:r>
    </w:p>
    <w:p w:rsidR="003E1F91" w:rsidRPr="003E1F91" w:rsidRDefault="003E1F91" w:rsidP="007972CA">
      <w:pPr>
        <w:numPr>
          <w:ilvl w:val="0"/>
          <w:numId w:val="9"/>
        </w:numPr>
        <w:spacing w:after="160"/>
        <w:contextualSpacing/>
        <w:jc w:val="both"/>
        <w:rPr>
          <w:rFonts w:asciiTheme="minorHAnsi" w:eastAsiaTheme="minorHAnsi" w:hAnsiTheme="minorHAnsi" w:cstheme="minorHAnsi"/>
          <w:szCs w:val="20"/>
          <w:lang w:val="en-GB"/>
        </w:rPr>
      </w:pPr>
      <w:r w:rsidRPr="003E1F91">
        <w:rPr>
          <w:rFonts w:asciiTheme="minorHAnsi" w:eastAsiaTheme="minorHAnsi" w:hAnsiTheme="minorHAnsi" w:cstheme="minorHAnsi"/>
          <w:szCs w:val="20"/>
          <w:lang w:val="en-GB"/>
        </w:rPr>
        <w:t>Launch of new website – modern, innovative, attractive.</w:t>
      </w:r>
    </w:p>
    <w:p w:rsidR="003E1F91" w:rsidRDefault="003E1F91">
      <w:pPr>
        <w:spacing w:after="0" w:line="240" w:lineRule="auto"/>
        <w:rPr>
          <w:rFonts w:asciiTheme="minorHAnsi" w:eastAsiaTheme="minorHAnsi" w:hAnsiTheme="minorHAnsi" w:cstheme="minorHAnsi"/>
          <w:szCs w:val="20"/>
          <w:lang w:val="en-GB"/>
        </w:rPr>
      </w:pPr>
      <w:r>
        <w:rPr>
          <w:rFonts w:asciiTheme="minorHAnsi" w:eastAsiaTheme="minorHAnsi" w:hAnsiTheme="minorHAnsi" w:cstheme="minorHAnsi"/>
          <w:szCs w:val="20"/>
          <w:lang w:val="en-GB"/>
        </w:rPr>
        <w:br w:type="page"/>
      </w:r>
    </w:p>
    <w:p w:rsidR="003E1F91" w:rsidRPr="003E1F91" w:rsidRDefault="003E1F91" w:rsidP="003E1F91">
      <w:pPr>
        <w:spacing w:after="200"/>
        <w:ind w:left="284"/>
        <w:jc w:val="both"/>
        <w:rPr>
          <w:rFonts w:asciiTheme="minorHAnsi" w:eastAsia="Times New Roman" w:hAnsiTheme="minorHAnsi" w:cstheme="minorHAnsi"/>
          <w:b/>
          <w:color w:val="C00000"/>
          <w:sz w:val="22"/>
          <w:lang w:val="en-GB" w:eastAsia="en-GB" w:bidi="en-GB"/>
        </w:rPr>
      </w:pPr>
      <w:r w:rsidRPr="003E1F91">
        <w:rPr>
          <w:rFonts w:asciiTheme="minorHAnsi" w:eastAsia="Times New Roman" w:hAnsiTheme="minorHAnsi" w:cstheme="minorHAnsi"/>
          <w:b/>
          <w:color w:val="C00000"/>
          <w:sz w:val="22"/>
          <w:lang w:val="en-GB" w:eastAsia="en-GB" w:bidi="en-GB"/>
        </w:rPr>
        <w:lastRenderedPageBreak/>
        <w:t xml:space="preserve">Financials </w:t>
      </w:r>
    </w:p>
    <w:p w:rsidR="003E1F91" w:rsidRPr="003E1F91" w:rsidRDefault="003E1F91" w:rsidP="003E1F91">
      <w:pPr>
        <w:numPr>
          <w:ilvl w:val="0"/>
          <w:numId w:val="10"/>
        </w:numPr>
        <w:tabs>
          <w:tab w:val="left" w:pos="709"/>
        </w:tabs>
        <w:spacing w:after="0"/>
        <w:jc w:val="both"/>
        <w:rPr>
          <w:rFonts w:asciiTheme="minorHAnsi" w:eastAsia="Times New Roman" w:hAnsiTheme="minorHAnsi" w:cstheme="minorHAnsi"/>
          <w:szCs w:val="20"/>
          <w:lang w:val="en-GB" w:eastAsia="en-GB" w:bidi="en-GB"/>
        </w:rPr>
      </w:pPr>
      <w:r w:rsidRPr="003E1F91">
        <w:rPr>
          <w:rFonts w:asciiTheme="minorHAnsi" w:eastAsia="Times New Roman" w:hAnsiTheme="minorHAnsi" w:cstheme="minorHAnsi"/>
          <w:szCs w:val="20"/>
          <w:lang w:val="en-GB" w:eastAsia="en-GB" w:bidi="en-GB"/>
        </w:rPr>
        <w:t>Sales in 2017 of EUR 12.1 million, 16% increase compared to 2016 (EUR 10.5 million.)</w:t>
      </w:r>
    </w:p>
    <w:p w:rsidR="003E1F91" w:rsidRPr="003E1F91" w:rsidRDefault="003E1F91" w:rsidP="003E1F91">
      <w:pPr>
        <w:numPr>
          <w:ilvl w:val="0"/>
          <w:numId w:val="10"/>
        </w:numPr>
        <w:tabs>
          <w:tab w:val="left" w:pos="709"/>
        </w:tabs>
        <w:spacing w:after="0"/>
        <w:jc w:val="both"/>
        <w:rPr>
          <w:rFonts w:asciiTheme="minorHAnsi" w:eastAsia="Times New Roman" w:hAnsiTheme="minorHAnsi" w:cstheme="minorHAnsi"/>
          <w:szCs w:val="20"/>
          <w:lang w:val="en-GB" w:eastAsia="en-GB" w:bidi="en-GB"/>
        </w:rPr>
      </w:pPr>
      <w:r w:rsidRPr="003E1F91">
        <w:rPr>
          <w:rFonts w:asciiTheme="minorHAnsi" w:eastAsia="Times New Roman" w:hAnsiTheme="minorHAnsi" w:cstheme="minorHAnsi"/>
          <w:szCs w:val="20"/>
          <w:lang w:val="en-GB" w:eastAsia="en-GB" w:bidi="en-GB"/>
        </w:rPr>
        <w:t>Net debt remained unchanged at EUR 2.4 million (2016: EUR 2.4 million).</w:t>
      </w:r>
    </w:p>
    <w:p w:rsidR="003E1F91" w:rsidRPr="003E1F91" w:rsidRDefault="003E1F91" w:rsidP="003E1F91">
      <w:pPr>
        <w:numPr>
          <w:ilvl w:val="0"/>
          <w:numId w:val="10"/>
        </w:numPr>
        <w:tabs>
          <w:tab w:val="left" w:pos="709"/>
        </w:tabs>
        <w:spacing w:after="0"/>
        <w:jc w:val="both"/>
        <w:rPr>
          <w:rFonts w:asciiTheme="minorHAnsi" w:eastAsia="Times New Roman" w:hAnsiTheme="minorHAnsi" w:cstheme="minorHAnsi"/>
          <w:szCs w:val="20"/>
          <w:lang w:eastAsia="en-GB" w:bidi="en-GB"/>
        </w:rPr>
      </w:pPr>
      <w:r w:rsidRPr="003E1F91">
        <w:rPr>
          <w:rFonts w:asciiTheme="minorHAnsi" w:eastAsia="Times New Roman" w:hAnsiTheme="minorHAnsi" w:cstheme="minorHAnsi"/>
          <w:szCs w:val="20"/>
          <w:lang w:eastAsia="en-GB" w:bidi="en-GB"/>
        </w:rPr>
        <w:t xml:space="preserve">EBITDA: EUR 0.60 </w:t>
      </w:r>
      <w:proofErr w:type="spellStart"/>
      <w:r w:rsidRPr="003E1F91">
        <w:rPr>
          <w:rFonts w:asciiTheme="minorHAnsi" w:eastAsia="Times New Roman" w:hAnsiTheme="minorHAnsi" w:cstheme="minorHAnsi"/>
          <w:szCs w:val="20"/>
          <w:lang w:eastAsia="en-GB" w:bidi="en-GB"/>
        </w:rPr>
        <w:t>million</w:t>
      </w:r>
      <w:proofErr w:type="spellEnd"/>
      <w:r w:rsidRPr="003E1F91">
        <w:rPr>
          <w:rFonts w:asciiTheme="minorHAnsi" w:eastAsia="Times New Roman" w:hAnsiTheme="minorHAnsi" w:cstheme="minorHAnsi"/>
          <w:szCs w:val="20"/>
          <w:lang w:eastAsia="en-GB" w:bidi="en-GB"/>
        </w:rPr>
        <w:t xml:space="preserve"> positive (2016: EUR 0.31 </w:t>
      </w:r>
      <w:proofErr w:type="spellStart"/>
      <w:r w:rsidRPr="003E1F91">
        <w:rPr>
          <w:rFonts w:asciiTheme="minorHAnsi" w:eastAsia="Times New Roman" w:hAnsiTheme="minorHAnsi" w:cstheme="minorHAnsi"/>
          <w:szCs w:val="20"/>
          <w:lang w:eastAsia="en-GB" w:bidi="en-GB"/>
        </w:rPr>
        <w:t>million</w:t>
      </w:r>
      <w:proofErr w:type="spellEnd"/>
      <w:r w:rsidRPr="003E1F91">
        <w:rPr>
          <w:rFonts w:asciiTheme="minorHAnsi" w:eastAsia="Times New Roman" w:hAnsiTheme="minorHAnsi" w:cstheme="minorHAnsi"/>
          <w:szCs w:val="20"/>
          <w:lang w:eastAsia="en-GB" w:bidi="en-GB"/>
        </w:rPr>
        <w:t xml:space="preserve"> negative).</w:t>
      </w:r>
    </w:p>
    <w:p w:rsidR="003E1F91" w:rsidRPr="003E1F91" w:rsidRDefault="003E1F91" w:rsidP="003E1F91">
      <w:pPr>
        <w:numPr>
          <w:ilvl w:val="0"/>
          <w:numId w:val="10"/>
        </w:numPr>
        <w:tabs>
          <w:tab w:val="left" w:pos="709"/>
        </w:tabs>
        <w:spacing w:after="0"/>
        <w:jc w:val="both"/>
        <w:rPr>
          <w:rFonts w:asciiTheme="minorHAnsi" w:eastAsia="Times New Roman" w:hAnsiTheme="minorHAnsi" w:cstheme="minorHAnsi"/>
          <w:szCs w:val="20"/>
          <w:lang w:eastAsia="en-GB" w:bidi="en-GB"/>
        </w:rPr>
      </w:pPr>
      <w:r w:rsidRPr="003E1F91">
        <w:rPr>
          <w:rFonts w:asciiTheme="minorHAnsi" w:eastAsia="Times New Roman" w:hAnsiTheme="minorHAnsi" w:cstheme="minorHAnsi"/>
          <w:szCs w:val="20"/>
          <w:lang w:eastAsia="en-GB" w:bidi="en-GB"/>
        </w:rPr>
        <w:t>EBIT (</w:t>
      </w:r>
      <w:proofErr w:type="spellStart"/>
      <w:r w:rsidRPr="003E1F91">
        <w:rPr>
          <w:rFonts w:asciiTheme="minorHAnsi" w:eastAsia="Times New Roman" w:hAnsiTheme="minorHAnsi" w:cstheme="minorHAnsi"/>
          <w:szCs w:val="20"/>
          <w:lang w:eastAsia="en-GB" w:bidi="en-GB"/>
        </w:rPr>
        <w:t>operating</w:t>
      </w:r>
      <w:proofErr w:type="spellEnd"/>
      <w:r w:rsidRPr="003E1F91">
        <w:rPr>
          <w:rFonts w:asciiTheme="minorHAnsi" w:eastAsia="Times New Roman" w:hAnsiTheme="minorHAnsi" w:cstheme="minorHAnsi"/>
          <w:szCs w:val="20"/>
          <w:lang w:eastAsia="en-GB" w:bidi="en-GB"/>
        </w:rPr>
        <w:t xml:space="preserve"> </w:t>
      </w:r>
      <w:proofErr w:type="spellStart"/>
      <w:r w:rsidRPr="003E1F91">
        <w:rPr>
          <w:rFonts w:asciiTheme="minorHAnsi" w:eastAsia="Times New Roman" w:hAnsiTheme="minorHAnsi" w:cstheme="minorHAnsi"/>
          <w:szCs w:val="20"/>
          <w:lang w:eastAsia="en-GB" w:bidi="en-GB"/>
        </w:rPr>
        <w:t>result</w:t>
      </w:r>
      <w:proofErr w:type="spellEnd"/>
      <w:r w:rsidRPr="003E1F91">
        <w:rPr>
          <w:rFonts w:asciiTheme="minorHAnsi" w:eastAsia="Times New Roman" w:hAnsiTheme="minorHAnsi" w:cstheme="minorHAnsi"/>
          <w:szCs w:val="20"/>
          <w:lang w:eastAsia="en-GB" w:bidi="en-GB"/>
        </w:rPr>
        <w:t xml:space="preserve">) EUR 0.41 </w:t>
      </w:r>
      <w:proofErr w:type="spellStart"/>
      <w:r w:rsidRPr="003E1F91">
        <w:rPr>
          <w:rFonts w:asciiTheme="minorHAnsi" w:eastAsia="Times New Roman" w:hAnsiTheme="minorHAnsi" w:cstheme="minorHAnsi"/>
          <w:szCs w:val="20"/>
          <w:lang w:eastAsia="en-GB" w:bidi="en-GB"/>
        </w:rPr>
        <w:t>million</w:t>
      </w:r>
      <w:proofErr w:type="spellEnd"/>
      <w:r w:rsidRPr="003E1F91">
        <w:rPr>
          <w:rFonts w:asciiTheme="minorHAnsi" w:eastAsia="Times New Roman" w:hAnsiTheme="minorHAnsi" w:cstheme="minorHAnsi"/>
          <w:szCs w:val="20"/>
          <w:lang w:eastAsia="en-GB" w:bidi="en-GB"/>
        </w:rPr>
        <w:t xml:space="preserve"> negative (2016: EUR 1.34 </w:t>
      </w:r>
      <w:proofErr w:type="spellStart"/>
      <w:r w:rsidRPr="003E1F91">
        <w:rPr>
          <w:rFonts w:asciiTheme="minorHAnsi" w:eastAsia="Times New Roman" w:hAnsiTheme="minorHAnsi" w:cstheme="minorHAnsi"/>
          <w:szCs w:val="20"/>
          <w:lang w:eastAsia="en-GB" w:bidi="en-GB"/>
        </w:rPr>
        <w:t>million</w:t>
      </w:r>
      <w:proofErr w:type="spellEnd"/>
      <w:r w:rsidRPr="003E1F91">
        <w:rPr>
          <w:rFonts w:asciiTheme="minorHAnsi" w:eastAsia="Times New Roman" w:hAnsiTheme="minorHAnsi" w:cstheme="minorHAnsi"/>
          <w:szCs w:val="20"/>
          <w:lang w:eastAsia="en-GB" w:bidi="en-GB"/>
        </w:rPr>
        <w:t xml:space="preserve"> negative).</w:t>
      </w:r>
    </w:p>
    <w:p w:rsidR="003E1F91" w:rsidRPr="003E1F91" w:rsidRDefault="003E1F91" w:rsidP="003E1F91">
      <w:pPr>
        <w:numPr>
          <w:ilvl w:val="0"/>
          <w:numId w:val="10"/>
        </w:numPr>
        <w:tabs>
          <w:tab w:val="left" w:pos="709"/>
        </w:tabs>
        <w:spacing w:after="0"/>
        <w:jc w:val="both"/>
        <w:rPr>
          <w:rFonts w:asciiTheme="minorHAnsi" w:eastAsia="Times New Roman" w:hAnsiTheme="minorHAnsi" w:cstheme="minorHAnsi"/>
          <w:szCs w:val="20"/>
          <w:lang w:val="en-US" w:eastAsia="en-GB" w:bidi="en-GB"/>
        </w:rPr>
      </w:pPr>
      <w:r w:rsidRPr="003E1F91">
        <w:rPr>
          <w:rFonts w:asciiTheme="minorHAnsi" w:eastAsia="Times New Roman" w:hAnsiTheme="minorHAnsi" w:cstheme="minorHAnsi"/>
          <w:szCs w:val="20"/>
          <w:lang w:val="en-US" w:eastAsia="en-GB" w:bidi="en-GB"/>
        </w:rPr>
        <w:t>Net profit: EUR 0.390 million negative (2016: EUR 1.578 million negative).</w:t>
      </w:r>
    </w:p>
    <w:p w:rsidR="003E1F91" w:rsidRPr="003E1F91" w:rsidRDefault="003E1F91" w:rsidP="003E1F91">
      <w:pPr>
        <w:numPr>
          <w:ilvl w:val="0"/>
          <w:numId w:val="10"/>
        </w:numPr>
        <w:tabs>
          <w:tab w:val="left" w:pos="709"/>
        </w:tabs>
        <w:spacing w:after="0"/>
        <w:jc w:val="both"/>
        <w:rPr>
          <w:rFonts w:asciiTheme="minorHAnsi" w:eastAsia="Times New Roman" w:hAnsiTheme="minorHAnsi" w:cstheme="minorHAnsi"/>
          <w:szCs w:val="20"/>
          <w:lang w:val="en-GB" w:eastAsia="en-GB" w:bidi="en-GB"/>
        </w:rPr>
      </w:pPr>
      <w:r w:rsidRPr="003E1F91">
        <w:rPr>
          <w:rFonts w:asciiTheme="minorHAnsi" w:eastAsia="Times New Roman" w:hAnsiTheme="minorHAnsi" w:cstheme="minorHAnsi"/>
          <w:szCs w:val="20"/>
          <w:lang w:val="en-GB" w:eastAsia="en-GB" w:bidi="en-GB"/>
        </w:rPr>
        <w:t>Solvency increased to 31% (2016: 28%).</w:t>
      </w:r>
    </w:p>
    <w:p w:rsidR="003E1F91" w:rsidRPr="003E1F91" w:rsidRDefault="003E1F91" w:rsidP="003E1F91">
      <w:pPr>
        <w:numPr>
          <w:ilvl w:val="0"/>
          <w:numId w:val="10"/>
        </w:numPr>
        <w:tabs>
          <w:tab w:val="left" w:pos="709"/>
        </w:tabs>
        <w:spacing w:after="0"/>
        <w:jc w:val="both"/>
        <w:rPr>
          <w:rFonts w:asciiTheme="minorHAnsi" w:eastAsia="Times New Roman" w:hAnsiTheme="minorHAnsi" w:cstheme="minorHAnsi"/>
          <w:szCs w:val="20"/>
          <w:lang w:val="en-GB" w:eastAsia="en-GB" w:bidi="en-GB"/>
        </w:rPr>
      </w:pPr>
      <w:r w:rsidRPr="003E1F91">
        <w:rPr>
          <w:rFonts w:asciiTheme="minorHAnsi" w:eastAsia="Times New Roman" w:hAnsiTheme="minorHAnsi" w:cstheme="minorHAnsi"/>
          <w:szCs w:val="20"/>
          <w:lang w:val="en-GB" w:eastAsia="en-GB" w:bidi="en-GB"/>
        </w:rPr>
        <w:t>Balance sheet total increased to EUR 15.6 million (2016: 14.7 million).</w:t>
      </w:r>
    </w:p>
    <w:p w:rsidR="003E1F91" w:rsidRPr="003E1F91" w:rsidRDefault="003E1F91" w:rsidP="003E1F91">
      <w:pPr>
        <w:numPr>
          <w:ilvl w:val="0"/>
          <w:numId w:val="10"/>
        </w:numPr>
        <w:tabs>
          <w:tab w:val="left" w:pos="709"/>
        </w:tabs>
        <w:spacing w:after="0"/>
        <w:jc w:val="both"/>
        <w:rPr>
          <w:rFonts w:asciiTheme="minorHAnsi" w:eastAsia="Times New Roman" w:hAnsiTheme="minorHAnsi" w:cstheme="minorHAnsi"/>
          <w:szCs w:val="20"/>
          <w:lang w:val="en-GB" w:eastAsia="en-GB" w:bidi="en-GB"/>
        </w:rPr>
      </w:pPr>
      <w:r w:rsidRPr="003E1F91">
        <w:rPr>
          <w:rFonts w:asciiTheme="minorHAnsi" w:eastAsia="Times New Roman" w:hAnsiTheme="minorHAnsi" w:cstheme="minorHAnsi"/>
          <w:szCs w:val="20"/>
          <w:lang w:val="en-GB" w:eastAsia="en-GB" w:bidi="en-GB"/>
        </w:rPr>
        <w:t xml:space="preserve">In late December Philip </w:t>
      </w:r>
      <w:proofErr w:type="spellStart"/>
      <w:r w:rsidRPr="003E1F91">
        <w:rPr>
          <w:rFonts w:asciiTheme="minorHAnsi" w:eastAsia="Times New Roman" w:hAnsiTheme="minorHAnsi" w:cstheme="minorHAnsi"/>
          <w:szCs w:val="20"/>
          <w:lang w:val="en-GB" w:eastAsia="en-GB" w:bidi="en-GB"/>
        </w:rPr>
        <w:t>Nijenhuis</w:t>
      </w:r>
      <w:proofErr w:type="spellEnd"/>
      <w:r w:rsidRPr="003E1F91">
        <w:rPr>
          <w:rFonts w:asciiTheme="minorHAnsi" w:eastAsia="Times New Roman" w:hAnsiTheme="minorHAnsi" w:cstheme="minorHAnsi"/>
          <w:szCs w:val="20"/>
          <w:lang w:val="en-GB" w:eastAsia="en-GB" w:bidi="en-GB"/>
        </w:rPr>
        <w:t xml:space="preserve"> stepped down as an advisor and as a result of this a one-time </w:t>
      </w:r>
      <w:r w:rsidR="00657139">
        <w:rPr>
          <w:rFonts w:asciiTheme="minorHAnsi" w:eastAsia="Times New Roman" w:hAnsiTheme="minorHAnsi" w:cstheme="minorHAnsi"/>
          <w:szCs w:val="20"/>
          <w:lang w:val="en-GB" w:eastAsia="en-GB" w:bidi="en-GB"/>
        </w:rPr>
        <w:t>termination benefit</w:t>
      </w:r>
      <w:r w:rsidRPr="003E1F91">
        <w:rPr>
          <w:rFonts w:asciiTheme="minorHAnsi" w:eastAsia="Times New Roman" w:hAnsiTheme="minorHAnsi" w:cstheme="minorHAnsi"/>
          <w:szCs w:val="20"/>
          <w:lang w:val="en-GB" w:eastAsia="en-GB" w:bidi="en-GB"/>
        </w:rPr>
        <w:t xml:space="preserve"> cost</w:t>
      </w:r>
      <w:r w:rsidR="00657139">
        <w:rPr>
          <w:rFonts w:asciiTheme="minorHAnsi" w:eastAsia="Times New Roman" w:hAnsiTheme="minorHAnsi" w:cstheme="minorHAnsi"/>
          <w:szCs w:val="20"/>
          <w:lang w:val="en-GB" w:eastAsia="en-GB" w:bidi="en-GB"/>
        </w:rPr>
        <w:t>s</w:t>
      </w:r>
      <w:r w:rsidRPr="003E1F91">
        <w:rPr>
          <w:rFonts w:asciiTheme="minorHAnsi" w:eastAsia="Times New Roman" w:hAnsiTheme="minorHAnsi" w:cstheme="minorHAnsi"/>
          <w:szCs w:val="20"/>
          <w:lang w:val="en-GB" w:eastAsia="en-GB" w:bidi="en-GB"/>
        </w:rPr>
        <w:t xml:space="preserve"> of EUR 0.40 million was recognized.</w:t>
      </w:r>
    </w:p>
    <w:p w:rsidR="003E1F91" w:rsidRPr="003E1F91" w:rsidRDefault="003E1F91" w:rsidP="003E1F91">
      <w:pPr>
        <w:numPr>
          <w:ilvl w:val="0"/>
          <w:numId w:val="10"/>
        </w:numPr>
        <w:tabs>
          <w:tab w:val="left" w:pos="709"/>
        </w:tabs>
        <w:spacing w:after="0"/>
        <w:jc w:val="both"/>
        <w:rPr>
          <w:rFonts w:asciiTheme="minorHAnsi" w:eastAsia="Times New Roman" w:hAnsiTheme="minorHAnsi" w:cstheme="minorHAnsi"/>
          <w:szCs w:val="20"/>
          <w:lang w:val="en-GB" w:eastAsia="en-GB" w:bidi="en-GB"/>
        </w:rPr>
      </w:pPr>
      <w:r w:rsidRPr="003E1F91">
        <w:rPr>
          <w:rFonts w:asciiTheme="minorHAnsi" w:eastAsia="Times New Roman" w:hAnsiTheme="minorHAnsi" w:cstheme="minorHAnsi"/>
          <w:szCs w:val="20"/>
          <w:lang w:val="en-GB" w:eastAsia="en-GB" w:bidi="en-GB"/>
        </w:rPr>
        <w:t xml:space="preserve">The plan assets related to the pension obligations with </w:t>
      </w:r>
      <w:proofErr w:type="spellStart"/>
      <w:r w:rsidRPr="003E1F91">
        <w:rPr>
          <w:rFonts w:asciiTheme="minorHAnsi" w:eastAsia="Times New Roman" w:hAnsiTheme="minorHAnsi" w:cstheme="minorHAnsi"/>
          <w:szCs w:val="20"/>
          <w:lang w:val="en-GB" w:eastAsia="en-GB" w:bidi="en-GB"/>
        </w:rPr>
        <w:t>Plentum</w:t>
      </w:r>
      <w:proofErr w:type="spellEnd"/>
      <w:r w:rsidRPr="003E1F91">
        <w:rPr>
          <w:rFonts w:asciiTheme="minorHAnsi" w:eastAsia="Times New Roman" w:hAnsiTheme="minorHAnsi" w:cstheme="minorHAnsi"/>
          <w:szCs w:val="20"/>
          <w:lang w:val="en-GB" w:eastAsia="en-GB" w:bidi="en-GB"/>
        </w:rPr>
        <w:t xml:space="preserve"> were written down </w:t>
      </w:r>
      <w:r w:rsidR="00657139">
        <w:rPr>
          <w:rFonts w:asciiTheme="minorHAnsi" w:eastAsia="Times New Roman" w:hAnsiTheme="minorHAnsi" w:cstheme="minorHAnsi"/>
          <w:szCs w:val="20"/>
          <w:lang w:val="en-GB" w:eastAsia="en-GB" w:bidi="en-GB"/>
        </w:rPr>
        <w:t>by</w:t>
      </w:r>
      <w:r w:rsidRPr="003E1F91">
        <w:rPr>
          <w:rFonts w:asciiTheme="minorHAnsi" w:eastAsia="Times New Roman" w:hAnsiTheme="minorHAnsi" w:cstheme="minorHAnsi"/>
          <w:szCs w:val="20"/>
          <w:lang w:val="en-GB" w:eastAsia="en-GB" w:bidi="en-GB"/>
        </w:rPr>
        <w:t xml:space="preserve"> EUR 0.35 million due to changes in the portfolio valuation.</w:t>
      </w:r>
    </w:p>
    <w:p w:rsidR="003E1F91" w:rsidRDefault="003E1F91" w:rsidP="007972CA">
      <w:pPr>
        <w:rPr>
          <w:lang w:val="en-GB"/>
        </w:rPr>
      </w:pPr>
    </w:p>
    <w:p w:rsidR="003E1F91" w:rsidRPr="003E1F91" w:rsidRDefault="003E1F91" w:rsidP="003E1F91">
      <w:pPr>
        <w:spacing w:after="200"/>
        <w:ind w:left="284"/>
        <w:jc w:val="both"/>
        <w:rPr>
          <w:rFonts w:asciiTheme="minorHAnsi" w:eastAsia="Times New Roman" w:hAnsiTheme="minorHAnsi" w:cstheme="minorHAnsi"/>
          <w:b/>
          <w:color w:val="B71234"/>
          <w:sz w:val="22"/>
          <w:lang w:val="en-GB" w:eastAsia="en-GB" w:bidi="en-GB"/>
        </w:rPr>
      </w:pPr>
      <w:r w:rsidRPr="003E1F91">
        <w:rPr>
          <w:rFonts w:asciiTheme="minorHAnsi" w:eastAsia="Times New Roman" w:hAnsiTheme="minorHAnsi" w:cstheme="minorHAnsi"/>
          <w:b/>
          <w:color w:val="B71234"/>
          <w:sz w:val="22"/>
          <w:lang w:val="en-GB" w:eastAsia="en-GB" w:bidi="en-GB"/>
        </w:rPr>
        <w:t xml:space="preserve">Key figures  </w:t>
      </w:r>
    </w:p>
    <w:tbl>
      <w:tblPr>
        <w:tblW w:w="9560" w:type="dxa"/>
        <w:tblInd w:w="284" w:type="dxa"/>
        <w:tblLook w:val="04A0"/>
      </w:tblPr>
      <w:tblGrid>
        <w:gridCol w:w="5560"/>
        <w:gridCol w:w="2000"/>
        <w:gridCol w:w="2000"/>
      </w:tblGrid>
      <w:tr w:rsidR="003E1F91" w:rsidRPr="003E1F91" w:rsidTr="004A0C63">
        <w:trPr>
          <w:trHeight w:val="397"/>
        </w:trPr>
        <w:tc>
          <w:tcPr>
            <w:tcW w:w="5560" w:type="dxa"/>
            <w:tcBorders>
              <w:top w:val="nil"/>
              <w:left w:val="nil"/>
              <w:bottom w:val="single" w:sz="8" w:space="0" w:color="auto"/>
              <w:right w:val="nil"/>
            </w:tcBorders>
            <w:shd w:val="clear" w:color="auto" w:fill="auto"/>
            <w:hideMark/>
          </w:tcPr>
          <w:p w:rsidR="004A0C63" w:rsidRPr="003E1F91" w:rsidRDefault="004A0C63" w:rsidP="004A0C63">
            <w:pPr>
              <w:spacing w:after="0"/>
              <w:ind w:firstLine="284"/>
              <w:rPr>
                <w:rFonts w:asciiTheme="minorHAnsi" w:eastAsia="Times New Roman" w:hAnsiTheme="minorHAnsi" w:cstheme="minorHAnsi"/>
                <w:szCs w:val="20"/>
                <w:lang w:val="en-GB" w:eastAsia="en-GB" w:bidi="en-GB"/>
              </w:rPr>
            </w:pPr>
            <w:r w:rsidRPr="003E1F91">
              <w:rPr>
                <w:rFonts w:asciiTheme="minorHAnsi" w:eastAsia="Times New Roman" w:hAnsiTheme="minorHAnsi" w:cstheme="minorHAnsi"/>
                <w:szCs w:val="20"/>
                <w:lang w:val="en-GB" w:eastAsia="en-GB" w:bidi="en-GB"/>
              </w:rPr>
              <w:t>(EUR x 1,000 unless stated otherwise)</w:t>
            </w:r>
          </w:p>
          <w:p w:rsidR="003E1F91" w:rsidRPr="003E1F91" w:rsidRDefault="003E1F91" w:rsidP="004A0C63">
            <w:pPr>
              <w:spacing w:after="0" w:line="240" w:lineRule="auto"/>
              <w:rPr>
                <w:rFonts w:asciiTheme="minorHAnsi" w:eastAsia="Times New Roman" w:hAnsiTheme="minorHAnsi" w:cstheme="minorHAnsi"/>
                <w:b/>
                <w:bCs/>
                <w:color w:val="000000"/>
                <w:szCs w:val="20"/>
                <w:lang w:val="en-GB"/>
              </w:rPr>
            </w:pPr>
          </w:p>
        </w:tc>
        <w:tc>
          <w:tcPr>
            <w:tcW w:w="2000" w:type="dxa"/>
            <w:tcBorders>
              <w:top w:val="nil"/>
              <w:left w:val="nil"/>
              <w:bottom w:val="single" w:sz="8" w:space="0" w:color="auto"/>
              <w:right w:val="nil"/>
            </w:tcBorders>
            <w:shd w:val="clear" w:color="auto" w:fill="auto"/>
            <w:hideMark/>
          </w:tcPr>
          <w:p w:rsidR="004A0C63" w:rsidRPr="00657139" w:rsidRDefault="004A0C63" w:rsidP="004A0C63">
            <w:pPr>
              <w:spacing w:after="0" w:line="240" w:lineRule="auto"/>
              <w:jc w:val="right"/>
              <w:rPr>
                <w:rFonts w:asciiTheme="minorHAnsi" w:eastAsia="Times New Roman" w:hAnsiTheme="minorHAnsi" w:cstheme="minorHAnsi"/>
                <w:bCs/>
                <w:color w:val="000000"/>
                <w:szCs w:val="20"/>
                <w:lang w:val="en-GB"/>
              </w:rPr>
            </w:pPr>
            <w:r w:rsidRPr="00657139">
              <w:rPr>
                <w:rFonts w:asciiTheme="minorHAnsi" w:eastAsia="Times New Roman" w:hAnsiTheme="minorHAnsi" w:cstheme="minorHAnsi"/>
                <w:bCs/>
                <w:color w:val="000000"/>
                <w:szCs w:val="20"/>
                <w:lang w:val="en-GB"/>
              </w:rPr>
              <w:t>Unaudited</w:t>
            </w:r>
          </w:p>
          <w:p w:rsidR="004A0C63" w:rsidRPr="003E1F91" w:rsidRDefault="003E1F91" w:rsidP="00657139">
            <w:pPr>
              <w:spacing w:after="0" w:line="240" w:lineRule="auto"/>
              <w:jc w:val="right"/>
              <w:rPr>
                <w:rFonts w:asciiTheme="minorHAnsi" w:eastAsia="Times New Roman" w:hAnsiTheme="minorHAnsi" w:cstheme="minorHAnsi"/>
                <w:b/>
                <w:bCs/>
                <w:color w:val="000000"/>
                <w:szCs w:val="20"/>
                <w:lang w:val="en-GB"/>
              </w:rPr>
            </w:pPr>
            <w:r w:rsidRPr="003E1F91">
              <w:rPr>
                <w:rFonts w:asciiTheme="minorHAnsi" w:eastAsia="Times New Roman" w:hAnsiTheme="minorHAnsi" w:cstheme="minorHAnsi"/>
                <w:b/>
                <w:bCs/>
                <w:color w:val="000000"/>
                <w:szCs w:val="20"/>
                <w:lang w:val="en-GB"/>
              </w:rPr>
              <w:t>2017</w:t>
            </w:r>
          </w:p>
        </w:tc>
        <w:tc>
          <w:tcPr>
            <w:tcW w:w="2000" w:type="dxa"/>
            <w:tcBorders>
              <w:top w:val="nil"/>
              <w:left w:val="nil"/>
              <w:bottom w:val="single" w:sz="8" w:space="0" w:color="auto"/>
              <w:right w:val="nil"/>
            </w:tcBorders>
            <w:shd w:val="clear" w:color="auto" w:fill="auto"/>
            <w:hideMark/>
          </w:tcPr>
          <w:p w:rsidR="00657139" w:rsidRDefault="00657139" w:rsidP="004A0C63">
            <w:pPr>
              <w:spacing w:after="0" w:line="240" w:lineRule="auto"/>
              <w:jc w:val="right"/>
              <w:rPr>
                <w:rFonts w:asciiTheme="minorHAnsi" w:eastAsia="Times New Roman" w:hAnsiTheme="minorHAnsi" w:cstheme="minorHAnsi"/>
                <w:b/>
                <w:bCs/>
                <w:color w:val="000000"/>
                <w:szCs w:val="20"/>
                <w:lang w:val="en-GB"/>
              </w:rPr>
            </w:pPr>
          </w:p>
          <w:p w:rsidR="003E1F91" w:rsidRPr="003E1F91" w:rsidRDefault="003E1F91" w:rsidP="004A0C63">
            <w:pPr>
              <w:spacing w:after="0" w:line="240" w:lineRule="auto"/>
              <w:jc w:val="right"/>
              <w:rPr>
                <w:rFonts w:asciiTheme="minorHAnsi" w:eastAsia="Times New Roman" w:hAnsiTheme="minorHAnsi" w:cstheme="minorHAnsi"/>
                <w:b/>
                <w:bCs/>
                <w:color w:val="000000"/>
                <w:szCs w:val="20"/>
                <w:lang w:val="en-GB"/>
              </w:rPr>
            </w:pPr>
            <w:r w:rsidRPr="003E1F91">
              <w:rPr>
                <w:rFonts w:asciiTheme="minorHAnsi" w:eastAsia="Times New Roman" w:hAnsiTheme="minorHAnsi" w:cstheme="minorHAnsi"/>
                <w:b/>
                <w:bCs/>
                <w:color w:val="000000"/>
                <w:szCs w:val="20"/>
                <w:lang w:val="en-GB"/>
              </w:rPr>
              <w:t>2016</w:t>
            </w:r>
          </w:p>
        </w:tc>
      </w:tr>
      <w:tr w:rsidR="003E1F91" w:rsidRPr="003E1F91" w:rsidTr="003E1F91">
        <w:trPr>
          <w:trHeight w:val="290"/>
        </w:trPr>
        <w:tc>
          <w:tcPr>
            <w:tcW w:w="556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lang w:val="en-GB"/>
              </w:rPr>
            </w:pPr>
            <w:r w:rsidRPr="003E1F91">
              <w:rPr>
                <w:rFonts w:asciiTheme="minorHAnsi" w:eastAsia="Times New Roman" w:hAnsiTheme="minorHAnsi" w:cstheme="minorHAnsi"/>
                <w:b/>
                <w:bCs/>
                <w:color w:val="000000"/>
                <w:szCs w:val="20"/>
                <w:lang w:val="en-GB"/>
              </w:rPr>
              <w:t>Sales and result</w:t>
            </w:r>
          </w:p>
        </w:tc>
        <w:tc>
          <w:tcPr>
            <w:tcW w:w="2000" w:type="dxa"/>
            <w:tcBorders>
              <w:top w:val="single" w:sz="8" w:space="0" w:color="000000"/>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lang w:val="en-GB"/>
              </w:rPr>
            </w:pPr>
            <w:r w:rsidRPr="003E1F91">
              <w:rPr>
                <w:rFonts w:asciiTheme="minorHAnsi" w:eastAsia="Times New Roman" w:hAnsiTheme="minorHAnsi" w:cstheme="minorHAnsi"/>
                <w:color w:val="000000"/>
                <w:szCs w:val="20"/>
                <w:lang w:val="en-GB"/>
              </w:rPr>
              <w:t> </w:t>
            </w:r>
          </w:p>
        </w:tc>
        <w:tc>
          <w:tcPr>
            <w:tcW w:w="200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lang w:val="en-GB"/>
              </w:rPr>
            </w:pPr>
            <w:r w:rsidRPr="003E1F91">
              <w:rPr>
                <w:rFonts w:asciiTheme="minorHAnsi" w:eastAsia="Times New Roman" w:hAnsiTheme="minorHAnsi" w:cstheme="minorHAnsi"/>
                <w:color w:val="000000"/>
                <w:szCs w:val="20"/>
                <w:lang w:val="en-GB"/>
              </w:rPr>
              <w:t> </w:t>
            </w:r>
          </w:p>
        </w:tc>
      </w:tr>
      <w:tr w:rsidR="003E1F91" w:rsidRPr="003E1F91" w:rsidTr="003E1F91">
        <w:trPr>
          <w:trHeight w:val="290"/>
        </w:trPr>
        <w:tc>
          <w:tcPr>
            <w:tcW w:w="556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lang w:val="en-GB"/>
              </w:rPr>
            </w:pPr>
            <w:r w:rsidRPr="003E1F91">
              <w:rPr>
                <w:rFonts w:asciiTheme="minorHAnsi" w:eastAsia="Times New Roman" w:hAnsiTheme="minorHAnsi" w:cstheme="minorHAnsi"/>
                <w:color w:val="000000"/>
                <w:szCs w:val="20"/>
                <w:lang w:val="en-GB"/>
              </w:rPr>
              <w:t>Net sales</w:t>
            </w:r>
          </w:p>
        </w:tc>
        <w:tc>
          <w:tcPr>
            <w:tcW w:w="200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lang w:val="en-GB"/>
              </w:rPr>
            </w:pPr>
            <w:r w:rsidRPr="003E1F91">
              <w:rPr>
                <w:rFonts w:asciiTheme="minorHAnsi" w:eastAsia="Times New Roman" w:hAnsiTheme="minorHAnsi" w:cstheme="minorHAnsi"/>
                <w:color w:val="000000"/>
                <w:szCs w:val="20"/>
                <w:lang w:val="en-GB"/>
              </w:rPr>
              <w:t>12</w:t>
            </w:r>
            <w:r w:rsidR="00EE0B46">
              <w:rPr>
                <w:rFonts w:asciiTheme="minorHAnsi" w:eastAsia="Times New Roman" w:hAnsiTheme="minorHAnsi" w:cstheme="minorHAnsi"/>
                <w:color w:val="000000"/>
                <w:szCs w:val="20"/>
                <w:lang w:val="en-GB"/>
              </w:rPr>
              <w:t>,</w:t>
            </w:r>
            <w:r w:rsidRPr="003E1F91">
              <w:rPr>
                <w:rFonts w:asciiTheme="minorHAnsi" w:eastAsia="Times New Roman" w:hAnsiTheme="minorHAnsi" w:cstheme="minorHAnsi"/>
                <w:color w:val="000000"/>
                <w:szCs w:val="20"/>
                <w:lang w:val="en-GB"/>
              </w:rPr>
              <w:t>127</w:t>
            </w:r>
          </w:p>
        </w:tc>
        <w:tc>
          <w:tcPr>
            <w:tcW w:w="200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lang w:val="en-GB"/>
              </w:rPr>
            </w:pPr>
            <w:r w:rsidRPr="003E1F91">
              <w:rPr>
                <w:rFonts w:asciiTheme="minorHAnsi" w:eastAsia="Times New Roman" w:hAnsiTheme="minorHAnsi" w:cstheme="minorHAnsi"/>
                <w:color w:val="000000"/>
                <w:szCs w:val="20"/>
                <w:lang w:val="en-GB"/>
              </w:rPr>
              <w:t>10</w:t>
            </w:r>
            <w:r w:rsidR="00EE0B46">
              <w:rPr>
                <w:rFonts w:asciiTheme="minorHAnsi" w:eastAsia="Times New Roman" w:hAnsiTheme="minorHAnsi" w:cstheme="minorHAnsi"/>
                <w:color w:val="000000"/>
                <w:szCs w:val="20"/>
                <w:lang w:val="en-GB"/>
              </w:rPr>
              <w:t>,</w:t>
            </w:r>
            <w:r w:rsidRPr="003E1F91">
              <w:rPr>
                <w:rFonts w:asciiTheme="minorHAnsi" w:eastAsia="Times New Roman" w:hAnsiTheme="minorHAnsi" w:cstheme="minorHAnsi"/>
                <w:color w:val="000000"/>
                <w:szCs w:val="20"/>
                <w:lang w:val="en-GB"/>
              </w:rPr>
              <w:t>465</w:t>
            </w:r>
          </w:p>
        </w:tc>
      </w:tr>
      <w:tr w:rsidR="003E1F91" w:rsidRPr="003E1F91" w:rsidTr="003E1F91">
        <w:trPr>
          <w:trHeight w:val="290"/>
        </w:trPr>
        <w:tc>
          <w:tcPr>
            <w:tcW w:w="556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lang w:val="en-GB"/>
              </w:rPr>
            </w:pPr>
            <w:r w:rsidRPr="003E1F91">
              <w:rPr>
                <w:rFonts w:asciiTheme="minorHAnsi" w:eastAsia="Times New Roman" w:hAnsiTheme="minorHAnsi" w:cstheme="minorHAnsi"/>
                <w:color w:val="000000"/>
                <w:szCs w:val="20"/>
                <w:lang w:val="en-GB"/>
              </w:rPr>
              <w:t>Gross margin</w:t>
            </w:r>
          </w:p>
        </w:tc>
        <w:tc>
          <w:tcPr>
            <w:tcW w:w="200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lang w:val="en-GB"/>
              </w:rPr>
            </w:pPr>
            <w:r w:rsidRPr="003E1F91">
              <w:rPr>
                <w:rFonts w:asciiTheme="minorHAnsi" w:eastAsia="Times New Roman" w:hAnsiTheme="minorHAnsi" w:cstheme="minorHAnsi"/>
                <w:color w:val="000000"/>
                <w:szCs w:val="20"/>
                <w:lang w:val="en-GB"/>
              </w:rPr>
              <w:t>10</w:t>
            </w:r>
            <w:r w:rsidR="00EE0B46">
              <w:rPr>
                <w:rFonts w:asciiTheme="minorHAnsi" w:eastAsia="Times New Roman" w:hAnsiTheme="minorHAnsi" w:cstheme="minorHAnsi"/>
                <w:color w:val="000000"/>
                <w:szCs w:val="20"/>
                <w:lang w:val="en-GB"/>
              </w:rPr>
              <w:t>,</w:t>
            </w:r>
            <w:r w:rsidRPr="003E1F91">
              <w:rPr>
                <w:rFonts w:asciiTheme="minorHAnsi" w:eastAsia="Times New Roman" w:hAnsiTheme="minorHAnsi" w:cstheme="minorHAnsi"/>
                <w:color w:val="000000"/>
                <w:szCs w:val="20"/>
                <w:lang w:val="en-GB"/>
              </w:rPr>
              <w:t>157</w:t>
            </w:r>
          </w:p>
        </w:tc>
        <w:tc>
          <w:tcPr>
            <w:tcW w:w="200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lang w:val="en-GB"/>
              </w:rPr>
            </w:pPr>
            <w:r w:rsidRPr="003E1F91">
              <w:rPr>
                <w:rFonts w:asciiTheme="minorHAnsi" w:eastAsia="Times New Roman" w:hAnsiTheme="minorHAnsi" w:cstheme="minorHAnsi"/>
                <w:color w:val="000000"/>
                <w:szCs w:val="20"/>
                <w:lang w:val="en-GB"/>
              </w:rPr>
              <w:t>8</w:t>
            </w:r>
            <w:r w:rsidR="00EE0B46">
              <w:rPr>
                <w:rFonts w:asciiTheme="minorHAnsi" w:eastAsia="Times New Roman" w:hAnsiTheme="minorHAnsi" w:cstheme="minorHAnsi"/>
                <w:color w:val="000000"/>
                <w:szCs w:val="20"/>
                <w:lang w:val="en-GB"/>
              </w:rPr>
              <w:t>,</w:t>
            </w:r>
            <w:r w:rsidRPr="003E1F91">
              <w:rPr>
                <w:rFonts w:asciiTheme="minorHAnsi" w:eastAsia="Times New Roman" w:hAnsiTheme="minorHAnsi" w:cstheme="minorHAnsi"/>
                <w:color w:val="000000"/>
                <w:szCs w:val="20"/>
                <w:lang w:val="en-GB"/>
              </w:rPr>
              <w:t>615</w:t>
            </w:r>
          </w:p>
        </w:tc>
      </w:tr>
      <w:tr w:rsidR="003E1F91" w:rsidRPr="003E1F91" w:rsidTr="003E1F91">
        <w:trPr>
          <w:trHeight w:val="290"/>
        </w:trPr>
        <w:tc>
          <w:tcPr>
            <w:tcW w:w="556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lang w:val="en-GB"/>
              </w:rPr>
            </w:pPr>
            <w:r w:rsidRPr="003E1F91">
              <w:rPr>
                <w:rFonts w:asciiTheme="minorHAnsi" w:eastAsia="Times New Roman" w:hAnsiTheme="minorHAnsi" w:cstheme="minorHAnsi"/>
                <w:color w:val="000000"/>
                <w:szCs w:val="20"/>
                <w:lang w:val="en-GB"/>
              </w:rPr>
              <w:t>EBITDA</w:t>
            </w:r>
          </w:p>
        </w:tc>
        <w:tc>
          <w:tcPr>
            <w:tcW w:w="200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lang w:val="en-GB"/>
              </w:rPr>
            </w:pPr>
            <w:r w:rsidRPr="003E1F91">
              <w:rPr>
                <w:rFonts w:asciiTheme="minorHAnsi" w:eastAsia="Times New Roman" w:hAnsiTheme="minorHAnsi" w:cstheme="minorHAnsi"/>
                <w:color w:val="000000"/>
                <w:szCs w:val="20"/>
                <w:lang w:val="en-GB"/>
              </w:rPr>
              <w:t>603</w:t>
            </w:r>
          </w:p>
        </w:tc>
        <w:tc>
          <w:tcPr>
            <w:tcW w:w="200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lang w:val="en-GB"/>
              </w:rPr>
            </w:pPr>
            <w:r w:rsidRPr="003E1F91">
              <w:rPr>
                <w:rFonts w:asciiTheme="minorHAnsi" w:eastAsia="Times New Roman" w:hAnsiTheme="minorHAnsi" w:cstheme="minorHAnsi"/>
                <w:color w:val="000000"/>
                <w:szCs w:val="20"/>
                <w:lang w:val="en-GB"/>
              </w:rPr>
              <w:t>-310</w:t>
            </w:r>
          </w:p>
        </w:tc>
      </w:tr>
      <w:tr w:rsidR="003E1F91" w:rsidRPr="003E1F91" w:rsidTr="003E1F91">
        <w:trPr>
          <w:trHeight w:val="290"/>
        </w:trPr>
        <w:tc>
          <w:tcPr>
            <w:tcW w:w="556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lang w:val="en-GB"/>
              </w:rPr>
            </w:pPr>
            <w:r w:rsidRPr="003E1F91">
              <w:rPr>
                <w:rFonts w:asciiTheme="minorHAnsi" w:eastAsia="Times New Roman" w:hAnsiTheme="minorHAnsi" w:cstheme="minorHAnsi"/>
                <w:color w:val="000000"/>
                <w:szCs w:val="20"/>
                <w:lang w:val="en-GB"/>
              </w:rPr>
              <w:t>EBIT (operating result)</w:t>
            </w:r>
          </w:p>
        </w:tc>
        <w:tc>
          <w:tcPr>
            <w:tcW w:w="200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-415</w:t>
            </w:r>
          </w:p>
        </w:tc>
        <w:tc>
          <w:tcPr>
            <w:tcW w:w="2000" w:type="dxa"/>
            <w:tcBorders>
              <w:top w:val="nil"/>
              <w:left w:val="nil"/>
              <w:bottom w:val="nil"/>
              <w:right w:val="nil"/>
            </w:tcBorders>
            <w:shd w:val="clear" w:color="auto" w:fill="auto"/>
            <w:noWrap/>
            <w:vAlign w:val="center"/>
            <w:hideMark/>
          </w:tcPr>
          <w:p w:rsidR="003E1F91" w:rsidRPr="003E1F91" w:rsidRDefault="00EE0B46" w:rsidP="003E1F91">
            <w:pPr>
              <w:spacing w:after="0" w:line="240" w:lineRule="auto"/>
              <w:jc w:val="right"/>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-1,</w:t>
            </w:r>
            <w:r w:rsidR="003E1F91" w:rsidRPr="003E1F91">
              <w:rPr>
                <w:rFonts w:asciiTheme="minorHAnsi" w:eastAsia="Times New Roman" w:hAnsiTheme="minorHAnsi" w:cstheme="minorHAnsi"/>
                <w:color w:val="000000"/>
                <w:szCs w:val="20"/>
              </w:rPr>
              <w:t>339</w:t>
            </w:r>
          </w:p>
        </w:tc>
      </w:tr>
      <w:tr w:rsidR="003E1F91" w:rsidRPr="003E1F91" w:rsidTr="003E1F91">
        <w:trPr>
          <w:trHeight w:val="290"/>
        </w:trPr>
        <w:tc>
          <w:tcPr>
            <w:tcW w:w="556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EBT</w:t>
            </w:r>
          </w:p>
        </w:tc>
        <w:tc>
          <w:tcPr>
            <w:tcW w:w="200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-673</w:t>
            </w:r>
          </w:p>
        </w:tc>
        <w:tc>
          <w:tcPr>
            <w:tcW w:w="2000" w:type="dxa"/>
            <w:tcBorders>
              <w:top w:val="nil"/>
              <w:left w:val="nil"/>
              <w:bottom w:val="nil"/>
              <w:right w:val="nil"/>
            </w:tcBorders>
            <w:shd w:val="clear" w:color="auto" w:fill="auto"/>
            <w:noWrap/>
            <w:vAlign w:val="center"/>
            <w:hideMark/>
          </w:tcPr>
          <w:p w:rsidR="003E1F91" w:rsidRPr="003E1F91" w:rsidRDefault="00EE0B46" w:rsidP="003E1F91">
            <w:pPr>
              <w:spacing w:after="0" w:line="240" w:lineRule="auto"/>
              <w:jc w:val="right"/>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-1,</w:t>
            </w:r>
            <w:r w:rsidR="003E1F91" w:rsidRPr="003E1F91">
              <w:rPr>
                <w:rFonts w:asciiTheme="minorHAnsi" w:eastAsia="Times New Roman" w:hAnsiTheme="minorHAnsi" w:cstheme="minorHAnsi"/>
                <w:color w:val="000000"/>
                <w:szCs w:val="20"/>
              </w:rPr>
              <w:t>587</w:t>
            </w:r>
          </w:p>
        </w:tc>
      </w:tr>
      <w:tr w:rsidR="003E1F91" w:rsidRPr="003E1F91" w:rsidTr="003E1F91">
        <w:trPr>
          <w:trHeight w:val="290"/>
        </w:trPr>
        <w:tc>
          <w:tcPr>
            <w:tcW w:w="556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 xml:space="preserve">Net </w:t>
            </w:r>
            <w:proofErr w:type="spellStart"/>
            <w:r w:rsidRPr="003E1F91">
              <w:rPr>
                <w:rFonts w:asciiTheme="minorHAnsi" w:eastAsia="Times New Roman" w:hAnsiTheme="minorHAnsi" w:cstheme="minorHAnsi"/>
                <w:color w:val="000000"/>
                <w:szCs w:val="20"/>
              </w:rPr>
              <w:t>result</w:t>
            </w:r>
            <w:proofErr w:type="spellEnd"/>
          </w:p>
        </w:tc>
        <w:tc>
          <w:tcPr>
            <w:tcW w:w="200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-390</w:t>
            </w:r>
          </w:p>
        </w:tc>
        <w:tc>
          <w:tcPr>
            <w:tcW w:w="2000" w:type="dxa"/>
            <w:tcBorders>
              <w:top w:val="nil"/>
              <w:left w:val="nil"/>
              <w:bottom w:val="nil"/>
              <w:right w:val="nil"/>
            </w:tcBorders>
            <w:shd w:val="clear" w:color="auto" w:fill="auto"/>
            <w:noWrap/>
            <w:vAlign w:val="center"/>
            <w:hideMark/>
          </w:tcPr>
          <w:p w:rsidR="003E1F91" w:rsidRPr="003E1F91" w:rsidRDefault="00EE0B46" w:rsidP="003E1F91">
            <w:pPr>
              <w:spacing w:after="0" w:line="240" w:lineRule="auto"/>
              <w:jc w:val="right"/>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-1,</w:t>
            </w:r>
            <w:r w:rsidR="003E1F91" w:rsidRPr="003E1F91">
              <w:rPr>
                <w:rFonts w:asciiTheme="minorHAnsi" w:eastAsia="Times New Roman" w:hAnsiTheme="minorHAnsi" w:cstheme="minorHAnsi"/>
                <w:color w:val="000000"/>
                <w:szCs w:val="20"/>
              </w:rPr>
              <w:t>578</w:t>
            </w:r>
          </w:p>
        </w:tc>
      </w:tr>
      <w:tr w:rsidR="003E1F91" w:rsidRPr="003E1F91" w:rsidTr="003E1F91">
        <w:trPr>
          <w:trHeight w:val="290"/>
        </w:trPr>
        <w:tc>
          <w:tcPr>
            <w:tcW w:w="556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lang w:val="en-GB"/>
              </w:rPr>
            </w:pPr>
            <w:r w:rsidRPr="003E1F91">
              <w:rPr>
                <w:rFonts w:asciiTheme="minorHAnsi" w:eastAsia="Times New Roman" w:hAnsiTheme="minorHAnsi" w:cstheme="minorHAnsi"/>
                <w:color w:val="000000"/>
                <w:szCs w:val="20"/>
                <w:lang w:val="en-GB"/>
              </w:rPr>
              <w:t>Cash flow from operating activities</w:t>
            </w:r>
          </w:p>
        </w:tc>
        <w:tc>
          <w:tcPr>
            <w:tcW w:w="200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627</w:t>
            </w:r>
          </w:p>
        </w:tc>
        <w:tc>
          <w:tcPr>
            <w:tcW w:w="200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-452</w:t>
            </w:r>
          </w:p>
        </w:tc>
      </w:tr>
      <w:tr w:rsidR="003E1F91" w:rsidRPr="003E1F91" w:rsidTr="003E1F91">
        <w:trPr>
          <w:trHeight w:val="290"/>
        </w:trPr>
        <w:tc>
          <w:tcPr>
            <w:tcW w:w="5560" w:type="dxa"/>
            <w:tcBorders>
              <w:top w:val="nil"/>
              <w:left w:val="nil"/>
              <w:bottom w:val="nil"/>
              <w:right w:val="nil"/>
            </w:tcBorders>
            <w:shd w:val="clear" w:color="auto" w:fill="auto"/>
            <w:noWrap/>
            <w:vAlign w:val="bottom"/>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p>
        </w:tc>
        <w:tc>
          <w:tcPr>
            <w:tcW w:w="2000" w:type="dxa"/>
            <w:tcBorders>
              <w:top w:val="nil"/>
              <w:left w:val="nil"/>
              <w:bottom w:val="nil"/>
              <w:right w:val="nil"/>
            </w:tcBorders>
            <w:shd w:val="clear" w:color="auto" w:fill="auto"/>
            <w:noWrap/>
            <w:vAlign w:val="bottom"/>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2000" w:type="dxa"/>
            <w:tcBorders>
              <w:top w:val="nil"/>
              <w:left w:val="nil"/>
              <w:bottom w:val="nil"/>
              <w:right w:val="nil"/>
            </w:tcBorders>
            <w:shd w:val="clear" w:color="auto" w:fill="auto"/>
            <w:noWrap/>
            <w:vAlign w:val="bottom"/>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3E1F91" w:rsidTr="003E1F91">
        <w:trPr>
          <w:trHeight w:val="290"/>
        </w:trPr>
        <w:tc>
          <w:tcPr>
            <w:tcW w:w="556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r w:rsidRPr="003E1F91">
              <w:rPr>
                <w:rFonts w:asciiTheme="minorHAnsi" w:eastAsia="Times New Roman" w:hAnsiTheme="minorHAnsi" w:cstheme="minorHAnsi"/>
                <w:b/>
                <w:bCs/>
                <w:color w:val="000000"/>
                <w:szCs w:val="20"/>
              </w:rPr>
              <w:t xml:space="preserve">Capital, </w:t>
            </w:r>
            <w:proofErr w:type="spellStart"/>
            <w:r w:rsidRPr="003E1F91">
              <w:rPr>
                <w:rFonts w:asciiTheme="minorHAnsi" w:eastAsia="Times New Roman" w:hAnsiTheme="minorHAnsi" w:cstheme="minorHAnsi"/>
                <w:b/>
                <w:bCs/>
                <w:color w:val="000000"/>
                <w:szCs w:val="20"/>
              </w:rPr>
              <w:t>debt</w:t>
            </w:r>
            <w:proofErr w:type="spellEnd"/>
            <w:r w:rsidRPr="003E1F91">
              <w:rPr>
                <w:rFonts w:asciiTheme="minorHAnsi" w:eastAsia="Times New Roman" w:hAnsiTheme="minorHAnsi" w:cstheme="minorHAnsi"/>
                <w:b/>
                <w:bCs/>
                <w:color w:val="000000"/>
                <w:szCs w:val="20"/>
              </w:rPr>
              <w:t xml:space="preserve"> &amp; </w:t>
            </w:r>
            <w:proofErr w:type="spellStart"/>
            <w:r w:rsidRPr="003E1F91">
              <w:rPr>
                <w:rFonts w:asciiTheme="minorHAnsi" w:eastAsia="Times New Roman" w:hAnsiTheme="minorHAnsi" w:cstheme="minorHAnsi"/>
                <w:b/>
                <w:bCs/>
                <w:color w:val="000000"/>
                <w:szCs w:val="20"/>
              </w:rPr>
              <w:t>liquidity</w:t>
            </w:r>
            <w:proofErr w:type="spellEnd"/>
            <w:r w:rsidRPr="003E1F91">
              <w:rPr>
                <w:rFonts w:asciiTheme="minorHAnsi" w:eastAsia="Times New Roman" w:hAnsiTheme="minorHAnsi" w:cstheme="minorHAnsi"/>
                <w:b/>
                <w:bCs/>
                <w:color w:val="000000"/>
                <w:szCs w:val="20"/>
              </w:rPr>
              <w:t xml:space="preserve"> </w:t>
            </w:r>
            <w:proofErr w:type="spellStart"/>
            <w:r w:rsidRPr="003E1F91">
              <w:rPr>
                <w:rFonts w:asciiTheme="minorHAnsi" w:eastAsia="Times New Roman" w:hAnsiTheme="minorHAnsi" w:cstheme="minorHAnsi"/>
                <w:b/>
                <w:bCs/>
                <w:color w:val="000000"/>
                <w:szCs w:val="20"/>
              </w:rPr>
              <w:t>ratios</w:t>
            </w:r>
            <w:proofErr w:type="spellEnd"/>
          </w:p>
        </w:tc>
        <w:tc>
          <w:tcPr>
            <w:tcW w:w="200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p>
        </w:tc>
        <w:tc>
          <w:tcPr>
            <w:tcW w:w="2000" w:type="dxa"/>
            <w:tcBorders>
              <w:top w:val="nil"/>
              <w:left w:val="nil"/>
              <w:bottom w:val="nil"/>
              <w:right w:val="nil"/>
            </w:tcBorders>
            <w:shd w:val="clear" w:color="auto" w:fill="auto"/>
            <w:noWrap/>
            <w:vAlign w:val="bottom"/>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3E1F91" w:rsidTr="003E1F91">
        <w:trPr>
          <w:trHeight w:val="290"/>
        </w:trPr>
        <w:tc>
          <w:tcPr>
            <w:tcW w:w="556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 xml:space="preserve">Total </w:t>
            </w:r>
            <w:proofErr w:type="spellStart"/>
            <w:r w:rsidRPr="003E1F91">
              <w:rPr>
                <w:rFonts w:asciiTheme="minorHAnsi" w:eastAsia="Times New Roman" w:hAnsiTheme="minorHAnsi" w:cstheme="minorHAnsi"/>
                <w:color w:val="000000"/>
                <w:szCs w:val="20"/>
              </w:rPr>
              <w:t>assets</w:t>
            </w:r>
            <w:proofErr w:type="spellEnd"/>
          </w:p>
        </w:tc>
        <w:tc>
          <w:tcPr>
            <w:tcW w:w="2000" w:type="dxa"/>
            <w:tcBorders>
              <w:top w:val="nil"/>
              <w:left w:val="nil"/>
              <w:bottom w:val="nil"/>
              <w:right w:val="nil"/>
            </w:tcBorders>
            <w:shd w:val="clear" w:color="auto" w:fill="auto"/>
            <w:noWrap/>
            <w:vAlign w:val="center"/>
            <w:hideMark/>
          </w:tcPr>
          <w:p w:rsidR="003E1F91" w:rsidRPr="003E1F91" w:rsidRDefault="003E1F91" w:rsidP="00EE0B46">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15</w:t>
            </w:r>
            <w:r w:rsidR="00EE0B46">
              <w:rPr>
                <w:rFonts w:asciiTheme="minorHAnsi" w:eastAsia="Times New Roman" w:hAnsiTheme="minorHAnsi" w:cstheme="minorHAnsi"/>
                <w:color w:val="000000"/>
                <w:szCs w:val="20"/>
              </w:rPr>
              <w:t>,</w:t>
            </w:r>
            <w:r w:rsidRPr="003E1F91">
              <w:rPr>
                <w:rFonts w:asciiTheme="minorHAnsi" w:eastAsia="Times New Roman" w:hAnsiTheme="minorHAnsi" w:cstheme="minorHAnsi"/>
                <w:color w:val="000000"/>
                <w:szCs w:val="20"/>
              </w:rPr>
              <w:t>564</w:t>
            </w:r>
          </w:p>
        </w:tc>
        <w:tc>
          <w:tcPr>
            <w:tcW w:w="2000" w:type="dxa"/>
            <w:tcBorders>
              <w:top w:val="nil"/>
              <w:left w:val="nil"/>
              <w:bottom w:val="nil"/>
              <w:right w:val="nil"/>
            </w:tcBorders>
            <w:shd w:val="clear" w:color="auto" w:fill="auto"/>
            <w:noWrap/>
            <w:vAlign w:val="center"/>
            <w:hideMark/>
          </w:tcPr>
          <w:p w:rsidR="003E1F91" w:rsidRPr="003E1F91" w:rsidRDefault="003E1F91" w:rsidP="00EE0B46">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14</w:t>
            </w:r>
            <w:r w:rsidR="00EE0B46">
              <w:rPr>
                <w:rFonts w:asciiTheme="minorHAnsi" w:eastAsia="Times New Roman" w:hAnsiTheme="minorHAnsi" w:cstheme="minorHAnsi"/>
                <w:color w:val="000000"/>
                <w:szCs w:val="20"/>
              </w:rPr>
              <w:t>,</w:t>
            </w:r>
            <w:r w:rsidRPr="003E1F91">
              <w:rPr>
                <w:rFonts w:asciiTheme="minorHAnsi" w:eastAsia="Times New Roman" w:hAnsiTheme="minorHAnsi" w:cstheme="minorHAnsi"/>
                <w:color w:val="000000"/>
                <w:szCs w:val="20"/>
              </w:rPr>
              <w:t>711</w:t>
            </w:r>
          </w:p>
        </w:tc>
      </w:tr>
      <w:tr w:rsidR="003E1F91" w:rsidRPr="003E1F91" w:rsidTr="003E1F91">
        <w:trPr>
          <w:trHeight w:val="290"/>
        </w:trPr>
        <w:tc>
          <w:tcPr>
            <w:tcW w:w="556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 xml:space="preserve">Group </w:t>
            </w:r>
            <w:proofErr w:type="spellStart"/>
            <w:r w:rsidRPr="003E1F91">
              <w:rPr>
                <w:rFonts w:asciiTheme="minorHAnsi" w:eastAsia="Times New Roman" w:hAnsiTheme="minorHAnsi" w:cstheme="minorHAnsi"/>
                <w:color w:val="000000"/>
                <w:szCs w:val="20"/>
              </w:rPr>
              <w:t>equity</w:t>
            </w:r>
            <w:proofErr w:type="spellEnd"/>
          </w:p>
        </w:tc>
        <w:tc>
          <w:tcPr>
            <w:tcW w:w="2000" w:type="dxa"/>
            <w:tcBorders>
              <w:top w:val="nil"/>
              <w:left w:val="nil"/>
              <w:bottom w:val="nil"/>
              <w:right w:val="nil"/>
            </w:tcBorders>
            <w:shd w:val="clear" w:color="auto" w:fill="auto"/>
            <w:noWrap/>
            <w:vAlign w:val="center"/>
            <w:hideMark/>
          </w:tcPr>
          <w:p w:rsidR="003E1F91" w:rsidRPr="003E1F91" w:rsidRDefault="00EE0B46" w:rsidP="003E1F91">
            <w:pPr>
              <w:spacing w:after="0" w:line="240" w:lineRule="auto"/>
              <w:jc w:val="right"/>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4,</w:t>
            </w:r>
            <w:r w:rsidR="003E1F91" w:rsidRPr="003E1F91">
              <w:rPr>
                <w:rFonts w:asciiTheme="minorHAnsi" w:eastAsia="Times New Roman" w:hAnsiTheme="minorHAnsi" w:cstheme="minorHAnsi"/>
                <w:color w:val="000000"/>
                <w:szCs w:val="20"/>
              </w:rPr>
              <w:t>767</w:t>
            </w:r>
          </w:p>
        </w:tc>
        <w:tc>
          <w:tcPr>
            <w:tcW w:w="2000" w:type="dxa"/>
            <w:tcBorders>
              <w:top w:val="nil"/>
              <w:left w:val="nil"/>
              <w:bottom w:val="nil"/>
              <w:right w:val="nil"/>
            </w:tcBorders>
            <w:shd w:val="clear" w:color="auto" w:fill="auto"/>
            <w:noWrap/>
            <w:vAlign w:val="center"/>
            <w:hideMark/>
          </w:tcPr>
          <w:p w:rsidR="003E1F91" w:rsidRPr="003E1F91" w:rsidRDefault="00EE0B46" w:rsidP="003E1F91">
            <w:pPr>
              <w:spacing w:after="0" w:line="240" w:lineRule="auto"/>
              <w:jc w:val="right"/>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4,</w:t>
            </w:r>
            <w:r w:rsidR="003E1F91" w:rsidRPr="003E1F91">
              <w:rPr>
                <w:rFonts w:asciiTheme="minorHAnsi" w:eastAsia="Times New Roman" w:hAnsiTheme="minorHAnsi" w:cstheme="minorHAnsi"/>
                <w:color w:val="000000"/>
                <w:szCs w:val="20"/>
              </w:rPr>
              <w:t>053</w:t>
            </w:r>
          </w:p>
        </w:tc>
      </w:tr>
      <w:tr w:rsidR="003E1F91" w:rsidRPr="003E1F91" w:rsidTr="003E1F91">
        <w:trPr>
          <w:trHeight w:val="290"/>
        </w:trPr>
        <w:tc>
          <w:tcPr>
            <w:tcW w:w="556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 xml:space="preserve">Net </w:t>
            </w:r>
            <w:proofErr w:type="spellStart"/>
            <w:r w:rsidRPr="003E1F91">
              <w:rPr>
                <w:rFonts w:asciiTheme="minorHAnsi" w:eastAsia="Times New Roman" w:hAnsiTheme="minorHAnsi" w:cstheme="minorHAnsi"/>
                <w:color w:val="000000"/>
                <w:szCs w:val="20"/>
              </w:rPr>
              <w:t>debt</w:t>
            </w:r>
            <w:proofErr w:type="spellEnd"/>
          </w:p>
        </w:tc>
        <w:tc>
          <w:tcPr>
            <w:tcW w:w="2000" w:type="dxa"/>
            <w:tcBorders>
              <w:top w:val="nil"/>
              <w:left w:val="nil"/>
              <w:bottom w:val="nil"/>
              <w:right w:val="nil"/>
            </w:tcBorders>
            <w:shd w:val="clear" w:color="auto" w:fill="auto"/>
            <w:noWrap/>
            <w:vAlign w:val="center"/>
            <w:hideMark/>
          </w:tcPr>
          <w:p w:rsidR="003E1F91" w:rsidRPr="003E1F91" w:rsidRDefault="00EE0B46" w:rsidP="003E1F91">
            <w:pPr>
              <w:spacing w:after="0" w:line="240" w:lineRule="auto"/>
              <w:jc w:val="right"/>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2,</w:t>
            </w:r>
            <w:r w:rsidR="003E1F91" w:rsidRPr="003E1F91">
              <w:rPr>
                <w:rFonts w:asciiTheme="minorHAnsi" w:eastAsia="Times New Roman" w:hAnsiTheme="minorHAnsi" w:cstheme="minorHAnsi"/>
                <w:color w:val="000000"/>
                <w:szCs w:val="20"/>
              </w:rPr>
              <w:t>452</w:t>
            </w:r>
          </w:p>
        </w:tc>
        <w:tc>
          <w:tcPr>
            <w:tcW w:w="2000" w:type="dxa"/>
            <w:tcBorders>
              <w:top w:val="nil"/>
              <w:left w:val="nil"/>
              <w:bottom w:val="nil"/>
              <w:right w:val="nil"/>
            </w:tcBorders>
            <w:shd w:val="clear" w:color="auto" w:fill="auto"/>
            <w:noWrap/>
            <w:vAlign w:val="center"/>
            <w:hideMark/>
          </w:tcPr>
          <w:p w:rsidR="003E1F91" w:rsidRPr="003E1F91" w:rsidRDefault="00EE0B46" w:rsidP="003E1F91">
            <w:pPr>
              <w:spacing w:after="0" w:line="240" w:lineRule="auto"/>
              <w:jc w:val="right"/>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2,</w:t>
            </w:r>
            <w:r w:rsidR="003E1F91" w:rsidRPr="003E1F91">
              <w:rPr>
                <w:rFonts w:asciiTheme="minorHAnsi" w:eastAsia="Times New Roman" w:hAnsiTheme="minorHAnsi" w:cstheme="minorHAnsi"/>
                <w:color w:val="000000"/>
                <w:szCs w:val="20"/>
              </w:rPr>
              <w:t>428</w:t>
            </w:r>
          </w:p>
        </w:tc>
      </w:tr>
      <w:tr w:rsidR="003E1F91" w:rsidRPr="003E1F91" w:rsidTr="003E1F91">
        <w:trPr>
          <w:trHeight w:val="290"/>
        </w:trPr>
        <w:tc>
          <w:tcPr>
            <w:tcW w:w="556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Capital (=</w:t>
            </w:r>
            <w:proofErr w:type="spellStart"/>
            <w:r w:rsidRPr="003E1F91">
              <w:rPr>
                <w:rFonts w:asciiTheme="minorHAnsi" w:eastAsia="Times New Roman" w:hAnsiTheme="minorHAnsi" w:cstheme="minorHAnsi"/>
                <w:color w:val="000000"/>
                <w:szCs w:val="20"/>
              </w:rPr>
              <w:t>net</w:t>
            </w:r>
            <w:proofErr w:type="spellEnd"/>
            <w:r w:rsidRPr="003E1F91">
              <w:rPr>
                <w:rFonts w:asciiTheme="minorHAnsi" w:eastAsia="Times New Roman" w:hAnsiTheme="minorHAnsi" w:cstheme="minorHAnsi"/>
                <w:color w:val="000000"/>
                <w:szCs w:val="20"/>
              </w:rPr>
              <w:t xml:space="preserve"> </w:t>
            </w:r>
            <w:proofErr w:type="spellStart"/>
            <w:r w:rsidRPr="003E1F91">
              <w:rPr>
                <w:rFonts w:asciiTheme="minorHAnsi" w:eastAsia="Times New Roman" w:hAnsiTheme="minorHAnsi" w:cstheme="minorHAnsi"/>
                <w:color w:val="000000"/>
                <w:szCs w:val="20"/>
              </w:rPr>
              <w:t>debt</w:t>
            </w:r>
            <w:proofErr w:type="spellEnd"/>
            <w:r w:rsidRPr="003E1F91">
              <w:rPr>
                <w:rFonts w:asciiTheme="minorHAnsi" w:eastAsia="Times New Roman" w:hAnsiTheme="minorHAnsi" w:cstheme="minorHAnsi"/>
                <w:color w:val="000000"/>
                <w:szCs w:val="20"/>
              </w:rPr>
              <w:t xml:space="preserve"> + </w:t>
            </w:r>
            <w:proofErr w:type="spellStart"/>
            <w:r w:rsidRPr="003E1F91">
              <w:rPr>
                <w:rFonts w:asciiTheme="minorHAnsi" w:eastAsia="Times New Roman" w:hAnsiTheme="minorHAnsi" w:cstheme="minorHAnsi"/>
                <w:color w:val="000000"/>
                <w:szCs w:val="20"/>
              </w:rPr>
              <w:t>equity</w:t>
            </w:r>
            <w:proofErr w:type="spellEnd"/>
            <w:r w:rsidRPr="003E1F91">
              <w:rPr>
                <w:rFonts w:asciiTheme="minorHAnsi" w:eastAsia="Times New Roman" w:hAnsiTheme="minorHAnsi" w:cstheme="minorHAnsi"/>
                <w:color w:val="000000"/>
                <w:szCs w:val="20"/>
              </w:rPr>
              <w:t>)</w:t>
            </w:r>
          </w:p>
        </w:tc>
        <w:tc>
          <w:tcPr>
            <w:tcW w:w="2000" w:type="dxa"/>
            <w:tcBorders>
              <w:top w:val="nil"/>
              <w:left w:val="nil"/>
              <w:bottom w:val="nil"/>
              <w:right w:val="nil"/>
            </w:tcBorders>
            <w:shd w:val="clear" w:color="auto" w:fill="auto"/>
            <w:noWrap/>
            <w:vAlign w:val="center"/>
            <w:hideMark/>
          </w:tcPr>
          <w:p w:rsidR="003E1F91" w:rsidRPr="003E1F91" w:rsidRDefault="00EE0B46" w:rsidP="003E1F91">
            <w:pPr>
              <w:spacing w:after="0" w:line="240" w:lineRule="auto"/>
              <w:jc w:val="right"/>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7,</w:t>
            </w:r>
            <w:r w:rsidR="003E1F91" w:rsidRPr="003E1F91">
              <w:rPr>
                <w:rFonts w:asciiTheme="minorHAnsi" w:eastAsia="Times New Roman" w:hAnsiTheme="minorHAnsi" w:cstheme="minorHAnsi"/>
                <w:color w:val="000000"/>
                <w:szCs w:val="20"/>
              </w:rPr>
              <w:t>219</w:t>
            </w:r>
          </w:p>
        </w:tc>
        <w:tc>
          <w:tcPr>
            <w:tcW w:w="2000" w:type="dxa"/>
            <w:tcBorders>
              <w:top w:val="nil"/>
              <w:left w:val="nil"/>
              <w:bottom w:val="nil"/>
              <w:right w:val="nil"/>
            </w:tcBorders>
            <w:shd w:val="clear" w:color="auto" w:fill="auto"/>
            <w:noWrap/>
            <w:vAlign w:val="center"/>
            <w:hideMark/>
          </w:tcPr>
          <w:p w:rsidR="003E1F91" w:rsidRPr="003E1F91" w:rsidRDefault="00EE0B46" w:rsidP="003E1F91">
            <w:pPr>
              <w:spacing w:after="0" w:line="240" w:lineRule="auto"/>
              <w:jc w:val="right"/>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6,</w:t>
            </w:r>
            <w:r w:rsidR="003E1F91" w:rsidRPr="003E1F91">
              <w:rPr>
                <w:rFonts w:asciiTheme="minorHAnsi" w:eastAsia="Times New Roman" w:hAnsiTheme="minorHAnsi" w:cstheme="minorHAnsi"/>
                <w:color w:val="000000"/>
                <w:szCs w:val="20"/>
              </w:rPr>
              <w:t>481</w:t>
            </w:r>
          </w:p>
        </w:tc>
      </w:tr>
      <w:tr w:rsidR="003E1F91" w:rsidRPr="003E1F91" w:rsidTr="003E1F91">
        <w:trPr>
          <w:trHeight w:val="290"/>
        </w:trPr>
        <w:tc>
          <w:tcPr>
            <w:tcW w:w="556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lang w:val="en-GB"/>
              </w:rPr>
            </w:pPr>
            <w:r w:rsidRPr="003E1F91">
              <w:rPr>
                <w:rFonts w:asciiTheme="minorHAnsi" w:eastAsia="Times New Roman" w:hAnsiTheme="minorHAnsi" w:cstheme="minorHAnsi"/>
                <w:color w:val="000000"/>
                <w:szCs w:val="20"/>
                <w:lang w:val="en-GB"/>
              </w:rPr>
              <w:t>Gearing ratio (net debt / capital)</w:t>
            </w:r>
          </w:p>
        </w:tc>
        <w:tc>
          <w:tcPr>
            <w:tcW w:w="200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34%</w:t>
            </w:r>
          </w:p>
        </w:tc>
        <w:tc>
          <w:tcPr>
            <w:tcW w:w="200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37%</w:t>
            </w:r>
          </w:p>
        </w:tc>
      </w:tr>
      <w:tr w:rsidR="003E1F91" w:rsidRPr="003E1F91" w:rsidTr="003E1F91">
        <w:trPr>
          <w:trHeight w:val="290"/>
        </w:trPr>
        <w:tc>
          <w:tcPr>
            <w:tcW w:w="556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lang w:val="en-GB"/>
              </w:rPr>
            </w:pPr>
            <w:r w:rsidRPr="003E1F91">
              <w:rPr>
                <w:rFonts w:asciiTheme="minorHAnsi" w:eastAsia="Times New Roman" w:hAnsiTheme="minorHAnsi" w:cstheme="minorHAnsi"/>
                <w:color w:val="000000"/>
                <w:szCs w:val="20"/>
                <w:lang w:val="en-GB"/>
              </w:rPr>
              <w:t>Solvency (group equity / total liabilities)</w:t>
            </w:r>
          </w:p>
        </w:tc>
        <w:tc>
          <w:tcPr>
            <w:tcW w:w="200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31%</w:t>
            </w:r>
          </w:p>
        </w:tc>
        <w:tc>
          <w:tcPr>
            <w:tcW w:w="200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28%</w:t>
            </w:r>
          </w:p>
        </w:tc>
      </w:tr>
      <w:tr w:rsidR="003E1F91" w:rsidRPr="003E1F91" w:rsidTr="003E1F91">
        <w:trPr>
          <w:trHeight w:val="290"/>
        </w:trPr>
        <w:tc>
          <w:tcPr>
            <w:tcW w:w="556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proofErr w:type="spellStart"/>
            <w:r w:rsidRPr="003E1F91">
              <w:rPr>
                <w:rFonts w:asciiTheme="minorHAnsi" w:eastAsia="Times New Roman" w:hAnsiTheme="minorHAnsi" w:cstheme="minorHAnsi"/>
                <w:color w:val="000000"/>
                <w:szCs w:val="20"/>
              </w:rPr>
              <w:t>Debt</w:t>
            </w:r>
            <w:proofErr w:type="spellEnd"/>
            <w:r w:rsidRPr="003E1F91">
              <w:rPr>
                <w:rFonts w:asciiTheme="minorHAnsi" w:eastAsia="Times New Roman" w:hAnsiTheme="minorHAnsi" w:cstheme="minorHAnsi"/>
                <w:color w:val="000000"/>
                <w:szCs w:val="20"/>
              </w:rPr>
              <w:t xml:space="preserve"> </w:t>
            </w:r>
            <w:proofErr w:type="spellStart"/>
            <w:r w:rsidRPr="003E1F91">
              <w:rPr>
                <w:rFonts w:asciiTheme="minorHAnsi" w:eastAsia="Times New Roman" w:hAnsiTheme="minorHAnsi" w:cstheme="minorHAnsi"/>
                <w:color w:val="000000"/>
                <w:szCs w:val="20"/>
              </w:rPr>
              <w:t>ratio</w:t>
            </w:r>
            <w:proofErr w:type="spellEnd"/>
            <w:r w:rsidRPr="003E1F91">
              <w:rPr>
                <w:rFonts w:asciiTheme="minorHAnsi" w:eastAsia="Times New Roman" w:hAnsiTheme="minorHAnsi" w:cstheme="minorHAnsi"/>
                <w:color w:val="000000"/>
                <w:szCs w:val="20"/>
              </w:rPr>
              <w:t xml:space="preserve"> (</w:t>
            </w:r>
            <w:proofErr w:type="spellStart"/>
            <w:r w:rsidRPr="003E1F91">
              <w:rPr>
                <w:rFonts w:asciiTheme="minorHAnsi" w:eastAsia="Times New Roman" w:hAnsiTheme="minorHAnsi" w:cstheme="minorHAnsi"/>
                <w:color w:val="000000"/>
                <w:szCs w:val="20"/>
              </w:rPr>
              <w:t>net</w:t>
            </w:r>
            <w:proofErr w:type="spellEnd"/>
            <w:r w:rsidRPr="003E1F91">
              <w:rPr>
                <w:rFonts w:asciiTheme="minorHAnsi" w:eastAsia="Times New Roman" w:hAnsiTheme="minorHAnsi" w:cstheme="minorHAnsi"/>
                <w:color w:val="000000"/>
                <w:szCs w:val="20"/>
              </w:rPr>
              <w:t xml:space="preserve"> </w:t>
            </w:r>
            <w:proofErr w:type="spellStart"/>
            <w:r w:rsidRPr="003E1F91">
              <w:rPr>
                <w:rFonts w:asciiTheme="minorHAnsi" w:eastAsia="Times New Roman" w:hAnsiTheme="minorHAnsi" w:cstheme="minorHAnsi"/>
                <w:color w:val="000000"/>
                <w:szCs w:val="20"/>
              </w:rPr>
              <w:t>debt</w:t>
            </w:r>
            <w:proofErr w:type="spellEnd"/>
            <w:r w:rsidRPr="003E1F91">
              <w:rPr>
                <w:rFonts w:asciiTheme="minorHAnsi" w:eastAsia="Times New Roman" w:hAnsiTheme="minorHAnsi" w:cstheme="minorHAnsi"/>
                <w:color w:val="000000"/>
                <w:szCs w:val="20"/>
              </w:rPr>
              <w:t xml:space="preserve"> / EBITDA)</w:t>
            </w:r>
          </w:p>
        </w:tc>
        <w:tc>
          <w:tcPr>
            <w:tcW w:w="2000" w:type="dxa"/>
            <w:tcBorders>
              <w:top w:val="nil"/>
              <w:left w:val="nil"/>
              <w:bottom w:val="nil"/>
              <w:right w:val="nil"/>
            </w:tcBorders>
            <w:shd w:val="clear" w:color="auto" w:fill="auto"/>
            <w:noWrap/>
            <w:vAlign w:val="center"/>
            <w:hideMark/>
          </w:tcPr>
          <w:p w:rsidR="003E1F91" w:rsidRPr="003E1F91" w:rsidRDefault="00EE0B46" w:rsidP="003E1F91">
            <w:pPr>
              <w:spacing w:after="0" w:line="240" w:lineRule="auto"/>
              <w:jc w:val="right"/>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4.</w:t>
            </w:r>
            <w:r w:rsidR="003E1F91" w:rsidRPr="003E1F91">
              <w:rPr>
                <w:rFonts w:asciiTheme="minorHAnsi" w:eastAsia="Times New Roman" w:hAnsiTheme="minorHAnsi" w:cstheme="minorHAnsi"/>
                <w:color w:val="000000"/>
                <w:szCs w:val="20"/>
              </w:rPr>
              <w:t>1</w:t>
            </w:r>
          </w:p>
        </w:tc>
        <w:tc>
          <w:tcPr>
            <w:tcW w:w="2000" w:type="dxa"/>
            <w:tcBorders>
              <w:top w:val="nil"/>
              <w:left w:val="nil"/>
              <w:bottom w:val="nil"/>
              <w:right w:val="nil"/>
            </w:tcBorders>
            <w:shd w:val="clear" w:color="auto" w:fill="auto"/>
            <w:noWrap/>
            <w:vAlign w:val="center"/>
            <w:hideMark/>
          </w:tcPr>
          <w:p w:rsidR="003E1F91" w:rsidRPr="003E1F91" w:rsidRDefault="00EE0B46" w:rsidP="003E1F91">
            <w:pPr>
              <w:spacing w:after="0" w:line="240" w:lineRule="auto"/>
              <w:jc w:val="right"/>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-7.</w:t>
            </w:r>
            <w:r w:rsidR="003E1F91" w:rsidRPr="003E1F91">
              <w:rPr>
                <w:rFonts w:asciiTheme="minorHAnsi" w:eastAsia="Times New Roman" w:hAnsiTheme="minorHAnsi" w:cstheme="minorHAnsi"/>
                <w:color w:val="000000"/>
                <w:szCs w:val="20"/>
              </w:rPr>
              <w:t>8</w:t>
            </w:r>
          </w:p>
        </w:tc>
      </w:tr>
      <w:tr w:rsidR="003E1F91" w:rsidRPr="003E1F91" w:rsidTr="003E1F91">
        <w:trPr>
          <w:trHeight w:val="290"/>
        </w:trPr>
        <w:tc>
          <w:tcPr>
            <w:tcW w:w="556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szCs w:val="20"/>
              </w:rPr>
            </w:pPr>
            <w:r w:rsidRPr="003E1F91">
              <w:rPr>
                <w:rFonts w:asciiTheme="minorHAnsi" w:eastAsia="Times New Roman" w:hAnsiTheme="minorHAnsi" w:cstheme="minorHAnsi"/>
                <w:szCs w:val="20"/>
              </w:rPr>
              <w:t xml:space="preserve">Net </w:t>
            </w:r>
            <w:proofErr w:type="spellStart"/>
            <w:r w:rsidRPr="003E1F91">
              <w:rPr>
                <w:rFonts w:asciiTheme="minorHAnsi" w:eastAsia="Times New Roman" w:hAnsiTheme="minorHAnsi" w:cstheme="minorHAnsi"/>
                <w:szCs w:val="20"/>
              </w:rPr>
              <w:t>working</w:t>
            </w:r>
            <w:proofErr w:type="spellEnd"/>
            <w:r w:rsidRPr="003E1F91">
              <w:rPr>
                <w:rFonts w:asciiTheme="minorHAnsi" w:eastAsia="Times New Roman" w:hAnsiTheme="minorHAnsi" w:cstheme="minorHAnsi"/>
                <w:szCs w:val="20"/>
              </w:rPr>
              <w:t xml:space="preserve"> </w:t>
            </w:r>
            <w:proofErr w:type="spellStart"/>
            <w:r w:rsidRPr="003E1F91">
              <w:rPr>
                <w:rFonts w:asciiTheme="minorHAnsi" w:eastAsia="Times New Roman" w:hAnsiTheme="minorHAnsi" w:cstheme="minorHAnsi"/>
                <w:szCs w:val="20"/>
              </w:rPr>
              <w:t>capital</w:t>
            </w:r>
            <w:proofErr w:type="spellEnd"/>
          </w:p>
        </w:tc>
        <w:tc>
          <w:tcPr>
            <w:tcW w:w="200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sidRPr="003E1F91">
              <w:rPr>
                <w:rFonts w:asciiTheme="minorHAnsi" w:eastAsia="Times New Roman" w:hAnsiTheme="minorHAnsi" w:cstheme="minorHAnsi"/>
                <w:szCs w:val="20"/>
              </w:rPr>
              <w:t>452</w:t>
            </w:r>
          </w:p>
        </w:tc>
        <w:tc>
          <w:tcPr>
            <w:tcW w:w="200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sidRPr="003E1F91">
              <w:rPr>
                <w:rFonts w:asciiTheme="minorHAnsi" w:eastAsia="Times New Roman" w:hAnsiTheme="minorHAnsi" w:cstheme="minorHAnsi"/>
                <w:szCs w:val="20"/>
              </w:rPr>
              <w:t>540</w:t>
            </w:r>
          </w:p>
        </w:tc>
      </w:tr>
      <w:tr w:rsidR="003E1F91" w:rsidRPr="00EE0B46" w:rsidTr="003E1F91">
        <w:trPr>
          <w:trHeight w:val="290"/>
        </w:trPr>
        <w:tc>
          <w:tcPr>
            <w:tcW w:w="5560" w:type="dxa"/>
            <w:tcBorders>
              <w:top w:val="nil"/>
              <w:left w:val="nil"/>
              <w:bottom w:val="nil"/>
              <w:right w:val="nil"/>
            </w:tcBorders>
            <w:shd w:val="clear" w:color="auto" w:fill="auto"/>
            <w:noWrap/>
            <w:vAlign w:val="center"/>
            <w:hideMark/>
          </w:tcPr>
          <w:p w:rsidR="003E1F91" w:rsidRPr="003E1F91" w:rsidRDefault="003E1F91" w:rsidP="00657139">
            <w:pPr>
              <w:spacing w:after="0" w:line="240" w:lineRule="auto"/>
              <w:jc w:val="both"/>
              <w:rPr>
                <w:rFonts w:asciiTheme="minorHAnsi" w:eastAsia="Times New Roman" w:hAnsiTheme="minorHAnsi" w:cstheme="minorHAnsi"/>
                <w:szCs w:val="20"/>
                <w:lang w:val="en-GB"/>
              </w:rPr>
            </w:pPr>
            <w:r w:rsidRPr="003E1F91">
              <w:rPr>
                <w:rFonts w:asciiTheme="minorHAnsi" w:eastAsia="Times New Roman" w:hAnsiTheme="minorHAnsi" w:cstheme="minorHAnsi"/>
                <w:szCs w:val="20"/>
                <w:lang w:val="en-GB"/>
              </w:rPr>
              <w:t>Working capital ratio</w:t>
            </w:r>
            <w:r w:rsidRPr="003E1F91">
              <w:rPr>
                <w:rFonts w:asciiTheme="minorHAnsi" w:eastAsia="Times New Roman" w:hAnsiTheme="minorHAnsi" w:cstheme="minorHAnsi"/>
                <w:szCs w:val="20"/>
                <w:lang w:val="en-US"/>
              </w:rPr>
              <w:t xml:space="preserve"> </w:t>
            </w:r>
            <w:r w:rsidRPr="003E1F91">
              <w:rPr>
                <w:rFonts w:asciiTheme="minorHAnsi" w:eastAsia="Times New Roman" w:hAnsiTheme="minorHAnsi" w:cstheme="minorHAnsi"/>
                <w:szCs w:val="20"/>
                <w:lang w:val="en-GB"/>
              </w:rPr>
              <w:t>(current assets / current liabilities)</w:t>
            </w:r>
          </w:p>
        </w:tc>
        <w:tc>
          <w:tcPr>
            <w:tcW w:w="2000" w:type="dxa"/>
            <w:tcBorders>
              <w:top w:val="nil"/>
              <w:left w:val="nil"/>
              <w:bottom w:val="nil"/>
              <w:right w:val="nil"/>
            </w:tcBorders>
            <w:shd w:val="clear" w:color="auto" w:fill="auto"/>
            <w:noWrap/>
            <w:vAlign w:val="center"/>
            <w:hideMark/>
          </w:tcPr>
          <w:p w:rsidR="003E1F91" w:rsidRPr="00EE0B46" w:rsidRDefault="003E1F91" w:rsidP="00EE0B46">
            <w:pPr>
              <w:spacing w:after="0" w:line="240" w:lineRule="auto"/>
              <w:jc w:val="right"/>
              <w:rPr>
                <w:rFonts w:asciiTheme="minorHAnsi" w:eastAsia="Times New Roman" w:hAnsiTheme="minorHAnsi" w:cstheme="minorHAnsi"/>
                <w:szCs w:val="20"/>
                <w:lang w:val="en-GB"/>
              </w:rPr>
            </w:pPr>
            <w:r w:rsidRPr="00EE0B46">
              <w:rPr>
                <w:rFonts w:asciiTheme="minorHAnsi" w:eastAsia="Times New Roman" w:hAnsiTheme="minorHAnsi" w:cstheme="minorHAnsi"/>
                <w:szCs w:val="20"/>
                <w:lang w:val="en-GB"/>
              </w:rPr>
              <w:t>1</w:t>
            </w:r>
            <w:r w:rsidR="00EE0B46" w:rsidRPr="00EE0B46">
              <w:rPr>
                <w:rFonts w:asciiTheme="minorHAnsi" w:eastAsia="Times New Roman" w:hAnsiTheme="minorHAnsi" w:cstheme="minorHAnsi"/>
                <w:szCs w:val="20"/>
                <w:lang w:val="en-GB"/>
              </w:rPr>
              <w:t>.</w:t>
            </w:r>
            <w:r w:rsidRPr="00EE0B46">
              <w:rPr>
                <w:rFonts w:asciiTheme="minorHAnsi" w:eastAsia="Times New Roman" w:hAnsiTheme="minorHAnsi" w:cstheme="minorHAnsi"/>
                <w:szCs w:val="20"/>
                <w:lang w:val="en-GB"/>
              </w:rPr>
              <w:t>17</w:t>
            </w:r>
          </w:p>
        </w:tc>
        <w:tc>
          <w:tcPr>
            <w:tcW w:w="2000" w:type="dxa"/>
            <w:tcBorders>
              <w:top w:val="nil"/>
              <w:left w:val="nil"/>
              <w:bottom w:val="nil"/>
              <w:right w:val="nil"/>
            </w:tcBorders>
            <w:shd w:val="clear" w:color="auto" w:fill="auto"/>
            <w:noWrap/>
            <w:vAlign w:val="center"/>
            <w:hideMark/>
          </w:tcPr>
          <w:p w:rsidR="003E1F91" w:rsidRPr="00EE0B46" w:rsidRDefault="003E1F91" w:rsidP="00EE0B46">
            <w:pPr>
              <w:spacing w:after="0" w:line="240" w:lineRule="auto"/>
              <w:jc w:val="right"/>
              <w:rPr>
                <w:rFonts w:asciiTheme="minorHAnsi" w:eastAsia="Times New Roman" w:hAnsiTheme="minorHAnsi" w:cstheme="minorHAnsi"/>
                <w:szCs w:val="20"/>
                <w:lang w:val="en-GB"/>
              </w:rPr>
            </w:pPr>
            <w:r w:rsidRPr="00EE0B46">
              <w:rPr>
                <w:rFonts w:asciiTheme="minorHAnsi" w:eastAsia="Times New Roman" w:hAnsiTheme="minorHAnsi" w:cstheme="minorHAnsi"/>
                <w:szCs w:val="20"/>
                <w:lang w:val="en-GB"/>
              </w:rPr>
              <w:t>1</w:t>
            </w:r>
            <w:r w:rsidR="00EE0B46">
              <w:rPr>
                <w:rFonts w:asciiTheme="minorHAnsi" w:eastAsia="Times New Roman" w:hAnsiTheme="minorHAnsi" w:cstheme="minorHAnsi"/>
                <w:szCs w:val="20"/>
                <w:lang w:val="en-GB"/>
              </w:rPr>
              <w:t>.</w:t>
            </w:r>
            <w:r w:rsidRPr="00EE0B46">
              <w:rPr>
                <w:rFonts w:asciiTheme="minorHAnsi" w:eastAsia="Times New Roman" w:hAnsiTheme="minorHAnsi" w:cstheme="minorHAnsi"/>
                <w:szCs w:val="20"/>
                <w:lang w:val="en-GB"/>
              </w:rPr>
              <w:t>23</w:t>
            </w:r>
          </w:p>
        </w:tc>
      </w:tr>
      <w:tr w:rsidR="003E1F91" w:rsidRPr="00EE0B46" w:rsidTr="003E1F91">
        <w:trPr>
          <w:trHeight w:val="290"/>
        </w:trPr>
        <w:tc>
          <w:tcPr>
            <w:tcW w:w="5560" w:type="dxa"/>
            <w:tcBorders>
              <w:top w:val="nil"/>
              <w:left w:val="nil"/>
              <w:bottom w:val="nil"/>
              <w:right w:val="nil"/>
            </w:tcBorders>
            <w:shd w:val="clear" w:color="auto" w:fill="auto"/>
            <w:noWrap/>
            <w:vAlign w:val="bottom"/>
          </w:tcPr>
          <w:p w:rsidR="003E1F91" w:rsidRPr="00EE0B46" w:rsidRDefault="003E1F91" w:rsidP="003E1F91">
            <w:pPr>
              <w:spacing w:after="0" w:line="240" w:lineRule="auto"/>
              <w:jc w:val="both"/>
              <w:rPr>
                <w:rFonts w:asciiTheme="minorHAnsi" w:eastAsia="Times New Roman" w:hAnsiTheme="minorHAnsi" w:cstheme="minorHAnsi"/>
                <w:szCs w:val="20"/>
                <w:lang w:val="en-GB"/>
              </w:rPr>
            </w:pPr>
          </w:p>
        </w:tc>
        <w:tc>
          <w:tcPr>
            <w:tcW w:w="2000" w:type="dxa"/>
            <w:tcBorders>
              <w:top w:val="nil"/>
              <w:left w:val="nil"/>
              <w:bottom w:val="nil"/>
              <w:right w:val="nil"/>
            </w:tcBorders>
            <w:shd w:val="clear" w:color="auto" w:fill="auto"/>
            <w:noWrap/>
            <w:vAlign w:val="bottom"/>
            <w:hideMark/>
          </w:tcPr>
          <w:p w:rsidR="003E1F91" w:rsidRPr="00EE0B46" w:rsidRDefault="003E1F91" w:rsidP="003E1F91">
            <w:pPr>
              <w:spacing w:after="0" w:line="240" w:lineRule="auto"/>
              <w:jc w:val="right"/>
              <w:rPr>
                <w:rFonts w:asciiTheme="minorHAnsi" w:eastAsia="Times New Roman" w:hAnsiTheme="minorHAnsi" w:cstheme="minorHAnsi"/>
                <w:szCs w:val="20"/>
                <w:lang w:val="en-GB"/>
              </w:rPr>
            </w:pPr>
          </w:p>
        </w:tc>
        <w:tc>
          <w:tcPr>
            <w:tcW w:w="2000" w:type="dxa"/>
            <w:tcBorders>
              <w:top w:val="nil"/>
              <w:left w:val="nil"/>
              <w:bottom w:val="nil"/>
              <w:right w:val="nil"/>
            </w:tcBorders>
            <w:shd w:val="clear" w:color="auto" w:fill="auto"/>
            <w:noWrap/>
            <w:vAlign w:val="bottom"/>
            <w:hideMark/>
          </w:tcPr>
          <w:p w:rsidR="003E1F91" w:rsidRPr="00EE0B46" w:rsidRDefault="003E1F91" w:rsidP="003E1F91">
            <w:pPr>
              <w:spacing w:after="0" w:line="240" w:lineRule="auto"/>
              <w:jc w:val="right"/>
              <w:rPr>
                <w:rFonts w:asciiTheme="minorHAnsi" w:eastAsia="Times New Roman" w:hAnsiTheme="minorHAnsi" w:cstheme="minorHAnsi"/>
                <w:szCs w:val="20"/>
                <w:lang w:val="en-GB"/>
              </w:rPr>
            </w:pPr>
          </w:p>
        </w:tc>
      </w:tr>
      <w:tr w:rsidR="003E1F91" w:rsidRPr="00EE0B46" w:rsidTr="003E1F91">
        <w:trPr>
          <w:trHeight w:val="290"/>
        </w:trPr>
        <w:tc>
          <w:tcPr>
            <w:tcW w:w="5560" w:type="dxa"/>
            <w:tcBorders>
              <w:top w:val="nil"/>
              <w:left w:val="nil"/>
              <w:bottom w:val="nil"/>
              <w:right w:val="nil"/>
            </w:tcBorders>
            <w:shd w:val="clear" w:color="auto" w:fill="auto"/>
            <w:noWrap/>
            <w:vAlign w:val="center"/>
            <w:hideMark/>
          </w:tcPr>
          <w:p w:rsidR="003E1F91" w:rsidRPr="00EE0B46" w:rsidRDefault="003E1F91" w:rsidP="003E1F91">
            <w:pPr>
              <w:spacing w:after="0" w:line="240" w:lineRule="auto"/>
              <w:jc w:val="both"/>
              <w:rPr>
                <w:rFonts w:asciiTheme="minorHAnsi" w:eastAsia="Times New Roman" w:hAnsiTheme="minorHAnsi" w:cstheme="minorHAnsi"/>
                <w:b/>
                <w:bCs/>
                <w:color w:val="000000"/>
                <w:szCs w:val="20"/>
                <w:lang w:val="en-GB"/>
              </w:rPr>
            </w:pPr>
            <w:r w:rsidRPr="00EE0B46">
              <w:rPr>
                <w:rFonts w:asciiTheme="minorHAnsi" w:eastAsia="Times New Roman" w:hAnsiTheme="minorHAnsi" w:cstheme="minorHAnsi"/>
                <w:b/>
                <w:bCs/>
                <w:color w:val="000000"/>
                <w:szCs w:val="20"/>
                <w:lang w:val="en-GB"/>
              </w:rPr>
              <w:t>Assets</w:t>
            </w:r>
          </w:p>
        </w:tc>
        <w:tc>
          <w:tcPr>
            <w:tcW w:w="2000" w:type="dxa"/>
            <w:tcBorders>
              <w:top w:val="nil"/>
              <w:left w:val="nil"/>
              <w:bottom w:val="nil"/>
              <w:right w:val="nil"/>
            </w:tcBorders>
            <w:shd w:val="clear" w:color="auto" w:fill="auto"/>
            <w:noWrap/>
            <w:vAlign w:val="center"/>
            <w:hideMark/>
          </w:tcPr>
          <w:p w:rsidR="003E1F91" w:rsidRPr="00EE0B46" w:rsidRDefault="003E1F91" w:rsidP="003E1F91">
            <w:pPr>
              <w:spacing w:after="0" w:line="240" w:lineRule="auto"/>
              <w:jc w:val="right"/>
              <w:rPr>
                <w:rFonts w:asciiTheme="minorHAnsi" w:eastAsia="Times New Roman" w:hAnsiTheme="minorHAnsi" w:cstheme="minorHAnsi"/>
                <w:b/>
                <w:bCs/>
                <w:color w:val="000000"/>
                <w:szCs w:val="20"/>
                <w:lang w:val="en-GB"/>
              </w:rPr>
            </w:pPr>
          </w:p>
        </w:tc>
        <w:tc>
          <w:tcPr>
            <w:tcW w:w="2000" w:type="dxa"/>
            <w:tcBorders>
              <w:top w:val="nil"/>
              <w:left w:val="nil"/>
              <w:bottom w:val="nil"/>
              <w:right w:val="nil"/>
            </w:tcBorders>
            <w:shd w:val="clear" w:color="auto" w:fill="auto"/>
            <w:noWrap/>
            <w:vAlign w:val="bottom"/>
            <w:hideMark/>
          </w:tcPr>
          <w:p w:rsidR="003E1F91" w:rsidRPr="00EE0B46" w:rsidRDefault="003E1F91" w:rsidP="003E1F91">
            <w:pPr>
              <w:spacing w:after="0" w:line="240" w:lineRule="auto"/>
              <w:jc w:val="right"/>
              <w:rPr>
                <w:rFonts w:asciiTheme="minorHAnsi" w:eastAsia="Times New Roman" w:hAnsiTheme="minorHAnsi" w:cstheme="minorHAnsi"/>
                <w:szCs w:val="20"/>
                <w:lang w:val="en-GB"/>
              </w:rPr>
            </w:pPr>
          </w:p>
        </w:tc>
      </w:tr>
      <w:tr w:rsidR="003E1F91" w:rsidRPr="00EE0B46" w:rsidTr="003E1F91">
        <w:trPr>
          <w:trHeight w:val="290"/>
        </w:trPr>
        <w:tc>
          <w:tcPr>
            <w:tcW w:w="556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lang w:val="en-GB"/>
              </w:rPr>
            </w:pPr>
            <w:r w:rsidRPr="003E1F91">
              <w:rPr>
                <w:rFonts w:asciiTheme="minorHAnsi" w:eastAsia="Times New Roman" w:hAnsiTheme="minorHAnsi" w:cstheme="minorHAnsi"/>
                <w:color w:val="000000"/>
                <w:szCs w:val="20"/>
                <w:lang w:val="en-GB"/>
              </w:rPr>
              <w:t>Tangible and intangible fixed assets</w:t>
            </w:r>
          </w:p>
        </w:tc>
        <w:tc>
          <w:tcPr>
            <w:tcW w:w="2000" w:type="dxa"/>
            <w:tcBorders>
              <w:top w:val="nil"/>
              <w:left w:val="nil"/>
              <w:bottom w:val="nil"/>
              <w:right w:val="nil"/>
            </w:tcBorders>
            <w:shd w:val="clear" w:color="auto" w:fill="auto"/>
            <w:noWrap/>
            <w:vAlign w:val="center"/>
            <w:hideMark/>
          </w:tcPr>
          <w:p w:rsidR="003E1F91" w:rsidRPr="00EE0B46" w:rsidRDefault="00EE0B46" w:rsidP="003E1F91">
            <w:pPr>
              <w:spacing w:after="0" w:line="240" w:lineRule="auto"/>
              <w:jc w:val="right"/>
              <w:rPr>
                <w:rFonts w:asciiTheme="minorHAnsi" w:eastAsia="Times New Roman" w:hAnsiTheme="minorHAnsi" w:cstheme="minorHAnsi"/>
                <w:color w:val="000000"/>
                <w:szCs w:val="20"/>
                <w:lang w:val="en-GB"/>
              </w:rPr>
            </w:pPr>
            <w:r w:rsidRPr="00EE0B46">
              <w:rPr>
                <w:rFonts w:asciiTheme="minorHAnsi" w:eastAsia="Times New Roman" w:hAnsiTheme="minorHAnsi" w:cstheme="minorHAnsi"/>
                <w:color w:val="000000"/>
                <w:szCs w:val="20"/>
                <w:lang w:val="en-GB"/>
              </w:rPr>
              <w:t>8,</w:t>
            </w:r>
            <w:r w:rsidR="003E1F91" w:rsidRPr="00EE0B46">
              <w:rPr>
                <w:rFonts w:asciiTheme="minorHAnsi" w:eastAsia="Times New Roman" w:hAnsiTheme="minorHAnsi" w:cstheme="minorHAnsi"/>
                <w:color w:val="000000"/>
                <w:szCs w:val="20"/>
                <w:lang w:val="en-GB"/>
              </w:rPr>
              <w:t>451</w:t>
            </w:r>
          </w:p>
        </w:tc>
        <w:tc>
          <w:tcPr>
            <w:tcW w:w="2000" w:type="dxa"/>
            <w:tcBorders>
              <w:top w:val="nil"/>
              <w:left w:val="nil"/>
              <w:bottom w:val="nil"/>
              <w:right w:val="nil"/>
            </w:tcBorders>
            <w:shd w:val="clear" w:color="auto" w:fill="auto"/>
            <w:noWrap/>
            <w:vAlign w:val="center"/>
            <w:hideMark/>
          </w:tcPr>
          <w:p w:rsidR="003E1F91" w:rsidRPr="00EE0B46" w:rsidRDefault="00EE0B46" w:rsidP="003E1F91">
            <w:pPr>
              <w:spacing w:after="0" w:line="240" w:lineRule="auto"/>
              <w:jc w:val="right"/>
              <w:rPr>
                <w:rFonts w:asciiTheme="minorHAnsi" w:eastAsia="Times New Roman" w:hAnsiTheme="minorHAnsi" w:cstheme="minorHAnsi"/>
                <w:color w:val="000000"/>
                <w:szCs w:val="20"/>
                <w:lang w:val="en-GB"/>
              </w:rPr>
            </w:pPr>
            <w:r w:rsidRPr="00EE0B46">
              <w:rPr>
                <w:rFonts w:asciiTheme="minorHAnsi" w:eastAsia="Times New Roman" w:hAnsiTheme="minorHAnsi" w:cstheme="minorHAnsi"/>
                <w:color w:val="000000"/>
                <w:szCs w:val="20"/>
                <w:lang w:val="en-GB"/>
              </w:rPr>
              <w:t>7,</w:t>
            </w:r>
            <w:r w:rsidR="003E1F91" w:rsidRPr="00EE0B46">
              <w:rPr>
                <w:rFonts w:asciiTheme="minorHAnsi" w:eastAsia="Times New Roman" w:hAnsiTheme="minorHAnsi" w:cstheme="minorHAnsi"/>
                <w:color w:val="000000"/>
                <w:szCs w:val="20"/>
                <w:lang w:val="en-GB"/>
              </w:rPr>
              <w:t>684</w:t>
            </w:r>
          </w:p>
        </w:tc>
      </w:tr>
      <w:tr w:rsidR="003E1F91" w:rsidRPr="00EE0B46" w:rsidTr="003E1F91">
        <w:trPr>
          <w:trHeight w:val="290"/>
        </w:trPr>
        <w:tc>
          <w:tcPr>
            <w:tcW w:w="556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lang w:val="en-GB"/>
              </w:rPr>
            </w:pPr>
            <w:r w:rsidRPr="003E1F91">
              <w:rPr>
                <w:rFonts w:asciiTheme="minorHAnsi" w:eastAsia="Times New Roman" w:hAnsiTheme="minorHAnsi" w:cstheme="minorHAnsi"/>
                <w:color w:val="000000"/>
                <w:szCs w:val="20"/>
                <w:lang w:val="en-GB"/>
              </w:rPr>
              <w:t>Investments in (in)tangible fixed assets</w:t>
            </w:r>
          </w:p>
        </w:tc>
        <w:tc>
          <w:tcPr>
            <w:tcW w:w="2000" w:type="dxa"/>
            <w:tcBorders>
              <w:top w:val="nil"/>
              <w:left w:val="nil"/>
              <w:bottom w:val="nil"/>
              <w:right w:val="nil"/>
            </w:tcBorders>
            <w:shd w:val="clear" w:color="auto" w:fill="auto"/>
            <w:noWrap/>
            <w:vAlign w:val="center"/>
            <w:hideMark/>
          </w:tcPr>
          <w:p w:rsidR="003E1F91" w:rsidRPr="00EE0B46" w:rsidRDefault="00EE0B46" w:rsidP="003E1F91">
            <w:pPr>
              <w:spacing w:after="0" w:line="240" w:lineRule="auto"/>
              <w:jc w:val="right"/>
              <w:rPr>
                <w:rFonts w:asciiTheme="minorHAnsi" w:eastAsia="Times New Roman" w:hAnsiTheme="minorHAnsi" w:cstheme="minorHAnsi"/>
                <w:color w:val="000000"/>
                <w:szCs w:val="20"/>
                <w:lang w:val="en-GB"/>
              </w:rPr>
            </w:pPr>
            <w:r w:rsidRPr="00EE0B46">
              <w:rPr>
                <w:rFonts w:asciiTheme="minorHAnsi" w:eastAsia="Times New Roman" w:hAnsiTheme="minorHAnsi" w:cstheme="minorHAnsi"/>
                <w:color w:val="000000"/>
                <w:szCs w:val="20"/>
                <w:lang w:val="en-GB"/>
              </w:rPr>
              <w:t>1,</w:t>
            </w:r>
            <w:r w:rsidR="003E1F91" w:rsidRPr="00EE0B46">
              <w:rPr>
                <w:rFonts w:asciiTheme="minorHAnsi" w:eastAsia="Times New Roman" w:hAnsiTheme="minorHAnsi" w:cstheme="minorHAnsi"/>
                <w:color w:val="000000"/>
                <w:szCs w:val="20"/>
                <w:lang w:val="en-GB"/>
              </w:rPr>
              <w:t>199</w:t>
            </w:r>
          </w:p>
        </w:tc>
        <w:tc>
          <w:tcPr>
            <w:tcW w:w="2000" w:type="dxa"/>
            <w:tcBorders>
              <w:top w:val="nil"/>
              <w:left w:val="nil"/>
              <w:bottom w:val="nil"/>
              <w:right w:val="nil"/>
            </w:tcBorders>
            <w:shd w:val="clear" w:color="auto" w:fill="auto"/>
            <w:noWrap/>
            <w:vAlign w:val="center"/>
            <w:hideMark/>
          </w:tcPr>
          <w:p w:rsidR="003E1F91" w:rsidRPr="00EE0B46" w:rsidRDefault="00EE0B46" w:rsidP="003E1F91">
            <w:pPr>
              <w:spacing w:after="0" w:line="240" w:lineRule="auto"/>
              <w:jc w:val="right"/>
              <w:rPr>
                <w:rFonts w:asciiTheme="minorHAnsi" w:eastAsia="Times New Roman" w:hAnsiTheme="minorHAnsi" w:cstheme="minorHAnsi"/>
                <w:color w:val="000000"/>
                <w:szCs w:val="20"/>
                <w:lang w:val="en-GB"/>
              </w:rPr>
            </w:pPr>
            <w:r w:rsidRPr="00EE0B46">
              <w:rPr>
                <w:rFonts w:asciiTheme="minorHAnsi" w:eastAsia="Times New Roman" w:hAnsiTheme="minorHAnsi" w:cstheme="minorHAnsi"/>
                <w:color w:val="000000"/>
                <w:szCs w:val="20"/>
                <w:lang w:val="en-GB"/>
              </w:rPr>
              <w:t>1,</w:t>
            </w:r>
            <w:r w:rsidR="003E1F91" w:rsidRPr="00EE0B46">
              <w:rPr>
                <w:rFonts w:asciiTheme="minorHAnsi" w:eastAsia="Times New Roman" w:hAnsiTheme="minorHAnsi" w:cstheme="minorHAnsi"/>
                <w:color w:val="000000"/>
                <w:szCs w:val="20"/>
                <w:lang w:val="en-GB"/>
              </w:rPr>
              <w:t>879</w:t>
            </w:r>
          </w:p>
        </w:tc>
      </w:tr>
      <w:tr w:rsidR="003E1F91" w:rsidRPr="003E1F91" w:rsidTr="003E1F91">
        <w:trPr>
          <w:trHeight w:val="290"/>
        </w:trPr>
        <w:tc>
          <w:tcPr>
            <w:tcW w:w="556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lang w:val="en-GB"/>
              </w:rPr>
            </w:pPr>
            <w:r w:rsidRPr="003E1F91">
              <w:rPr>
                <w:rFonts w:asciiTheme="minorHAnsi" w:eastAsia="Times New Roman" w:hAnsiTheme="minorHAnsi" w:cstheme="minorHAnsi"/>
                <w:color w:val="000000"/>
                <w:szCs w:val="20"/>
                <w:lang w:val="en-GB"/>
              </w:rPr>
              <w:t>Depreciation of (in)tangible fixed assets</w:t>
            </w:r>
          </w:p>
        </w:tc>
        <w:tc>
          <w:tcPr>
            <w:tcW w:w="2000" w:type="dxa"/>
            <w:tcBorders>
              <w:top w:val="nil"/>
              <w:left w:val="nil"/>
              <w:bottom w:val="nil"/>
              <w:right w:val="nil"/>
            </w:tcBorders>
            <w:shd w:val="clear" w:color="auto" w:fill="auto"/>
            <w:noWrap/>
            <w:vAlign w:val="center"/>
            <w:hideMark/>
          </w:tcPr>
          <w:p w:rsidR="003E1F91" w:rsidRPr="003E1F91" w:rsidRDefault="00EE0B46" w:rsidP="003E1F91">
            <w:pPr>
              <w:spacing w:after="0" w:line="240" w:lineRule="auto"/>
              <w:jc w:val="right"/>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1,</w:t>
            </w:r>
            <w:r w:rsidR="003E1F91" w:rsidRPr="003E1F91">
              <w:rPr>
                <w:rFonts w:asciiTheme="minorHAnsi" w:eastAsia="Times New Roman" w:hAnsiTheme="minorHAnsi" w:cstheme="minorHAnsi"/>
                <w:color w:val="000000"/>
                <w:szCs w:val="20"/>
              </w:rPr>
              <w:t>018</w:t>
            </w:r>
          </w:p>
        </w:tc>
        <w:tc>
          <w:tcPr>
            <w:tcW w:w="2000" w:type="dxa"/>
            <w:tcBorders>
              <w:top w:val="nil"/>
              <w:left w:val="nil"/>
              <w:bottom w:val="nil"/>
              <w:right w:val="nil"/>
            </w:tcBorders>
            <w:shd w:val="clear" w:color="auto" w:fill="auto"/>
            <w:noWrap/>
            <w:vAlign w:val="center"/>
            <w:hideMark/>
          </w:tcPr>
          <w:p w:rsidR="003E1F91" w:rsidRPr="003E1F91" w:rsidRDefault="00EE0B46" w:rsidP="003E1F91">
            <w:pPr>
              <w:spacing w:after="0" w:line="240" w:lineRule="auto"/>
              <w:jc w:val="right"/>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1,</w:t>
            </w:r>
            <w:r w:rsidR="003E1F91" w:rsidRPr="003E1F91">
              <w:rPr>
                <w:rFonts w:asciiTheme="minorHAnsi" w:eastAsia="Times New Roman" w:hAnsiTheme="minorHAnsi" w:cstheme="minorHAnsi"/>
                <w:color w:val="000000"/>
                <w:szCs w:val="20"/>
              </w:rPr>
              <w:t>029</w:t>
            </w:r>
          </w:p>
        </w:tc>
      </w:tr>
      <w:tr w:rsidR="003E1F91" w:rsidRPr="003E1F91" w:rsidTr="003E1F91">
        <w:trPr>
          <w:trHeight w:val="290"/>
        </w:trPr>
        <w:tc>
          <w:tcPr>
            <w:tcW w:w="5560" w:type="dxa"/>
            <w:tcBorders>
              <w:top w:val="nil"/>
              <w:left w:val="nil"/>
              <w:bottom w:val="nil"/>
              <w:right w:val="nil"/>
            </w:tcBorders>
            <w:shd w:val="clear" w:color="auto" w:fill="auto"/>
            <w:noWrap/>
            <w:vAlign w:val="bottom"/>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p>
        </w:tc>
        <w:tc>
          <w:tcPr>
            <w:tcW w:w="2000" w:type="dxa"/>
            <w:tcBorders>
              <w:top w:val="nil"/>
              <w:left w:val="nil"/>
              <w:bottom w:val="nil"/>
              <w:right w:val="nil"/>
            </w:tcBorders>
            <w:shd w:val="clear" w:color="auto" w:fill="auto"/>
            <w:noWrap/>
            <w:vAlign w:val="bottom"/>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2000" w:type="dxa"/>
            <w:tcBorders>
              <w:top w:val="nil"/>
              <w:left w:val="nil"/>
              <w:bottom w:val="nil"/>
              <w:right w:val="nil"/>
            </w:tcBorders>
            <w:shd w:val="clear" w:color="auto" w:fill="auto"/>
            <w:noWrap/>
            <w:vAlign w:val="bottom"/>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3E1F91" w:rsidTr="003E1F91">
        <w:trPr>
          <w:trHeight w:val="290"/>
        </w:trPr>
        <w:tc>
          <w:tcPr>
            <w:tcW w:w="556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proofErr w:type="spellStart"/>
            <w:r w:rsidRPr="003E1F91">
              <w:rPr>
                <w:rFonts w:asciiTheme="minorHAnsi" w:eastAsia="Times New Roman" w:hAnsiTheme="minorHAnsi" w:cstheme="minorHAnsi"/>
                <w:b/>
                <w:bCs/>
                <w:color w:val="000000"/>
                <w:szCs w:val="20"/>
              </w:rPr>
              <w:t>Issue</w:t>
            </w:r>
            <w:proofErr w:type="spellEnd"/>
            <w:r w:rsidRPr="003E1F91">
              <w:rPr>
                <w:rFonts w:asciiTheme="minorHAnsi" w:eastAsia="Times New Roman" w:hAnsiTheme="minorHAnsi" w:cstheme="minorHAnsi"/>
                <w:b/>
                <w:bCs/>
                <w:color w:val="000000"/>
                <w:szCs w:val="20"/>
              </w:rPr>
              <w:t xml:space="preserve"> </w:t>
            </w:r>
            <w:proofErr w:type="spellStart"/>
            <w:r w:rsidRPr="003E1F91">
              <w:rPr>
                <w:rFonts w:asciiTheme="minorHAnsi" w:eastAsia="Times New Roman" w:hAnsiTheme="minorHAnsi" w:cstheme="minorHAnsi"/>
                <w:b/>
                <w:bCs/>
                <w:color w:val="000000"/>
                <w:szCs w:val="20"/>
              </w:rPr>
              <w:t>of</w:t>
            </w:r>
            <w:proofErr w:type="spellEnd"/>
            <w:r w:rsidRPr="003E1F91">
              <w:rPr>
                <w:rFonts w:asciiTheme="minorHAnsi" w:eastAsia="Times New Roman" w:hAnsiTheme="minorHAnsi" w:cstheme="minorHAnsi"/>
                <w:b/>
                <w:bCs/>
                <w:color w:val="000000"/>
                <w:szCs w:val="20"/>
              </w:rPr>
              <w:t xml:space="preserve"> nominal </w:t>
            </w:r>
            <w:proofErr w:type="spellStart"/>
            <w:r w:rsidRPr="003E1F91">
              <w:rPr>
                <w:rFonts w:asciiTheme="minorHAnsi" w:eastAsia="Times New Roman" w:hAnsiTheme="minorHAnsi" w:cstheme="minorHAnsi"/>
                <w:b/>
                <w:bCs/>
                <w:color w:val="000000"/>
                <w:szCs w:val="20"/>
              </w:rPr>
              <w:t>shares</w:t>
            </w:r>
            <w:proofErr w:type="spellEnd"/>
          </w:p>
        </w:tc>
        <w:tc>
          <w:tcPr>
            <w:tcW w:w="200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p>
        </w:tc>
        <w:tc>
          <w:tcPr>
            <w:tcW w:w="2000" w:type="dxa"/>
            <w:tcBorders>
              <w:top w:val="nil"/>
              <w:left w:val="nil"/>
              <w:bottom w:val="nil"/>
              <w:right w:val="nil"/>
            </w:tcBorders>
            <w:shd w:val="clear" w:color="auto" w:fill="auto"/>
            <w:noWrap/>
            <w:vAlign w:val="bottom"/>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3E1F91" w:rsidTr="003E1F91">
        <w:trPr>
          <w:trHeight w:val="290"/>
        </w:trPr>
        <w:tc>
          <w:tcPr>
            <w:tcW w:w="556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proofErr w:type="spellStart"/>
            <w:r w:rsidRPr="003E1F91">
              <w:rPr>
                <w:rFonts w:asciiTheme="minorHAnsi" w:eastAsia="Times New Roman" w:hAnsiTheme="minorHAnsi" w:cstheme="minorHAnsi"/>
                <w:color w:val="000000"/>
                <w:szCs w:val="20"/>
              </w:rPr>
              <w:t>At</w:t>
            </w:r>
            <w:proofErr w:type="spellEnd"/>
            <w:r w:rsidRPr="003E1F91">
              <w:rPr>
                <w:rFonts w:asciiTheme="minorHAnsi" w:eastAsia="Times New Roman" w:hAnsiTheme="minorHAnsi" w:cstheme="minorHAnsi"/>
                <w:color w:val="000000"/>
                <w:szCs w:val="20"/>
              </w:rPr>
              <w:t xml:space="preserve"> </w:t>
            </w:r>
            <w:proofErr w:type="spellStart"/>
            <w:r w:rsidRPr="003E1F91">
              <w:rPr>
                <w:rFonts w:asciiTheme="minorHAnsi" w:eastAsia="Times New Roman" w:hAnsiTheme="minorHAnsi" w:cstheme="minorHAnsi"/>
                <w:color w:val="000000"/>
                <w:szCs w:val="20"/>
              </w:rPr>
              <w:t>year</w:t>
            </w:r>
            <w:proofErr w:type="spellEnd"/>
            <w:r w:rsidRPr="003E1F91">
              <w:rPr>
                <w:rFonts w:asciiTheme="minorHAnsi" w:eastAsia="Times New Roman" w:hAnsiTheme="minorHAnsi" w:cstheme="minorHAnsi"/>
                <w:color w:val="000000"/>
                <w:szCs w:val="20"/>
              </w:rPr>
              <w:t>-end (x 1,000)</w:t>
            </w:r>
          </w:p>
        </w:tc>
        <w:tc>
          <w:tcPr>
            <w:tcW w:w="2000" w:type="dxa"/>
            <w:tcBorders>
              <w:top w:val="nil"/>
              <w:left w:val="nil"/>
              <w:bottom w:val="nil"/>
              <w:right w:val="nil"/>
            </w:tcBorders>
            <w:shd w:val="clear" w:color="auto" w:fill="auto"/>
            <w:noWrap/>
            <w:vAlign w:val="center"/>
            <w:hideMark/>
          </w:tcPr>
          <w:p w:rsidR="003E1F91" w:rsidRPr="003E1F91" w:rsidRDefault="00EE0B46" w:rsidP="003E1F91">
            <w:pPr>
              <w:spacing w:after="0" w:line="240" w:lineRule="auto"/>
              <w:jc w:val="right"/>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66,</w:t>
            </w:r>
            <w:r w:rsidR="003E1F91" w:rsidRPr="003E1F91">
              <w:rPr>
                <w:rFonts w:asciiTheme="minorHAnsi" w:eastAsia="Times New Roman" w:hAnsiTheme="minorHAnsi" w:cstheme="minorHAnsi"/>
                <w:color w:val="000000"/>
                <w:szCs w:val="20"/>
              </w:rPr>
              <w:t>716</w:t>
            </w:r>
          </w:p>
        </w:tc>
        <w:tc>
          <w:tcPr>
            <w:tcW w:w="2000" w:type="dxa"/>
            <w:tcBorders>
              <w:top w:val="nil"/>
              <w:left w:val="nil"/>
              <w:bottom w:val="nil"/>
              <w:right w:val="nil"/>
            </w:tcBorders>
            <w:shd w:val="clear" w:color="auto" w:fill="auto"/>
            <w:noWrap/>
            <w:vAlign w:val="center"/>
            <w:hideMark/>
          </w:tcPr>
          <w:p w:rsidR="003E1F91" w:rsidRPr="003E1F91" w:rsidRDefault="00EE0B46" w:rsidP="003E1F91">
            <w:pPr>
              <w:spacing w:after="0" w:line="240" w:lineRule="auto"/>
              <w:jc w:val="right"/>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63,</w:t>
            </w:r>
            <w:r w:rsidR="003E1F91" w:rsidRPr="003E1F91">
              <w:rPr>
                <w:rFonts w:asciiTheme="minorHAnsi" w:eastAsia="Times New Roman" w:hAnsiTheme="minorHAnsi" w:cstheme="minorHAnsi"/>
                <w:color w:val="000000"/>
                <w:szCs w:val="20"/>
              </w:rPr>
              <w:t>411</w:t>
            </w:r>
          </w:p>
        </w:tc>
      </w:tr>
      <w:tr w:rsidR="003E1F91" w:rsidRPr="003E1F91" w:rsidTr="003E1F91">
        <w:trPr>
          <w:trHeight w:val="290"/>
        </w:trPr>
        <w:tc>
          <w:tcPr>
            <w:tcW w:w="556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p>
        </w:tc>
        <w:tc>
          <w:tcPr>
            <w:tcW w:w="200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200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3E1F91" w:rsidTr="003E1F91">
        <w:trPr>
          <w:trHeight w:val="290"/>
        </w:trPr>
        <w:tc>
          <w:tcPr>
            <w:tcW w:w="556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proofErr w:type="spellStart"/>
            <w:r w:rsidRPr="003E1F91">
              <w:rPr>
                <w:rFonts w:asciiTheme="minorHAnsi" w:eastAsia="Times New Roman" w:hAnsiTheme="minorHAnsi" w:cstheme="minorHAnsi"/>
                <w:b/>
                <w:bCs/>
                <w:color w:val="000000"/>
                <w:szCs w:val="20"/>
              </w:rPr>
              <w:t>Number</w:t>
            </w:r>
            <w:proofErr w:type="spellEnd"/>
            <w:r w:rsidRPr="003E1F91">
              <w:rPr>
                <w:rFonts w:asciiTheme="minorHAnsi" w:eastAsia="Times New Roman" w:hAnsiTheme="minorHAnsi" w:cstheme="minorHAnsi"/>
                <w:b/>
                <w:bCs/>
                <w:color w:val="000000"/>
                <w:szCs w:val="20"/>
              </w:rPr>
              <w:t xml:space="preserve"> </w:t>
            </w:r>
            <w:proofErr w:type="spellStart"/>
            <w:r w:rsidRPr="003E1F91">
              <w:rPr>
                <w:rFonts w:asciiTheme="minorHAnsi" w:eastAsia="Times New Roman" w:hAnsiTheme="minorHAnsi" w:cstheme="minorHAnsi"/>
                <w:b/>
                <w:bCs/>
                <w:color w:val="000000"/>
                <w:szCs w:val="20"/>
              </w:rPr>
              <w:t>of</w:t>
            </w:r>
            <w:proofErr w:type="spellEnd"/>
            <w:r w:rsidRPr="003E1F91">
              <w:rPr>
                <w:rFonts w:asciiTheme="minorHAnsi" w:eastAsia="Times New Roman" w:hAnsiTheme="minorHAnsi" w:cstheme="minorHAnsi"/>
                <w:b/>
                <w:bCs/>
                <w:color w:val="000000"/>
                <w:szCs w:val="20"/>
              </w:rPr>
              <w:t xml:space="preserve"> FTEs (permanent)</w:t>
            </w:r>
          </w:p>
        </w:tc>
        <w:tc>
          <w:tcPr>
            <w:tcW w:w="200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p>
        </w:tc>
        <w:tc>
          <w:tcPr>
            <w:tcW w:w="200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3E1F91" w:rsidTr="003E1F91">
        <w:trPr>
          <w:trHeight w:val="290"/>
        </w:trPr>
        <w:tc>
          <w:tcPr>
            <w:tcW w:w="556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proofErr w:type="spellStart"/>
            <w:r w:rsidRPr="003E1F91">
              <w:rPr>
                <w:rFonts w:asciiTheme="minorHAnsi" w:eastAsia="Times New Roman" w:hAnsiTheme="minorHAnsi" w:cstheme="minorHAnsi"/>
                <w:color w:val="000000"/>
                <w:szCs w:val="20"/>
              </w:rPr>
              <w:t>Average</w:t>
            </w:r>
            <w:proofErr w:type="spellEnd"/>
          </w:p>
        </w:tc>
        <w:tc>
          <w:tcPr>
            <w:tcW w:w="200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sidRPr="003E1F91">
              <w:rPr>
                <w:rFonts w:asciiTheme="minorHAnsi" w:eastAsia="Times New Roman" w:hAnsiTheme="minorHAnsi" w:cstheme="minorHAnsi"/>
                <w:szCs w:val="20"/>
              </w:rPr>
              <w:t>91</w:t>
            </w:r>
          </w:p>
        </w:tc>
        <w:tc>
          <w:tcPr>
            <w:tcW w:w="200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91</w:t>
            </w:r>
          </w:p>
        </w:tc>
      </w:tr>
      <w:tr w:rsidR="003E1F91" w:rsidRPr="003E1F91" w:rsidTr="003E1F91">
        <w:trPr>
          <w:trHeight w:val="290"/>
        </w:trPr>
        <w:tc>
          <w:tcPr>
            <w:tcW w:w="556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Sales / FTE</w:t>
            </w:r>
          </w:p>
        </w:tc>
        <w:tc>
          <w:tcPr>
            <w:tcW w:w="200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133</w:t>
            </w:r>
          </w:p>
        </w:tc>
        <w:tc>
          <w:tcPr>
            <w:tcW w:w="200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115</w:t>
            </w:r>
          </w:p>
        </w:tc>
      </w:tr>
    </w:tbl>
    <w:p w:rsidR="003E1F91" w:rsidRDefault="003E1F91" w:rsidP="003E1F91">
      <w:pPr>
        <w:spacing w:after="0"/>
        <w:ind w:firstLine="284"/>
        <w:jc w:val="both"/>
        <w:rPr>
          <w:rFonts w:asciiTheme="minorHAnsi" w:eastAsia="Times New Roman" w:hAnsiTheme="minorHAnsi" w:cstheme="minorHAnsi"/>
          <w:szCs w:val="20"/>
          <w:lang w:val="en-GB" w:eastAsia="en-GB" w:bidi="en-GB"/>
        </w:rPr>
      </w:pPr>
    </w:p>
    <w:p w:rsidR="003E1F91" w:rsidRDefault="003E1F91">
      <w:pPr>
        <w:spacing w:after="0" w:line="240" w:lineRule="auto"/>
        <w:rPr>
          <w:rFonts w:asciiTheme="minorHAnsi" w:eastAsia="Times New Roman" w:hAnsiTheme="minorHAnsi" w:cstheme="minorHAnsi"/>
          <w:szCs w:val="20"/>
          <w:lang w:val="en-GB" w:eastAsia="en-GB" w:bidi="en-GB"/>
        </w:rPr>
      </w:pPr>
      <w:r>
        <w:rPr>
          <w:rFonts w:asciiTheme="minorHAnsi" w:eastAsia="Times New Roman" w:hAnsiTheme="minorHAnsi" w:cstheme="minorHAnsi"/>
          <w:szCs w:val="20"/>
          <w:lang w:val="en-GB" w:eastAsia="en-GB" w:bidi="en-GB"/>
        </w:rPr>
        <w:br w:type="page"/>
      </w:r>
    </w:p>
    <w:p w:rsidR="003E1F91" w:rsidRPr="003E1F91" w:rsidRDefault="003E1F91" w:rsidP="003E1F91">
      <w:pPr>
        <w:tabs>
          <w:tab w:val="left" w:pos="2055"/>
        </w:tabs>
        <w:spacing w:after="200"/>
        <w:ind w:left="284"/>
        <w:jc w:val="both"/>
        <w:rPr>
          <w:rFonts w:asciiTheme="minorHAnsi" w:eastAsia="Times New Roman" w:hAnsiTheme="minorHAnsi" w:cstheme="minorHAnsi"/>
          <w:b/>
          <w:color w:val="B71234"/>
          <w:sz w:val="22"/>
          <w:lang w:val="en-GB" w:eastAsia="en-GB" w:bidi="en-GB"/>
        </w:rPr>
      </w:pPr>
      <w:r w:rsidRPr="003E1F91">
        <w:rPr>
          <w:rFonts w:asciiTheme="minorHAnsi" w:eastAsia="Times New Roman" w:hAnsiTheme="minorHAnsi" w:cstheme="minorHAnsi"/>
          <w:b/>
          <w:color w:val="B71234"/>
          <w:sz w:val="22"/>
          <w:lang w:val="en-GB" w:eastAsia="en-GB" w:bidi="en-GB"/>
        </w:rPr>
        <w:lastRenderedPageBreak/>
        <w:t>Sales and result</w:t>
      </w:r>
    </w:p>
    <w:p w:rsidR="003E1F91" w:rsidRPr="003E1F91" w:rsidRDefault="003E1F91" w:rsidP="003E1F91">
      <w:pPr>
        <w:spacing w:after="0"/>
        <w:ind w:left="284"/>
        <w:jc w:val="both"/>
        <w:rPr>
          <w:rFonts w:asciiTheme="minorHAnsi" w:eastAsia="Times New Roman" w:hAnsiTheme="minorHAnsi" w:cstheme="minorHAnsi"/>
          <w:color w:val="000000"/>
          <w:szCs w:val="20"/>
          <w:lang w:val="en-GB" w:eastAsia="en-GB" w:bidi="en-GB"/>
        </w:rPr>
      </w:pPr>
      <w:r w:rsidRPr="003E1F91">
        <w:rPr>
          <w:rFonts w:asciiTheme="minorHAnsi" w:eastAsia="Times New Roman" w:hAnsiTheme="minorHAnsi" w:cstheme="minorHAnsi"/>
          <w:color w:val="000000"/>
          <w:szCs w:val="20"/>
          <w:lang w:val="en-GB" w:eastAsia="en-GB" w:bidi="en-GB"/>
        </w:rPr>
        <w:t>The sales results broken down by customer segment:</w:t>
      </w:r>
    </w:p>
    <w:p w:rsidR="003E1F91" w:rsidRPr="003E1F91" w:rsidRDefault="003E1F91" w:rsidP="003E1F91">
      <w:pPr>
        <w:spacing w:after="0"/>
        <w:ind w:left="284"/>
        <w:jc w:val="both"/>
        <w:rPr>
          <w:rFonts w:asciiTheme="minorHAnsi" w:eastAsia="Times New Roman" w:hAnsiTheme="minorHAnsi" w:cstheme="minorHAnsi"/>
          <w:color w:val="000000"/>
          <w:szCs w:val="20"/>
          <w:lang w:val="en-GB" w:eastAsia="en-GB" w:bidi="en-GB"/>
        </w:rPr>
      </w:pPr>
    </w:p>
    <w:tbl>
      <w:tblPr>
        <w:tblW w:w="7936" w:type="dxa"/>
        <w:tblInd w:w="426" w:type="dxa"/>
        <w:tblLook w:val="00A0"/>
      </w:tblPr>
      <w:tblGrid>
        <w:gridCol w:w="4111"/>
        <w:gridCol w:w="1275"/>
        <w:gridCol w:w="1275"/>
        <w:gridCol w:w="1275"/>
      </w:tblGrid>
      <w:tr w:rsidR="003E1F91" w:rsidRPr="003E1F91" w:rsidTr="003E1F91">
        <w:tc>
          <w:tcPr>
            <w:tcW w:w="4111" w:type="dxa"/>
            <w:tcBorders>
              <w:bottom w:val="single" w:sz="4" w:space="0" w:color="auto"/>
            </w:tcBorders>
          </w:tcPr>
          <w:p w:rsidR="003E1F91" w:rsidRPr="003E1F91" w:rsidRDefault="003E1F91" w:rsidP="003E1F91">
            <w:pPr>
              <w:jc w:val="both"/>
              <w:rPr>
                <w:rFonts w:asciiTheme="minorHAnsi" w:hAnsiTheme="minorHAnsi" w:cstheme="minorHAnsi"/>
                <w:szCs w:val="20"/>
              </w:rPr>
            </w:pPr>
            <w:r w:rsidRPr="003E1F91">
              <w:rPr>
                <w:rFonts w:asciiTheme="minorHAnsi" w:hAnsiTheme="minorHAnsi" w:cstheme="minorHAnsi"/>
                <w:szCs w:val="20"/>
              </w:rPr>
              <w:t>(EUR x 1,000)</w:t>
            </w:r>
          </w:p>
        </w:tc>
        <w:tc>
          <w:tcPr>
            <w:tcW w:w="1275" w:type="dxa"/>
            <w:tcBorders>
              <w:bottom w:val="single" w:sz="4" w:space="0" w:color="auto"/>
            </w:tcBorders>
          </w:tcPr>
          <w:p w:rsidR="003E1F91" w:rsidRPr="003E1F91" w:rsidRDefault="003E1F91" w:rsidP="003E1F91">
            <w:pPr>
              <w:jc w:val="right"/>
              <w:rPr>
                <w:rFonts w:asciiTheme="minorHAnsi" w:hAnsiTheme="minorHAnsi" w:cstheme="minorHAnsi"/>
                <w:szCs w:val="20"/>
              </w:rPr>
            </w:pPr>
            <w:r w:rsidRPr="003E1F91">
              <w:rPr>
                <w:rFonts w:asciiTheme="minorHAnsi" w:hAnsiTheme="minorHAnsi" w:cstheme="minorHAnsi"/>
                <w:szCs w:val="20"/>
              </w:rPr>
              <w:t>2017</w:t>
            </w:r>
          </w:p>
        </w:tc>
        <w:tc>
          <w:tcPr>
            <w:tcW w:w="1275" w:type="dxa"/>
            <w:tcBorders>
              <w:bottom w:val="single" w:sz="4" w:space="0" w:color="auto"/>
            </w:tcBorders>
          </w:tcPr>
          <w:p w:rsidR="003E1F91" w:rsidRPr="003E1F91" w:rsidRDefault="003E1F91" w:rsidP="003E1F91">
            <w:pPr>
              <w:jc w:val="right"/>
              <w:rPr>
                <w:rFonts w:asciiTheme="minorHAnsi" w:hAnsiTheme="minorHAnsi" w:cstheme="minorHAnsi"/>
                <w:szCs w:val="20"/>
              </w:rPr>
            </w:pPr>
            <w:r w:rsidRPr="003E1F91">
              <w:rPr>
                <w:rFonts w:asciiTheme="minorHAnsi" w:hAnsiTheme="minorHAnsi" w:cstheme="minorHAnsi"/>
                <w:szCs w:val="20"/>
              </w:rPr>
              <w:t>2016</w:t>
            </w:r>
          </w:p>
        </w:tc>
        <w:tc>
          <w:tcPr>
            <w:tcW w:w="1275" w:type="dxa"/>
            <w:tcBorders>
              <w:bottom w:val="single" w:sz="4" w:space="0" w:color="auto"/>
            </w:tcBorders>
          </w:tcPr>
          <w:p w:rsidR="003E1F91" w:rsidRPr="003E1F91" w:rsidRDefault="003E1F91" w:rsidP="003E1F91">
            <w:pPr>
              <w:jc w:val="right"/>
              <w:rPr>
                <w:rFonts w:asciiTheme="minorHAnsi" w:hAnsiTheme="minorHAnsi" w:cstheme="minorHAnsi"/>
                <w:szCs w:val="20"/>
              </w:rPr>
            </w:pPr>
            <w:proofErr w:type="spellStart"/>
            <w:r w:rsidRPr="003E1F91">
              <w:rPr>
                <w:rFonts w:asciiTheme="minorHAnsi" w:hAnsiTheme="minorHAnsi" w:cstheme="minorHAnsi"/>
                <w:szCs w:val="20"/>
              </w:rPr>
              <w:t>approx</w:t>
            </w:r>
            <w:proofErr w:type="spellEnd"/>
            <w:r w:rsidRPr="003E1F91">
              <w:rPr>
                <w:rFonts w:asciiTheme="minorHAnsi" w:hAnsiTheme="minorHAnsi" w:cstheme="minorHAnsi"/>
                <w:szCs w:val="20"/>
              </w:rPr>
              <w:t>.</w:t>
            </w:r>
            <w:r w:rsidRPr="003E1F91">
              <w:rPr>
                <w:rFonts w:asciiTheme="minorHAnsi" w:hAnsiTheme="minorHAnsi" w:cstheme="minorHAnsi"/>
                <w:szCs w:val="20"/>
              </w:rPr>
              <w:br/>
            </w:r>
            <w:proofErr w:type="spellStart"/>
            <w:r w:rsidRPr="003E1F91">
              <w:rPr>
                <w:rFonts w:asciiTheme="minorHAnsi" w:hAnsiTheme="minorHAnsi" w:cstheme="minorHAnsi"/>
                <w:szCs w:val="20"/>
              </w:rPr>
              <w:t>change</w:t>
            </w:r>
            <w:proofErr w:type="spellEnd"/>
          </w:p>
        </w:tc>
      </w:tr>
      <w:tr w:rsidR="003E1F91" w:rsidRPr="003E1F91" w:rsidTr="003E1F91">
        <w:tc>
          <w:tcPr>
            <w:tcW w:w="4111" w:type="dxa"/>
            <w:tcBorders>
              <w:top w:val="single" w:sz="4" w:space="0" w:color="auto"/>
            </w:tcBorders>
          </w:tcPr>
          <w:p w:rsidR="003E1F91" w:rsidRPr="003E1F91" w:rsidRDefault="003E1F91" w:rsidP="003E1F91">
            <w:pPr>
              <w:jc w:val="both"/>
              <w:rPr>
                <w:rFonts w:asciiTheme="minorHAnsi" w:hAnsiTheme="minorHAnsi" w:cstheme="minorHAnsi"/>
                <w:szCs w:val="20"/>
              </w:rPr>
            </w:pPr>
          </w:p>
        </w:tc>
        <w:tc>
          <w:tcPr>
            <w:tcW w:w="1275" w:type="dxa"/>
            <w:tcBorders>
              <w:top w:val="single" w:sz="4" w:space="0" w:color="auto"/>
            </w:tcBorders>
          </w:tcPr>
          <w:p w:rsidR="003E1F91" w:rsidRPr="003E1F91" w:rsidRDefault="003E1F91" w:rsidP="003E1F91">
            <w:pPr>
              <w:jc w:val="right"/>
              <w:rPr>
                <w:rFonts w:asciiTheme="minorHAnsi" w:hAnsiTheme="minorHAnsi" w:cstheme="minorHAnsi"/>
                <w:szCs w:val="20"/>
              </w:rPr>
            </w:pPr>
          </w:p>
        </w:tc>
        <w:tc>
          <w:tcPr>
            <w:tcW w:w="1275" w:type="dxa"/>
            <w:tcBorders>
              <w:top w:val="single" w:sz="4" w:space="0" w:color="auto"/>
            </w:tcBorders>
          </w:tcPr>
          <w:p w:rsidR="003E1F91" w:rsidRPr="003E1F91" w:rsidRDefault="003E1F91" w:rsidP="003E1F91">
            <w:pPr>
              <w:jc w:val="right"/>
              <w:rPr>
                <w:rFonts w:asciiTheme="minorHAnsi" w:hAnsiTheme="minorHAnsi" w:cstheme="minorHAnsi"/>
                <w:szCs w:val="20"/>
              </w:rPr>
            </w:pPr>
          </w:p>
        </w:tc>
        <w:tc>
          <w:tcPr>
            <w:tcW w:w="1275" w:type="dxa"/>
            <w:tcBorders>
              <w:top w:val="single" w:sz="4" w:space="0" w:color="auto"/>
            </w:tcBorders>
          </w:tcPr>
          <w:p w:rsidR="003E1F91" w:rsidRPr="003E1F91" w:rsidRDefault="003E1F91" w:rsidP="003E1F91">
            <w:pPr>
              <w:jc w:val="right"/>
              <w:rPr>
                <w:rFonts w:asciiTheme="minorHAnsi" w:hAnsiTheme="minorHAnsi" w:cstheme="minorHAnsi"/>
                <w:szCs w:val="20"/>
              </w:rPr>
            </w:pPr>
          </w:p>
        </w:tc>
      </w:tr>
      <w:tr w:rsidR="003E1F91" w:rsidRPr="003E1F91" w:rsidTr="003E1F91">
        <w:tc>
          <w:tcPr>
            <w:tcW w:w="4111" w:type="dxa"/>
          </w:tcPr>
          <w:p w:rsidR="003E1F91" w:rsidRPr="003E1F91" w:rsidRDefault="003E1F91" w:rsidP="003E1F91">
            <w:pPr>
              <w:jc w:val="both"/>
              <w:rPr>
                <w:rFonts w:asciiTheme="minorHAnsi" w:hAnsiTheme="minorHAnsi" w:cstheme="minorHAnsi"/>
                <w:szCs w:val="20"/>
              </w:rPr>
            </w:pPr>
            <w:r w:rsidRPr="003E1F91">
              <w:rPr>
                <w:rFonts w:asciiTheme="minorHAnsi" w:hAnsiTheme="minorHAnsi" w:cstheme="minorHAnsi"/>
                <w:szCs w:val="20"/>
              </w:rPr>
              <w:t>Automotive</w:t>
            </w:r>
          </w:p>
        </w:tc>
        <w:tc>
          <w:tcPr>
            <w:tcW w:w="1275" w:type="dxa"/>
          </w:tcPr>
          <w:p w:rsidR="003E1F91" w:rsidRPr="003E1F91" w:rsidRDefault="003E1F91" w:rsidP="003E1F91">
            <w:pPr>
              <w:jc w:val="right"/>
              <w:rPr>
                <w:rFonts w:asciiTheme="minorHAnsi" w:hAnsiTheme="minorHAnsi" w:cstheme="minorHAnsi"/>
                <w:szCs w:val="20"/>
              </w:rPr>
            </w:pPr>
            <w:r w:rsidRPr="003E1F91">
              <w:rPr>
                <w:rFonts w:asciiTheme="minorHAnsi" w:hAnsiTheme="minorHAnsi" w:cstheme="minorHAnsi"/>
                <w:szCs w:val="20"/>
              </w:rPr>
              <w:t>5,011</w:t>
            </w:r>
          </w:p>
        </w:tc>
        <w:tc>
          <w:tcPr>
            <w:tcW w:w="1275" w:type="dxa"/>
          </w:tcPr>
          <w:p w:rsidR="003E1F91" w:rsidRPr="003E1F91" w:rsidRDefault="003E1F91" w:rsidP="003E1F91">
            <w:pPr>
              <w:jc w:val="right"/>
              <w:rPr>
                <w:rFonts w:asciiTheme="minorHAnsi" w:hAnsiTheme="minorHAnsi" w:cstheme="minorHAnsi"/>
                <w:szCs w:val="20"/>
              </w:rPr>
            </w:pPr>
            <w:r w:rsidRPr="003E1F91">
              <w:rPr>
                <w:rFonts w:asciiTheme="minorHAnsi" w:hAnsiTheme="minorHAnsi" w:cstheme="minorHAnsi"/>
                <w:szCs w:val="20"/>
              </w:rPr>
              <w:t>4,013</w:t>
            </w:r>
          </w:p>
        </w:tc>
        <w:tc>
          <w:tcPr>
            <w:tcW w:w="1275" w:type="dxa"/>
          </w:tcPr>
          <w:p w:rsidR="003E1F91" w:rsidRPr="003E1F91" w:rsidRDefault="003E1F91" w:rsidP="003E1F91">
            <w:pPr>
              <w:jc w:val="right"/>
              <w:rPr>
                <w:rFonts w:asciiTheme="minorHAnsi" w:hAnsiTheme="minorHAnsi" w:cstheme="minorHAnsi"/>
                <w:szCs w:val="20"/>
              </w:rPr>
            </w:pPr>
            <w:r w:rsidRPr="003E1F91">
              <w:rPr>
                <w:rFonts w:asciiTheme="minorHAnsi" w:hAnsiTheme="minorHAnsi" w:cstheme="minorHAnsi"/>
                <w:szCs w:val="20"/>
              </w:rPr>
              <w:t>+25%</w:t>
            </w:r>
          </w:p>
        </w:tc>
      </w:tr>
      <w:tr w:rsidR="003E1F91" w:rsidRPr="003E1F91" w:rsidTr="003E1F91">
        <w:tc>
          <w:tcPr>
            <w:tcW w:w="4111" w:type="dxa"/>
          </w:tcPr>
          <w:p w:rsidR="003E1F91" w:rsidRPr="003E1F91" w:rsidRDefault="003E1F91" w:rsidP="003E1F91">
            <w:pPr>
              <w:jc w:val="both"/>
              <w:rPr>
                <w:rFonts w:asciiTheme="minorHAnsi" w:hAnsiTheme="minorHAnsi" w:cstheme="minorHAnsi"/>
                <w:szCs w:val="20"/>
              </w:rPr>
            </w:pPr>
            <w:r w:rsidRPr="003E1F91">
              <w:rPr>
                <w:rFonts w:asciiTheme="minorHAnsi" w:hAnsiTheme="minorHAnsi" w:cstheme="minorHAnsi"/>
                <w:szCs w:val="20"/>
              </w:rPr>
              <w:t>Industrial/</w:t>
            </w:r>
            <w:proofErr w:type="spellStart"/>
            <w:r w:rsidRPr="003E1F91">
              <w:rPr>
                <w:rFonts w:asciiTheme="minorHAnsi" w:hAnsiTheme="minorHAnsi" w:cstheme="minorHAnsi"/>
                <w:szCs w:val="20"/>
              </w:rPr>
              <w:t>Healthcare</w:t>
            </w:r>
            <w:proofErr w:type="spellEnd"/>
          </w:p>
        </w:tc>
        <w:tc>
          <w:tcPr>
            <w:tcW w:w="1275" w:type="dxa"/>
          </w:tcPr>
          <w:p w:rsidR="003E1F91" w:rsidRPr="003E1F91" w:rsidRDefault="003E1F91" w:rsidP="003E1F91">
            <w:pPr>
              <w:jc w:val="right"/>
              <w:rPr>
                <w:rFonts w:asciiTheme="minorHAnsi" w:hAnsiTheme="minorHAnsi" w:cstheme="minorHAnsi"/>
                <w:szCs w:val="20"/>
              </w:rPr>
            </w:pPr>
            <w:r w:rsidRPr="003E1F91">
              <w:rPr>
                <w:rFonts w:asciiTheme="minorHAnsi" w:hAnsiTheme="minorHAnsi" w:cstheme="minorHAnsi"/>
                <w:szCs w:val="20"/>
              </w:rPr>
              <w:t>5,563</w:t>
            </w:r>
          </w:p>
        </w:tc>
        <w:tc>
          <w:tcPr>
            <w:tcW w:w="1275" w:type="dxa"/>
          </w:tcPr>
          <w:p w:rsidR="003E1F91" w:rsidRPr="003E1F91" w:rsidRDefault="003E1F91" w:rsidP="003E1F91">
            <w:pPr>
              <w:jc w:val="right"/>
              <w:rPr>
                <w:rFonts w:asciiTheme="minorHAnsi" w:hAnsiTheme="minorHAnsi" w:cstheme="minorHAnsi"/>
                <w:szCs w:val="20"/>
              </w:rPr>
            </w:pPr>
            <w:r w:rsidRPr="003E1F91">
              <w:rPr>
                <w:rFonts w:asciiTheme="minorHAnsi" w:hAnsiTheme="minorHAnsi" w:cstheme="minorHAnsi"/>
                <w:szCs w:val="20"/>
              </w:rPr>
              <w:t>4,700</w:t>
            </w:r>
          </w:p>
        </w:tc>
        <w:tc>
          <w:tcPr>
            <w:tcW w:w="1275" w:type="dxa"/>
          </w:tcPr>
          <w:p w:rsidR="003E1F91" w:rsidRPr="003E1F91" w:rsidRDefault="003E1F91" w:rsidP="003E1F91">
            <w:pPr>
              <w:jc w:val="right"/>
              <w:rPr>
                <w:rFonts w:asciiTheme="minorHAnsi" w:hAnsiTheme="minorHAnsi" w:cstheme="minorHAnsi"/>
                <w:szCs w:val="20"/>
              </w:rPr>
            </w:pPr>
            <w:r w:rsidRPr="003E1F91">
              <w:rPr>
                <w:rFonts w:asciiTheme="minorHAnsi" w:hAnsiTheme="minorHAnsi" w:cstheme="minorHAnsi"/>
                <w:szCs w:val="20"/>
              </w:rPr>
              <w:t>+18%</w:t>
            </w:r>
          </w:p>
        </w:tc>
      </w:tr>
      <w:tr w:rsidR="003E1F91" w:rsidRPr="003E1F91" w:rsidTr="003E1F91">
        <w:tc>
          <w:tcPr>
            <w:tcW w:w="4111" w:type="dxa"/>
          </w:tcPr>
          <w:p w:rsidR="003E1F91" w:rsidRPr="003E1F91" w:rsidRDefault="003E1F91" w:rsidP="003E1F91">
            <w:pPr>
              <w:jc w:val="both"/>
              <w:rPr>
                <w:rFonts w:asciiTheme="minorHAnsi" w:hAnsiTheme="minorHAnsi" w:cstheme="minorHAnsi"/>
                <w:szCs w:val="20"/>
              </w:rPr>
            </w:pPr>
            <w:r w:rsidRPr="003E1F91">
              <w:rPr>
                <w:rFonts w:asciiTheme="minorHAnsi" w:hAnsiTheme="minorHAnsi" w:cstheme="minorHAnsi"/>
                <w:szCs w:val="20"/>
              </w:rPr>
              <w:t>Hi-</w:t>
            </w:r>
            <w:proofErr w:type="spellStart"/>
            <w:r w:rsidRPr="003E1F91">
              <w:rPr>
                <w:rFonts w:asciiTheme="minorHAnsi" w:hAnsiTheme="minorHAnsi" w:cstheme="minorHAnsi"/>
                <w:szCs w:val="20"/>
              </w:rPr>
              <w:t>rel</w:t>
            </w:r>
            <w:proofErr w:type="spellEnd"/>
            <w:r w:rsidRPr="003E1F91">
              <w:rPr>
                <w:rFonts w:asciiTheme="minorHAnsi" w:hAnsiTheme="minorHAnsi" w:cstheme="minorHAnsi"/>
                <w:szCs w:val="20"/>
              </w:rPr>
              <w:t>/Space</w:t>
            </w:r>
            <w:r w:rsidRPr="003E1F91" w:rsidDel="00472454">
              <w:rPr>
                <w:rFonts w:asciiTheme="minorHAnsi" w:hAnsiTheme="minorHAnsi" w:cstheme="minorHAnsi"/>
                <w:szCs w:val="20"/>
              </w:rPr>
              <w:t xml:space="preserve"> </w:t>
            </w:r>
          </w:p>
        </w:tc>
        <w:tc>
          <w:tcPr>
            <w:tcW w:w="1275" w:type="dxa"/>
          </w:tcPr>
          <w:p w:rsidR="003E1F91" w:rsidRPr="003E1F91" w:rsidRDefault="003E1F91" w:rsidP="003E1F91">
            <w:pPr>
              <w:jc w:val="right"/>
              <w:rPr>
                <w:rFonts w:asciiTheme="minorHAnsi" w:hAnsiTheme="minorHAnsi" w:cstheme="minorHAnsi"/>
                <w:szCs w:val="20"/>
              </w:rPr>
            </w:pPr>
            <w:r w:rsidRPr="003E1F91">
              <w:rPr>
                <w:rFonts w:asciiTheme="minorHAnsi" w:hAnsiTheme="minorHAnsi" w:cstheme="minorHAnsi"/>
                <w:szCs w:val="20"/>
              </w:rPr>
              <w:t>620</w:t>
            </w:r>
          </w:p>
        </w:tc>
        <w:tc>
          <w:tcPr>
            <w:tcW w:w="1275" w:type="dxa"/>
          </w:tcPr>
          <w:p w:rsidR="003E1F91" w:rsidRPr="003E1F91" w:rsidRDefault="003E1F91" w:rsidP="003E1F91">
            <w:pPr>
              <w:jc w:val="right"/>
              <w:rPr>
                <w:rFonts w:asciiTheme="minorHAnsi" w:hAnsiTheme="minorHAnsi" w:cstheme="minorHAnsi"/>
                <w:szCs w:val="20"/>
              </w:rPr>
            </w:pPr>
            <w:r w:rsidRPr="003E1F91">
              <w:rPr>
                <w:rFonts w:asciiTheme="minorHAnsi" w:hAnsiTheme="minorHAnsi" w:cstheme="minorHAnsi"/>
                <w:szCs w:val="20"/>
              </w:rPr>
              <w:t>779</w:t>
            </w:r>
          </w:p>
        </w:tc>
        <w:tc>
          <w:tcPr>
            <w:tcW w:w="1275" w:type="dxa"/>
          </w:tcPr>
          <w:p w:rsidR="003E1F91" w:rsidRPr="003E1F91" w:rsidRDefault="003E1F91" w:rsidP="003E1F91">
            <w:pPr>
              <w:jc w:val="right"/>
              <w:rPr>
                <w:rFonts w:asciiTheme="minorHAnsi" w:hAnsiTheme="minorHAnsi" w:cstheme="minorHAnsi"/>
                <w:szCs w:val="20"/>
              </w:rPr>
            </w:pPr>
            <w:r w:rsidRPr="003E1F91">
              <w:rPr>
                <w:rFonts w:asciiTheme="minorHAnsi" w:hAnsiTheme="minorHAnsi" w:cstheme="minorHAnsi"/>
                <w:szCs w:val="20"/>
              </w:rPr>
              <w:t>-20%</w:t>
            </w:r>
          </w:p>
        </w:tc>
      </w:tr>
      <w:tr w:rsidR="003E1F91" w:rsidRPr="003E1F91" w:rsidTr="003E1F91">
        <w:tc>
          <w:tcPr>
            <w:tcW w:w="4111" w:type="dxa"/>
          </w:tcPr>
          <w:p w:rsidR="003E1F91" w:rsidRPr="003E1F91" w:rsidRDefault="003E1F91" w:rsidP="003E1F91">
            <w:pPr>
              <w:jc w:val="both"/>
              <w:rPr>
                <w:rFonts w:asciiTheme="minorHAnsi" w:hAnsiTheme="minorHAnsi" w:cstheme="minorHAnsi"/>
                <w:szCs w:val="20"/>
              </w:rPr>
            </w:pPr>
            <w:proofErr w:type="spellStart"/>
            <w:r w:rsidRPr="003E1F91">
              <w:rPr>
                <w:rFonts w:asciiTheme="minorHAnsi" w:hAnsiTheme="minorHAnsi" w:cstheme="minorHAnsi"/>
                <w:szCs w:val="20"/>
              </w:rPr>
              <w:t>Others</w:t>
            </w:r>
            <w:proofErr w:type="spellEnd"/>
          </w:p>
        </w:tc>
        <w:tc>
          <w:tcPr>
            <w:tcW w:w="1275" w:type="dxa"/>
          </w:tcPr>
          <w:p w:rsidR="003E1F91" w:rsidRPr="003E1F91" w:rsidRDefault="003E1F91" w:rsidP="003E1F91">
            <w:pPr>
              <w:jc w:val="right"/>
              <w:rPr>
                <w:rFonts w:asciiTheme="minorHAnsi" w:hAnsiTheme="minorHAnsi" w:cstheme="minorHAnsi"/>
                <w:szCs w:val="20"/>
              </w:rPr>
            </w:pPr>
            <w:r w:rsidRPr="003E1F91">
              <w:rPr>
                <w:rFonts w:asciiTheme="minorHAnsi" w:hAnsiTheme="minorHAnsi" w:cstheme="minorHAnsi"/>
                <w:szCs w:val="20"/>
              </w:rPr>
              <w:t>933</w:t>
            </w:r>
          </w:p>
        </w:tc>
        <w:tc>
          <w:tcPr>
            <w:tcW w:w="1275" w:type="dxa"/>
          </w:tcPr>
          <w:p w:rsidR="003E1F91" w:rsidRPr="003E1F91" w:rsidRDefault="003E1F91" w:rsidP="003E1F91">
            <w:pPr>
              <w:jc w:val="right"/>
              <w:rPr>
                <w:rFonts w:asciiTheme="minorHAnsi" w:hAnsiTheme="minorHAnsi" w:cstheme="minorHAnsi"/>
                <w:szCs w:val="20"/>
              </w:rPr>
            </w:pPr>
            <w:r w:rsidRPr="003E1F91">
              <w:rPr>
                <w:rFonts w:asciiTheme="minorHAnsi" w:hAnsiTheme="minorHAnsi" w:cstheme="minorHAnsi"/>
                <w:szCs w:val="20"/>
              </w:rPr>
              <w:t>973</w:t>
            </w:r>
          </w:p>
        </w:tc>
        <w:tc>
          <w:tcPr>
            <w:tcW w:w="1275" w:type="dxa"/>
          </w:tcPr>
          <w:p w:rsidR="003E1F91" w:rsidRPr="003E1F91" w:rsidRDefault="003E1F91" w:rsidP="003E1F91">
            <w:pPr>
              <w:jc w:val="right"/>
              <w:rPr>
                <w:rFonts w:asciiTheme="minorHAnsi" w:hAnsiTheme="minorHAnsi" w:cstheme="minorHAnsi"/>
                <w:szCs w:val="20"/>
              </w:rPr>
            </w:pPr>
            <w:r w:rsidRPr="003E1F91">
              <w:rPr>
                <w:rFonts w:asciiTheme="minorHAnsi" w:hAnsiTheme="minorHAnsi" w:cstheme="minorHAnsi"/>
                <w:szCs w:val="20"/>
              </w:rPr>
              <w:t>-4%</w:t>
            </w:r>
          </w:p>
        </w:tc>
      </w:tr>
      <w:tr w:rsidR="003E1F91" w:rsidRPr="003E1F91" w:rsidTr="003E1F91">
        <w:tc>
          <w:tcPr>
            <w:tcW w:w="4111" w:type="dxa"/>
            <w:tcBorders>
              <w:bottom w:val="single" w:sz="4" w:space="0" w:color="auto"/>
            </w:tcBorders>
          </w:tcPr>
          <w:p w:rsidR="003E1F91" w:rsidRPr="003E1F91" w:rsidRDefault="003E1F91" w:rsidP="003E1F91">
            <w:pPr>
              <w:jc w:val="both"/>
              <w:rPr>
                <w:rFonts w:asciiTheme="minorHAnsi" w:hAnsiTheme="minorHAnsi" w:cstheme="minorHAnsi"/>
                <w:szCs w:val="20"/>
              </w:rPr>
            </w:pPr>
          </w:p>
        </w:tc>
        <w:tc>
          <w:tcPr>
            <w:tcW w:w="1275" w:type="dxa"/>
            <w:tcBorders>
              <w:bottom w:val="single" w:sz="4" w:space="0" w:color="auto"/>
            </w:tcBorders>
          </w:tcPr>
          <w:p w:rsidR="003E1F91" w:rsidRPr="003E1F91" w:rsidRDefault="003E1F91" w:rsidP="003E1F91">
            <w:pPr>
              <w:jc w:val="right"/>
              <w:rPr>
                <w:rFonts w:asciiTheme="minorHAnsi" w:hAnsiTheme="minorHAnsi" w:cstheme="minorHAnsi"/>
                <w:szCs w:val="20"/>
              </w:rPr>
            </w:pPr>
          </w:p>
        </w:tc>
        <w:tc>
          <w:tcPr>
            <w:tcW w:w="1275" w:type="dxa"/>
            <w:tcBorders>
              <w:bottom w:val="single" w:sz="4" w:space="0" w:color="auto"/>
            </w:tcBorders>
          </w:tcPr>
          <w:p w:rsidR="003E1F91" w:rsidRPr="003E1F91" w:rsidRDefault="003E1F91" w:rsidP="003E1F91">
            <w:pPr>
              <w:jc w:val="right"/>
              <w:rPr>
                <w:rFonts w:asciiTheme="minorHAnsi" w:hAnsiTheme="minorHAnsi" w:cstheme="minorHAnsi"/>
                <w:szCs w:val="20"/>
              </w:rPr>
            </w:pPr>
          </w:p>
        </w:tc>
        <w:tc>
          <w:tcPr>
            <w:tcW w:w="1275" w:type="dxa"/>
            <w:tcBorders>
              <w:bottom w:val="single" w:sz="4" w:space="0" w:color="auto"/>
            </w:tcBorders>
          </w:tcPr>
          <w:p w:rsidR="003E1F91" w:rsidRPr="003E1F91" w:rsidRDefault="003E1F91" w:rsidP="003E1F91">
            <w:pPr>
              <w:jc w:val="right"/>
              <w:rPr>
                <w:rFonts w:asciiTheme="minorHAnsi" w:hAnsiTheme="minorHAnsi" w:cstheme="minorHAnsi"/>
                <w:szCs w:val="20"/>
              </w:rPr>
            </w:pPr>
          </w:p>
        </w:tc>
      </w:tr>
      <w:tr w:rsidR="003E1F91" w:rsidRPr="003E1F91" w:rsidTr="003E1F91">
        <w:tc>
          <w:tcPr>
            <w:tcW w:w="4111" w:type="dxa"/>
            <w:tcBorders>
              <w:top w:val="single" w:sz="4" w:space="0" w:color="auto"/>
            </w:tcBorders>
          </w:tcPr>
          <w:p w:rsidR="003E1F91" w:rsidRPr="003E1F91" w:rsidRDefault="003E1F91" w:rsidP="003E1F91">
            <w:pPr>
              <w:jc w:val="both"/>
              <w:rPr>
                <w:rFonts w:asciiTheme="minorHAnsi" w:hAnsiTheme="minorHAnsi" w:cstheme="minorHAnsi"/>
                <w:szCs w:val="20"/>
              </w:rPr>
            </w:pPr>
          </w:p>
        </w:tc>
        <w:tc>
          <w:tcPr>
            <w:tcW w:w="1275" w:type="dxa"/>
            <w:tcBorders>
              <w:top w:val="single" w:sz="4" w:space="0" w:color="auto"/>
            </w:tcBorders>
          </w:tcPr>
          <w:p w:rsidR="003E1F91" w:rsidRPr="003E1F91" w:rsidRDefault="003E1F91" w:rsidP="003E1F91">
            <w:pPr>
              <w:jc w:val="right"/>
              <w:rPr>
                <w:rFonts w:asciiTheme="minorHAnsi" w:hAnsiTheme="minorHAnsi" w:cstheme="minorHAnsi"/>
                <w:szCs w:val="20"/>
              </w:rPr>
            </w:pPr>
          </w:p>
        </w:tc>
        <w:tc>
          <w:tcPr>
            <w:tcW w:w="1275" w:type="dxa"/>
            <w:tcBorders>
              <w:top w:val="single" w:sz="4" w:space="0" w:color="auto"/>
            </w:tcBorders>
          </w:tcPr>
          <w:p w:rsidR="003E1F91" w:rsidRPr="003E1F91" w:rsidRDefault="003E1F91" w:rsidP="003E1F91">
            <w:pPr>
              <w:jc w:val="right"/>
              <w:rPr>
                <w:rFonts w:asciiTheme="minorHAnsi" w:hAnsiTheme="minorHAnsi" w:cstheme="minorHAnsi"/>
                <w:szCs w:val="20"/>
              </w:rPr>
            </w:pPr>
          </w:p>
        </w:tc>
        <w:tc>
          <w:tcPr>
            <w:tcW w:w="1275" w:type="dxa"/>
            <w:tcBorders>
              <w:top w:val="single" w:sz="4" w:space="0" w:color="auto"/>
            </w:tcBorders>
          </w:tcPr>
          <w:p w:rsidR="003E1F91" w:rsidRPr="003E1F91" w:rsidRDefault="003E1F91" w:rsidP="003E1F91">
            <w:pPr>
              <w:jc w:val="right"/>
              <w:rPr>
                <w:rFonts w:asciiTheme="minorHAnsi" w:hAnsiTheme="minorHAnsi" w:cstheme="minorHAnsi"/>
                <w:szCs w:val="20"/>
              </w:rPr>
            </w:pPr>
          </w:p>
        </w:tc>
      </w:tr>
      <w:tr w:rsidR="003E1F91" w:rsidRPr="003E1F91" w:rsidTr="003E1F91">
        <w:tc>
          <w:tcPr>
            <w:tcW w:w="4111" w:type="dxa"/>
          </w:tcPr>
          <w:p w:rsidR="003E1F91" w:rsidRPr="003E1F91" w:rsidRDefault="003E1F91" w:rsidP="003E1F91">
            <w:pPr>
              <w:jc w:val="both"/>
              <w:rPr>
                <w:rFonts w:asciiTheme="minorHAnsi" w:hAnsiTheme="minorHAnsi" w:cstheme="minorHAnsi"/>
                <w:b/>
                <w:bCs/>
                <w:szCs w:val="20"/>
              </w:rPr>
            </w:pPr>
            <w:r w:rsidRPr="003E1F91">
              <w:rPr>
                <w:rFonts w:asciiTheme="minorHAnsi" w:hAnsiTheme="minorHAnsi" w:cstheme="minorHAnsi"/>
                <w:b/>
                <w:szCs w:val="20"/>
              </w:rPr>
              <w:t>Total</w:t>
            </w:r>
          </w:p>
        </w:tc>
        <w:tc>
          <w:tcPr>
            <w:tcW w:w="1275" w:type="dxa"/>
          </w:tcPr>
          <w:p w:rsidR="003E1F91" w:rsidRPr="003E1F91" w:rsidRDefault="003E1F91" w:rsidP="003E1F91">
            <w:pPr>
              <w:jc w:val="right"/>
              <w:rPr>
                <w:rFonts w:asciiTheme="minorHAnsi" w:hAnsiTheme="minorHAnsi" w:cstheme="minorHAnsi"/>
                <w:b/>
                <w:bCs/>
                <w:szCs w:val="20"/>
              </w:rPr>
            </w:pPr>
            <w:r w:rsidRPr="003E1F91">
              <w:rPr>
                <w:rFonts w:asciiTheme="minorHAnsi" w:hAnsiTheme="minorHAnsi" w:cstheme="minorHAnsi"/>
                <w:b/>
                <w:szCs w:val="20"/>
              </w:rPr>
              <w:t>12,127</w:t>
            </w:r>
          </w:p>
        </w:tc>
        <w:tc>
          <w:tcPr>
            <w:tcW w:w="1275" w:type="dxa"/>
          </w:tcPr>
          <w:p w:rsidR="003E1F91" w:rsidRPr="003E1F91" w:rsidRDefault="003E1F91" w:rsidP="003E1F91">
            <w:pPr>
              <w:jc w:val="right"/>
              <w:rPr>
                <w:rFonts w:asciiTheme="minorHAnsi" w:hAnsiTheme="minorHAnsi" w:cstheme="minorHAnsi"/>
                <w:b/>
                <w:bCs/>
                <w:szCs w:val="20"/>
              </w:rPr>
            </w:pPr>
            <w:r w:rsidRPr="003E1F91">
              <w:rPr>
                <w:rFonts w:asciiTheme="minorHAnsi" w:hAnsiTheme="minorHAnsi" w:cstheme="minorHAnsi"/>
                <w:b/>
                <w:szCs w:val="20"/>
              </w:rPr>
              <w:t>10,465</w:t>
            </w:r>
          </w:p>
        </w:tc>
        <w:tc>
          <w:tcPr>
            <w:tcW w:w="1275" w:type="dxa"/>
          </w:tcPr>
          <w:p w:rsidR="003E1F91" w:rsidRPr="003E1F91" w:rsidRDefault="003E1F91" w:rsidP="003E1F91">
            <w:pPr>
              <w:jc w:val="right"/>
              <w:rPr>
                <w:rFonts w:asciiTheme="minorHAnsi" w:hAnsiTheme="minorHAnsi" w:cstheme="minorHAnsi"/>
                <w:b/>
                <w:bCs/>
                <w:szCs w:val="20"/>
              </w:rPr>
            </w:pPr>
            <w:r w:rsidRPr="003E1F91">
              <w:rPr>
                <w:rFonts w:asciiTheme="minorHAnsi" w:hAnsiTheme="minorHAnsi" w:cstheme="minorHAnsi"/>
                <w:b/>
                <w:szCs w:val="20"/>
              </w:rPr>
              <w:t>+16%</w:t>
            </w:r>
          </w:p>
        </w:tc>
      </w:tr>
    </w:tbl>
    <w:p w:rsidR="003E1F91" w:rsidRPr="003E1F91" w:rsidRDefault="003E1F91" w:rsidP="003E1F91">
      <w:pPr>
        <w:spacing w:after="0"/>
        <w:ind w:left="284"/>
        <w:jc w:val="both"/>
        <w:rPr>
          <w:rFonts w:asciiTheme="minorHAnsi" w:eastAsia="Times New Roman" w:hAnsiTheme="minorHAnsi" w:cstheme="minorHAnsi"/>
          <w:b/>
          <w:szCs w:val="20"/>
          <w:lang w:val="en-GB" w:eastAsia="en-GB" w:bidi="en-GB"/>
        </w:rPr>
      </w:pPr>
    </w:p>
    <w:p w:rsidR="003E1F91" w:rsidRPr="003E1F91" w:rsidRDefault="003E1F91" w:rsidP="003E1F91">
      <w:pPr>
        <w:spacing w:after="0"/>
        <w:ind w:left="284"/>
        <w:jc w:val="both"/>
        <w:rPr>
          <w:rFonts w:asciiTheme="minorHAnsi" w:eastAsia="Times New Roman" w:hAnsiTheme="minorHAnsi" w:cstheme="minorHAnsi"/>
          <w:szCs w:val="20"/>
          <w:lang w:val="en-GB" w:eastAsia="en-GB" w:bidi="en-GB"/>
        </w:rPr>
      </w:pPr>
      <w:r w:rsidRPr="003E1F91">
        <w:rPr>
          <w:rFonts w:asciiTheme="minorHAnsi" w:eastAsia="Times New Roman" w:hAnsiTheme="minorHAnsi" w:cstheme="minorHAnsi"/>
          <w:szCs w:val="20"/>
          <w:lang w:val="en-GB" w:eastAsia="en-GB" w:bidi="en-GB"/>
        </w:rPr>
        <w:t>The increase in the automotive market is a result of efforts to consolidate our reliability competence centre and attract large new orders in automotive. Our growth in this sector is very much in line with our strategic goals to expand our activities in this industry, which is being revolutionised by the disruptive technologies of artificial intelligence, automation and the internet of things, driving up demand for bespoke semiconductor products and services.</w:t>
      </w:r>
    </w:p>
    <w:p w:rsidR="003E1F91" w:rsidRPr="003E1F91" w:rsidRDefault="003E1F91" w:rsidP="003E1F91">
      <w:pPr>
        <w:spacing w:after="0" w:line="240" w:lineRule="auto"/>
        <w:ind w:left="284"/>
        <w:jc w:val="both"/>
        <w:rPr>
          <w:rFonts w:asciiTheme="minorHAnsi" w:eastAsia="Times New Roman" w:hAnsiTheme="minorHAnsi" w:cstheme="minorHAnsi"/>
          <w:szCs w:val="20"/>
          <w:lang w:val="en-GB" w:eastAsia="en-GB" w:bidi="en-GB"/>
        </w:rPr>
      </w:pPr>
    </w:p>
    <w:p w:rsidR="003E1F91" w:rsidRPr="003E1F91" w:rsidRDefault="003E1F91" w:rsidP="003E1F91">
      <w:pPr>
        <w:spacing w:after="0"/>
        <w:ind w:left="284"/>
        <w:jc w:val="both"/>
        <w:rPr>
          <w:rFonts w:asciiTheme="minorHAnsi" w:eastAsia="Times New Roman" w:hAnsiTheme="minorHAnsi" w:cstheme="minorHAnsi"/>
          <w:szCs w:val="20"/>
          <w:lang w:val="en-GB" w:eastAsia="en-GB" w:bidi="en-GB"/>
        </w:rPr>
      </w:pPr>
      <w:r w:rsidRPr="003E1F91">
        <w:rPr>
          <w:rFonts w:asciiTheme="minorHAnsi" w:eastAsia="Times New Roman" w:hAnsiTheme="minorHAnsi" w:cstheme="minorHAnsi"/>
          <w:szCs w:val="20"/>
          <w:lang w:val="en-GB" w:eastAsia="en-GB" w:bidi="en-GB"/>
        </w:rPr>
        <w:t>The industrial/healthcare segment saw a significant increase of 18% compared to 2016 due to a clear focus to regain market shares in this segment. Some of the long term customers have also returned with higher volumes in this</w:t>
      </w:r>
      <w:r w:rsidR="00EE0B46">
        <w:rPr>
          <w:rFonts w:asciiTheme="minorHAnsi" w:eastAsia="Times New Roman" w:hAnsiTheme="minorHAnsi" w:cstheme="minorHAnsi"/>
          <w:szCs w:val="20"/>
          <w:lang w:val="en-GB" w:eastAsia="en-GB" w:bidi="en-GB"/>
        </w:rPr>
        <w:t xml:space="preserve"> segment. The decline in the </w:t>
      </w:r>
      <w:proofErr w:type="spellStart"/>
      <w:r w:rsidR="00EE0B46">
        <w:rPr>
          <w:rFonts w:asciiTheme="minorHAnsi" w:eastAsia="Times New Roman" w:hAnsiTheme="minorHAnsi" w:cstheme="minorHAnsi"/>
          <w:szCs w:val="20"/>
          <w:lang w:val="en-GB" w:eastAsia="en-GB" w:bidi="en-GB"/>
        </w:rPr>
        <w:t>HiR</w:t>
      </w:r>
      <w:r w:rsidRPr="003E1F91">
        <w:rPr>
          <w:rFonts w:asciiTheme="minorHAnsi" w:eastAsia="Times New Roman" w:hAnsiTheme="minorHAnsi" w:cstheme="minorHAnsi"/>
          <w:szCs w:val="20"/>
          <w:lang w:val="en-GB" w:eastAsia="en-GB" w:bidi="en-GB"/>
        </w:rPr>
        <w:t>rel</w:t>
      </w:r>
      <w:proofErr w:type="spellEnd"/>
      <w:r w:rsidRPr="003E1F91">
        <w:rPr>
          <w:rFonts w:asciiTheme="minorHAnsi" w:eastAsia="Times New Roman" w:hAnsiTheme="minorHAnsi" w:cstheme="minorHAnsi"/>
          <w:szCs w:val="20"/>
          <w:lang w:val="en-GB" w:eastAsia="en-GB" w:bidi="en-GB"/>
        </w:rPr>
        <w:t xml:space="preserve">/Space segment is due to the nature of this business. It mainly consists of failure analysis and qualification work and this is very much depending on the design cycles at our customers. We still consider this area of importance to our business and foresee a future increase. </w:t>
      </w:r>
    </w:p>
    <w:p w:rsidR="003E1F91" w:rsidRPr="003E1F91" w:rsidRDefault="003E1F91" w:rsidP="007972CA">
      <w:pPr>
        <w:rPr>
          <w:lang w:val="en-GB" w:eastAsia="en-GB" w:bidi="en-GB"/>
        </w:rPr>
      </w:pPr>
    </w:p>
    <w:p w:rsidR="003E1F91" w:rsidRPr="003E1F91" w:rsidRDefault="003E1F91" w:rsidP="003E1F91">
      <w:pPr>
        <w:spacing w:after="0"/>
        <w:ind w:left="284"/>
        <w:jc w:val="both"/>
        <w:rPr>
          <w:rFonts w:asciiTheme="minorHAnsi" w:eastAsia="Times New Roman" w:hAnsiTheme="minorHAnsi" w:cstheme="minorHAnsi"/>
          <w:color w:val="000000"/>
          <w:szCs w:val="20"/>
          <w:lang w:val="en-GB" w:eastAsia="en-GB" w:bidi="en-GB"/>
        </w:rPr>
      </w:pPr>
      <w:r w:rsidRPr="003E1F91">
        <w:rPr>
          <w:rFonts w:asciiTheme="minorHAnsi" w:eastAsia="Times New Roman" w:hAnsiTheme="minorHAnsi" w:cstheme="minorHAnsi"/>
          <w:color w:val="000000"/>
          <w:szCs w:val="20"/>
          <w:lang w:val="en-GB" w:eastAsia="en-GB" w:bidi="en-GB"/>
        </w:rPr>
        <w:t>The sales results of the business units were as follows:</w:t>
      </w:r>
    </w:p>
    <w:p w:rsidR="003E1F91" w:rsidRPr="003E1F91" w:rsidRDefault="003E1F91" w:rsidP="003E1F91">
      <w:pPr>
        <w:spacing w:after="0" w:line="240" w:lineRule="auto"/>
        <w:ind w:left="284"/>
        <w:jc w:val="both"/>
        <w:rPr>
          <w:rFonts w:asciiTheme="minorHAnsi" w:eastAsia="Times New Roman" w:hAnsiTheme="minorHAnsi" w:cstheme="minorHAnsi"/>
          <w:szCs w:val="20"/>
          <w:lang w:val="en-GB" w:eastAsia="zh-CN" w:bidi="en-GB"/>
        </w:rPr>
      </w:pPr>
    </w:p>
    <w:tbl>
      <w:tblPr>
        <w:tblW w:w="7905" w:type="dxa"/>
        <w:tblInd w:w="426" w:type="dxa"/>
        <w:tblLook w:val="00A0"/>
      </w:tblPr>
      <w:tblGrid>
        <w:gridCol w:w="3936"/>
        <w:gridCol w:w="1455"/>
        <w:gridCol w:w="1380"/>
        <w:gridCol w:w="1134"/>
      </w:tblGrid>
      <w:tr w:rsidR="003E1F91" w:rsidRPr="003E1F91" w:rsidTr="003E1F91">
        <w:tc>
          <w:tcPr>
            <w:tcW w:w="3936" w:type="dxa"/>
            <w:tcBorders>
              <w:bottom w:val="single" w:sz="4" w:space="0" w:color="auto"/>
            </w:tcBorders>
          </w:tcPr>
          <w:p w:rsidR="003E1F91" w:rsidRPr="003E1F91" w:rsidRDefault="003E1F91" w:rsidP="003E1F91">
            <w:pPr>
              <w:jc w:val="both"/>
              <w:rPr>
                <w:rFonts w:asciiTheme="minorHAnsi" w:hAnsiTheme="minorHAnsi" w:cstheme="minorHAnsi"/>
                <w:szCs w:val="20"/>
              </w:rPr>
            </w:pPr>
            <w:r w:rsidRPr="003E1F91">
              <w:rPr>
                <w:rFonts w:asciiTheme="minorHAnsi" w:hAnsiTheme="minorHAnsi" w:cstheme="minorHAnsi"/>
                <w:szCs w:val="20"/>
              </w:rPr>
              <w:t>(EUR x 1,000)</w:t>
            </w:r>
          </w:p>
        </w:tc>
        <w:tc>
          <w:tcPr>
            <w:tcW w:w="1455" w:type="dxa"/>
            <w:tcBorders>
              <w:bottom w:val="single" w:sz="4" w:space="0" w:color="auto"/>
            </w:tcBorders>
          </w:tcPr>
          <w:p w:rsidR="003E1F91" w:rsidRPr="003E1F91" w:rsidRDefault="003E1F91" w:rsidP="003E1F91">
            <w:pPr>
              <w:ind w:left="-250"/>
              <w:jc w:val="right"/>
              <w:rPr>
                <w:rFonts w:asciiTheme="minorHAnsi" w:hAnsiTheme="minorHAnsi" w:cstheme="minorHAnsi"/>
                <w:szCs w:val="20"/>
              </w:rPr>
            </w:pPr>
            <w:r w:rsidRPr="003E1F91">
              <w:rPr>
                <w:rFonts w:asciiTheme="minorHAnsi" w:hAnsiTheme="minorHAnsi" w:cstheme="minorHAnsi"/>
                <w:szCs w:val="20"/>
              </w:rPr>
              <w:t>2017</w:t>
            </w:r>
          </w:p>
        </w:tc>
        <w:tc>
          <w:tcPr>
            <w:tcW w:w="1380" w:type="dxa"/>
            <w:tcBorders>
              <w:bottom w:val="single" w:sz="4" w:space="0" w:color="auto"/>
            </w:tcBorders>
          </w:tcPr>
          <w:p w:rsidR="003E1F91" w:rsidRPr="003E1F91" w:rsidRDefault="003E1F91" w:rsidP="003E1F91">
            <w:pPr>
              <w:jc w:val="right"/>
              <w:rPr>
                <w:rFonts w:asciiTheme="minorHAnsi" w:hAnsiTheme="minorHAnsi" w:cstheme="minorHAnsi"/>
                <w:szCs w:val="20"/>
              </w:rPr>
            </w:pPr>
            <w:r w:rsidRPr="003E1F91">
              <w:rPr>
                <w:rFonts w:asciiTheme="minorHAnsi" w:hAnsiTheme="minorHAnsi" w:cstheme="minorHAnsi"/>
                <w:szCs w:val="20"/>
              </w:rPr>
              <w:t>2016</w:t>
            </w:r>
          </w:p>
        </w:tc>
        <w:tc>
          <w:tcPr>
            <w:tcW w:w="1134" w:type="dxa"/>
            <w:tcBorders>
              <w:bottom w:val="single" w:sz="4" w:space="0" w:color="auto"/>
            </w:tcBorders>
          </w:tcPr>
          <w:p w:rsidR="003E1F91" w:rsidRPr="003E1F91" w:rsidRDefault="003E1F91" w:rsidP="003E1F91">
            <w:pPr>
              <w:jc w:val="right"/>
              <w:rPr>
                <w:rFonts w:asciiTheme="minorHAnsi" w:hAnsiTheme="minorHAnsi" w:cstheme="minorHAnsi"/>
                <w:szCs w:val="20"/>
              </w:rPr>
            </w:pPr>
            <w:proofErr w:type="spellStart"/>
            <w:r w:rsidRPr="003E1F91">
              <w:rPr>
                <w:rFonts w:asciiTheme="minorHAnsi" w:hAnsiTheme="minorHAnsi" w:cstheme="minorHAnsi"/>
                <w:szCs w:val="20"/>
              </w:rPr>
              <w:t>approx</w:t>
            </w:r>
            <w:proofErr w:type="spellEnd"/>
            <w:r w:rsidRPr="003E1F91">
              <w:rPr>
                <w:rFonts w:asciiTheme="minorHAnsi" w:hAnsiTheme="minorHAnsi" w:cstheme="minorHAnsi"/>
                <w:szCs w:val="20"/>
              </w:rPr>
              <w:t>.</w:t>
            </w:r>
            <w:r w:rsidRPr="003E1F91">
              <w:rPr>
                <w:rFonts w:asciiTheme="minorHAnsi" w:hAnsiTheme="minorHAnsi" w:cstheme="minorHAnsi"/>
                <w:szCs w:val="20"/>
              </w:rPr>
              <w:br/>
            </w:r>
            <w:proofErr w:type="spellStart"/>
            <w:r w:rsidRPr="003E1F91">
              <w:rPr>
                <w:rFonts w:asciiTheme="minorHAnsi" w:hAnsiTheme="minorHAnsi" w:cstheme="minorHAnsi"/>
                <w:szCs w:val="20"/>
              </w:rPr>
              <w:t>change</w:t>
            </w:r>
            <w:proofErr w:type="spellEnd"/>
          </w:p>
        </w:tc>
      </w:tr>
      <w:tr w:rsidR="003E1F91" w:rsidRPr="003E1F91" w:rsidTr="003E1F91">
        <w:tc>
          <w:tcPr>
            <w:tcW w:w="3936" w:type="dxa"/>
            <w:tcBorders>
              <w:top w:val="single" w:sz="4" w:space="0" w:color="auto"/>
            </w:tcBorders>
          </w:tcPr>
          <w:p w:rsidR="003E1F91" w:rsidRPr="003E1F91" w:rsidRDefault="003E1F91" w:rsidP="003E1F91">
            <w:pPr>
              <w:jc w:val="both"/>
              <w:rPr>
                <w:rFonts w:asciiTheme="minorHAnsi" w:hAnsiTheme="minorHAnsi" w:cstheme="minorHAnsi"/>
                <w:szCs w:val="20"/>
              </w:rPr>
            </w:pPr>
          </w:p>
        </w:tc>
        <w:tc>
          <w:tcPr>
            <w:tcW w:w="1455" w:type="dxa"/>
            <w:tcBorders>
              <w:top w:val="single" w:sz="4" w:space="0" w:color="auto"/>
            </w:tcBorders>
          </w:tcPr>
          <w:p w:rsidR="003E1F91" w:rsidRPr="003E1F91" w:rsidRDefault="003E1F91" w:rsidP="003E1F91">
            <w:pPr>
              <w:ind w:left="-250"/>
              <w:jc w:val="right"/>
              <w:rPr>
                <w:rFonts w:asciiTheme="minorHAnsi" w:hAnsiTheme="minorHAnsi" w:cstheme="minorHAnsi"/>
                <w:szCs w:val="20"/>
              </w:rPr>
            </w:pPr>
          </w:p>
        </w:tc>
        <w:tc>
          <w:tcPr>
            <w:tcW w:w="1380" w:type="dxa"/>
            <w:tcBorders>
              <w:top w:val="single" w:sz="4" w:space="0" w:color="auto"/>
            </w:tcBorders>
          </w:tcPr>
          <w:p w:rsidR="003E1F91" w:rsidRPr="003E1F91" w:rsidRDefault="003E1F91" w:rsidP="003E1F91">
            <w:pPr>
              <w:jc w:val="right"/>
              <w:rPr>
                <w:rFonts w:asciiTheme="minorHAnsi" w:hAnsiTheme="minorHAnsi" w:cstheme="minorHAnsi"/>
                <w:szCs w:val="20"/>
              </w:rPr>
            </w:pPr>
          </w:p>
        </w:tc>
        <w:tc>
          <w:tcPr>
            <w:tcW w:w="1134" w:type="dxa"/>
            <w:tcBorders>
              <w:top w:val="single" w:sz="4" w:space="0" w:color="auto"/>
            </w:tcBorders>
          </w:tcPr>
          <w:p w:rsidR="003E1F91" w:rsidRPr="003E1F91" w:rsidRDefault="003E1F91" w:rsidP="003E1F91">
            <w:pPr>
              <w:jc w:val="right"/>
              <w:rPr>
                <w:rFonts w:asciiTheme="minorHAnsi" w:hAnsiTheme="minorHAnsi" w:cstheme="minorHAnsi"/>
                <w:szCs w:val="20"/>
              </w:rPr>
            </w:pPr>
          </w:p>
        </w:tc>
      </w:tr>
      <w:tr w:rsidR="003E1F91" w:rsidRPr="003E1F91" w:rsidTr="003E1F91">
        <w:tc>
          <w:tcPr>
            <w:tcW w:w="3936" w:type="dxa"/>
          </w:tcPr>
          <w:p w:rsidR="003E1F91" w:rsidRPr="003E1F91" w:rsidRDefault="003E1F91" w:rsidP="003E1F91">
            <w:pPr>
              <w:jc w:val="both"/>
              <w:rPr>
                <w:rFonts w:asciiTheme="minorHAnsi" w:hAnsiTheme="minorHAnsi" w:cstheme="minorHAnsi"/>
                <w:szCs w:val="20"/>
              </w:rPr>
            </w:pPr>
            <w:proofErr w:type="spellStart"/>
            <w:r w:rsidRPr="003E1F91">
              <w:rPr>
                <w:rFonts w:asciiTheme="minorHAnsi" w:hAnsiTheme="minorHAnsi" w:cstheme="minorHAnsi"/>
                <w:szCs w:val="20"/>
              </w:rPr>
              <w:t>Supply</w:t>
            </w:r>
            <w:proofErr w:type="spellEnd"/>
            <w:r w:rsidRPr="003E1F91">
              <w:rPr>
                <w:rFonts w:asciiTheme="minorHAnsi" w:hAnsiTheme="minorHAnsi" w:cstheme="minorHAnsi"/>
                <w:szCs w:val="20"/>
              </w:rPr>
              <w:t xml:space="preserve"> Chain Management</w:t>
            </w:r>
          </w:p>
        </w:tc>
        <w:tc>
          <w:tcPr>
            <w:tcW w:w="1455" w:type="dxa"/>
          </w:tcPr>
          <w:p w:rsidR="003E1F91" w:rsidRPr="003E1F91" w:rsidRDefault="003E1F91" w:rsidP="003E1F91">
            <w:pPr>
              <w:ind w:left="-250"/>
              <w:jc w:val="right"/>
              <w:rPr>
                <w:rFonts w:asciiTheme="minorHAnsi" w:hAnsiTheme="minorHAnsi" w:cstheme="minorHAnsi"/>
                <w:szCs w:val="20"/>
              </w:rPr>
            </w:pPr>
            <w:r w:rsidRPr="003E1F91">
              <w:rPr>
                <w:rFonts w:asciiTheme="minorHAnsi" w:hAnsiTheme="minorHAnsi" w:cstheme="minorHAnsi"/>
                <w:szCs w:val="20"/>
              </w:rPr>
              <w:t>2,448</w:t>
            </w:r>
          </w:p>
        </w:tc>
        <w:tc>
          <w:tcPr>
            <w:tcW w:w="1380" w:type="dxa"/>
          </w:tcPr>
          <w:p w:rsidR="003E1F91" w:rsidRPr="003E1F91" w:rsidRDefault="003E1F91" w:rsidP="003E1F91">
            <w:pPr>
              <w:jc w:val="right"/>
              <w:rPr>
                <w:rFonts w:asciiTheme="minorHAnsi" w:hAnsiTheme="minorHAnsi" w:cstheme="minorHAnsi"/>
                <w:szCs w:val="20"/>
              </w:rPr>
            </w:pPr>
            <w:r w:rsidRPr="003E1F91">
              <w:rPr>
                <w:rFonts w:asciiTheme="minorHAnsi" w:hAnsiTheme="minorHAnsi" w:cstheme="minorHAnsi"/>
                <w:szCs w:val="20"/>
              </w:rPr>
              <w:t>2,077</w:t>
            </w:r>
          </w:p>
        </w:tc>
        <w:tc>
          <w:tcPr>
            <w:tcW w:w="1134" w:type="dxa"/>
          </w:tcPr>
          <w:p w:rsidR="003E1F91" w:rsidRPr="003E1F91" w:rsidRDefault="003E1F91" w:rsidP="003E1F91">
            <w:pPr>
              <w:jc w:val="right"/>
              <w:rPr>
                <w:rFonts w:asciiTheme="minorHAnsi" w:hAnsiTheme="minorHAnsi" w:cstheme="minorHAnsi"/>
                <w:szCs w:val="20"/>
              </w:rPr>
            </w:pPr>
            <w:r w:rsidRPr="003E1F91">
              <w:rPr>
                <w:rFonts w:asciiTheme="minorHAnsi" w:hAnsiTheme="minorHAnsi" w:cstheme="minorHAnsi"/>
                <w:szCs w:val="20"/>
              </w:rPr>
              <w:t>+18%</w:t>
            </w:r>
          </w:p>
        </w:tc>
      </w:tr>
      <w:tr w:rsidR="003E1F91" w:rsidRPr="003E1F91" w:rsidTr="003E1F91">
        <w:tc>
          <w:tcPr>
            <w:tcW w:w="3936" w:type="dxa"/>
          </w:tcPr>
          <w:p w:rsidR="003E1F91" w:rsidRPr="003E1F91" w:rsidRDefault="003E1F91" w:rsidP="003E1F91">
            <w:pPr>
              <w:jc w:val="both"/>
              <w:rPr>
                <w:rFonts w:asciiTheme="minorHAnsi" w:hAnsiTheme="minorHAnsi" w:cstheme="minorHAnsi"/>
                <w:szCs w:val="20"/>
              </w:rPr>
            </w:pPr>
            <w:r w:rsidRPr="003E1F91">
              <w:rPr>
                <w:rFonts w:asciiTheme="minorHAnsi" w:hAnsiTheme="minorHAnsi" w:cstheme="minorHAnsi"/>
                <w:szCs w:val="20"/>
              </w:rPr>
              <w:t>Test Engineering</w:t>
            </w:r>
          </w:p>
        </w:tc>
        <w:tc>
          <w:tcPr>
            <w:tcW w:w="1455" w:type="dxa"/>
          </w:tcPr>
          <w:p w:rsidR="003E1F91" w:rsidRPr="003E1F91" w:rsidRDefault="003E1F91" w:rsidP="003E1F91">
            <w:pPr>
              <w:ind w:left="-250"/>
              <w:jc w:val="right"/>
              <w:rPr>
                <w:rFonts w:asciiTheme="minorHAnsi" w:hAnsiTheme="minorHAnsi" w:cstheme="minorHAnsi"/>
                <w:szCs w:val="20"/>
              </w:rPr>
            </w:pPr>
            <w:r w:rsidRPr="003E1F91">
              <w:rPr>
                <w:rFonts w:asciiTheme="minorHAnsi" w:hAnsiTheme="minorHAnsi" w:cstheme="minorHAnsi"/>
                <w:szCs w:val="20"/>
              </w:rPr>
              <w:t>689</w:t>
            </w:r>
          </w:p>
        </w:tc>
        <w:tc>
          <w:tcPr>
            <w:tcW w:w="1380" w:type="dxa"/>
          </w:tcPr>
          <w:p w:rsidR="003E1F91" w:rsidRPr="003E1F91" w:rsidRDefault="003E1F91" w:rsidP="003E1F91">
            <w:pPr>
              <w:jc w:val="right"/>
              <w:rPr>
                <w:rFonts w:asciiTheme="minorHAnsi" w:hAnsiTheme="minorHAnsi" w:cstheme="minorHAnsi"/>
                <w:szCs w:val="20"/>
              </w:rPr>
            </w:pPr>
            <w:r w:rsidRPr="003E1F91">
              <w:rPr>
                <w:rFonts w:asciiTheme="minorHAnsi" w:hAnsiTheme="minorHAnsi" w:cstheme="minorHAnsi"/>
                <w:szCs w:val="20"/>
              </w:rPr>
              <w:t>471</w:t>
            </w:r>
          </w:p>
        </w:tc>
        <w:tc>
          <w:tcPr>
            <w:tcW w:w="1134" w:type="dxa"/>
          </w:tcPr>
          <w:p w:rsidR="003E1F91" w:rsidRPr="003E1F91" w:rsidRDefault="003E1F91" w:rsidP="003E1F91">
            <w:pPr>
              <w:jc w:val="right"/>
              <w:rPr>
                <w:rFonts w:asciiTheme="minorHAnsi" w:hAnsiTheme="minorHAnsi" w:cstheme="minorHAnsi"/>
                <w:szCs w:val="20"/>
              </w:rPr>
            </w:pPr>
            <w:r w:rsidRPr="003E1F91">
              <w:rPr>
                <w:rFonts w:asciiTheme="minorHAnsi" w:hAnsiTheme="minorHAnsi" w:cstheme="minorHAnsi"/>
                <w:szCs w:val="20"/>
              </w:rPr>
              <w:t>+46%</w:t>
            </w:r>
          </w:p>
        </w:tc>
      </w:tr>
      <w:tr w:rsidR="003E1F91" w:rsidRPr="003E1F91" w:rsidTr="003E1F91">
        <w:tc>
          <w:tcPr>
            <w:tcW w:w="3936" w:type="dxa"/>
          </w:tcPr>
          <w:p w:rsidR="003E1F91" w:rsidRPr="003E1F91" w:rsidRDefault="003E1F91" w:rsidP="003E1F91">
            <w:pPr>
              <w:jc w:val="both"/>
              <w:rPr>
                <w:rFonts w:asciiTheme="minorHAnsi" w:hAnsiTheme="minorHAnsi" w:cstheme="minorHAnsi"/>
                <w:szCs w:val="20"/>
              </w:rPr>
            </w:pPr>
            <w:r w:rsidRPr="003E1F91">
              <w:rPr>
                <w:rFonts w:asciiTheme="minorHAnsi" w:hAnsiTheme="minorHAnsi" w:cstheme="minorHAnsi"/>
                <w:szCs w:val="20"/>
              </w:rPr>
              <w:t xml:space="preserve">Test </w:t>
            </w:r>
            <w:proofErr w:type="spellStart"/>
            <w:r w:rsidRPr="003E1F91">
              <w:rPr>
                <w:rFonts w:asciiTheme="minorHAnsi" w:hAnsiTheme="minorHAnsi" w:cstheme="minorHAnsi"/>
                <w:szCs w:val="20"/>
              </w:rPr>
              <w:t>Operations</w:t>
            </w:r>
            <w:proofErr w:type="spellEnd"/>
          </w:p>
        </w:tc>
        <w:tc>
          <w:tcPr>
            <w:tcW w:w="1455" w:type="dxa"/>
          </w:tcPr>
          <w:p w:rsidR="003E1F91" w:rsidRPr="003E1F91" w:rsidRDefault="003E1F91" w:rsidP="003E1F91">
            <w:pPr>
              <w:ind w:left="-250"/>
              <w:jc w:val="right"/>
              <w:rPr>
                <w:rFonts w:asciiTheme="minorHAnsi" w:hAnsiTheme="minorHAnsi" w:cstheme="minorHAnsi"/>
                <w:szCs w:val="20"/>
              </w:rPr>
            </w:pPr>
            <w:r w:rsidRPr="003E1F91">
              <w:rPr>
                <w:rFonts w:asciiTheme="minorHAnsi" w:hAnsiTheme="minorHAnsi" w:cstheme="minorHAnsi"/>
                <w:szCs w:val="20"/>
              </w:rPr>
              <w:t>4,275</w:t>
            </w:r>
          </w:p>
        </w:tc>
        <w:tc>
          <w:tcPr>
            <w:tcW w:w="1380" w:type="dxa"/>
          </w:tcPr>
          <w:p w:rsidR="003E1F91" w:rsidRPr="003E1F91" w:rsidRDefault="003E1F91" w:rsidP="003E1F91">
            <w:pPr>
              <w:jc w:val="right"/>
              <w:rPr>
                <w:rFonts w:asciiTheme="minorHAnsi" w:hAnsiTheme="minorHAnsi" w:cstheme="minorHAnsi"/>
                <w:szCs w:val="20"/>
              </w:rPr>
            </w:pPr>
            <w:r w:rsidRPr="003E1F91">
              <w:rPr>
                <w:rFonts w:asciiTheme="minorHAnsi" w:hAnsiTheme="minorHAnsi" w:cstheme="minorHAnsi"/>
                <w:szCs w:val="20"/>
              </w:rPr>
              <w:t>3,727</w:t>
            </w:r>
          </w:p>
        </w:tc>
        <w:tc>
          <w:tcPr>
            <w:tcW w:w="1134" w:type="dxa"/>
          </w:tcPr>
          <w:p w:rsidR="003E1F91" w:rsidRPr="003E1F91" w:rsidRDefault="003E1F91" w:rsidP="003E1F91">
            <w:pPr>
              <w:jc w:val="right"/>
              <w:rPr>
                <w:rFonts w:asciiTheme="minorHAnsi" w:hAnsiTheme="minorHAnsi" w:cstheme="minorHAnsi"/>
                <w:szCs w:val="20"/>
              </w:rPr>
            </w:pPr>
            <w:r w:rsidRPr="003E1F91">
              <w:rPr>
                <w:rFonts w:asciiTheme="minorHAnsi" w:hAnsiTheme="minorHAnsi" w:cstheme="minorHAnsi"/>
                <w:szCs w:val="20"/>
              </w:rPr>
              <w:t>+15%</w:t>
            </w:r>
          </w:p>
        </w:tc>
      </w:tr>
      <w:tr w:rsidR="003E1F91" w:rsidRPr="003E1F91" w:rsidTr="003E1F91">
        <w:tc>
          <w:tcPr>
            <w:tcW w:w="3936" w:type="dxa"/>
          </w:tcPr>
          <w:p w:rsidR="003E1F91" w:rsidRPr="003E1F91" w:rsidRDefault="003E1F91" w:rsidP="003E1F91">
            <w:pPr>
              <w:jc w:val="both"/>
              <w:rPr>
                <w:rFonts w:asciiTheme="minorHAnsi" w:hAnsiTheme="minorHAnsi" w:cstheme="minorHAnsi"/>
                <w:szCs w:val="20"/>
              </w:rPr>
            </w:pPr>
            <w:proofErr w:type="spellStart"/>
            <w:r w:rsidRPr="003E1F91">
              <w:rPr>
                <w:rFonts w:asciiTheme="minorHAnsi" w:hAnsiTheme="minorHAnsi" w:cstheme="minorHAnsi"/>
                <w:szCs w:val="20"/>
              </w:rPr>
              <w:t>Failure</w:t>
            </w:r>
            <w:proofErr w:type="spellEnd"/>
            <w:r w:rsidRPr="003E1F91">
              <w:rPr>
                <w:rFonts w:asciiTheme="minorHAnsi" w:hAnsiTheme="minorHAnsi" w:cstheme="minorHAnsi"/>
                <w:szCs w:val="20"/>
              </w:rPr>
              <w:t xml:space="preserve"> &amp; Technology Analysis</w:t>
            </w:r>
          </w:p>
        </w:tc>
        <w:tc>
          <w:tcPr>
            <w:tcW w:w="1455" w:type="dxa"/>
          </w:tcPr>
          <w:p w:rsidR="003E1F91" w:rsidRPr="003E1F91" w:rsidRDefault="003E1F91" w:rsidP="003E1F91">
            <w:pPr>
              <w:ind w:left="-250"/>
              <w:jc w:val="right"/>
              <w:rPr>
                <w:rFonts w:asciiTheme="minorHAnsi" w:hAnsiTheme="minorHAnsi" w:cstheme="minorHAnsi"/>
                <w:szCs w:val="20"/>
              </w:rPr>
            </w:pPr>
            <w:r w:rsidRPr="003E1F91">
              <w:rPr>
                <w:rFonts w:asciiTheme="minorHAnsi" w:hAnsiTheme="minorHAnsi" w:cstheme="minorHAnsi"/>
                <w:szCs w:val="20"/>
              </w:rPr>
              <w:t>1,787</w:t>
            </w:r>
          </w:p>
        </w:tc>
        <w:tc>
          <w:tcPr>
            <w:tcW w:w="1380" w:type="dxa"/>
          </w:tcPr>
          <w:p w:rsidR="003E1F91" w:rsidRPr="003E1F91" w:rsidRDefault="003E1F91" w:rsidP="003E1F91">
            <w:pPr>
              <w:jc w:val="right"/>
              <w:rPr>
                <w:rFonts w:asciiTheme="minorHAnsi" w:hAnsiTheme="minorHAnsi" w:cstheme="minorHAnsi"/>
                <w:szCs w:val="20"/>
              </w:rPr>
            </w:pPr>
            <w:r w:rsidRPr="003E1F91">
              <w:rPr>
                <w:rFonts w:asciiTheme="minorHAnsi" w:hAnsiTheme="minorHAnsi" w:cstheme="minorHAnsi"/>
                <w:szCs w:val="20"/>
              </w:rPr>
              <w:t>1,494</w:t>
            </w:r>
          </w:p>
        </w:tc>
        <w:tc>
          <w:tcPr>
            <w:tcW w:w="1134" w:type="dxa"/>
          </w:tcPr>
          <w:p w:rsidR="003E1F91" w:rsidRPr="003E1F91" w:rsidRDefault="003E1F91" w:rsidP="003E1F91">
            <w:pPr>
              <w:jc w:val="right"/>
              <w:rPr>
                <w:rFonts w:asciiTheme="minorHAnsi" w:hAnsiTheme="minorHAnsi" w:cstheme="minorHAnsi"/>
                <w:szCs w:val="20"/>
              </w:rPr>
            </w:pPr>
            <w:r w:rsidRPr="003E1F91">
              <w:rPr>
                <w:rFonts w:asciiTheme="minorHAnsi" w:hAnsiTheme="minorHAnsi" w:cstheme="minorHAnsi"/>
                <w:szCs w:val="20"/>
              </w:rPr>
              <w:t>+20%</w:t>
            </w:r>
          </w:p>
        </w:tc>
      </w:tr>
      <w:tr w:rsidR="003E1F91" w:rsidRPr="003E1F91" w:rsidTr="003E1F91">
        <w:tc>
          <w:tcPr>
            <w:tcW w:w="3936" w:type="dxa"/>
          </w:tcPr>
          <w:p w:rsidR="003E1F91" w:rsidRPr="003E1F91" w:rsidRDefault="003E1F91" w:rsidP="003E1F91">
            <w:pPr>
              <w:jc w:val="both"/>
              <w:rPr>
                <w:rFonts w:asciiTheme="minorHAnsi" w:hAnsiTheme="minorHAnsi" w:cstheme="minorHAnsi"/>
                <w:szCs w:val="20"/>
              </w:rPr>
            </w:pPr>
            <w:proofErr w:type="spellStart"/>
            <w:r w:rsidRPr="003E1F91">
              <w:rPr>
                <w:rFonts w:asciiTheme="minorHAnsi" w:hAnsiTheme="minorHAnsi" w:cstheme="minorHAnsi"/>
                <w:szCs w:val="20"/>
              </w:rPr>
              <w:t>Qualification</w:t>
            </w:r>
            <w:proofErr w:type="spellEnd"/>
            <w:r w:rsidRPr="003E1F91">
              <w:rPr>
                <w:rFonts w:asciiTheme="minorHAnsi" w:hAnsiTheme="minorHAnsi" w:cstheme="minorHAnsi"/>
                <w:szCs w:val="20"/>
              </w:rPr>
              <w:t xml:space="preserve"> &amp; </w:t>
            </w:r>
            <w:proofErr w:type="spellStart"/>
            <w:r w:rsidRPr="003E1F91">
              <w:rPr>
                <w:rFonts w:asciiTheme="minorHAnsi" w:hAnsiTheme="minorHAnsi" w:cstheme="minorHAnsi"/>
                <w:szCs w:val="20"/>
              </w:rPr>
              <w:t>Reliability</w:t>
            </w:r>
            <w:proofErr w:type="spellEnd"/>
            <w:r w:rsidRPr="003E1F91">
              <w:rPr>
                <w:rFonts w:asciiTheme="minorHAnsi" w:hAnsiTheme="minorHAnsi" w:cstheme="minorHAnsi"/>
                <w:szCs w:val="20"/>
              </w:rPr>
              <w:t xml:space="preserve"> </w:t>
            </w:r>
            <w:proofErr w:type="spellStart"/>
            <w:r w:rsidRPr="003E1F91">
              <w:rPr>
                <w:rFonts w:asciiTheme="minorHAnsi" w:hAnsiTheme="minorHAnsi" w:cstheme="minorHAnsi"/>
                <w:szCs w:val="20"/>
              </w:rPr>
              <w:t>Investigations</w:t>
            </w:r>
            <w:proofErr w:type="spellEnd"/>
          </w:p>
        </w:tc>
        <w:tc>
          <w:tcPr>
            <w:tcW w:w="1455" w:type="dxa"/>
          </w:tcPr>
          <w:p w:rsidR="003E1F91" w:rsidRPr="003E1F91" w:rsidRDefault="003E1F91" w:rsidP="003E1F91">
            <w:pPr>
              <w:ind w:left="-250"/>
              <w:jc w:val="right"/>
              <w:rPr>
                <w:rFonts w:asciiTheme="minorHAnsi" w:hAnsiTheme="minorHAnsi" w:cstheme="minorHAnsi"/>
                <w:szCs w:val="20"/>
              </w:rPr>
            </w:pPr>
            <w:r w:rsidRPr="003E1F91">
              <w:rPr>
                <w:rFonts w:asciiTheme="minorHAnsi" w:hAnsiTheme="minorHAnsi" w:cstheme="minorHAnsi"/>
                <w:szCs w:val="20"/>
              </w:rPr>
              <w:t>2,928</w:t>
            </w:r>
          </w:p>
        </w:tc>
        <w:tc>
          <w:tcPr>
            <w:tcW w:w="1380" w:type="dxa"/>
          </w:tcPr>
          <w:p w:rsidR="003E1F91" w:rsidRPr="003E1F91" w:rsidRDefault="003E1F91" w:rsidP="003E1F91">
            <w:pPr>
              <w:jc w:val="right"/>
              <w:rPr>
                <w:rFonts w:asciiTheme="minorHAnsi" w:hAnsiTheme="minorHAnsi" w:cstheme="minorHAnsi"/>
                <w:szCs w:val="20"/>
              </w:rPr>
            </w:pPr>
            <w:r w:rsidRPr="003E1F91">
              <w:rPr>
                <w:rFonts w:asciiTheme="minorHAnsi" w:hAnsiTheme="minorHAnsi" w:cstheme="minorHAnsi"/>
                <w:szCs w:val="20"/>
              </w:rPr>
              <w:t>2,696</w:t>
            </w:r>
          </w:p>
        </w:tc>
        <w:tc>
          <w:tcPr>
            <w:tcW w:w="1134" w:type="dxa"/>
          </w:tcPr>
          <w:p w:rsidR="003E1F91" w:rsidRPr="003E1F91" w:rsidRDefault="003E1F91" w:rsidP="003E1F91">
            <w:pPr>
              <w:jc w:val="right"/>
              <w:rPr>
                <w:rFonts w:asciiTheme="minorHAnsi" w:hAnsiTheme="minorHAnsi" w:cstheme="minorHAnsi"/>
                <w:szCs w:val="20"/>
              </w:rPr>
            </w:pPr>
            <w:r w:rsidRPr="003E1F91">
              <w:rPr>
                <w:rFonts w:asciiTheme="minorHAnsi" w:hAnsiTheme="minorHAnsi" w:cstheme="minorHAnsi"/>
                <w:szCs w:val="20"/>
              </w:rPr>
              <w:t>+9%</w:t>
            </w:r>
          </w:p>
        </w:tc>
      </w:tr>
      <w:tr w:rsidR="003E1F91" w:rsidRPr="003E1F91" w:rsidTr="003E1F91">
        <w:tc>
          <w:tcPr>
            <w:tcW w:w="3936" w:type="dxa"/>
            <w:tcBorders>
              <w:top w:val="single" w:sz="4" w:space="0" w:color="auto"/>
            </w:tcBorders>
          </w:tcPr>
          <w:p w:rsidR="003E1F91" w:rsidRPr="003E1F91" w:rsidRDefault="003E1F91" w:rsidP="003E1F91">
            <w:pPr>
              <w:jc w:val="both"/>
              <w:rPr>
                <w:rFonts w:asciiTheme="minorHAnsi" w:hAnsiTheme="minorHAnsi" w:cstheme="minorHAnsi"/>
                <w:szCs w:val="20"/>
              </w:rPr>
            </w:pPr>
          </w:p>
        </w:tc>
        <w:tc>
          <w:tcPr>
            <w:tcW w:w="1455" w:type="dxa"/>
            <w:tcBorders>
              <w:top w:val="single" w:sz="4" w:space="0" w:color="auto"/>
            </w:tcBorders>
          </w:tcPr>
          <w:p w:rsidR="003E1F91" w:rsidRPr="003E1F91" w:rsidRDefault="003E1F91" w:rsidP="003E1F91">
            <w:pPr>
              <w:ind w:left="-250"/>
              <w:jc w:val="right"/>
              <w:rPr>
                <w:rFonts w:asciiTheme="minorHAnsi" w:hAnsiTheme="minorHAnsi" w:cstheme="minorHAnsi"/>
                <w:szCs w:val="20"/>
              </w:rPr>
            </w:pPr>
          </w:p>
        </w:tc>
        <w:tc>
          <w:tcPr>
            <w:tcW w:w="1380" w:type="dxa"/>
            <w:tcBorders>
              <w:top w:val="single" w:sz="4" w:space="0" w:color="auto"/>
            </w:tcBorders>
          </w:tcPr>
          <w:p w:rsidR="003E1F91" w:rsidRPr="003E1F91" w:rsidRDefault="003E1F91" w:rsidP="003E1F91">
            <w:pPr>
              <w:jc w:val="right"/>
              <w:rPr>
                <w:rFonts w:asciiTheme="minorHAnsi" w:hAnsiTheme="minorHAnsi" w:cstheme="minorHAnsi"/>
                <w:szCs w:val="20"/>
              </w:rPr>
            </w:pPr>
          </w:p>
        </w:tc>
        <w:tc>
          <w:tcPr>
            <w:tcW w:w="1134" w:type="dxa"/>
            <w:tcBorders>
              <w:top w:val="single" w:sz="4" w:space="0" w:color="auto"/>
            </w:tcBorders>
          </w:tcPr>
          <w:p w:rsidR="003E1F91" w:rsidRPr="003E1F91" w:rsidRDefault="003E1F91" w:rsidP="003E1F91">
            <w:pPr>
              <w:jc w:val="right"/>
              <w:rPr>
                <w:rFonts w:asciiTheme="minorHAnsi" w:hAnsiTheme="minorHAnsi" w:cstheme="minorHAnsi"/>
                <w:szCs w:val="20"/>
              </w:rPr>
            </w:pPr>
          </w:p>
        </w:tc>
      </w:tr>
      <w:tr w:rsidR="003E1F91" w:rsidRPr="003E1F91" w:rsidTr="003E1F91">
        <w:tc>
          <w:tcPr>
            <w:tcW w:w="3936" w:type="dxa"/>
          </w:tcPr>
          <w:p w:rsidR="003E1F91" w:rsidRPr="003E1F91" w:rsidRDefault="003E1F91" w:rsidP="003E1F91">
            <w:pPr>
              <w:jc w:val="both"/>
              <w:rPr>
                <w:rFonts w:asciiTheme="minorHAnsi" w:hAnsiTheme="minorHAnsi" w:cstheme="minorHAnsi"/>
                <w:b/>
                <w:bCs/>
                <w:szCs w:val="20"/>
              </w:rPr>
            </w:pPr>
            <w:r w:rsidRPr="003E1F91">
              <w:rPr>
                <w:rFonts w:asciiTheme="minorHAnsi" w:hAnsiTheme="minorHAnsi" w:cstheme="minorHAnsi"/>
                <w:b/>
                <w:szCs w:val="20"/>
              </w:rPr>
              <w:t>Total</w:t>
            </w:r>
          </w:p>
        </w:tc>
        <w:tc>
          <w:tcPr>
            <w:tcW w:w="1455" w:type="dxa"/>
          </w:tcPr>
          <w:p w:rsidR="003E1F91" w:rsidRPr="003E1F91" w:rsidRDefault="003E1F91" w:rsidP="003E1F91">
            <w:pPr>
              <w:ind w:left="-250"/>
              <w:jc w:val="right"/>
              <w:rPr>
                <w:rFonts w:asciiTheme="minorHAnsi" w:hAnsiTheme="minorHAnsi" w:cstheme="minorHAnsi"/>
                <w:b/>
                <w:bCs/>
                <w:szCs w:val="20"/>
              </w:rPr>
            </w:pPr>
            <w:r w:rsidRPr="003E1F91">
              <w:rPr>
                <w:rFonts w:asciiTheme="minorHAnsi" w:hAnsiTheme="minorHAnsi" w:cstheme="minorHAnsi"/>
                <w:b/>
                <w:szCs w:val="20"/>
              </w:rPr>
              <w:t>12,127</w:t>
            </w:r>
          </w:p>
        </w:tc>
        <w:tc>
          <w:tcPr>
            <w:tcW w:w="1380" w:type="dxa"/>
          </w:tcPr>
          <w:p w:rsidR="003E1F91" w:rsidRPr="003E1F91" w:rsidRDefault="003E1F91" w:rsidP="003E1F91">
            <w:pPr>
              <w:jc w:val="right"/>
              <w:rPr>
                <w:rFonts w:asciiTheme="minorHAnsi" w:hAnsiTheme="minorHAnsi" w:cstheme="minorHAnsi"/>
                <w:b/>
                <w:bCs/>
                <w:szCs w:val="20"/>
              </w:rPr>
            </w:pPr>
            <w:r w:rsidRPr="003E1F91">
              <w:rPr>
                <w:rFonts w:asciiTheme="minorHAnsi" w:hAnsiTheme="minorHAnsi" w:cstheme="minorHAnsi"/>
                <w:b/>
                <w:szCs w:val="20"/>
              </w:rPr>
              <w:t>10,465</w:t>
            </w:r>
          </w:p>
        </w:tc>
        <w:tc>
          <w:tcPr>
            <w:tcW w:w="1134" w:type="dxa"/>
          </w:tcPr>
          <w:p w:rsidR="003E1F91" w:rsidRPr="003E1F91" w:rsidRDefault="003E1F91" w:rsidP="003E1F91">
            <w:pPr>
              <w:jc w:val="right"/>
              <w:rPr>
                <w:rFonts w:asciiTheme="minorHAnsi" w:hAnsiTheme="minorHAnsi" w:cstheme="minorHAnsi"/>
                <w:b/>
                <w:bCs/>
                <w:szCs w:val="20"/>
              </w:rPr>
            </w:pPr>
            <w:r w:rsidRPr="003E1F91">
              <w:rPr>
                <w:rFonts w:asciiTheme="minorHAnsi" w:hAnsiTheme="minorHAnsi" w:cstheme="minorHAnsi"/>
                <w:b/>
                <w:szCs w:val="20"/>
              </w:rPr>
              <w:t>+16%</w:t>
            </w:r>
          </w:p>
        </w:tc>
      </w:tr>
    </w:tbl>
    <w:p w:rsidR="003E1F91" w:rsidRPr="003E1F91" w:rsidRDefault="003E1F91" w:rsidP="003E1F91">
      <w:pPr>
        <w:ind w:left="284"/>
        <w:jc w:val="both"/>
        <w:rPr>
          <w:rFonts w:asciiTheme="minorHAnsi" w:hAnsiTheme="minorHAnsi" w:cstheme="minorHAnsi"/>
          <w:szCs w:val="20"/>
          <w:lang w:val="en-GB"/>
        </w:rPr>
      </w:pPr>
    </w:p>
    <w:p w:rsidR="003E1F91" w:rsidRPr="003E1F91" w:rsidRDefault="003E1F91" w:rsidP="003E1F91">
      <w:pPr>
        <w:spacing w:after="0" w:line="240" w:lineRule="auto"/>
        <w:jc w:val="both"/>
        <w:rPr>
          <w:rFonts w:asciiTheme="minorHAnsi" w:eastAsia="Times New Roman" w:hAnsiTheme="minorHAnsi" w:cstheme="minorHAnsi"/>
          <w:b/>
          <w:color w:val="B71234"/>
          <w:szCs w:val="20"/>
          <w:lang w:val="en-GB" w:eastAsia="en-GB" w:bidi="en-GB"/>
        </w:rPr>
      </w:pPr>
      <w:r w:rsidRPr="003E1F91">
        <w:rPr>
          <w:rFonts w:asciiTheme="minorHAnsi" w:eastAsia="Times New Roman" w:hAnsiTheme="minorHAnsi" w:cstheme="minorHAnsi"/>
          <w:b/>
          <w:color w:val="B71234"/>
          <w:szCs w:val="20"/>
          <w:lang w:val="en-GB" w:eastAsia="en-GB" w:bidi="en-GB"/>
        </w:rPr>
        <w:br w:type="page"/>
      </w:r>
    </w:p>
    <w:p w:rsidR="003E1F91" w:rsidRPr="007972CA" w:rsidRDefault="003E1F91" w:rsidP="007972CA">
      <w:pPr>
        <w:tabs>
          <w:tab w:val="left" w:pos="2055"/>
        </w:tabs>
        <w:spacing w:after="200"/>
        <w:ind w:left="284"/>
        <w:jc w:val="both"/>
        <w:rPr>
          <w:rFonts w:asciiTheme="minorHAnsi" w:eastAsia="Times New Roman" w:hAnsiTheme="minorHAnsi" w:cstheme="minorHAnsi"/>
          <w:b/>
          <w:color w:val="B71234"/>
          <w:sz w:val="22"/>
          <w:lang w:val="en-GB" w:eastAsia="en-GB" w:bidi="en-GB"/>
        </w:rPr>
      </w:pPr>
      <w:r w:rsidRPr="007972CA">
        <w:rPr>
          <w:rFonts w:asciiTheme="minorHAnsi" w:eastAsia="Times New Roman" w:hAnsiTheme="minorHAnsi" w:cstheme="minorHAnsi"/>
          <w:b/>
          <w:color w:val="B71234"/>
          <w:sz w:val="22"/>
          <w:lang w:val="en-GB" w:eastAsia="en-GB" w:bidi="en-GB"/>
        </w:rPr>
        <w:lastRenderedPageBreak/>
        <w:t>Developments</w:t>
      </w:r>
    </w:p>
    <w:p w:rsidR="003E1F91" w:rsidRPr="003E1F91" w:rsidRDefault="003E1F91" w:rsidP="003E1F91">
      <w:pPr>
        <w:ind w:left="284"/>
        <w:jc w:val="both"/>
        <w:rPr>
          <w:rFonts w:asciiTheme="minorHAnsi" w:eastAsia="Times New Roman" w:hAnsiTheme="minorHAnsi" w:cstheme="minorHAnsi"/>
          <w:szCs w:val="20"/>
          <w:lang w:val="en-GB" w:eastAsia="zh-CN" w:bidi="en-GB"/>
        </w:rPr>
      </w:pPr>
      <w:r w:rsidRPr="003E1F91">
        <w:rPr>
          <w:rFonts w:asciiTheme="minorHAnsi" w:eastAsia="Times New Roman" w:hAnsiTheme="minorHAnsi" w:cstheme="minorHAnsi"/>
          <w:szCs w:val="20"/>
          <w:lang w:val="en-GB" w:eastAsia="zh-CN" w:bidi="en-GB"/>
        </w:rPr>
        <w:t xml:space="preserve">All business units show revenue increases compared to 2016 which is very encouraging and shows that </w:t>
      </w:r>
      <w:proofErr w:type="spellStart"/>
      <w:r w:rsidRPr="007972CA">
        <w:rPr>
          <w:rFonts w:asciiTheme="minorHAnsi" w:eastAsia="Times New Roman" w:hAnsiTheme="minorHAnsi" w:cstheme="minorHAnsi"/>
          <w:color w:val="B71234"/>
          <w:szCs w:val="20"/>
          <w:lang w:val="en-GB" w:eastAsia="zh-CN" w:bidi="en-GB"/>
        </w:rPr>
        <w:t>Rood</w:t>
      </w:r>
      <w:r w:rsidRPr="003E1F91">
        <w:rPr>
          <w:rFonts w:asciiTheme="minorHAnsi" w:eastAsia="Times New Roman" w:hAnsiTheme="minorHAnsi" w:cstheme="minorHAnsi"/>
          <w:szCs w:val="20"/>
          <w:lang w:val="en-GB" w:eastAsia="zh-CN" w:bidi="en-GB"/>
        </w:rPr>
        <w:t>Microtec</w:t>
      </w:r>
      <w:proofErr w:type="spellEnd"/>
      <w:r w:rsidRPr="003E1F91">
        <w:rPr>
          <w:rFonts w:asciiTheme="minorHAnsi" w:eastAsia="Times New Roman" w:hAnsiTheme="minorHAnsi" w:cstheme="minorHAnsi"/>
          <w:szCs w:val="20"/>
          <w:lang w:val="en-GB" w:eastAsia="zh-CN" w:bidi="en-GB"/>
        </w:rPr>
        <w:t xml:space="preserve"> is present in the right service sectors as well as the focus on achieving increases throughout the complete offering.</w:t>
      </w:r>
    </w:p>
    <w:p w:rsidR="003E1F91" w:rsidRPr="003E1F91" w:rsidRDefault="003E1F91" w:rsidP="003E1F91">
      <w:pPr>
        <w:ind w:left="284"/>
        <w:jc w:val="both"/>
        <w:rPr>
          <w:rFonts w:asciiTheme="minorHAnsi" w:eastAsia="Times New Roman" w:hAnsiTheme="minorHAnsi" w:cstheme="minorHAnsi"/>
          <w:szCs w:val="20"/>
          <w:lang w:val="en-GB" w:eastAsia="zh-CN" w:bidi="en-GB"/>
        </w:rPr>
      </w:pPr>
      <w:r w:rsidRPr="003E1F91">
        <w:rPr>
          <w:rFonts w:asciiTheme="minorHAnsi" w:eastAsia="Times New Roman" w:hAnsiTheme="minorHAnsi" w:cstheme="minorHAnsi"/>
          <w:szCs w:val="20"/>
          <w:lang w:val="en-GB" w:eastAsia="zh-CN" w:bidi="en-GB"/>
        </w:rPr>
        <w:t xml:space="preserve">The sales of the Test Operations Business Unit increased </w:t>
      </w:r>
      <w:r w:rsidR="00657139">
        <w:rPr>
          <w:rFonts w:asciiTheme="minorHAnsi" w:eastAsia="Times New Roman" w:hAnsiTheme="minorHAnsi" w:cstheme="minorHAnsi"/>
          <w:szCs w:val="20"/>
          <w:lang w:val="en-GB" w:eastAsia="zh-CN" w:bidi="en-GB"/>
        </w:rPr>
        <w:t>by</w:t>
      </w:r>
      <w:r w:rsidRPr="003E1F91">
        <w:rPr>
          <w:rFonts w:asciiTheme="minorHAnsi" w:eastAsia="Times New Roman" w:hAnsiTheme="minorHAnsi" w:cstheme="minorHAnsi"/>
          <w:szCs w:val="20"/>
          <w:lang w:val="en-GB" w:eastAsia="zh-CN" w:bidi="en-GB"/>
        </w:rPr>
        <w:t xml:space="preserve"> 15% as a result of new test equipment purchased in 2016. The new test systems and the 12” wafer prober together with a higher load on all other systems have contributed to the increase. The major SCM projects that </w:t>
      </w:r>
      <w:proofErr w:type="spellStart"/>
      <w:r w:rsidRPr="007972CA">
        <w:rPr>
          <w:rFonts w:asciiTheme="minorHAnsi" w:eastAsia="Times New Roman" w:hAnsiTheme="minorHAnsi" w:cstheme="minorHAnsi"/>
          <w:color w:val="B71234"/>
          <w:szCs w:val="20"/>
          <w:lang w:val="en-GB" w:eastAsia="zh-CN" w:bidi="en-GB"/>
        </w:rPr>
        <w:t>Rood</w:t>
      </w:r>
      <w:r w:rsidRPr="003E1F91">
        <w:rPr>
          <w:rFonts w:asciiTheme="minorHAnsi" w:eastAsia="Times New Roman" w:hAnsiTheme="minorHAnsi" w:cstheme="minorHAnsi"/>
          <w:szCs w:val="20"/>
          <w:lang w:val="en-GB" w:eastAsia="zh-CN" w:bidi="en-GB"/>
        </w:rPr>
        <w:t>Microtec</w:t>
      </w:r>
      <w:proofErr w:type="spellEnd"/>
      <w:r w:rsidRPr="003E1F91">
        <w:rPr>
          <w:rFonts w:asciiTheme="minorHAnsi" w:eastAsia="Times New Roman" w:hAnsiTheme="minorHAnsi" w:cstheme="minorHAnsi"/>
          <w:szCs w:val="20"/>
          <w:lang w:val="en-GB" w:eastAsia="zh-CN" w:bidi="en-GB"/>
        </w:rPr>
        <w:t xml:space="preserve"> has won also contributed significantly to the increase in test operations since some of them are now in volume production. </w:t>
      </w:r>
    </w:p>
    <w:p w:rsidR="003E1F91" w:rsidRPr="003E1F91" w:rsidRDefault="003E1F91" w:rsidP="003E1F91">
      <w:pPr>
        <w:ind w:left="284"/>
        <w:jc w:val="both"/>
        <w:rPr>
          <w:rFonts w:asciiTheme="minorHAnsi" w:eastAsia="Times New Roman" w:hAnsiTheme="minorHAnsi" w:cstheme="minorHAnsi"/>
          <w:szCs w:val="20"/>
          <w:lang w:val="en-GB" w:eastAsia="zh-CN" w:bidi="en-GB"/>
        </w:rPr>
      </w:pPr>
      <w:r w:rsidRPr="003E1F91">
        <w:rPr>
          <w:rFonts w:asciiTheme="minorHAnsi" w:eastAsia="Times New Roman" w:hAnsiTheme="minorHAnsi" w:cstheme="minorHAnsi"/>
          <w:szCs w:val="20"/>
          <w:lang w:val="en-GB" w:eastAsia="zh-CN" w:bidi="en-GB"/>
        </w:rPr>
        <w:t>Revenue in Supply Chain Management (SCM) saw a substantial growth compared to the earlier years. This is due to some of the major SCM projects now being in volume production but also thanks to the revised organisational workflow of the business unit that enables us to handle the many new projects that are ramping to production over the next years in a professional way. It is very encouraging that we now see the change of strategy bearing fruit and we will focus even more on the growth in this area in the upcoming years. Our expertise in SCM is furthermore being endorsed by partnerships we have forged with other leaders in the industry.</w:t>
      </w:r>
    </w:p>
    <w:p w:rsidR="003E1F91" w:rsidRPr="003E1F91" w:rsidRDefault="003E1F91" w:rsidP="003E1F91">
      <w:pPr>
        <w:ind w:left="284"/>
        <w:jc w:val="both"/>
        <w:rPr>
          <w:rFonts w:asciiTheme="minorHAnsi" w:eastAsia="Times New Roman" w:hAnsiTheme="minorHAnsi" w:cstheme="minorHAnsi"/>
          <w:szCs w:val="20"/>
          <w:lang w:val="en-GB" w:eastAsia="zh-CN" w:bidi="en-GB"/>
        </w:rPr>
      </w:pPr>
      <w:r w:rsidRPr="003E1F91">
        <w:rPr>
          <w:rFonts w:asciiTheme="minorHAnsi" w:eastAsia="Times New Roman" w:hAnsiTheme="minorHAnsi" w:cstheme="minorHAnsi"/>
          <w:szCs w:val="20"/>
          <w:lang w:val="en-GB" w:eastAsia="zh-CN" w:bidi="en-GB"/>
        </w:rPr>
        <w:t xml:space="preserve">Our Failure &amp; Technology Analysis business very much depends on the short term needs of our customers. In 2017 we increased the efforts to be known in the market and this has already paid off with a significant increase in the revenue. We also see that our </w:t>
      </w:r>
      <w:proofErr w:type="gramStart"/>
      <w:r w:rsidRPr="003E1F91">
        <w:rPr>
          <w:rFonts w:asciiTheme="minorHAnsi" w:eastAsia="Times New Roman" w:hAnsiTheme="minorHAnsi" w:cstheme="minorHAnsi"/>
          <w:szCs w:val="20"/>
          <w:lang w:val="en-GB" w:eastAsia="zh-CN" w:bidi="en-GB"/>
        </w:rPr>
        <w:t>efforts, to consolidate this important part of our business is</w:t>
      </w:r>
      <w:proofErr w:type="gramEnd"/>
      <w:r w:rsidRPr="003E1F91">
        <w:rPr>
          <w:rFonts w:asciiTheme="minorHAnsi" w:eastAsia="Times New Roman" w:hAnsiTheme="minorHAnsi" w:cstheme="minorHAnsi"/>
          <w:szCs w:val="20"/>
          <w:lang w:val="en-GB" w:eastAsia="zh-CN" w:bidi="en-GB"/>
        </w:rPr>
        <w:t xml:space="preserve"> leading to new long term contracts with existing customers.</w:t>
      </w:r>
    </w:p>
    <w:p w:rsidR="003E1F91" w:rsidRPr="003E1F91" w:rsidRDefault="003E1F91" w:rsidP="003E1F91">
      <w:pPr>
        <w:ind w:left="284"/>
        <w:jc w:val="both"/>
        <w:rPr>
          <w:rFonts w:asciiTheme="minorHAnsi" w:eastAsia="Times New Roman" w:hAnsiTheme="minorHAnsi" w:cstheme="minorHAnsi"/>
          <w:szCs w:val="20"/>
          <w:lang w:val="en-GB" w:eastAsia="zh-CN" w:bidi="en-GB"/>
        </w:rPr>
      </w:pPr>
      <w:r w:rsidRPr="003E1F91">
        <w:rPr>
          <w:rFonts w:asciiTheme="minorHAnsi" w:eastAsia="Times New Roman" w:hAnsiTheme="minorHAnsi" w:cstheme="minorHAnsi"/>
          <w:szCs w:val="20"/>
          <w:lang w:val="en-GB" w:eastAsia="zh-CN" w:bidi="en-GB"/>
        </w:rPr>
        <w:t>Test Engineering and Qualification &amp; Reliability Investigation saw a substantial year-on-year rise in sales over the past 12 months, on the back of some large ongoing projects and the start of qualification in other big contracts. We see additional orders coming in to support qualification of standard components for the expanding automotive market.</w:t>
      </w:r>
    </w:p>
    <w:p w:rsidR="003E1F91" w:rsidRPr="003E1F91" w:rsidRDefault="003E1F91" w:rsidP="003E1F91">
      <w:pPr>
        <w:ind w:left="284"/>
        <w:jc w:val="both"/>
        <w:rPr>
          <w:rFonts w:asciiTheme="minorHAnsi" w:eastAsia="Times New Roman" w:hAnsiTheme="minorHAnsi" w:cstheme="minorHAnsi"/>
          <w:szCs w:val="20"/>
          <w:lang w:val="en-GB" w:eastAsia="zh-CN"/>
        </w:rPr>
      </w:pPr>
      <w:r w:rsidRPr="003E1F91">
        <w:rPr>
          <w:rFonts w:asciiTheme="minorHAnsi" w:eastAsia="Times New Roman" w:hAnsiTheme="minorHAnsi" w:cstheme="minorHAnsi"/>
          <w:szCs w:val="20"/>
          <w:lang w:val="en-GB" w:eastAsia="zh-CN" w:bidi="en-GB"/>
        </w:rPr>
        <w:t xml:space="preserve">The </w:t>
      </w:r>
      <w:proofErr w:type="spellStart"/>
      <w:r w:rsidRPr="007972CA">
        <w:rPr>
          <w:rFonts w:asciiTheme="minorHAnsi" w:eastAsia="Times New Roman" w:hAnsiTheme="minorHAnsi" w:cstheme="minorHAnsi"/>
          <w:color w:val="B71234"/>
          <w:szCs w:val="20"/>
          <w:lang w:val="en-GB" w:eastAsia="zh-CN" w:bidi="en-GB"/>
        </w:rPr>
        <w:t>Rood</w:t>
      </w:r>
      <w:r w:rsidRPr="003E1F91">
        <w:rPr>
          <w:rFonts w:asciiTheme="minorHAnsi" w:eastAsia="Times New Roman" w:hAnsiTheme="minorHAnsi" w:cstheme="minorHAnsi"/>
          <w:szCs w:val="20"/>
          <w:lang w:val="en-GB" w:eastAsia="zh-CN" w:bidi="en-GB"/>
        </w:rPr>
        <w:t>Microtec</w:t>
      </w:r>
      <w:proofErr w:type="spellEnd"/>
      <w:r w:rsidRPr="003E1F91">
        <w:rPr>
          <w:rFonts w:asciiTheme="minorHAnsi" w:eastAsia="Times New Roman" w:hAnsiTheme="minorHAnsi" w:cstheme="minorHAnsi"/>
          <w:szCs w:val="20"/>
          <w:lang w:val="en-GB" w:eastAsia="zh-CN" w:bidi="en-GB"/>
        </w:rPr>
        <w:t xml:space="preserve"> management team is very positive about the future development of the company, </w:t>
      </w:r>
      <w:r w:rsidRPr="003E1F91">
        <w:rPr>
          <w:rFonts w:asciiTheme="minorHAnsi" w:eastAsia="Times New Roman" w:hAnsiTheme="minorHAnsi" w:cstheme="minorHAnsi"/>
          <w:szCs w:val="20"/>
          <w:lang w:val="en-GB" w:eastAsia="zh-CN"/>
        </w:rPr>
        <w:t xml:space="preserve">as five of six important projects in the key strategic focus automotive and industrial/healthcare sectors have entered the industrialization or the production phase in 2017. These projects will generate a combined turnover of up to EUR 10 million per year when they have all been ramped up for full production. </w:t>
      </w:r>
    </w:p>
    <w:p w:rsidR="003E1F91" w:rsidRPr="003E1F91" w:rsidRDefault="003E1F91" w:rsidP="003E1F91">
      <w:pPr>
        <w:ind w:left="284"/>
        <w:jc w:val="both"/>
        <w:rPr>
          <w:rFonts w:asciiTheme="minorHAnsi" w:eastAsia="Times New Roman" w:hAnsiTheme="minorHAnsi" w:cstheme="minorHAnsi"/>
          <w:szCs w:val="20"/>
          <w:lang w:val="en-GB" w:eastAsia="zh-CN" w:bidi="en-GB"/>
        </w:rPr>
      </w:pPr>
      <w:r w:rsidRPr="003E1F91">
        <w:rPr>
          <w:rFonts w:asciiTheme="minorHAnsi" w:eastAsia="Times New Roman" w:hAnsiTheme="minorHAnsi" w:cstheme="minorHAnsi"/>
          <w:szCs w:val="20"/>
          <w:lang w:val="en-GB" w:eastAsia="zh-CN" w:bidi="en-GB"/>
        </w:rPr>
        <w:t xml:space="preserve">Industry wide, growth of semiconductor businesses in Europe saw a 15.4% increase, with a projected 4.6% increase in 2018 (WSTS Forecast Summary November 2017). </w:t>
      </w:r>
    </w:p>
    <w:p w:rsidR="003E1F91" w:rsidRPr="003E1F91" w:rsidRDefault="003E1F91" w:rsidP="003E1F91">
      <w:pPr>
        <w:ind w:left="284"/>
        <w:jc w:val="both"/>
        <w:rPr>
          <w:rFonts w:asciiTheme="minorHAnsi" w:hAnsiTheme="minorHAnsi" w:cstheme="minorHAnsi"/>
          <w:szCs w:val="20"/>
          <w:lang w:val="en-GB"/>
        </w:rPr>
      </w:pPr>
    </w:p>
    <w:p w:rsidR="003E1F91" w:rsidRPr="007972CA" w:rsidRDefault="003E1F91" w:rsidP="007972CA">
      <w:pPr>
        <w:tabs>
          <w:tab w:val="left" w:pos="2055"/>
        </w:tabs>
        <w:ind w:left="284"/>
        <w:jc w:val="both"/>
        <w:rPr>
          <w:rFonts w:asciiTheme="minorHAnsi" w:eastAsia="Times New Roman" w:hAnsiTheme="minorHAnsi" w:cstheme="minorHAnsi"/>
          <w:b/>
          <w:color w:val="B71234"/>
          <w:sz w:val="22"/>
          <w:lang w:val="en-GB" w:eastAsia="en-GB" w:bidi="en-GB"/>
        </w:rPr>
      </w:pPr>
      <w:r w:rsidRPr="007972CA">
        <w:rPr>
          <w:rFonts w:asciiTheme="minorHAnsi" w:eastAsia="Times New Roman" w:hAnsiTheme="minorHAnsi" w:cstheme="minorHAnsi"/>
          <w:b/>
          <w:color w:val="B71234"/>
          <w:sz w:val="22"/>
          <w:lang w:val="en-GB" w:eastAsia="en-GB" w:bidi="en-GB"/>
        </w:rPr>
        <w:t>Personnel and organisation</w:t>
      </w:r>
    </w:p>
    <w:p w:rsidR="003E1F91" w:rsidRPr="003E1F91" w:rsidRDefault="003E1F91" w:rsidP="003E1F91">
      <w:pPr>
        <w:autoSpaceDE w:val="0"/>
        <w:autoSpaceDN w:val="0"/>
        <w:adjustRightInd w:val="0"/>
        <w:spacing w:after="0"/>
        <w:ind w:left="284"/>
        <w:jc w:val="both"/>
        <w:rPr>
          <w:rFonts w:asciiTheme="minorHAnsi" w:eastAsia="Times New Roman" w:hAnsiTheme="minorHAnsi" w:cstheme="minorHAnsi"/>
          <w:szCs w:val="20"/>
          <w:lang w:val="en-GB" w:eastAsia="zh-CN"/>
        </w:rPr>
      </w:pPr>
      <w:r w:rsidRPr="003E1F91">
        <w:rPr>
          <w:rFonts w:asciiTheme="minorHAnsi" w:eastAsia="Times New Roman" w:hAnsiTheme="minorHAnsi" w:cstheme="minorHAnsi"/>
          <w:szCs w:val="20"/>
          <w:lang w:val="en-GB" w:eastAsia="zh-CN"/>
        </w:rPr>
        <w:t xml:space="preserve">During 2017 </w:t>
      </w:r>
      <w:proofErr w:type="spellStart"/>
      <w:r w:rsidRPr="007972CA">
        <w:rPr>
          <w:rFonts w:asciiTheme="minorHAnsi" w:eastAsia="Times New Roman" w:hAnsiTheme="minorHAnsi" w:cstheme="minorHAnsi"/>
          <w:color w:val="B71234"/>
          <w:szCs w:val="20"/>
          <w:lang w:val="en-GB" w:eastAsia="zh-CN"/>
        </w:rPr>
        <w:t>Rood</w:t>
      </w:r>
      <w:r w:rsidRPr="003E1F91">
        <w:rPr>
          <w:rFonts w:asciiTheme="minorHAnsi" w:eastAsia="Times New Roman" w:hAnsiTheme="minorHAnsi" w:cstheme="minorHAnsi"/>
          <w:szCs w:val="20"/>
          <w:lang w:val="en-GB" w:eastAsia="zh-CN"/>
        </w:rPr>
        <w:t>Microtec</w:t>
      </w:r>
      <w:proofErr w:type="spellEnd"/>
      <w:r w:rsidRPr="003E1F91">
        <w:rPr>
          <w:rFonts w:asciiTheme="minorHAnsi" w:eastAsia="Times New Roman" w:hAnsiTheme="minorHAnsi" w:cstheme="minorHAnsi"/>
          <w:szCs w:val="20"/>
          <w:lang w:val="en-GB" w:eastAsia="zh-CN"/>
        </w:rPr>
        <w:t xml:space="preserve"> continued the consolidation process in personnel and organisation. We continue to recruit highly experienced personnel to be able to support our plans for the future.</w:t>
      </w:r>
    </w:p>
    <w:p w:rsidR="003E1F91" w:rsidRPr="003E1F91" w:rsidRDefault="003E1F91" w:rsidP="003E1F91">
      <w:pPr>
        <w:autoSpaceDE w:val="0"/>
        <w:autoSpaceDN w:val="0"/>
        <w:adjustRightInd w:val="0"/>
        <w:spacing w:after="0" w:line="120" w:lineRule="auto"/>
        <w:ind w:left="284"/>
        <w:jc w:val="both"/>
        <w:rPr>
          <w:rFonts w:asciiTheme="minorHAnsi" w:eastAsia="Times New Roman" w:hAnsiTheme="minorHAnsi" w:cstheme="minorHAnsi"/>
          <w:szCs w:val="20"/>
          <w:lang w:val="en-GB" w:eastAsia="zh-CN"/>
        </w:rPr>
      </w:pPr>
    </w:p>
    <w:p w:rsidR="003E1F91" w:rsidRPr="003E1F91" w:rsidRDefault="003E1F91" w:rsidP="003E1F91">
      <w:pPr>
        <w:spacing w:after="0"/>
        <w:ind w:left="284"/>
        <w:jc w:val="both"/>
        <w:rPr>
          <w:rFonts w:asciiTheme="minorHAnsi" w:eastAsia="Times New Roman" w:hAnsiTheme="minorHAnsi" w:cstheme="minorHAnsi"/>
          <w:szCs w:val="20"/>
          <w:lang w:val="en-GB" w:eastAsia="zh-CN"/>
        </w:rPr>
      </w:pPr>
      <w:r w:rsidRPr="003E1F91">
        <w:rPr>
          <w:rFonts w:asciiTheme="minorHAnsi" w:eastAsia="Times New Roman" w:hAnsiTheme="minorHAnsi" w:cstheme="minorHAnsi"/>
          <w:szCs w:val="20"/>
          <w:lang w:val="en-GB" w:eastAsia="zh-CN"/>
        </w:rPr>
        <w:t xml:space="preserve">The average number of full-time employees (FTE) remained stable at 91 FTEs in 2017. </w:t>
      </w:r>
      <w:proofErr w:type="gramStart"/>
      <w:r w:rsidRPr="003E1F91">
        <w:rPr>
          <w:rFonts w:asciiTheme="minorHAnsi" w:eastAsia="Times New Roman" w:hAnsiTheme="minorHAnsi" w:cstheme="minorHAnsi"/>
          <w:szCs w:val="20"/>
          <w:lang w:val="en-GB" w:eastAsia="zh-CN"/>
        </w:rPr>
        <w:t>Sales per full-time employee increased by approx. 16% from EUR 115,000 in 2016 to EUR 133,000 in 2017.</w:t>
      </w:r>
      <w:proofErr w:type="gramEnd"/>
      <w:r w:rsidRPr="003E1F91">
        <w:rPr>
          <w:rFonts w:asciiTheme="minorHAnsi" w:eastAsia="Times New Roman" w:hAnsiTheme="minorHAnsi" w:cstheme="minorHAnsi"/>
          <w:szCs w:val="20"/>
          <w:lang w:val="en-GB" w:eastAsia="zh-CN"/>
        </w:rPr>
        <w:t xml:space="preserve"> Our policy is to continue to strive for growth of sales per FTE. </w:t>
      </w:r>
    </w:p>
    <w:p w:rsidR="003E1F91" w:rsidRPr="003E1F91" w:rsidRDefault="003E1F91" w:rsidP="007972CA">
      <w:pPr>
        <w:spacing w:before="240"/>
        <w:ind w:left="284"/>
        <w:jc w:val="both"/>
        <w:rPr>
          <w:rFonts w:asciiTheme="minorHAnsi" w:hAnsiTheme="minorHAnsi" w:cstheme="minorHAnsi"/>
          <w:szCs w:val="20"/>
          <w:lang w:val="en-GB"/>
        </w:rPr>
      </w:pPr>
    </w:p>
    <w:p w:rsidR="003E1F91" w:rsidRPr="007972CA" w:rsidRDefault="003E1F91" w:rsidP="007972CA">
      <w:pPr>
        <w:tabs>
          <w:tab w:val="left" w:pos="2055"/>
        </w:tabs>
        <w:spacing w:after="200"/>
        <w:ind w:left="284"/>
        <w:jc w:val="both"/>
        <w:rPr>
          <w:rFonts w:asciiTheme="minorHAnsi" w:eastAsia="Times New Roman" w:hAnsiTheme="minorHAnsi" w:cstheme="minorHAnsi"/>
          <w:b/>
          <w:color w:val="B71234"/>
          <w:sz w:val="22"/>
          <w:lang w:val="en-GB" w:eastAsia="en-GB" w:bidi="en-GB"/>
        </w:rPr>
      </w:pPr>
      <w:r w:rsidRPr="007972CA">
        <w:rPr>
          <w:rFonts w:asciiTheme="minorHAnsi" w:eastAsia="Times New Roman" w:hAnsiTheme="minorHAnsi" w:cstheme="minorHAnsi"/>
          <w:b/>
          <w:color w:val="B71234"/>
          <w:sz w:val="22"/>
          <w:lang w:val="en-GB" w:eastAsia="en-GB" w:bidi="en-GB"/>
        </w:rPr>
        <w:t>Outlook</w:t>
      </w:r>
    </w:p>
    <w:p w:rsidR="003E1F91" w:rsidRPr="003E1F91" w:rsidRDefault="003E1F91" w:rsidP="003E1F91">
      <w:pPr>
        <w:spacing w:after="0"/>
        <w:ind w:left="284"/>
        <w:jc w:val="both"/>
        <w:rPr>
          <w:rFonts w:asciiTheme="minorHAnsi" w:eastAsia="Times New Roman" w:hAnsiTheme="minorHAnsi" w:cstheme="minorHAnsi"/>
          <w:szCs w:val="20"/>
          <w:lang w:val="en-GB" w:eastAsia="en-GB" w:bidi="en-GB"/>
        </w:rPr>
      </w:pPr>
      <w:proofErr w:type="spellStart"/>
      <w:r w:rsidRPr="007972CA">
        <w:rPr>
          <w:rFonts w:asciiTheme="minorHAnsi" w:eastAsia="Times New Roman" w:hAnsiTheme="minorHAnsi" w:cstheme="minorHAnsi"/>
          <w:color w:val="B71234"/>
          <w:szCs w:val="20"/>
          <w:lang w:val="en-GB" w:eastAsia="zh-CN"/>
        </w:rPr>
        <w:t>Rood</w:t>
      </w:r>
      <w:r w:rsidRPr="003E1F91">
        <w:rPr>
          <w:rFonts w:asciiTheme="minorHAnsi" w:eastAsia="Times New Roman" w:hAnsiTheme="minorHAnsi" w:cstheme="minorHAnsi"/>
          <w:szCs w:val="20"/>
          <w:lang w:val="en-GB" w:eastAsia="zh-CN"/>
        </w:rPr>
        <w:t>Microtec</w:t>
      </w:r>
      <w:proofErr w:type="spellEnd"/>
      <w:r w:rsidRPr="003E1F91">
        <w:rPr>
          <w:rFonts w:asciiTheme="minorHAnsi" w:eastAsia="Times New Roman" w:hAnsiTheme="minorHAnsi" w:cstheme="minorHAnsi"/>
          <w:szCs w:val="20"/>
          <w:lang w:val="en-GB" w:eastAsia="zh-CN"/>
        </w:rPr>
        <w:t xml:space="preserve"> expects a continuing revenue increase over the next years and projects the revenue in 2020 to be approximately EUR 18 million. The results will continue to improve and the company expects to report yearly positive net profits.</w:t>
      </w:r>
    </w:p>
    <w:p w:rsidR="003E1F91" w:rsidRPr="007972CA" w:rsidRDefault="003E1F91" w:rsidP="007972CA">
      <w:pPr>
        <w:spacing w:before="240"/>
        <w:ind w:left="284"/>
        <w:jc w:val="both"/>
        <w:rPr>
          <w:rFonts w:asciiTheme="minorHAnsi" w:hAnsiTheme="minorHAnsi" w:cstheme="minorHAnsi"/>
          <w:szCs w:val="20"/>
          <w:lang w:val="en-GB"/>
        </w:rPr>
      </w:pPr>
    </w:p>
    <w:p w:rsidR="003E1F91" w:rsidRPr="007972CA" w:rsidRDefault="003E1F91" w:rsidP="007972CA">
      <w:pPr>
        <w:tabs>
          <w:tab w:val="left" w:pos="2055"/>
        </w:tabs>
        <w:spacing w:after="200"/>
        <w:ind w:left="284"/>
        <w:jc w:val="both"/>
        <w:rPr>
          <w:rFonts w:asciiTheme="minorHAnsi" w:eastAsia="Times New Roman" w:hAnsiTheme="minorHAnsi" w:cstheme="minorHAnsi"/>
          <w:b/>
          <w:color w:val="B71234"/>
          <w:sz w:val="22"/>
          <w:lang w:val="en-GB" w:eastAsia="en-GB" w:bidi="en-GB"/>
        </w:rPr>
      </w:pPr>
      <w:r w:rsidRPr="007972CA">
        <w:rPr>
          <w:rFonts w:asciiTheme="minorHAnsi" w:eastAsia="Times New Roman" w:hAnsiTheme="minorHAnsi" w:cstheme="minorHAnsi"/>
          <w:b/>
          <w:color w:val="B71234"/>
          <w:sz w:val="22"/>
          <w:lang w:val="en-GB" w:eastAsia="en-GB" w:bidi="en-GB"/>
        </w:rPr>
        <w:t>Conference call today, 8 March 2018, start 9.30 am</w:t>
      </w:r>
    </w:p>
    <w:p w:rsidR="003E1F91" w:rsidRPr="003E1F91" w:rsidRDefault="003E1F91" w:rsidP="003E1F91">
      <w:pPr>
        <w:autoSpaceDE w:val="0"/>
        <w:autoSpaceDN w:val="0"/>
        <w:adjustRightInd w:val="0"/>
        <w:spacing w:line="240" w:lineRule="auto"/>
        <w:ind w:left="284"/>
        <w:jc w:val="both"/>
        <w:rPr>
          <w:rFonts w:asciiTheme="minorHAnsi" w:eastAsia="Times New Roman" w:hAnsiTheme="minorHAnsi" w:cstheme="minorHAnsi"/>
          <w:szCs w:val="20"/>
          <w:lang w:val="en-GB" w:eastAsia="en-GB" w:bidi="en-GB"/>
        </w:rPr>
      </w:pPr>
      <w:r w:rsidRPr="003E1F91">
        <w:rPr>
          <w:rFonts w:asciiTheme="minorHAnsi" w:eastAsia="Times New Roman" w:hAnsiTheme="minorHAnsi" w:cstheme="minorHAnsi"/>
          <w:szCs w:val="20"/>
          <w:lang w:val="en-GB" w:eastAsia="en-GB" w:bidi="en-GB"/>
        </w:rPr>
        <w:t xml:space="preserve">You are invited to take part in </w:t>
      </w:r>
      <w:proofErr w:type="spellStart"/>
      <w:r w:rsidRPr="007972CA">
        <w:rPr>
          <w:rFonts w:asciiTheme="minorHAnsi" w:eastAsia="Times New Roman" w:hAnsiTheme="minorHAnsi" w:cstheme="minorHAnsi"/>
          <w:color w:val="B71234"/>
          <w:szCs w:val="20"/>
          <w:lang w:val="en-GB" w:eastAsia="en-GB" w:bidi="en-GB"/>
        </w:rPr>
        <w:t>Rood</w:t>
      </w:r>
      <w:r w:rsidRPr="003E1F91">
        <w:rPr>
          <w:rFonts w:asciiTheme="minorHAnsi" w:eastAsia="Times New Roman" w:hAnsiTheme="minorHAnsi" w:cstheme="minorHAnsi"/>
          <w:szCs w:val="20"/>
          <w:lang w:val="en-GB" w:eastAsia="en-GB" w:bidi="en-GB"/>
        </w:rPr>
        <w:t>Microtec’s</w:t>
      </w:r>
      <w:proofErr w:type="spellEnd"/>
      <w:r w:rsidRPr="003E1F91">
        <w:rPr>
          <w:rFonts w:asciiTheme="minorHAnsi" w:eastAsia="Times New Roman" w:hAnsiTheme="minorHAnsi" w:cstheme="minorHAnsi"/>
          <w:szCs w:val="20"/>
          <w:lang w:val="en-GB" w:eastAsia="en-GB" w:bidi="en-GB"/>
        </w:rPr>
        <w:t xml:space="preserve"> conference call for press and analysts on Thursday, 8</w:t>
      </w:r>
      <w:r w:rsidRPr="003E1F91">
        <w:rPr>
          <w:rFonts w:asciiTheme="minorHAnsi" w:eastAsia="Times New Roman" w:hAnsiTheme="minorHAnsi" w:cstheme="minorHAnsi"/>
          <w:szCs w:val="20"/>
          <w:vertAlign w:val="superscript"/>
          <w:lang w:val="en-GB" w:eastAsia="en-GB" w:bidi="en-GB"/>
        </w:rPr>
        <w:t>th</w:t>
      </w:r>
      <w:r w:rsidRPr="003E1F91">
        <w:rPr>
          <w:rFonts w:asciiTheme="minorHAnsi" w:eastAsia="Times New Roman" w:hAnsiTheme="minorHAnsi" w:cstheme="minorHAnsi"/>
          <w:szCs w:val="20"/>
          <w:lang w:val="en-GB" w:eastAsia="en-GB" w:bidi="en-GB"/>
        </w:rPr>
        <w:t xml:space="preserve"> March 2018 at 9.30 am. The management will present the Unaudited Annual Figures 2017 in detail and answer your questions.</w:t>
      </w:r>
    </w:p>
    <w:p w:rsidR="003E1F91" w:rsidRPr="003E1F91" w:rsidRDefault="003E1F91" w:rsidP="003E1F91">
      <w:pPr>
        <w:spacing w:before="100" w:beforeAutospacing="1" w:after="100" w:afterAutospacing="1" w:line="240" w:lineRule="auto"/>
        <w:ind w:left="284"/>
        <w:jc w:val="both"/>
        <w:rPr>
          <w:rFonts w:asciiTheme="minorHAnsi" w:eastAsia="Times New Roman" w:hAnsiTheme="minorHAnsi" w:cstheme="minorHAnsi"/>
          <w:szCs w:val="20"/>
          <w:lang w:val="en-GB" w:eastAsia="en-GB" w:bidi="en-GB"/>
        </w:rPr>
      </w:pPr>
      <w:r w:rsidRPr="003E1F91">
        <w:rPr>
          <w:rFonts w:asciiTheme="minorHAnsi" w:eastAsia="Times New Roman" w:hAnsiTheme="minorHAnsi" w:cstheme="minorHAnsi"/>
          <w:szCs w:val="20"/>
          <w:lang w:val="en-GB" w:eastAsia="en-GB" w:bidi="en-GB"/>
        </w:rPr>
        <w:t>Please dial into the conference call using the following telephone number: +31(0)20 531 5850.</w:t>
      </w:r>
    </w:p>
    <w:p w:rsidR="003E1F91" w:rsidRPr="007972CA" w:rsidRDefault="003E1F91" w:rsidP="007972CA">
      <w:pPr>
        <w:tabs>
          <w:tab w:val="left" w:pos="2055"/>
        </w:tabs>
        <w:spacing w:after="200"/>
        <w:ind w:left="284"/>
        <w:jc w:val="both"/>
        <w:rPr>
          <w:rFonts w:asciiTheme="minorHAnsi" w:eastAsia="Times New Roman" w:hAnsiTheme="minorHAnsi" w:cstheme="minorHAnsi"/>
          <w:b/>
          <w:color w:val="B71234"/>
          <w:sz w:val="22"/>
          <w:lang w:val="en-GB" w:eastAsia="en-GB" w:bidi="en-GB"/>
        </w:rPr>
      </w:pPr>
      <w:r w:rsidRPr="007972CA">
        <w:rPr>
          <w:rFonts w:asciiTheme="minorHAnsi" w:eastAsia="Times New Roman" w:hAnsiTheme="minorHAnsi" w:cstheme="minorHAnsi"/>
          <w:b/>
          <w:color w:val="B71234"/>
          <w:sz w:val="22"/>
          <w:lang w:val="en-GB" w:eastAsia="en-GB" w:bidi="en-GB"/>
        </w:rPr>
        <w:lastRenderedPageBreak/>
        <w:t xml:space="preserve">Financial agenda </w:t>
      </w:r>
    </w:p>
    <w:tbl>
      <w:tblPr>
        <w:tblW w:w="0" w:type="auto"/>
        <w:tblInd w:w="2" w:type="dxa"/>
        <w:tblLook w:val="00A0"/>
      </w:tblPr>
      <w:tblGrid>
        <w:gridCol w:w="3275"/>
        <w:gridCol w:w="4877"/>
      </w:tblGrid>
      <w:tr w:rsidR="003E1F91" w:rsidRPr="003E1F91" w:rsidTr="003E1F91">
        <w:trPr>
          <w:trHeight w:val="284"/>
        </w:trPr>
        <w:tc>
          <w:tcPr>
            <w:tcW w:w="3275" w:type="dxa"/>
          </w:tcPr>
          <w:p w:rsidR="003E1F91" w:rsidRPr="003E1F91" w:rsidRDefault="003E1F91" w:rsidP="003E1F91">
            <w:pPr>
              <w:spacing w:after="0"/>
              <w:ind w:left="284"/>
              <w:jc w:val="both"/>
              <w:rPr>
                <w:rFonts w:asciiTheme="minorHAnsi" w:eastAsia="Times New Roman" w:hAnsiTheme="minorHAnsi" w:cstheme="minorHAnsi"/>
                <w:szCs w:val="20"/>
                <w:lang w:val="en-GB" w:eastAsia="en-GB" w:bidi="en-GB"/>
              </w:rPr>
            </w:pPr>
            <w:r w:rsidRPr="003E1F91">
              <w:rPr>
                <w:rFonts w:asciiTheme="minorHAnsi" w:eastAsia="Times New Roman" w:hAnsiTheme="minorHAnsi" w:cstheme="minorHAnsi"/>
                <w:szCs w:val="20"/>
                <w:lang w:val="en-GB" w:eastAsia="en-GB" w:bidi="en-GB"/>
              </w:rPr>
              <w:t xml:space="preserve">28 March 2018 </w:t>
            </w:r>
          </w:p>
        </w:tc>
        <w:tc>
          <w:tcPr>
            <w:tcW w:w="4877" w:type="dxa"/>
          </w:tcPr>
          <w:p w:rsidR="003E1F91" w:rsidRPr="003E1F91" w:rsidRDefault="003E1F91" w:rsidP="003E1F91">
            <w:pPr>
              <w:spacing w:after="0"/>
              <w:ind w:left="284"/>
              <w:jc w:val="both"/>
              <w:rPr>
                <w:rFonts w:asciiTheme="minorHAnsi" w:eastAsia="Times New Roman" w:hAnsiTheme="minorHAnsi" w:cstheme="minorHAnsi"/>
                <w:szCs w:val="20"/>
                <w:lang w:val="en-GB" w:eastAsia="en-GB" w:bidi="en-GB"/>
              </w:rPr>
            </w:pPr>
            <w:r w:rsidRPr="003E1F91">
              <w:rPr>
                <w:rFonts w:asciiTheme="minorHAnsi" w:eastAsia="Times New Roman" w:hAnsiTheme="minorHAnsi" w:cstheme="minorHAnsi"/>
                <w:szCs w:val="20"/>
                <w:lang w:val="en-GB" w:eastAsia="en-GB" w:bidi="en-GB"/>
              </w:rPr>
              <w:t>Publication annual report 2017</w:t>
            </w:r>
          </w:p>
        </w:tc>
      </w:tr>
      <w:tr w:rsidR="003E1F91" w:rsidRPr="000B790D" w:rsidTr="003E1F91">
        <w:trPr>
          <w:trHeight w:val="284"/>
        </w:trPr>
        <w:tc>
          <w:tcPr>
            <w:tcW w:w="3275" w:type="dxa"/>
          </w:tcPr>
          <w:p w:rsidR="003E1F91" w:rsidRPr="003E1F91" w:rsidRDefault="003E1F91" w:rsidP="003E1F91">
            <w:pPr>
              <w:spacing w:after="0"/>
              <w:ind w:left="284"/>
              <w:jc w:val="both"/>
              <w:rPr>
                <w:rFonts w:asciiTheme="minorHAnsi" w:eastAsia="Times New Roman" w:hAnsiTheme="minorHAnsi" w:cstheme="minorHAnsi"/>
                <w:szCs w:val="20"/>
                <w:lang w:val="en-GB" w:eastAsia="en-GB" w:bidi="en-GB"/>
              </w:rPr>
            </w:pPr>
            <w:r w:rsidRPr="003E1F91">
              <w:rPr>
                <w:rFonts w:asciiTheme="minorHAnsi" w:eastAsia="Times New Roman" w:hAnsiTheme="minorHAnsi" w:cstheme="minorHAnsi"/>
                <w:szCs w:val="20"/>
                <w:lang w:val="en-GB" w:eastAsia="en-GB" w:bidi="en-GB"/>
              </w:rPr>
              <w:t>17 May 2018</w:t>
            </w:r>
          </w:p>
        </w:tc>
        <w:tc>
          <w:tcPr>
            <w:tcW w:w="4877" w:type="dxa"/>
          </w:tcPr>
          <w:p w:rsidR="003E1F91" w:rsidRPr="003E1F91" w:rsidRDefault="003E1F91" w:rsidP="003E1F91">
            <w:pPr>
              <w:spacing w:after="0"/>
              <w:ind w:left="284"/>
              <w:jc w:val="both"/>
              <w:rPr>
                <w:rFonts w:asciiTheme="minorHAnsi" w:eastAsia="Times New Roman" w:hAnsiTheme="minorHAnsi" w:cstheme="minorHAnsi"/>
                <w:szCs w:val="20"/>
                <w:lang w:val="en-GB" w:eastAsia="en-GB" w:bidi="en-GB"/>
              </w:rPr>
            </w:pPr>
            <w:r w:rsidRPr="003E1F91">
              <w:rPr>
                <w:rFonts w:asciiTheme="minorHAnsi" w:eastAsia="Times New Roman" w:hAnsiTheme="minorHAnsi" w:cstheme="minorHAnsi"/>
                <w:szCs w:val="20"/>
                <w:lang w:val="en-GB" w:eastAsia="en-GB" w:bidi="en-GB"/>
              </w:rPr>
              <w:t>Annual general meeting of shareholders</w:t>
            </w:r>
          </w:p>
        </w:tc>
      </w:tr>
      <w:tr w:rsidR="003E1F91" w:rsidRPr="003E1F91" w:rsidTr="003E1F91">
        <w:trPr>
          <w:trHeight w:val="284"/>
        </w:trPr>
        <w:tc>
          <w:tcPr>
            <w:tcW w:w="3275" w:type="dxa"/>
          </w:tcPr>
          <w:p w:rsidR="003E1F91" w:rsidRPr="003E1F91" w:rsidRDefault="003E1F91" w:rsidP="003E1F91">
            <w:pPr>
              <w:spacing w:after="0"/>
              <w:ind w:left="284"/>
              <w:jc w:val="both"/>
              <w:rPr>
                <w:rFonts w:asciiTheme="minorHAnsi" w:eastAsia="Times New Roman" w:hAnsiTheme="minorHAnsi" w:cstheme="minorHAnsi"/>
                <w:szCs w:val="20"/>
                <w:lang w:val="en-GB" w:eastAsia="en-GB" w:bidi="en-GB"/>
              </w:rPr>
            </w:pPr>
            <w:r w:rsidRPr="003E1F91">
              <w:rPr>
                <w:rFonts w:asciiTheme="minorHAnsi" w:eastAsia="Times New Roman" w:hAnsiTheme="minorHAnsi" w:cstheme="minorHAnsi"/>
                <w:szCs w:val="20"/>
                <w:lang w:val="en-GB" w:eastAsia="en-GB" w:bidi="en-GB"/>
              </w:rPr>
              <w:t>18 May 2018</w:t>
            </w:r>
          </w:p>
        </w:tc>
        <w:tc>
          <w:tcPr>
            <w:tcW w:w="4877" w:type="dxa"/>
          </w:tcPr>
          <w:p w:rsidR="003E1F91" w:rsidRPr="003E1F91" w:rsidRDefault="003E1F91" w:rsidP="003E1F91">
            <w:pPr>
              <w:spacing w:after="0"/>
              <w:ind w:left="284"/>
              <w:jc w:val="both"/>
              <w:rPr>
                <w:rFonts w:asciiTheme="minorHAnsi" w:eastAsia="Times New Roman" w:hAnsiTheme="minorHAnsi" w:cstheme="minorHAnsi"/>
                <w:szCs w:val="20"/>
                <w:lang w:val="en-GB" w:eastAsia="en-GB" w:bidi="en-GB"/>
              </w:rPr>
            </w:pPr>
            <w:r w:rsidRPr="003E1F91">
              <w:rPr>
                <w:rFonts w:asciiTheme="minorHAnsi" w:eastAsia="Times New Roman" w:hAnsiTheme="minorHAnsi" w:cstheme="minorHAnsi"/>
                <w:szCs w:val="20"/>
                <w:lang w:val="en-GB" w:eastAsia="en-GB" w:bidi="en-GB"/>
              </w:rPr>
              <w:t>Annual bondholder meeting</w:t>
            </w:r>
          </w:p>
        </w:tc>
      </w:tr>
      <w:tr w:rsidR="003E1F91" w:rsidRPr="000B790D" w:rsidTr="003E1F91">
        <w:trPr>
          <w:trHeight w:val="284"/>
        </w:trPr>
        <w:tc>
          <w:tcPr>
            <w:tcW w:w="3275" w:type="dxa"/>
          </w:tcPr>
          <w:p w:rsidR="003E1F91" w:rsidRPr="003E1F91" w:rsidRDefault="003E1F91" w:rsidP="003E1F91">
            <w:pPr>
              <w:spacing w:after="0"/>
              <w:ind w:left="284"/>
              <w:jc w:val="both"/>
              <w:rPr>
                <w:rFonts w:asciiTheme="minorHAnsi" w:eastAsia="Times New Roman" w:hAnsiTheme="minorHAnsi" w:cstheme="minorHAnsi"/>
                <w:szCs w:val="20"/>
                <w:lang w:val="en-GB" w:eastAsia="en-GB" w:bidi="en-GB"/>
              </w:rPr>
            </w:pPr>
            <w:r w:rsidRPr="003E1F91">
              <w:rPr>
                <w:rFonts w:asciiTheme="minorHAnsi" w:eastAsia="Times New Roman" w:hAnsiTheme="minorHAnsi" w:cstheme="minorHAnsi"/>
                <w:szCs w:val="20"/>
                <w:lang w:val="en-GB" w:eastAsia="en-GB" w:bidi="en-GB"/>
              </w:rPr>
              <w:t>5 July 2018</w:t>
            </w:r>
          </w:p>
        </w:tc>
        <w:tc>
          <w:tcPr>
            <w:tcW w:w="4877" w:type="dxa"/>
          </w:tcPr>
          <w:p w:rsidR="003E1F91" w:rsidRPr="003E1F91" w:rsidRDefault="003E1F91" w:rsidP="003E1F91">
            <w:pPr>
              <w:spacing w:after="0"/>
              <w:ind w:left="284"/>
              <w:jc w:val="both"/>
              <w:rPr>
                <w:rFonts w:asciiTheme="minorHAnsi" w:eastAsia="Times New Roman" w:hAnsiTheme="minorHAnsi" w:cstheme="minorHAnsi"/>
                <w:szCs w:val="20"/>
                <w:lang w:val="en-GB" w:eastAsia="en-GB" w:bidi="en-GB"/>
              </w:rPr>
            </w:pPr>
            <w:r w:rsidRPr="003E1F91">
              <w:rPr>
                <w:rFonts w:asciiTheme="minorHAnsi" w:eastAsia="Times New Roman" w:hAnsiTheme="minorHAnsi" w:cstheme="minorHAnsi"/>
                <w:szCs w:val="20"/>
                <w:lang w:val="en-GB" w:eastAsia="en-GB" w:bidi="en-GB"/>
              </w:rPr>
              <w:t>Publication sales figures first half 2018</w:t>
            </w:r>
          </w:p>
        </w:tc>
      </w:tr>
      <w:tr w:rsidR="003E1F91" w:rsidRPr="003E1F91" w:rsidTr="003E1F91">
        <w:trPr>
          <w:trHeight w:val="299"/>
        </w:trPr>
        <w:tc>
          <w:tcPr>
            <w:tcW w:w="3275" w:type="dxa"/>
          </w:tcPr>
          <w:p w:rsidR="003E1F91" w:rsidRPr="003E1F91" w:rsidRDefault="003E1F91" w:rsidP="003E1F91">
            <w:pPr>
              <w:spacing w:after="0"/>
              <w:ind w:left="284"/>
              <w:jc w:val="both"/>
              <w:rPr>
                <w:rFonts w:asciiTheme="minorHAnsi" w:eastAsia="Times New Roman" w:hAnsiTheme="minorHAnsi" w:cstheme="minorHAnsi"/>
                <w:szCs w:val="20"/>
                <w:lang w:val="en-GB" w:eastAsia="en-GB" w:bidi="en-GB"/>
              </w:rPr>
            </w:pPr>
            <w:r w:rsidRPr="003E1F91">
              <w:rPr>
                <w:rFonts w:asciiTheme="minorHAnsi" w:eastAsia="Times New Roman" w:hAnsiTheme="minorHAnsi" w:cstheme="minorHAnsi"/>
                <w:szCs w:val="20"/>
                <w:lang w:val="en-GB" w:eastAsia="en-GB" w:bidi="en-GB"/>
              </w:rPr>
              <w:t>02 August 2018</w:t>
            </w:r>
          </w:p>
        </w:tc>
        <w:tc>
          <w:tcPr>
            <w:tcW w:w="4877" w:type="dxa"/>
          </w:tcPr>
          <w:p w:rsidR="003E1F91" w:rsidRPr="003E1F91" w:rsidRDefault="003E1F91" w:rsidP="003E1F91">
            <w:pPr>
              <w:spacing w:after="0"/>
              <w:ind w:left="284"/>
              <w:jc w:val="both"/>
              <w:rPr>
                <w:rFonts w:asciiTheme="minorHAnsi" w:eastAsia="Times New Roman" w:hAnsiTheme="minorHAnsi" w:cstheme="minorHAnsi"/>
                <w:szCs w:val="20"/>
                <w:lang w:val="en-GB" w:eastAsia="en-GB" w:bidi="en-GB"/>
              </w:rPr>
            </w:pPr>
            <w:r w:rsidRPr="003E1F91">
              <w:rPr>
                <w:rFonts w:asciiTheme="minorHAnsi" w:eastAsia="Times New Roman" w:hAnsiTheme="minorHAnsi" w:cstheme="minorHAnsi"/>
                <w:szCs w:val="20"/>
                <w:lang w:val="en-GB" w:eastAsia="en-GB" w:bidi="en-GB"/>
              </w:rPr>
              <w:t>Publication interim report 2018</w:t>
            </w:r>
          </w:p>
        </w:tc>
      </w:tr>
      <w:tr w:rsidR="003E1F91" w:rsidRPr="000B790D" w:rsidTr="003E1F91">
        <w:trPr>
          <w:trHeight w:val="284"/>
        </w:trPr>
        <w:tc>
          <w:tcPr>
            <w:tcW w:w="3275" w:type="dxa"/>
          </w:tcPr>
          <w:p w:rsidR="003E1F91" w:rsidRPr="003E1F91" w:rsidRDefault="003E1F91" w:rsidP="003E1F91">
            <w:pPr>
              <w:spacing w:after="0"/>
              <w:ind w:left="284"/>
              <w:jc w:val="both"/>
              <w:rPr>
                <w:rFonts w:asciiTheme="minorHAnsi" w:eastAsia="Times New Roman" w:hAnsiTheme="minorHAnsi" w:cstheme="minorHAnsi"/>
                <w:szCs w:val="20"/>
                <w:lang w:val="en-GB" w:eastAsia="en-GB" w:bidi="en-GB"/>
              </w:rPr>
            </w:pPr>
            <w:r w:rsidRPr="003E1F91">
              <w:rPr>
                <w:rFonts w:asciiTheme="minorHAnsi" w:eastAsia="Times New Roman" w:hAnsiTheme="minorHAnsi" w:cstheme="minorHAnsi"/>
                <w:szCs w:val="20"/>
                <w:lang w:val="en-GB" w:eastAsia="en-GB" w:bidi="en-GB"/>
              </w:rPr>
              <w:t>02 August 2018</w:t>
            </w:r>
          </w:p>
        </w:tc>
        <w:tc>
          <w:tcPr>
            <w:tcW w:w="4877" w:type="dxa"/>
          </w:tcPr>
          <w:p w:rsidR="003E1F91" w:rsidRPr="003E1F91" w:rsidRDefault="003E1F91" w:rsidP="003E1F91">
            <w:pPr>
              <w:spacing w:after="0"/>
              <w:ind w:left="284"/>
              <w:jc w:val="both"/>
              <w:rPr>
                <w:rFonts w:asciiTheme="minorHAnsi" w:eastAsia="Times New Roman" w:hAnsiTheme="minorHAnsi" w:cstheme="minorHAnsi"/>
                <w:szCs w:val="20"/>
                <w:lang w:val="en-GB" w:eastAsia="en-GB" w:bidi="en-GB"/>
              </w:rPr>
            </w:pPr>
            <w:r w:rsidRPr="003E1F91">
              <w:rPr>
                <w:rFonts w:asciiTheme="minorHAnsi" w:eastAsia="Times New Roman" w:hAnsiTheme="minorHAnsi" w:cstheme="minorHAnsi"/>
                <w:szCs w:val="20"/>
                <w:lang w:val="en-GB" w:eastAsia="en-GB" w:bidi="en-GB"/>
              </w:rPr>
              <w:t>Conference call for press and analysts</w:t>
            </w:r>
          </w:p>
        </w:tc>
      </w:tr>
    </w:tbl>
    <w:p w:rsidR="003E1F91" w:rsidRPr="007972CA" w:rsidRDefault="003E1F91" w:rsidP="007972CA">
      <w:pPr>
        <w:spacing w:before="240"/>
        <w:ind w:left="284"/>
        <w:jc w:val="both"/>
        <w:rPr>
          <w:rFonts w:asciiTheme="minorHAnsi" w:hAnsiTheme="minorHAnsi" w:cstheme="minorHAnsi"/>
          <w:szCs w:val="20"/>
          <w:lang w:val="en-GB"/>
        </w:rPr>
      </w:pPr>
    </w:p>
    <w:p w:rsidR="003E1F91" w:rsidRPr="007972CA" w:rsidRDefault="003E1F91" w:rsidP="007972CA">
      <w:pPr>
        <w:tabs>
          <w:tab w:val="left" w:pos="2055"/>
        </w:tabs>
        <w:spacing w:after="200"/>
        <w:ind w:left="284"/>
        <w:jc w:val="both"/>
        <w:rPr>
          <w:rFonts w:asciiTheme="minorHAnsi" w:eastAsia="Times New Roman" w:hAnsiTheme="minorHAnsi" w:cstheme="minorHAnsi"/>
          <w:b/>
          <w:color w:val="B71234"/>
          <w:sz w:val="22"/>
          <w:lang w:val="en-GB" w:eastAsia="en-GB" w:bidi="en-GB"/>
        </w:rPr>
      </w:pPr>
      <w:r w:rsidRPr="007972CA">
        <w:rPr>
          <w:rFonts w:asciiTheme="minorHAnsi" w:eastAsia="Times New Roman" w:hAnsiTheme="minorHAnsi" w:cstheme="minorHAnsi"/>
          <w:b/>
          <w:color w:val="B71234"/>
          <w:sz w:val="22"/>
          <w:lang w:val="en-GB" w:eastAsia="en-GB" w:bidi="en-GB"/>
        </w:rPr>
        <w:t>Forward-looking statements</w:t>
      </w:r>
    </w:p>
    <w:p w:rsidR="003E1F91" w:rsidRPr="003E1F91" w:rsidRDefault="003E1F91" w:rsidP="003E1F91">
      <w:pPr>
        <w:ind w:left="284"/>
        <w:jc w:val="both"/>
        <w:rPr>
          <w:rFonts w:asciiTheme="minorHAnsi" w:eastAsia="Times New Roman" w:hAnsiTheme="minorHAnsi" w:cstheme="minorHAnsi"/>
          <w:szCs w:val="20"/>
          <w:lang w:val="en-GB" w:eastAsia="en-GB" w:bidi="en-GB"/>
        </w:rPr>
      </w:pPr>
      <w:r w:rsidRPr="003E1F91">
        <w:rPr>
          <w:rFonts w:asciiTheme="minorHAnsi" w:eastAsia="Times New Roman" w:hAnsiTheme="minorHAnsi" w:cstheme="minorHAnsi"/>
          <w:szCs w:val="20"/>
          <w:lang w:val="en-GB" w:eastAsia="en-GB" w:bidi="en-GB"/>
        </w:rPr>
        <w:t xml:space="preserve">This press release contains forward-looking statements. These statements are based on current expectations, estimates and prognoses of the board of management and on the information currently available to the company. The statements are subject to certain risks and uncertainties which are hard to evaluate, such as the general economic conditions, interest rates, exchange rates and amendments to statutory laws and regulations. The board of management of </w:t>
      </w:r>
      <w:proofErr w:type="spellStart"/>
      <w:r w:rsidRPr="007972CA">
        <w:rPr>
          <w:rFonts w:asciiTheme="minorHAnsi" w:eastAsia="Times New Roman" w:hAnsiTheme="minorHAnsi" w:cstheme="minorHAnsi"/>
          <w:color w:val="B71234"/>
          <w:szCs w:val="20"/>
          <w:lang w:val="en-GB" w:eastAsia="en-GB" w:bidi="en-GB"/>
        </w:rPr>
        <w:t>Rood</w:t>
      </w:r>
      <w:r w:rsidRPr="003E1F91">
        <w:rPr>
          <w:rFonts w:asciiTheme="minorHAnsi" w:eastAsia="Times New Roman" w:hAnsiTheme="minorHAnsi" w:cstheme="minorHAnsi"/>
          <w:szCs w:val="20"/>
          <w:lang w:val="en-GB" w:eastAsia="en-GB" w:bidi="en-GB"/>
        </w:rPr>
        <w:t>Microtec</w:t>
      </w:r>
      <w:proofErr w:type="spellEnd"/>
      <w:r w:rsidRPr="003E1F91">
        <w:rPr>
          <w:rFonts w:asciiTheme="minorHAnsi" w:eastAsia="Times New Roman" w:hAnsiTheme="minorHAnsi" w:cstheme="minorHAnsi"/>
          <w:szCs w:val="20"/>
          <w:lang w:val="en-GB" w:eastAsia="en-GB" w:bidi="en-GB"/>
        </w:rPr>
        <w:t xml:space="preserve"> cannot guarantee that its expectations will materialise. Furthermore, </w:t>
      </w:r>
      <w:proofErr w:type="spellStart"/>
      <w:r w:rsidRPr="007972CA">
        <w:rPr>
          <w:rFonts w:asciiTheme="minorHAnsi" w:eastAsia="Times New Roman" w:hAnsiTheme="minorHAnsi" w:cstheme="minorHAnsi"/>
          <w:color w:val="B71234"/>
          <w:szCs w:val="20"/>
          <w:lang w:val="en-GB" w:eastAsia="en-GB" w:bidi="en-GB"/>
        </w:rPr>
        <w:t>Rood</w:t>
      </w:r>
      <w:r w:rsidRPr="003E1F91">
        <w:rPr>
          <w:rFonts w:asciiTheme="minorHAnsi" w:eastAsia="Times New Roman" w:hAnsiTheme="minorHAnsi" w:cstheme="minorHAnsi"/>
          <w:szCs w:val="20"/>
          <w:lang w:val="en-GB" w:eastAsia="en-GB" w:bidi="en-GB"/>
        </w:rPr>
        <w:t>Microtec</w:t>
      </w:r>
      <w:proofErr w:type="spellEnd"/>
      <w:r w:rsidRPr="003E1F91">
        <w:rPr>
          <w:rFonts w:asciiTheme="minorHAnsi" w:eastAsia="Times New Roman" w:hAnsiTheme="minorHAnsi" w:cstheme="minorHAnsi"/>
          <w:szCs w:val="20"/>
          <w:lang w:val="en-GB" w:eastAsia="en-GB" w:bidi="en-GB"/>
        </w:rPr>
        <w:t xml:space="preserve"> does not accept any obligation to update the statements made in this press release. </w:t>
      </w:r>
    </w:p>
    <w:p w:rsidR="003E1F91" w:rsidRPr="007972CA" w:rsidRDefault="003E1F91" w:rsidP="007972CA">
      <w:pPr>
        <w:spacing w:before="240"/>
        <w:ind w:left="284"/>
        <w:jc w:val="both"/>
        <w:rPr>
          <w:rFonts w:asciiTheme="minorHAnsi" w:hAnsiTheme="minorHAnsi" w:cstheme="minorHAnsi"/>
          <w:szCs w:val="20"/>
          <w:lang w:val="en-GB"/>
        </w:rPr>
      </w:pPr>
    </w:p>
    <w:p w:rsidR="007972CA" w:rsidRPr="001C4809" w:rsidRDefault="007972CA" w:rsidP="001C4809">
      <w:pPr>
        <w:tabs>
          <w:tab w:val="left" w:pos="2055"/>
        </w:tabs>
        <w:spacing w:after="200"/>
        <w:ind w:left="284"/>
        <w:jc w:val="both"/>
        <w:rPr>
          <w:rFonts w:asciiTheme="minorHAnsi" w:eastAsia="Times New Roman" w:hAnsiTheme="minorHAnsi" w:cstheme="minorHAnsi"/>
          <w:b/>
          <w:color w:val="B71234"/>
          <w:sz w:val="22"/>
          <w:lang w:val="en-GB" w:eastAsia="en-GB" w:bidi="en-GB"/>
        </w:rPr>
      </w:pPr>
      <w:r w:rsidRPr="001C4809">
        <w:rPr>
          <w:rFonts w:asciiTheme="minorHAnsi" w:eastAsia="Times New Roman" w:hAnsiTheme="minorHAnsi" w:cstheme="minorHAnsi"/>
          <w:b/>
          <w:color w:val="B71234"/>
          <w:sz w:val="22"/>
          <w:lang w:val="en-GB" w:eastAsia="en-GB" w:bidi="en-GB"/>
        </w:rPr>
        <w:t xml:space="preserve">About </w:t>
      </w:r>
      <w:proofErr w:type="spellStart"/>
      <w:r w:rsidRPr="001C4809">
        <w:rPr>
          <w:rFonts w:asciiTheme="minorHAnsi" w:eastAsia="Times New Roman" w:hAnsiTheme="minorHAnsi" w:cstheme="minorHAnsi"/>
          <w:b/>
          <w:color w:val="B71234"/>
          <w:sz w:val="22"/>
          <w:lang w:val="en-GB" w:eastAsia="en-GB" w:bidi="en-GB"/>
        </w:rPr>
        <w:t>RoodMicrotec</w:t>
      </w:r>
      <w:proofErr w:type="spellEnd"/>
    </w:p>
    <w:p w:rsidR="007972CA" w:rsidRPr="003E1F91" w:rsidRDefault="007972CA" w:rsidP="001C4809">
      <w:pPr>
        <w:ind w:left="284"/>
        <w:jc w:val="both"/>
        <w:rPr>
          <w:rFonts w:asciiTheme="minorHAnsi" w:hAnsiTheme="minorHAnsi" w:cstheme="minorHAnsi"/>
          <w:szCs w:val="20"/>
          <w:lang w:val="en-GB"/>
        </w:rPr>
      </w:pPr>
      <w:r w:rsidRPr="003E1F91">
        <w:rPr>
          <w:rFonts w:asciiTheme="minorHAnsi" w:hAnsiTheme="minorHAnsi" w:cstheme="minorHAnsi"/>
          <w:szCs w:val="20"/>
          <w:lang w:val="en-GB"/>
        </w:rPr>
        <w:t xml:space="preserve">With more than 45 years’ experience as an independent value-added service provider in the area of micro and optoelectronics, </w:t>
      </w:r>
      <w:proofErr w:type="spellStart"/>
      <w:r w:rsidRPr="003E1F91">
        <w:rPr>
          <w:rFonts w:asciiTheme="minorHAnsi" w:hAnsiTheme="minorHAnsi" w:cstheme="minorHAnsi"/>
          <w:color w:val="B71234"/>
          <w:szCs w:val="20"/>
          <w:lang w:val="en-GB"/>
        </w:rPr>
        <w:t>Rood</w:t>
      </w:r>
      <w:r w:rsidRPr="003E1F91">
        <w:rPr>
          <w:rFonts w:asciiTheme="minorHAnsi" w:hAnsiTheme="minorHAnsi" w:cstheme="minorHAnsi"/>
          <w:szCs w:val="20"/>
          <w:lang w:val="en-GB"/>
        </w:rPr>
        <w:t>Microtec</w:t>
      </w:r>
      <w:proofErr w:type="spellEnd"/>
      <w:r w:rsidRPr="003E1F91">
        <w:rPr>
          <w:rFonts w:asciiTheme="minorHAnsi" w:hAnsiTheme="minorHAnsi" w:cstheme="minorHAnsi"/>
          <w:szCs w:val="20"/>
          <w:lang w:val="en-GB"/>
        </w:rPr>
        <w:t xml:space="preserve"> offers </w:t>
      </w:r>
      <w:proofErr w:type="spellStart"/>
      <w:r w:rsidRPr="003E1F91">
        <w:rPr>
          <w:rFonts w:asciiTheme="minorHAnsi" w:hAnsiTheme="minorHAnsi" w:cstheme="minorHAnsi"/>
          <w:szCs w:val="20"/>
          <w:lang w:val="en-GB"/>
        </w:rPr>
        <w:t>Fabless</w:t>
      </w:r>
      <w:proofErr w:type="spellEnd"/>
      <w:r w:rsidRPr="003E1F91">
        <w:rPr>
          <w:rFonts w:asciiTheme="minorHAnsi" w:hAnsiTheme="minorHAnsi" w:cstheme="minorHAnsi"/>
          <w:szCs w:val="20"/>
          <w:lang w:val="en-GB"/>
        </w:rPr>
        <w:t xml:space="preserve"> Companies, OEMs and other companies a one-stop shop proposition. With its powerful solutions </w:t>
      </w:r>
      <w:proofErr w:type="spellStart"/>
      <w:r w:rsidRPr="007972CA">
        <w:rPr>
          <w:rFonts w:asciiTheme="minorHAnsi" w:hAnsiTheme="minorHAnsi" w:cstheme="minorHAnsi"/>
          <w:color w:val="B71234"/>
          <w:szCs w:val="20"/>
          <w:lang w:val="en-GB"/>
        </w:rPr>
        <w:t>Rood</w:t>
      </w:r>
      <w:r w:rsidRPr="003E1F91">
        <w:rPr>
          <w:rFonts w:asciiTheme="minorHAnsi" w:hAnsiTheme="minorHAnsi" w:cstheme="minorHAnsi"/>
          <w:szCs w:val="20"/>
          <w:lang w:val="en-GB"/>
        </w:rPr>
        <w:t>Microtec</w:t>
      </w:r>
      <w:proofErr w:type="spellEnd"/>
      <w:r w:rsidRPr="003E1F91">
        <w:rPr>
          <w:rFonts w:asciiTheme="minorHAnsi" w:hAnsiTheme="minorHAnsi" w:cstheme="minorHAnsi"/>
          <w:szCs w:val="20"/>
          <w:lang w:val="en-GB"/>
        </w:rPr>
        <w:t xml:space="preserve"> has built up a strong position in Europe.</w:t>
      </w:r>
    </w:p>
    <w:p w:rsidR="007972CA" w:rsidRPr="003E1F91" w:rsidRDefault="007972CA" w:rsidP="001C4809">
      <w:pPr>
        <w:ind w:left="284"/>
        <w:jc w:val="both"/>
        <w:rPr>
          <w:rFonts w:asciiTheme="minorHAnsi" w:hAnsiTheme="minorHAnsi" w:cstheme="minorHAnsi"/>
          <w:szCs w:val="20"/>
          <w:lang w:val="en-GB"/>
        </w:rPr>
      </w:pPr>
      <w:r w:rsidRPr="003E1F91">
        <w:rPr>
          <w:rFonts w:asciiTheme="minorHAnsi" w:hAnsiTheme="minorHAnsi" w:cstheme="minorHAnsi"/>
          <w:szCs w:val="20"/>
          <w:lang w:val="en-GB"/>
        </w:rPr>
        <w:t xml:space="preserve">Our services comply with the industrial and quality requirements of the high reliability/space, automotive, telecommunications, </w:t>
      </w:r>
      <w:proofErr w:type="spellStart"/>
      <w:r>
        <w:rPr>
          <w:rFonts w:asciiTheme="minorHAnsi" w:hAnsiTheme="minorHAnsi" w:cstheme="minorHAnsi"/>
          <w:szCs w:val="20"/>
          <w:lang w:val="en-GB"/>
        </w:rPr>
        <w:t>healtcare</w:t>
      </w:r>
      <w:proofErr w:type="spellEnd"/>
      <w:r w:rsidRPr="003E1F91">
        <w:rPr>
          <w:rFonts w:asciiTheme="minorHAnsi" w:hAnsiTheme="minorHAnsi" w:cstheme="minorHAnsi"/>
          <w:szCs w:val="20"/>
          <w:lang w:val="en-GB"/>
        </w:rPr>
        <w:t>, industrial and electronics sectors.</w:t>
      </w:r>
    </w:p>
    <w:p w:rsidR="007972CA" w:rsidRPr="003E1F91" w:rsidRDefault="007972CA" w:rsidP="001C4809">
      <w:pPr>
        <w:ind w:left="284"/>
        <w:jc w:val="both"/>
        <w:rPr>
          <w:rFonts w:asciiTheme="minorHAnsi" w:hAnsiTheme="minorHAnsi" w:cstheme="minorHAnsi"/>
          <w:szCs w:val="20"/>
          <w:lang w:val="en-GB"/>
        </w:rPr>
      </w:pPr>
      <w:r w:rsidRPr="003E1F91">
        <w:rPr>
          <w:rFonts w:asciiTheme="minorHAnsi" w:hAnsiTheme="minorHAnsi" w:cstheme="minorHAnsi"/>
          <w:szCs w:val="20"/>
          <w:lang w:val="en-GB"/>
        </w:rPr>
        <w:t>Our integrated quality management system is based on international DIN EN ISO 9001:2015 standards. In addition, our quality management is broadly consistent with the Automotive Specification ISO/TS 16949. The company also has an accredited laboratory for test activities and qualification to the ISO/IEC 17025 standard.</w:t>
      </w:r>
    </w:p>
    <w:p w:rsidR="007972CA" w:rsidRPr="003E1F91" w:rsidRDefault="007972CA" w:rsidP="001C4809">
      <w:pPr>
        <w:ind w:left="284"/>
        <w:jc w:val="both"/>
        <w:rPr>
          <w:rFonts w:asciiTheme="minorHAnsi" w:hAnsiTheme="minorHAnsi" w:cstheme="minorHAnsi"/>
          <w:szCs w:val="20"/>
          <w:lang w:val="en-GB"/>
        </w:rPr>
      </w:pPr>
      <w:r w:rsidRPr="003E1F91">
        <w:rPr>
          <w:rFonts w:asciiTheme="minorHAnsi" w:hAnsiTheme="minorHAnsi" w:cstheme="minorHAnsi"/>
          <w:szCs w:val="20"/>
          <w:lang w:val="en-GB"/>
        </w:rPr>
        <w:t>Its value-added services include (</w:t>
      </w:r>
      <w:proofErr w:type="spellStart"/>
      <w:r w:rsidRPr="003E1F91">
        <w:rPr>
          <w:rFonts w:asciiTheme="minorHAnsi" w:hAnsiTheme="minorHAnsi" w:cstheme="minorHAnsi"/>
          <w:szCs w:val="20"/>
          <w:lang w:val="en-GB"/>
        </w:rPr>
        <w:t>e</w:t>
      </w:r>
      <w:r w:rsidRPr="003E1F91">
        <w:rPr>
          <w:rFonts w:asciiTheme="minorHAnsi" w:hAnsiTheme="minorHAnsi" w:cstheme="minorHAnsi"/>
          <w:color w:val="C00000"/>
          <w:szCs w:val="20"/>
          <w:lang w:val="en-GB"/>
        </w:rPr>
        <w:t>X</w:t>
      </w:r>
      <w:r w:rsidRPr="003E1F91">
        <w:rPr>
          <w:rFonts w:asciiTheme="minorHAnsi" w:hAnsiTheme="minorHAnsi" w:cstheme="minorHAnsi"/>
          <w:szCs w:val="20"/>
          <w:lang w:val="en-GB"/>
        </w:rPr>
        <w:t>tended</w:t>
      </w:r>
      <w:proofErr w:type="spellEnd"/>
      <w:r w:rsidRPr="003E1F91">
        <w:rPr>
          <w:rFonts w:asciiTheme="minorHAnsi" w:hAnsiTheme="minorHAnsi" w:cstheme="minorHAnsi"/>
          <w:szCs w:val="20"/>
          <w:lang w:val="en-GB"/>
        </w:rPr>
        <w:t>) supply chain management and total manufacturing solutions with partners, failure &amp; technology analysis, qualification &amp; burn-in, test &amp; product engineering, production test (including device programming and end-of-line service), ESD/ESDFOS assessment &amp; training and quality &amp; reliability consulting.</w:t>
      </w:r>
    </w:p>
    <w:p w:rsidR="007972CA" w:rsidRPr="003E1F91" w:rsidRDefault="007972CA" w:rsidP="001C4809">
      <w:pPr>
        <w:ind w:left="284"/>
        <w:jc w:val="both"/>
        <w:rPr>
          <w:rFonts w:asciiTheme="minorHAnsi" w:hAnsiTheme="minorHAnsi" w:cstheme="minorHAnsi"/>
          <w:szCs w:val="20"/>
          <w:lang w:val="en-GB"/>
        </w:rPr>
      </w:pPr>
      <w:proofErr w:type="spellStart"/>
      <w:r w:rsidRPr="007972CA">
        <w:rPr>
          <w:rFonts w:asciiTheme="minorHAnsi" w:hAnsiTheme="minorHAnsi" w:cstheme="minorHAnsi"/>
          <w:color w:val="B71234"/>
          <w:szCs w:val="20"/>
          <w:lang w:val="en-GB"/>
        </w:rPr>
        <w:t>Rood</w:t>
      </w:r>
      <w:r w:rsidRPr="003E1F91">
        <w:rPr>
          <w:rFonts w:asciiTheme="minorHAnsi" w:hAnsiTheme="minorHAnsi" w:cstheme="minorHAnsi"/>
          <w:szCs w:val="20"/>
          <w:lang w:val="en-GB"/>
        </w:rPr>
        <w:t>Microtec</w:t>
      </w:r>
      <w:proofErr w:type="spellEnd"/>
      <w:r w:rsidRPr="003E1F91">
        <w:rPr>
          <w:rFonts w:asciiTheme="minorHAnsi" w:hAnsiTheme="minorHAnsi" w:cstheme="minorHAnsi"/>
          <w:szCs w:val="20"/>
          <w:lang w:val="en-GB"/>
        </w:rPr>
        <w:t xml:space="preserve"> has branches in Germany (Dresden, </w:t>
      </w:r>
      <w:proofErr w:type="spellStart"/>
      <w:r w:rsidRPr="003E1F91">
        <w:rPr>
          <w:rFonts w:asciiTheme="minorHAnsi" w:hAnsiTheme="minorHAnsi" w:cstheme="minorHAnsi"/>
          <w:szCs w:val="20"/>
          <w:lang w:val="en-GB"/>
        </w:rPr>
        <w:t>Nördlingen</w:t>
      </w:r>
      <w:proofErr w:type="spellEnd"/>
      <w:r w:rsidRPr="003E1F91">
        <w:rPr>
          <w:rFonts w:asciiTheme="minorHAnsi" w:hAnsiTheme="minorHAnsi" w:cstheme="minorHAnsi"/>
          <w:szCs w:val="20"/>
          <w:lang w:val="en-GB"/>
        </w:rPr>
        <w:t xml:space="preserve">, </w:t>
      </w:r>
      <w:proofErr w:type="gramStart"/>
      <w:r w:rsidRPr="003E1F91">
        <w:rPr>
          <w:rFonts w:asciiTheme="minorHAnsi" w:hAnsiTheme="minorHAnsi" w:cstheme="minorHAnsi"/>
          <w:szCs w:val="20"/>
          <w:lang w:val="en-GB"/>
        </w:rPr>
        <w:t>Stuttgart</w:t>
      </w:r>
      <w:proofErr w:type="gramEnd"/>
      <w:r w:rsidRPr="003E1F91">
        <w:rPr>
          <w:rFonts w:asciiTheme="minorHAnsi" w:hAnsiTheme="minorHAnsi" w:cstheme="minorHAnsi"/>
          <w:szCs w:val="20"/>
          <w:lang w:val="en-GB"/>
        </w:rPr>
        <w:t>), United Kingdom (Bath) and the Netherlands (Zwolle).</w:t>
      </w:r>
    </w:p>
    <w:p w:rsidR="007972CA" w:rsidRPr="003E1F91" w:rsidRDefault="007972CA" w:rsidP="001C4809">
      <w:pPr>
        <w:tabs>
          <w:tab w:val="left" w:pos="10490"/>
        </w:tabs>
        <w:ind w:left="284" w:right="284"/>
        <w:jc w:val="both"/>
        <w:rPr>
          <w:rFonts w:asciiTheme="minorHAnsi" w:hAnsiTheme="minorHAnsi" w:cstheme="minorHAnsi"/>
          <w:szCs w:val="20"/>
          <w:lang w:val="en-GB"/>
        </w:rPr>
      </w:pPr>
      <w:r w:rsidRPr="003E1F91">
        <w:rPr>
          <w:rFonts w:asciiTheme="minorHAnsi" w:hAnsiTheme="minorHAnsi" w:cstheme="minorHAnsi"/>
          <w:szCs w:val="20"/>
          <w:lang w:val="en-GB"/>
        </w:rPr>
        <w:t xml:space="preserve">For more information visit </w:t>
      </w:r>
      <w:hyperlink r:id="rId8" w:history="1">
        <w:r w:rsidRPr="003E1F91">
          <w:rPr>
            <w:rStyle w:val="Hyperlink"/>
            <w:rFonts w:asciiTheme="minorHAnsi" w:hAnsiTheme="minorHAnsi" w:cstheme="minorHAnsi"/>
            <w:szCs w:val="20"/>
            <w:lang w:val="en-GB"/>
          </w:rPr>
          <w:t>https://www.roodmicrotec.com</w:t>
        </w:r>
      </w:hyperlink>
    </w:p>
    <w:p w:rsidR="007972CA" w:rsidRPr="003E1F91" w:rsidRDefault="007972CA" w:rsidP="007972CA">
      <w:pPr>
        <w:spacing w:before="240"/>
        <w:ind w:left="284"/>
        <w:jc w:val="both"/>
        <w:rPr>
          <w:rFonts w:asciiTheme="minorHAnsi" w:hAnsiTheme="minorHAnsi" w:cstheme="minorHAnsi"/>
          <w:szCs w:val="20"/>
          <w:lang w:val="en-GB"/>
        </w:rPr>
      </w:pPr>
    </w:p>
    <w:p w:rsidR="007972CA" w:rsidRPr="003E1F91" w:rsidRDefault="001C4809" w:rsidP="001C4809">
      <w:pPr>
        <w:ind w:right="284" w:firstLine="294"/>
        <w:jc w:val="both"/>
        <w:rPr>
          <w:rFonts w:asciiTheme="minorHAnsi" w:eastAsia="Times New Roman" w:hAnsiTheme="minorHAnsi" w:cstheme="minorHAnsi"/>
          <w:b/>
          <w:color w:val="B71234"/>
          <w:szCs w:val="20"/>
          <w:lang w:val="en-GB" w:eastAsia="en-GB" w:bidi="en-GB"/>
        </w:rPr>
      </w:pPr>
      <w:r>
        <w:rPr>
          <w:rFonts w:asciiTheme="minorHAnsi" w:eastAsia="Times New Roman" w:hAnsiTheme="minorHAnsi" w:cstheme="minorHAnsi"/>
          <w:b/>
          <w:color w:val="B71234"/>
          <w:szCs w:val="20"/>
          <w:lang w:val="en-GB" w:eastAsia="en-GB" w:bidi="en-GB"/>
        </w:rPr>
        <w:t>Further information</w:t>
      </w:r>
    </w:p>
    <w:p w:rsidR="007972CA" w:rsidRPr="003E1F91" w:rsidRDefault="007972CA" w:rsidP="007972CA">
      <w:pPr>
        <w:tabs>
          <w:tab w:val="left" w:pos="3402"/>
          <w:tab w:val="left" w:pos="6804"/>
        </w:tabs>
        <w:spacing w:after="0"/>
        <w:ind w:left="284"/>
        <w:jc w:val="both"/>
        <w:rPr>
          <w:rFonts w:asciiTheme="minorHAnsi" w:eastAsia="Times New Roman" w:hAnsiTheme="minorHAnsi" w:cstheme="minorHAnsi"/>
          <w:szCs w:val="20"/>
          <w:lang w:val="en-GB" w:eastAsia="en-GB" w:bidi="en-GB"/>
        </w:rPr>
      </w:pPr>
      <w:r w:rsidRPr="003E1F91">
        <w:rPr>
          <w:rFonts w:asciiTheme="minorHAnsi" w:eastAsia="Times New Roman" w:hAnsiTheme="minorHAnsi" w:cstheme="minorHAnsi"/>
          <w:szCs w:val="20"/>
          <w:lang w:val="en-GB" w:eastAsia="en-GB" w:bidi="en-GB"/>
        </w:rPr>
        <w:t xml:space="preserve">Martin </w:t>
      </w:r>
      <w:proofErr w:type="spellStart"/>
      <w:r w:rsidRPr="003E1F91">
        <w:rPr>
          <w:rFonts w:asciiTheme="minorHAnsi" w:eastAsia="Times New Roman" w:hAnsiTheme="minorHAnsi" w:cstheme="minorHAnsi"/>
          <w:szCs w:val="20"/>
          <w:lang w:val="en-GB" w:eastAsia="en-GB" w:bidi="en-GB"/>
        </w:rPr>
        <w:t>Sallenhag</w:t>
      </w:r>
      <w:proofErr w:type="spellEnd"/>
      <w:r w:rsidRPr="003E1F91">
        <w:rPr>
          <w:rFonts w:asciiTheme="minorHAnsi" w:eastAsia="Times New Roman" w:hAnsiTheme="minorHAnsi" w:cstheme="minorHAnsi"/>
          <w:szCs w:val="20"/>
          <w:lang w:val="en-GB" w:eastAsia="en-GB" w:bidi="en-GB"/>
        </w:rPr>
        <w:t xml:space="preserve"> - CEO, </w:t>
      </w:r>
      <w:proofErr w:type="spellStart"/>
      <w:r w:rsidRPr="003E1F91">
        <w:rPr>
          <w:rFonts w:asciiTheme="minorHAnsi" w:eastAsia="Times New Roman" w:hAnsiTheme="minorHAnsi" w:cstheme="minorHAnsi"/>
          <w:szCs w:val="20"/>
          <w:lang w:val="en-GB" w:eastAsia="en-GB" w:bidi="en-GB"/>
        </w:rPr>
        <w:t>Reinhard</w:t>
      </w:r>
      <w:proofErr w:type="spellEnd"/>
      <w:r w:rsidRPr="003E1F91">
        <w:rPr>
          <w:rFonts w:asciiTheme="minorHAnsi" w:eastAsia="Times New Roman" w:hAnsiTheme="minorHAnsi" w:cstheme="minorHAnsi"/>
          <w:szCs w:val="20"/>
          <w:lang w:val="en-GB" w:eastAsia="en-GB" w:bidi="en-GB"/>
        </w:rPr>
        <w:t xml:space="preserve"> </w:t>
      </w:r>
      <w:proofErr w:type="spellStart"/>
      <w:r w:rsidRPr="003E1F91">
        <w:rPr>
          <w:rFonts w:asciiTheme="minorHAnsi" w:eastAsia="Times New Roman" w:hAnsiTheme="minorHAnsi" w:cstheme="minorHAnsi"/>
          <w:szCs w:val="20"/>
          <w:lang w:val="en-GB" w:eastAsia="en-GB" w:bidi="en-GB"/>
        </w:rPr>
        <w:t>Pusch</w:t>
      </w:r>
      <w:proofErr w:type="spellEnd"/>
      <w:r w:rsidRPr="003E1F91">
        <w:rPr>
          <w:rFonts w:asciiTheme="minorHAnsi" w:eastAsia="Times New Roman" w:hAnsiTheme="minorHAnsi" w:cstheme="minorHAnsi"/>
          <w:szCs w:val="20"/>
          <w:lang w:val="en-GB" w:eastAsia="en-GB" w:bidi="en-GB"/>
        </w:rPr>
        <w:t xml:space="preserve"> - COO, </w:t>
      </w:r>
      <w:proofErr w:type="spellStart"/>
      <w:r w:rsidRPr="003E1F91">
        <w:rPr>
          <w:rFonts w:asciiTheme="minorHAnsi" w:eastAsia="Times New Roman" w:hAnsiTheme="minorHAnsi" w:cstheme="minorHAnsi"/>
          <w:szCs w:val="20"/>
          <w:lang w:val="en-GB" w:eastAsia="en-GB" w:bidi="en-GB"/>
        </w:rPr>
        <w:t>Arvid</w:t>
      </w:r>
      <w:proofErr w:type="spellEnd"/>
      <w:r w:rsidRPr="003E1F91">
        <w:rPr>
          <w:rFonts w:asciiTheme="minorHAnsi" w:eastAsia="Times New Roman" w:hAnsiTheme="minorHAnsi" w:cstheme="minorHAnsi"/>
          <w:szCs w:val="20"/>
          <w:lang w:val="en-GB" w:eastAsia="en-GB" w:bidi="en-GB"/>
        </w:rPr>
        <w:t xml:space="preserve"> </w:t>
      </w:r>
      <w:proofErr w:type="spellStart"/>
      <w:r w:rsidRPr="003E1F91">
        <w:rPr>
          <w:rFonts w:asciiTheme="minorHAnsi" w:eastAsia="Times New Roman" w:hAnsiTheme="minorHAnsi" w:cstheme="minorHAnsi"/>
          <w:szCs w:val="20"/>
          <w:lang w:val="en-GB" w:eastAsia="en-GB" w:bidi="en-GB"/>
        </w:rPr>
        <w:t>Ladega</w:t>
      </w:r>
      <w:proofErr w:type="spellEnd"/>
      <w:r w:rsidRPr="003E1F91">
        <w:rPr>
          <w:rFonts w:asciiTheme="minorHAnsi" w:eastAsia="Times New Roman" w:hAnsiTheme="minorHAnsi" w:cstheme="minorHAnsi"/>
          <w:szCs w:val="20"/>
          <w:lang w:val="en-GB" w:eastAsia="en-GB" w:bidi="en-GB"/>
        </w:rPr>
        <w:t xml:space="preserve"> - CFO</w:t>
      </w:r>
    </w:p>
    <w:p w:rsidR="007972CA" w:rsidRPr="003E1F91" w:rsidRDefault="007972CA" w:rsidP="007972CA">
      <w:pPr>
        <w:tabs>
          <w:tab w:val="left" w:pos="3402"/>
          <w:tab w:val="left" w:pos="6804"/>
        </w:tabs>
        <w:spacing w:after="0"/>
        <w:ind w:left="284"/>
        <w:jc w:val="both"/>
        <w:rPr>
          <w:rFonts w:asciiTheme="minorHAnsi" w:eastAsia="Times New Roman" w:hAnsiTheme="minorHAnsi" w:cstheme="minorHAnsi"/>
          <w:szCs w:val="20"/>
          <w:lang w:val="en-GB" w:eastAsia="en-GB" w:bidi="en-GB"/>
        </w:rPr>
      </w:pPr>
      <w:r w:rsidRPr="003E1F91">
        <w:rPr>
          <w:rFonts w:asciiTheme="minorHAnsi" w:eastAsia="Times New Roman" w:hAnsiTheme="minorHAnsi" w:cstheme="minorHAnsi"/>
          <w:color w:val="000000"/>
          <w:szCs w:val="20"/>
          <w:lang w:val="en-GB" w:eastAsia="en-GB" w:bidi="en-GB"/>
        </w:rPr>
        <w:t>Telephone: +31 38 4215216</w:t>
      </w:r>
    </w:p>
    <w:p w:rsidR="007972CA" w:rsidRPr="003E1F91" w:rsidRDefault="007972CA" w:rsidP="007972CA">
      <w:pPr>
        <w:tabs>
          <w:tab w:val="left" w:pos="1134"/>
          <w:tab w:val="left" w:pos="3969"/>
          <w:tab w:val="left" w:pos="4820"/>
        </w:tabs>
        <w:spacing w:after="0"/>
        <w:ind w:left="284"/>
        <w:jc w:val="both"/>
        <w:rPr>
          <w:rFonts w:asciiTheme="minorHAnsi" w:eastAsia="Times New Roman" w:hAnsiTheme="minorHAnsi" w:cstheme="minorHAnsi"/>
          <w:szCs w:val="20"/>
          <w:lang w:val="en-GB" w:eastAsia="en-GB" w:bidi="en-GB"/>
        </w:rPr>
      </w:pPr>
      <w:r w:rsidRPr="003E1F91">
        <w:rPr>
          <w:rFonts w:asciiTheme="minorHAnsi" w:eastAsia="Times New Roman" w:hAnsiTheme="minorHAnsi" w:cstheme="minorHAnsi"/>
          <w:color w:val="000000"/>
          <w:szCs w:val="20"/>
          <w:lang w:val="en-GB" w:eastAsia="en-GB" w:bidi="en-GB"/>
        </w:rPr>
        <w:t>Email:</w:t>
      </w:r>
      <w:r w:rsidRPr="003E1F91">
        <w:rPr>
          <w:rFonts w:asciiTheme="minorHAnsi" w:eastAsia="Times New Roman" w:hAnsiTheme="minorHAnsi" w:cstheme="minorHAnsi"/>
          <w:color w:val="000000"/>
          <w:szCs w:val="20"/>
          <w:lang w:val="en-GB" w:eastAsia="en-GB" w:bidi="en-GB"/>
        </w:rPr>
        <w:tab/>
      </w:r>
      <w:hyperlink r:id="rId9" w:history="1">
        <w:r w:rsidRPr="003E1F91">
          <w:rPr>
            <w:rFonts w:asciiTheme="minorHAnsi" w:eastAsia="MS ????" w:hAnsiTheme="minorHAnsi" w:cstheme="minorHAnsi"/>
            <w:color w:val="0000FF"/>
            <w:szCs w:val="20"/>
            <w:u w:val="single"/>
            <w:lang w:val="en-GB" w:eastAsia="en-GB" w:bidi="en-GB"/>
          </w:rPr>
          <w:t>investor-relations@roodmicrotec.com</w:t>
        </w:r>
      </w:hyperlink>
      <w:r w:rsidRPr="007972CA">
        <w:rPr>
          <w:rFonts w:asciiTheme="minorHAnsi" w:hAnsiTheme="minorHAnsi" w:cstheme="minorHAnsi"/>
          <w:szCs w:val="20"/>
          <w:lang w:val="en-GB"/>
        </w:rPr>
        <w:tab/>
      </w:r>
      <w:r w:rsidRPr="003E1F91">
        <w:rPr>
          <w:rFonts w:asciiTheme="minorHAnsi" w:eastAsia="Times New Roman" w:hAnsiTheme="minorHAnsi" w:cstheme="minorHAnsi"/>
          <w:color w:val="000000"/>
          <w:szCs w:val="20"/>
          <w:lang w:val="en-GB" w:eastAsia="en-GB" w:bidi="en-GB"/>
        </w:rPr>
        <w:t>Web:</w:t>
      </w:r>
      <w:r w:rsidRPr="003E1F91">
        <w:rPr>
          <w:rFonts w:asciiTheme="minorHAnsi" w:eastAsia="Times New Roman" w:hAnsiTheme="minorHAnsi" w:cstheme="minorHAnsi"/>
          <w:szCs w:val="20"/>
          <w:lang w:val="en-GB" w:eastAsia="en-GB" w:bidi="en-GB"/>
        </w:rPr>
        <w:t xml:space="preserve"> </w:t>
      </w:r>
      <w:r w:rsidRPr="003E1F91">
        <w:rPr>
          <w:rFonts w:asciiTheme="minorHAnsi" w:eastAsia="Times New Roman" w:hAnsiTheme="minorHAnsi" w:cstheme="minorHAnsi"/>
          <w:szCs w:val="20"/>
          <w:lang w:val="en-GB" w:eastAsia="en-GB" w:bidi="en-GB"/>
        </w:rPr>
        <w:tab/>
      </w:r>
      <w:hyperlink r:id="rId10" w:history="1">
        <w:r w:rsidRPr="003E1F91">
          <w:rPr>
            <w:rFonts w:asciiTheme="minorHAnsi" w:eastAsia="MS ????" w:hAnsiTheme="minorHAnsi" w:cstheme="minorHAnsi"/>
            <w:color w:val="0000FF"/>
            <w:szCs w:val="20"/>
            <w:u w:val="single"/>
            <w:lang w:val="en-GB" w:eastAsia="en-GB" w:bidi="en-GB"/>
          </w:rPr>
          <w:t>www.roodmicrotec.com</w:t>
        </w:r>
      </w:hyperlink>
    </w:p>
    <w:p w:rsidR="007972CA" w:rsidRDefault="007972CA" w:rsidP="001C4809">
      <w:pPr>
        <w:spacing w:before="240"/>
        <w:ind w:left="284"/>
        <w:jc w:val="both"/>
        <w:rPr>
          <w:rFonts w:asciiTheme="minorHAnsi" w:hAnsiTheme="minorHAnsi" w:cstheme="minorHAnsi"/>
          <w:szCs w:val="20"/>
          <w:lang w:val="en-GB"/>
        </w:rPr>
      </w:pPr>
    </w:p>
    <w:p w:rsidR="007972CA" w:rsidRPr="003E1F91" w:rsidRDefault="007972CA" w:rsidP="007972CA">
      <w:pPr>
        <w:spacing w:before="240"/>
        <w:ind w:left="284" w:right="284"/>
        <w:jc w:val="both"/>
        <w:rPr>
          <w:rFonts w:asciiTheme="minorHAnsi" w:hAnsiTheme="minorHAnsi" w:cstheme="minorHAnsi"/>
          <w:i/>
          <w:szCs w:val="20"/>
          <w:lang w:val="en-GB"/>
        </w:rPr>
      </w:pPr>
      <w:r w:rsidRPr="003E1F91">
        <w:rPr>
          <w:rFonts w:asciiTheme="minorHAnsi" w:hAnsiTheme="minorHAnsi" w:cstheme="minorHAnsi"/>
          <w:i/>
          <w:szCs w:val="20"/>
          <w:lang w:val="en-GB"/>
        </w:rPr>
        <w:t>This press release is published in English</w:t>
      </w:r>
      <w:r w:rsidR="000B790D">
        <w:rPr>
          <w:rFonts w:asciiTheme="minorHAnsi" w:hAnsiTheme="minorHAnsi" w:cstheme="minorHAnsi"/>
          <w:i/>
          <w:szCs w:val="20"/>
          <w:lang w:val="en-GB"/>
        </w:rPr>
        <w:t xml:space="preserve"> and</w:t>
      </w:r>
      <w:r w:rsidRPr="003E1F91">
        <w:rPr>
          <w:rFonts w:asciiTheme="minorHAnsi" w:hAnsiTheme="minorHAnsi" w:cstheme="minorHAnsi"/>
          <w:i/>
          <w:szCs w:val="20"/>
          <w:lang w:val="en-GB"/>
        </w:rPr>
        <w:t xml:space="preserve"> Dutch. In case of conflict between these versions the English version shall prevail.</w:t>
      </w:r>
    </w:p>
    <w:p w:rsidR="003E1F91" w:rsidRPr="003E1F91" w:rsidRDefault="007972CA" w:rsidP="007972CA">
      <w:pPr>
        <w:spacing w:before="240"/>
        <w:ind w:left="284" w:right="284"/>
        <w:jc w:val="both"/>
        <w:rPr>
          <w:rFonts w:asciiTheme="minorHAnsi" w:eastAsia="Times New Roman" w:hAnsiTheme="minorHAnsi" w:cstheme="minorHAnsi"/>
          <w:b/>
          <w:szCs w:val="20"/>
          <w:lang w:val="en-GB" w:eastAsia="en-GB" w:bidi="en-GB"/>
        </w:rPr>
      </w:pPr>
      <w:r w:rsidRPr="003E1F91">
        <w:rPr>
          <w:rFonts w:asciiTheme="minorHAnsi" w:hAnsiTheme="minorHAnsi" w:cstheme="minorHAnsi"/>
          <w:i/>
          <w:szCs w:val="20"/>
          <w:lang w:val="en-GB"/>
        </w:rPr>
        <w:t>This communication contains information that qualifies as inside information within the meaning of Article 7(1) of the EU Market Abuse Regulation.</w:t>
      </w:r>
      <w:r w:rsidRPr="003E1F91">
        <w:rPr>
          <w:rFonts w:asciiTheme="minorHAnsi" w:hAnsiTheme="minorHAnsi" w:cstheme="minorHAnsi"/>
          <w:szCs w:val="20"/>
          <w:lang w:val="en-GB"/>
        </w:rPr>
        <w:t xml:space="preserve"> </w:t>
      </w:r>
      <w:r w:rsidRPr="003E1F91">
        <w:rPr>
          <w:rFonts w:asciiTheme="minorHAnsi" w:hAnsiTheme="minorHAnsi" w:cstheme="minorHAnsi"/>
          <w:i/>
          <w:szCs w:val="20"/>
          <w:lang w:val="en-GB"/>
        </w:rPr>
        <w:t xml:space="preserve">The company’s managing director and CEO Martin </w:t>
      </w:r>
      <w:proofErr w:type="spellStart"/>
      <w:r w:rsidRPr="003E1F91">
        <w:rPr>
          <w:rFonts w:asciiTheme="minorHAnsi" w:hAnsiTheme="minorHAnsi" w:cstheme="minorHAnsi"/>
          <w:i/>
          <w:szCs w:val="20"/>
          <w:lang w:val="en-GB"/>
        </w:rPr>
        <w:t>Sallenhag</w:t>
      </w:r>
      <w:proofErr w:type="spellEnd"/>
      <w:r w:rsidRPr="003E1F91">
        <w:rPr>
          <w:rFonts w:asciiTheme="minorHAnsi" w:hAnsiTheme="minorHAnsi" w:cstheme="minorHAnsi"/>
          <w:i/>
          <w:szCs w:val="20"/>
          <w:lang w:val="en-GB"/>
        </w:rPr>
        <w:t xml:space="preserve">, is responsible for arranging for the release of this document on behalf of </w:t>
      </w:r>
      <w:proofErr w:type="spellStart"/>
      <w:r w:rsidRPr="007972CA">
        <w:rPr>
          <w:rFonts w:asciiTheme="minorHAnsi" w:eastAsia="CIDFont+F1" w:hAnsiTheme="minorHAnsi" w:cstheme="minorHAnsi"/>
          <w:i/>
          <w:color w:val="B71234"/>
          <w:szCs w:val="20"/>
          <w:lang w:val="en-GB" w:eastAsia="de-DE"/>
        </w:rPr>
        <w:t>Rood</w:t>
      </w:r>
      <w:r w:rsidRPr="003E1F91">
        <w:rPr>
          <w:rFonts w:asciiTheme="minorHAnsi" w:eastAsia="CIDFont+F1" w:hAnsiTheme="minorHAnsi" w:cstheme="minorHAnsi"/>
          <w:i/>
          <w:color w:val="000000"/>
          <w:szCs w:val="20"/>
          <w:lang w:val="en-GB" w:eastAsia="de-DE"/>
        </w:rPr>
        <w:t>Microtec</w:t>
      </w:r>
      <w:proofErr w:type="spellEnd"/>
      <w:r w:rsidRPr="003E1F91">
        <w:rPr>
          <w:rFonts w:asciiTheme="minorHAnsi" w:hAnsiTheme="minorHAnsi" w:cstheme="minorHAnsi"/>
          <w:i/>
          <w:szCs w:val="20"/>
          <w:lang w:val="en-GB"/>
        </w:rPr>
        <w:t>.</w:t>
      </w:r>
      <w:r w:rsidR="003E1F91" w:rsidRPr="003E1F91">
        <w:rPr>
          <w:rFonts w:asciiTheme="minorHAnsi" w:eastAsia="Times New Roman" w:hAnsiTheme="minorHAnsi" w:cstheme="minorHAnsi"/>
          <w:b/>
          <w:szCs w:val="20"/>
          <w:lang w:val="en-GB" w:eastAsia="en-GB" w:bidi="en-GB"/>
        </w:rPr>
        <w:br w:type="page"/>
      </w:r>
    </w:p>
    <w:p w:rsidR="003E1F91" w:rsidRPr="003E1F91" w:rsidRDefault="003E1F91" w:rsidP="003E1F91">
      <w:pPr>
        <w:spacing w:after="0"/>
        <w:ind w:left="284"/>
        <w:jc w:val="both"/>
        <w:rPr>
          <w:rFonts w:asciiTheme="minorHAnsi" w:eastAsia="Times New Roman" w:hAnsiTheme="minorHAnsi" w:cstheme="minorHAnsi"/>
          <w:b/>
          <w:szCs w:val="20"/>
          <w:lang w:val="en-GB" w:eastAsia="en-GB" w:bidi="en-GB"/>
        </w:rPr>
      </w:pPr>
    </w:p>
    <w:p w:rsidR="004A0C63" w:rsidRPr="004F4E0E" w:rsidRDefault="003E1F91" w:rsidP="004F4E0E">
      <w:pPr>
        <w:ind w:left="284"/>
        <w:jc w:val="both"/>
        <w:rPr>
          <w:rFonts w:asciiTheme="minorHAnsi" w:eastAsia="Times New Roman" w:hAnsiTheme="minorHAnsi" w:cstheme="minorHAnsi"/>
          <w:b/>
          <w:color w:val="B71234"/>
          <w:sz w:val="22"/>
          <w:lang w:val="en-GB" w:eastAsia="en-GB" w:bidi="en-GB"/>
        </w:rPr>
      </w:pPr>
      <w:r w:rsidRPr="004F4E0E">
        <w:rPr>
          <w:rFonts w:asciiTheme="minorHAnsi" w:eastAsia="Times New Roman" w:hAnsiTheme="minorHAnsi" w:cstheme="minorHAnsi"/>
          <w:b/>
          <w:color w:val="B71234"/>
          <w:sz w:val="22"/>
          <w:lang w:val="en-GB" w:eastAsia="en-GB" w:bidi="en-GB"/>
        </w:rPr>
        <w:t>Consolidated statement of profit or loss</w:t>
      </w:r>
    </w:p>
    <w:p w:rsidR="003E1F91" w:rsidRPr="003E1F91" w:rsidRDefault="003E1F91" w:rsidP="003E1F91">
      <w:pPr>
        <w:spacing w:after="0"/>
        <w:ind w:left="284"/>
        <w:jc w:val="both"/>
        <w:rPr>
          <w:rFonts w:asciiTheme="minorHAnsi" w:eastAsia="Times New Roman" w:hAnsiTheme="minorHAnsi" w:cstheme="minorHAnsi"/>
          <w:b/>
          <w:bCs/>
          <w:szCs w:val="20"/>
          <w:lang w:val="en-GB" w:eastAsia="en-GB" w:bidi="en-GB"/>
        </w:rPr>
      </w:pPr>
    </w:p>
    <w:tbl>
      <w:tblPr>
        <w:tblW w:w="9694" w:type="dxa"/>
        <w:tblInd w:w="284" w:type="dxa"/>
        <w:tblLook w:val="04A0"/>
      </w:tblPr>
      <w:tblGrid>
        <w:gridCol w:w="3820"/>
        <w:gridCol w:w="1380"/>
        <w:gridCol w:w="1380"/>
        <w:gridCol w:w="294"/>
        <w:gridCol w:w="1380"/>
        <w:gridCol w:w="1440"/>
      </w:tblGrid>
      <w:tr w:rsidR="004A0C63" w:rsidRPr="004A0C63" w:rsidTr="00EE0B46">
        <w:trPr>
          <w:trHeight w:val="70"/>
        </w:trPr>
        <w:tc>
          <w:tcPr>
            <w:tcW w:w="3820" w:type="dxa"/>
            <w:tcBorders>
              <w:top w:val="single" w:sz="8" w:space="0" w:color="000000"/>
              <w:left w:val="nil"/>
              <w:bottom w:val="nil"/>
              <w:right w:val="nil"/>
            </w:tcBorders>
            <w:shd w:val="clear" w:color="auto" w:fill="auto"/>
            <w:vAlign w:val="center"/>
            <w:hideMark/>
          </w:tcPr>
          <w:p w:rsidR="004A0C63" w:rsidRPr="003E1F91" w:rsidRDefault="004A0C63" w:rsidP="00EE0B46">
            <w:pPr>
              <w:spacing w:after="0" w:line="240" w:lineRule="auto"/>
              <w:jc w:val="both"/>
              <w:rPr>
                <w:rFonts w:asciiTheme="minorHAnsi" w:eastAsia="Times New Roman" w:hAnsiTheme="minorHAnsi" w:cstheme="minorHAnsi"/>
                <w:color w:val="000000"/>
                <w:szCs w:val="20"/>
                <w:lang w:val="en-GB"/>
              </w:rPr>
            </w:pPr>
            <w:r w:rsidRPr="003E1F91">
              <w:rPr>
                <w:rFonts w:asciiTheme="minorHAnsi" w:eastAsia="Times New Roman" w:hAnsiTheme="minorHAnsi" w:cstheme="minorHAnsi"/>
                <w:color w:val="000000"/>
                <w:szCs w:val="20"/>
                <w:lang w:val="en-GB"/>
              </w:rPr>
              <w:t> </w:t>
            </w:r>
          </w:p>
        </w:tc>
        <w:tc>
          <w:tcPr>
            <w:tcW w:w="1380" w:type="dxa"/>
            <w:tcBorders>
              <w:top w:val="single" w:sz="8" w:space="0" w:color="000000"/>
              <w:left w:val="nil"/>
              <w:bottom w:val="nil"/>
              <w:right w:val="nil"/>
            </w:tcBorders>
            <w:shd w:val="clear" w:color="auto" w:fill="auto"/>
            <w:vAlign w:val="center"/>
            <w:hideMark/>
          </w:tcPr>
          <w:p w:rsidR="004A0C63" w:rsidRPr="003E1F91" w:rsidRDefault="004A0C63" w:rsidP="00EE0B46">
            <w:pPr>
              <w:spacing w:after="0" w:line="240" w:lineRule="auto"/>
              <w:jc w:val="right"/>
              <w:rPr>
                <w:rFonts w:asciiTheme="minorHAnsi" w:eastAsia="Times New Roman" w:hAnsiTheme="minorHAnsi" w:cstheme="minorHAnsi"/>
                <w:color w:val="000000"/>
                <w:szCs w:val="20"/>
                <w:lang w:val="en-GB"/>
              </w:rPr>
            </w:pPr>
            <w:r w:rsidRPr="003E1F91">
              <w:rPr>
                <w:rFonts w:asciiTheme="minorHAnsi" w:eastAsia="Times New Roman" w:hAnsiTheme="minorHAnsi" w:cstheme="minorHAnsi"/>
                <w:color w:val="000000"/>
                <w:szCs w:val="20"/>
                <w:lang w:val="en-GB"/>
              </w:rPr>
              <w:t> </w:t>
            </w:r>
          </w:p>
        </w:tc>
        <w:tc>
          <w:tcPr>
            <w:tcW w:w="1380" w:type="dxa"/>
            <w:tcBorders>
              <w:top w:val="single" w:sz="8" w:space="0" w:color="000000"/>
              <w:left w:val="nil"/>
              <w:bottom w:val="nil"/>
              <w:right w:val="nil"/>
            </w:tcBorders>
            <w:shd w:val="clear" w:color="auto" w:fill="auto"/>
            <w:vAlign w:val="center"/>
            <w:hideMark/>
          </w:tcPr>
          <w:p w:rsidR="004A0C63" w:rsidRPr="00657139" w:rsidRDefault="004A0C63" w:rsidP="004A0C63">
            <w:pPr>
              <w:spacing w:after="0" w:line="240" w:lineRule="auto"/>
              <w:jc w:val="right"/>
              <w:rPr>
                <w:rFonts w:asciiTheme="minorHAnsi" w:eastAsia="Times New Roman" w:hAnsiTheme="minorHAnsi" w:cstheme="minorHAnsi"/>
                <w:color w:val="000000"/>
                <w:szCs w:val="20"/>
                <w:lang w:val="en-GB"/>
              </w:rPr>
            </w:pPr>
            <w:proofErr w:type="spellStart"/>
            <w:r w:rsidRPr="00657139">
              <w:rPr>
                <w:rFonts w:asciiTheme="minorHAnsi" w:eastAsia="Times New Roman" w:hAnsiTheme="minorHAnsi" w:cstheme="minorHAnsi"/>
                <w:bCs/>
                <w:color w:val="000000"/>
                <w:szCs w:val="20"/>
              </w:rPr>
              <w:t>unaudited</w:t>
            </w:r>
            <w:proofErr w:type="spellEnd"/>
          </w:p>
        </w:tc>
        <w:tc>
          <w:tcPr>
            <w:tcW w:w="294" w:type="dxa"/>
            <w:tcBorders>
              <w:top w:val="single" w:sz="8" w:space="0" w:color="000000"/>
              <w:left w:val="nil"/>
              <w:bottom w:val="nil"/>
              <w:right w:val="nil"/>
            </w:tcBorders>
            <w:shd w:val="clear" w:color="auto" w:fill="auto"/>
            <w:vAlign w:val="center"/>
            <w:hideMark/>
          </w:tcPr>
          <w:p w:rsidR="004A0C63" w:rsidRPr="003E1F91" w:rsidRDefault="004A0C63" w:rsidP="00EE0B46">
            <w:pPr>
              <w:spacing w:after="0" w:line="240" w:lineRule="auto"/>
              <w:jc w:val="both"/>
              <w:rPr>
                <w:rFonts w:asciiTheme="minorHAnsi" w:eastAsia="Times New Roman" w:hAnsiTheme="minorHAnsi" w:cstheme="minorHAnsi"/>
                <w:color w:val="000000"/>
                <w:szCs w:val="20"/>
                <w:lang w:val="en-GB"/>
              </w:rPr>
            </w:pPr>
            <w:r w:rsidRPr="003E1F91">
              <w:rPr>
                <w:rFonts w:asciiTheme="minorHAnsi" w:eastAsia="Times New Roman" w:hAnsiTheme="minorHAnsi" w:cstheme="minorHAnsi"/>
                <w:color w:val="000000"/>
                <w:szCs w:val="20"/>
                <w:lang w:val="en-GB"/>
              </w:rPr>
              <w:t> </w:t>
            </w:r>
          </w:p>
        </w:tc>
        <w:tc>
          <w:tcPr>
            <w:tcW w:w="1380" w:type="dxa"/>
            <w:tcBorders>
              <w:top w:val="single" w:sz="8" w:space="0" w:color="000000"/>
              <w:left w:val="nil"/>
              <w:bottom w:val="nil"/>
              <w:right w:val="nil"/>
            </w:tcBorders>
            <w:shd w:val="clear" w:color="auto" w:fill="auto"/>
            <w:vAlign w:val="center"/>
            <w:hideMark/>
          </w:tcPr>
          <w:p w:rsidR="004A0C63" w:rsidRPr="003E1F91" w:rsidRDefault="004A0C63" w:rsidP="00EE0B46">
            <w:pPr>
              <w:spacing w:after="0" w:line="240" w:lineRule="auto"/>
              <w:jc w:val="right"/>
              <w:rPr>
                <w:rFonts w:asciiTheme="minorHAnsi" w:eastAsia="Times New Roman" w:hAnsiTheme="minorHAnsi" w:cstheme="minorHAnsi"/>
                <w:color w:val="000000"/>
                <w:szCs w:val="20"/>
                <w:lang w:val="en-GB"/>
              </w:rPr>
            </w:pPr>
            <w:r w:rsidRPr="003E1F91">
              <w:rPr>
                <w:rFonts w:asciiTheme="minorHAnsi" w:eastAsia="Times New Roman" w:hAnsiTheme="minorHAnsi" w:cstheme="minorHAnsi"/>
                <w:color w:val="000000"/>
                <w:szCs w:val="20"/>
                <w:lang w:val="en-GB"/>
              </w:rPr>
              <w:t> </w:t>
            </w:r>
          </w:p>
        </w:tc>
        <w:tc>
          <w:tcPr>
            <w:tcW w:w="1440" w:type="dxa"/>
            <w:tcBorders>
              <w:top w:val="single" w:sz="8" w:space="0" w:color="000000"/>
              <w:left w:val="nil"/>
              <w:bottom w:val="nil"/>
              <w:right w:val="nil"/>
            </w:tcBorders>
            <w:shd w:val="clear" w:color="auto" w:fill="auto"/>
            <w:vAlign w:val="center"/>
            <w:hideMark/>
          </w:tcPr>
          <w:p w:rsidR="004A0C63" w:rsidRPr="003E1F91" w:rsidRDefault="004A0C63" w:rsidP="00EE0B46">
            <w:pPr>
              <w:spacing w:after="0" w:line="240" w:lineRule="auto"/>
              <w:jc w:val="right"/>
              <w:rPr>
                <w:rFonts w:asciiTheme="minorHAnsi" w:eastAsia="Times New Roman" w:hAnsiTheme="minorHAnsi" w:cstheme="minorHAnsi"/>
                <w:color w:val="000000"/>
                <w:szCs w:val="20"/>
                <w:lang w:val="en-GB"/>
              </w:rPr>
            </w:pPr>
            <w:r w:rsidRPr="003E1F91">
              <w:rPr>
                <w:rFonts w:asciiTheme="minorHAnsi" w:eastAsia="Times New Roman" w:hAnsiTheme="minorHAnsi" w:cstheme="minorHAnsi"/>
                <w:color w:val="000000"/>
                <w:szCs w:val="20"/>
                <w:lang w:val="en-GB"/>
              </w:rPr>
              <w:t> </w:t>
            </w:r>
          </w:p>
        </w:tc>
      </w:tr>
      <w:tr w:rsidR="003E1F91" w:rsidRPr="003E1F91" w:rsidTr="004A0C63">
        <w:trPr>
          <w:trHeight w:val="304"/>
        </w:trPr>
        <w:tc>
          <w:tcPr>
            <w:tcW w:w="3820" w:type="dxa"/>
            <w:tcBorders>
              <w:top w:val="nil"/>
              <w:left w:val="nil"/>
              <w:bottom w:val="single" w:sz="8" w:space="0" w:color="auto"/>
              <w:right w:val="nil"/>
            </w:tcBorders>
            <w:shd w:val="clear" w:color="auto" w:fill="auto"/>
            <w:vAlign w:val="center"/>
            <w:hideMark/>
          </w:tcPr>
          <w:p w:rsidR="003E1F91" w:rsidRPr="004A0C63" w:rsidRDefault="003E1F91" w:rsidP="004A0C63">
            <w:pPr>
              <w:spacing w:after="0" w:line="240" w:lineRule="auto"/>
              <w:ind w:right="-247"/>
              <w:jc w:val="both"/>
              <w:rPr>
                <w:rFonts w:asciiTheme="minorHAnsi" w:eastAsia="Times New Roman" w:hAnsiTheme="minorHAnsi" w:cstheme="minorHAnsi"/>
                <w:color w:val="000000"/>
                <w:szCs w:val="20"/>
                <w:lang w:val="en-GB"/>
              </w:rPr>
            </w:pPr>
            <w:r w:rsidRPr="004A0C63">
              <w:rPr>
                <w:rFonts w:asciiTheme="minorHAnsi" w:eastAsia="Times New Roman" w:hAnsiTheme="minorHAnsi" w:cstheme="minorHAnsi"/>
                <w:color w:val="000000"/>
                <w:szCs w:val="20"/>
                <w:lang w:val="en-GB"/>
              </w:rPr>
              <w:t>(x EUR 1,000)</w:t>
            </w:r>
          </w:p>
        </w:tc>
        <w:tc>
          <w:tcPr>
            <w:tcW w:w="1380" w:type="dxa"/>
            <w:tcBorders>
              <w:top w:val="nil"/>
              <w:left w:val="nil"/>
              <w:bottom w:val="single" w:sz="8"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 </w:t>
            </w:r>
          </w:p>
        </w:tc>
        <w:tc>
          <w:tcPr>
            <w:tcW w:w="1380" w:type="dxa"/>
            <w:tcBorders>
              <w:top w:val="nil"/>
              <w:left w:val="nil"/>
              <w:bottom w:val="single" w:sz="8" w:space="0" w:color="auto"/>
              <w:right w:val="nil"/>
            </w:tcBorders>
            <w:shd w:val="clear" w:color="auto" w:fill="auto"/>
            <w:vAlign w:val="center"/>
            <w:hideMark/>
          </w:tcPr>
          <w:p w:rsidR="004A0C63" w:rsidRPr="003E1F91" w:rsidRDefault="003E1F91" w:rsidP="004A0C63">
            <w:pPr>
              <w:spacing w:after="0" w:line="240" w:lineRule="auto"/>
              <w:jc w:val="right"/>
              <w:rPr>
                <w:rFonts w:asciiTheme="minorHAnsi" w:eastAsia="Times New Roman" w:hAnsiTheme="minorHAnsi" w:cstheme="minorHAnsi"/>
                <w:b/>
                <w:bCs/>
                <w:color w:val="000000"/>
                <w:szCs w:val="20"/>
              </w:rPr>
            </w:pPr>
            <w:r w:rsidRPr="003E1F91">
              <w:rPr>
                <w:rFonts w:asciiTheme="minorHAnsi" w:eastAsia="Times New Roman" w:hAnsiTheme="minorHAnsi" w:cstheme="minorHAnsi"/>
                <w:b/>
                <w:bCs/>
                <w:color w:val="000000"/>
                <w:szCs w:val="20"/>
              </w:rPr>
              <w:t>2017</w:t>
            </w:r>
          </w:p>
        </w:tc>
        <w:tc>
          <w:tcPr>
            <w:tcW w:w="294" w:type="dxa"/>
            <w:tcBorders>
              <w:top w:val="nil"/>
              <w:left w:val="nil"/>
              <w:bottom w:val="single" w:sz="8" w:space="0" w:color="auto"/>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r w:rsidRPr="003E1F91">
              <w:rPr>
                <w:rFonts w:asciiTheme="minorHAnsi" w:eastAsia="Times New Roman" w:hAnsiTheme="minorHAnsi" w:cstheme="minorHAnsi"/>
                <w:b/>
                <w:bCs/>
                <w:color w:val="000000"/>
                <w:szCs w:val="20"/>
              </w:rPr>
              <w:t> </w:t>
            </w:r>
          </w:p>
        </w:tc>
        <w:tc>
          <w:tcPr>
            <w:tcW w:w="1380" w:type="dxa"/>
            <w:tcBorders>
              <w:top w:val="nil"/>
              <w:left w:val="nil"/>
              <w:bottom w:val="single" w:sz="8"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r w:rsidRPr="003E1F91">
              <w:rPr>
                <w:rFonts w:asciiTheme="minorHAnsi" w:eastAsia="Times New Roman" w:hAnsiTheme="minorHAnsi" w:cstheme="minorHAnsi"/>
                <w:b/>
                <w:bCs/>
                <w:color w:val="000000"/>
                <w:szCs w:val="20"/>
              </w:rPr>
              <w:t> </w:t>
            </w:r>
          </w:p>
        </w:tc>
        <w:tc>
          <w:tcPr>
            <w:tcW w:w="1440" w:type="dxa"/>
            <w:tcBorders>
              <w:top w:val="nil"/>
              <w:left w:val="nil"/>
              <w:bottom w:val="single" w:sz="8"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r w:rsidRPr="003E1F91">
              <w:rPr>
                <w:rFonts w:asciiTheme="minorHAnsi" w:eastAsia="Times New Roman" w:hAnsiTheme="minorHAnsi" w:cstheme="minorHAnsi"/>
                <w:b/>
                <w:bCs/>
                <w:color w:val="000000"/>
                <w:szCs w:val="20"/>
              </w:rPr>
              <w:t>2016</w:t>
            </w:r>
          </w:p>
        </w:tc>
      </w:tr>
      <w:tr w:rsidR="003E1F91" w:rsidRPr="003E1F91" w:rsidTr="003E1F91">
        <w:trPr>
          <w:trHeight w:val="240"/>
        </w:trPr>
        <w:tc>
          <w:tcPr>
            <w:tcW w:w="382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294"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144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3E1F91" w:rsidTr="003E1F91">
        <w:trPr>
          <w:trHeight w:val="270"/>
        </w:trPr>
        <w:tc>
          <w:tcPr>
            <w:tcW w:w="382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 xml:space="preserve">Net </w:t>
            </w:r>
            <w:proofErr w:type="spellStart"/>
            <w:r w:rsidRPr="003E1F91">
              <w:rPr>
                <w:rFonts w:asciiTheme="minorHAnsi" w:eastAsia="Times New Roman" w:hAnsiTheme="minorHAnsi" w:cstheme="minorHAnsi"/>
                <w:color w:val="000000"/>
                <w:szCs w:val="20"/>
              </w:rPr>
              <w:t>sales</w:t>
            </w:r>
            <w:proofErr w:type="spellEnd"/>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p>
        </w:tc>
        <w:tc>
          <w:tcPr>
            <w:tcW w:w="1380" w:type="dxa"/>
            <w:tcBorders>
              <w:top w:val="nil"/>
              <w:left w:val="nil"/>
              <w:bottom w:val="nil"/>
              <w:right w:val="nil"/>
            </w:tcBorders>
            <w:shd w:val="clear" w:color="auto" w:fill="auto"/>
            <w:vAlign w:val="center"/>
            <w:hideMark/>
          </w:tcPr>
          <w:p w:rsidR="003E1F91" w:rsidRPr="003E1F91" w:rsidRDefault="00EE0B46" w:rsidP="003E1F91">
            <w:pPr>
              <w:spacing w:after="0" w:line="240" w:lineRule="auto"/>
              <w:jc w:val="right"/>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12,</w:t>
            </w:r>
            <w:r w:rsidR="003E1F91" w:rsidRPr="003E1F91">
              <w:rPr>
                <w:rFonts w:asciiTheme="minorHAnsi" w:eastAsia="Times New Roman" w:hAnsiTheme="minorHAnsi" w:cstheme="minorHAnsi"/>
                <w:color w:val="000000"/>
                <w:szCs w:val="20"/>
              </w:rPr>
              <w:t>127</w:t>
            </w:r>
          </w:p>
        </w:tc>
        <w:tc>
          <w:tcPr>
            <w:tcW w:w="294"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1440" w:type="dxa"/>
            <w:tcBorders>
              <w:top w:val="nil"/>
              <w:left w:val="nil"/>
              <w:bottom w:val="nil"/>
              <w:right w:val="nil"/>
            </w:tcBorders>
            <w:shd w:val="clear" w:color="auto" w:fill="auto"/>
            <w:vAlign w:val="center"/>
            <w:hideMark/>
          </w:tcPr>
          <w:p w:rsidR="003E1F91" w:rsidRPr="003E1F91" w:rsidRDefault="00EE0B46" w:rsidP="003E1F91">
            <w:pPr>
              <w:spacing w:after="0" w:line="240" w:lineRule="auto"/>
              <w:jc w:val="right"/>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10,</w:t>
            </w:r>
            <w:r w:rsidR="003E1F91" w:rsidRPr="003E1F91">
              <w:rPr>
                <w:rFonts w:asciiTheme="minorHAnsi" w:eastAsia="Times New Roman" w:hAnsiTheme="minorHAnsi" w:cstheme="minorHAnsi"/>
                <w:color w:val="000000"/>
                <w:szCs w:val="20"/>
              </w:rPr>
              <w:t>465</w:t>
            </w:r>
          </w:p>
        </w:tc>
      </w:tr>
      <w:tr w:rsidR="003E1F91" w:rsidRPr="003E1F91" w:rsidTr="003E1F91">
        <w:trPr>
          <w:trHeight w:val="280"/>
        </w:trPr>
        <w:tc>
          <w:tcPr>
            <w:tcW w:w="3820"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proofErr w:type="spellStart"/>
            <w:r w:rsidRPr="003E1F91">
              <w:rPr>
                <w:rFonts w:asciiTheme="minorHAnsi" w:eastAsia="Times New Roman" w:hAnsiTheme="minorHAnsi" w:cstheme="minorHAnsi"/>
                <w:color w:val="000000"/>
                <w:szCs w:val="20"/>
              </w:rPr>
              <w:t>Cost</w:t>
            </w:r>
            <w:proofErr w:type="spellEnd"/>
            <w:r w:rsidRPr="003E1F91">
              <w:rPr>
                <w:rFonts w:asciiTheme="minorHAnsi" w:eastAsia="Times New Roman" w:hAnsiTheme="minorHAnsi" w:cstheme="minorHAnsi"/>
                <w:color w:val="000000"/>
                <w:szCs w:val="20"/>
              </w:rPr>
              <w:t xml:space="preserve"> </w:t>
            </w:r>
            <w:proofErr w:type="spellStart"/>
            <w:r w:rsidRPr="003E1F91">
              <w:rPr>
                <w:rFonts w:asciiTheme="minorHAnsi" w:eastAsia="Times New Roman" w:hAnsiTheme="minorHAnsi" w:cstheme="minorHAnsi"/>
                <w:color w:val="000000"/>
                <w:szCs w:val="20"/>
              </w:rPr>
              <w:t>of</w:t>
            </w:r>
            <w:proofErr w:type="spellEnd"/>
            <w:r w:rsidRPr="003E1F91">
              <w:rPr>
                <w:rFonts w:asciiTheme="minorHAnsi" w:eastAsia="Times New Roman" w:hAnsiTheme="minorHAnsi" w:cstheme="minorHAnsi"/>
                <w:color w:val="000000"/>
                <w:szCs w:val="20"/>
              </w:rPr>
              <w:t xml:space="preserve"> </w:t>
            </w:r>
            <w:proofErr w:type="spellStart"/>
            <w:r w:rsidRPr="003E1F91">
              <w:rPr>
                <w:rFonts w:asciiTheme="minorHAnsi" w:eastAsia="Times New Roman" w:hAnsiTheme="minorHAnsi" w:cstheme="minorHAnsi"/>
                <w:color w:val="000000"/>
                <w:szCs w:val="20"/>
              </w:rPr>
              <w:t>sales</w:t>
            </w:r>
            <w:proofErr w:type="spellEnd"/>
            <w:r w:rsidRPr="003E1F91">
              <w:rPr>
                <w:rFonts w:asciiTheme="minorHAnsi" w:eastAsia="Times New Roman" w:hAnsiTheme="minorHAnsi" w:cstheme="minorHAnsi"/>
                <w:color w:val="000000"/>
                <w:szCs w:val="20"/>
              </w:rPr>
              <w:t xml:space="preserve"> </w:t>
            </w:r>
          </w:p>
        </w:tc>
        <w:tc>
          <w:tcPr>
            <w:tcW w:w="1380"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 </w:t>
            </w:r>
          </w:p>
        </w:tc>
        <w:tc>
          <w:tcPr>
            <w:tcW w:w="1380" w:type="dxa"/>
            <w:tcBorders>
              <w:top w:val="nil"/>
              <w:left w:val="nil"/>
              <w:bottom w:val="single" w:sz="4" w:space="0" w:color="auto"/>
              <w:right w:val="nil"/>
            </w:tcBorders>
            <w:shd w:val="clear" w:color="auto" w:fill="auto"/>
            <w:vAlign w:val="center"/>
            <w:hideMark/>
          </w:tcPr>
          <w:p w:rsidR="003E1F91" w:rsidRPr="003E1F91" w:rsidRDefault="00EE0B46" w:rsidP="003E1F91">
            <w:pPr>
              <w:spacing w:after="0" w:line="240" w:lineRule="auto"/>
              <w:jc w:val="right"/>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-1,</w:t>
            </w:r>
            <w:r w:rsidR="003E1F91" w:rsidRPr="003E1F91">
              <w:rPr>
                <w:rFonts w:asciiTheme="minorHAnsi" w:eastAsia="Times New Roman" w:hAnsiTheme="minorHAnsi" w:cstheme="minorHAnsi"/>
                <w:color w:val="000000"/>
                <w:szCs w:val="20"/>
              </w:rPr>
              <w:t>970</w:t>
            </w:r>
          </w:p>
        </w:tc>
        <w:tc>
          <w:tcPr>
            <w:tcW w:w="294"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 </w:t>
            </w:r>
          </w:p>
        </w:tc>
        <w:tc>
          <w:tcPr>
            <w:tcW w:w="1380"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 </w:t>
            </w:r>
          </w:p>
        </w:tc>
        <w:tc>
          <w:tcPr>
            <w:tcW w:w="1440" w:type="dxa"/>
            <w:tcBorders>
              <w:top w:val="nil"/>
              <w:left w:val="nil"/>
              <w:bottom w:val="single" w:sz="4" w:space="0" w:color="auto"/>
              <w:right w:val="nil"/>
            </w:tcBorders>
            <w:shd w:val="clear" w:color="auto" w:fill="auto"/>
            <w:vAlign w:val="center"/>
            <w:hideMark/>
          </w:tcPr>
          <w:p w:rsidR="003E1F91" w:rsidRPr="003E1F91" w:rsidRDefault="00EE0B46" w:rsidP="003E1F91">
            <w:pPr>
              <w:spacing w:after="0" w:line="240" w:lineRule="auto"/>
              <w:jc w:val="right"/>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-1,</w:t>
            </w:r>
            <w:r w:rsidR="003E1F91" w:rsidRPr="003E1F91">
              <w:rPr>
                <w:rFonts w:asciiTheme="minorHAnsi" w:eastAsia="Times New Roman" w:hAnsiTheme="minorHAnsi" w:cstheme="minorHAnsi"/>
                <w:color w:val="000000"/>
                <w:szCs w:val="20"/>
              </w:rPr>
              <w:t>850</w:t>
            </w:r>
          </w:p>
        </w:tc>
      </w:tr>
      <w:tr w:rsidR="003E1F91" w:rsidRPr="003E1F91" w:rsidTr="003E1F91">
        <w:trPr>
          <w:trHeight w:val="270"/>
        </w:trPr>
        <w:tc>
          <w:tcPr>
            <w:tcW w:w="382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r w:rsidRPr="003E1F91">
              <w:rPr>
                <w:rFonts w:asciiTheme="minorHAnsi" w:eastAsia="Times New Roman" w:hAnsiTheme="minorHAnsi" w:cstheme="minorHAnsi"/>
                <w:b/>
                <w:bCs/>
                <w:color w:val="000000"/>
                <w:szCs w:val="20"/>
              </w:rPr>
              <w:t xml:space="preserve">Gross </w:t>
            </w:r>
            <w:proofErr w:type="spellStart"/>
            <w:r w:rsidRPr="003E1F91">
              <w:rPr>
                <w:rFonts w:asciiTheme="minorHAnsi" w:eastAsia="Times New Roman" w:hAnsiTheme="minorHAnsi" w:cstheme="minorHAnsi"/>
                <w:b/>
                <w:bCs/>
                <w:color w:val="000000"/>
                <w:szCs w:val="20"/>
              </w:rPr>
              <w:t>profit</w:t>
            </w:r>
            <w:proofErr w:type="spellEnd"/>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p>
        </w:tc>
        <w:tc>
          <w:tcPr>
            <w:tcW w:w="1380" w:type="dxa"/>
            <w:tcBorders>
              <w:top w:val="nil"/>
              <w:left w:val="nil"/>
              <w:bottom w:val="nil"/>
              <w:right w:val="nil"/>
            </w:tcBorders>
            <w:shd w:val="clear" w:color="auto" w:fill="auto"/>
            <w:vAlign w:val="center"/>
            <w:hideMark/>
          </w:tcPr>
          <w:p w:rsidR="003E1F91" w:rsidRPr="003E1F91" w:rsidRDefault="00EE0B46" w:rsidP="003E1F91">
            <w:pPr>
              <w:spacing w:after="0" w:line="240" w:lineRule="auto"/>
              <w:jc w:val="right"/>
              <w:rPr>
                <w:rFonts w:asciiTheme="minorHAnsi" w:eastAsia="Times New Roman" w:hAnsiTheme="minorHAnsi" w:cstheme="minorHAnsi"/>
                <w:b/>
                <w:bCs/>
                <w:color w:val="000000"/>
                <w:szCs w:val="20"/>
              </w:rPr>
            </w:pPr>
            <w:r>
              <w:rPr>
                <w:rFonts w:asciiTheme="minorHAnsi" w:eastAsia="Times New Roman" w:hAnsiTheme="minorHAnsi" w:cstheme="minorHAnsi"/>
                <w:b/>
                <w:bCs/>
                <w:color w:val="000000"/>
                <w:szCs w:val="20"/>
              </w:rPr>
              <w:t>10,</w:t>
            </w:r>
            <w:r w:rsidR="003E1F91" w:rsidRPr="003E1F91">
              <w:rPr>
                <w:rFonts w:asciiTheme="minorHAnsi" w:eastAsia="Times New Roman" w:hAnsiTheme="minorHAnsi" w:cstheme="minorHAnsi"/>
                <w:b/>
                <w:bCs/>
                <w:color w:val="000000"/>
                <w:szCs w:val="20"/>
              </w:rPr>
              <w:t>157</w:t>
            </w:r>
          </w:p>
        </w:tc>
        <w:tc>
          <w:tcPr>
            <w:tcW w:w="294"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1440" w:type="dxa"/>
            <w:tcBorders>
              <w:top w:val="nil"/>
              <w:left w:val="nil"/>
              <w:bottom w:val="nil"/>
              <w:right w:val="nil"/>
            </w:tcBorders>
            <w:shd w:val="clear" w:color="auto" w:fill="auto"/>
            <w:vAlign w:val="center"/>
            <w:hideMark/>
          </w:tcPr>
          <w:p w:rsidR="003E1F91" w:rsidRPr="003E1F91" w:rsidRDefault="00EE0B46" w:rsidP="003E1F91">
            <w:pPr>
              <w:spacing w:after="0" w:line="240" w:lineRule="auto"/>
              <w:jc w:val="right"/>
              <w:rPr>
                <w:rFonts w:asciiTheme="minorHAnsi" w:eastAsia="Times New Roman" w:hAnsiTheme="minorHAnsi" w:cstheme="minorHAnsi"/>
                <w:b/>
                <w:bCs/>
                <w:color w:val="000000"/>
                <w:szCs w:val="20"/>
              </w:rPr>
            </w:pPr>
            <w:r>
              <w:rPr>
                <w:rFonts w:asciiTheme="minorHAnsi" w:eastAsia="Times New Roman" w:hAnsiTheme="minorHAnsi" w:cstheme="minorHAnsi"/>
                <w:b/>
                <w:bCs/>
                <w:color w:val="000000"/>
                <w:szCs w:val="20"/>
              </w:rPr>
              <w:t>8,</w:t>
            </w:r>
            <w:r w:rsidR="003E1F91" w:rsidRPr="003E1F91">
              <w:rPr>
                <w:rFonts w:asciiTheme="minorHAnsi" w:eastAsia="Times New Roman" w:hAnsiTheme="minorHAnsi" w:cstheme="minorHAnsi"/>
                <w:b/>
                <w:bCs/>
                <w:color w:val="000000"/>
                <w:szCs w:val="20"/>
              </w:rPr>
              <w:t>615</w:t>
            </w:r>
          </w:p>
        </w:tc>
      </w:tr>
      <w:tr w:rsidR="003E1F91" w:rsidRPr="003E1F91" w:rsidTr="003E1F91">
        <w:trPr>
          <w:trHeight w:val="270"/>
        </w:trPr>
        <w:tc>
          <w:tcPr>
            <w:tcW w:w="382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294"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144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3E1F91" w:rsidTr="003E1F91">
        <w:trPr>
          <w:trHeight w:val="270"/>
        </w:trPr>
        <w:tc>
          <w:tcPr>
            <w:tcW w:w="382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proofErr w:type="spellStart"/>
            <w:r w:rsidRPr="003E1F91">
              <w:rPr>
                <w:rFonts w:asciiTheme="minorHAnsi" w:eastAsia="Times New Roman" w:hAnsiTheme="minorHAnsi" w:cstheme="minorHAnsi"/>
                <w:color w:val="000000"/>
                <w:szCs w:val="20"/>
              </w:rPr>
              <w:t>Personnel</w:t>
            </w:r>
            <w:proofErr w:type="spellEnd"/>
            <w:r w:rsidRPr="003E1F91">
              <w:rPr>
                <w:rFonts w:asciiTheme="minorHAnsi" w:eastAsia="Times New Roman" w:hAnsiTheme="minorHAnsi" w:cstheme="minorHAnsi"/>
                <w:color w:val="000000"/>
                <w:szCs w:val="20"/>
              </w:rPr>
              <w:t xml:space="preserve"> </w:t>
            </w:r>
            <w:proofErr w:type="spellStart"/>
            <w:r w:rsidRPr="003E1F91">
              <w:rPr>
                <w:rFonts w:asciiTheme="minorHAnsi" w:eastAsia="Times New Roman" w:hAnsiTheme="minorHAnsi" w:cstheme="minorHAnsi"/>
                <w:color w:val="000000"/>
                <w:szCs w:val="20"/>
              </w:rPr>
              <w:t>expenses</w:t>
            </w:r>
            <w:proofErr w:type="spellEnd"/>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p>
        </w:tc>
        <w:tc>
          <w:tcPr>
            <w:tcW w:w="1380" w:type="dxa"/>
            <w:tcBorders>
              <w:top w:val="nil"/>
              <w:left w:val="nil"/>
              <w:bottom w:val="nil"/>
              <w:right w:val="nil"/>
            </w:tcBorders>
            <w:shd w:val="clear" w:color="auto" w:fill="auto"/>
            <w:vAlign w:val="center"/>
            <w:hideMark/>
          </w:tcPr>
          <w:p w:rsidR="003E1F91" w:rsidRPr="003E1F91" w:rsidRDefault="00EE0B46" w:rsidP="003E1F91">
            <w:pPr>
              <w:spacing w:after="0" w:line="240" w:lineRule="auto"/>
              <w:jc w:val="right"/>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-6,</w:t>
            </w:r>
            <w:r w:rsidR="003E1F91" w:rsidRPr="003E1F91">
              <w:rPr>
                <w:rFonts w:asciiTheme="minorHAnsi" w:eastAsia="Times New Roman" w:hAnsiTheme="minorHAnsi" w:cstheme="minorHAnsi"/>
                <w:color w:val="000000"/>
                <w:szCs w:val="20"/>
              </w:rPr>
              <w:t>105</w:t>
            </w:r>
          </w:p>
        </w:tc>
        <w:tc>
          <w:tcPr>
            <w:tcW w:w="294"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1440" w:type="dxa"/>
            <w:tcBorders>
              <w:top w:val="nil"/>
              <w:left w:val="nil"/>
              <w:bottom w:val="nil"/>
              <w:right w:val="nil"/>
            </w:tcBorders>
            <w:shd w:val="clear" w:color="auto" w:fill="auto"/>
            <w:vAlign w:val="center"/>
            <w:hideMark/>
          </w:tcPr>
          <w:p w:rsidR="003E1F91" w:rsidRPr="003E1F91" w:rsidRDefault="00EE0B46" w:rsidP="003E1F91">
            <w:pPr>
              <w:spacing w:after="0" w:line="240" w:lineRule="auto"/>
              <w:jc w:val="right"/>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-6,</w:t>
            </w:r>
            <w:r w:rsidR="003E1F91" w:rsidRPr="003E1F91">
              <w:rPr>
                <w:rFonts w:asciiTheme="minorHAnsi" w:eastAsia="Times New Roman" w:hAnsiTheme="minorHAnsi" w:cstheme="minorHAnsi"/>
                <w:color w:val="000000"/>
                <w:szCs w:val="20"/>
              </w:rPr>
              <w:t>016</w:t>
            </w:r>
          </w:p>
        </w:tc>
      </w:tr>
      <w:tr w:rsidR="003E1F91" w:rsidRPr="003E1F91" w:rsidTr="003E1F91">
        <w:trPr>
          <w:trHeight w:val="270"/>
        </w:trPr>
        <w:tc>
          <w:tcPr>
            <w:tcW w:w="382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 xml:space="preserve">Other </w:t>
            </w:r>
            <w:proofErr w:type="spellStart"/>
            <w:r w:rsidRPr="003E1F91">
              <w:rPr>
                <w:rFonts w:asciiTheme="minorHAnsi" w:eastAsia="Times New Roman" w:hAnsiTheme="minorHAnsi" w:cstheme="minorHAnsi"/>
                <w:color w:val="000000"/>
                <w:szCs w:val="20"/>
              </w:rPr>
              <w:t>operating</w:t>
            </w:r>
            <w:proofErr w:type="spellEnd"/>
            <w:r w:rsidRPr="003E1F91">
              <w:rPr>
                <w:rFonts w:asciiTheme="minorHAnsi" w:eastAsia="Times New Roman" w:hAnsiTheme="minorHAnsi" w:cstheme="minorHAnsi"/>
                <w:color w:val="000000"/>
                <w:szCs w:val="20"/>
              </w:rPr>
              <w:t xml:space="preserve"> </w:t>
            </w:r>
            <w:proofErr w:type="spellStart"/>
            <w:r w:rsidRPr="003E1F91">
              <w:rPr>
                <w:rFonts w:asciiTheme="minorHAnsi" w:eastAsia="Times New Roman" w:hAnsiTheme="minorHAnsi" w:cstheme="minorHAnsi"/>
                <w:color w:val="000000"/>
                <w:szCs w:val="20"/>
              </w:rPr>
              <w:t>expenses</w:t>
            </w:r>
            <w:proofErr w:type="spellEnd"/>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p>
        </w:tc>
        <w:tc>
          <w:tcPr>
            <w:tcW w:w="1380" w:type="dxa"/>
            <w:tcBorders>
              <w:top w:val="nil"/>
              <w:left w:val="nil"/>
              <w:bottom w:val="nil"/>
              <w:right w:val="nil"/>
            </w:tcBorders>
            <w:shd w:val="clear" w:color="auto" w:fill="auto"/>
            <w:vAlign w:val="center"/>
            <w:hideMark/>
          </w:tcPr>
          <w:p w:rsidR="003E1F91" w:rsidRPr="003E1F91" w:rsidRDefault="00EE0B46" w:rsidP="003E1F91">
            <w:pPr>
              <w:spacing w:after="0" w:line="240" w:lineRule="auto"/>
              <w:jc w:val="right"/>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-2,</w:t>
            </w:r>
            <w:r w:rsidR="003E1F91" w:rsidRPr="003E1F91">
              <w:rPr>
                <w:rFonts w:asciiTheme="minorHAnsi" w:eastAsia="Times New Roman" w:hAnsiTheme="minorHAnsi" w:cstheme="minorHAnsi"/>
                <w:color w:val="000000"/>
                <w:szCs w:val="20"/>
              </w:rPr>
              <w:t>703</w:t>
            </w:r>
          </w:p>
        </w:tc>
        <w:tc>
          <w:tcPr>
            <w:tcW w:w="294"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1440" w:type="dxa"/>
            <w:tcBorders>
              <w:top w:val="nil"/>
              <w:left w:val="nil"/>
              <w:bottom w:val="nil"/>
              <w:right w:val="nil"/>
            </w:tcBorders>
            <w:shd w:val="clear" w:color="auto" w:fill="auto"/>
            <w:vAlign w:val="center"/>
            <w:hideMark/>
          </w:tcPr>
          <w:p w:rsidR="003E1F91" w:rsidRPr="003E1F91" w:rsidRDefault="00EE0B46" w:rsidP="003E1F91">
            <w:pPr>
              <w:spacing w:after="0" w:line="240" w:lineRule="auto"/>
              <w:jc w:val="right"/>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-2,</w:t>
            </w:r>
            <w:r w:rsidR="003E1F91" w:rsidRPr="003E1F91">
              <w:rPr>
                <w:rFonts w:asciiTheme="minorHAnsi" w:eastAsia="Times New Roman" w:hAnsiTheme="minorHAnsi" w:cstheme="minorHAnsi"/>
                <w:color w:val="000000"/>
                <w:szCs w:val="20"/>
              </w:rPr>
              <w:t>909</w:t>
            </w:r>
          </w:p>
        </w:tc>
      </w:tr>
      <w:tr w:rsidR="003E1F91" w:rsidRPr="003E1F91" w:rsidTr="003E1F91">
        <w:trPr>
          <w:trHeight w:val="120"/>
        </w:trPr>
        <w:tc>
          <w:tcPr>
            <w:tcW w:w="382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294"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144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3E1F91" w:rsidTr="003E1F91">
        <w:trPr>
          <w:trHeight w:val="270"/>
        </w:trPr>
        <w:tc>
          <w:tcPr>
            <w:tcW w:w="3820" w:type="dxa"/>
            <w:tcBorders>
              <w:top w:val="nil"/>
              <w:left w:val="nil"/>
              <w:bottom w:val="nil"/>
              <w:right w:val="nil"/>
            </w:tcBorders>
            <w:shd w:val="clear" w:color="auto" w:fill="auto"/>
            <w:noWrap/>
            <w:vAlign w:val="bottom"/>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proofErr w:type="spellStart"/>
            <w:r w:rsidRPr="003E1F91">
              <w:rPr>
                <w:rFonts w:asciiTheme="minorHAnsi" w:eastAsia="Times New Roman" w:hAnsiTheme="minorHAnsi" w:cstheme="minorHAnsi"/>
                <w:color w:val="000000"/>
                <w:szCs w:val="20"/>
              </w:rPr>
              <w:t>Termination</w:t>
            </w:r>
            <w:proofErr w:type="spellEnd"/>
            <w:r w:rsidRPr="003E1F91">
              <w:rPr>
                <w:rFonts w:asciiTheme="minorHAnsi" w:eastAsia="Times New Roman" w:hAnsiTheme="minorHAnsi" w:cstheme="minorHAnsi"/>
                <w:color w:val="000000"/>
                <w:szCs w:val="20"/>
              </w:rPr>
              <w:t xml:space="preserve"> </w:t>
            </w:r>
            <w:proofErr w:type="spellStart"/>
            <w:r w:rsidRPr="003E1F91">
              <w:rPr>
                <w:rFonts w:asciiTheme="minorHAnsi" w:eastAsia="Times New Roman" w:hAnsiTheme="minorHAnsi" w:cstheme="minorHAnsi"/>
                <w:color w:val="000000"/>
                <w:szCs w:val="20"/>
              </w:rPr>
              <w:t>benefit</w:t>
            </w:r>
            <w:proofErr w:type="spellEnd"/>
            <w:r w:rsidRPr="003E1F91">
              <w:rPr>
                <w:rFonts w:asciiTheme="minorHAnsi" w:eastAsia="Times New Roman" w:hAnsiTheme="minorHAnsi" w:cstheme="minorHAnsi"/>
                <w:color w:val="000000"/>
                <w:szCs w:val="20"/>
              </w:rPr>
              <w:t xml:space="preserve"> </w:t>
            </w:r>
            <w:proofErr w:type="spellStart"/>
            <w:r w:rsidRPr="003E1F91">
              <w:rPr>
                <w:rFonts w:asciiTheme="minorHAnsi" w:eastAsia="Times New Roman" w:hAnsiTheme="minorHAnsi" w:cstheme="minorHAnsi"/>
                <w:color w:val="000000"/>
                <w:szCs w:val="20"/>
              </w:rPr>
              <w:t>costs</w:t>
            </w:r>
            <w:proofErr w:type="spellEnd"/>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-400</w:t>
            </w:r>
          </w:p>
        </w:tc>
        <w:tc>
          <w:tcPr>
            <w:tcW w:w="1380" w:type="dxa"/>
            <w:tcBorders>
              <w:top w:val="nil"/>
              <w:left w:val="nil"/>
              <w:bottom w:val="nil"/>
              <w:right w:val="nil"/>
            </w:tcBorders>
            <w:shd w:val="clear" w:color="auto" w:fill="auto"/>
            <w:noWrap/>
            <w:vAlign w:val="bottom"/>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p>
        </w:tc>
        <w:tc>
          <w:tcPr>
            <w:tcW w:w="294"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0</w:t>
            </w:r>
          </w:p>
        </w:tc>
        <w:tc>
          <w:tcPr>
            <w:tcW w:w="1440" w:type="dxa"/>
            <w:tcBorders>
              <w:top w:val="nil"/>
              <w:left w:val="nil"/>
              <w:bottom w:val="nil"/>
              <w:right w:val="nil"/>
            </w:tcBorders>
            <w:shd w:val="clear" w:color="auto" w:fill="auto"/>
            <w:noWrap/>
            <w:vAlign w:val="bottom"/>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p>
        </w:tc>
      </w:tr>
      <w:tr w:rsidR="003E1F91" w:rsidRPr="003E1F91" w:rsidTr="003E1F91">
        <w:trPr>
          <w:trHeight w:val="270"/>
        </w:trPr>
        <w:tc>
          <w:tcPr>
            <w:tcW w:w="382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proofErr w:type="spellStart"/>
            <w:r w:rsidRPr="003E1F91">
              <w:rPr>
                <w:rFonts w:asciiTheme="minorHAnsi" w:eastAsia="Times New Roman" w:hAnsiTheme="minorHAnsi" w:cstheme="minorHAnsi"/>
                <w:color w:val="000000"/>
                <w:szCs w:val="20"/>
              </w:rPr>
              <w:t>Impairment</w:t>
            </w:r>
            <w:proofErr w:type="spellEnd"/>
            <w:r w:rsidRPr="003E1F91">
              <w:rPr>
                <w:rFonts w:asciiTheme="minorHAnsi" w:eastAsia="Times New Roman" w:hAnsiTheme="minorHAnsi" w:cstheme="minorHAnsi"/>
                <w:color w:val="000000"/>
                <w:szCs w:val="20"/>
              </w:rPr>
              <w:t xml:space="preserve"> </w:t>
            </w:r>
            <w:proofErr w:type="spellStart"/>
            <w:r w:rsidRPr="003E1F91">
              <w:rPr>
                <w:rFonts w:asciiTheme="minorHAnsi" w:eastAsia="Times New Roman" w:hAnsiTheme="minorHAnsi" w:cstheme="minorHAnsi"/>
                <w:color w:val="000000"/>
                <w:szCs w:val="20"/>
              </w:rPr>
              <w:t>of</w:t>
            </w:r>
            <w:proofErr w:type="spellEnd"/>
            <w:r w:rsidRPr="003E1F91">
              <w:rPr>
                <w:rFonts w:asciiTheme="minorHAnsi" w:eastAsia="Times New Roman" w:hAnsiTheme="minorHAnsi" w:cstheme="minorHAnsi"/>
                <w:color w:val="000000"/>
                <w:szCs w:val="20"/>
              </w:rPr>
              <w:t xml:space="preserve"> </w:t>
            </w:r>
            <w:proofErr w:type="spellStart"/>
            <w:r w:rsidRPr="003E1F91">
              <w:rPr>
                <w:rFonts w:asciiTheme="minorHAnsi" w:eastAsia="Times New Roman" w:hAnsiTheme="minorHAnsi" w:cstheme="minorHAnsi"/>
                <w:color w:val="000000"/>
                <w:szCs w:val="20"/>
              </w:rPr>
              <w:t>financial</w:t>
            </w:r>
            <w:proofErr w:type="spellEnd"/>
            <w:r w:rsidRPr="003E1F91">
              <w:rPr>
                <w:rFonts w:asciiTheme="minorHAnsi" w:eastAsia="Times New Roman" w:hAnsiTheme="minorHAnsi" w:cstheme="minorHAnsi"/>
                <w:color w:val="000000"/>
                <w:szCs w:val="20"/>
              </w:rPr>
              <w:t xml:space="preserve"> </w:t>
            </w:r>
            <w:proofErr w:type="spellStart"/>
            <w:r w:rsidRPr="003E1F91">
              <w:rPr>
                <w:rFonts w:asciiTheme="minorHAnsi" w:eastAsia="Times New Roman" w:hAnsiTheme="minorHAnsi" w:cstheme="minorHAnsi"/>
                <w:color w:val="000000"/>
                <w:szCs w:val="20"/>
              </w:rPr>
              <w:t>assets</w:t>
            </w:r>
            <w:proofErr w:type="spellEnd"/>
          </w:p>
        </w:tc>
        <w:tc>
          <w:tcPr>
            <w:tcW w:w="1380"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-346</w:t>
            </w:r>
          </w:p>
        </w:tc>
        <w:tc>
          <w:tcPr>
            <w:tcW w:w="1380" w:type="dxa"/>
            <w:tcBorders>
              <w:top w:val="nil"/>
              <w:left w:val="nil"/>
              <w:bottom w:val="single" w:sz="4" w:space="0" w:color="auto"/>
              <w:right w:val="nil"/>
            </w:tcBorders>
            <w:shd w:val="clear" w:color="auto" w:fill="auto"/>
            <w:noWrap/>
            <w:vAlign w:val="bottom"/>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 </w:t>
            </w:r>
          </w:p>
        </w:tc>
        <w:tc>
          <w:tcPr>
            <w:tcW w:w="294"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p>
        </w:tc>
        <w:tc>
          <w:tcPr>
            <w:tcW w:w="1380"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0</w:t>
            </w:r>
          </w:p>
        </w:tc>
        <w:tc>
          <w:tcPr>
            <w:tcW w:w="1440" w:type="dxa"/>
            <w:tcBorders>
              <w:top w:val="nil"/>
              <w:left w:val="nil"/>
              <w:bottom w:val="single" w:sz="4" w:space="0" w:color="auto"/>
              <w:right w:val="nil"/>
            </w:tcBorders>
            <w:shd w:val="clear" w:color="auto" w:fill="auto"/>
            <w:noWrap/>
            <w:vAlign w:val="bottom"/>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 </w:t>
            </w:r>
          </w:p>
        </w:tc>
      </w:tr>
      <w:tr w:rsidR="003E1F91" w:rsidRPr="003E1F91" w:rsidTr="003E1F91">
        <w:trPr>
          <w:trHeight w:val="270"/>
        </w:trPr>
        <w:tc>
          <w:tcPr>
            <w:tcW w:w="3820" w:type="dxa"/>
            <w:tcBorders>
              <w:top w:val="nil"/>
              <w:left w:val="nil"/>
              <w:bottom w:val="nil"/>
              <w:right w:val="nil"/>
            </w:tcBorders>
            <w:shd w:val="clear" w:color="auto" w:fill="auto"/>
            <w:noWrap/>
            <w:vAlign w:val="bottom"/>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p>
        </w:tc>
        <w:tc>
          <w:tcPr>
            <w:tcW w:w="1380" w:type="dxa"/>
            <w:tcBorders>
              <w:top w:val="nil"/>
              <w:left w:val="nil"/>
              <w:bottom w:val="nil"/>
              <w:right w:val="nil"/>
            </w:tcBorders>
            <w:shd w:val="clear" w:color="auto" w:fill="auto"/>
            <w:noWrap/>
            <w:vAlign w:val="bottom"/>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-746</w:t>
            </w:r>
          </w:p>
        </w:tc>
        <w:tc>
          <w:tcPr>
            <w:tcW w:w="294"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144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0</w:t>
            </w:r>
          </w:p>
        </w:tc>
      </w:tr>
      <w:tr w:rsidR="003E1F91" w:rsidRPr="003E1F91" w:rsidTr="003E1F91">
        <w:trPr>
          <w:trHeight w:val="150"/>
        </w:trPr>
        <w:tc>
          <w:tcPr>
            <w:tcW w:w="3820" w:type="dxa"/>
            <w:tcBorders>
              <w:top w:val="nil"/>
              <w:left w:val="nil"/>
              <w:bottom w:val="single" w:sz="4" w:space="0" w:color="auto"/>
              <w:right w:val="nil"/>
            </w:tcBorders>
            <w:shd w:val="clear" w:color="auto" w:fill="auto"/>
            <w:noWrap/>
            <w:vAlign w:val="bottom"/>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 </w:t>
            </w:r>
          </w:p>
        </w:tc>
        <w:tc>
          <w:tcPr>
            <w:tcW w:w="1380" w:type="dxa"/>
            <w:tcBorders>
              <w:top w:val="nil"/>
              <w:left w:val="nil"/>
              <w:bottom w:val="single" w:sz="4" w:space="0" w:color="auto"/>
              <w:right w:val="nil"/>
            </w:tcBorders>
            <w:shd w:val="clear" w:color="auto" w:fill="auto"/>
            <w:noWrap/>
            <w:vAlign w:val="bottom"/>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 </w:t>
            </w:r>
          </w:p>
        </w:tc>
        <w:tc>
          <w:tcPr>
            <w:tcW w:w="1380" w:type="dxa"/>
            <w:tcBorders>
              <w:top w:val="nil"/>
              <w:left w:val="nil"/>
              <w:bottom w:val="single" w:sz="4" w:space="0" w:color="auto"/>
              <w:right w:val="nil"/>
            </w:tcBorders>
            <w:shd w:val="clear" w:color="auto" w:fill="auto"/>
            <w:noWrap/>
            <w:vAlign w:val="bottom"/>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 </w:t>
            </w:r>
          </w:p>
        </w:tc>
        <w:tc>
          <w:tcPr>
            <w:tcW w:w="294" w:type="dxa"/>
            <w:tcBorders>
              <w:top w:val="nil"/>
              <w:left w:val="nil"/>
              <w:bottom w:val="single" w:sz="4" w:space="0" w:color="auto"/>
              <w:right w:val="nil"/>
            </w:tcBorders>
            <w:shd w:val="clear" w:color="auto" w:fill="auto"/>
            <w:noWrap/>
            <w:vAlign w:val="bottom"/>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 </w:t>
            </w:r>
          </w:p>
        </w:tc>
        <w:tc>
          <w:tcPr>
            <w:tcW w:w="1380" w:type="dxa"/>
            <w:tcBorders>
              <w:top w:val="nil"/>
              <w:left w:val="nil"/>
              <w:bottom w:val="single" w:sz="4" w:space="0" w:color="auto"/>
              <w:right w:val="nil"/>
            </w:tcBorders>
            <w:shd w:val="clear" w:color="auto" w:fill="auto"/>
            <w:noWrap/>
            <w:vAlign w:val="bottom"/>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 </w:t>
            </w:r>
          </w:p>
        </w:tc>
        <w:tc>
          <w:tcPr>
            <w:tcW w:w="1440" w:type="dxa"/>
            <w:tcBorders>
              <w:top w:val="nil"/>
              <w:left w:val="nil"/>
              <w:bottom w:val="single" w:sz="4" w:space="0" w:color="auto"/>
              <w:right w:val="nil"/>
            </w:tcBorders>
            <w:shd w:val="clear" w:color="auto" w:fill="auto"/>
            <w:noWrap/>
            <w:vAlign w:val="bottom"/>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 </w:t>
            </w:r>
          </w:p>
        </w:tc>
      </w:tr>
      <w:tr w:rsidR="003E1F91" w:rsidRPr="003E1F91" w:rsidTr="003E1F91">
        <w:trPr>
          <w:trHeight w:val="270"/>
        </w:trPr>
        <w:tc>
          <w:tcPr>
            <w:tcW w:w="382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r w:rsidRPr="003E1F91">
              <w:rPr>
                <w:rFonts w:asciiTheme="minorHAnsi" w:eastAsia="Times New Roman" w:hAnsiTheme="minorHAnsi" w:cstheme="minorHAnsi"/>
                <w:b/>
                <w:bCs/>
                <w:color w:val="000000"/>
                <w:szCs w:val="20"/>
              </w:rPr>
              <w:t xml:space="preserve">Total </w:t>
            </w:r>
            <w:proofErr w:type="spellStart"/>
            <w:r w:rsidRPr="003E1F91">
              <w:rPr>
                <w:rFonts w:asciiTheme="minorHAnsi" w:eastAsia="Times New Roman" w:hAnsiTheme="minorHAnsi" w:cstheme="minorHAnsi"/>
                <w:b/>
                <w:bCs/>
                <w:color w:val="000000"/>
                <w:szCs w:val="20"/>
              </w:rPr>
              <w:t>operating</w:t>
            </w:r>
            <w:proofErr w:type="spellEnd"/>
            <w:r w:rsidRPr="003E1F91">
              <w:rPr>
                <w:rFonts w:asciiTheme="minorHAnsi" w:eastAsia="Times New Roman" w:hAnsiTheme="minorHAnsi" w:cstheme="minorHAnsi"/>
                <w:b/>
                <w:bCs/>
                <w:color w:val="000000"/>
                <w:szCs w:val="20"/>
              </w:rPr>
              <w:t xml:space="preserve"> </w:t>
            </w:r>
            <w:proofErr w:type="spellStart"/>
            <w:r w:rsidRPr="003E1F91">
              <w:rPr>
                <w:rFonts w:asciiTheme="minorHAnsi" w:eastAsia="Times New Roman" w:hAnsiTheme="minorHAnsi" w:cstheme="minorHAnsi"/>
                <w:b/>
                <w:bCs/>
                <w:color w:val="000000"/>
                <w:szCs w:val="20"/>
              </w:rPr>
              <w:t>expenses</w:t>
            </w:r>
            <w:proofErr w:type="spellEnd"/>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p>
        </w:tc>
        <w:tc>
          <w:tcPr>
            <w:tcW w:w="1380" w:type="dxa"/>
            <w:tcBorders>
              <w:top w:val="nil"/>
              <w:left w:val="nil"/>
              <w:bottom w:val="nil"/>
              <w:right w:val="nil"/>
            </w:tcBorders>
            <w:shd w:val="clear" w:color="auto" w:fill="auto"/>
            <w:vAlign w:val="center"/>
            <w:hideMark/>
          </w:tcPr>
          <w:p w:rsidR="003E1F91" w:rsidRPr="003E1F91" w:rsidRDefault="00EE0B46" w:rsidP="003E1F91">
            <w:pPr>
              <w:spacing w:after="0" w:line="240" w:lineRule="auto"/>
              <w:jc w:val="right"/>
              <w:rPr>
                <w:rFonts w:asciiTheme="minorHAnsi" w:eastAsia="Times New Roman" w:hAnsiTheme="minorHAnsi" w:cstheme="minorHAnsi"/>
                <w:b/>
                <w:bCs/>
                <w:color w:val="000000"/>
                <w:szCs w:val="20"/>
              </w:rPr>
            </w:pPr>
            <w:r>
              <w:rPr>
                <w:rFonts w:asciiTheme="minorHAnsi" w:eastAsia="Times New Roman" w:hAnsiTheme="minorHAnsi" w:cstheme="minorHAnsi"/>
                <w:b/>
                <w:bCs/>
                <w:color w:val="000000"/>
                <w:szCs w:val="20"/>
              </w:rPr>
              <w:t>-9,</w:t>
            </w:r>
            <w:r w:rsidR="003E1F91" w:rsidRPr="003E1F91">
              <w:rPr>
                <w:rFonts w:asciiTheme="minorHAnsi" w:eastAsia="Times New Roman" w:hAnsiTheme="minorHAnsi" w:cstheme="minorHAnsi"/>
                <w:b/>
                <w:bCs/>
                <w:color w:val="000000"/>
                <w:szCs w:val="20"/>
              </w:rPr>
              <w:t>554</w:t>
            </w:r>
          </w:p>
        </w:tc>
        <w:tc>
          <w:tcPr>
            <w:tcW w:w="294"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1440" w:type="dxa"/>
            <w:tcBorders>
              <w:top w:val="nil"/>
              <w:left w:val="nil"/>
              <w:bottom w:val="nil"/>
              <w:right w:val="nil"/>
            </w:tcBorders>
            <w:shd w:val="clear" w:color="auto" w:fill="auto"/>
            <w:vAlign w:val="center"/>
            <w:hideMark/>
          </w:tcPr>
          <w:p w:rsidR="003E1F91" w:rsidRPr="003E1F91" w:rsidRDefault="00EE0B46" w:rsidP="003E1F91">
            <w:pPr>
              <w:spacing w:after="0" w:line="240" w:lineRule="auto"/>
              <w:jc w:val="right"/>
              <w:rPr>
                <w:rFonts w:asciiTheme="minorHAnsi" w:eastAsia="Times New Roman" w:hAnsiTheme="minorHAnsi" w:cstheme="minorHAnsi"/>
                <w:b/>
                <w:bCs/>
                <w:color w:val="000000"/>
                <w:szCs w:val="20"/>
              </w:rPr>
            </w:pPr>
            <w:r>
              <w:rPr>
                <w:rFonts w:asciiTheme="minorHAnsi" w:eastAsia="Times New Roman" w:hAnsiTheme="minorHAnsi" w:cstheme="minorHAnsi"/>
                <w:b/>
                <w:bCs/>
                <w:color w:val="000000"/>
                <w:szCs w:val="20"/>
              </w:rPr>
              <w:t>-8,</w:t>
            </w:r>
            <w:r w:rsidR="003E1F91" w:rsidRPr="003E1F91">
              <w:rPr>
                <w:rFonts w:asciiTheme="minorHAnsi" w:eastAsia="Times New Roman" w:hAnsiTheme="minorHAnsi" w:cstheme="minorHAnsi"/>
                <w:b/>
                <w:bCs/>
                <w:color w:val="000000"/>
                <w:szCs w:val="20"/>
              </w:rPr>
              <w:t>925</w:t>
            </w:r>
          </w:p>
        </w:tc>
      </w:tr>
      <w:tr w:rsidR="003E1F91" w:rsidRPr="003E1F91" w:rsidTr="003E1F91">
        <w:trPr>
          <w:trHeight w:val="280"/>
        </w:trPr>
        <w:tc>
          <w:tcPr>
            <w:tcW w:w="3820"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r w:rsidRPr="003E1F91">
              <w:rPr>
                <w:rFonts w:asciiTheme="minorHAnsi" w:eastAsia="Times New Roman" w:hAnsiTheme="minorHAnsi" w:cstheme="minorHAnsi"/>
                <w:b/>
                <w:bCs/>
                <w:color w:val="000000"/>
                <w:szCs w:val="20"/>
              </w:rPr>
              <w:t> </w:t>
            </w:r>
          </w:p>
        </w:tc>
        <w:tc>
          <w:tcPr>
            <w:tcW w:w="1380"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r w:rsidRPr="003E1F91">
              <w:rPr>
                <w:rFonts w:asciiTheme="minorHAnsi" w:eastAsia="Times New Roman" w:hAnsiTheme="minorHAnsi" w:cstheme="minorHAnsi"/>
                <w:b/>
                <w:bCs/>
                <w:color w:val="000000"/>
                <w:szCs w:val="20"/>
              </w:rPr>
              <w:t> </w:t>
            </w:r>
          </w:p>
        </w:tc>
        <w:tc>
          <w:tcPr>
            <w:tcW w:w="1380"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r w:rsidRPr="003E1F91">
              <w:rPr>
                <w:rFonts w:asciiTheme="minorHAnsi" w:eastAsia="Times New Roman" w:hAnsiTheme="minorHAnsi" w:cstheme="minorHAnsi"/>
                <w:b/>
                <w:bCs/>
                <w:color w:val="000000"/>
                <w:szCs w:val="20"/>
              </w:rPr>
              <w:t> </w:t>
            </w:r>
          </w:p>
        </w:tc>
        <w:tc>
          <w:tcPr>
            <w:tcW w:w="294"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r w:rsidRPr="003E1F91">
              <w:rPr>
                <w:rFonts w:asciiTheme="minorHAnsi" w:eastAsia="Times New Roman" w:hAnsiTheme="minorHAnsi" w:cstheme="minorHAnsi"/>
                <w:b/>
                <w:bCs/>
                <w:color w:val="000000"/>
                <w:szCs w:val="20"/>
              </w:rPr>
              <w:t> </w:t>
            </w:r>
          </w:p>
        </w:tc>
        <w:tc>
          <w:tcPr>
            <w:tcW w:w="1380"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r w:rsidRPr="003E1F91">
              <w:rPr>
                <w:rFonts w:asciiTheme="minorHAnsi" w:eastAsia="Times New Roman" w:hAnsiTheme="minorHAnsi" w:cstheme="minorHAnsi"/>
                <w:b/>
                <w:bCs/>
                <w:color w:val="000000"/>
                <w:szCs w:val="20"/>
              </w:rPr>
              <w:t> </w:t>
            </w:r>
          </w:p>
        </w:tc>
        <w:tc>
          <w:tcPr>
            <w:tcW w:w="1440"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r w:rsidRPr="003E1F91">
              <w:rPr>
                <w:rFonts w:asciiTheme="minorHAnsi" w:eastAsia="Times New Roman" w:hAnsiTheme="minorHAnsi" w:cstheme="minorHAnsi"/>
                <w:b/>
                <w:bCs/>
                <w:color w:val="000000"/>
                <w:szCs w:val="20"/>
              </w:rPr>
              <w:t> </w:t>
            </w:r>
          </w:p>
        </w:tc>
      </w:tr>
      <w:tr w:rsidR="003E1F91" w:rsidRPr="003E1F91" w:rsidTr="003E1F91">
        <w:trPr>
          <w:trHeight w:val="270"/>
        </w:trPr>
        <w:tc>
          <w:tcPr>
            <w:tcW w:w="382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r w:rsidRPr="003E1F91">
              <w:rPr>
                <w:rFonts w:asciiTheme="minorHAnsi" w:eastAsia="Times New Roman" w:hAnsiTheme="minorHAnsi" w:cstheme="minorHAnsi"/>
                <w:b/>
                <w:bCs/>
                <w:color w:val="000000"/>
                <w:szCs w:val="20"/>
              </w:rPr>
              <w:t>EBITDA</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r w:rsidRPr="003E1F91">
              <w:rPr>
                <w:rFonts w:asciiTheme="minorHAnsi" w:eastAsia="Times New Roman" w:hAnsiTheme="minorHAnsi" w:cstheme="minorHAnsi"/>
                <w:b/>
                <w:bCs/>
                <w:color w:val="000000"/>
                <w:szCs w:val="20"/>
              </w:rPr>
              <w:t>603</w:t>
            </w:r>
          </w:p>
        </w:tc>
        <w:tc>
          <w:tcPr>
            <w:tcW w:w="294"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144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r w:rsidRPr="003E1F91">
              <w:rPr>
                <w:rFonts w:asciiTheme="minorHAnsi" w:eastAsia="Times New Roman" w:hAnsiTheme="minorHAnsi" w:cstheme="minorHAnsi"/>
                <w:b/>
                <w:bCs/>
                <w:color w:val="000000"/>
                <w:szCs w:val="20"/>
              </w:rPr>
              <w:t>-310</w:t>
            </w:r>
          </w:p>
        </w:tc>
      </w:tr>
      <w:tr w:rsidR="003E1F91" w:rsidRPr="003E1F91" w:rsidTr="003E1F91">
        <w:trPr>
          <w:trHeight w:val="270"/>
        </w:trPr>
        <w:tc>
          <w:tcPr>
            <w:tcW w:w="382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294"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144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3E1F91" w:rsidTr="003E1F91">
        <w:trPr>
          <w:trHeight w:val="280"/>
        </w:trPr>
        <w:tc>
          <w:tcPr>
            <w:tcW w:w="3820"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proofErr w:type="spellStart"/>
            <w:r w:rsidRPr="003E1F91">
              <w:rPr>
                <w:rFonts w:asciiTheme="minorHAnsi" w:eastAsia="Times New Roman" w:hAnsiTheme="minorHAnsi" w:cstheme="minorHAnsi"/>
                <w:color w:val="000000"/>
                <w:szCs w:val="20"/>
              </w:rPr>
              <w:t>Depreciation</w:t>
            </w:r>
            <w:proofErr w:type="spellEnd"/>
            <w:r w:rsidRPr="003E1F91">
              <w:rPr>
                <w:rFonts w:asciiTheme="minorHAnsi" w:eastAsia="Times New Roman" w:hAnsiTheme="minorHAnsi" w:cstheme="minorHAnsi"/>
                <w:color w:val="000000"/>
                <w:szCs w:val="20"/>
              </w:rPr>
              <w:t xml:space="preserve"> </w:t>
            </w:r>
            <w:proofErr w:type="spellStart"/>
            <w:r w:rsidRPr="003E1F91">
              <w:rPr>
                <w:rFonts w:asciiTheme="minorHAnsi" w:eastAsia="Times New Roman" w:hAnsiTheme="minorHAnsi" w:cstheme="minorHAnsi"/>
                <w:color w:val="000000"/>
                <w:szCs w:val="20"/>
              </w:rPr>
              <w:t>and</w:t>
            </w:r>
            <w:proofErr w:type="spellEnd"/>
            <w:r w:rsidRPr="003E1F91">
              <w:rPr>
                <w:rFonts w:asciiTheme="minorHAnsi" w:eastAsia="Times New Roman" w:hAnsiTheme="minorHAnsi" w:cstheme="minorHAnsi"/>
                <w:color w:val="000000"/>
                <w:szCs w:val="20"/>
              </w:rPr>
              <w:t xml:space="preserve"> </w:t>
            </w:r>
            <w:proofErr w:type="spellStart"/>
            <w:r w:rsidRPr="003E1F91">
              <w:rPr>
                <w:rFonts w:asciiTheme="minorHAnsi" w:eastAsia="Times New Roman" w:hAnsiTheme="minorHAnsi" w:cstheme="minorHAnsi"/>
                <w:color w:val="000000"/>
                <w:szCs w:val="20"/>
              </w:rPr>
              <w:t>amortisation</w:t>
            </w:r>
            <w:proofErr w:type="spellEnd"/>
          </w:p>
        </w:tc>
        <w:tc>
          <w:tcPr>
            <w:tcW w:w="1380"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 </w:t>
            </w:r>
          </w:p>
        </w:tc>
        <w:tc>
          <w:tcPr>
            <w:tcW w:w="1380" w:type="dxa"/>
            <w:tcBorders>
              <w:top w:val="nil"/>
              <w:left w:val="nil"/>
              <w:bottom w:val="single" w:sz="4" w:space="0" w:color="auto"/>
              <w:right w:val="nil"/>
            </w:tcBorders>
            <w:shd w:val="clear" w:color="auto" w:fill="auto"/>
            <w:vAlign w:val="center"/>
            <w:hideMark/>
          </w:tcPr>
          <w:p w:rsidR="003E1F91" w:rsidRPr="003E1F91" w:rsidRDefault="00EE0B46" w:rsidP="003E1F91">
            <w:pPr>
              <w:spacing w:after="0" w:line="240" w:lineRule="auto"/>
              <w:jc w:val="right"/>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-1,</w:t>
            </w:r>
            <w:r w:rsidR="003E1F91" w:rsidRPr="003E1F91">
              <w:rPr>
                <w:rFonts w:asciiTheme="minorHAnsi" w:eastAsia="Times New Roman" w:hAnsiTheme="minorHAnsi" w:cstheme="minorHAnsi"/>
                <w:color w:val="000000"/>
                <w:szCs w:val="20"/>
              </w:rPr>
              <w:t>018</w:t>
            </w:r>
          </w:p>
        </w:tc>
        <w:tc>
          <w:tcPr>
            <w:tcW w:w="294"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 </w:t>
            </w:r>
          </w:p>
        </w:tc>
        <w:tc>
          <w:tcPr>
            <w:tcW w:w="1380"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 </w:t>
            </w:r>
          </w:p>
        </w:tc>
        <w:tc>
          <w:tcPr>
            <w:tcW w:w="1440" w:type="dxa"/>
            <w:tcBorders>
              <w:top w:val="nil"/>
              <w:left w:val="nil"/>
              <w:bottom w:val="single" w:sz="4" w:space="0" w:color="auto"/>
              <w:right w:val="nil"/>
            </w:tcBorders>
            <w:shd w:val="clear" w:color="auto" w:fill="auto"/>
            <w:vAlign w:val="center"/>
            <w:hideMark/>
          </w:tcPr>
          <w:p w:rsidR="003E1F91" w:rsidRPr="003E1F91" w:rsidRDefault="00EE0B46" w:rsidP="003E1F91">
            <w:pPr>
              <w:spacing w:after="0" w:line="240" w:lineRule="auto"/>
              <w:jc w:val="right"/>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-1,</w:t>
            </w:r>
            <w:r w:rsidR="003E1F91" w:rsidRPr="003E1F91">
              <w:rPr>
                <w:rFonts w:asciiTheme="minorHAnsi" w:eastAsia="Times New Roman" w:hAnsiTheme="minorHAnsi" w:cstheme="minorHAnsi"/>
                <w:color w:val="000000"/>
                <w:szCs w:val="20"/>
              </w:rPr>
              <w:t>029</w:t>
            </w:r>
          </w:p>
        </w:tc>
      </w:tr>
      <w:tr w:rsidR="003E1F91" w:rsidRPr="003E1F91" w:rsidTr="003E1F91">
        <w:trPr>
          <w:trHeight w:val="270"/>
        </w:trPr>
        <w:tc>
          <w:tcPr>
            <w:tcW w:w="382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r w:rsidRPr="003E1F91">
              <w:rPr>
                <w:rFonts w:asciiTheme="minorHAnsi" w:eastAsia="Times New Roman" w:hAnsiTheme="minorHAnsi" w:cstheme="minorHAnsi"/>
                <w:b/>
                <w:bCs/>
                <w:color w:val="000000"/>
                <w:szCs w:val="20"/>
              </w:rPr>
              <w:t>EBIT</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r w:rsidRPr="003E1F91">
              <w:rPr>
                <w:rFonts w:asciiTheme="minorHAnsi" w:eastAsia="Times New Roman" w:hAnsiTheme="minorHAnsi" w:cstheme="minorHAnsi"/>
                <w:b/>
                <w:bCs/>
                <w:color w:val="000000"/>
                <w:szCs w:val="20"/>
              </w:rPr>
              <w:t>-415</w:t>
            </w:r>
          </w:p>
        </w:tc>
        <w:tc>
          <w:tcPr>
            <w:tcW w:w="294"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1440" w:type="dxa"/>
            <w:tcBorders>
              <w:top w:val="nil"/>
              <w:left w:val="nil"/>
              <w:bottom w:val="nil"/>
              <w:right w:val="nil"/>
            </w:tcBorders>
            <w:shd w:val="clear" w:color="auto" w:fill="auto"/>
            <w:vAlign w:val="center"/>
            <w:hideMark/>
          </w:tcPr>
          <w:p w:rsidR="003E1F91" w:rsidRPr="003E1F91" w:rsidRDefault="00EE0B46" w:rsidP="003E1F91">
            <w:pPr>
              <w:spacing w:after="0" w:line="240" w:lineRule="auto"/>
              <w:jc w:val="right"/>
              <w:rPr>
                <w:rFonts w:asciiTheme="minorHAnsi" w:eastAsia="Times New Roman" w:hAnsiTheme="minorHAnsi" w:cstheme="minorHAnsi"/>
                <w:b/>
                <w:bCs/>
                <w:color w:val="000000"/>
                <w:szCs w:val="20"/>
              </w:rPr>
            </w:pPr>
            <w:r>
              <w:rPr>
                <w:rFonts w:asciiTheme="minorHAnsi" w:eastAsia="Times New Roman" w:hAnsiTheme="minorHAnsi" w:cstheme="minorHAnsi"/>
                <w:b/>
                <w:bCs/>
                <w:color w:val="000000"/>
                <w:szCs w:val="20"/>
              </w:rPr>
              <w:t>-1,</w:t>
            </w:r>
            <w:r w:rsidR="003E1F91" w:rsidRPr="003E1F91">
              <w:rPr>
                <w:rFonts w:asciiTheme="minorHAnsi" w:eastAsia="Times New Roman" w:hAnsiTheme="minorHAnsi" w:cstheme="minorHAnsi"/>
                <w:b/>
                <w:bCs/>
                <w:color w:val="000000"/>
                <w:szCs w:val="20"/>
              </w:rPr>
              <w:t>339</w:t>
            </w:r>
          </w:p>
        </w:tc>
      </w:tr>
      <w:tr w:rsidR="003E1F91" w:rsidRPr="003E1F91" w:rsidTr="003E1F91">
        <w:trPr>
          <w:trHeight w:val="270"/>
        </w:trPr>
        <w:tc>
          <w:tcPr>
            <w:tcW w:w="382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294"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144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3E1F91" w:rsidTr="003E1F91">
        <w:trPr>
          <w:trHeight w:val="280"/>
        </w:trPr>
        <w:tc>
          <w:tcPr>
            <w:tcW w:w="3820"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 xml:space="preserve">Financial </w:t>
            </w:r>
            <w:proofErr w:type="spellStart"/>
            <w:r w:rsidRPr="003E1F91">
              <w:rPr>
                <w:rFonts w:asciiTheme="minorHAnsi" w:eastAsia="Times New Roman" w:hAnsiTheme="minorHAnsi" w:cstheme="minorHAnsi"/>
                <w:color w:val="000000"/>
                <w:szCs w:val="20"/>
              </w:rPr>
              <w:t>expenses</w:t>
            </w:r>
            <w:proofErr w:type="spellEnd"/>
          </w:p>
        </w:tc>
        <w:tc>
          <w:tcPr>
            <w:tcW w:w="1380"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 </w:t>
            </w:r>
          </w:p>
        </w:tc>
        <w:tc>
          <w:tcPr>
            <w:tcW w:w="1380"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-258</w:t>
            </w:r>
          </w:p>
        </w:tc>
        <w:tc>
          <w:tcPr>
            <w:tcW w:w="294"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 </w:t>
            </w:r>
          </w:p>
        </w:tc>
        <w:tc>
          <w:tcPr>
            <w:tcW w:w="1380"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 </w:t>
            </w:r>
          </w:p>
        </w:tc>
        <w:tc>
          <w:tcPr>
            <w:tcW w:w="1440"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-248</w:t>
            </w:r>
          </w:p>
        </w:tc>
      </w:tr>
      <w:tr w:rsidR="003E1F91" w:rsidRPr="003E1F91" w:rsidTr="003E1F91">
        <w:trPr>
          <w:trHeight w:val="270"/>
        </w:trPr>
        <w:tc>
          <w:tcPr>
            <w:tcW w:w="382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r w:rsidRPr="003E1F91">
              <w:rPr>
                <w:rFonts w:asciiTheme="minorHAnsi" w:eastAsia="Times New Roman" w:hAnsiTheme="minorHAnsi" w:cstheme="minorHAnsi"/>
                <w:b/>
                <w:bCs/>
                <w:color w:val="000000"/>
                <w:szCs w:val="20"/>
              </w:rPr>
              <w:t>Profit (</w:t>
            </w:r>
            <w:proofErr w:type="spellStart"/>
            <w:r w:rsidRPr="003E1F91">
              <w:rPr>
                <w:rFonts w:asciiTheme="minorHAnsi" w:eastAsia="Times New Roman" w:hAnsiTheme="minorHAnsi" w:cstheme="minorHAnsi"/>
                <w:b/>
                <w:bCs/>
                <w:color w:val="000000"/>
                <w:szCs w:val="20"/>
              </w:rPr>
              <w:t>loss</w:t>
            </w:r>
            <w:proofErr w:type="spellEnd"/>
            <w:r w:rsidRPr="003E1F91">
              <w:rPr>
                <w:rFonts w:asciiTheme="minorHAnsi" w:eastAsia="Times New Roman" w:hAnsiTheme="minorHAnsi" w:cstheme="minorHAnsi"/>
                <w:b/>
                <w:bCs/>
                <w:color w:val="000000"/>
                <w:szCs w:val="20"/>
              </w:rPr>
              <w:t xml:space="preserve">) </w:t>
            </w:r>
            <w:proofErr w:type="spellStart"/>
            <w:r w:rsidRPr="003E1F91">
              <w:rPr>
                <w:rFonts w:asciiTheme="minorHAnsi" w:eastAsia="Times New Roman" w:hAnsiTheme="minorHAnsi" w:cstheme="minorHAnsi"/>
                <w:b/>
                <w:bCs/>
                <w:color w:val="000000"/>
                <w:szCs w:val="20"/>
              </w:rPr>
              <w:t>before</w:t>
            </w:r>
            <w:proofErr w:type="spellEnd"/>
            <w:r w:rsidRPr="003E1F91">
              <w:rPr>
                <w:rFonts w:asciiTheme="minorHAnsi" w:eastAsia="Times New Roman" w:hAnsiTheme="minorHAnsi" w:cstheme="minorHAnsi"/>
                <w:b/>
                <w:bCs/>
                <w:color w:val="000000"/>
                <w:szCs w:val="20"/>
              </w:rPr>
              <w:t xml:space="preserve"> </w:t>
            </w:r>
            <w:proofErr w:type="spellStart"/>
            <w:r w:rsidRPr="003E1F91">
              <w:rPr>
                <w:rFonts w:asciiTheme="minorHAnsi" w:eastAsia="Times New Roman" w:hAnsiTheme="minorHAnsi" w:cstheme="minorHAnsi"/>
                <w:b/>
                <w:bCs/>
                <w:color w:val="000000"/>
                <w:szCs w:val="20"/>
              </w:rPr>
              <w:t>taxes</w:t>
            </w:r>
            <w:proofErr w:type="spellEnd"/>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r w:rsidRPr="003E1F91">
              <w:rPr>
                <w:rFonts w:asciiTheme="minorHAnsi" w:eastAsia="Times New Roman" w:hAnsiTheme="minorHAnsi" w:cstheme="minorHAnsi"/>
                <w:b/>
                <w:bCs/>
                <w:color w:val="000000"/>
                <w:szCs w:val="20"/>
              </w:rPr>
              <w:t>-673</w:t>
            </w:r>
          </w:p>
        </w:tc>
        <w:tc>
          <w:tcPr>
            <w:tcW w:w="294"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1440" w:type="dxa"/>
            <w:tcBorders>
              <w:top w:val="nil"/>
              <w:left w:val="nil"/>
              <w:bottom w:val="nil"/>
              <w:right w:val="nil"/>
            </w:tcBorders>
            <w:shd w:val="clear" w:color="auto" w:fill="auto"/>
            <w:vAlign w:val="center"/>
            <w:hideMark/>
          </w:tcPr>
          <w:p w:rsidR="003E1F91" w:rsidRPr="003E1F91" w:rsidRDefault="00EE0B46" w:rsidP="003E1F91">
            <w:pPr>
              <w:spacing w:after="0" w:line="240" w:lineRule="auto"/>
              <w:jc w:val="right"/>
              <w:rPr>
                <w:rFonts w:asciiTheme="minorHAnsi" w:eastAsia="Times New Roman" w:hAnsiTheme="minorHAnsi" w:cstheme="minorHAnsi"/>
                <w:b/>
                <w:bCs/>
                <w:color w:val="000000"/>
                <w:szCs w:val="20"/>
              </w:rPr>
            </w:pPr>
            <w:r>
              <w:rPr>
                <w:rFonts w:asciiTheme="minorHAnsi" w:eastAsia="Times New Roman" w:hAnsiTheme="minorHAnsi" w:cstheme="minorHAnsi"/>
                <w:b/>
                <w:bCs/>
                <w:color w:val="000000"/>
                <w:szCs w:val="20"/>
              </w:rPr>
              <w:t>-1,</w:t>
            </w:r>
            <w:r w:rsidR="003E1F91" w:rsidRPr="003E1F91">
              <w:rPr>
                <w:rFonts w:asciiTheme="minorHAnsi" w:eastAsia="Times New Roman" w:hAnsiTheme="minorHAnsi" w:cstheme="minorHAnsi"/>
                <w:b/>
                <w:bCs/>
                <w:color w:val="000000"/>
                <w:szCs w:val="20"/>
              </w:rPr>
              <w:t>587</w:t>
            </w:r>
          </w:p>
        </w:tc>
      </w:tr>
      <w:tr w:rsidR="003E1F91" w:rsidRPr="003E1F91" w:rsidTr="003E1F91">
        <w:trPr>
          <w:trHeight w:val="270"/>
        </w:trPr>
        <w:tc>
          <w:tcPr>
            <w:tcW w:w="382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294"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144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3E1F91" w:rsidTr="003E1F91">
        <w:trPr>
          <w:trHeight w:val="280"/>
        </w:trPr>
        <w:tc>
          <w:tcPr>
            <w:tcW w:w="3820"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 xml:space="preserve">Tax </w:t>
            </w:r>
            <w:proofErr w:type="spellStart"/>
            <w:r w:rsidRPr="003E1F91">
              <w:rPr>
                <w:rFonts w:asciiTheme="minorHAnsi" w:eastAsia="Times New Roman" w:hAnsiTheme="minorHAnsi" w:cstheme="minorHAnsi"/>
                <w:color w:val="000000"/>
                <w:szCs w:val="20"/>
              </w:rPr>
              <w:t>Expense</w:t>
            </w:r>
            <w:proofErr w:type="spellEnd"/>
          </w:p>
        </w:tc>
        <w:tc>
          <w:tcPr>
            <w:tcW w:w="1380"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 </w:t>
            </w:r>
          </w:p>
        </w:tc>
        <w:tc>
          <w:tcPr>
            <w:tcW w:w="1380"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283</w:t>
            </w:r>
          </w:p>
        </w:tc>
        <w:tc>
          <w:tcPr>
            <w:tcW w:w="294"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 </w:t>
            </w:r>
          </w:p>
        </w:tc>
        <w:tc>
          <w:tcPr>
            <w:tcW w:w="1380"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 </w:t>
            </w:r>
          </w:p>
        </w:tc>
        <w:tc>
          <w:tcPr>
            <w:tcW w:w="1440"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9</w:t>
            </w:r>
          </w:p>
        </w:tc>
      </w:tr>
      <w:tr w:rsidR="003E1F91" w:rsidRPr="003E1F91" w:rsidTr="003E1F91">
        <w:trPr>
          <w:trHeight w:val="280"/>
        </w:trPr>
        <w:tc>
          <w:tcPr>
            <w:tcW w:w="3820" w:type="dxa"/>
            <w:tcBorders>
              <w:top w:val="nil"/>
              <w:left w:val="nil"/>
              <w:bottom w:val="single" w:sz="8" w:space="0" w:color="auto"/>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r w:rsidRPr="003E1F91">
              <w:rPr>
                <w:rFonts w:asciiTheme="minorHAnsi" w:eastAsia="Times New Roman" w:hAnsiTheme="minorHAnsi" w:cstheme="minorHAnsi"/>
                <w:b/>
                <w:bCs/>
                <w:color w:val="000000"/>
                <w:szCs w:val="20"/>
              </w:rPr>
              <w:t xml:space="preserve">Net </w:t>
            </w:r>
            <w:proofErr w:type="spellStart"/>
            <w:r w:rsidRPr="003E1F91">
              <w:rPr>
                <w:rFonts w:asciiTheme="minorHAnsi" w:eastAsia="Times New Roman" w:hAnsiTheme="minorHAnsi" w:cstheme="minorHAnsi"/>
                <w:b/>
                <w:bCs/>
                <w:color w:val="000000"/>
                <w:szCs w:val="20"/>
              </w:rPr>
              <w:t>profit</w:t>
            </w:r>
            <w:proofErr w:type="spellEnd"/>
            <w:r w:rsidRPr="003E1F91">
              <w:rPr>
                <w:rFonts w:asciiTheme="minorHAnsi" w:eastAsia="Times New Roman" w:hAnsiTheme="minorHAnsi" w:cstheme="minorHAnsi"/>
                <w:b/>
                <w:bCs/>
                <w:color w:val="000000"/>
                <w:szCs w:val="20"/>
              </w:rPr>
              <w:t xml:space="preserve"> (</w:t>
            </w:r>
            <w:proofErr w:type="spellStart"/>
            <w:r w:rsidRPr="003E1F91">
              <w:rPr>
                <w:rFonts w:asciiTheme="minorHAnsi" w:eastAsia="Times New Roman" w:hAnsiTheme="minorHAnsi" w:cstheme="minorHAnsi"/>
                <w:b/>
                <w:bCs/>
                <w:color w:val="000000"/>
                <w:szCs w:val="20"/>
              </w:rPr>
              <w:t>loss</w:t>
            </w:r>
            <w:proofErr w:type="spellEnd"/>
            <w:r w:rsidRPr="003E1F91">
              <w:rPr>
                <w:rFonts w:asciiTheme="minorHAnsi" w:eastAsia="Times New Roman" w:hAnsiTheme="minorHAnsi" w:cstheme="minorHAnsi"/>
                <w:b/>
                <w:bCs/>
                <w:color w:val="000000"/>
                <w:szCs w:val="20"/>
              </w:rPr>
              <w:t>)</w:t>
            </w:r>
          </w:p>
        </w:tc>
        <w:tc>
          <w:tcPr>
            <w:tcW w:w="1380" w:type="dxa"/>
            <w:tcBorders>
              <w:top w:val="nil"/>
              <w:left w:val="nil"/>
              <w:bottom w:val="single" w:sz="8"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r w:rsidRPr="003E1F91">
              <w:rPr>
                <w:rFonts w:asciiTheme="minorHAnsi" w:eastAsia="Times New Roman" w:hAnsiTheme="minorHAnsi" w:cstheme="minorHAnsi"/>
                <w:b/>
                <w:bCs/>
                <w:color w:val="000000"/>
                <w:szCs w:val="20"/>
              </w:rPr>
              <w:t> </w:t>
            </w:r>
          </w:p>
        </w:tc>
        <w:tc>
          <w:tcPr>
            <w:tcW w:w="1380" w:type="dxa"/>
            <w:tcBorders>
              <w:top w:val="nil"/>
              <w:left w:val="nil"/>
              <w:bottom w:val="single" w:sz="8"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r w:rsidRPr="003E1F91">
              <w:rPr>
                <w:rFonts w:asciiTheme="minorHAnsi" w:eastAsia="Times New Roman" w:hAnsiTheme="minorHAnsi" w:cstheme="minorHAnsi"/>
                <w:b/>
                <w:bCs/>
                <w:color w:val="000000"/>
                <w:szCs w:val="20"/>
              </w:rPr>
              <w:t>-390</w:t>
            </w:r>
          </w:p>
        </w:tc>
        <w:tc>
          <w:tcPr>
            <w:tcW w:w="294" w:type="dxa"/>
            <w:tcBorders>
              <w:top w:val="nil"/>
              <w:left w:val="nil"/>
              <w:bottom w:val="single" w:sz="8" w:space="0" w:color="auto"/>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r w:rsidRPr="003E1F91">
              <w:rPr>
                <w:rFonts w:asciiTheme="minorHAnsi" w:eastAsia="Times New Roman" w:hAnsiTheme="minorHAnsi" w:cstheme="minorHAnsi"/>
                <w:b/>
                <w:bCs/>
                <w:color w:val="000000"/>
                <w:szCs w:val="20"/>
              </w:rPr>
              <w:t> </w:t>
            </w:r>
          </w:p>
        </w:tc>
        <w:tc>
          <w:tcPr>
            <w:tcW w:w="1380" w:type="dxa"/>
            <w:tcBorders>
              <w:top w:val="nil"/>
              <w:left w:val="nil"/>
              <w:bottom w:val="single" w:sz="8"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r w:rsidRPr="003E1F91">
              <w:rPr>
                <w:rFonts w:asciiTheme="minorHAnsi" w:eastAsia="Times New Roman" w:hAnsiTheme="minorHAnsi" w:cstheme="minorHAnsi"/>
                <w:b/>
                <w:bCs/>
                <w:color w:val="000000"/>
                <w:szCs w:val="20"/>
              </w:rPr>
              <w:t> </w:t>
            </w:r>
          </w:p>
        </w:tc>
        <w:tc>
          <w:tcPr>
            <w:tcW w:w="1440" w:type="dxa"/>
            <w:tcBorders>
              <w:top w:val="nil"/>
              <w:left w:val="nil"/>
              <w:bottom w:val="single" w:sz="8" w:space="0" w:color="auto"/>
              <w:right w:val="nil"/>
            </w:tcBorders>
            <w:shd w:val="clear" w:color="auto" w:fill="auto"/>
            <w:vAlign w:val="center"/>
            <w:hideMark/>
          </w:tcPr>
          <w:p w:rsidR="003E1F91" w:rsidRPr="003E1F91" w:rsidRDefault="00EE0B46" w:rsidP="003E1F91">
            <w:pPr>
              <w:spacing w:after="0" w:line="240" w:lineRule="auto"/>
              <w:jc w:val="right"/>
              <w:rPr>
                <w:rFonts w:asciiTheme="minorHAnsi" w:eastAsia="Times New Roman" w:hAnsiTheme="minorHAnsi" w:cstheme="minorHAnsi"/>
                <w:b/>
                <w:bCs/>
                <w:color w:val="000000"/>
                <w:szCs w:val="20"/>
              </w:rPr>
            </w:pPr>
            <w:r>
              <w:rPr>
                <w:rFonts w:asciiTheme="minorHAnsi" w:eastAsia="Times New Roman" w:hAnsiTheme="minorHAnsi" w:cstheme="minorHAnsi"/>
                <w:b/>
                <w:bCs/>
                <w:color w:val="000000"/>
                <w:szCs w:val="20"/>
              </w:rPr>
              <w:t>-1,</w:t>
            </w:r>
            <w:r w:rsidR="003E1F91" w:rsidRPr="003E1F91">
              <w:rPr>
                <w:rFonts w:asciiTheme="minorHAnsi" w:eastAsia="Times New Roman" w:hAnsiTheme="minorHAnsi" w:cstheme="minorHAnsi"/>
                <w:b/>
                <w:bCs/>
                <w:color w:val="000000"/>
                <w:szCs w:val="20"/>
              </w:rPr>
              <w:t>578</w:t>
            </w:r>
          </w:p>
        </w:tc>
      </w:tr>
    </w:tbl>
    <w:p w:rsidR="003E1F91" w:rsidRPr="003E1F91" w:rsidRDefault="003E1F91" w:rsidP="003E1F91">
      <w:pPr>
        <w:spacing w:after="0"/>
        <w:ind w:left="284"/>
        <w:jc w:val="both"/>
        <w:rPr>
          <w:rFonts w:asciiTheme="minorHAnsi" w:eastAsia="Times New Roman" w:hAnsiTheme="minorHAnsi" w:cstheme="minorHAnsi"/>
          <w:b/>
          <w:bCs/>
          <w:szCs w:val="20"/>
          <w:lang w:val="en-GB" w:eastAsia="en-GB" w:bidi="en-GB"/>
        </w:rPr>
      </w:pPr>
    </w:p>
    <w:p w:rsidR="003E1F91" w:rsidRPr="003E1F91" w:rsidRDefault="003E1F91" w:rsidP="003E1F91">
      <w:pPr>
        <w:tabs>
          <w:tab w:val="left" w:pos="4320"/>
        </w:tabs>
        <w:autoSpaceDE w:val="0"/>
        <w:spacing w:after="0"/>
        <w:ind w:left="284"/>
        <w:jc w:val="both"/>
        <w:rPr>
          <w:rFonts w:asciiTheme="minorHAnsi" w:eastAsia="Times New Roman" w:hAnsiTheme="minorHAnsi" w:cstheme="minorHAnsi"/>
          <w:szCs w:val="20"/>
          <w:lang w:val="en-GB" w:eastAsia="en-GB" w:bidi="en-GB"/>
        </w:rPr>
      </w:pPr>
    </w:p>
    <w:p w:rsidR="003E1F91" w:rsidRPr="003E1F91" w:rsidRDefault="003E1F91" w:rsidP="003E1F91">
      <w:pPr>
        <w:spacing w:after="0"/>
        <w:ind w:left="284"/>
        <w:jc w:val="both"/>
        <w:rPr>
          <w:rFonts w:asciiTheme="minorHAnsi" w:eastAsia="Times New Roman" w:hAnsiTheme="minorHAnsi" w:cstheme="minorHAnsi"/>
          <w:szCs w:val="20"/>
          <w:highlight w:val="yellow"/>
          <w:lang w:val="en-GB" w:eastAsia="en-GB" w:bidi="en-GB"/>
        </w:rPr>
      </w:pPr>
    </w:p>
    <w:p w:rsidR="003E1F91" w:rsidRPr="003E1F91" w:rsidRDefault="003E1F91" w:rsidP="003E1F91">
      <w:pPr>
        <w:spacing w:after="0"/>
        <w:ind w:left="284"/>
        <w:jc w:val="both"/>
        <w:rPr>
          <w:rFonts w:asciiTheme="minorHAnsi" w:eastAsia="Times New Roman" w:hAnsiTheme="minorHAnsi" w:cstheme="minorHAnsi"/>
          <w:szCs w:val="20"/>
          <w:highlight w:val="yellow"/>
          <w:lang w:val="en-GB" w:eastAsia="en-GB" w:bidi="en-GB"/>
        </w:rPr>
      </w:pPr>
    </w:p>
    <w:p w:rsidR="004A0C63" w:rsidRPr="004F4E0E" w:rsidRDefault="003E1F91" w:rsidP="004F4E0E">
      <w:pPr>
        <w:ind w:left="284"/>
        <w:jc w:val="both"/>
        <w:rPr>
          <w:rFonts w:asciiTheme="minorHAnsi" w:eastAsia="Times New Roman" w:hAnsiTheme="minorHAnsi" w:cstheme="minorHAnsi"/>
          <w:b/>
          <w:color w:val="B71234"/>
          <w:sz w:val="22"/>
          <w:lang w:val="en-GB" w:eastAsia="en-GB" w:bidi="en-GB"/>
        </w:rPr>
      </w:pPr>
      <w:r w:rsidRPr="004F4E0E">
        <w:rPr>
          <w:rFonts w:asciiTheme="minorHAnsi" w:eastAsia="Times New Roman" w:hAnsiTheme="minorHAnsi" w:cstheme="minorHAnsi"/>
          <w:b/>
          <w:color w:val="B71234"/>
          <w:sz w:val="22"/>
          <w:lang w:val="en-GB" w:eastAsia="en-GB" w:bidi="en-GB"/>
        </w:rPr>
        <w:t>Consolidated statement of other comprehensive income</w:t>
      </w:r>
    </w:p>
    <w:p w:rsidR="004A0C63" w:rsidRDefault="004A0C63" w:rsidP="004A0C63">
      <w:pPr>
        <w:spacing w:after="0"/>
        <w:ind w:left="284"/>
        <w:jc w:val="both"/>
        <w:rPr>
          <w:rFonts w:asciiTheme="minorHAnsi" w:eastAsia="Times New Roman" w:hAnsiTheme="minorHAnsi" w:cstheme="minorHAnsi"/>
          <w:b/>
          <w:szCs w:val="20"/>
          <w:lang w:val="en-GB" w:eastAsia="en-GB" w:bidi="en-GB"/>
        </w:rPr>
      </w:pPr>
    </w:p>
    <w:tbl>
      <w:tblPr>
        <w:tblW w:w="9639" w:type="dxa"/>
        <w:tblInd w:w="284" w:type="dxa"/>
        <w:tblLook w:val="04A0"/>
      </w:tblPr>
      <w:tblGrid>
        <w:gridCol w:w="5743"/>
        <w:gridCol w:w="1071"/>
        <w:gridCol w:w="2825"/>
      </w:tblGrid>
      <w:tr w:rsidR="003E1F91" w:rsidRPr="004A0C63" w:rsidTr="004A0C63">
        <w:trPr>
          <w:trHeight w:val="110"/>
        </w:trPr>
        <w:tc>
          <w:tcPr>
            <w:tcW w:w="5743" w:type="dxa"/>
            <w:tcBorders>
              <w:top w:val="single" w:sz="8" w:space="0" w:color="000000"/>
              <w:left w:val="nil"/>
              <w:bottom w:val="nil"/>
              <w:right w:val="nil"/>
            </w:tcBorders>
            <w:shd w:val="clear" w:color="auto" w:fill="auto"/>
            <w:vAlign w:val="center"/>
            <w:hideMark/>
          </w:tcPr>
          <w:p w:rsidR="003E1F91" w:rsidRPr="003E1F91" w:rsidRDefault="003E1F91" w:rsidP="003E1F91">
            <w:pPr>
              <w:spacing w:after="0" w:line="240" w:lineRule="auto"/>
              <w:ind w:right="-247"/>
              <w:jc w:val="both"/>
              <w:rPr>
                <w:rFonts w:asciiTheme="minorHAnsi" w:eastAsia="Times New Roman" w:hAnsiTheme="minorHAnsi" w:cstheme="minorHAnsi"/>
                <w:color w:val="000000"/>
                <w:szCs w:val="20"/>
                <w:lang w:val="en-GB"/>
              </w:rPr>
            </w:pPr>
            <w:r w:rsidRPr="003E1F91">
              <w:rPr>
                <w:rFonts w:asciiTheme="minorHAnsi" w:eastAsia="Times New Roman" w:hAnsiTheme="minorHAnsi" w:cstheme="minorHAnsi"/>
                <w:color w:val="000000"/>
                <w:szCs w:val="20"/>
                <w:lang w:val="en-GB"/>
              </w:rPr>
              <w:t> </w:t>
            </w:r>
          </w:p>
        </w:tc>
        <w:tc>
          <w:tcPr>
            <w:tcW w:w="1071" w:type="dxa"/>
            <w:tcBorders>
              <w:top w:val="single" w:sz="8" w:space="0" w:color="000000"/>
              <w:left w:val="nil"/>
              <w:bottom w:val="nil"/>
              <w:right w:val="nil"/>
            </w:tcBorders>
            <w:shd w:val="clear" w:color="auto" w:fill="auto"/>
            <w:vAlign w:val="center"/>
            <w:hideMark/>
          </w:tcPr>
          <w:p w:rsidR="003E1F91" w:rsidRPr="00657139" w:rsidRDefault="004A0C63" w:rsidP="004A0C63">
            <w:pPr>
              <w:spacing w:after="0" w:line="240" w:lineRule="auto"/>
              <w:jc w:val="right"/>
              <w:rPr>
                <w:rFonts w:asciiTheme="minorHAnsi" w:eastAsia="Times New Roman" w:hAnsiTheme="minorHAnsi" w:cstheme="minorHAnsi"/>
                <w:color w:val="000000"/>
                <w:szCs w:val="20"/>
                <w:lang w:val="en-GB"/>
              </w:rPr>
            </w:pPr>
            <w:proofErr w:type="spellStart"/>
            <w:r w:rsidRPr="00657139">
              <w:rPr>
                <w:rFonts w:asciiTheme="minorHAnsi" w:eastAsia="Times New Roman" w:hAnsiTheme="minorHAnsi" w:cstheme="minorHAnsi"/>
                <w:bCs/>
                <w:color w:val="000000"/>
                <w:szCs w:val="20"/>
              </w:rPr>
              <w:t>unaudited</w:t>
            </w:r>
            <w:proofErr w:type="spellEnd"/>
          </w:p>
        </w:tc>
        <w:tc>
          <w:tcPr>
            <w:tcW w:w="2825" w:type="dxa"/>
            <w:tcBorders>
              <w:top w:val="single" w:sz="8" w:space="0" w:color="000000"/>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lang w:val="en-GB"/>
              </w:rPr>
            </w:pPr>
            <w:r w:rsidRPr="003E1F91">
              <w:rPr>
                <w:rFonts w:asciiTheme="minorHAnsi" w:eastAsia="Times New Roman" w:hAnsiTheme="minorHAnsi" w:cstheme="minorHAnsi"/>
                <w:color w:val="000000"/>
                <w:szCs w:val="20"/>
                <w:lang w:val="en-GB"/>
              </w:rPr>
              <w:t> </w:t>
            </w:r>
          </w:p>
        </w:tc>
      </w:tr>
      <w:tr w:rsidR="003E1F91" w:rsidRPr="003E1F91" w:rsidTr="004A0C63">
        <w:trPr>
          <w:trHeight w:val="330"/>
        </w:trPr>
        <w:tc>
          <w:tcPr>
            <w:tcW w:w="5743" w:type="dxa"/>
            <w:tcBorders>
              <w:top w:val="nil"/>
              <w:left w:val="nil"/>
              <w:bottom w:val="single" w:sz="8" w:space="0" w:color="auto"/>
              <w:right w:val="nil"/>
            </w:tcBorders>
            <w:shd w:val="clear" w:color="auto" w:fill="auto"/>
            <w:vAlign w:val="center"/>
            <w:hideMark/>
          </w:tcPr>
          <w:p w:rsidR="003E1F91" w:rsidRPr="003E1F91" w:rsidRDefault="003E1F91" w:rsidP="003E1F91">
            <w:pPr>
              <w:spacing w:after="0" w:line="240" w:lineRule="auto"/>
              <w:ind w:right="-247"/>
              <w:jc w:val="both"/>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(x EUR 1,000)</w:t>
            </w:r>
          </w:p>
        </w:tc>
        <w:tc>
          <w:tcPr>
            <w:tcW w:w="1071" w:type="dxa"/>
            <w:tcBorders>
              <w:top w:val="nil"/>
              <w:left w:val="nil"/>
              <w:bottom w:val="single" w:sz="8" w:space="0" w:color="auto"/>
              <w:right w:val="nil"/>
            </w:tcBorders>
            <w:shd w:val="clear" w:color="auto" w:fill="auto"/>
            <w:vAlign w:val="center"/>
            <w:hideMark/>
          </w:tcPr>
          <w:p w:rsidR="004A0C63" w:rsidRPr="003E1F91" w:rsidRDefault="003E1F91" w:rsidP="004A0C63">
            <w:pPr>
              <w:spacing w:after="0" w:line="240" w:lineRule="auto"/>
              <w:jc w:val="right"/>
              <w:rPr>
                <w:rFonts w:asciiTheme="minorHAnsi" w:eastAsia="Times New Roman" w:hAnsiTheme="minorHAnsi" w:cstheme="minorHAnsi"/>
                <w:b/>
                <w:bCs/>
                <w:color w:val="000000"/>
                <w:szCs w:val="20"/>
              </w:rPr>
            </w:pPr>
            <w:r w:rsidRPr="003E1F91">
              <w:rPr>
                <w:rFonts w:asciiTheme="minorHAnsi" w:eastAsia="Times New Roman" w:hAnsiTheme="minorHAnsi" w:cstheme="minorHAnsi"/>
                <w:b/>
                <w:bCs/>
                <w:color w:val="000000"/>
                <w:szCs w:val="20"/>
              </w:rPr>
              <w:t>2017</w:t>
            </w:r>
          </w:p>
        </w:tc>
        <w:tc>
          <w:tcPr>
            <w:tcW w:w="2825" w:type="dxa"/>
            <w:tcBorders>
              <w:top w:val="nil"/>
              <w:left w:val="nil"/>
              <w:bottom w:val="single" w:sz="8"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r w:rsidRPr="003E1F91">
              <w:rPr>
                <w:rFonts w:asciiTheme="minorHAnsi" w:eastAsia="Times New Roman" w:hAnsiTheme="minorHAnsi" w:cstheme="minorHAnsi"/>
                <w:b/>
                <w:bCs/>
                <w:color w:val="000000"/>
                <w:szCs w:val="20"/>
              </w:rPr>
              <w:t>2016</w:t>
            </w:r>
          </w:p>
        </w:tc>
      </w:tr>
      <w:tr w:rsidR="003E1F91" w:rsidRPr="003E1F91" w:rsidTr="004A0C63">
        <w:trPr>
          <w:trHeight w:val="290"/>
        </w:trPr>
        <w:tc>
          <w:tcPr>
            <w:tcW w:w="5743" w:type="dxa"/>
            <w:tcBorders>
              <w:top w:val="nil"/>
              <w:left w:val="nil"/>
              <w:bottom w:val="nil"/>
              <w:right w:val="nil"/>
            </w:tcBorders>
            <w:shd w:val="clear" w:color="auto" w:fill="auto"/>
            <w:vAlign w:val="center"/>
            <w:hideMark/>
          </w:tcPr>
          <w:p w:rsidR="003E1F91" w:rsidRPr="003E1F91" w:rsidRDefault="003E1F91" w:rsidP="003E1F91">
            <w:pPr>
              <w:spacing w:after="0" w:line="240" w:lineRule="auto"/>
              <w:ind w:right="-247"/>
              <w:jc w:val="both"/>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 </w:t>
            </w:r>
          </w:p>
        </w:tc>
        <w:tc>
          <w:tcPr>
            <w:tcW w:w="1071"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 </w:t>
            </w:r>
          </w:p>
        </w:tc>
        <w:tc>
          <w:tcPr>
            <w:tcW w:w="2825"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 </w:t>
            </w:r>
          </w:p>
        </w:tc>
      </w:tr>
      <w:tr w:rsidR="003E1F91" w:rsidRPr="003E1F91" w:rsidTr="004A0C63">
        <w:trPr>
          <w:trHeight w:val="290"/>
        </w:trPr>
        <w:tc>
          <w:tcPr>
            <w:tcW w:w="5743" w:type="dxa"/>
            <w:tcBorders>
              <w:top w:val="nil"/>
              <w:left w:val="nil"/>
              <w:bottom w:val="nil"/>
              <w:right w:val="nil"/>
            </w:tcBorders>
            <w:shd w:val="clear" w:color="auto" w:fill="auto"/>
            <w:vAlign w:val="center"/>
            <w:hideMark/>
          </w:tcPr>
          <w:p w:rsidR="003E1F91" w:rsidRPr="003E1F91" w:rsidRDefault="003E1F91" w:rsidP="003E1F91">
            <w:pPr>
              <w:spacing w:after="0" w:line="240" w:lineRule="auto"/>
              <w:ind w:right="-247"/>
              <w:jc w:val="both"/>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 xml:space="preserve">Net </w:t>
            </w:r>
            <w:proofErr w:type="spellStart"/>
            <w:r w:rsidRPr="003E1F91">
              <w:rPr>
                <w:rFonts w:asciiTheme="minorHAnsi" w:eastAsia="Times New Roman" w:hAnsiTheme="minorHAnsi" w:cstheme="minorHAnsi"/>
                <w:color w:val="000000"/>
                <w:szCs w:val="20"/>
              </w:rPr>
              <w:t>profit</w:t>
            </w:r>
            <w:proofErr w:type="spellEnd"/>
            <w:r w:rsidRPr="003E1F91">
              <w:rPr>
                <w:rFonts w:asciiTheme="minorHAnsi" w:eastAsia="Times New Roman" w:hAnsiTheme="minorHAnsi" w:cstheme="minorHAnsi"/>
                <w:color w:val="000000"/>
                <w:szCs w:val="20"/>
              </w:rPr>
              <w:t xml:space="preserve"> (</w:t>
            </w:r>
            <w:proofErr w:type="spellStart"/>
            <w:r w:rsidRPr="003E1F91">
              <w:rPr>
                <w:rFonts w:asciiTheme="minorHAnsi" w:eastAsia="Times New Roman" w:hAnsiTheme="minorHAnsi" w:cstheme="minorHAnsi"/>
                <w:color w:val="000000"/>
                <w:szCs w:val="20"/>
              </w:rPr>
              <w:t>loss</w:t>
            </w:r>
            <w:proofErr w:type="spellEnd"/>
            <w:r w:rsidRPr="003E1F91">
              <w:rPr>
                <w:rFonts w:asciiTheme="minorHAnsi" w:eastAsia="Times New Roman" w:hAnsiTheme="minorHAnsi" w:cstheme="minorHAnsi"/>
                <w:color w:val="000000"/>
                <w:szCs w:val="20"/>
              </w:rPr>
              <w:t>)</w:t>
            </w:r>
          </w:p>
        </w:tc>
        <w:tc>
          <w:tcPr>
            <w:tcW w:w="1071"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 xml:space="preserve">-390    </w:t>
            </w:r>
          </w:p>
        </w:tc>
        <w:tc>
          <w:tcPr>
            <w:tcW w:w="2825" w:type="dxa"/>
            <w:tcBorders>
              <w:top w:val="nil"/>
              <w:left w:val="nil"/>
              <w:bottom w:val="nil"/>
              <w:right w:val="nil"/>
            </w:tcBorders>
            <w:shd w:val="clear" w:color="auto" w:fill="auto"/>
            <w:vAlign w:val="center"/>
            <w:hideMark/>
          </w:tcPr>
          <w:p w:rsidR="003E1F91" w:rsidRPr="003E1F91" w:rsidRDefault="007B49DB" w:rsidP="003E1F91">
            <w:pPr>
              <w:spacing w:after="0" w:line="240" w:lineRule="auto"/>
              <w:jc w:val="right"/>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-1,</w:t>
            </w:r>
            <w:r w:rsidR="003E1F91" w:rsidRPr="003E1F91">
              <w:rPr>
                <w:rFonts w:asciiTheme="minorHAnsi" w:eastAsia="Times New Roman" w:hAnsiTheme="minorHAnsi" w:cstheme="minorHAnsi"/>
                <w:color w:val="000000"/>
                <w:szCs w:val="20"/>
              </w:rPr>
              <w:t xml:space="preserve">578    </w:t>
            </w:r>
          </w:p>
        </w:tc>
      </w:tr>
      <w:tr w:rsidR="003E1F91" w:rsidRPr="003E1F91" w:rsidTr="004A0C63">
        <w:trPr>
          <w:trHeight w:val="290"/>
        </w:trPr>
        <w:tc>
          <w:tcPr>
            <w:tcW w:w="5743" w:type="dxa"/>
            <w:tcBorders>
              <w:top w:val="nil"/>
              <w:left w:val="nil"/>
              <w:bottom w:val="nil"/>
              <w:right w:val="nil"/>
            </w:tcBorders>
            <w:shd w:val="clear" w:color="auto" w:fill="auto"/>
            <w:vAlign w:val="center"/>
            <w:hideMark/>
          </w:tcPr>
          <w:p w:rsidR="003E1F91" w:rsidRPr="003E1F91" w:rsidRDefault="003E1F91" w:rsidP="003E1F91">
            <w:pPr>
              <w:spacing w:after="0" w:line="240" w:lineRule="auto"/>
              <w:ind w:right="-247"/>
              <w:jc w:val="both"/>
              <w:rPr>
                <w:rFonts w:asciiTheme="minorHAnsi" w:eastAsia="Times New Roman" w:hAnsiTheme="minorHAnsi" w:cstheme="minorHAnsi"/>
                <w:color w:val="000000"/>
                <w:szCs w:val="20"/>
                <w:lang w:val="en-GB"/>
              </w:rPr>
            </w:pPr>
            <w:proofErr w:type="spellStart"/>
            <w:r w:rsidRPr="003E1F91">
              <w:rPr>
                <w:rFonts w:asciiTheme="minorHAnsi" w:eastAsia="Times New Roman" w:hAnsiTheme="minorHAnsi" w:cstheme="minorHAnsi"/>
                <w:color w:val="000000"/>
                <w:szCs w:val="20"/>
                <w:lang w:val="en-GB"/>
              </w:rPr>
              <w:t>Remeasurement</w:t>
            </w:r>
            <w:proofErr w:type="spellEnd"/>
            <w:r w:rsidRPr="003E1F91">
              <w:rPr>
                <w:rFonts w:asciiTheme="minorHAnsi" w:eastAsia="Times New Roman" w:hAnsiTheme="minorHAnsi" w:cstheme="minorHAnsi"/>
                <w:color w:val="000000"/>
                <w:szCs w:val="20"/>
                <w:lang w:val="en-GB"/>
              </w:rPr>
              <w:t xml:space="preserve"> of defined benefit obligations</w:t>
            </w:r>
          </w:p>
        </w:tc>
        <w:tc>
          <w:tcPr>
            <w:tcW w:w="1071"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sidRPr="003E1F91">
              <w:rPr>
                <w:rFonts w:asciiTheme="minorHAnsi" w:eastAsia="Times New Roman" w:hAnsiTheme="minorHAnsi" w:cstheme="minorHAnsi"/>
                <w:szCs w:val="20"/>
              </w:rPr>
              <w:t xml:space="preserve">60    </w:t>
            </w:r>
          </w:p>
        </w:tc>
        <w:tc>
          <w:tcPr>
            <w:tcW w:w="2825"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 xml:space="preserve">-459    </w:t>
            </w:r>
          </w:p>
        </w:tc>
      </w:tr>
      <w:tr w:rsidR="003E1F91" w:rsidRPr="003E1F91" w:rsidTr="004A0C63">
        <w:trPr>
          <w:trHeight w:val="290"/>
        </w:trPr>
        <w:tc>
          <w:tcPr>
            <w:tcW w:w="5743" w:type="dxa"/>
            <w:tcBorders>
              <w:top w:val="nil"/>
              <w:left w:val="nil"/>
              <w:bottom w:val="nil"/>
              <w:right w:val="nil"/>
            </w:tcBorders>
            <w:shd w:val="clear" w:color="auto" w:fill="auto"/>
            <w:vAlign w:val="center"/>
            <w:hideMark/>
          </w:tcPr>
          <w:p w:rsidR="003E1F91" w:rsidRPr="003E1F91" w:rsidRDefault="003E1F91" w:rsidP="003E1F91">
            <w:pPr>
              <w:spacing w:after="0" w:line="240" w:lineRule="auto"/>
              <w:ind w:right="-247"/>
              <w:jc w:val="both"/>
              <w:rPr>
                <w:rFonts w:asciiTheme="minorHAnsi" w:eastAsia="Times New Roman" w:hAnsiTheme="minorHAnsi" w:cstheme="minorHAnsi"/>
                <w:color w:val="000000"/>
                <w:szCs w:val="20"/>
                <w:lang w:val="en-GB"/>
              </w:rPr>
            </w:pPr>
            <w:proofErr w:type="spellStart"/>
            <w:r w:rsidRPr="003E1F91">
              <w:rPr>
                <w:rFonts w:asciiTheme="minorHAnsi" w:eastAsia="Times New Roman" w:hAnsiTheme="minorHAnsi" w:cstheme="minorHAnsi"/>
                <w:color w:val="000000"/>
                <w:szCs w:val="20"/>
                <w:lang w:val="en-GB"/>
              </w:rPr>
              <w:t>Remeasurement</w:t>
            </w:r>
            <w:proofErr w:type="spellEnd"/>
            <w:r w:rsidRPr="003E1F91">
              <w:rPr>
                <w:rFonts w:asciiTheme="minorHAnsi" w:eastAsia="Times New Roman" w:hAnsiTheme="minorHAnsi" w:cstheme="minorHAnsi"/>
                <w:color w:val="000000"/>
                <w:szCs w:val="20"/>
                <w:lang w:val="en-GB"/>
              </w:rPr>
              <w:t xml:space="preserve"> of defined benefit obligations – DTL </w:t>
            </w:r>
          </w:p>
        </w:tc>
        <w:tc>
          <w:tcPr>
            <w:tcW w:w="1071"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sidRPr="003E1F91">
              <w:rPr>
                <w:rFonts w:asciiTheme="minorHAnsi" w:eastAsia="Times New Roman" w:hAnsiTheme="minorHAnsi" w:cstheme="minorHAnsi"/>
                <w:szCs w:val="20"/>
              </w:rPr>
              <w:t xml:space="preserve">-16    </w:t>
            </w:r>
          </w:p>
        </w:tc>
        <w:tc>
          <w:tcPr>
            <w:tcW w:w="2825"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 xml:space="preserve">126    </w:t>
            </w:r>
          </w:p>
        </w:tc>
      </w:tr>
      <w:tr w:rsidR="003E1F91" w:rsidRPr="003E1F91" w:rsidTr="004A0C63">
        <w:trPr>
          <w:trHeight w:val="290"/>
        </w:trPr>
        <w:tc>
          <w:tcPr>
            <w:tcW w:w="5743" w:type="dxa"/>
            <w:tcBorders>
              <w:top w:val="nil"/>
              <w:left w:val="nil"/>
              <w:bottom w:val="nil"/>
              <w:right w:val="nil"/>
            </w:tcBorders>
            <w:shd w:val="clear" w:color="auto" w:fill="auto"/>
            <w:vAlign w:val="center"/>
            <w:hideMark/>
          </w:tcPr>
          <w:p w:rsidR="003E1F91" w:rsidRPr="003E1F91" w:rsidRDefault="003E1F91" w:rsidP="003E1F91">
            <w:pPr>
              <w:spacing w:after="0" w:line="240" w:lineRule="auto"/>
              <w:ind w:right="-247"/>
              <w:jc w:val="both"/>
              <w:rPr>
                <w:rFonts w:asciiTheme="minorHAnsi" w:eastAsia="Times New Roman" w:hAnsiTheme="minorHAnsi" w:cstheme="minorHAnsi"/>
                <w:color w:val="000000"/>
                <w:szCs w:val="20"/>
              </w:rPr>
            </w:pPr>
            <w:proofErr w:type="spellStart"/>
            <w:r w:rsidRPr="003E1F91">
              <w:rPr>
                <w:rFonts w:asciiTheme="minorHAnsi" w:eastAsia="Times New Roman" w:hAnsiTheme="minorHAnsi" w:cstheme="minorHAnsi"/>
                <w:color w:val="000000"/>
                <w:szCs w:val="20"/>
              </w:rPr>
              <w:t>Revaluation</w:t>
            </w:r>
            <w:proofErr w:type="spellEnd"/>
            <w:r w:rsidRPr="003E1F91">
              <w:rPr>
                <w:rFonts w:asciiTheme="minorHAnsi" w:eastAsia="Times New Roman" w:hAnsiTheme="minorHAnsi" w:cstheme="minorHAnsi"/>
                <w:color w:val="000000"/>
                <w:szCs w:val="20"/>
              </w:rPr>
              <w:t xml:space="preserve"> </w:t>
            </w:r>
            <w:proofErr w:type="spellStart"/>
            <w:r w:rsidRPr="003E1F91">
              <w:rPr>
                <w:rFonts w:asciiTheme="minorHAnsi" w:eastAsia="Times New Roman" w:hAnsiTheme="minorHAnsi" w:cstheme="minorHAnsi"/>
                <w:color w:val="000000"/>
                <w:szCs w:val="20"/>
              </w:rPr>
              <w:t>of</w:t>
            </w:r>
            <w:proofErr w:type="spellEnd"/>
            <w:r w:rsidRPr="003E1F91">
              <w:rPr>
                <w:rFonts w:asciiTheme="minorHAnsi" w:eastAsia="Times New Roman" w:hAnsiTheme="minorHAnsi" w:cstheme="minorHAnsi"/>
                <w:color w:val="000000"/>
                <w:szCs w:val="20"/>
              </w:rPr>
              <w:t xml:space="preserve"> </w:t>
            </w:r>
            <w:proofErr w:type="spellStart"/>
            <w:r w:rsidRPr="003E1F91">
              <w:rPr>
                <w:rFonts w:asciiTheme="minorHAnsi" w:eastAsia="Times New Roman" w:hAnsiTheme="minorHAnsi" w:cstheme="minorHAnsi"/>
                <w:color w:val="000000"/>
                <w:szCs w:val="20"/>
              </w:rPr>
              <w:t>building</w:t>
            </w:r>
            <w:proofErr w:type="spellEnd"/>
          </w:p>
        </w:tc>
        <w:tc>
          <w:tcPr>
            <w:tcW w:w="1071"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 xml:space="preserve">586    </w:t>
            </w:r>
          </w:p>
        </w:tc>
        <w:tc>
          <w:tcPr>
            <w:tcW w:w="2825"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 xml:space="preserve">- </w:t>
            </w:r>
          </w:p>
        </w:tc>
      </w:tr>
      <w:tr w:rsidR="003E1F91" w:rsidRPr="003E1F91" w:rsidTr="004A0C63">
        <w:trPr>
          <w:trHeight w:val="300"/>
        </w:trPr>
        <w:tc>
          <w:tcPr>
            <w:tcW w:w="5743" w:type="dxa"/>
            <w:tcBorders>
              <w:top w:val="nil"/>
              <w:left w:val="nil"/>
              <w:bottom w:val="nil"/>
              <w:right w:val="nil"/>
            </w:tcBorders>
            <w:shd w:val="clear" w:color="auto" w:fill="auto"/>
            <w:vAlign w:val="center"/>
            <w:hideMark/>
          </w:tcPr>
          <w:p w:rsidR="003E1F91" w:rsidRPr="003E1F91" w:rsidRDefault="003E1F91" w:rsidP="003E1F91">
            <w:pPr>
              <w:spacing w:after="0" w:line="240" w:lineRule="auto"/>
              <w:ind w:right="-247"/>
              <w:jc w:val="both"/>
              <w:rPr>
                <w:rFonts w:asciiTheme="minorHAnsi" w:eastAsia="Times New Roman" w:hAnsiTheme="minorHAnsi" w:cstheme="minorHAnsi"/>
                <w:color w:val="000000"/>
                <w:szCs w:val="20"/>
              </w:rPr>
            </w:pPr>
            <w:proofErr w:type="spellStart"/>
            <w:r w:rsidRPr="003E1F91">
              <w:rPr>
                <w:rFonts w:asciiTheme="minorHAnsi" w:eastAsia="Times New Roman" w:hAnsiTheme="minorHAnsi" w:cstheme="minorHAnsi"/>
                <w:color w:val="000000"/>
                <w:szCs w:val="20"/>
              </w:rPr>
              <w:t>Revaluation</w:t>
            </w:r>
            <w:proofErr w:type="spellEnd"/>
            <w:r w:rsidRPr="003E1F91">
              <w:rPr>
                <w:rFonts w:asciiTheme="minorHAnsi" w:eastAsia="Times New Roman" w:hAnsiTheme="minorHAnsi" w:cstheme="minorHAnsi"/>
                <w:color w:val="000000"/>
                <w:szCs w:val="20"/>
              </w:rPr>
              <w:t xml:space="preserve"> </w:t>
            </w:r>
            <w:proofErr w:type="spellStart"/>
            <w:r w:rsidRPr="003E1F91">
              <w:rPr>
                <w:rFonts w:asciiTheme="minorHAnsi" w:eastAsia="Times New Roman" w:hAnsiTheme="minorHAnsi" w:cstheme="minorHAnsi"/>
                <w:color w:val="000000"/>
                <w:szCs w:val="20"/>
              </w:rPr>
              <w:t>of</w:t>
            </w:r>
            <w:proofErr w:type="spellEnd"/>
            <w:r w:rsidRPr="003E1F91">
              <w:rPr>
                <w:rFonts w:asciiTheme="minorHAnsi" w:eastAsia="Times New Roman" w:hAnsiTheme="minorHAnsi" w:cstheme="minorHAnsi"/>
                <w:color w:val="000000"/>
                <w:szCs w:val="20"/>
              </w:rPr>
              <w:t xml:space="preserve"> </w:t>
            </w:r>
            <w:proofErr w:type="spellStart"/>
            <w:r w:rsidRPr="003E1F91">
              <w:rPr>
                <w:rFonts w:asciiTheme="minorHAnsi" w:eastAsia="Times New Roman" w:hAnsiTheme="minorHAnsi" w:cstheme="minorHAnsi"/>
                <w:color w:val="000000"/>
                <w:szCs w:val="20"/>
              </w:rPr>
              <w:t>building</w:t>
            </w:r>
            <w:proofErr w:type="spellEnd"/>
            <w:r w:rsidRPr="003E1F91">
              <w:rPr>
                <w:rFonts w:asciiTheme="minorHAnsi" w:eastAsia="Times New Roman" w:hAnsiTheme="minorHAnsi" w:cstheme="minorHAnsi"/>
                <w:color w:val="000000"/>
                <w:szCs w:val="20"/>
              </w:rPr>
              <w:t xml:space="preserve"> – DTL </w:t>
            </w:r>
          </w:p>
        </w:tc>
        <w:tc>
          <w:tcPr>
            <w:tcW w:w="1071"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 xml:space="preserve">-133    </w:t>
            </w:r>
          </w:p>
        </w:tc>
        <w:tc>
          <w:tcPr>
            <w:tcW w:w="2825"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 xml:space="preserve">- </w:t>
            </w:r>
          </w:p>
        </w:tc>
      </w:tr>
      <w:tr w:rsidR="003E1F91" w:rsidRPr="003E1F91" w:rsidTr="004A0C63">
        <w:trPr>
          <w:trHeight w:val="300"/>
        </w:trPr>
        <w:tc>
          <w:tcPr>
            <w:tcW w:w="5743" w:type="dxa"/>
            <w:tcBorders>
              <w:top w:val="single" w:sz="8" w:space="0" w:color="000000"/>
              <w:left w:val="nil"/>
              <w:bottom w:val="double" w:sz="6" w:space="0" w:color="000000"/>
              <w:right w:val="nil"/>
            </w:tcBorders>
            <w:shd w:val="clear" w:color="auto" w:fill="auto"/>
            <w:vAlign w:val="center"/>
            <w:hideMark/>
          </w:tcPr>
          <w:p w:rsidR="003E1F91" w:rsidRPr="003E1F91" w:rsidRDefault="003E1F91" w:rsidP="003E1F91">
            <w:pPr>
              <w:spacing w:after="0" w:line="240" w:lineRule="auto"/>
              <w:ind w:right="-247"/>
              <w:jc w:val="both"/>
              <w:rPr>
                <w:rFonts w:asciiTheme="minorHAnsi" w:eastAsia="Times New Roman" w:hAnsiTheme="minorHAnsi" w:cstheme="minorHAnsi"/>
                <w:b/>
                <w:bCs/>
                <w:color w:val="000000"/>
                <w:szCs w:val="20"/>
              </w:rPr>
            </w:pPr>
            <w:r w:rsidRPr="003E1F91">
              <w:rPr>
                <w:rFonts w:asciiTheme="minorHAnsi" w:eastAsia="Times New Roman" w:hAnsiTheme="minorHAnsi" w:cstheme="minorHAnsi"/>
                <w:b/>
                <w:bCs/>
                <w:color w:val="000000"/>
                <w:szCs w:val="20"/>
              </w:rPr>
              <w:t xml:space="preserve">Total </w:t>
            </w:r>
            <w:proofErr w:type="spellStart"/>
            <w:r w:rsidRPr="003E1F91">
              <w:rPr>
                <w:rFonts w:asciiTheme="minorHAnsi" w:eastAsia="Times New Roman" w:hAnsiTheme="minorHAnsi" w:cstheme="minorHAnsi"/>
                <w:b/>
                <w:bCs/>
                <w:color w:val="000000"/>
                <w:szCs w:val="20"/>
              </w:rPr>
              <w:t>comprehensive</w:t>
            </w:r>
            <w:proofErr w:type="spellEnd"/>
            <w:r w:rsidRPr="003E1F91">
              <w:rPr>
                <w:rFonts w:asciiTheme="minorHAnsi" w:eastAsia="Times New Roman" w:hAnsiTheme="minorHAnsi" w:cstheme="minorHAnsi"/>
                <w:b/>
                <w:bCs/>
                <w:color w:val="000000"/>
                <w:szCs w:val="20"/>
              </w:rPr>
              <w:t xml:space="preserve"> </w:t>
            </w:r>
            <w:proofErr w:type="spellStart"/>
            <w:r w:rsidRPr="003E1F91">
              <w:rPr>
                <w:rFonts w:asciiTheme="minorHAnsi" w:eastAsia="Times New Roman" w:hAnsiTheme="minorHAnsi" w:cstheme="minorHAnsi"/>
                <w:b/>
                <w:bCs/>
                <w:color w:val="000000"/>
                <w:szCs w:val="20"/>
              </w:rPr>
              <w:t>income</w:t>
            </w:r>
            <w:proofErr w:type="spellEnd"/>
            <w:r w:rsidRPr="003E1F91">
              <w:rPr>
                <w:rFonts w:asciiTheme="minorHAnsi" w:eastAsia="Times New Roman" w:hAnsiTheme="minorHAnsi" w:cstheme="minorHAnsi"/>
                <w:b/>
                <w:bCs/>
                <w:color w:val="000000"/>
                <w:szCs w:val="20"/>
              </w:rPr>
              <w:t xml:space="preserve"> </w:t>
            </w:r>
          </w:p>
        </w:tc>
        <w:tc>
          <w:tcPr>
            <w:tcW w:w="1071" w:type="dxa"/>
            <w:tcBorders>
              <w:top w:val="single" w:sz="8" w:space="0" w:color="000000"/>
              <w:left w:val="nil"/>
              <w:bottom w:val="double" w:sz="6" w:space="0" w:color="000000"/>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r w:rsidRPr="003E1F91">
              <w:rPr>
                <w:rFonts w:asciiTheme="minorHAnsi" w:eastAsia="Times New Roman" w:hAnsiTheme="minorHAnsi" w:cstheme="minorHAnsi"/>
                <w:b/>
                <w:bCs/>
                <w:color w:val="000000"/>
                <w:szCs w:val="20"/>
              </w:rPr>
              <w:t>107</w:t>
            </w:r>
          </w:p>
        </w:tc>
        <w:tc>
          <w:tcPr>
            <w:tcW w:w="2825" w:type="dxa"/>
            <w:tcBorders>
              <w:top w:val="single" w:sz="8" w:space="0" w:color="000000"/>
              <w:left w:val="nil"/>
              <w:bottom w:val="double" w:sz="6" w:space="0" w:color="000000"/>
              <w:right w:val="nil"/>
            </w:tcBorders>
            <w:shd w:val="clear" w:color="auto" w:fill="auto"/>
            <w:vAlign w:val="center"/>
            <w:hideMark/>
          </w:tcPr>
          <w:p w:rsidR="003E1F91" w:rsidRPr="003E1F91" w:rsidRDefault="007B49DB" w:rsidP="003E1F91">
            <w:pPr>
              <w:spacing w:after="0" w:line="240" w:lineRule="auto"/>
              <w:jc w:val="right"/>
              <w:rPr>
                <w:rFonts w:asciiTheme="minorHAnsi" w:eastAsia="Times New Roman" w:hAnsiTheme="minorHAnsi" w:cstheme="minorHAnsi"/>
                <w:b/>
                <w:bCs/>
                <w:color w:val="000000"/>
                <w:szCs w:val="20"/>
              </w:rPr>
            </w:pPr>
            <w:r>
              <w:rPr>
                <w:rFonts w:asciiTheme="minorHAnsi" w:eastAsia="Times New Roman" w:hAnsiTheme="minorHAnsi" w:cstheme="minorHAnsi"/>
                <w:b/>
                <w:bCs/>
                <w:color w:val="000000"/>
                <w:szCs w:val="20"/>
              </w:rPr>
              <w:t>-1,</w:t>
            </w:r>
            <w:r w:rsidR="003E1F91" w:rsidRPr="003E1F91">
              <w:rPr>
                <w:rFonts w:asciiTheme="minorHAnsi" w:eastAsia="Times New Roman" w:hAnsiTheme="minorHAnsi" w:cstheme="minorHAnsi"/>
                <w:b/>
                <w:bCs/>
                <w:color w:val="000000"/>
                <w:szCs w:val="20"/>
              </w:rPr>
              <w:t>911</w:t>
            </w:r>
          </w:p>
        </w:tc>
      </w:tr>
    </w:tbl>
    <w:p w:rsidR="003E1F91" w:rsidRPr="003E1F91" w:rsidRDefault="003E1F91" w:rsidP="003E1F91">
      <w:pPr>
        <w:spacing w:after="0"/>
        <w:ind w:left="284"/>
        <w:jc w:val="both"/>
        <w:rPr>
          <w:rFonts w:asciiTheme="minorHAnsi" w:eastAsia="Times New Roman" w:hAnsiTheme="minorHAnsi" w:cstheme="minorHAnsi"/>
          <w:b/>
          <w:bCs/>
          <w:szCs w:val="20"/>
          <w:lang w:val="en-GB" w:eastAsia="en-GB" w:bidi="en-GB"/>
        </w:rPr>
      </w:pPr>
    </w:p>
    <w:p w:rsidR="003E1F91" w:rsidRPr="003E1F91" w:rsidRDefault="003E1F91" w:rsidP="003E1F91">
      <w:pPr>
        <w:spacing w:after="0"/>
        <w:ind w:left="284"/>
        <w:jc w:val="both"/>
        <w:rPr>
          <w:rFonts w:asciiTheme="minorHAnsi" w:eastAsia="Times New Roman" w:hAnsiTheme="minorHAnsi" w:cstheme="minorHAnsi"/>
          <w:b/>
          <w:bCs/>
          <w:szCs w:val="20"/>
          <w:lang w:val="en-GB" w:eastAsia="en-GB" w:bidi="en-GB"/>
        </w:rPr>
      </w:pPr>
    </w:p>
    <w:p w:rsidR="003E1F91" w:rsidRPr="003E1F91" w:rsidRDefault="003E1F91" w:rsidP="003E1F91">
      <w:pPr>
        <w:spacing w:after="0"/>
        <w:ind w:left="284"/>
        <w:jc w:val="both"/>
        <w:rPr>
          <w:rFonts w:asciiTheme="minorHAnsi" w:eastAsia="Times New Roman" w:hAnsiTheme="minorHAnsi" w:cstheme="minorHAnsi"/>
          <w:b/>
          <w:bCs/>
          <w:szCs w:val="20"/>
          <w:lang w:val="en-GB" w:eastAsia="en-GB" w:bidi="en-GB"/>
        </w:rPr>
      </w:pPr>
    </w:p>
    <w:p w:rsidR="003E1F91" w:rsidRPr="003E1F91" w:rsidRDefault="003E1F91" w:rsidP="003E1F91">
      <w:pPr>
        <w:spacing w:after="0"/>
        <w:ind w:left="284"/>
        <w:jc w:val="both"/>
        <w:rPr>
          <w:rFonts w:asciiTheme="minorHAnsi" w:eastAsia="Times New Roman" w:hAnsiTheme="minorHAnsi" w:cstheme="minorHAnsi"/>
          <w:b/>
          <w:bCs/>
          <w:szCs w:val="20"/>
          <w:highlight w:val="yellow"/>
          <w:lang w:val="en-GB" w:eastAsia="en-GB" w:bidi="en-GB"/>
        </w:rPr>
      </w:pPr>
    </w:p>
    <w:p w:rsidR="003E1F91" w:rsidRPr="003E1F91" w:rsidRDefault="003E1F91" w:rsidP="003E1F91">
      <w:pPr>
        <w:spacing w:after="0" w:line="240" w:lineRule="auto"/>
        <w:jc w:val="both"/>
        <w:rPr>
          <w:rFonts w:asciiTheme="minorHAnsi" w:hAnsiTheme="minorHAnsi" w:cstheme="minorHAnsi"/>
          <w:i/>
          <w:szCs w:val="20"/>
          <w:lang w:val="en-GB"/>
        </w:rPr>
      </w:pPr>
      <w:r w:rsidRPr="003E1F91">
        <w:rPr>
          <w:rFonts w:asciiTheme="minorHAnsi" w:hAnsiTheme="minorHAnsi" w:cstheme="minorHAnsi"/>
          <w:i/>
          <w:szCs w:val="20"/>
          <w:lang w:val="en-GB"/>
        </w:rPr>
        <w:br w:type="page"/>
      </w:r>
    </w:p>
    <w:p w:rsidR="003E1F91" w:rsidRPr="003E1F91" w:rsidRDefault="003E1F91" w:rsidP="003E1F91">
      <w:pPr>
        <w:ind w:left="284" w:right="284"/>
        <w:jc w:val="both"/>
        <w:rPr>
          <w:rFonts w:asciiTheme="minorHAnsi" w:hAnsiTheme="minorHAnsi" w:cstheme="minorHAnsi"/>
          <w:i/>
          <w:szCs w:val="20"/>
          <w:lang w:val="en-GB"/>
        </w:rPr>
      </w:pPr>
    </w:p>
    <w:p w:rsidR="003E1F91" w:rsidRPr="004F4E0E" w:rsidRDefault="003E1F91" w:rsidP="004F4E0E">
      <w:pPr>
        <w:ind w:left="284"/>
        <w:jc w:val="both"/>
        <w:rPr>
          <w:rFonts w:asciiTheme="minorHAnsi" w:eastAsia="Times New Roman" w:hAnsiTheme="minorHAnsi" w:cstheme="minorHAnsi"/>
          <w:b/>
          <w:color w:val="B71234"/>
          <w:sz w:val="22"/>
          <w:lang w:val="en-GB" w:eastAsia="en-GB" w:bidi="en-GB"/>
        </w:rPr>
      </w:pPr>
      <w:r w:rsidRPr="004F4E0E">
        <w:rPr>
          <w:rFonts w:asciiTheme="minorHAnsi" w:eastAsia="Times New Roman" w:hAnsiTheme="minorHAnsi" w:cstheme="minorHAnsi"/>
          <w:b/>
          <w:color w:val="B71234"/>
          <w:sz w:val="22"/>
          <w:lang w:val="en-GB" w:eastAsia="en-GB" w:bidi="en-GB"/>
        </w:rPr>
        <w:t>Consolidated statement of financial position (after appropriation of net result</w:t>
      </w:r>
    </w:p>
    <w:p w:rsidR="003E1F91" w:rsidRPr="003E1F91" w:rsidRDefault="003E1F91" w:rsidP="003E1F91">
      <w:pPr>
        <w:autoSpaceDE w:val="0"/>
        <w:spacing w:after="0"/>
        <w:jc w:val="both"/>
        <w:rPr>
          <w:rFonts w:asciiTheme="minorHAnsi" w:eastAsia="Times New Roman" w:hAnsiTheme="minorHAnsi" w:cstheme="minorHAnsi"/>
          <w:szCs w:val="20"/>
          <w:lang w:val="en-GB" w:eastAsia="en-GB" w:bidi="en-GB"/>
        </w:rPr>
      </w:pPr>
    </w:p>
    <w:tbl>
      <w:tblPr>
        <w:tblW w:w="9214" w:type="dxa"/>
        <w:tblInd w:w="284" w:type="dxa"/>
        <w:tblLook w:val="04A0"/>
      </w:tblPr>
      <w:tblGrid>
        <w:gridCol w:w="5529"/>
        <w:gridCol w:w="1275"/>
        <w:gridCol w:w="2410"/>
      </w:tblGrid>
      <w:tr w:rsidR="003E1F91" w:rsidRPr="004A0C63" w:rsidTr="003E1F91">
        <w:trPr>
          <w:trHeight w:val="170"/>
        </w:trPr>
        <w:tc>
          <w:tcPr>
            <w:tcW w:w="5529" w:type="dxa"/>
            <w:tcBorders>
              <w:top w:val="single" w:sz="8" w:space="0" w:color="000000"/>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lang w:val="en-GB"/>
              </w:rPr>
            </w:pPr>
            <w:r w:rsidRPr="003E1F91">
              <w:rPr>
                <w:rFonts w:asciiTheme="minorHAnsi" w:eastAsia="Times New Roman" w:hAnsiTheme="minorHAnsi" w:cstheme="minorHAnsi"/>
                <w:color w:val="000000"/>
                <w:szCs w:val="20"/>
                <w:lang w:val="en-GB"/>
              </w:rPr>
              <w:t> </w:t>
            </w:r>
          </w:p>
        </w:tc>
        <w:tc>
          <w:tcPr>
            <w:tcW w:w="1275" w:type="dxa"/>
            <w:tcBorders>
              <w:top w:val="single" w:sz="8" w:space="0" w:color="000000"/>
              <w:left w:val="nil"/>
              <w:bottom w:val="nil"/>
              <w:right w:val="nil"/>
            </w:tcBorders>
            <w:shd w:val="clear" w:color="auto" w:fill="auto"/>
            <w:vAlign w:val="center"/>
            <w:hideMark/>
          </w:tcPr>
          <w:p w:rsidR="003E1F91" w:rsidRPr="003E1F91" w:rsidRDefault="004A0C63" w:rsidP="00657139">
            <w:pPr>
              <w:spacing w:after="0" w:line="240" w:lineRule="auto"/>
              <w:jc w:val="right"/>
              <w:rPr>
                <w:rFonts w:asciiTheme="minorHAnsi" w:eastAsia="Times New Roman" w:hAnsiTheme="minorHAnsi" w:cstheme="minorHAnsi"/>
                <w:color w:val="000000"/>
                <w:szCs w:val="20"/>
                <w:lang w:val="en-GB"/>
              </w:rPr>
            </w:pPr>
            <w:r>
              <w:rPr>
                <w:rFonts w:asciiTheme="minorHAnsi" w:eastAsia="Times New Roman" w:hAnsiTheme="minorHAnsi" w:cstheme="minorHAnsi"/>
                <w:color w:val="000000"/>
                <w:szCs w:val="20"/>
                <w:lang w:val="en-GB"/>
              </w:rPr>
              <w:t>unaudite</w:t>
            </w:r>
            <w:r w:rsidR="00657139">
              <w:rPr>
                <w:rFonts w:asciiTheme="minorHAnsi" w:eastAsia="Times New Roman" w:hAnsiTheme="minorHAnsi" w:cstheme="minorHAnsi"/>
                <w:color w:val="000000"/>
                <w:szCs w:val="20"/>
                <w:lang w:val="en-GB"/>
              </w:rPr>
              <w:t>d</w:t>
            </w:r>
            <w:r w:rsidR="003E1F91" w:rsidRPr="003E1F91">
              <w:rPr>
                <w:rFonts w:asciiTheme="minorHAnsi" w:eastAsia="Times New Roman" w:hAnsiTheme="minorHAnsi" w:cstheme="minorHAnsi"/>
                <w:color w:val="000000"/>
                <w:szCs w:val="20"/>
                <w:lang w:val="en-GB"/>
              </w:rPr>
              <w:t> </w:t>
            </w:r>
          </w:p>
        </w:tc>
        <w:tc>
          <w:tcPr>
            <w:tcW w:w="2410" w:type="dxa"/>
            <w:tcBorders>
              <w:top w:val="single" w:sz="8" w:space="0" w:color="000000"/>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lang w:val="en-GB"/>
              </w:rPr>
            </w:pPr>
            <w:r w:rsidRPr="003E1F91">
              <w:rPr>
                <w:rFonts w:asciiTheme="minorHAnsi" w:eastAsia="Times New Roman" w:hAnsiTheme="minorHAnsi" w:cstheme="minorHAnsi"/>
                <w:color w:val="000000"/>
                <w:szCs w:val="20"/>
                <w:lang w:val="en-GB"/>
              </w:rPr>
              <w:t> </w:t>
            </w:r>
          </w:p>
        </w:tc>
      </w:tr>
      <w:tr w:rsidR="003E1F91" w:rsidRPr="003E1F91" w:rsidTr="003E1F91">
        <w:trPr>
          <w:trHeight w:val="340"/>
        </w:trPr>
        <w:tc>
          <w:tcPr>
            <w:tcW w:w="5529" w:type="dxa"/>
            <w:tcBorders>
              <w:top w:val="nil"/>
              <w:left w:val="nil"/>
              <w:bottom w:val="single" w:sz="8" w:space="0" w:color="auto"/>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(x EUR 1,000)</w:t>
            </w:r>
          </w:p>
        </w:tc>
        <w:tc>
          <w:tcPr>
            <w:tcW w:w="1275" w:type="dxa"/>
            <w:tcBorders>
              <w:top w:val="nil"/>
              <w:left w:val="nil"/>
              <w:bottom w:val="single" w:sz="8" w:space="0" w:color="000000"/>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r w:rsidRPr="003E1F91">
              <w:rPr>
                <w:rFonts w:asciiTheme="minorHAnsi" w:eastAsia="Times New Roman" w:hAnsiTheme="minorHAnsi" w:cstheme="minorHAnsi"/>
                <w:b/>
                <w:bCs/>
                <w:color w:val="000000"/>
                <w:szCs w:val="20"/>
              </w:rPr>
              <w:t>2017</w:t>
            </w:r>
          </w:p>
        </w:tc>
        <w:tc>
          <w:tcPr>
            <w:tcW w:w="2410" w:type="dxa"/>
            <w:tcBorders>
              <w:top w:val="nil"/>
              <w:left w:val="nil"/>
              <w:bottom w:val="single" w:sz="8" w:space="0" w:color="000000"/>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r w:rsidRPr="003E1F91">
              <w:rPr>
                <w:rFonts w:asciiTheme="minorHAnsi" w:eastAsia="Times New Roman" w:hAnsiTheme="minorHAnsi" w:cstheme="minorHAnsi"/>
                <w:b/>
                <w:bCs/>
                <w:color w:val="000000"/>
                <w:szCs w:val="20"/>
              </w:rPr>
              <w:t>2016</w:t>
            </w:r>
          </w:p>
        </w:tc>
      </w:tr>
      <w:tr w:rsidR="003E1F91" w:rsidRPr="003E1F91" w:rsidTr="003E1F91">
        <w:trPr>
          <w:trHeight w:val="290"/>
        </w:trPr>
        <w:tc>
          <w:tcPr>
            <w:tcW w:w="5529"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p>
        </w:tc>
        <w:tc>
          <w:tcPr>
            <w:tcW w:w="1275"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241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3E1F91" w:rsidTr="003E1F91">
        <w:trPr>
          <w:trHeight w:val="310"/>
        </w:trPr>
        <w:tc>
          <w:tcPr>
            <w:tcW w:w="5529"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proofErr w:type="spellStart"/>
            <w:r w:rsidRPr="003E1F91">
              <w:rPr>
                <w:rFonts w:asciiTheme="minorHAnsi" w:eastAsia="Times New Roman" w:hAnsiTheme="minorHAnsi" w:cstheme="minorHAnsi"/>
                <w:b/>
                <w:bCs/>
                <w:color w:val="000000"/>
                <w:szCs w:val="20"/>
              </w:rPr>
              <w:t>Assets</w:t>
            </w:r>
            <w:proofErr w:type="spellEnd"/>
          </w:p>
        </w:tc>
        <w:tc>
          <w:tcPr>
            <w:tcW w:w="1275"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p>
        </w:tc>
        <w:tc>
          <w:tcPr>
            <w:tcW w:w="241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3E1F91" w:rsidTr="003E1F91">
        <w:trPr>
          <w:trHeight w:val="150"/>
        </w:trPr>
        <w:tc>
          <w:tcPr>
            <w:tcW w:w="5529"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szCs w:val="20"/>
              </w:rPr>
            </w:pPr>
          </w:p>
        </w:tc>
        <w:tc>
          <w:tcPr>
            <w:tcW w:w="1275"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241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3E1F91" w:rsidTr="003E1F91">
        <w:trPr>
          <w:trHeight w:val="290"/>
        </w:trPr>
        <w:tc>
          <w:tcPr>
            <w:tcW w:w="5529"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 xml:space="preserve">Property, plant </w:t>
            </w:r>
            <w:proofErr w:type="spellStart"/>
            <w:r w:rsidRPr="003E1F91">
              <w:rPr>
                <w:rFonts w:asciiTheme="minorHAnsi" w:eastAsia="Times New Roman" w:hAnsiTheme="minorHAnsi" w:cstheme="minorHAnsi"/>
                <w:color w:val="000000"/>
                <w:szCs w:val="20"/>
              </w:rPr>
              <w:t>and</w:t>
            </w:r>
            <w:proofErr w:type="spellEnd"/>
            <w:r w:rsidRPr="003E1F91">
              <w:rPr>
                <w:rFonts w:asciiTheme="minorHAnsi" w:eastAsia="Times New Roman" w:hAnsiTheme="minorHAnsi" w:cstheme="minorHAnsi"/>
                <w:color w:val="000000"/>
                <w:szCs w:val="20"/>
              </w:rPr>
              <w:t xml:space="preserve"> </w:t>
            </w:r>
            <w:proofErr w:type="spellStart"/>
            <w:r w:rsidRPr="003E1F91">
              <w:rPr>
                <w:rFonts w:asciiTheme="minorHAnsi" w:eastAsia="Times New Roman" w:hAnsiTheme="minorHAnsi" w:cstheme="minorHAnsi"/>
                <w:color w:val="000000"/>
                <w:szCs w:val="20"/>
              </w:rPr>
              <w:t>equipment</w:t>
            </w:r>
            <w:proofErr w:type="spellEnd"/>
          </w:p>
        </w:tc>
        <w:tc>
          <w:tcPr>
            <w:tcW w:w="1275" w:type="dxa"/>
            <w:tcBorders>
              <w:top w:val="nil"/>
              <w:left w:val="nil"/>
              <w:bottom w:val="nil"/>
              <w:right w:val="nil"/>
            </w:tcBorders>
            <w:shd w:val="clear" w:color="auto" w:fill="auto"/>
            <w:vAlign w:val="center"/>
            <w:hideMark/>
          </w:tcPr>
          <w:p w:rsidR="003E1F91" w:rsidRPr="003E1F91" w:rsidRDefault="007B49DB" w:rsidP="003E1F91">
            <w:pPr>
              <w:spacing w:after="0" w:line="240" w:lineRule="auto"/>
              <w:jc w:val="right"/>
              <w:rPr>
                <w:rFonts w:asciiTheme="minorHAnsi" w:eastAsia="Times New Roman" w:hAnsiTheme="minorHAnsi" w:cstheme="minorHAnsi"/>
                <w:szCs w:val="20"/>
              </w:rPr>
            </w:pPr>
            <w:r>
              <w:rPr>
                <w:rFonts w:asciiTheme="minorHAnsi" w:eastAsia="Times New Roman" w:hAnsiTheme="minorHAnsi" w:cstheme="minorHAnsi"/>
                <w:szCs w:val="20"/>
              </w:rPr>
              <w:t>6,</w:t>
            </w:r>
            <w:r w:rsidR="003E1F91" w:rsidRPr="003E1F91">
              <w:rPr>
                <w:rFonts w:asciiTheme="minorHAnsi" w:eastAsia="Times New Roman" w:hAnsiTheme="minorHAnsi" w:cstheme="minorHAnsi"/>
                <w:szCs w:val="20"/>
              </w:rPr>
              <w:t>023</w:t>
            </w:r>
          </w:p>
        </w:tc>
        <w:tc>
          <w:tcPr>
            <w:tcW w:w="2410" w:type="dxa"/>
            <w:tcBorders>
              <w:top w:val="nil"/>
              <w:left w:val="nil"/>
              <w:bottom w:val="nil"/>
              <w:right w:val="nil"/>
            </w:tcBorders>
            <w:shd w:val="clear" w:color="auto" w:fill="auto"/>
            <w:vAlign w:val="center"/>
            <w:hideMark/>
          </w:tcPr>
          <w:p w:rsidR="003E1F91" w:rsidRPr="003E1F91" w:rsidRDefault="007B49DB" w:rsidP="003E1F91">
            <w:pPr>
              <w:spacing w:after="0" w:line="240" w:lineRule="auto"/>
              <w:jc w:val="right"/>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5,</w:t>
            </w:r>
            <w:r w:rsidR="003E1F91" w:rsidRPr="003E1F91">
              <w:rPr>
                <w:rFonts w:asciiTheme="minorHAnsi" w:eastAsia="Times New Roman" w:hAnsiTheme="minorHAnsi" w:cstheme="minorHAnsi"/>
                <w:color w:val="000000"/>
                <w:szCs w:val="20"/>
              </w:rPr>
              <w:t>283</w:t>
            </w:r>
          </w:p>
        </w:tc>
      </w:tr>
      <w:tr w:rsidR="003E1F91" w:rsidRPr="003E1F91" w:rsidTr="003E1F91">
        <w:trPr>
          <w:trHeight w:val="290"/>
        </w:trPr>
        <w:tc>
          <w:tcPr>
            <w:tcW w:w="5529"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proofErr w:type="spellStart"/>
            <w:r w:rsidRPr="003E1F91">
              <w:rPr>
                <w:rFonts w:asciiTheme="minorHAnsi" w:eastAsia="Times New Roman" w:hAnsiTheme="minorHAnsi" w:cstheme="minorHAnsi"/>
                <w:color w:val="000000"/>
                <w:szCs w:val="20"/>
              </w:rPr>
              <w:t>Intangible</w:t>
            </w:r>
            <w:proofErr w:type="spellEnd"/>
            <w:r w:rsidRPr="003E1F91">
              <w:rPr>
                <w:rFonts w:asciiTheme="minorHAnsi" w:eastAsia="Times New Roman" w:hAnsiTheme="minorHAnsi" w:cstheme="minorHAnsi"/>
                <w:color w:val="000000"/>
                <w:szCs w:val="20"/>
              </w:rPr>
              <w:t xml:space="preserve"> </w:t>
            </w:r>
            <w:proofErr w:type="spellStart"/>
            <w:r w:rsidRPr="003E1F91">
              <w:rPr>
                <w:rFonts w:asciiTheme="minorHAnsi" w:eastAsia="Times New Roman" w:hAnsiTheme="minorHAnsi" w:cstheme="minorHAnsi"/>
                <w:color w:val="000000"/>
                <w:szCs w:val="20"/>
              </w:rPr>
              <w:t>assets</w:t>
            </w:r>
            <w:proofErr w:type="spellEnd"/>
          </w:p>
        </w:tc>
        <w:tc>
          <w:tcPr>
            <w:tcW w:w="1275" w:type="dxa"/>
            <w:tcBorders>
              <w:top w:val="nil"/>
              <w:left w:val="nil"/>
              <w:bottom w:val="nil"/>
              <w:right w:val="nil"/>
            </w:tcBorders>
            <w:shd w:val="clear" w:color="auto" w:fill="auto"/>
            <w:vAlign w:val="center"/>
            <w:hideMark/>
          </w:tcPr>
          <w:p w:rsidR="003E1F91" w:rsidRPr="003E1F91" w:rsidRDefault="007B49DB" w:rsidP="003E1F91">
            <w:pPr>
              <w:spacing w:after="0" w:line="240" w:lineRule="auto"/>
              <w:jc w:val="right"/>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2,</w:t>
            </w:r>
            <w:r w:rsidR="003E1F91" w:rsidRPr="003E1F91">
              <w:rPr>
                <w:rFonts w:asciiTheme="minorHAnsi" w:eastAsia="Times New Roman" w:hAnsiTheme="minorHAnsi" w:cstheme="minorHAnsi"/>
                <w:color w:val="000000"/>
                <w:szCs w:val="20"/>
              </w:rPr>
              <w:t>428</w:t>
            </w:r>
          </w:p>
        </w:tc>
        <w:tc>
          <w:tcPr>
            <w:tcW w:w="2410" w:type="dxa"/>
            <w:tcBorders>
              <w:top w:val="nil"/>
              <w:left w:val="nil"/>
              <w:bottom w:val="nil"/>
              <w:right w:val="nil"/>
            </w:tcBorders>
            <w:shd w:val="clear" w:color="auto" w:fill="auto"/>
            <w:vAlign w:val="center"/>
            <w:hideMark/>
          </w:tcPr>
          <w:p w:rsidR="003E1F91" w:rsidRPr="003E1F91" w:rsidRDefault="007B49DB" w:rsidP="003E1F91">
            <w:pPr>
              <w:spacing w:after="0" w:line="240" w:lineRule="auto"/>
              <w:jc w:val="right"/>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2,</w:t>
            </w:r>
            <w:r w:rsidR="003E1F91" w:rsidRPr="003E1F91">
              <w:rPr>
                <w:rFonts w:asciiTheme="minorHAnsi" w:eastAsia="Times New Roman" w:hAnsiTheme="minorHAnsi" w:cstheme="minorHAnsi"/>
                <w:color w:val="000000"/>
                <w:szCs w:val="20"/>
              </w:rPr>
              <w:t>401</w:t>
            </w:r>
          </w:p>
        </w:tc>
      </w:tr>
      <w:tr w:rsidR="003E1F91" w:rsidRPr="003E1F91" w:rsidTr="003E1F91">
        <w:trPr>
          <w:trHeight w:val="290"/>
        </w:trPr>
        <w:tc>
          <w:tcPr>
            <w:tcW w:w="5529"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proofErr w:type="spellStart"/>
            <w:r w:rsidRPr="003E1F91">
              <w:rPr>
                <w:rFonts w:asciiTheme="minorHAnsi" w:eastAsia="Times New Roman" w:hAnsiTheme="minorHAnsi" w:cstheme="minorHAnsi"/>
                <w:color w:val="000000"/>
                <w:szCs w:val="20"/>
              </w:rPr>
              <w:t>Deferred</w:t>
            </w:r>
            <w:proofErr w:type="spellEnd"/>
            <w:r w:rsidRPr="003E1F91">
              <w:rPr>
                <w:rFonts w:asciiTheme="minorHAnsi" w:eastAsia="Times New Roman" w:hAnsiTheme="minorHAnsi" w:cstheme="minorHAnsi"/>
                <w:color w:val="000000"/>
                <w:szCs w:val="20"/>
              </w:rPr>
              <w:t xml:space="preserve"> </w:t>
            </w:r>
            <w:proofErr w:type="spellStart"/>
            <w:r w:rsidRPr="003E1F91">
              <w:rPr>
                <w:rFonts w:asciiTheme="minorHAnsi" w:eastAsia="Times New Roman" w:hAnsiTheme="minorHAnsi" w:cstheme="minorHAnsi"/>
                <w:color w:val="000000"/>
                <w:szCs w:val="20"/>
              </w:rPr>
              <w:t>income</w:t>
            </w:r>
            <w:proofErr w:type="spellEnd"/>
            <w:r w:rsidRPr="003E1F91">
              <w:rPr>
                <w:rFonts w:asciiTheme="minorHAnsi" w:eastAsia="Times New Roman" w:hAnsiTheme="minorHAnsi" w:cstheme="minorHAnsi"/>
                <w:color w:val="000000"/>
                <w:szCs w:val="20"/>
              </w:rPr>
              <w:t xml:space="preserve"> </w:t>
            </w:r>
            <w:proofErr w:type="spellStart"/>
            <w:r w:rsidRPr="003E1F91">
              <w:rPr>
                <w:rFonts w:asciiTheme="minorHAnsi" w:eastAsia="Times New Roman" w:hAnsiTheme="minorHAnsi" w:cstheme="minorHAnsi"/>
                <w:color w:val="000000"/>
                <w:szCs w:val="20"/>
              </w:rPr>
              <w:t>taxes</w:t>
            </w:r>
            <w:proofErr w:type="spellEnd"/>
          </w:p>
        </w:tc>
        <w:tc>
          <w:tcPr>
            <w:tcW w:w="1275" w:type="dxa"/>
            <w:tcBorders>
              <w:top w:val="nil"/>
              <w:left w:val="nil"/>
              <w:bottom w:val="nil"/>
              <w:right w:val="nil"/>
            </w:tcBorders>
            <w:shd w:val="clear" w:color="auto" w:fill="auto"/>
            <w:vAlign w:val="center"/>
            <w:hideMark/>
          </w:tcPr>
          <w:p w:rsidR="003E1F91" w:rsidRPr="003E1F91" w:rsidRDefault="007B49DB" w:rsidP="003E1F91">
            <w:pPr>
              <w:spacing w:after="0" w:line="240" w:lineRule="auto"/>
              <w:jc w:val="right"/>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1,</w:t>
            </w:r>
            <w:r w:rsidR="003E1F91" w:rsidRPr="003E1F91">
              <w:rPr>
                <w:rFonts w:asciiTheme="minorHAnsi" w:eastAsia="Times New Roman" w:hAnsiTheme="minorHAnsi" w:cstheme="minorHAnsi"/>
                <w:color w:val="000000"/>
                <w:szCs w:val="20"/>
              </w:rPr>
              <w:t>284</w:t>
            </w:r>
          </w:p>
        </w:tc>
        <w:tc>
          <w:tcPr>
            <w:tcW w:w="2410" w:type="dxa"/>
            <w:tcBorders>
              <w:top w:val="nil"/>
              <w:left w:val="nil"/>
              <w:bottom w:val="nil"/>
              <w:right w:val="nil"/>
            </w:tcBorders>
            <w:shd w:val="clear" w:color="auto" w:fill="auto"/>
            <w:vAlign w:val="center"/>
            <w:hideMark/>
          </w:tcPr>
          <w:p w:rsidR="003E1F91" w:rsidRPr="003E1F91" w:rsidRDefault="007B49DB" w:rsidP="003E1F91">
            <w:pPr>
              <w:spacing w:after="0" w:line="240" w:lineRule="auto"/>
              <w:jc w:val="right"/>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1,</w:t>
            </w:r>
            <w:r w:rsidR="003E1F91" w:rsidRPr="003E1F91">
              <w:rPr>
                <w:rFonts w:asciiTheme="minorHAnsi" w:eastAsia="Times New Roman" w:hAnsiTheme="minorHAnsi" w:cstheme="minorHAnsi"/>
                <w:color w:val="000000"/>
                <w:szCs w:val="20"/>
              </w:rPr>
              <w:t>151</w:t>
            </w:r>
          </w:p>
        </w:tc>
      </w:tr>
      <w:tr w:rsidR="003E1F91" w:rsidRPr="003E1F91" w:rsidTr="003E1F91">
        <w:trPr>
          <w:trHeight w:val="300"/>
        </w:trPr>
        <w:tc>
          <w:tcPr>
            <w:tcW w:w="5529"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 xml:space="preserve">Financial </w:t>
            </w:r>
            <w:proofErr w:type="spellStart"/>
            <w:r w:rsidRPr="003E1F91">
              <w:rPr>
                <w:rFonts w:asciiTheme="minorHAnsi" w:eastAsia="Times New Roman" w:hAnsiTheme="minorHAnsi" w:cstheme="minorHAnsi"/>
                <w:color w:val="000000"/>
                <w:szCs w:val="20"/>
              </w:rPr>
              <w:t>assets</w:t>
            </w:r>
            <w:proofErr w:type="spellEnd"/>
          </w:p>
        </w:tc>
        <w:tc>
          <w:tcPr>
            <w:tcW w:w="1275" w:type="dxa"/>
            <w:tcBorders>
              <w:top w:val="nil"/>
              <w:left w:val="nil"/>
              <w:bottom w:val="nil"/>
              <w:right w:val="nil"/>
            </w:tcBorders>
            <w:shd w:val="clear" w:color="auto" w:fill="auto"/>
            <w:vAlign w:val="center"/>
            <w:hideMark/>
          </w:tcPr>
          <w:p w:rsidR="003E1F91" w:rsidRPr="003E1F91" w:rsidRDefault="007B49DB" w:rsidP="003E1F91">
            <w:pPr>
              <w:spacing w:after="0" w:line="240" w:lineRule="auto"/>
              <w:jc w:val="right"/>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2,</w:t>
            </w:r>
            <w:r w:rsidR="003E1F91" w:rsidRPr="003E1F91">
              <w:rPr>
                <w:rFonts w:asciiTheme="minorHAnsi" w:eastAsia="Times New Roman" w:hAnsiTheme="minorHAnsi" w:cstheme="minorHAnsi"/>
                <w:color w:val="000000"/>
                <w:szCs w:val="20"/>
              </w:rPr>
              <w:t>651</w:t>
            </w:r>
          </w:p>
        </w:tc>
        <w:tc>
          <w:tcPr>
            <w:tcW w:w="2410" w:type="dxa"/>
            <w:tcBorders>
              <w:top w:val="nil"/>
              <w:left w:val="nil"/>
              <w:bottom w:val="nil"/>
              <w:right w:val="nil"/>
            </w:tcBorders>
            <w:shd w:val="clear" w:color="auto" w:fill="auto"/>
            <w:vAlign w:val="center"/>
            <w:hideMark/>
          </w:tcPr>
          <w:p w:rsidR="003E1F91" w:rsidRPr="003E1F91" w:rsidRDefault="007B49DB" w:rsidP="003E1F91">
            <w:pPr>
              <w:spacing w:after="0" w:line="240" w:lineRule="auto"/>
              <w:jc w:val="right"/>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3,</w:t>
            </w:r>
            <w:r w:rsidR="003E1F91" w:rsidRPr="003E1F91">
              <w:rPr>
                <w:rFonts w:asciiTheme="minorHAnsi" w:eastAsia="Times New Roman" w:hAnsiTheme="minorHAnsi" w:cstheme="minorHAnsi"/>
                <w:color w:val="000000"/>
                <w:szCs w:val="20"/>
              </w:rPr>
              <w:t>001</w:t>
            </w:r>
          </w:p>
        </w:tc>
      </w:tr>
      <w:tr w:rsidR="003E1F91" w:rsidRPr="003E1F91" w:rsidTr="003E1F91">
        <w:trPr>
          <w:trHeight w:val="290"/>
        </w:trPr>
        <w:tc>
          <w:tcPr>
            <w:tcW w:w="5529" w:type="dxa"/>
            <w:tcBorders>
              <w:top w:val="single" w:sz="8" w:space="0" w:color="000000"/>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r w:rsidRPr="003E1F91">
              <w:rPr>
                <w:rFonts w:asciiTheme="minorHAnsi" w:eastAsia="Times New Roman" w:hAnsiTheme="minorHAnsi" w:cstheme="minorHAnsi"/>
                <w:b/>
                <w:bCs/>
                <w:color w:val="000000"/>
                <w:szCs w:val="20"/>
              </w:rPr>
              <w:t>Non-</w:t>
            </w:r>
            <w:proofErr w:type="spellStart"/>
            <w:r w:rsidRPr="003E1F91">
              <w:rPr>
                <w:rFonts w:asciiTheme="minorHAnsi" w:eastAsia="Times New Roman" w:hAnsiTheme="minorHAnsi" w:cstheme="minorHAnsi"/>
                <w:b/>
                <w:bCs/>
                <w:color w:val="000000"/>
                <w:szCs w:val="20"/>
              </w:rPr>
              <w:t>current</w:t>
            </w:r>
            <w:proofErr w:type="spellEnd"/>
            <w:r w:rsidRPr="003E1F91">
              <w:rPr>
                <w:rFonts w:asciiTheme="minorHAnsi" w:eastAsia="Times New Roman" w:hAnsiTheme="minorHAnsi" w:cstheme="minorHAnsi"/>
                <w:b/>
                <w:bCs/>
                <w:color w:val="000000"/>
                <w:szCs w:val="20"/>
              </w:rPr>
              <w:t xml:space="preserve"> </w:t>
            </w:r>
            <w:proofErr w:type="spellStart"/>
            <w:r w:rsidRPr="003E1F91">
              <w:rPr>
                <w:rFonts w:asciiTheme="minorHAnsi" w:eastAsia="Times New Roman" w:hAnsiTheme="minorHAnsi" w:cstheme="minorHAnsi"/>
                <w:b/>
                <w:bCs/>
                <w:color w:val="000000"/>
                <w:szCs w:val="20"/>
              </w:rPr>
              <w:t>assets</w:t>
            </w:r>
            <w:proofErr w:type="spellEnd"/>
          </w:p>
        </w:tc>
        <w:tc>
          <w:tcPr>
            <w:tcW w:w="1275" w:type="dxa"/>
            <w:tcBorders>
              <w:top w:val="single" w:sz="8" w:space="0" w:color="000000"/>
              <w:left w:val="nil"/>
              <w:bottom w:val="nil"/>
              <w:right w:val="nil"/>
            </w:tcBorders>
            <w:shd w:val="clear" w:color="auto" w:fill="auto"/>
            <w:vAlign w:val="center"/>
            <w:hideMark/>
          </w:tcPr>
          <w:p w:rsidR="003E1F91" w:rsidRPr="003E1F91" w:rsidRDefault="007B49DB" w:rsidP="003E1F91">
            <w:pPr>
              <w:spacing w:after="0" w:line="240" w:lineRule="auto"/>
              <w:jc w:val="right"/>
              <w:rPr>
                <w:rFonts w:asciiTheme="minorHAnsi" w:eastAsia="Times New Roman" w:hAnsiTheme="minorHAnsi" w:cstheme="minorHAnsi"/>
                <w:b/>
                <w:bCs/>
                <w:color w:val="000000"/>
                <w:szCs w:val="20"/>
              </w:rPr>
            </w:pPr>
            <w:r>
              <w:rPr>
                <w:rFonts w:asciiTheme="minorHAnsi" w:eastAsia="Times New Roman" w:hAnsiTheme="minorHAnsi" w:cstheme="minorHAnsi"/>
                <w:b/>
                <w:bCs/>
                <w:color w:val="000000"/>
                <w:szCs w:val="20"/>
              </w:rPr>
              <w:t>12,</w:t>
            </w:r>
            <w:r w:rsidR="003E1F91" w:rsidRPr="003E1F91">
              <w:rPr>
                <w:rFonts w:asciiTheme="minorHAnsi" w:eastAsia="Times New Roman" w:hAnsiTheme="minorHAnsi" w:cstheme="minorHAnsi"/>
                <w:b/>
                <w:bCs/>
                <w:color w:val="000000"/>
                <w:szCs w:val="20"/>
              </w:rPr>
              <w:t>386</w:t>
            </w:r>
          </w:p>
        </w:tc>
        <w:tc>
          <w:tcPr>
            <w:tcW w:w="2410" w:type="dxa"/>
            <w:tcBorders>
              <w:top w:val="single" w:sz="8" w:space="0" w:color="000000"/>
              <w:left w:val="nil"/>
              <w:bottom w:val="nil"/>
              <w:right w:val="nil"/>
            </w:tcBorders>
            <w:shd w:val="clear" w:color="auto" w:fill="auto"/>
            <w:vAlign w:val="center"/>
            <w:hideMark/>
          </w:tcPr>
          <w:p w:rsidR="003E1F91" w:rsidRPr="003E1F91" w:rsidRDefault="007B49DB" w:rsidP="003E1F91">
            <w:pPr>
              <w:spacing w:after="0" w:line="240" w:lineRule="auto"/>
              <w:jc w:val="right"/>
              <w:rPr>
                <w:rFonts w:asciiTheme="minorHAnsi" w:eastAsia="Times New Roman" w:hAnsiTheme="minorHAnsi" w:cstheme="minorHAnsi"/>
                <w:b/>
                <w:bCs/>
                <w:color w:val="000000"/>
                <w:szCs w:val="20"/>
              </w:rPr>
            </w:pPr>
            <w:r>
              <w:rPr>
                <w:rFonts w:asciiTheme="minorHAnsi" w:eastAsia="Times New Roman" w:hAnsiTheme="minorHAnsi" w:cstheme="minorHAnsi"/>
                <w:b/>
                <w:bCs/>
                <w:color w:val="000000"/>
                <w:szCs w:val="20"/>
              </w:rPr>
              <w:t>11,</w:t>
            </w:r>
            <w:r w:rsidR="003E1F91" w:rsidRPr="003E1F91">
              <w:rPr>
                <w:rFonts w:asciiTheme="minorHAnsi" w:eastAsia="Times New Roman" w:hAnsiTheme="minorHAnsi" w:cstheme="minorHAnsi"/>
                <w:b/>
                <w:bCs/>
                <w:color w:val="000000"/>
                <w:szCs w:val="20"/>
              </w:rPr>
              <w:t>836</w:t>
            </w:r>
          </w:p>
        </w:tc>
      </w:tr>
      <w:tr w:rsidR="003E1F91" w:rsidRPr="003E1F91" w:rsidTr="003E1F91">
        <w:trPr>
          <w:trHeight w:val="290"/>
        </w:trPr>
        <w:tc>
          <w:tcPr>
            <w:tcW w:w="5529"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p>
        </w:tc>
        <w:tc>
          <w:tcPr>
            <w:tcW w:w="1275"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241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3E1F91" w:rsidTr="003E1F91">
        <w:trPr>
          <w:trHeight w:val="290"/>
        </w:trPr>
        <w:tc>
          <w:tcPr>
            <w:tcW w:w="5529"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proofErr w:type="spellStart"/>
            <w:r w:rsidRPr="003E1F91">
              <w:rPr>
                <w:rFonts w:asciiTheme="minorHAnsi" w:eastAsia="Times New Roman" w:hAnsiTheme="minorHAnsi" w:cstheme="minorHAnsi"/>
                <w:color w:val="000000"/>
                <w:szCs w:val="20"/>
              </w:rPr>
              <w:t>Inventories</w:t>
            </w:r>
            <w:proofErr w:type="spellEnd"/>
          </w:p>
        </w:tc>
        <w:tc>
          <w:tcPr>
            <w:tcW w:w="1275"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581</w:t>
            </w:r>
          </w:p>
        </w:tc>
        <w:tc>
          <w:tcPr>
            <w:tcW w:w="241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474</w:t>
            </w:r>
          </w:p>
        </w:tc>
      </w:tr>
      <w:tr w:rsidR="003E1F91" w:rsidRPr="003E1F91" w:rsidTr="003E1F91">
        <w:trPr>
          <w:trHeight w:val="290"/>
        </w:trPr>
        <w:tc>
          <w:tcPr>
            <w:tcW w:w="5529"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 xml:space="preserve">Trade </w:t>
            </w:r>
            <w:proofErr w:type="spellStart"/>
            <w:r w:rsidRPr="003E1F91">
              <w:rPr>
                <w:rFonts w:asciiTheme="minorHAnsi" w:eastAsia="Times New Roman" w:hAnsiTheme="minorHAnsi" w:cstheme="minorHAnsi"/>
                <w:color w:val="000000"/>
                <w:szCs w:val="20"/>
              </w:rPr>
              <w:t>and</w:t>
            </w:r>
            <w:proofErr w:type="spellEnd"/>
            <w:r w:rsidRPr="003E1F91">
              <w:rPr>
                <w:rFonts w:asciiTheme="minorHAnsi" w:eastAsia="Times New Roman" w:hAnsiTheme="minorHAnsi" w:cstheme="minorHAnsi"/>
                <w:color w:val="000000"/>
                <w:szCs w:val="20"/>
              </w:rPr>
              <w:t xml:space="preserve"> </w:t>
            </w:r>
            <w:proofErr w:type="spellStart"/>
            <w:r w:rsidRPr="003E1F91">
              <w:rPr>
                <w:rFonts w:asciiTheme="minorHAnsi" w:eastAsia="Times New Roman" w:hAnsiTheme="minorHAnsi" w:cstheme="minorHAnsi"/>
                <w:color w:val="000000"/>
                <w:szCs w:val="20"/>
              </w:rPr>
              <w:t>other</w:t>
            </w:r>
            <w:proofErr w:type="spellEnd"/>
            <w:r w:rsidRPr="003E1F91">
              <w:rPr>
                <w:rFonts w:asciiTheme="minorHAnsi" w:eastAsia="Times New Roman" w:hAnsiTheme="minorHAnsi" w:cstheme="minorHAnsi"/>
                <w:color w:val="000000"/>
                <w:szCs w:val="20"/>
              </w:rPr>
              <w:t xml:space="preserve"> </w:t>
            </w:r>
            <w:proofErr w:type="spellStart"/>
            <w:r w:rsidRPr="003E1F91">
              <w:rPr>
                <w:rFonts w:asciiTheme="minorHAnsi" w:eastAsia="Times New Roman" w:hAnsiTheme="minorHAnsi" w:cstheme="minorHAnsi"/>
                <w:color w:val="000000"/>
                <w:szCs w:val="20"/>
              </w:rPr>
              <w:t>receivables</w:t>
            </w:r>
            <w:proofErr w:type="spellEnd"/>
          </w:p>
        </w:tc>
        <w:tc>
          <w:tcPr>
            <w:tcW w:w="1275" w:type="dxa"/>
            <w:tcBorders>
              <w:top w:val="nil"/>
              <w:left w:val="nil"/>
              <w:bottom w:val="nil"/>
              <w:right w:val="nil"/>
            </w:tcBorders>
            <w:shd w:val="clear" w:color="auto" w:fill="auto"/>
            <w:vAlign w:val="center"/>
            <w:hideMark/>
          </w:tcPr>
          <w:p w:rsidR="003E1F91" w:rsidRPr="003E1F91" w:rsidRDefault="007B49DB" w:rsidP="003E1F91">
            <w:pPr>
              <w:spacing w:after="0" w:line="240" w:lineRule="auto"/>
              <w:jc w:val="right"/>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1,</w:t>
            </w:r>
            <w:r w:rsidR="003E1F91" w:rsidRPr="003E1F91">
              <w:rPr>
                <w:rFonts w:asciiTheme="minorHAnsi" w:eastAsia="Times New Roman" w:hAnsiTheme="minorHAnsi" w:cstheme="minorHAnsi"/>
                <w:color w:val="000000"/>
                <w:szCs w:val="20"/>
              </w:rPr>
              <w:t>980</w:t>
            </w:r>
          </w:p>
        </w:tc>
        <w:tc>
          <w:tcPr>
            <w:tcW w:w="2410" w:type="dxa"/>
            <w:tcBorders>
              <w:top w:val="nil"/>
              <w:left w:val="nil"/>
              <w:bottom w:val="nil"/>
              <w:right w:val="nil"/>
            </w:tcBorders>
            <w:shd w:val="clear" w:color="auto" w:fill="auto"/>
            <w:vAlign w:val="center"/>
            <w:hideMark/>
          </w:tcPr>
          <w:p w:rsidR="003E1F91" w:rsidRPr="003E1F91" w:rsidRDefault="007B49DB" w:rsidP="003E1F91">
            <w:pPr>
              <w:spacing w:after="0" w:line="240" w:lineRule="auto"/>
              <w:jc w:val="right"/>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1,</w:t>
            </w:r>
            <w:r w:rsidR="003E1F91" w:rsidRPr="003E1F91">
              <w:rPr>
                <w:rFonts w:asciiTheme="minorHAnsi" w:eastAsia="Times New Roman" w:hAnsiTheme="minorHAnsi" w:cstheme="minorHAnsi"/>
                <w:color w:val="000000"/>
                <w:szCs w:val="20"/>
              </w:rPr>
              <w:t>712</w:t>
            </w:r>
          </w:p>
        </w:tc>
      </w:tr>
      <w:tr w:rsidR="003E1F91" w:rsidRPr="003E1F91" w:rsidTr="003E1F91">
        <w:trPr>
          <w:trHeight w:val="300"/>
        </w:trPr>
        <w:tc>
          <w:tcPr>
            <w:tcW w:w="5529" w:type="dxa"/>
            <w:tcBorders>
              <w:top w:val="nil"/>
              <w:left w:val="nil"/>
              <w:bottom w:val="single" w:sz="8" w:space="0" w:color="000000"/>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 xml:space="preserve">Cash </w:t>
            </w:r>
            <w:proofErr w:type="spellStart"/>
            <w:r w:rsidRPr="003E1F91">
              <w:rPr>
                <w:rFonts w:asciiTheme="minorHAnsi" w:eastAsia="Times New Roman" w:hAnsiTheme="minorHAnsi" w:cstheme="minorHAnsi"/>
                <w:color w:val="000000"/>
                <w:szCs w:val="20"/>
              </w:rPr>
              <w:t>and</w:t>
            </w:r>
            <w:proofErr w:type="spellEnd"/>
            <w:r w:rsidRPr="003E1F91">
              <w:rPr>
                <w:rFonts w:asciiTheme="minorHAnsi" w:eastAsia="Times New Roman" w:hAnsiTheme="minorHAnsi" w:cstheme="minorHAnsi"/>
                <w:color w:val="000000"/>
                <w:szCs w:val="20"/>
              </w:rPr>
              <w:t xml:space="preserve"> cash </w:t>
            </w:r>
            <w:proofErr w:type="spellStart"/>
            <w:r w:rsidRPr="003E1F91">
              <w:rPr>
                <w:rFonts w:asciiTheme="minorHAnsi" w:eastAsia="Times New Roman" w:hAnsiTheme="minorHAnsi" w:cstheme="minorHAnsi"/>
                <w:color w:val="000000"/>
                <w:szCs w:val="20"/>
              </w:rPr>
              <w:t>equivalents</w:t>
            </w:r>
            <w:proofErr w:type="spellEnd"/>
          </w:p>
        </w:tc>
        <w:tc>
          <w:tcPr>
            <w:tcW w:w="1275" w:type="dxa"/>
            <w:tcBorders>
              <w:top w:val="nil"/>
              <w:left w:val="nil"/>
              <w:bottom w:val="single" w:sz="8" w:space="0" w:color="000000"/>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617</w:t>
            </w:r>
          </w:p>
        </w:tc>
        <w:tc>
          <w:tcPr>
            <w:tcW w:w="2410" w:type="dxa"/>
            <w:tcBorders>
              <w:top w:val="nil"/>
              <w:left w:val="nil"/>
              <w:bottom w:val="single" w:sz="8" w:space="0" w:color="000000"/>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689</w:t>
            </w:r>
          </w:p>
        </w:tc>
      </w:tr>
      <w:tr w:rsidR="003E1F91" w:rsidRPr="003E1F91" w:rsidTr="003E1F91">
        <w:trPr>
          <w:trHeight w:val="290"/>
        </w:trPr>
        <w:tc>
          <w:tcPr>
            <w:tcW w:w="5529"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proofErr w:type="spellStart"/>
            <w:r w:rsidRPr="003E1F91">
              <w:rPr>
                <w:rFonts w:asciiTheme="minorHAnsi" w:eastAsia="Times New Roman" w:hAnsiTheme="minorHAnsi" w:cstheme="minorHAnsi"/>
                <w:b/>
                <w:bCs/>
                <w:color w:val="000000"/>
                <w:szCs w:val="20"/>
              </w:rPr>
              <w:t>Current</w:t>
            </w:r>
            <w:proofErr w:type="spellEnd"/>
            <w:r w:rsidRPr="003E1F91">
              <w:rPr>
                <w:rFonts w:asciiTheme="minorHAnsi" w:eastAsia="Times New Roman" w:hAnsiTheme="minorHAnsi" w:cstheme="minorHAnsi"/>
                <w:b/>
                <w:bCs/>
                <w:color w:val="000000"/>
                <w:szCs w:val="20"/>
              </w:rPr>
              <w:t xml:space="preserve"> </w:t>
            </w:r>
            <w:proofErr w:type="spellStart"/>
            <w:r w:rsidRPr="003E1F91">
              <w:rPr>
                <w:rFonts w:asciiTheme="minorHAnsi" w:eastAsia="Times New Roman" w:hAnsiTheme="minorHAnsi" w:cstheme="minorHAnsi"/>
                <w:b/>
                <w:bCs/>
                <w:color w:val="000000"/>
                <w:szCs w:val="20"/>
              </w:rPr>
              <w:t>assets</w:t>
            </w:r>
            <w:proofErr w:type="spellEnd"/>
          </w:p>
        </w:tc>
        <w:tc>
          <w:tcPr>
            <w:tcW w:w="1275" w:type="dxa"/>
            <w:tcBorders>
              <w:top w:val="nil"/>
              <w:left w:val="nil"/>
              <w:bottom w:val="nil"/>
              <w:right w:val="nil"/>
            </w:tcBorders>
            <w:shd w:val="clear" w:color="auto" w:fill="auto"/>
            <w:vAlign w:val="center"/>
            <w:hideMark/>
          </w:tcPr>
          <w:p w:rsidR="003E1F91" w:rsidRPr="003E1F91" w:rsidRDefault="007B49DB" w:rsidP="003E1F91">
            <w:pPr>
              <w:spacing w:after="0" w:line="240" w:lineRule="auto"/>
              <w:jc w:val="right"/>
              <w:rPr>
                <w:rFonts w:asciiTheme="minorHAnsi" w:eastAsia="Times New Roman" w:hAnsiTheme="minorHAnsi" w:cstheme="minorHAnsi"/>
                <w:b/>
                <w:bCs/>
                <w:color w:val="000000"/>
                <w:szCs w:val="20"/>
              </w:rPr>
            </w:pPr>
            <w:r>
              <w:rPr>
                <w:rFonts w:asciiTheme="minorHAnsi" w:eastAsia="Times New Roman" w:hAnsiTheme="minorHAnsi" w:cstheme="minorHAnsi"/>
                <w:b/>
                <w:bCs/>
                <w:color w:val="000000"/>
                <w:szCs w:val="20"/>
              </w:rPr>
              <w:t>3</w:t>
            </w:r>
            <w:r w:rsidR="003E1F91" w:rsidRPr="003E1F91">
              <w:rPr>
                <w:rFonts w:asciiTheme="minorHAnsi" w:eastAsia="Times New Roman" w:hAnsiTheme="minorHAnsi" w:cstheme="minorHAnsi"/>
                <w:b/>
                <w:bCs/>
                <w:color w:val="000000"/>
                <w:szCs w:val="20"/>
              </w:rPr>
              <w:t>178</w:t>
            </w:r>
          </w:p>
        </w:tc>
        <w:tc>
          <w:tcPr>
            <w:tcW w:w="2410" w:type="dxa"/>
            <w:tcBorders>
              <w:top w:val="nil"/>
              <w:left w:val="nil"/>
              <w:bottom w:val="nil"/>
              <w:right w:val="nil"/>
            </w:tcBorders>
            <w:shd w:val="clear" w:color="auto" w:fill="auto"/>
            <w:vAlign w:val="center"/>
            <w:hideMark/>
          </w:tcPr>
          <w:p w:rsidR="003E1F91" w:rsidRPr="003E1F91" w:rsidRDefault="007B49DB" w:rsidP="003E1F91">
            <w:pPr>
              <w:spacing w:after="0" w:line="240" w:lineRule="auto"/>
              <w:jc w:val="right"/>
              <w:rPr>
                <w:rFonts w:asciiTheme="minorHAnsi" w:eastAsia="Times New Roman" w:hAnsiTheme="minorHAnsi" w:cstheme="minorHAnsi"/>
                <w:b/>
                <w:bCs/>
                <w:color w:val="000000"/>
                <w:szCs w:val="20"/>
              </w:rPr>
            </w:pPr>
            <w:r>
              <w:rPr>
                <w:rFonts w:asciiTheme="minorHAnsi" w:eastAsia="Times New Roman" w:hAnsiTheme="minorHAnsi" w:cstheme="minorHAnsi"/>
                <w:b/>
                <w:bCs/>
                <w:color w:val="000000"/>
                <w:szCs w:val="20"/>
              </w:rPr>
              <w:t>2,</w:t>
            </w:r>
            <w:r w:rsidR="003E1F91" w:rsidRPr="003E1F91">
              <w:rPr>
                <w:rFonts w:asciiTheme="minorHAnsi" w:eastAsia="Times New Roman" w:hAnsiTheme="minorHAnsi" w:cstheme="minorHAnsi"/>
                <w:b/>
                <w:bCs/>
                <w:color w:val="000000"/>
                <w:szCs w:val="20"/>
              </w:rPr>
              <w:t>875</w:t>
            </w:r>
          </w:p>
        </w:tc>
      </w:tr>
      <w:tr w:rsidR="003E1F91" w:rsidRPr="003E1F91" w:rsidTr="003E1F91">
        <w:trPr>
          <w:trHeight w:val="300"/>
        </w:trPr>
        <w:tc>
          <w:tcPr>
            <w:tcW w:w="5529"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r w:rsidRPr="003E1F91">
              <w:rPr>
                <w:rFonts w:asciiTheme="minorHAnsi" w:eastAsia="Times New Roman" w:hAnsiTheme="minorHAnsi" w:cstheme="minorHAnsi"/>
                <w:b/>
                <w:bCs/>
                <w:color w:val="000000"/>
                <w:szCs w:val="20"/>
              </w:rPr>
              <w:t> </w:t>
            </w:r>
          </w:p>
        </w:tc>
        <w:tc>
          <w:tcPr>
            <w:tcW w:w="1275"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r w:rsidRPr="003E1F91">
              <w:rPr>
                <w:rFonts w:asciiTheme="minorHAnsi" w:eastAsia="Times New Roman" w:hAnsiTheme="minorHAnsi" w:cstheme="minorHAnsi"/>
                <w:b/>
                <w:bCs/>
                <w:color w:val="000000"/>
                <w:szCs w:val="20"/>
              </w:rPr>
              <w:t> </w:t>
            </w:r>
          </w:p>
        </w:tc>
        <w:tc>
          <w:tcPr>
            <w:tcW w:w="2410"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r w:rsidRPr="003E1F91">
              <w:rPr>
                <w:rFonts w:asciiTheme="minorHAnsi" w:eastAsia="Times New Roman" w:hAnsiTheme="minorHAnsi" w:cstheme="minorHAnsi"/>
                <w:b/>
                <w:bCs/>
                <w:color w:val="000000"/>
                <w:szCs w:val="20"/>
              </w:rPr>
              <w:t> </w:t>
            </w:r>
          </w:p>
        </w:tc>
      </w:tr>
      <w:tr w:rsidR="003E1F91" w:rsidRPr="003E1F91" w:rsidTr="003E1F91">
        <w:trPr>
          <w:trHeight w:val="300"/>
        </w:trPr>
        <w:tc>
          <w:tcPr>
            <w:tcW w:w="5529" w:type="dxa"/>
            <w:tcBorders>
              <w:top w:val="nil"/>
              <w:left w:val="nil"/>
              <w:bottom w:val="single" w:sz="8" w:space="0" w:color="auto"/>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r w:rsidRPr="003E1F91">
              <w:rPr>
                <w:rFonts w:asciiTheme="minorHAnsi" w:eastAsia="Times New Roman" w:hAnsiTheme="minorHAnsi" w:cstheme="minorHAnsi"/>
                <w:b/>
                <w:bCs/>
                <w:color w:val="000000"/>
                <w:szCs w:val="20"/>
              </w:rPr>
              <w:t xml:space="preserve">Total </w:t>
            </w:r>
            <w:proofErr w:type="spellStart"/>
            <w:r w:rsidRPr="003E1F91">
              <w:rPr>
                <w:rFonts w:asciiTheme="minorHAnsi" w:eastAsia="Times New Roman" w:hAnsiTheme="minorHAnsi" w:cstheme="minorHAnsi"/>
                <w:b/>
                <w:bCs/>
                <w:color w:val="000000"/>
                <w:szCs w:val="20"/>
              </w:rPr>
              <w:t>assets</w:t>
            </w:r>
            <w:proofErr w:type="spellEnd"/>
          </w:p>
        </w:tc>
        <w:tc>
          <w:tcPr>
            <w:tcW w:w="1275" w:type="dxa"/>
            <w:tcBorders>
              <w:top w:val="nil"/>
              <w:left w:val="nil"/>
              <w:bottom w:val="single" w:sz="8" w:space="0" w:color="auto"/>
              <w:right w:val="nil"/>
            </w:tcBorders>
            <w:shd w:val="clear" w:color="auto" w:fill="auto"/>
            <w:vAlign w:val="center"/>
            <w:hideMark/>
          </w:tcPr>
          <w:p w:rsidR="003E1F91" w:rsidRPr="003E1F91" w:rsidRDefault="007B49DB" w:rsidP="003E1F91">
            <w:pPr>
              <w:spacing w:after="0" w:line="240" w:lineRule="auto"/>
              <w:jc w:val="right"/>
              <w:rPr>
                <w:rFonts w:asciiTheme="minorHAnsi" w:eastAsia="Times New Roman" w:hAnsiTheme="minorHAnsi" w:cstheme="minorHAnsi"/>
                <w:b/>
                <w:bCs/>
                <w:color w:val="000000"/>
                <w:szCs w:val="20"/>
              </w:rPr>
            </w:pPr>
            <w:r>
              <w:rPr>
                <w:rFonts w:asciiTheme="minorHAnsi" w:eastAsia="Times New Roman" w:hAnsiTheme="minorHAnsi" w:cstheme="minorHAnsi"/>
                <w:b/>
                <w:bCs/>
                <w:color w:val="000000"/>
                <w:szCs w:val="20"/>
              </w:rPr>
              <w:t>15,</w:t>
            </w:r>
            <w:r w:rsidR="003E1F91" w:rsidRPr="003E1F91">
              <w:rPr>
                <w:rFonts w:asciiTheme="minorHAnsi" w:eastAsia="Times New Roman" w:hAnsiTheme="minorHAnsi" w:cstheme="minorHAnsi"/>
                <w:b/>
                <w:bCs/>
                <w:color w:val="000000"/>
                <w:szCs w:val="20"/>
              </w:rPr>
              <w:t>564</w:t>
            </w:r>
          </w:p>
        </w:tc>
        <w:tc>
          <w:tcPr>
            <w:tcW w:w="2410" w:type="dxa"/>
            <w:tcBorders>
              <w:top w:val="nil"/>
              <w:left w:val="nil"/>
              <w:bottom w:val="single" w:sz="8" w:space="0" w:color="auto"/>
              <w:right w:val="nil"/>
            </w:tcBorders>
            <w:shd w:val="clear" w:color="auto" w:fill="auto"/>
            <w:vAlign w:val="center"/>
            <w:hideMark/>
          </w:tcPr>
          <w:p w:rsidR="003E1F91" w:rsidRPr="003E1F91" w:rsidRDefault="007B49DB" w:rsidP="003E1F91">
            <w:pPr>
              <w:spacing w:after="0" w:line="240" w:lineRule="auto"/>
              <w:jc w:val="right"/>
              <w:rPr>
                <w:rFonts w:asciiTheme="minorHAnsi" w:eastAsia="Times New Roman" w:hAnsiTheme="minorHAnsi" w:cstheme="minorHAnsi"/>
                <w:b/>
                <w:bCs/>
                <w:color w:val="000000"/>
                <w:szCs w:val="20"/>
              </w:rPr>
            </w:pPr>
            <w:r>
              <w:rPr>
                <w:rFonts w:asciiTheme="minorHAnsi" w:eastAsia="Times New Roman" w:hAnsiTheme="minorHAnsi" w:cstheme="minorHAnsi"/>
                <w:b/>
                <w:bCs/>
                <w:color w:val="000000"/>
                <w:szCs w:val="20"/>
              </w:rPr>
              <w:t>14,</w:t>
            </w:r>
            <w:r w:rsidR="003E1F91" w:rsidRPr="003E1F91">
              <w:rPr>
                <w:rFonts w:asciiTheme="minorHAnsi" w:eastAsia="Times New Roman" w:hAnsiTheme="minorHAnsi" w:cstheme="minorHAnsi"/>
                <w:b/>
                <w:bCs/>
                <w:color w:val="000000"/>
                <w:szCs w:val="20"/>
              </w:rPr>
              <w:t>711</w:t>
            </w:r>
          </w:p>
        </w:tc>
      </w:tr>
      <w:tr w:rsidR="003E1F91" w:rsidRPr="003E1F91" w:rsidTr="003E1F91">
        <w:trPr>
          <w:trHeight w:val="290"/>
        </w:trPr>
        <w:tc>
          <w:tcPr>
            <w:tcW w:w="5529"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p>
        </w:tc>
        <w:tc>
          <w:tcPr>
            <w:tcW w:w="1275"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241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3E1F91" w:rsidTr="003E1F91">
        <w:trPr>
          <w:trHeight w:val="290"/>
        </w:trPr>
        <w:tc>
          <w:tcPr>
            <w:tcW w:w="5529"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szCs w:val="20"/>
              </w:rPr>
            </w:pPr>
          </w:p>
        </w:tc>
        <w:tc>
          <w:tcPr>
            <w:tcW w:w="1275"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241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4F4E0E" w:rsidTr="003E1F91">
        <w:trPr>
          <w:trHeight w:val="290"/>
        </w:trPr>
        <w:tc>
          <w:tcPr>
            <w:tcW w:w="5529" w:type="dxa"/>
            <w:tcBorders>
              <w:top w:val="nil"/>
              <w:left w:val="nil"/>
              <w:bottom w:val="nil"/>
              <w:right w:val="nil"/>
            </w:tcBorders>
            <w:shd w:val="clear" w:color="auto" w:fill="auto"/>
            <w:vAlign w:val="center"/>
            <w:hideMark/>
          </w:tcPr>
          <w:p w:rsidR="003E1F91" w:rsidRPr="004F4E0E" w:rsidRDefault="003E1F91" w:rsidP="004F4E0E">
            <w:pPr>
              <w:ind w:left="284"/>
              <w:jc w:val="both"/>
              <w:rPr>
                <w:rFonts w:asciiTheme="minorHAnsi" w:eastAsia="Times New Roman" w:hAnsiTheme="minorHAnsi" w:cstheme="minorHAnsi"/>
                <w:b/>
                <w:color w:val="B71234"/>
                <w:sz w:val="22"/>
                <w:lang w:val="en-GB" w:eastAsia="en-GB" w:bidi="en-GB"/>
              </w:rPr>
            </w:pPr>
            <w:r w:rsidRPr="004F4E0E">
              <w:rPr>
                <w:rFonts w:asciiTheme="minorHAnsi" w:eastAsia="Times New Roman" w:hAnsiTheme="minorHAnsi" w:cstheme="minorHAnsi"/>
                <w:b/>
                <w:color w:val="B71234"/>
                <w:sz w:val="22"/>
                <w:lang w:val="en-GB" w:eastAsia="en-GB" w:bidi="en-GB"/>
              </w:rPr>
              <w:t>Equity and liabilities</w:t>
            </w:r>
          </w:p>
        </w:tc>
        <w:tc>
          <w:tcPr>
            <w:tcW w:w="1275" w:type="dxa"/>
            <w:tcBorders>
              <w:top w:val="nil"/>
              <w:left w:val="nil"/>
              <w:bottom w:val="nil"/>
              <w:right w:val="nil"/>
            </w:tcBorders>
            <w:shd w:val="clear" w:color="auto" w:fill="auto"/>
            <w:vAlign w:val="center"/>
            <w:hideMark/>
          </w:tcPr>
          <w:p w:rsidR="003E1F91" w:rsidRPr="004F4E0E" w:rsidRDefault="003E1F91" w:rsidP="004F4E0E">
            <w:pPr>
              <w:ind w:left="284"/>
              <w:jc w:val="both"/>
              <w:rPr>
                <w:rFonts w:asciiTheme="minorHAnsi" w:eastAsia="Times New Roman" w:hAnsiTheme="minorHAnsi" w:cstheme="minorHAnsi"/>
                <w:b/>
                <w:color w:val="B71234"/>
                <w:sz w:val="22"/>
                <w:lang w:val="en-GB" w:eastAsia="en-GB" w:bidi="en-GB"/>
              </w:rPr>
            </w:pPr>
          </w:p>
        </w:tc>
        <w:tc>
          <w:tcPr>
            <w:tcW w:w="2410" w:type="dxa"/>
            <w:tcBorders>
              <w:top w:val="nil"/>
              <w:left w:val="nil"/>
              <w:bottom w:val="nil"/>
              <w:right w:val="nil"/>
            </w:tcBorders>
            <w:shd w:val="clear" w:color="auto" w:fill="auto"/>
            <w:vAlign w:val="center"/>
            <w:hideMark/>
          </w:tcPr>
          <w:p w:rsidR="003E1F91" w:rsidRPr="004F4E0E" w:rsidRDefault="003E1F91" w:rsidP="004F4E0E">
            <w:pPr>
              <w:ind w:left="284"/>
              <w:jc w:val="both"/>
              <w:rPr>
                <w:rFonts w:asciiTheme="minorHAnsi" w:eastAsia="Times New Roman" w:hAnsiTheme="minorHAnsi" w:cstheme="minorHAnsi"/>
                <w:b/>
                <w:color w:val="B71234"/>
                <w:sz w:val="22"/>
                <w:lang w:val="en-GB" w:eastAsia="en-GB" w:bidi="en-GB"/>
              </w:rPr>
            </w:pPr>
          </w:p>
        </w:tc>
      </w:tr>
      <w:tr w:rsidR="003E1F91" w:rsidRPr="003E1F91" w:rsidTr="003E1F91">
        <w:trPr>
          <w:trHeight w:val="150"/>
        </w:trPr>
        <w:tc>
          <w:tcPr>
            <w:tcW w:w="5529"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szCs w:val="20"/>
              </w:rPr>
            </w:pPr>
          </w:p>
        </w:tc>
        <w:tc>
          <w:tcPr>
            <w:tcW w:w="1275"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241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3E1F91" w:rsidTr="003E1F91">
        <w:trPr>
          <w:trHeight w:val="290"/>
        </w:trPr>
        <w:tc>
          <w:tcPr>
            <w:tcW w:w="5529"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proofErr w:type="spellStart"/>
            <w:r w:rsidRPr="003E1F91">
              <w:rPr>
                <w:rFonts w:asciiTheme="minorHAnsi" w:eastAsia="Times New Roman" w:hAnsiTheme="minorHAnsi" w:cstheme="minorHAnsi"/>
                <w:color w:val="000000"/>
                <w:szCs w:val="20"/>
              </w:rPr>
              <w:t>Issued</w:t>
            </w:r>
            <w:proofErr w:type="spellEnd"/>
            <w:r w:rsidRPr="003E1F91">
              <w:rPr>
                <w:rFonts w:asciiTheme="minorHAnsi" w:eastAsia="Times New Roman" w:hAnsiTheme="minorHAnsi" w:cstheme="minorHAnsi"/>
                <w:color w:val="000000"/>
                <w:szCs w:val="20"/>
              </w:rPr>
              <w:t xml:space="preserve"> </w:t>
            </w:r>
            <w:proofErr w:type="spellStart"/>
            <w:r w:rsidRPr="003E1F91">
              <w:rPr>
                <w:rFonts w:asciiTheme="minorHAnsi" w:eastAsia="Times New Roman" w:hAnsiTheme="minorHAnsi" w:cstheme="minorHAnsi"/>
                <w:color w:val="000000"/>
                <w:szCs w:val="20"/>
              </w:rPr>
              <w:t>share</w:t>
            </w:r>
            <w:proofErr w:type="spellEnd"/>
            <w:r w:rsidRPr="003E1F91">
              <w:rPr>
                <w:rFonts w:asciiTheme="minorHAnsi" w:eastAsia="Times New Roman" w:hAnsiTheme="minorHAnsi" w:cstheme="minorHAnsi"/>
                <w:color w:val="000000"/>
                <w:szCs w:val="20"/>
              </w:rPr>
              <w:t xml:space="preserve"> </w:t>
            </w:r>
            <w:proofErr w:type="spellStart"/>
            <w:r w:rsidRPr="003E1F91">
              <w:rPr>
                <w:rFonts w:asciiTheme="minorHAnsi" w:eastAsia="Times New Roman" w:hAnsiTheme="minorHAnsi" w:cstheme="minorHAnsi"/>
                <w:color w:val="000000"/>
                <w:szCs w:val="20"/>
              </w:rPr>
              <w:t>capital</w:t>
            </w:r>
            <w:proofErr w:type="spellEnd"/>
            <w:r w:rsidRPr="003E1F91">
              <w:rPr>
                <w:rFonts w:asciiTheme="minorHAnsi" w:eastAsia="Times New Roman" w:hAnsiTheme="minorHAnsi" w:cstheme="minorHAnsi"/>
                <w:color w:val="000000"/>
                <w:szCs w:val="20"/>
              </w:rPr>
              <w:t xml:space="preserve"> </w:t>
            </w:r>
          </w:p>
        </w:tc>
        <w:tc>
          <w:tcPr>
            <w:tcW w:w="1275" w:type="dxa"/>
            <w:tcBorders>
              <w:top w:val="nil"/>
              <w:left w:val="nil"/>
              <w:bottom w:val="nil"/>
              <w:right w:val="nil"/>
            </w:tcBorders>
            <w:shd w:val="clear" w:color="auto" w:fill="auto"/>
            <w:vAlign w:val="center"/>
            <w:hideMark/>
          </w:tcPr>
          <w:p w:rsidR="003E1F91" w:rsidRPr="003E1F91" w:rsidRDefault="007B49DB" w:rsidP="003E1F91">
            <w:pPr>
              <w:spacing w:after="0" w:line="240" w:lineRule="auto"/>
              <w:jc w:val="right"/>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7,</w:t>
            </w:r>
            <w:r w:rsidR="003E1F91" w:rsidRPr="003E1F91">
              <w:rPr>
                <w:rFonts w:asciiTheme="minorHAnsi" w:eastAsia="Times New Roman" w:hAnsiTheme="minorHAnsi" w:cstheme="minorHAnsi"/>
                <w:color w:val="000000"/>
                <w:szCs w:val="20"/>
              </w:rPr>
              <w:t>339</w:t>
            </w:r>
          </w:p>
        </w:tc>
        <w:tc>
          <w:tcPr>
            <w:tcW w:w="2410" w:type="dxa"/>
            <w:tcBorders>
              <w:top w:val="nil"/>
              <w:left w:val="nil"/>
              <w:bottom w:val="nil"/>
              <w:right w:val="nil"/>
            </w:tcBorders>
            <w:shd w:val="clear" w:color="auto" w:fill="auto"/>
            <w:vAlign w:val="center"/>
            <w:hideMark/>
          </w:tcPr>
          <w:p w:rsidR="003E1F91" w:rsidRPr="003E1F91" w:rsidRDefault="007B49DB" w:rsidP="003E1F91">
            <w:pPr>
              <w:spacing w:after="0" w:line="240" w:lineRule="auto"/>
              <w:jc w:val="right"/>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6,</w:t>
            </w:r>
            <w:r w:rsidR="003E1F91" w:rsidRPr="003E1F91">
              <w:rPr>
                <w:rFonts w:asciiTheme="minorHAnsi" w:eastAsia="Times New Roman" w:hAnsiTheme="minorHAnsi" w:cstheme="minorHAnsi"/>
                <w:color w:val="000000"/>
                <w:szCs w:val="20"/>
              </w:rPr>
              <w:t>979</w:t>
            </w:r>
          </w:p>
        </w:tc>
      </w:tr>
      <w:tr w:rsidR="003E1F91" w:rsidRPr="003E1F91" w:rsidTr="003E1F91">
        <w:trPr>
          <w:trHeight w:val="290"/>
        </w:trPr>
        <w:tc>
          <w:tcPr>
            <w:tcW w:w="5529"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 xml:space="preserve">Share </w:t>
            </w:r>
            <w:proofErr w:type="spellStart"/>
            <w:r w:rsidRPr="003E1F91">
              <w:rPr>
                <w:rFonts w:asciiTheme="minorHAnsi" w:eastAsia="Times New Roman" w:hAnsiTheme="minorHAnsi" w:cstheme="minorHAnsi"/>
                <w:color w:val="000000"/>
                <w:szCs w:val="20"/>
              </w:rPr>
              <w:t>premium</w:t>
            </w:r>
            <w:proofErr w:type="spellEnd"/>
          </w:p>
        </w:tc>
        <w:tc>
          <w:tcPr>
            <w:tcW w:w="1275" w:type="dxa"/>
            <w:tcBorders>
              <w:top w:val="nil"/>
              <w:left w:val="nil"/>
              <w:bottom w:val="nil"/>
              <w:right w:val="nil"/>
            </w:tcBorders>
            <w:shd w:val="clear" w:color="auto" w:fill="auto"/>
            <w:vAlign w:val="center"/>
            <w:hideMark/>
          </w:tcPr>
          <w:p w:rsidR="003E1F91" w:rsidRPr="003E1F91" w:rsidRDefault="007B49DB" w:rsidP="003E1F91">
            <w:pPr>
              <w:spacing w:after="0" w:line="240" w:lineRule="auto"/>
              <w:jc w:val="right"/>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19,</w:t>
            </w:r>
            <w:r w:rsidR="003E1F91" w:rsidRPr="003E1F91">
              <w:rPr>
                <w:rFonts w:asciiTheme="minorHAnsi" w:eastAsia="Times New Roman" w:hAnsiTheme="minorHAnsi" w:cstheme="minorHAnsi"/>
                <w:color w:val="000000"/>
                <w:szCs w:val="20"/>
              </w:rPr>
              <w:t>906</w:t>
            </w:r>
          </w:p>
        </w:tc>
        <w:tc>
          <w:tcPr>
            <w:tcW w:w="2410" w:type="dxa"/>
            <w:tcBorders>
              <w:top w:val="nil"/>
              <w:left w:val="nil"/>
              <w:bottom w:val="nil"/>
              <w:right w:val="nil"/>
            </w:tcBorders>
            <w:shd w:val="clear" w:color="auto" w:fill="auto"/>
            <w:vAlign w:val="center"/>
            <w:hideMark/>
          </w:tcPr>
          <w:p w:rsidR="003E1F91" w:rsidRPr="003E1F91" w:rsidRDefault="007B49DB" w:rsidP="003E1F91">
            <w:pPr>
              <w:spacing w:after="0" w:line="240" w:lineRule="auto"/>
              <w:jc w:val="right"/>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19,</w:t>
            </w:r>
            <w:r w:rsidR="003E1F91" w:rsidRPr="003E1F91">
              <w:rPr>
                <w:rFonts w:asciiTheme="minorHAnsi" w:eastAsia="Times New Roman" w:hAnsiTheme="minorHAnsi" w:cstheme="minorHAnsi"/>
                <w:color w:val="000000"/>
                <w:szCs w:val="20"/>
              </w:rPr>
              <w:t>659</w:t>
            </w:r>
          </w:p>
        </w:tc>
      </w:tr>
      <w:tr w:rsidR="003E1F91" w:rsidRPr="003E1F91" w:rsidTr="003E1F91">
        <w:trPr>
          <w:trHeight w:val="290"/>
        </w:trPr>
        <w:tc>
          <w:tcPr>
            <w:tcW w:w="5529"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proofErr w:type="spellStart"/>
            <w:r w:rsidRPr="003E1F91">
              <w:rPr>
                <w:rFonts w:asciiTheme="minorHAnsi" w:eastAsia="Times New Roman" w:hAnsiTheme="minorHAnsi" w:cstheme="minorHAnsi"/>
                <w:color w:val="000000"/>
                <w:szCs w:val="20"/>
              </w:rPr>
              <w:t>Revaluation</w:t>
            </w:r>
            <w:proofErr w:type="spellEnd"/>
            <w:r w:rsidRPr="003E1F91">
              <w:rPr>
                <w:rFonts w:asciiTheme="minorHAnsi" w:eastAsia="Times New Roman" w:hAnsiTheme="minorHAnsi" w:cstheme="minorHAnsi"/>
                <w:color w:val="000000"/>
                <w:szCs w:val="20"/>
              </w:rPr>
              <w:t xml:space="preserve"> </w:t>
            </w:r>
            <w:proofErr w:type="spellStart"/>
            <w:r w:rsidRPr="003E1F91">
              <w:rPr>
                <w:rFonts w:asciiTheme="minorHAnsi" w:eastAsia="Times New Roman" w:hAnsiTheme="minorHAnsi" w:cstheme="minorHAnsi"/>
                <w:color w:val="000000"/>
                <w:szCs w:val="20"/>
              </w:rPr>
              <w:t>reserve</w:t>
            </w:r>
            <w:proofErr w:type="spellEnd"/>
          </w:p>
        </w:tc>
        <w:tc>
          <w:tcPr>
            <w:tcW w:w="1275" w:type="dxa"/>
            <w:tcBorders>
              <w:top w:val="nil"/>
              <w:left w:val="nil"/>
              <w:bottom w:val="nil"/>
              <w:right w:val="nil"/>
            </w:tcBorders>
            <w:shd w:val="clear" w:color="auto" w:fill="auto"/>
            <w:vAlign w:val="center"/>
            <w:hideMark/>
          </w:tcPr>
          <w:p w:rsidR="003E1F91" w:rsidRPr="003E1F91" w:rsidRDefault="007B49DB" w:rsidP="003E1F91">
            <w:pPr>
              <w:spacing w:after="0" w:line="240" w:lineRule="auto"/>
              <w:jc w:val="right"/>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2,</w:t>
            </w:r>
            <w:r w:rsidR="003E1F91" w:rsidRPr="003E1F91">
              <w:rPr>
                <w:rFonts w:asciiTheme="minorHAnsi" w:eastAsia="Times New Roman" w:hAnsiTheme="minorHAnsi" w:cstheme="minorHAnsi"/>
                <w:color w:val="000000"/>
                <w:szCs w:val="20"/>
              </w:rPr>
              <w:t>216</w:t>
            </w:r>
          </w:p>
        </w:tc>
        <w:tc>
          <w:tcPr>
            <w:tcW w:w="2410" w:type="dxa"/>
            <w:tcBorders>
              <w:top w:val="nil"/>
              <w:left w:val="nil"/>
              <w:bottom w:val="nil"/>
              <w:right w:val="nil"/>
            </w:tcBorders>
            <w:shd w:val="clear" w:color="auto" w:fill="auto"/>
            <w:vAlign w:val="center"/>
            <w:hideMark/>
          </w:tcPr>
          <w:p w:rsidR="003E1F91" w:rsidRPr="003E1F91" w:rsidRDefault="007B49DB" w:rsidP="003E1F91">
            <w:pPr>
              <w:spacing w:after="0" w:line="240" w:lineRule="auto"/>
              <w:jc w:val="right"/>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1</w:t>
            </w:r>
            <w:r w:rsidR="003E1F91" w:rsidRPr="003E1F91">
              <w:rPr>
                <w:rFonts w:asciiTheme="minorHAnsi" w:eastAsia="Times New Roman" w:hAnsiTheme="minorHAnsi" w:cstheme="minorHAnsi"/>
                <w:color w:val="000000"/>
                <w:szCs w:val="20"/>
              </w:rPr>
              <w:t>763</w:t>
            </w:r>
          </w:p>
        </w:tc>
      </w:tr>
      <w:tr w:rsidR="003E1F91" w:rsidRPr="003E1F91" w:rsidTr="003E1F91">
        <w:trPr>
          <w:trHeight w:val="300"/>
        </w:trPr>
        <w:tc>
          <w:tcPr>
            <w:tcW w:w="5529"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proofErr w:type="spellStart"/>
            <w:r w:rsidRPr="003E1F91">
              <w:rPr>
                <w:rFonts w:asciiTheme="minorHAnsi" w:eastAsia="Times New Roman" w:hAnsiTheme="minorHAnsi" w:cstheme="minorHAnsi"/>
                <w:color w:val="000000"/>
                <w:szCs w:val="20"/>
              </w:rPr>
              <w:t>Retained</w:t>
            </w:r>
            <w:proofErr w:type="spellEnd"/>
            <w:r w:rsidRPr="003E1F91">
              <w:rPr>
                <w:rFonts w:asciiTheme="minorHAnsi" w:eastAsia="Times New Roman" w:hAnsiTheme="minorHAnsi" w:cstheme="minorHAnsi"/>
                <w:color w:val="000000"/>
                <w:szCs w:val="20"/>
              </w:rPr>
              <w:t xml:space="preserve"> </w:t>
            </w:r>
            <w:proofErr w:type="spellStart"/>
            <w:r w:rsidRPr="003E1F91">
              <w:rPr>
                <w:rFonts w:asciiTheme="minorHAnsi" w:eastAsia="Times New Roman" w:hAnsiTheme="minorHAnsi" w:cstheme="minorHAnsi"/>
                <w:color w:val="000000"/>
                <w:szCs w:val="20"/>
              </w:rPr>
              <w:t>earnings</w:t>
            </w:r>
            <w:proofErr w:type="spellEnd"/>
          </w:p>
        </w:tc>
        <w:tc>
          <w:tcPr>
            <w:tcW w:w="1275" w:type="dxa"/>
            <w:tcBorders>
              <w:top w:val="nil"/>
              <w:left w:val="nil"/>
              <w:bottom w:val="nil"/>
              <w:right w:val="nil"/>
            </w:tcBorders>
            <w:shd w:val="clear" w:color="auto" w:fill="auto"/>
            <w:vAlign w:val="center"/>
            <w:hideMark/>
          </w:tcPr>
          <w:p w:rsidR="003E1F91" w:rsidRPr="003E1F91" w:rsidRDefault="007B49DB" w:rsidP="003E1F91">
            <w:pPr>
              <w:spacing w:after="0" w:line="240" w:lineRule="auto"/>
              <w:jc w:val="right"/>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-27,</w:t>
            </w:r>
            <w:r w:rsidR="003E1F91" w:rsidRPr="003E1F91">
              <w:rPr>
                <w:rFonts w:asciiTheme="minorHAnsi" w:eastAsia="Times New Roman" w:hAnsiTheme="minorHAnsi" w:cstheme="minorHAnsi"/>
                <w:color w:val="000000"/>
                <w:szCs w:val="20"/>
              </w:rPr>
              <w:t>188</w:t>
            </w:r>
          </w:p>
        </w:tc>
        <w:tc>
          <w:tcPr>
            <w:tcW w:w="2410" w:type="dxa"/>
            <w:tcBorders>
              <w:top w:val="nil"/>
              <w:left w:val="nil"/>
              <w:bottom w:val="nil"/>
              <w:right w:val="nil"/>
            </w:tcBorders>
            <w:shd w:val="clear" w:color="auto" w:fill="auto"/>
            <w:vAlign w:val="center"/>
            <w:hideMark/>
          </w:tcPr>
          <w:p w:rsidR="003E1F91" w:rsidRPr="003E1F91" w:rsidRDefault="007B49DB" w:rsidP="003E1F91">
            <w:pPr>
              <w:spacing w:after="0" w:line="240" w:lineRule="auto"/>
              <w:jc w:val="right"/>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-26,</w:t>
            </w:r>
            <w:r w:rsidR="003E1F91" w:rsidRPr="003E1F91">
              <w:rPr>
                <w:rFonts w:asciiTheme="minorHAnsi" w:eastAsia="Times New Roman" w:hAnsiTheme="minorHAnsi" w:cstheme="minorHAnsi"/>
                <w:color w:val="000000"/>
                <w:szCs w:val="20"/>
              </w:rPr>
              <w:t>842</w:t>
            </w:r>
          </w:p>
        </w:tc>
      </w:tr>
      <w:tr w:rsidR="003E1F91" w:rsidRPr="003E1F91" w:rsidTr="003E1F91">
        <w:trPr>
          <w:trHeight w:val="290"/>
        </w:trPr>
        <w:tc>
          <w:tcPr>
            <w:tcW w:w="5529" w:type="dxa"/>
            <w:tcBorders>
              <w:top w:val="single" w:sz="8" w:space="0" w:color="000000"/>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lang w:val="en-GB"/>
              </w:rPr>
            </w:pPr>
            <w:r w:rsidRPr="003E1F91">
              <w:rPr>
                <w:rFonts w:asciiTheme="minorHAnsi" w:eastAsia="Times New Roman" w:hAnsiTheme="minorHAnsi" w:cstheme="minorHAnsi"/>
                <w:color w:val="000000"/>
                <w:szCs w:val="20"/>
                <w:lang w:val="en-GB"/>
              </w:rPr>
              <w:t>Equity, attributable to equity holders</w:t>
            </w:r>
          </w:p>
        </w:tc>
        <w:tc>
          <w:tcPr>
            <w:tcW w:w="1275" w:type="dxa"/>
            <w:tcBorders>
              <w:top w:val="single" w:sz="8" w:space="0" w:color="000000"/>
              <w:left w:val="nil"/>
              <w:bottom w:val="nil"/>
              <w:right w:val="nil"/>
            </w:tcBorders>
            <w:shd w:val="clear" w:color="auto" w:fill="auto"/>
            <w:vAlign w:val="center"/>
            <w:hideMark/>
          </w:tcPr>
          <w:p w:rsidR="003E1F91" w:rsidRPr="003E1F91" w:rsidRDefault="007B49DB" w:rsidP="003E1F91">
            <w:pPr>
              <w:spacing w:after="0" w:line="240" w:lineRule="auto"/>
              <w:jc w:val="right"/>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2,</w:t>
            </w:r>
            <w:r w:rsidR="003E1F91" w:rsidRPr="003E1F91">
              <w:rPr>
                <w:rFonts w:asciiTheme="minorHAnsi" w:eastAsia="Times New Roman" w:hAnsiTheme="minorHAnsi" w:cstheme="minorHAnsi"/>
                <w:color w:val="000000"/>
                <w:szCs w:val="20"/>
              </w:rPr>
              <w:t>273</w:t>
            </w:r>
          </w:p>
        </w:tc>
        <w:tc>
          <w:tcPr>
            <w:tcW w:w="2410" w:type="dxa"/>
            <w:tcBorders>
              <w:top w:val="single" w:sz="8" w:space="0" w:color="000000"/>
              <w:left w:val="nil"/>
              <w:bottom w:val="nil"/>
              <w:right w:val="nil"/>
            </w:tcBorders>
            <w:shd w:val="clear" w:color="auto" w:fill="auto"/>
            <w:vAlign w:val="center"/>
            <w:hideMark/>
          </w:tcPr>
          <w:p w:rsidR="003E1F91" w:rsidRPr="003E1F91" w:rsidRDefault="007B49DB" w:rsidP="003E1F91">
            <w:pPr>
              <w:spacing w:after="0" w:line="240" w:lineRule="auto"/>
              <w:jc w:val="right"/>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1,</w:t>
            </w:r>
            <w:r w:rsidR="003E1F91" w:rsidRPr="003E1F91">
              <w:rPr>
                <w:rFonts w:asciiTheme="minorHAnsi" w:eastAsia="Times New Roman" w:hAnsiTheme="minorHAnsi" w:cstheme="minorHAnsi"/>
                <w:color w:val="000000"/>
                <w:szCs w:val="20"/>
              </w:rPr>
              <w:t>559</w:t>
            </w:r>
          </w:p>
        </w:tc>
      </w:tr>
      <w:tr w:rsidR="003E1F91" w:rsidRPr="003E1F91" w:rsidTr="003E1F91">
        <w:trPr>
          <w:trHeight w:val="290"/>
        </w:trPr>
        <w:tc>
          <w:tcPr>
            <w:tcW w:w="5529"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proofErr w:type="spellStart"/>
            <w:r w:rsidRPr="003E1F91">
              <w:rPr>
                <w:rFonts w:asciiTheme="minorHAnsi" w:eastAsia="Times New Roman" w:hAnsiTheme="minorHAnsi" w:cstheme="minorHAnsi"/>
                <w:color w:val="000000"/>
                <w:szCs w:val="20"/>
              </w:rPr>
              <w:t>of</w:t>
            </w:r>
            <w:proofErr w:type="spellEnd"/>
            <w:r w:rsidRPr="003E1F91">
              <w:rPr>
                <w:rFonts w:asciiTheme="minorHAnsi" w:eastAsia="Times New Roman" w:hAnsiTheme="minorHAnsi" w:cstheme="minorHAnsi"/>
                <w:color w:val="000000"/>
                <w:szCs w:val="20"/>
              </w:rPr>
              <w:t xml:space="preserve"> </w:t>
            </w:r>
            <w:proofErr w:type="spellStart"/>
            <w:r w:rsidRPr="003E1F91">
              <w:rPr>
                <w:rFonts w:asciiTheme="minorHAnsi" w:eastAsia="Times New Roman" w:hAnsiTheme="minorHAnsi" w:cstheme="minorHAnsi"/>
                <w:color w:val="000000"/>
                <w:szCs w:val="20"/>
              </w:rPr>
              <w:t>the</w:t>
            </w:r>
            <w:proofErr w:type="spellEnd"/>
            <w:r w:rsidRPr="003E1F91">
              <w:rPr>
                <w:rFonts w:asciiTheme="minorHAnsi" w:eastAsia="Times New Roman" w:hAnsiTheme="minorHAnsi" w:cstheme="minorHAnsi"/>
                <w:color w:val="FF0000"/>
                <w:szCs w:val="20"/>
              </w:rPr>
              <w:t xml:space="preserve"> </w:t>
            </w:r>
            <w:proofErr w:type="spellStart"/>
            <w:r w:rsidRPr="003E1F91">
              <w:rPr>
                <w:rFonts w:asciiTheme="minorHAnsi" w:eastAsia="Times New Roman" w:hAnsiTheme="minorHAnsi" w:cstheme="minorHAnsi"/>
                <w:color w:val="000000"/>
                <w:szCs w:val="20"/>
              </w:rPr>
              <w:t>parent</w:t>
            </w:r>
            <w:proofErr w:type="spellEnd"/>
            <w:r w:rsidRPr="003E1F91">
              <w:rPr>
                <w:rFonts w:asciiTheme="minorHAnsi" w:eastAsia="Times New Roman" w:hAnsiTheme="minorHAnsi" w:cstheme="minorHAnsi"/>
                <w:color w:val="000000"/>
                <w:szCs w:val="20"/>
              </w:rPr>
              <w:t xml:space="preserve"> </w:t>
            </w:r>
          </w:p>
        </w:tc>
        <w:tc>
          <w:tcPr>
            <w:tcW w:w="1275"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p>
        </w:tc>
        <w:tc>
          <w:tcPr>
            <w:tcW w:w="241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3E1F91" w:rsidTr="003E1F91">
        <w:trPr>
          <w:trHeight w:val="300"/>
        </w:trPr>
        <w:tc>
          <w:tcPr>
            <w:tcW w:w="5529" w:type="dxa"/>
            <w:tcBorders>
              <w:top w:val="nil"/>
              <w:left w:val="nil"/>
              <w:bottom w:val="single" w:sz="8" w:space="0" w:color="auto"/>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Non-</w:t>
            </w:r>
            <w:proofErr w:type="spellStart"/>
            <w:r w:rsidRPr="003E1F91">
              <w:rPr>
                <w:rFonts w:asciiTheme="minorHAnsi" w:eastAsia="Times New Roman" w:hAnsiTheme="minorHAnsi" w:cstheme="minorHAnsi"/>
                <w:color w:val="000000"/>
                <w:szCs w:val="20"/>
              </w:rPr>
              <w:t>controlling</w:t>
            </w:r>
            <w:proofErr w:type="spellEnd"/>
            <w:r w:rsidRPr="003E1F91">
              <w:rPr>
                <w:rFonts w:asciiTheme="minorHAnsi" w:eastAsia="Times New Roman" w:hAnsiTheme="minorHAnsi" w:cstheme="minorHAnsi"/>
                <w:color w:val="000000"/>
                <w:szCs w:val="20"/>
              </w:rPr>
              <w:t xml:space="preserve"> </w:t>
            </w:r>
            <w:proofErr w:type="spellStart"/>
            <w:r w:rsidRPr="003E1F91">
              <w:rPr>
                <w:rFonts w:asciiTheme="minorHAnsi" w:eastAsia="Times New Roman" w:hAnsiTheme="minorHAnsi" w:cstheme="minorHAnsi"/>
                <w:color w:val="000000"/>
                <w:szCs w:val="20"/>
              </w:rPr>
              <w:t>interests</w:t>
            </w:r>
            <w:proofErr w:type="spellEnd"/>
          </w:p>
        </w:tc>
        <w:tc>
          <w:tcPr>
            <w:tcW w:w="1275" w:type="dxa"/>
            <w:tcBorders>
              <w:top w:val="nil"/>
              <w:left w:val="nil"/>
              <w:bottom w:val="single" w:sz="8" w:space="0" w:color="auto"/>
              <w:right w:val="nil"/>
            </w:tcBorders>
            <w:shd w:val="clear" w:color="auto" w:fill="auto"/>
            <w:vAlign w:val="center"/>
            <w:hideMark/>
          </w:tcPr>
          <w:p w:rsidR="003E1F91" w:rsidRPr="003E1F91" w:rsidRDefault="007B49DB" w:rsidP="003E1F91">
            <w:pPr>
              <w:spacing w:after="0" w:line="240" w:lineRule="auto"/>
              <w:jc w:val="right"/>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2,</w:t>
            </w:r>
            <w:r w:rsidR="003E1F91" w:rsidRPr="003E1F91">
              <w:rPr>
                <w:rFonts w:asciiTheme="minorHAnsi" w:eastAsia="Times New Roman" w:hAnsiTheme="minorHAnsi" w:cstheme="minorHAnsi"/>
                <w:color w:val="000000"/>
                <w:szCs w:val="20"/>
              </w:rPr>
              <w:t>494</w:t>
            </w:r>
          </w:p>
        </w:tc>
        <w:tc>
          <w:tcPr>
            <w:tcW w:w="2410" w:type="dxa"/>
            <w:tcBorders>
              <w:top w:val="nil"/>
              <w:left w:val="nil"/>
              <w:bottom w:val="single" w:sz="8" w:space="0" w:color="auto"/>
              <w:right w:val="nil"/>
            </w:tcBorders>
            <w:shd w:val="clear" w:color="auto" w:fill="auto"/>
            <w:vAlign w:val="center"/>
            <w:hideMark/>
          </w:tcPr>
          <w:p w:rsidR="003E1F91" w:rsidRPr="003E1F91" w:rsidRDefault="007B49DB" w:rsidP="003E1F91">
            <w:pPr>
              <w:spacing w:after="0" w:line="240" w:lineRule="auto"/>
              <w:jc w:val="right"/>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2,</w:t>
            </w:r>
            <w:r w:rsidR="003E1F91" w:rsidRPr="003E1F91">
              <w:rPr>
                <w:rFonts w:asciiTheme="minorHAnsi" w:eastAsia="Times New Roman" w:hAnsiTheme="minorHAnsi" w:cstheme="minorHAnsi"/>
                <w:color w:val="000000"/>
                <w:szCs w:val="20"/>
              </w:rPr>
              <w:t>494</w:t>
            </w:r>
          </w:p>
        </w:tc>
      </w:tr>
      <w:tr w:rsidR="003E1F91" w:rsidRPr="003E1F91" w:rsidTr="003E1F91">
        <w:trPr>
          <w:trHeight w:val="290"/>
        </w:trPr>
        <w:tc>
          <w:tcPr>
            <w:tcW w:w="5529"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r w:rsidRPr="003E1F91">
              <w:rPr>
                <w:rFonts w:asciiTheme="minorHAnsi" w:eastAsia="Times New Roman" w:hAnsiTheme="minorHAnsi" w:cstheme="minorHAnsi"/>
                <w:b/>
                <w:bCs/>
                <w:color w:val="000000"/>
                <w:szCs w:val="20"/>
              </w:rPr>
              <w:t xml:space="preserve">Total </w:t>
            </w:r>
            <w:proofErr w:type="spellStart"/>
            <w:r w:rsidRPr="003E1F91">
              <w:rPr>
                <w:rFonts w:asciiTheme="minorHAnsi" w:eastAsia="Times New Roman" w:hAnsiTheme="minorHAnsi" w:cstheme="minorHAnsi"/>
                <w:b/>
                <w:bCs/>
                <w:color w:val="000000"/>
                <w:szCs w:val="20"/>
              </w:rPr>
              <w:t>equity</w:t>
            </w:r>
            <w:proofErr w:type="spellEnd"/>
          </w:p>
        </w:tc>
        <w:tc>
          <w:tcPr>
            <w:tcW w:w="1275" w:type="dxa"/>
            <w:tcBorders>
              <w:top w:val="nil"/>
              <w:left w:val="nil"/>
              <w:bottom w:val="nil"/>
              <w:right w:val="nil"/>
            </w:tcBorders>
            <w:shd w:val="clear" w:color="auto" w:fill="auto"/>
            <w:vAlign w:val="center"/>
            <w:hideMark/>
          </w:tcPr>
          <w:p w:rsidR="003E1F91" w:rsidRPr="003E1F91" w:rsidRDefault="007B49DB" w:rsidP="003E1F91">
            <w:pPr>
              <w:spacing w:after="0" w:line="240" w:lineRule="auto"/>
              <w:jc w:val="right"/>
              <w:rPr>
                <w:rFonts w:asciiTheme="minorHAnsi" w:eastAsia="Times New Roman" w:hAnsiTheme="minorHAnsi" w:cstheme="minorHAnsi"/>
                <w:b/>
                <w:bCs/>
                <w:color w:val="000000"/>
                <w:szCs w:val="20"/>
              </w:rPr>
            </w:pPr>
            <w:r>
              <w:rPr>
                <w:rFonts w:asciiTheme="minorHAnsi" w:eastAsia="Times New Roman" w:hAnsiTheme="minorHAnsi" w:cstheme="minorHAnsi"/>
                <w:b/>
                <w:bCs/>
                <w:color w:val="000000"/>
                <w:szCs w:val="20"/>
              </w:rPr>
              <w:t>4,</w:t>
            </w:r>
            <w:r w:rsidR="003E1F91" w:rsidRPr="003E1F91">
              <w:rPr>
                <w:rFonts w:asciiTheme="minorHAnsi" w:eastAsia="Times New Roman" w:hAnsiTheme="minorHAnsi" w:cstheme="minorHAnsi"/>
                <w:b/>
                <w:bCs/>
                <w:color w:val="000000"/>
                <w:szCs w:val="20"/>
              </w:rPr>
              <w:t>767</w:t>
            </w:r>
          </w:p>
        </w:tc>
        <w:tc>
          <w:tcPr>
            <w:tcW w:w="2410" w:type="dxa"/>
            <w:tcBorders>
              <w:top w:val="nil"/>
              <w:left w:val="nil"/>
              <w:bottom w:val="nil"/>
              <w:right w:val="nil"/>
            </w:tcBorders>
            <w:shd w:val="clear" w:color="auto" w:fill="auto"/>
            <w:vAlign w:val="center"/>
            <w:hideMark/>
          </w:tcPr>
          <w:p w:rsidR="003E1F91" w:rsidRPr="003E1F91" w:rsidRDefault="007B49DB" w:rsidP="003E1F91">
            <w:pPr>
              <w:spacing w:after="0" w:line="240" w:lineRule="auto"/>
              <w:jc w:val="right"/>
              <w:rPr>
                <w:rFonts w:asciiTheme="minorHAnsi" w:eastAsia="Times New Roman" w:hAnsiTheme="minorHAnsi" w:cstheme="minorHAnsi"/>
                <w:b/>
                <w:bCs/>
                <w:color w:val="000000"/>
                <w:szCs w:val="20"/>
              </w:rPr>
            </w:pPr>
            <w:r>
              <w:rPr>
                <w:rFonts w:asciiTheme="minorHAnsi" w:eastAsia="Times New Roman" w:hAnsiTheme="minorHAnsi" w:cstheme="minorHAnsi"/>
                <w:b/>
                <w:bCs/>
                <w:color w:val="000000"/>
                <w:szCs w:val="20"/>
              </w:rPr>
              <w:t>4,</w:t>
            </w:r>
            <w:r w:rsidR="003E1F91" w:rsidRPr="003E1F91">
              <w:rPr>
                <w:rFonts w:asciiTheme="minorHAnsi" w:eastAsia="Times New Roman" w:hAnsiTheme="minorHAnsi" w:cstheme="minorHAnsi"/>
                <w:b/>
                <w:bCs/>
                <w:color w:val="000000"/>
                <w:szCs w:val="20"/>
              </w:rPr>
              <w:t>053</w:t>
            </w:r>
          </w:p>
        </w:tc>
      </w:tr>
      <w:tr w:rsidR="003E1F91" w:rsidRPr="003E1F91" w:rsidTr="003E1F91">
        <w:trPr>
          <w:trHeight w:val="310"/>
        </w:trPr>
        <w:tc>
          <w:tcPr>
            <w:tcW w:w="5529"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p>
        </w:tc>
        <w:tc>
          <w:tcPr>
            <w:tcW w:w="1275"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241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3E1F91" w:rsidTr="003E1F91">
        <w:trPr>
          <w:trHeight w:val="290"/>
        </w:trPr>
        <w:tc>
          <w:tcPr>
            <w:tcW w:w="5529"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proofErr w:type="spellStart"/>
            <w:r w:rsidRPr="003E1F91">
              <w:rPr>
                <w:rFonts w:asciiTheme="minorHAnsi" w:eastAsia="Times New Roman" w:hAnsiTheme="minorHAnsi" w:cstheme="minorHAnsi"/>
                <w:color w:val="000000"/>
                <w:szCs w:val="20"/>
              </w:rPr>
              <w:t>Loans</w:t>
            </w:r>
            <w:proofErr w:type="spellEnd"/>
            <w:r w:rsidRPr="003E1F91">
              <w:rPr>
                <w:rFonts w:asciiTheme="minorHAnsi" w:eastAsia="Times New Roman" w:hAnsiTheme="minorHAnsi" w:cstheme="minorHAnsi"/>
                <w:color w:val="000000"/>
                <w:szCs w:val="20"/>
              </w:rPr>
              <w:t xml:space="preserve"> </w:t>
            </w:r>
            <w:proofErr w:type="spellStart"/>
            <w:r w:rsidRPr="003E1F91">
              <w:rPr>
                <w:rFonts w:asciiTheme="minorHAnsi" w:eastAsia="Times New Roman" w:hAnsiTheme="minorHAnsi" w:cstheme="minorHAnsi"/>
                <w:color w:val="000000"/>
                <w:szCs w:val="20"/>
              </w:rPr>
              <w:t>and</w:t>
            </w:r>
            <w:proofErr w:type="spellEnd"/>
            <w:r w:rsidRPr="003E1F91">
              <w:rPr>
                <w:rFonts w:asciiTheme="minorHAnsi" w:eastAsia="Times New Roman" w:hAnsiTheme="minorHAnsi" w:cstheme="minorHAnsi"/>
                <w:color w:val="000000"/>
                <w:szCs w:val="20"/>
              </w:rPr>
              <w:t xml:space="preserve"> </w:t>
            </w:r>
            <w:proofErr w:type="spellStart"/>
            <w:r w:rsidRPr="003E1F91">
              <w:rPr>
                <w:rFonts w:asciiTheme="minorHAnsi" w:eastAsia="Times New Roman" w:hAnsiTheme="minorHAnsi" w:cstheme="minorHAnsi"/>
                <w:color w:val="000000"/>
                <w:szCs w:val="20"/>
              </w:rPr>
              <w:t>borrowings</w:t>
            </w:r>
            <w:proofErr w:type="spellEnd"/>
          </w:p>
        </w:tc>
        <w:tc>
          <w:tcPr>
            <w:tcW w:w="1275" w:type="dxa"/>
            <w:tcBorders>
              <w:top w:val="nil"/>
              <w:left w:val="nil"/>
              <w:bottom w:val="nil"/>
              <w:right w:val="nil"/>
            </w:tcBorders>
            <w:shd w:val="clear" w:color="auto" w:fill="auto"/>
            <w:vAlign w:val="center"/>
            <w:hideMark/>
          </w:tcPr>
          <w:p w:rsidR="003E1F91" w:rsidRPr="003E1F91" w:rsidRDefault="007B49DB" w:rsidP="003E1F91">
            <w:pPr>
              <w:spacing w:after="0" w:line="240" w:lineRule="auto"/>
              <w:jc w:val="right"/>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2,</w:t>
            </w:r>
            <w:r w:rsidR="003E1F91" w:rsidRPr="003E1F91">
              <w:rPr>
                <w:rFonts w:asciiTheme="minorHAnsi" w:eastAsia="Times New Roman" w:hAnsiTheme="minorHAnsi" w:cstheme="minorHAnsi"/>
                <w:color w:val="000000"/>
                <w:szCs w:val="20"/>
              </w:rPr>
              <w:t>880</w:t>
            </w:r>
          </w:p>
        </w:tc>
        <w:tc>
          <w:tcPr>
            <w:tcW w:w="2410" w:type="dxa"/>
            <w:tcBorders>
              <w:top w:val="nil"/>
              <w:left w:val="nil"/>
              <w:bottom w:val="nil"/>
              <w:right w:val="nil"/>
            </w:tcBorders>
            <w:shd w:val="clear" w:color="auto" w:fill="auto"/>
            <w:vAlign w:val="center"/>
            <w:hideMark/>
          </w:tcPr>
          <w:p w:rsidR="003E1F91" w:rsidRPr="003E1F91" w:rsidRDefault="007B49DB" w:rsidP="003E1F91">
            <w:pPr>
              <w:spacing w:after="0" w:line="240" w:lineRule="auto"/>
              <w:jc w:val="right"/>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3,</w:t>
            </w:r>
            <w:r w:rsidR="003E1F91" w:rsidRPr="003E1F91">
              <w:rPr>
                <w:rFonts w:asciiTheme="minorHAnsi" w:eastAsia="Times New Roman" w:hAnsiTheme="minorHAnsi" w:cstheme="minorHAnsi"/>
                <w:color w:val="000000"/>
                <w:szCs w:val="20"/>
              </w:rPr>
              <w:t>004</w:t>
            </w:r>
          </w:p>
        </w:tc>
      </w:tr>
      <w:tr w:rsidR="003E1F91" w:rsidRPr="003E1F91" w:rsidTr="003E1F91">
        <w:trPr>
          <w:trHeight w:val="290"/>
        </w:trPr>
        <w:tc>
          <w:tcPr>
            <w:tcW w:w="5529"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proofErr w:type="spellStart"/>
            <w:r w:rsidRPr="003E1F91">
              <w:rPr>
                <w:rFonts w:asciiTheme="minorHAnsi" w:eastAsia="Times New Roman" w:hAnsiTheme="minorHAnsi" w:cstheme="minorHAnsi"/>
                <w:color w:val="000000"/>
                <w:szCs w:val="20"/>
              </w:rPr>
              <w:t>Retirement</w:t>
            </w:r>
            <w:proofErr w:type="spellEnd"/>
            <w:r w:rsidRPr="003E1F91">
              <w:rPr>
                <w:rFonts w:asciiTheme="minorHAnsi" w:eastAsia="Times New Roman" w:hAnsiTheme="minorHAnsi" w:cstheme="minorHAnsi"/>
                <w:color w:val="000000"/>
                <w:szCs w:val="20"/>
              </w:rPr>
              <w:t xml:space="preserve"> </w:t>
            </w:r>
            <w:proofErr w:type="spellStart"/>
            <w:r w:rsidRPr="003E1F91">
              <w:rPr>
                <w:rFonts w:asciiTheme="minorHAnsi" w:eastAsia="Times New Roman" w:hAnsiTheme="minorHAnsi" w:cstheme="minorHAnsi"/>
                <w:color w:val="000000"/>
                <w:szCs w:val="20"/>
              </w:rPr>
              <w:t>benefit</w:t>
            </w:r>
            <w:proofErr w:type="spellEnd"/>
            <w:r w:rsidRPr="003E1F91">
              <w:rPr>
                <w:rFonts w:asciiTheme="minorHAnsi" w:eastAsia="Times New Roman" w:hAnsiTheme="minorHAnsi" w:cstheme="minorHAnsi"/>
                <w:color w:val="000000"/>
                <w:szCs w:val="20"/>
              </w:rPr>
              <w:t xml:space="preserve"> </w:t>
            </w:r>
            <w:proofErr w:type="spellStart"/>
            <w:r w:rsidRPr="003E1F91">
              <w:rPr>
                <w:rFonts w:asciiTheme="minorHAnsi" w:eastAsia="Times New Roman" w:hAnsiTheme="minorHAnsi" w:cstheme="minorHAnsi"/>
                <w:color w:val="000000"/>
                <w:szCs w:val="20"/>
              </w:rPr>
              <w:t>obligation</w:t>
            </w:r>
            <w:proofErr w:type="spellEnd"/>
            <w:r w:rsidRPr="003E1F91">
              <w:rPr>
                <w:rFonts w:asciiTheme="minorHAnsi" w:eastAsia="Times New Roman" w:hAnsiTheme="minorHAnsi" w:cstheme="minorHAnsi"/>
                <w:color w:val="000000"/>
                <w:szCs w:val="20"/>
              </w:rPr>
              <w:t xml:space="preserve"> </w:t>
            </w:r>
          </w:p>
        </w:tc>
        <w:tc>
          <w:tcPr>
            <w:tcW w:w="1275" w:type="dxa"/>
            <w:tcBorders>
              <w:top w:val="nil"/>
              <w:left w:val="nil"/>
              <w:bottom w:val="nil"/>
              <w:right w:val="nil"/>
            </w:tcBorders>
            <w:shd w:val="clear" w:color="auto" w:fill="auto"/>
            <w:vAlign w:val="center"/>
            <w:hideMark/>
          </w:tcPr>
          <w:p w:rsidR="003E1F91" w:rsidRPr="003E1F91" w:rsidRDefault="007B49DB" w:rsidP="003E1F91">
            <w:pPr>
              <w:spacing w:after="0" w:line="240" w:lineRule="auto"/>
              <w:jc w:val="right"/>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5,</w:t>
            </w:r>
            <w:r w:rsidR="003E1F91" w:rsidRPr="003E1F91">
              <w:rPr>
                <w:rFonts w:asciiTheme="minorHAnsi" w:eastAsia="Times New Roman" w:hAnsiTheme="minorHAnsi" w:cstheme="minorHAnsi"/>
                <w:color w:val="000000"/>
                <w:szCs w:val="20"/>
              </w:rPr>
              <w:t>047</w:t>
            </w:r>
          </w:p>
        </w:tc>
        <w:tc>
          <w:tcPr>
            <w:tcW w:w="2410" w:type="dxa"/>
            <w:tcBorders>
              <w:top w:val="nil"/>
              <w:left w:val="nil"/>
              <w:bottom w:val="nil"/>
              <w:right w:val="nil"/>
            </w:tcBorders>
            <w:shd w:val="clear" w:color="auto" w:fill="auto"/>
            <w:vAlign w:val="center"/>
            <w:hideMark/>
          </w:tcPr>
          <w:p w:rsidR="003E1F91" w:rsidRPr="003E1F91" w:rsidRDefault="007B49DB" w:rsidP="003E1F91">
            <w:pPr>
              <w:spacing w:after="0" w:line="240" w:lineRule="auto"/>
              <w:jc w:val="right"/>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5,</w:t>
            </w:r>
            <w:r w:rsidR="003E1F91" w:rsidRPr="003E1F91">
              <w:rPr>
                <w:rFonts w:asciiTheme="minorHAnsi" w:eastAsia="Times New Roman" w:hAnsiTheme="minorHAnsi" w:cstheme="minorHAnsi"/>
                <w:color w:val="000000"/>
                <w:szCs w:val="20"/>
              </w:rPr>
              <w:t>247</w:t>
            </w:r>
          </w:p>
        </w:tc>
      </w:tr>
      <w:tr w:rsidR="003E1F91" w:rsidRPr="003E1F91" w:rsidTr="003E1F91">
        <w:trPr>
          <w:trHeight w:val="300"/>
        </w:trPr>
        <w:tc>
          <w:tcPr>
            <w:tcW w:w="5529"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proofErr w:type="spellStart"/>
            <w:r w:rsidRPr="003E1F91">
              <w:rPr>
                <w:rFonts w:asciiTheme="minorHAnsi" w:eastAsia="Times New Roman" w:hAnsiTheme="minorHAnsi" w:cstheme="minorHAnsi"/>
                <w:color w:val="000000"/>
                <w:szCs w:val="20"/>
              </w:rPr>
              <w:t>Provisions</w:t>
            </w:r>
            <w:proofErr w:type="spellEnd"/>
          </w:p>
        </w:tc>
        <w:tc>
          <w:tcPr>
            <w:tcW w:w="1275"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144</w:t>
            </w:r>
          </w:p>
        </w:tc>
        <w:tc>
          <w:tcPr>
            <w:tcW w:w="241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72</w:t>
            </w:r>
          </w:p>
        </w:tc>
      </w:tr>
      <w:tr w:rsidR="003E1F91" w:rsidRPr="003E1F91" w:rsidTr="003E1F91">
        <w:trPr>
          <w:trHeight w:val="290"/>
        </w:trPr>
        <w:tc>
          <w:tcPr>
            <w:tcW w:w="5529" w:type="dxa"/>
            <w:tcBorders>
              <w:top w:val="single" w:sz="8" w:space="0" w:color="000000"/>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r w:rsidRPr="003E1F91">
              <w:rPr>
                <w:rFonts w:asciiTheme="minorHAnsi" w:eastAsia="Times New Roman" w:hAnsiTheme="minorHAnsi" w:cstheme="minorHAnsi"/>
                <w:b/>
                <w:bCs/>
                <w:color w:val="000000"/>
                <w:szCs w:val="20"/>
              </w:rPr>
              <w:t>Non-</w:t>
            </w:r>
            <w:proofErr w:type="spellStart"/>
            <w:r w:rsidRPr="003E1F91">
              <w:rPr>
                <w:rFonts w:asciiTheme="minorHAnsi" w:eastAsia="Times New Roman" w:hAnsiTheme="minorHAnsi" w:cstheme="minorHAnsi"/>
                <w:b/>
                <w:bCs/>
                <w:color w:val="000000"/>
                <w:szCs w:val="20"/>
              </w:rPr>
              <w:t>current</w:t>
            </w:r>
            <w:proofErr w:type="spellEnd"/>
            <w:r w:rsidRPr="003E1F91">
              <w:rPr>
                <w:rFonts w:asciiTheme="minorHAnsi" w:eastAsia="Times New Roman" w:hAnsiTheme="minorHAnsi" w:cstheme="minorHAnsi"/>
                <w:b/>
                <w:bCs/>
                <w:color w:val="000000"/>
                <w:szCs w:val="20"/>
              </w:rPr>
              <w:t xml:space="preserve"> </w:t>
            </w:r>
            <w:proofErr w:type="spellStart"/>
            <w:r w:rsidRPr="003E1F91">
              <w:rPr>
                <w:rFonts w:asciiTheme="minorHAnsi" w:eastAsia="Times New Roman" w:hAnsiTheme="minorHAnsi" w:cstheme="minorHAnsi"/>
                <w:b/>
                <w:bCs/>
                <w:color w:val="000000"/>
                <w:szCs w:val="20"/>
              </w:rPr>
              <w:t>liabilities</w:t>
            </w:r>
            <w:proofErr w:type="spellEnd"/>
          </w:p>
        </w:tc>
        <w:tc>
          <w:tcPr>
            <w:tcW w:w="1275" w:type="dxa"/>
            <w:tcBorders>
              <w:top w:val="single" w:sz="8" w:space="0" w:color="000000"/>
              <w:left w:val="nil"/>
              <w:bottom w:val="nil"/>
              <w:right w:val="nil"/>
            </w:tcBorders>
            <w:shd w:val="clear" w:color="auto" w:fill="auto"/>
            <w:vAlign w:val="center"/>
            <w:hideMark/>
          </w:tcPr>
          <w:p w:rsidR="003E1F91" w:rsidRPr="003E1F91" w:rsidRDefault="007B49DB" w:rsidP="003E1F91">
            <w:pPr>
              <w:spacing w:after="0" w:line="240" w:lineRule="auto"/>
              <w:jc w:val="right"/>
              <w:rPr>
                <w:rFonts w:asciiTheme="minorHAnsi" w:eastAsia="Times New Roman" w:hAnsiTheme="minorHAnsi" w:cstheme="minorHAnsi"/>
                <w:b/>
                <w:bCs/>
                <w:color w:val="000000"/>
                <w:szCs w:val="20"/>
              </w:rPr>
            </w:pPr>
            <w:r>
              <w:rPr>
                <w:rFonts w:asciiTheme="minorHAnsi" w:eastAsia="Times New Roman" w:hAnsiTheme="minorHAnsi" w:cstheme="minorHAnsi"/>
                <w:b/>
                <w:bCs/>
                <w:color w:val="000000"/>
                <w:szCs w:val="20"/>
              </w:rPr>
              <w:t>8,</w:t>
            </w:r>
            <w:r w:rsidR="003E1F91" w:rsidRPr="003E1F91">
              <w:rPr>
                <w:rFonts w:asciiTheme="minorHAnsi" w:eastAsia="Times New Roman" w:hAnsiTheme="minorHAnsi" w:cstheme="minorHAnsi"/>
                <w:b/>
                <w:bCs/>
                <w:color w:val="000000"/>
                <w:szCs w:val="20"/>
              </w:rPr>
              <w:t>071</w:t>
            </w:r>
          </w:p>
        </w:tc>
        <w:tc>
          <w:tcPr>
            <w:tcW w:w="2410" w:type="dxa"/>
            <w:tcBorders>
              <w:top w:val="single" w:sz="8" w:space="0" w:color="000000"/>
              <w:left w:val="nil"/>
              <w:bottom w:val="nil"/>
              <w:right w:val="nil"/>
            </w:tcBorders>
            <w:shd w:val="clear" w:color="auto" w:fill="auto"/>
            <w:vAlign w:val="center"/>
            <w:hideMark/>
          </w:tcPr>
          <w:p w:rsidR="003E1F91" w:rsidRPr="003E1F91" w:rsidRDefault="007B49DB" w:rsidP="003E1F91">
            <w:pPr>
              <w:spacing w:after="0" w:line="240" w:lineRule="auto"/>
              <w:jc w:val="right"/>
              <w:rPr>
                <w:rFonts w:asciiTheme="minorHAnsi" w:eastAsia="Times New Roman" w:hAnsiTheme="minorHAnsi" w:cstheme="minorHAnsi"/>
                <w:b/>
                <w:bCs/>
                <w:color w:val="000000"/>
                <w:szCs w:val="20"/>
              </w:rPr>
            </w:pPr>
            <w:r>
              <w:rPr>
                <w:rFonts w:asciiTheme="minorHAnsi" w:eastAsia="Times New Roman" w:hAnsiTheme="minorHAnsi" w:cstheme="minorHAnsi"/>
                <w:b/>
                <w:bCs/>
                <w:color w:val="000000"/>
                <w:szCs w:val="20"/>
              </w:rPr>
              <w:t>8,</w:t>
            </w:r>
            <w:r w:rsidR="003E1F91" w:rsidRPr="003E1F91">
              <w:rPr>
                <w:rFonts w:asciiTheme="minorHAnsi" w:eastAsia="Times New Roman" w:hAnsiTheme="minorHAnsi" w:cstheme="minorHAnsi"/>
                <w:b/>
                <w:bCs/>
                <w:color w:val="000000"/>
                <w:szCs w:val="20"/>
              </w:rPr>
              <w:t>323</w:t>
            </w:r>
          </w:p>
        </w:tc>
      </w:tr>
      <w:tr w:rsidR="003E1F91" w:rsidRPr="003E1F91" w:rsidTr="003E1F91">
        <w:trPr>
          <w:trHeight w:val="310"/>
        </w:trPr>
        <w:tc>
          <w:tcPr>
            <w:tcW w:w="5529"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p>
        </w:tc>
        <w:tc>
          <w:tcPr>
            <w:tcW w:w="1275"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241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3E1F91" w:rsidTr="003E1F91">
        <w:trPr>
          <w:trHeight w:val="290"/>
        </w:trPr>
        <w:tc>
          <w:tcPr>
            <w:tcW w:w="5529"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proofErr w:type="spellStart"/>
            <w:r w:rsidRPr="003E1F91">
              <w:rPr>
                <w:rFonts w:asciiTheme="minorHAnsi" w:eastAsia="Times New Roman" w:hAnsiTheme="minorHAnsi" w:cstheme="minorHAnsi"/>
                <w:color w:val="000000"/>
                <w:szCs w:val="20"/>
              </w:rPr>
              <w:t>Current</w:t>
            </w:r>
            <w:proofErr w:type="spellEnd"/>
            <w:r w:rsidRPr="003E1F91">
              <w:rPr>
                <w:rFonts w:asciiTheme="minorHAnsi" w:eastAsia="Times New Roman" w:hAnsiTheme="minorHAnsi" w:cstheme="minorHAnsi"/>
                <w:color w:val="000000"/>
                <w:szCs w:val="20"/>
              </w:rPr>
              <w:t xml:space="preserve"> </w:t>
            </w:r>
            <w:proofErr w:type="spellStart"/>
            <w:r w:rsidRPr="003E1F91">
              <w:rPr>
                <w:rFonts w:asciiTheme="minorHAnsi" w:eastAsia="Times New Roman" w:hAnsiTheme="minorHAnsi" w:cstheme="minorHAnsi"/>
                <w:color w:val="000000"/>
                <w:szCs w:val="20"/>
              </w:rPr>
              <w:t>loans</w:t>
            </w:r>
            <w:proofErr w:type="spellEnd"/>
            <w:r w:rsidRPr="003E1F91">
              <w:rPr>
                <w:rFonts w:asciiTheme="minorHAnsi" w:eastAsia="Times New Roman" w:hAnsiTheme="minorHAnsi" w:cstheme="minorHAnsi"/>
                <w:color w:val="000000"/>
                <w:szCs w:val="20"/>
              </w:rPr>
              <w:t xml:space="preserve"> </w:t>
            </w:r>
            <w:proofErr w:type="spellStart"/>
            <w:r w:rsidRPr="003E1F91">
              <w:rPr>
                <w:rFonts w:asciiTheme="minorHAnsi" w:eastAsia="Times New Roman" w:hAnsiTheme="minorHAnsi" w:cstheme="minorHAnsi"/>
                <w:color w:val="000000"/>
                <w:szCs w:val="20"/>
              </w:rPr>
              <w:t>and</w:t>
            </w:r>
            <w:proofErr w:type="spellEnd"/>
            <w:r w:rsidRPr="003E1F91">
              <w:rPr>
                <w:rFonts w:asciiTheme="minorHAnsi" w:eastAsia="Times New Roman" w:hAnsiTheme="minorHAnsi" w:cstheme="minorHAnsi"/>
                <w:color w:val="000000"/>
                <w:szCs w:val="20"/>
              </w:rPr>
              <w:t xml:space="preserve"> </w:t>
            </w:r>
            <w:proofErr w:type="spellStart"/>
            <w:r w:rsidRPr="003E1F91">
              <w:rPr>
                <w:rFonts w:asciiTheme="minorHAnsi" w:eastAsia="Times New Roman" w:hAnsiTheme="minorHAnsi" w:cstheme="minorHAnsi"/>
                <w:color w:val="000000"/>
                <w:szCs w:val="20"/>
              </w:rPr>
              <w:t>borrowings</w:t>
            </w:r>
            <w:proofErr w:type="spellEnd"/>
          </w:p>
        </w:tc>
        <w:tc>
          <w:tcPr>
            <w:tcW w:w="1275"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188</w:t>
            </w:r>
          </w:p>
        </w:tc>
        <w:tc>
          <w:tcPr>
            <w:tcW w:w="241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113</w:t>
            </w:r>
          </w:p>
        </w:tc>
      </w:tr>
      <w:tr w:rsidR="003E1F91" w:rsidRPr="003E1F91" w:rsidTr="003E1F91">
        <w:trPr>
          <w:trHeight w:val="290"/>
        </w:trPr>
        <w:tc>
          <w:tcPr>
            <w:tcW w:w="5529"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 xml:space="preserve">Trade </w:t>
            </w:r>
            <w:proofErr w:type="spellStart"/>
            <w:r w:rsidRPr="003E1F91">
              <w:rPr>
                <w:rFonts w:asciiTheme="minorHAnsi" w:eastAsia="Times New Roman" w:hAnsiTheme="minorHAnsi" w:cstheme="minorHAnsi"/>
                <w:color w:val="000000"/>
                <w:szCs w:val="20"/>
              </w:rPr>
              <w:t>and</w:t>
            </w:r>
            <w:proofErr w:type="spellEnd"/>
            <w:r w:rsidRPr="003E1F91">
              <w:rPr>
                <w:rFonts w:asciiTheme="minorHAnsi" w:eastAsia="Times New Roman" w:hAnsiTheme="minorHAnsi" w:cstheme="minorHAnsi"/>
                <w:color w:val="000000"/>
                <w:szCs w:val="20"/>
              </w:rPr>
              <w:t xml:space="preserve"> </w:t>
            </w:r>
            <w:proofErr w:type="spellStart"/>
            <w:r w:rsidRPr="003E1F91">
              <w:rPr>
                <w:rFonts w:asciiTheme="minorHAnsi" w:eastAsia="Times New Roman" w:hAnsiTheme="minorHAnsi" w:cstheme="minorHAnsi"/>
                <w:color w:val="000000"/>
                <w:szCs w:val="20"/>
              </w:rPr>
              <w:t>other</w:t>
            </w:r>
            <w:proofErr w:type="spellEnd"/>
            <w:r w:rsidRPr="003E1F91">
              <w:rPr>
                <w:rFonts w:asciiTheme="minorHAnsi" w:eastAsia="Times New Roman" w:hAnsiTheme="minorHAnsi" w:cstheme="minorHAnsi"/>
                <w:color w:val="000000"/>
                <w:szCs w:val="20"/>
              </w:rPr>
              <w:t xml:space="preserve"> </w:t>
            </w:r>
            <w:proofErr w:type="spellStart"/>
            <w:r w:rsidRPr="003E1F91">
              <w:rPr>
                <w:rFonts w:asciiTheme="minorHAnsi" w:eastAsia="Times New Roman" w:hAnsiTheme="minorHAnsi" w:cstheme="minorHAnsi"/>
                <w:color w:val="000000"/>
                <w:szCs w:val="20"/>
              </w:rPr>
              <w:t>payables</w:t>
            </w:r>
            <w:proofErr w:type="spellEnd"/>
          </w:p>
        </w:tc>
        <w:tc>
          <w:tcPr>
            <w:tcW w:w="1275" w:type="dxa"/>
            <w:tcBorders>
              <w:top w:val="nil"/>
              <w:left w:val="nil"/>
              <w:bottom w:val="nil"/>
              <w:right w:val="nil"/>
            </w:tcBorders>
            <w:shd w:val="clear" w:color="auto" w:fill="auto"/>
            <w:vAlign w:val="center"/>
            <w:hideMark/>
          </w:tcPr>
          <w:p w:rsidR="003E1F91" w:rsidRPr="003E1F91" w:rsidRDefault="007B49DB" w:rsidP="003E1F91">
            <w:pPr>
              <w:spacing w:after="0" w:line="240" w:lineRule="auto"/>
              <w:jc w:val="right"/>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2,</w:t>
            </w:r>
            <w:r w:rsidR="003E1F91" w:rsidRPr="003E1F91">
              <w:rPr>
                <w:rFonts w:asciiTheme="minorHAnsi" w:eastAsia="Times New Roman" w:hAnsiTheme="minorHAnsi" w:cstheme="minorHAnsi"/>
                <w:color w:val="000000"/>
                <w:szCs w:val="20"/>
              </w:rPr>
              <w:t>480</w:t>
            </w:r>
          </w:p>
        </w:tc>
        <w:tc>
          <w:tcPr>
            <w:tcW w:w="2410" w:type="dxa"/>
            <w:tcBorders>
              <w:top w:val="nil"/>
              <w:left w:val="nil"/>
              <w:bottom w:val="nil"/>
              <w:right w:val="nil"/>
            </w:tcBorders>
            <w:shd w:val="clear" w:color="auto" w:fill="auto"/>
            <w:vAlign w:val="center"/>
            <w:hideMark/>
          </w:tcPr>
          <w:p w:rsidR="003E1F91" w:rsidRPr="003E1F91" w:rsidRDefault="007B49DB" w:rsidP="003E1F91">
            <w:pPr>
              <w:spacing w:after="0" w:line="240" w:lineRule="auto"/>
              <w:jc w:val="right"/>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2,</w:t>
            </w:r>
            <w:r w:rsidR="003E1F91" w:rsidRPr="003E1F91">
              <w:rPr>
                <w:rFonts w:asciiTheme="minorHAnsi" w:eastAsia="Times New Roman" w:hAnsiTheme="minorHAnsi" w:cstheme="minorHAnsi"/>
                <w:color w:val="000000"/>
                <w:szCs w:val="20"/>
              </w:rPr>
              <w:t>159</w:t>
            </w:r>
          </w:p>
        </w:tc>
      </w:tr>
      <w:tr w:rsidR="003E1F91" w:rsidRPr="003E1F91" w:rsidTr="003E1F91">
        <w:trPr>
          <w:trHeight w:val="300"/>
        </w:trPr>
        <w:tc>
          <w:tcPr>
            <w:tcW w:w="5529" w:type="dxa"/>
            <w:tcBorders>
              <w:top w:val="nil"/>
              <w:left w:val="nil"/>
              <w:bottom w:val="single" w:sz="8" w:space="0" w:color="000000"/>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proofErr w:type="spellStart"/>
            <w:r w:rsidRPr="003E1F91">
              <w:rPr>
                <w:rFonts w:asciiTheme="minorHAnsi" w:eastAsia="Times New Roman" w:hAnsiTheme="minorHAnsi" w:cstheme="minorHAnsi"/>
                <w:color w:val="000000"/>
                <w:szCs w:val="20"/>
              </w:rPr>
              <w:t>Current</w:t>
            </w:r>
            <w:proofErr w:type="spellEnd"/>
            <w:r w:rsidRPr="003E1F91">
              <w:rPr>
                <w:rFonts w:asciiTheme="minorHAnsi" w:eastAsia="Times New Roman" w:hAnsiTheme="minorHAnsi" w:cstheme="minorHAnsi"/>
                <w:color w:val="000000"/>
                <w:szCs w:val="20"/>
              </w:rPr>
              <w:t xml:space="preserve"> tax </w:t>
            </w:r>
            <w:proofErr w:type="spellStart"/>
            <w:r w:rsidRPr="003E1F91">
              <w:rPr>
                <w:rFonts w:asciiTheme="minorHAnsi" w:eastAsia="Times New Roman" w:hAnsiTheme="minorHAnsi" w:cstheme="minorHAnsi"/>
                <w:color w:val="000000"/>
                <w:szCs w:val="20"/>
              </w:rPr>
              <w:t>liabilities</w:t>
            </w:r>
            <w:proofErr w:type="spellEnd"/>
          </w:p>
        </w:tc>
        <w:tc>
          <w:tcPr>
            <w:tcW w:w="1275" w:type="dxa"/>
            <w:tcBorders>
              <w:top w:val="nil"/>
              <w:left w:val="nil"/>
              <w:bottom w:val="single" w:sz="8" w:space="0" w:color="000000"/>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58</w:t>
            </w:r>
          </w:p>
        </w:tc>
        <w:tc>
          <w:tcPr>
            <w:tcW w:w="2410" w:type="dxa"/>
            <w:tcBorders>
              <w:top w:val="nil"/>
              <w:left w:val="nil"/>
              <w:bottom w:val="single" w:sz="8" w:space="0" w:color="000000"/>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63</w:t>
            </w:r>
          </w:p>
        </w:tc>
      </w:tr>
      <w:tr w:rsidR="003E1F91" w:rsidRPr="003E1F91" w:rsidTr="003E1F91">
        <w:trPr>
          <w:trHeight w:val="290"/>
        </w:trPr>
        <w:tc>
          <w:tcPr>
            <w:tcW w:w="5529"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proofErr w:type="spellStart"/>
            <w:r w:rsidRPr="003E1F91">
              <w:rPr>
                <w:rFonts w:asciiTheme="minorHAnsi" w:eastAsia="Times New Roman" w:hAnsiTheme="minorHAnsi" w:cstheme="minorHAnsi"/>
                <w:b/>
                <w:bCs/>
                <w:color w:val="000000"/>
                <w:szCs w:val="20"/>
              </w:rPr>
              <w:t>Current</w:t>
            </w:r>
            <w:proofErr w:type="spellEnd"/>
            <w:r w:rsidRPr="003E1F91">
              <w:rPr>
                <w:rFonts w:asciiTheme="minorHAnsi" w:eastAsia="Times New Roman" w:hAnsiTheme="minorHAnsi" w:cstheme="minorHAnsi"/>
                <w:b/>
                <w:bCs/>
                <w:color w:val="000000"/>
                <w:szCs w:val="20"/>
              </w:rPr>
              <w:t xml:space="preserve"> </w:t>
            </w:r>
            <w:proofErr w:type="spellStart"/>
            <w:r w:rsidRPr="003E1F91">
              <w:rPr>
                <w:rFonts w:asciiTheme="minorHAnsi" w:eastAsia="Times New Roman" w:hAnsiTheme="minorHAnsi" w:cstheme="minorHAnsi"/>
                <w:b/>
                <w:bCs/>
                <w:color w:val="000000"/>
                <w:szCs w:val="20"/>
              </w:rPr>
              <w:t>liabilities</w:t>
            </w:r>
            <w:proofErr w:type="spellEnd"/>
          </w:p>
        </w:tc>
        <w:tc>
          <w:tcPr>
            <w:tcW w:w="1275" w:type="dxa"/>
            <w:tcBorders>
              <w:top w:val="nil"/>
              <w:left w:val="nil"/>
              <w:bottom w:val="nil"/>
              <w:right w:val="nil"/>
            </w:tcBorders>
            <w:shd w:val="clear" w:color="auto" w:fill="auto"/>
            <w:vAlign w:val="center"/>
            <w:hideMark/>
          </w:tcPr>
          <w:p w:rsidR="003E1F91" w:rsidRPr="003E1F91" w:rsidRDefault="007B49DB" w:rsidP="003E1F91">
            <w:pPr>
              <w:spacing w:after="0" w:line="240" w:lineRule="auto"/>
              <w:jc w:val="right"/>
              <w:rPr>
                <w:rFonts w:asciiTheme="minorHAnsi" w:eastAsia="Times New Roman" w:hAnsiTheme="minorHAnsi" w:cstheme="minorHAnsi"/>
                <w:b/>
                <w:bCs/>
                <w:color w:val="000000"/>
                <w:szCs w:val="20"/>
              </w:rPr>
            </w:pPr>
            <w:r>
              <w:rPr>
                <w:rFonts w:asciiTheme="minorHAnsi" w:eastAsia="Times New Roman" w:hAnsiTheme="minorHAnsi" w:cstheme="minorHAnsi"/>
                <w:b/>
                <w:bCs/>
                <w:color w:val="000000"/>
                <w:szCs w:val="20"/>
              </w:rPr>
              <w:t>2,</w:t>
            </w:r>
            <w:r w:rsidR="003E1F91" w:rsidRPr="003E1F91">
              <w:rPr>
                <w:rFonts w:asciiTheme="minorHAnsi" w:eastAsia="Times New Roman" w:hAnsiTheme="minorHAnsi" w:cstheme="minorHAnsi"/>
                <w:b/>
                <w:bCs/>
                <w:color w:val="000000"/>
                <w:szCs w:val="20"/>
              </w:rPr>
              <w:t>726</w:t>
            </w:r>
          </w:p>
        </w:tc>
        <w:tc>
          <w:tcPr>
            <w:tcW w:w="2410" w:type="dxa"/>
            <w:tcBorders>
              <w:top w:val="nil"/>
              <w:left w:val="nil"/>
              <w:bottom w:val="nil"/>
              <w:right w:val="nil"/>
            </w:tcBorders>
            <w:shd w:val="clear" w:color="auto" w:fill="auto"/>
            <w:vAlign w:val="center"/>
            <w:hideMark/>
          </w:tcPr>
          <w:p w:rsidR="003E1F91" w:rsidRPr="003E1F91" w:rsidRDefault="007B49DB" w:rsidP="003E1F91">
            <w:pPr>
              <w:spacing w:after="0" w:line="240" w:lineRule="auto"/>
              <w:jc w:val="right"/>
              <w:rPr>
                <w:rFonts w:asciiTheme="minorHAnsi" w:eastAsia="Times New Roman" w:hAnsiTheme="minorHAnsi" w:cstheme="minorHAnsi"/>
                <w:b/>
                <w:bCs/>
                <w:color w:val="000000"/>
                <w:szCs w:val="20"/>
              </w:rPr>
            </w:pPr>
            <w:r>
              <w:rPr>
                <w:rFonts w:asciiTheme="minorHAnsi" w:eastAsia="Times New Roman" w:hAnsiTheme="minorHAnsi" w:cstheme="minorHAnsi"/>
                <w:b/>
                <w:bCs/>
                <w:color w:val="000000"/>
                <w:szCs w:val="20"/>
              </w:rPr>
              <w:t>2,</w:t>
            </w:r>
            <w:r w:rsidR="003E1F91" w:rsidRPr="003E1F91">
              <w:rPr>
                <w:rFonts w:asciiTheme="minorHAnsi" w:eastAsia="Times New Roman" w:hAnsiTheme="minorHAnsi" w:cstheme="minorHAnsi"/>
                <w:b/>
                <w:bCs/>
                <w:color w:val="000000"/>
                <w:szCs w:val="20"/>
              </w:rPr>
              <w:t>335</w:t>
            </w:r>
          </w:p>
        </w:tc>
      </w:tr>
      <w:tr w:rsidR="003E1F91" w:rsidRPr="003E1F91" w:rsidTr="003E1F91">
        <w:trPr>
          <w:trHeight w:val="300"/>
        </w:trPr>
        <w:tc>
          <w:tcPr>
            <w:tcW w:w="5529"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r w:rsidRPr="003E1F91">
              <w:rPr>
                <w:rFonts w:asciiTheme="minorHAnsi" w:eastAsia="Times New Roman" w:hAnsiTheme="minorHAnsi" w:cstheme="minorHAnsi"/>
                <w:b/>
                <w:bCs/>
                <w:color w:val="000000"/>
                <w:szCs w:val="20"/>
              </w:rPr>
              <w:t> </w:t>
            </w:r>
          </w:p>
        </w:tc>
        <w:tc>
          <w:tcPr>
            <w:tcW w:w="1275"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r w:rsidRPr="003E1F91">
              <w:rPr>
                <w:rFonts w:asciiTheme="minorHAnsi" w:eastAsia="Times New Roman" w:hAnsiTheme="minorHAnsi" w:cstheme="minorHAnsi"/>
                <w:b/>
                <w:bCs/>
                <w:color w:val="000000"/>
                <w:szCs w:val="20"/>
              </w:rPr>
              <w:t> </w:t>
            </w:r>
          </w:p>
        </w:tc>
        <w:tc>
          <w:tcPr>
            <w:tcW w:w="2410"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r w:rsidRPr="003E1F91">
              <w:rPr>
                <w:rFonts w:asciiTheme="minorHAnsi" w:eastAsia="Times New Roman" w:hAnsiTheme="minorHAnsi" w:cstheme="minorHAnsi"/>
                <w:b/>
                <w:bCs/>
                <w:color w:val="000000"/>
                <w:szCs w:val="20"/>
              </w:rPr>
              <w:t> </w:t>
            </w:r>
          </w:p>
        </w:tc>
      </w:tr>
      <w:tr w:rsidR="003E1F91" w:rsidRPr="003E1F91" w:rsidTr="003E1F91">
        <w:trPr>
          <w:trHeight w:val="300"/>
        </w:trPr>
        <w:tc>
          <w:tcPr>
            <w:tcW w:w="5529" w:type="dxa"/>
            <w:tcBorders>
              <w:top w:val="nil"/>
              <w:left w:val="nil"/>
              <w:bottom w:val="single" w:sz="8" w:space="0" w:color="auto"/>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r w:rsidRPr="003E1F91">
              <w:rPr>
                <w:rFonts w:asciiTheme="minorHAnsi" w:eastAsia="Times New Roman" w:hAnsiTheme="minorHAnsi" w:cstheme="minorHAnsi"/>
                <w:b/>
                <w:bCs/>
                <w:color w:val="000000"/>
                <w:szCs w:val="20"/>
              </w:rPr>
              <w:t xml:space="preserve">Total </w:t>
            </w:r>
            <w:proofErr w:type="spellStart"/>
            <w:r w:rsidRPr="003E1F91">
              <w:rPr>
                <w:rFonts w:asciiTheme="minorHAnsi" w:eastAsia="Times New Roman" w:hAnsiTheme="minorHAnsi" w:cstheme="minorHAnsi"/>
                <w:b/>
                <w:bCs/>
                <w:color w:val="000000"/>
                <w:szCs w:val="20"/>
              </w:rPr>
              <w:t>equity</w:t>
            </w:r>
            <w:proofErr w:type="spellEnd"/>
            <w:r w:rsidRPr="003E1F91">
              <w:rPr>
                <w:rFonts w:asciiTheme="minorHAnsi" w:eastAsia="Times New Roman" w:hAnsiTheme="minorHAnsi" w:cstheme="minorHAnsi"/>
                <w:b/>
                <w:bCs/>
                <w:color w:val="000000"/>
                <w:szCs w:val="20"/>
              </w:rPr>
              <w:t xml:space="preserve"> </w:t>
            </w:r>
            <w:proofErr w:type="spellStart"/>
            <w:r w:rsidRPr="003E1F91">
              <w:rPr>
                <w:rFonts w:asciiTheme="minorHAnsi" w:eastAsia="Times New Roman" w:hAnsiTheme="minorHAnsi" w:cstheme="minorHAnsi"/>
                <w:b/>
                <w:bCs/>
                <w:color w:val="000000"/>
                <w:szCs w:val="20"/>
              </w:rPr>
              <w:t>and</w:t>
            </w:r>
            <w:proofErr w:type="spellEnd"/>
            <w:r w:rsidRPr="003E1F91">
              <w:rPr>
                <w:rFonts w:asciiTheme="minorHAnsi" w:eastAsia="Times New Roman" w:hAnsiTheme="minorHAnsi" w:cstheme="minorHAnsi"/>
                <w:b/>
                <w:bCs/>
                <w:color w:val="000000"/>
                <w:szCs w:val="20"/>
              </w:rPr>
              <w:t xml:space="preserve"> </w:t>
            </w:r>
            <w:proofErr w:type="spellStart"/>
            <w:r w:rsidRPr="003E1F91">
              <w:rPr>
                <w:rFonts w:asciiTheme="minorHAnsi" w:eastAsia="Times New Roman" w:hAnsiTheme="minorHAnsi" w:cstheme="minorHAnsi"/>
                <w:b/>
                <w:bCs/>
                <w:color w:val="000000"/>
                <w:szCs w:val="20"/>
              </w:rPr>
              <w:t>liabilities</w:t>
            </w:r>
            <w:proofErr w:type="spellEnd"/>
            <w:r w:rsidRPr="003E1F91">
              <w:rPr>
                <w:rFonts w:asciiTheme="minorHAnsi" w:eastAsia="Times New Roman" w:hAnsiTheme="minorHAnsi" w:cstheme="minorHAnsi"/>
                <w:b/>
                <w:bCs/>
                <w:color w:val="000000"/>
                <w:szCs w:val="20"/>
              </w:rPr>
              <w:t> </w:t>
            </w:r>
          </w:p>
        </w:tc>
        <w:tc>
          <w:tcPr>
            <w:tcW w:w="1275" w:type="dxa"/>
            <w:tcBorders>
              <w:top w:val="nil"/>
              <w:left w:val="nil"/>
              <w:bottom w:val="single" w:sz="8" w:space="0" w:color="auto"/>
              <w:right w:val="nil"/>
            </w:tcBorders>
            <w:shd w:val="clear" w:color="auto" w:fill="auto"/>
            <w:vAlign w:val="center"/>
            <w:hideMark/>
          </w:tcPr>
          <w:p w:rsidR="003E1F91" w:rsidRPr="003E1F91" w:rsidRDefault="007B49DB" w:rsidP="003E1F91">
            <w:pPr>
              <w:spacing w:after="0" w:line="240" w:lineRule="auto"/>
              <w:jc w:val="right"/>
              <w:rPr>
                <w:rFonts w:asciiTheme="minorHAnsi" w:eastAsia="Times New Roman" w:hAnsiTheme="minorHAnsi" w:cstheme="minorHAnsi"/>
                <w:b/>
                <w:bCs/>
                <w:color w:val="000000"/>
                <w:szCs w:val="20"/>
              </w:rPr>
            </w:pPr>
            <w:r>
              <w:rPr>
                <w:rFonts w:asciiTheme="minorHAnsi" w:eastAsia="Times New Roman" w:hAnsiTheme="minorHAnsi" w:cstheme="minorHAnsi"/>
                <w:b/>
                <w:bCs/>
                <w:color w:val="000000"/>
                <w:szCs w:val="20"/>
              </w:rPr>
              <w:t>15,</w:t>
            </w:r>
            <w:r w:rsidR="003E1F91" w:rsidRPr="003E1F91">
              <w:rPr>
                <w:rFonts w:asciiTheme="minorHAnsi" w:eastAsia="Times New Roman" w:hAnsiTheme="minorHAnsi" w:cstheme="minorHAnsi"/>
                <w:b/>
                <w:bCs/>
                <w:color w:val="000000"/>
                <w:szCs w:val="20"/>
              </w:rPr>
              <w:t>564</w:t>
            </w:r>
          </w:p>
        </w:tc>
        <w:tc>
          <w:tcPr>
            <w:tcW w:w="2410" w:type="dxa"/>
            <w:tcBorders>
              <w:top w:val="nil"/>
              <w:left w:val="nil"/>
              <w:bottom w:val="single" w:sz="8" w:space="0" w:color="auto"/>
              <w:right w:val="nil"/>
            </w:tcBorders>
            <w:shd w:val="clear" w:color="auto" w:fill="auto"/>
            <w:vAlign w:val="center"/>
            <w:hideMark/>
          </w:tcPr>
          <w:p w:rsidR="003E1F91" w:rsidRPr="003E1F91" w:rsidRDefault="007B49DB" w:rsidP="003E1F91">
            <w:pPr>
              <w:spacing w:after="0" w:line="240" w:lineRule="auto"/>
              <w:jc w:val="right"/>
              <w:rPr>
                <w:rFonts w:asciiTheme="minorHAnsi" w:eastAsia="Times New Roman" w:hAnsiTheme="minorHAnsi" w:cstheme="minorHAnsi"/>
                <w:b/>
                <w:bCs/>
                <w:color w:val="000000"/>
                <w:szCs w:val="20"/>
              </w:rPr>
            </w:pPr>
            <w:r>
              <w:rPr>
                <w:rFonts w:asciiTheme="minorHAnsi" w:eastAsia="Times New Roman" w:hAnsiTheme="minorHAnsi" w:cstheme="minorHAnsi"/>
                <w:b/>
                <w:bCs/>
                <w:color w:val="000000"/>
                <w:szCs w:val="20"/>
              </w:rPr>
              <w:t>14,</w:t>
            </w:r>
            <w:r w:rsidR="003E1F91" w:rsidRPr="003E1F91">
              <w:rPr>
                <w:rFonts w:asciiTheme="minorHAnsi" w:eastAsia="Times New Roman" w:hAnsiTheme="minorHAnsi" w:cstheme="minorHAnsi"/>
                <w:b/>
                <w:bCs/>
                <w:color w:val="000000"/>
                <w:szCs w:val="20"/>
              </w:rPr>
              <w:t>711</w:t>
            </w:r>
          </w:p>
        </w:tc>
      </w:tr>
    </w:tbl>
    <w:p w:rsidR="003E1F91" w:rsidRPr="003E1F91" w:rsidRDefault="003E1F91" w:rsidP="003E1F91">
      <w:pPr>
        <w:autoSpaceDE w:val="0"/>
        <w:spacing w:after="0"/>
        <w:jc w:val="both"/>
        <w:rPr>
          <w:rFonts w:asciiTheme="minorHAnsi" w:eastAsia="Times New Roman" w:hAnsiTheme="minorHAnsi" w:cstheme="minorHAnsi"/>
          <w:szCs w:val="20"/>
          <w:lang w:val="en-GB" w:eastAsia="en-GB" w:bidi="en-GB"/>
        </w:rPr>
      </w:pPr>
    </w:p>
    <w:p w:rsidR="003E1F91" w:rsidRPr="003E1F91" w:rsidRDefault="003E1F91" w:rsidP="003E1F91">
      <w:pPr>
        <w:spacing w:after="0" w:line="240" w:lineRule="auto"/>
        <w:jc w:val="both"/>
        <w:rPr>
          <w:rFonts w:asciiTheme="minorHAnsi" w:eastAsia="Times New Roman" w:hAnsiTheme="minorHAnsi" w:cstheme="minorHAnsi"/>
          <w:color w:val="3366FF"/>
          <w:szCs w:val="20"/>
          <w:highlight w:val="yellow"/>
          <w:lang w:val="en-GB" w:eastAsia="en-GB" w:bidi="en-GB"/>
        </w:rPr>
      </w:pPr>
      <w:r w:rsidRPr="003E1F91">
        <w:rPr>
          <w:rFonts w:asciiTheme="minorHAnsi" w:eastAsia="Times New Roman" w:hAnsiTheme="minorHAnsi" w:cstheme="minorHAnsi"/>
          <w:color w:val="3366FF"/>
          <w:szCs w:val="20"/>
          <w:highlight w:val="yellow"/>
          <w:lang w:val="en-GB" w:eastAsia="en-GB" w:bidi="en-GB"/>
        </w:rPr>
        <w:br w:type="page"/>
      </w:r>
    </w:p>
    <w:p w:rsidR="003E1F91" w:rsidRPr="003E1F91" w:rsidRDefault="003E1F91" w:rsidP="003E1F91">
      <w:pPr>
        <w:autoSpaceDE w:val="0"/>
        <w:spacing w:after="0"/>
        <w:jc w:val="both"/>
        <w:rPr>
          <w:rFonts w:asciiTheme="minorHAnsi" w:eastAsia="Times New Roman" w:hAnsiTheme="minorHAnsi" w:cstheme="minorHAnsi"/>
          <w:b/>
          <w:szCs w:val="20"/>
          <w:lang w:val="en-GB" w:eastAsia="en-GB" w:bidi="en-GB"/>
        </w:rPr>
      </w:pPr>
    </w:p>
    <w:p w:rsidR="003E1F91" w:rsidRPr="003E1F91" w:rsidRDefault="003E1F91" w:rsidP="003E1F91">
      <w:pPr>
        <w:autoSpaceDE w:val="0"/>
        <w:spacing w:after="0"/>
        <w:jc w:val="both"/>
        <w:rPr>
          <w:rFonts w:asciiTheme="minorHAnsi" w:eastAsia="Times New Roman" w:hAnsiTheme="minorHAnsi" w:cstheme="minorHAnsi"/>
          <w:b/>
          <w:szCs w:val="20"/>
          <w:lang w:val="en-GB" w:eastAsia="en-GB" w:bidi="en-GB"/>
        </w:rPr>
      </w:pPr>
    </w:p>
    <w:p w:rsidR="003E1F91" w:rsidRPr="004F4E0E" w:rsidRDefault="003E1F91" w:rsidP="004F4E0E">
      <w:pPr>
        <w:ind w:left="284"/>
        <w:jc w:val="both"/>
        <w:rPr>
          <w:rFonts w:asciiTheme="minorHAnsi" w:eastAsia="Times New Roman" w:hAnsiTheme="minorHAnsi" w:cstheme="minorHAnsi"/>
          <w:b/>
          <w:color w:val="B71234"/>
          <w:sz w:val="22"/>
          <w:lang w:val="en-GB" w:eastAsia="en-GB" w:bidi="en-GB"/>
        </w:rPr>
      </w:pPr>
      <w:r w:rsidRPr="004F4E0E">
        <w:rPr>
          <w:rFonts w:asciiTheme="minorHAnsi" w:eastAsia="Times New Roman" w:hAnsiTheme="minorHAnsi" w:cstheme="minorHAnsi"/>
          <w:b/>
          <w:color w:val="B71234"/>
          <w:sz w:val="22"/>
          <w:lang w:val="en-GB" w:eastAsia="en-GB" w:bidi="en-GB"/>
        </w:rPr>
        <w:t xml:space="preserve">Consolidated Cash Flow </w:t>
      </w:r>
    </w:p>
    <w:p w:rsidR="003E1F91" w:rsidRPr="003E1F91" w:rsidRDefault="003E1F91" w:rsidP="003E1F91">
      <w:pPr>
        <w:spacing w:after="0"/>
        <w:jc w:val="both"/>
        <w:rPr>
          <w:rFonts w:asciiTheme="minorHAnsi" w:eastAsia="Times New Roman" w:hAnsiTheme="minorHAnsi" w:cstheme="minorHAnsi"/>
          <w:szCs w:val="20"/>
          <w:highlight w:val="yellow"/>
          <w:lang w:val="en-GB" w:eastAsia="en-GB" w:bidi="en-GB"/>
        </w:rPr>
      </w:pPr>
    </w:p>
    <w:tbl>
      <w:tblPr>
        <w:tblW w:w="8940" w:type="dxa"/>
        <w:tblInd w:w="284" w:type="dxa"/>
        <w:tblLook w:val="04A0"/>
      </w:tblPr>
      <w:tblGrid>
        <w:gridCol w:w="6180"/>
        <w:gridCol w:w="1380"/>
        <w:gridCol w:w="1380"/>
      </w:tblGrid>
      <w:tr w:rsidR="003E1F91" w:rsidRPr="004A0C63" w:rsidTr="003E1F91">
        <w:trPr>
          <w:trHeight w:val="240"/>
        </w:trPr>
        <w:tc>
          <w:tcPr>
            <w:tcW w:w="6180" w:type="dxa"/>
            <w:tcBorders>
              <w:top w:val="single" w:sz="8" w:space="0" w:color="000000"/>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lang w:val="en-GB"/>
              </w:rPr>
            </w:pPr>
            <w:r w:rsidRPr="003E1F91">
              <w:rPr>
                <w:rFonts w:asciiTheme="minorHAnsi" w:eastAsia="Times New Roman" w:hAnsiTheme="minorHAnsi" w:cstheme="minorHAnsi"/>
                <w:color w:val="000000"/>
                <w:szCs w:val="20"/>
                <w:lang w:val="en-GB"/>
              </w:rPr>
              <w:t> </w:t>
            </w:r>
          </w:p>
        </w:tc>
        <w:tc>
          <w:tcPr>
            <w:tcW w:w="1380" w:type="dxa"/>
            <w:tcBorders>
              <w:top w:val="single" w:sz="8" w:space="0" w:color="000000"/>
              <w:left w:val="nil"/>
              <w:bottom w:val="nil"/>
              <w:right w:val="nil"/>
            </w:tcBorders>
            <w:shd w:val="clear" w:color="auto" w:fill="auto"/>
            <w:vAlign w:val="center"/>
            <w:hideMark/>
          </w:tcPr>
          <w:p w:rsidR="003E1F91" w:rsidRPr="003E1F91" w:rsidRDefault="004A0C63" w:rsidP="003E1F91">
            <w:pPr>
              <w:spacing w:after="0" w:line="240" w:lineRule="auto"/>
              <w:jc w:val="right"/>
              <w:rPr>
                <w:rFonts w:asciiTheme="minorHAnsi" w:eastAsia="Times New Roman" w:hAnsiTheme="minorHAnsi" w:cstheme="minorHAnsi"/>
                <w:color w:val="000000"/>
                <w:szCs w:val="20"/>
                <w:lang w:val="en-GB"/>
              </w:rPr>
            </w:pPr>
            <w:r>
              <w:rPr>
                <w:rFonts w:asciiTheme="minorHAnsi" w:eastAsia="Times New Roman" w:hAnsiTheme="minorHAnsi" w:cstheme="minorHAnsi"/>
                <w:color w:val="000000"/>
                <w:szCs w:val="20"/>
                <w:lang w:val="en-GB"/>
              </w:rPr>
              <w:t>unaudited</w:t>
            </w:r>
          </w:p>
        </w:tc>
        <w:tc>
          <w:tcPr>
            <w:tcW w:w="1380" w:type="dxa"/>
            <w:tcBorders>
              <w:top w:val="single" w:sz="8" w:space="0" w:color="000000"/>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lang w:val="en-GB"/>
              </w:rPr>
            </w:pPr>
            <w:r w:rsidRPr="003E1F91">
              <w:rPr>
                <w:rFonts w:asciiTheme="minorHAnsi" w:eastAsia="Times New Roman" w:hAnsiTheme="minorHAnsi" w:cstheme="minorHAnsi"/>
                <w:color w:val="000000"/>
                <w:szCs w:val="20"/>
                <w:lang w:val="en-GB"/>
              </w:rPr>
              <w:t> </w:t>
            </w:r>
          </w:p>
        </w:tc>
      </w:tr>
      <w:tr w:rsidR="003E1F91" w:rsidRPr="003E1F91" w:rsidTr="003E1F91">
        <w:trPr>
          <w:trHeight w:val="340"/>
        </w:trPr>
        <w:tc>
          <w:tcPr>
            <w:tcW w:w="6180" w:type="dxa"/>
            <w:tcBorders>
              <w:top w:val="nil"/>
              <w:left w:val="nil"/>
              <w:bottom w:val="single" w:sz="8" w:space="0" w:color="auto"/>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(x EUR 1,000)</w:t>
            </w:r>
          </w:p>
        </w:tc>
        <w:tc>
          <w:tcPr>
            <w:tcW w:w="1380" w:type="dxa"/>
            <w:tcBorders>
              <w:top w:val="nil"/>
              <w:left w:val="nil"/>
              <w:bottom w:val="single" w:sz="8"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r w:rsidRPr="003E1F91">
              <w:rPr>
                <w:rFonts w:asciiTheme="minorHAnsi" w:eastAsia="Times New Roman" w:hAnsiTheme="minorHAnsi" w:cstheme="minorHAnsi"/>
                <w:b/>
                <w:bCs/>
                <w:color w:val="000000"/>
                <w:szCs w:val="20"/>
              </w:rPr>
              <w:t>2017</w:t>
            </w:r>
          </w:p>
        </w:tc>
        <w:tc>
          <w:tcPr>
            <w:tcW w:w="1380" w:type="dxa"/>
            <w:tcBorders>
              <w:top w:val="nil"/>
              <w:left w:val="nil"/>
              <w:bottom w:val="single" w:sz="8"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r w:rsidRPr="003E1F91">
              <w:rPr>
                <w:rFonts w:asciiTheme="minorHAnsi" w:eastAsia="Times New Roman" w:hAnsiTheme="minorHAnsi" w:cstheme="minorHAnsi"/>
                <w:b/>
                <w:bCs/>
                <w:color w:val="000000"/>
                <w:szCs w:val="20"/>
              </w:rPr>
              <w:t>2016</w:t>
            </w:r>
          </w:p>
        </w:tc>
      </w:tr>
      <w:tr w:rsidR="003E1F91" w:rsidRPr="003E1F91" w:rsidTr="003E1F91">
        <w:trPr>
          <w:trHeight w:val="290"/>
        </w:trPr>
        <w:tc>
          <w:tcPr>
            <w:tcW w:w="618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3E1F91" w:rsidTr="003E1F91">
        <w:trPr>
          <w:trHeight w:val="290"/>
        </w:trPr>
        <w:tc>
          <w:tcPr>
            <w:tcW w:w="618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EBITDA</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sidRPr="003E1F91">
              <w:rPr>
                <w:rFonts w:asciiTheme="minorHAnsi" w:eastAsia="Times New Roman" w:hAnsiTheme="minorHAnsi" w:cstheme="minorHAnsi"/>
                <w:szCs w:val="20"/>
              </w:rPr>
              <w:t xml:space="preserve">603    </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sidRPr="003E1F91">
              <w:rPr>
                <w:rFonts w:asciiTheme="minorHAnsi" w:eastAsia="Times New Roman" w:hAnsiTheme="minorHAnsi" w:cstheme="minorHAnsi"/>
                <w:szCs w:val="20"/>
              </w:rPr>
              <w:t xml:space="preserve">-310    </w:t>
            </w:r>
          </w:p>
        </w:tc>
      </w:tr>
      <w:tr w:rsidR="003E1F91" w:rsidRPr="003E1F91" w:rsidTr="003E1F91">
        <w:trPr>
          <w:trHeight w:val="290"/>
        </w:trPr>
        <w:tc>
          <w:tcPr>
            <w:tcW w:w="618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proofErr w:type="spellStart"/>
            <w:r w:rsidRPr="003E1F91">
              <w:rPr>
                <w:rFonts w:asciiTheme="minorHAnsi" w:eastAsia="Times New Roman" w:hAnsiTheme="minorHAnsi" w:cstheme="minorHAnsi"/>
                <w:color w:val="000000"/>
                <w:szCs w:val="20"/>
              </w:rPr>
              <w:t>Adjustments</w:t>
            </w:r>
            <w:proofErr w:type="spellEnd"/>
            <w:r w:rsidRPr="003E1F91">
              <w:rPr>
                <w:rFonts w:asciiTheme="minorHAnsi" w:eastAsia="Times New Roman" w:hAnsiTheme="minorHAnsi" w:cstheme="minorHAnsi"/>
                <w:color w:val="000000"/>
                <w:szCs w:val="20"/>
              </w:rPr>
              <w:t xml:space="preserve"> </w:t>
            </w:r>
            <w:proofErr w:type="spellStart"/>
            <w:r w:rsidRPr="003E1F91">
              <w:rPr>
                <w:rFonts w:asciiTheme="minorHAnsi" w:eastAsia="Times New Roman" w:hAnsiTheme="minorHAnsi" w:cstheme="minorHAnsi"/>
                <w:color w:val="000000"/>
                <w:szCs w:val="20"/>
              </w:rPr>
              <w:t>for</w:t>
            </w:r>
            <w:proofErr w:type="spellEnd"/>
            <w:r w:rsidRPr="003E1F91">
              <w:rPr>
                <w:rFonts w:asciiTheme="minorHAnsi" w:eastAsia="Times New Roman" w:hAnsiTheme="minorHAnsi" w:cstheme="minorHAnsi"/>
                <w:color w:val="000000"/>
                <w:szCs w:val="20"/>
              </w:rPr>
              <w:t>:</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3E1F91" w:rsidTr="003E1F91">
        <w:trPr>
          <w:trHeight w:val="290"/>
        </w:trPr>
        <w:tc>
          <w:tcPr>
            <w:tcW w:w="618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lang w:val="en-GB"/>
              </w:rPr>
            </w:pPr>
            <w:r w:rsidRPr="003E1F91">
              <w:rPr>
                <w:rFonts w:asciiTheme="minorHAnsi" w:eastAsia="Times New Roman" w:hAnsiTheme="minorHAnsi" w:cstheme="minorHAnsi"/>
                <w:color w:val="000000"/>
                <w:szCs w:val="20"/>
                <w:lang w:val="en-GB"/>
              </w:rPr>
              <w:t>-    Movements in retirement benefit obligations</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sidRPr="003E1F91">
              <w:rPr>
                <w:rFonts w:asciiTheme="minorHAnsi" w:eastAsia="Times New Roman" w:hAnsiTheme="minorHAnsi" w:cstheme="minorHAnsi"/>
                <w:szCs w:val="20"/>
              </w:rPr>
              <w:t xml:space="preserve">-141    </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sidRPr="003E1F91">
              <w:rPr>
                <w:rFonts w:asciiTheme="minorHAnsi" w:eastAsia="Times New Roman" w:hAnsiTheme="minorHAnsi" w:cstheme="minorHAnsi"/>
                <w:szCs w:val="20"/>
              </w:rPr>
              <w:t xml:space="preserve">-76    </w:t>
            </w:r>
          </w:p>
        </w:tc>
      </w:tr>
      <w:tr w:rsidR="003E1F91" w:rsidRPr="003E1F91" w:rsidTr="003E1F91">
        <w:trPr>
          <w:trHeight w:val="290"/>
        </w:trPr>
        <w:tc>
          <w:tcPr>
            <w:tcW w:w="618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    Share-</w:t>
            </w:r>
            <w:proofErr w:type="spellStart"/>
            <w:r w:rsidRPr="003E1F91">
              <w:rPr>
                <w:rFonts w:asciiTheme="minorHAnsi" w:eastAsia="Times New Roman" w:hAnsiTheme="minorHAnsi" w:cstheme="minorHAnsi"/>
                <w:color w:val="000000"/>
                <w:szCs w:val="20"/>
              </w:rPr>
              <w:t>based</w:t>
            </w:r>
            <w:proofErr w:type="spellEnd"/>
            <w:r w:rsidRPr="003E1F91">
              <w:rPr>
                <w:rFonts w:asciiTheme="minorHAnsi" w:eastAsia="Times New Roman" w:hAnsiTheme="minorHAnsi" w:cstheme="minorHAnsi"/>
                <w:color w:val="000000"/>
                <w:szCs w:val="20"/>
              </w:rPr>
              <w:t xml:space="preserve"> </w:t>
            </w:r>
            <w:proofErr w:type="spellStart"/>
            <w:r w:rsidRPr="003E1F91">
              <w:rPr>
                <w:rFonts w:asciiTheme="minorHAnsi" w:eastAsia="Times New Roman" w:hAnsiTheme="minorHAnsi" w:cstheme="minorHAnsi"/>
                <w:color w:val="000000"/>
                <w:szCs w:val="20"/>
              </w:rPr>
              <w:t>payments</w:t>
            </w:r>
            <w:proofErr w:type="spellEnd"/>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sidRPr="003E1F91">
              <w:rPr>
                <w:rFonts w:asciiTheme="minorHAnsi" w:eastAsia="Times New Roman" w:hAnsiTheme="minorHAnsi" w:cstheme="minorHAnsi"/>
                <w:szCs w:val="20"/>
              </w:rPr>
              <w:t xml:space="preserve">-1    </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sidRPr="003E1F91">
              <w:rPr>
                <w:rFonts w:asciiTheme="minorHAnsi" w:eastAsia="Times New Roman" w:hAnsiTheme="minorHAnsi" w:cstheme="minorHAnsi"/>
                <w:szCs w:val="20"/>
              </w:rPr>
              <w:t xml:space="preserve">13    </w:t>
            </w:r>
          </w:p>
        </w:tc>
      </w:tr>
      <w:tr w:rsidR="003E1F91" w:rsidRPr="003E1F91" w:rsidTr="003E1F91">
        <w:trPr>
          <w:trHeight w:val="290"/>
        </w:trPr>
        <w:tc>
          <w:tcPr>
            <w:tcW w:w="618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 xml:space="preserve">-    </w:t>
            </w:r>
            <w:proofErr w:type="spellStart"/>
            <w:r w:rsidRPr="003E1F91">
              <w:rPr>
                <w:rFonts w:asciiTheme="minorHAnsi" w:eastAsia="Times New Roman" w:hAnsiTheme="minorHAnsi" w:cstheme="minorHAnsi"/>
                <w:color w:val="000000"/>
                <w:szCs w:val="20"/>
              </w:rPr>
              <w:t>Accrued</w:t>
            </w:r>
            <w:proofErr w:type="spellEnd"/>
            <w:r w:rsidRPr="003E1F91">
              <w:rPr>
                <w:rFonts w:asciiTheme="minorHAnsi" w:eastAsia="Times New Roman" w:hAnsiTheme="minorHAnsi" w:cstheme="minorHAnsi"/>
                <w:color w:val="000000"/>
                <w:szCs w:val="20"/>
              </w:rPr>
              <w:t xml:space="preserve"> </w:t>
            </w:r>
            <w:proofErr w:type="spellStart"/>
            <w:r w:rsidRPr="003E1F91">
              <w:rPr>
                <w:rFonts w:asciiTheme="minorHAnsi" w:eastAsia="Times New Roman" w:hAnsiTheme="minorHAnsi" w:cstheme="minorHAnsi"/>
                <w:color w:val="000000"/>
                <w:szCs w:val="20"/>
              </w:rPr>
              <w:t>interest</w:t>
            </w:r>
            <w:proofErr w:type="spellEnd"/>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sidRPr="003E1F91">
              <w:rPr>
                <w:rFonts w:asciiTheme="minorHAnsi" w:eastAsia="Times New Roman" w:hAnsiTheme="minorHAnsi" w:cstheme="minorHAnsi"/>
                <w:szCs w:val="20"/>
              </w:rPr>
              <w:t xml:space="preserve">-25    </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sidRPr="003E1F91">
              <w:rPr>
                <w:rFonts w:asciiTheme="minorHAnsi" w:eastAsia="Times New Roman" w:hAnsiTheme="minorHAnsi" w:cstheme="minorHAnsi"/>
                <w:szCs w:val="20"/>
              </w:rPr>
              <w:t xml:space="preserve">-28    </w:t>
            </w:r>
          </w:p>
        </w:tc>
      </w:tr>
      <w:tr w:rsidR="003E1F91" w:rsidRPr="003E1F91" w:rsidTr="003E1F91">
        <w:trPr>
          <w:trHeight w:val="290"/>
        </w:trPr>
        <w:tc>
          <w:tcPr>
            <w:tcW w:w="618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lang w:val="en-GB"/>
              </w:rPr>
            </w:pPr>
            <w:r w:rsidRPr="003E1F91">
              <w:rPr>
                <w:rFonts w:asciiTheme="minorHAnsi" w:eastAsia="Times New Roman" w:hAnsiTheme="minorHAnsi" w:cstheme="minorHAnsi"/>
                <w:color w:val="000000"/>
                <w:szCs w:val="20"/>
                <w:lang w:val="en-GB"/>
              </w:rPr>
              <w:t>-    Impairment loss on financial assets</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sidRPr="003E1F91">
              <w:rPr>
                <w:rFonts w:asciiTheme="minorHAnsi" w:eastAsia="Times New Roman" w:hAnsiTheme="minorHAnsi" w:cstheme="minorHAnsi"/>
                <w:szCs w:val="20"/>
              </w:rPr>
              <w:t xml:space="preserve">346    </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sidRPr="003E1F91">
              <w:rPr>
                <w:rFonts w:asciiTheme="minorHAnsi" w:eastAsia="Times New Roman" w:hAnsiTheme="minorHAnsi" w:cstheme="minorHAnsi"/>
                <w:szCs w:val="20"/>
              </w:rPr>
              <w:t xml:space="preserve"> -    </w:t>
            </w:r>
          </w:p>
        </w:tc>
      </w:tr>
      <w:tr w:rsidR="003E1F91" w:rsidRPr="003E1F91" w:rsidTr="003E1F91">
        <w:trPr>
          <w:trHeight w:val="290"/>
        </w:trPr>
        <w:tc>
          <w:tcPr>
            <w:tcW w:w="618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proofErr w:type="spellStart"/>
            <w:r w:rsidRPr="003E1F91">
              <w:rPr>
                <w:rFonts w:asciiTheme="minorHAnsi" w:eastAsia="Times New Roman" w:hAnsiTheme="minorHAnsi" w:cstheme="minorHAnsi"/>
                <w:color w:val="000000"/>
                <w:szCs w:val="20"/>
              </w:rPr>
              <w:t>Changes</w:t>
            </w:r>
            <w:proofErr w:type="spellEnd"/>
            <w:r w:rsidRPr="003E1F91">
              <w:rPr>
                <w:rFonts w:asciiTheme="minorHAnsi" w:eastAsia="Times New Roman" w:hAnsiTheme="minorHAnsi" w:cstheme="minorHAnsi"/>
                <w:color w:val="000000"/>
                <w:szCs w:val="20"/>
              </w:rPr>
              <w:t xml:space="preserve"> in </w:t>
            </w:r>
            <w:proofErr w:type="spellStart"/>
            <w:r w:rsidRPr="003E1F91">
              <w:rPr>
                <w:rFonts w:asciiTheme="minorHAnsi" w:eastAsia="Times New Roman" w:hAnsiTheme="minorHAnsi" w:cstheme="minorHAnsi"/>
                <w:color w:val="000000"/>
                <w:szCs w:val="20"/>
              </w:rPr>
              <w:t>working</w:t>
            </w:r>
            <w:proofErr w:type="spellEnd"/>
            <w:r w:rsidRPr="003E1F91">
              <w:rPr>
                <w:rFonts w:asciiTheme="minorHAnsi" w:eastAsia="Times New Roman" w:hAnsiTheme="minorHAnsi" w:cstheme="minorHAnsi"/>
                <w:color w:val="000000"/>
                <w:szCs w:val="20"/>
              </w:rPr>
              <w:t xml:space="preserve"> </w:t>
            </w:r>
            <w:proofErr w:type="spellStart"/>
            <w:r w:rsidRPr="003E1F91">
              <w:rPr>
                <w:rFonts w:asciiTheme="minorHAnsi" w:eastAsia="Times New Roman" w:hAnsiTheme="minorHAnsi" w:cstheme="minorHAnsi"/>
                <w:color w:val="000000"/>
                <w:szCs w:val="20"/>
              </w:rPr>
              <w:t>capital</w:t>
            </w:r>
            <w:proofErr w:type="spellEnd"/>
            <w:r w:rsidRPr="003E1F91">
              <w:rPr>
                <w:rFonts w:asciiTheme="minorHAnsi" w:eastAsia="Times New Roman" w:hAnsiTheme="minorHAnsi" w:cstheme="minorHAnsi"/>
                <w:color w:val="000000"/>
                <w:szCs w:val="20"/>
              </w:rPr>
              <w:t xml:space="preserve">: </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3E1F91" w:rsidTr="003E1F91">
        <w:trPr>
          <w:trHeight w:val="290"/>
        </w:trPr>
        <w:tc>
          <w:tcPr>
            <w:tcW w:w="618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 xml:space="preserve">-    </w:t>
            </w:r>
            <w:proofErr w:type="spellStart"/>
            <w:r w:rsidRPr="003E1F91">
              <w:rPr>
                <w:rFonts w:asciiTheme="minorHAnsi" w:eastAsia="Times New Roman" w:hAnsiTheme="minorHAnsi" w:cstheme="minorHAnsi"/>
                <w:color w:val="000000"/>
                <w:szCs w:val="20"/>
              </w:rPr>
              <w:t>Inventories</w:t>
            </w:r>
            <w:proofErr w:type="spellEnd"/>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sidRPr="003E1F91">
              <w:rPr>
                <w:rFonts w:asciiTheme="minorHAnsi" w:eastAsia="Times New Roman" w:hAnsiTheme="minorHAnsi" w:cstheme="minorHAnsi"/>
                <w:szCs w:val="20"/>
              </w:rPr>
              <w:t xml:space="preserve">-107    </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sidRPr="003E1F91">
              <w:rPr>
                <w:rFonts w:asciiTheme="minorHAnsi" w:eastAsia="Times New Roman" w:hAnsiTheme="minorHAnsi" w:cstheme="minorHAnsi"/>
                <w:szCs w:val="20"/>
              </w:rPr>
              <w:t xml:space="preserve">-194    </w:t>
            </w:r>
          </w:p>
        </w:tc>
      </w:tr>
      <w:tr w:rsidR="003E1F91" w:rsidRPr="003E1F91" w:rsidTr="003E1F91">
        <w:trPr>
          <w:trHeight w:val="290"/>
        </w:trPr>
        <w:tc>
          <w:tcPr>
            <w:tcW w:w="618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 xml:space="preserve">-    Trade </w:t>
            </w:r>
            <w:proofErr w:type="spellStart"/>
            <w:r w:rsidRPr="003E1F91">
              <w:rPr>
                <w:rFonts w:asciiTheme="minorHAnsi" w:eastAsia="Times New Roman" w:hAnsiTheme="minorHAnsi" w:cstheme="minorHAnsi"/>
                <w:color w:val="000000"/>
                <w:szCs w:val="20"/>
              </w:rPr>
              <w:t>and</w:t>
            </w:r>
            <w:proofErr w:type="spellEnd"/>
            <w:r w:rsidRPr="003E1F91">
              <w:rPr>
                <w:rFonts w:asciiTheme="minorHAnsi" w:eastAsia="Times New Roman" w:hAnsiTheme="minorHAnsi" w:cstheme="minorHAnsi"/>
                <w:color w:val="000000"/>
                <w:szCs w:val="20"/>
              </w:rPr>
              <w:t xml:space="preserve"> </w:t>
            </w:r>
            <w:proofErr w:type="spellStart"/>
            <w:r w:rsidRPr="003E1F91">
              <w:rPr>
                <w:rFonts w:asciiTheme="minorHAnsi" w:eastAsia="Times New Roman" w:hAnsiTheme="minorHAnsi" w:cstheme="minorHAnsi"/>
                <w:color w:val="000000"/>
                <w:szCs w:val="20"/>
              </w:rPr>
              <w:t>other</w:t>
            </w:r>
            <w:proofErr w:type="spellEnd"/>
            <w:r w:rsidRPr="003E1F91">
              <w:rPr>
                <w:rFonts w:asciiTheme="minorHAnsi" w:eastAsia="Times New Roman" w:hAnsiTheme="minorHAnsi" w:cstheme="minorHAnsi"/>
                <w:color w:val="000000"/>
                <w:szCs w:val="20"/>
              </w:rPr>
              <w:t xml:space="preserve"> </w:t>
            </w:r>
            <w:proofErr w:type="spellStart"/>
            <w:r w:rsidRPr="003E1F91">
              <w:rPr>
                <w:rFonts w:asciiTheme="minorHAnsi" w:eastAsia="Times New Roman" w:hAnsiTheme="minorHAnsi" w:cstheme="minorHAnsi"/>
                <w:color w:val="000000"/>
                <w:szCs w:val="20"/>
              </w:rPr>
              <w:t>receivables</w:t>
            </w:r>
            <w:proofErr w:type="spellEnd"/>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sidRPr="003E1F91">
              <w:rPr>
                <w:rFonts w:asciiTheme="minorHAnsi" w:eastAsia="Times New Roman" w:hAnsiTheme="minorHAnsi" w:cstheme="minorHAnsi"/>
                <w:szCs w:val="20"/>
              </w:rPr>
              <w:t xml:space="preserve">-268    </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sidRPr="003E1F91">
              <w:rPr>
                <w:rFonts w:asciiTheme="minorHAnsi" w:eastAsia="Times New Roman" w:hAnsiTheme="minorHAnsi" w:cstheme="minorHAnsi"/>
                <w:szCs w:val="20"/>
              </w:rPr>
              <w:t xml:space="preserve">-53    </w:t>
            </w:r>
          </w:p>
        </w:tc>
      </w:tr>
      <w:tr w:rsidR="003E1F91" w:rsidRPr="003E1F91" w:rsidTr="003E1F91">
        <w:trPr>
          <w:trHeight w:val="300"/>
        </w:trPr>
        <w:tc>
          <w:tcPr>
            <w:tcW w:w="6180" w:type="dxa"/>
            <w:tcBorders>
              <w:top w:val="nil"/>
              <w:left w:val="nil"/>
              <w:bottom w:val="single" w:sz="8" w:space="0" w:color="auto"/>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szCs w:val="20"/>
                <w:lang w:val="en-GB"/>
              </w:rPr>
            </w:pPr>
            <w:r w:rsidRPr="003E1F91">
              <w:rPr>
                <w:rFonts w:asciiTheme="minorHAnsi" w:eastAsia="Times New Roman" w:hAnsiTheme="minorHAnsi" w:cstheme="minorHAnsi"/>
                <w:szCs w:val="20"/>
                <w:lang w:val="en-GB"/>
              </w:rPr>
              <w:t xml:space="preserve">-    Trade and other current liabilities </w:t>
            </w:r>
          </w:p>
        </w:tc>
        <w:tc>
          <w:tcPr>
            <w:tcW w:w="1380" w:type="dxa"/>
            <w:tcBorders>
              <w:top w:val="nil"/>
              <w:left w:val="nil"/>
              <w:bottom w:val="single" w:sz="8"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sidRPr="003E1F91">
              <w:rPr>
                <w:rFonts w:asciiTheme="minorHAnsi" w:eastAsia="Times New Roman" w:hAnsiTheme="minorHAnsi" w:cstheme="minorHAnsi"/>
                <w:szCs w:val="20"/>
              </w:rPr>
              <w:t xml:space="preserve">408    </w:t>
            </w:r>
          </w:p>
        </w:tc>
        <w:tc>
          <w:tcPr>
            <w:tcW w:w="1380" w:type="dxa"/>
            <w:tcBorders>
              <w:top w:val="nil"/>
              <w:left w:val="nil"/>
              <w:bottom w:val="single" w:sz="8"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sidRPr="003E1F91">
              <w:rPr>
                <w:rFonts w:asciiTheme="minorHAnsi" w:eastAsia="Times New Roman" w:hAnsiTheme="minorHAnsi" w:cstheme="minorHAnsi"/>
                <w:szCs w:val="20"/>
              </w:rPr>
              <w:t xml:space="preserve">361    </w:t>
            </w:r>
          </w:p>
        </w:tc>
      </w:tr>
      <w:tr w:rsidR="003E1F91" w:rsidRPr="003E1F91" w:rsidTr="003E1F91">
        <w:trPr>
          <w:trHeight w:val="290"/>
        </w:trPr>
        <w:tc>
          <w:tcPr>
            <w:tcW w:w="618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lang w:val="en-GB"/>
              </w:rPr>
            </w:pPr>
            <w:r w:rsidRPr="003E1F91">
              <w:rPr>
                <w:rFonts w:asciiTheme="minorHAnsi" w:eastAsia="Times New Roman" w:hAnsiTheme="minorHAnsi" w:cstheme="minorHAnsi"/>
                <w:b/>
                <w:bCs/>
                <w:color w:val="000000"/>
                <w:szCs w:val="20"/>
                <w:lang w:val="en-GB"/>
              </w:rPr>
              <w:t>Cash flow from operating activities</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szCs w:val="20"/>
              </w:rPr>
            </w:pPr>
            <w:r w:rsidRPr="003E1F91">
              <w:rPr>
                <w:rFonts w:asciiTheme="minorHAnsi" w:eastAsia="Times New Roman" w:hAnsiTheme="minorHAnsi" w:cstheme="minorHAnsi"/>
                <w:b/>
                <w:bCs/>
                <w:szCs w:val="20"/>
              </w:rPr>
              <w:t xml:space="preserve">815    </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szCs w:val="20"/>
              </w:rPr>
            </w:pPr>
            <w:r w:rsidRPr="003E1F91">
              <w:rPr>
                <w:rFonts w:asciiTheme="minorHAnsi" w:eastAsia="Times New Roman" w:hAnsiTheme="minorHAnsi" w:cstheme="minorHAnsi"/>
                <w:b/>
                <w:bCs/>
                <w:szCs w:val="20"/>
              </w:rPr>
              <w:t xml:space="preserve">-287    </w:t>
            </w:r>
          </w:p>
        </w:tc>
      </w:tr>
      <w:tr w:rsidR="003E1F91" w:rsidRPr="003E1F91" w:rsidTr="003E1F91">
        <w:trPr>
          <w:trHeight w:val="290"/>
        </w:trPr>
        <w:tc>
          <w:tcPr>
            <w:tcW w:w="618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 xml:space="preserve">Interest </w:t>
            </w:r>
            <w:proofErr w:type="spellStart"/>
            <w:r w:rsidRPr="003E1F91">
              <w:rPr>
                <w:rFonts w:asciiTheme="minorHAnsi" w:eastAsia="Times New Roman" w:hAnsiTheme="minorHAnsi" w:cstheme="minorHAnsi"/>
                <w:color w:val="000000"/>
                <w:szCs w:val="20"/>
              </w:rPr>
              <w:t>paid</w:t>
            </w:r>
            <w:proofErr w:type="spellEnd"/>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sidRPr="003E1F91">
              <w:rPr>
                <w:rFonts w:asciiTheme="minorHAnsi" w:eastAsia="Times New Roman" w:hAnsiTheme="minorHAnsi" w:cstheme="minorHAnsi"/>
                <w:szCs w:val="20"/>
              </w:rPr>
              <w:t xml:space="preserve">-188    </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sidRPr="003E1F91">
              <w:rPr>
                <w:rFonts w:asciiTheme="minorHAnsi" w:eastAsia="Times New Roman" w:hAnsiTheme="minorHAnsi" w:cstheme="minorHAnsi"/>
                <w:szCs w:val="20"/>
              </w:rPr>
              <w:t xml:space="preserve">-165    </w:t>
            </w:r>
          </w:p>
        </w:tc>
      </w:tr>
      <w:tr w:rsidR="003E1F91" w:rsidRPr="003E1F91" w:rsidTr="003E1F91">
        <w:trPr>
          <w:trHeight w:val="300"/>
        </w:trPr>
        <w:tc>
          <w:tcPr>
            <w:tcW w:w="618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 xml:space="preserve">Income </w:t>
            </w:r>
            <w:proofErr w:type="spellStart"/>
            <w:r w:rsidRPr="003E1F91">
              <w:rPr>
                <w:rFonts w:asciiTheme="minorHAnsi" w:eastAsia="Times New Roman" w:hAnsiTheme="minorHAnsi" w:cstheme="minorHAnsi"/>
                <w:color w:val="000000"/>
                <w:szCs w:val="20"/>
              </w:rPr>
              <w:t>taxes</w:t>
            </w:r>
            <w:proofErr w:type="spellEnd"/>
            <w:r w:rsidRPr="003E1F91">
              <w:rPr>
                <w:rFonts w:asciiTheme="minorHAnsi" w:eastAsia="Times New Roman" w:hAnsiTheme="minorHAnsi" w:cstheme="minorHAnsi"/>
                <w:color w:val="000000"/>
                <w:szCs w:val="20"/>
              </w:rPr>
              <w:t xml:space="preserve"> </w:t>
            </w:r>
            <w:proofErr w:type="spellStart"/>
            <w:r w:rsidRPr="003E1F91">
              <w:rPr>
                <w:rFonts w:asciiTheme="minorHAnsi" w:eastAsia="Times New Roman" w:hAnsiTheme="minorHAnsi" w:cstheme="minorHAnsi"/>
                <w:color w:val="000000"/>
                <w:szCs w:val="20"/>
              </w:rPr>
              <w:t>paid</w:t>
            </w:r>
            <w:proofErr w:type="spellEnd"/>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sidRPr="003E1F91">
              <w:rPr>
                <w:rFonts w:asciiTheme="minorHAnsi" w:eastAsia="Times New Roman" w:hAnsiTheme="minorHAnsi" w:cstheme="minorHAnsi"/>
                <w:szCs w:val="20"/>
              </w:rPr>
              <w:t xml:space="preserve"> -    </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sidRPr="003E1F91">
              <w:rPr>
                <w:rFonts w:asciiTheme="minorHAnsi" w:eastAsia="Times New Roman" w:hAnsiTheme="minorHAnsi" w:cstheme="minorHAnsi"/>
                <w:szCs w:val="20"/>
              </w:rPr>
              <w:t xml:space="preserve">– </w:t>
            </w:r>
          </w:p>
        </w:tc>
      </w:tr>
      <w:tr w:rsidR="003E1F91" w:rsidRPr="003E1F91" w:rsidTr="003E1F91">
        <w:trPr>
          <w:trHeight w:val="290"/>
        </w:trPr>
        <w:tc>
          <w:tcPr>
            <w:tcW w:w="6180" w:type="dxa"/>
            <w:tcBorders>
              <w:top w:val="single" w:sz="8" w:space="0" w:color="auto"/>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lang w:val="en-GB"/>
              </w:rPr>
            </w:pPr>
            <w:r w:rsidRPr="003E1F91">
              <w:rPr>
                <w:rFonts w:asciiTheme="minorHAnsi" w:eastAsia="Times New Roman" w:hAnsiTheme="minorHAnsi" w:cstheme="minorHAnsi"/>
                <w:b/>
                <w:bCs/>
                <w:color w:val="000000"/>
                <w:szCs w:val="20"/>
                <w:lang w:val="en-GB"/>
              </w:rPr>
              <w:t>Net cash flow from operating activities</w:t>
            </w:r>
          </w:p>
        </w:tc>
        <w:tc>
          <w:tcPr>
            <w:tcW w:w="1380" w:type="dxa"/>
            <w:tcBorders>
              <w:top w:val="single" w:sz="8" w:space="0" w:color="auto"/>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szCs w:val="20"/>
              </w:rPr>
            </w:pPr>
            <w:r w:rsidRPr="003E1F91">
              <w:rPr>
                <w:rFonts w:asciiTheme="minorHAnsi" w:eastAsia="Times New Roman" w:hAnsiTheme="minorHAnsi" w:cstheme="minorHAnsi"/>
                <w:b/>
                <w:bCs/>
                <w:szCs w:val="20"/>
              </w:rPr>
              <w:t xml:space="preserve">627    </w:t>
            </w:r>
          </w:p>
        </w:tc>
        <w:tc>
          <w:tcPr>
            <w:tcW w:w="1380" w:type="dxa"/>
            <w:tcBorders>
              <w:top w:val="single" w:sz="8" w:space="0" w:color="auto"/>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szCs w:val="20"/>
              </w:rPr>
            </w:pPr>
            <w:r w:rsidRPr="003E1F91">
              <w:rPr>
                <w:rFonts w:asciiTheme="minorHAnsi" w:eastAsia="Times New Roman" w:hAnsiTheme="minorHAnsi" w:cstheme="minorHAnsi"/>
                <w:b/>
                <w:bCs/>
                <w:szCs w:val="20"/>
              </w:rPr>
              <w:t xml:space="preserve">-452    </w:t>
            </w:r>
          </w:p>
        </w:tc>
      </w:tr>
      <w:tr w:rsidR="003E1F91" w:rsidRPr="003E1F91" w:rsidTr="003E1F91">
        <w:trPr>
          <w:trHeight w:val="290"/>
        </w:trPr>
        <w:tc>
          <w:tcPr>
            <w:tcW w:w="618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b/>
                <w:bCs/>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0B790D" w:rsidTr="003E1F91">
        <w:trPr>
          <w:trHeight w:val="290"/>
        </w:trPr>
        <w:tc>
          <w:tcPr>
            <w:tcW w:w="618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lang w:val="en-GB"/>
              </w:rPr>
            </w:pPr>
            <w:r w:rsidRPr="003E1F91">
              <w:rPr>
                <w:rFonts w:asciiTheme="minorHAnsi" w:eastAsia="Times New Roman" w:hAnsiTheme="minorHAnsi" w:cstheme="minorHAnsi"/>
                <w:b/>
                <w:bCs/>
                <w:color w:val="000000"/>
                <w:szCs w:val="20"/>
                <w:lang w:val="en-GB"/>
              </w:rPr>
              <w:t>Cash flow from investing activities</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lang w:val="en-GB"/>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lang w:val="en-GB"/>
              </w:rPr>
            </w:pPr>
          </w:p>
        </w:tc>
      </w:tr>
      <w:tr w:rsidR="003E1F91" w:rsidRPr="003E1F91" w:rsidTr="003E1F91">
        <w:trPr>
          <w:trHeight w:val="290"/>
        </w:trPr>
        <w:tc>
          <w:tcPr>
            <w:tcW w:w="618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lang w:val="en-GB"/>
              </w:rPr>
            </w:pPr>
            <w:r w:rsidRPr="003E1F91">
              <w:rPr>
                <w:rFonts w:asciiTheme="minorHAnsi" w:eastAsia="Times New Roman" w:hAnsiTheme="minorHAnsi" w:cstheme="minorHAnsi"/>
                <w:color w:val="000000"/>
                <w:szCs w:val="20"/>
                <w:lang w:val="en-GB"/>
              </w:rPr>
              <w:t>Investments in property, plant and equipment</w:t>
            </w:r>
          </w:p>
        </w:tc>
        <w:tc>
          <w:tcPr>
            <w:tcW w:w="1380" w:type="dxa"/>
            <w:tcBorders>
              <w:top w:val="nil"/>
              <w:left w:val="nil"/>
              <w:bottom w:val="nil"/>
              <w:right w:val="nil"/>
            </w:tcBorders>
            <w:shd w:val="clear" w:color="auto" w:fill="auto"/>
            <w:vAlign w:val="center"/>
            <w:hideMark/>
          </w:tcPr>
          <w:p w:rsidR="003E1F91" w:rsidRPr="003E1F91" w:rsidRDefault="007B49DB" w:rsidP="003E1F91">
            <w:pPr>
              <w:spacing w:after="0" w:line="240" w:lineRule="auto"/>
              <w:jc w:val="right"/>
              <w:rPr>
                <w:rFonts w:asciiTheme="minorHAnsi" w:eastAsia="Times New Roman" w:hAnsiTheme="minorHAnsi" w:cstheme="minorHAnsi"/>
                <w:szCs w:val="20"/>
              </w:rPr>
            </w:pPr>
            <w:r>
              <w:rPr>
                <w:rFonts w:asciiTheme="minorHAnsi" w:eastAsia="Times New Roman" w:hAnsiTheme="minorHAnsi" w:cstheme="minorHAnsi"/>
                <w:szCs w:val="20"/>
              </w:rPr>
              <w:t>-1,</w:t>
            </w:r>
            <w:r w:rsidR="003E1F91" w:rsidRPr="003E1F91">
              <w:rPr>
                <w:rFonts w:asciiTheme="minorHAnsi" w:eastAsia="Times New Roman" w:hAnsiTheme="minorHAnsi" w:cstheme="minorHAnsi"/>
                <w:szCs w:val="20"/>
              </w:rPr>
              <w:t xml:space="preserve">127    </w:t>
            </w:r>
          </w:p>
        </w:tc>
        <w:tc>
          <w:tcPr>
            <w:tcW w:w="1380" w:type="dxa"/>
            <w:tcBorders>
              <w:top w:val="nil"/>
              <w:left w:val="nil"/>
              <w:bottom w:val="nil"/>
              <w:right w:val="nil"/>
            </w:tcBorders>
            <w:shd w:val="clear" w:color="auto" w:fill="auto"/>
            <w:vAlign w:val="center"/>
            <w:hideMark/>
          </w:tcPr>
          <w:p w:rsidR="003E1F91" w:rsidRPr="003E1F91" w:rsidRDefault="007B49DB" w:rsidP="003E1F91">
            <w:pPr>
              <w:spacing w:after="0" w:line="240" w:lineRule="auto"/>
              <w:jc w:val="right"/>
              <w:rPr>
                <w:rFonts w:asciiTheme="minorHAnsi" w:eastAsia="Times New Roman" w:hAnsiTheme="minorHAnsi" w:cstheme="minorHAnsi"/>
                <w:szCs w:val="20"/>
              </w:rPr>
            </w:pPr>
            <w:r>
              <w:rPr>
                <w:rFonts w:asciiTheme="minorHAnsi" w:eastAsia="Times New Roman" w:hAnsiTheme="minorHAnsi" w:cstheme="minorHAnsi"/>
                <w:szCs w:val="20"/>
              </w:rPr>
              <w:t>-1,</w:t>
            </w:r>
            <w:r w:rsidR="003E1F91" w:rsidRPr="003E1F91">
              <w:rPr>
                <w:rFonts w:asciiTheme="minorHAnsi" w:eastAsia="Times New Roman" w:hAnsiTheme="minorHAnsi" w:cstheme="minorHAnsi"/>
                <w:szCs w:val="20"/>
              </w:rPr>
              <w:t xml:space="preserve">590    </w:t>
            </w:r>
          </w:p>
        </w:tc>
      </w:tr>
      <w:tr w:rsidR="003E1F91" w:rsidRPr="003E1F91" w:rsidTr="003E1F91">
        <w:trPr>
          <w:trHeight w:val="330"/>
        </w:trPr>
        <w:tc>
          <w:tcPr>
            <w:tcW w:w="618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lang w:val="en-GB"/>
              </w:rPr>
            </w:pPr>
            <w:r w:rsidRPr="003E1F91">
              <w:rPr>
                <w:rFonts w:asciiTheme="minorHAnsi" w:eastAsia="Times New Roman" w:hAnsiTheme="minorHAnsi" w:cstheme="minorHAnsi"/>
                <w:color w:val="000000"/>
                <w:szCs w:val="20"/>
                <w:lang w:val="en-GB"/>
              </w:rPr>
              <w:t>Disposals of property, plant and equipment</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sidRPr="003E1F91">
              <w:rPr>
                <w:rFonts w:asciiTheme="minorHAnsi" w:eastAsia="Times New Roman" w:hAnsiTheme="minorHAnsi" w:cstheme="minorHAnsi"/>
                <w:szCs w:val="20"/>
                <w:lang w:val="en-GB"/>
              </w:rPr>
              <w:t xml:space="preserve"> </w:t>
            </w:r>
            <w:r w:rsidRPr="003E1F91">
              <w:rPr>
                <w:rFonts w:asciiTheme="minorHAnsi" w:eastAsia="Times New Roman" w:hAnsiTheme="minorHAnsi" w:cstheme="minorHAnsi"/>
                <w:szCs w:val="20"/>
              </w:rPr>
              <w:t xml:space="preserve">-    </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sidRPr="003E1F91">
              <w:rPr>
                <w:rFonts w:asciiTheme="minorHAnsi" w:eastAsia="Times New Roman" w:hAnsiTheme="minorHAnsi" w:cstheme="minorHAnsi"/>
                <w:szCs w:val="20"/>
              </w:rPr>
              <w:t xml:space="preserve">-     </w:t>
            </w:r>
          </w:p>
        </w:tc>
      </w:tr>
      <w:tr w:rsidR="003E1F91" w:rsidRPr="003E1F91" w:rsidTr="003E1F91">
        <w:trPr>
          <w:trHeight w:val="290"/>
        </w:trPr>
        <w:tc>
          <w:tcPr>
            <w:tcW w:w="618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 xml:space="preserve">Investments in </w:t>
            </w:r>
            <w:proofErr w:type="spellStart"/>
            <w:r w:rsidRPr="003E1F91">
              <w:rPr>
                <w:rFonts w:asciiTheme="minorHAnsi" w:eastAsia="Times New Roman" w:hAnsiTheme="minorHAnsi" w:cstheme="minorHAnsi"/>
                <w:color w:val="000000"/>
                <w:szCs w:val="20"/>
              </w:rPr>
              <w:t>intangible</w:t>
            </w:r>
            <w:proofErr w:type="spellEnd"/>
            <w:r w:rsidRPr="003E1F91">
              <w:rPr>
                <w:rFonts w:asciiTheme="minorHAnsi" w:eastAsia="Times New Roman" w:hAnsiTheme="minorHAnsi" w:cstheme="minorHAnsi"/>
                <w:color w:val="000000"/>
                <w:szCs w:val="20"/>
              </w:rPr>
              <w:t xml:space="preserve"> </w:t>
            </w:r>
            <w:proofErr w:type="spellStart"/>
            <w:r w:rsidRPr="003E1F91">
              <w:rPr>
                <w:rFonts w:asciiTheme="minorHAnsi" w:eastAsia="Times New Roman" w:hAnsiTheme="minorHAnsi" w:cstheme="minorHAnsi"/>
                <w:color w:val="000000"/>
                <w:szCs w:val="20"/>
              </w:rPr>
              <w:t>assets</w:t>
            </w:r>
            <w:proofErr w:type="spellEnd"/>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sidRPr="003E1F91">
              <w:rPr>
                <w:rFonts w:asciiTheme="minorHAnsi" w:eastAsia="Times New Roman" w:hAnsiTheme="minorHAnsi" w:cstheme="minorHAnsi"/>
                <w:szCs w:val="20"/>
              </w:rPr>
              <w:t xml:space="preserve">-72    </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sidRPr="003E1F91">
              <w:rPr>
                <w:rFonts w:asciiTheme="minorHAnsi" w:eastAsia="Times New Roman" w:hAnsiTheme="minorHAnsi" w:cstheme="minorHAnsi"/>
                <w:szCs w:val="20"/>
              </w:rPr>
              <w:t xml:space="preserve">-289    </w:t>
            </w:r>
          </w:p>
        </w:tc>
      </w:tr>
      <w:tr w:rsidR="003E1F91" w:rsidRPr="003E1F91" w:rsidTr="003E1F91">
        <w:trPr>
          <w:trHeight w:val="290"/>
        </w:trPr>
        <w:tc>
          <w:tcPr>
            <w:tcW w:w="618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 xml:space="preserve">Desinvestment in </w:t>
            </w:r>
            <w:proofErr w:type="spellStart"/>
            <w:r w:rsidRPr="003E1F91">
              <w:rPr>
                <w:rFonts w:asciiTheme="minorHAnsi" w:eastAsia="Times New Roman" w:hAnsiTheme="minorHAnsi" w:cstheme="minorHAnsi"/>
                <w:color w:val="000000"/>
                <w:szCs w:val="20"/>
              </w:rPr>
              <w:t>intangible</w:t>
            </w:r>
            <w:proofErr w:type="spellEnd"/>
            <w:r w:rsidRPr="003E1F91">
              <w:rPr>
                <w:rFonts w:asciiTheme="minorHAnsi" w:eastAsia="Times New Roman" w:hAnsiTheme="minorHAnsi" w:cstheme="minorHAnsi"/>
                <w:color w:val="000000"/>
                <w:szCs w:val="20"/>
              </w:rPr>
              <w:t xml:space="preserve"> </w:t>
            </w:r>
            <w:proofErr w:type="spellStart"/>
            <w:r w:rsidRPr="003E1F91">
              <w:rPr>
                <w:rFonts w:asciiTheme="minorHAnsi" w:eastAsia="Times New Roman" w:hAnsiTheme="minorHAnsi" w:cstheme="minorHAnsi"/>
                <w:color w:val="000000"/>
                <w:szCs w:val="20"/>
              </w:rPr>
              <w:t>assets</w:t>
            </w:r>
            <w:proofErr w:type="spellEnd"/>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sidRPr="003E1F91">
              <w:rPr>
                <w:rFonts w:asciiTheme="minorHAnsi" w:eastAsia="Times New Roman" w:hAnsiTheme="minorHAnsi" w:cstheme="minorHAnsi"/>
                <w:szCs w:val="20"/>
              </w:rPr>
              <w:t xml:space="preserve"> -    </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sidRPr="003E1F91">
              <w:rPr>
                <w:rFonts w:asciiTheme="minorHAnsi" w:eastAsia="Times New Roman" w:hAnsiTheme="minorHAnsi" w:cstheme="minorHAnsi"/>
                <w:szCs w:val="20"/>
              </w:rPr>
              <w:t xml:space="preserve">-     </w:t>
            </w:r>
          </w:p>
        </w:tc>
      </w:tr>
      <w:tr w:rsidR="003E1F91" w:rsidRPr="003E1F91" w:rsidTr="003E1F91">
        <w:trPr>
          <w:trHeight w:val="300"/>
        </w:trPr>
        <w:tc>
          <w:tcPr>
            <w:tcW w:w="618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lang w:val="en-GB"/>
              </w:rPr>
            </w:pPr>
            <w:r w:rsidRPr="003E1F91">
              <w:rPr>
                <w:rFonts w:asciiTheme="minorHAnsi" w:eastAsia="Times New Roman" w:hAnsiTheme="minorHAnsi" w:cstheme="minorHAnsi"/>
                <w:color w:val="000000"/>
                <w:szCs w:val="20"/>
                <w:lang w:val="en-GB"/>
              </w:rPr>
              <w:t>Net investments in financial assets</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sidRPr="003E1F91">
              <w:rPr>
                <w:rFonts w:asciiTheme="minorHAnsi" w:eastAsia="Times New Roman" w:hAnsiTheme="minorHAnsi" w:cstheme="minorHAnsi"/>
                <w:szCs w:val="20"/>
              </w:rPr>
              <w:t xml:space="preserve">4    </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sidRPr="003E1F91">
              <w:rPr>
                <w:rFonts w:asciiTheme="minorHAnsi" w:eastAsia="Times New Roman" w:hAnsiTheme="minorHAnsi" w:cstheme="minorHAnsi"/>
                <w:szCs w:val="20"/>
              </w:rPr>
              <w:t xml:space="preserve">1    </w:t>
            </w:r>
          </w:p>
        </w:tc>
      </w:tr>
      <w:tr w:rsidR="003E1F91" w:rsidRPr="003E1F91" w:rsidTr="003E1F91">
        <w:trPr>
          <w:trHeight w:val="290"/>
        </w:trPr>
        <w:tc>
          <w:tcPr>
            <w:tcW w:w="6180" w:type="dxa"/>
            <w:tcBorders>
              <w:top w:val="single" w:sz="8" w:space="0" w:color="auto"/>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lang w:val="en-GB"/>
              </w:rPr>
            </w:pPr>
            <w:r w:rsidRPr="003E1F91">
              <w:rPr>
                <w:rFonts w:asciiTheme="minorHAnsi" w:eastAsia="Times New Roman" w:hAnsiTheme="minorHAnsi" w:cstheme="minorHAnsi"/>
                <w:b/>
                <w:bCs/>
                <w:color w:val="000000"/>
                <w:szCs w:val="20"/>
                <w:lang w:val="en-GB"/>
              </w:rPr>
              <w:t>Net cash flow from investing activities</w:t>
            </w:r>
          </w:p>
        </w:tc>
        <w:tc>
          <w:tcPr>
            <w:tcW w:w="1380" w:type="dxa"/>
            <w:tcBorders>
              <w:top w:val="single" w:sz="8" w:space="0" w:color="auto"/>
              <w:left w:val="nil"/>
              <w:bottom w:val="nil"/>
              <w:right w:val="nil"/>
            </w:tcBorders>
            <w:shd w:val="clear" w:color="auto" w:fill="auto"/>
            <w:vAlign w:val="center"/>
            <w:hideMark/>
          </w:tcPr>
          <w:p w:rsidR="003E1F91" w:rsidRPr="003E1F91" w:rsidRDefault="007B49DB" w:rsidP="003E1F91">
            <w:pPr>
              <w:spacing w:after="0" w:line="240" w:lineRule="auto"/>
              <w:jc w:val="right"/>
              <w:rPr>
                <w:rFonts w:asciiTheme="minorHAnsi" w:eastAsia="Times New Roman" w:hAnsiTheme="minorHAnsi" w:cstheme="minorHAnsi"/>
                <w:b/>
                <w:bCs/>
                <w:szCs w:val="20"/>
              </w:rPr>
            </w:pPr>
            <w:r>
              <w:rPr>
                <w:rFonts w:asciiTheme="minorHAnsi" w:eastAsia="Times New Roman" w:hAnsiTheme="minorHAnsi" w:cstheme="minorHAnsi"/>
                <w:b/>
                <w:bCs/>
                <w:szCs w:val="20"/>
              </w:rPr>
              <w:t>-1,</w:t>
            </w:r>
            <w:r w:rsidR="003E1F91" w:rsidRPr="003E1F91">
              <w:rPr>
                <w:rFonts w:asciiTheme="minorHAnsi" w:eastAsia="Times New Roman" w:hAnsiTheme="minorHAnsi" w:cstheme="minorHAnsi"/>
                <w:b/>
                <w:bCs/>
                <w:szCs w:val="20"/>
              </w:rPr>
              <w:t xml:space="preserve">195    </w:t>
            </w:r>
          </w:p>
        </w:tc>
        <w:tc>
          <w:tcPr>
            <w:tcW w:w="1380" w:type="dxa"/>
            <w:tcBorders>
              <w:top w:val="single" w:sz="8" w:space="0" w:color="auto"/>
              <w:left w:val="nil"/>
              <w:bottom w:val="nil"/>
              <w:right w:val="nil"/>
            </w:tcBorders>
            <w:shd w:val="clear" w:color="auto" w:fill="auto"/>
            <w:vAlign w:val="center"/>
            <w:hideMark/>
          </w:tcPr>
          <w:p w:rsidR="003E1F91" w:rsidRPr="003E1F91" w:rsidRDefault="007B49DB" w:rsidP="003E1F91">
            <w:pPr>
              <w:spacing w:after="0" w:line="240" w:lineRule="auto"/>
              <w:jc w:val="right"/>
              <w:rPr>
                <w:rFonts w:asciiTheme="minorHAnsi" w:eastAsia="Times New Roman" w:hAnsiTheme="minorHAnsi" w:cstheme="minorHAnsi"/>
                <w:b/>
                <w:bCs/>
                <w:szCs w:val="20"/>
              </w:rPr>
            </w:pPr>
            <w:r>
              <w:rPr>
                <w:rFonts w:asciiTheme="minorHAnsi" w:eastAsia="Times New Roman" w:hAnsiTheme="minorHAnsi" w:cstheme="minorHAnsi"/>
                <w:b/>
                <w:bCs/>
                <w:szCs w:val="20"/>
              </w:rPr>
              <w:t>-1,</w:t>
            </w:r>
            <w:r w:rsidR="003E1F91" w:rsidRPr="003E1F91">
              <w:rPr>
                <w:rFonts w:asciiTheme="minorHAnsi" w:eastAsia="Times New Roman" w:hAnsiTheme="minorHAnsi" w:cstheme="minorHAnsi"/>
                <w:b/>
                <w:bCs/>
                <w:szCs w:val="20"/>
              </w:rPr>
              <w:t xml:space="preserve">878    </w:t>
            </w:r>
          </w:p>
        </w:tc>
      </w:tr>
      <w:tr w:rsidR="003E1F91" w:rsidRPr="003E1F91" w:rsidTr="003E1F91">
        <w:trPr>
          <w:trHeight w:val="290"/>
        </w:trPr>
        <w:tc>
          <w:tcPr>
            <w:tcW w:w="618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b/>
                <w:bCs/>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0B790D" w:rsidTr="003E1F91">
        <w:trPr>
          <w:trHeight w:val="290"/>
        </w:trPr>
        <w:tc>
          <w:tcPr>
            <w:tcW w:w="618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lang w:val="en-GB"/>
              </w:rPr>
            </w:pPr>
            <w:r w:rsidRPr="003E1F91">
              <w:rPr>
                <w:rFonts w:asciiTheme="minorHAnsi" w:eastAsia="Times New Roman" w:hAnsiTheme="minorHAnsi" w:cstheme="minorHAnsi"/>
                <w:b/>
                <w:bCs/>
                <w:color w:val="000000"/>
                <w:szCs w:val="20"/>
                <w:lang w:val="en-GB"/>
              </w:rPr>
              <w:t>Cash flow from financing activities</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lang w:val="en-GB"/>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lang w:val="en-GB"/>
              </w:rPr>
            </w:pPr>
          </w:p>
        </w:tc>
      </w:tr>
      <w:tr w:rsidR="003E1F91" w:rsidRPr="003E1F91" w:rsidTr="003E1F91">
        <w:trPr>
          <w:trHeight w:val="290"/>
        </w:trPr>
        <w:tc>
          <w:tcPr>
            <w:tcW w:w="618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lang w:val="en-GB"/>
              </w:rPr>
            </w:pPr>
            <w:r w:rsidRPr="003E1F91">
              <w:rPr>
                <w:rFonts w:asciiTheme="minorHAnsi" w:eastAsia="Times New Roman" w:hAnsiTheme="minorHAnsi" w:cstheme="minorHAnsi"/>
                <w:color w:val="000000"/>
                <w:szCs w:val="20"/>
                <w:lang w:val="en-GB"/>
              </w:rPr>
              <w:t>Proceeds from issuance of share capital</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sidRPr="003E1F91">
              <w:rPr>
                <w:rFonts w:asciiTheme="minorHAnsi" w:eastAsia="Times New Roman" w:hAnsiTheme="minorHAnsi" w:cstheme="minorHAnsi"/>
                <w:szCs w:val="20"/>
              </w:rPr>
              <w:t xml:space="preserve">609    </w:t>
            </w:r>
          </w:p>
        </w:tc>
        <w:tc>
          <w:tcPr>
            <w:tcW w:w="1380" w:type="dxa"/>
            <w:tcBorders>
              <w:top w:val="nil"/>
              <w:left w:val="nil"/>
              <w:bottom w:val="nil"/>
              <w:right w:val="nil"/>
            </w:tcBorders>
            <w:shd w:val="clear" w:color="auto" w:fill="auto"/>
            <w:vAlign w:val="center"/>
            <w:hideMark/>
          </w:tcPr>
          <w:p w:rsidR="003E1F91" w:rsidRPr="003E1F91" w:rsidRDefault="007B49DB" w:rsidP="003E1F91">
            <w:pPr>
              <w:spacing w:after="0" w:line="240" w:lineRule="auto"/>
              <w:jc w:val="right"/>
              <w:rPr>
                <w:rFonts w:asciiTheme="minorHAnsi" w:eastAsia="Times New Roman" w:hAnsiTheme="minorHAnsi" w:cstheme="minorHAnsi"/>
                <w:szCs w:val="20"/>
              </w:rPr>
            </w:pPr>
            <w:r>
              <w:rPr>
                <w:rFonts w:asciiTheme="minorHAnsi" w:eastAsia="Times New Roman" w:hAnsiTheme="minorHAnsi" w:cstheme="minorHAnsi"/>
                <w:szCs w:val="20"/>
              </w:rPr>
              <w:t>1,</w:t>
            </w:r>
            <w:r w:rsidR="003E1F91" w:rsidRPr="003E1F91">
              <w:rPr>
                <w:rFonts w:asciiTheme="minorHAnsi" w:eastAsia="Times New Roman" w:hAnsiTheme="minorHAnsi" w:cstheme="minorHAnsi"/>
                <w:szCs w:val="20"/>
              </w:rPr>
              <w:t xml:space="preserve">629    </w:t>
            </w:r>
          </w:p>
        </w:tc>
      </w:tr>
      <w:tr w:rsidR="003E1F91" w:rsidRPr="003E1F91" w:rsidTr="003E1F91">
        <w:trPr>
          <w:trHeight w:val="290"/>
        </w:trPr>
        <w:tc>
          <w:tcPr>
            <w:tcW w:w="618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proofErr w:type="spellStart"/>
            <w:r w:rsidRPr="003E1F91">
              <w:rPr>
                <w:rFonts w:asciiTheme="minorHAnsi" w:eastAsia="Times New Roman" w:hAnsiTheme="minorHAnsi" w:cstheme="minorHAnsi"/>
                <w:color w:val="000000"/>
                <w:szCs w:val="20"/>
              </w:rPr>
              <w:t>Proceeds</w:t>
            </w:r>
            <w:proofErr w:type="spellEnd"/>
            <w:r w:rsidRPr="003E1F91">
              <w:rPr>
                <w:rFonts w:asciiTheme="minorHAnsi" w:eastAsia="Times New Roman" w:hAnsiTheme="minorHAnsi" w:cstheme="minorHAnsi"/>
                <w:color w:val="000000"/>
                <w:szCs w:val="20"/>
              </w:rPr>
              <w:t xml:space="preserve"> </w:t>
            </w:r>
            <w:proofErr w:type="spellStart"/>
            <w:r w:rsidRPr="003E1F91">
              <w:rPr>
                <w:rFonts w:asciiTheme="minorHAnsi" w:eastAsia="Times New Roman" w:hAnsiTheme="minorHAnsi" w:cstheme="minorHAnsi"/>
                <w:color w:val="000000"/>
                <w:szCs w:val="20"/>
              </w:rPr>
              <w:t>from</w:t>
            </w:r>
            <w:proofErr w:type="spellEnd"/>
            <w:r w:rsidRPr="003E1F91">
              <w:rPr>
                <w:rFonts w:asciiTheme="minorHAnsi" w:eastAsia="Times New Roman" w:hAnsiTheme="minorHAnsi" w:cstheme="minorHAnsi"/>
                <w:color w:val="000000"/>
                <w:szCs w:val="20"/>
              </w:rPr>
              <w:t xml:space="preserve"> </w:t>
            </w:r>
            <w:proofErr w:type="spellStart"/>
            <w:r w:rsidRPr="003E1F91">
              <w:rPr>
                <w:rFonts w:asciiTheme="minorHAnsi" w:eastAsia="Times New Roman" w:hAnsiTheme="minorHAnsi" w:cstheme="minorHAnsi"/>
                <w:color w:val="000000"/>
                <w:szCs w:val="20"/>
              </w:rPr>
              <w:t>borrowings</w:t>
            </w:r>
            <w:proofErr w:type="spellEnd"/>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sidRPr="003E1F91">
              <w:rPr>
                <w:rFonts w:asciiTheme="minorHAnsi" w:eastAsia="Times New Roman" w:hAnsiTheme="minorHAnsi" w:cstheme="minorHAnsi"/>
                <w:szCs w:val="20"/>
              </w:rPr>
              <w:t xml:space="preserve"> -    </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sidRPr="003E1F91">
              <w:rPr>
                <w:rFonts w:asciiTheme="minorHAnsi" w:eastAsia="Times New Roman" w:hAnsiTheme="minorHAnsi" w:cstheme="minorHAnsi"/>
                <w:szCs w:val="20"/>
              </w:rPr>
              <w:t xml:space="preserve">723    </w:t>
            </w:r>
          </w:p>
        </w:tc>
      </w:tr>
      <w:tr w:rsidR="003E1F91" w:rsidRPr="003E1F91" w:rsidTr="003E1F91">
        <w:trPr>
          <w:trHeight w:val="300"/>
        </w:trPr>
        <w:tc>
          <w:tcPr>
            <w:tcW w:w="618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proofErr w:type="spellStart"/>
            <w:r w:rsidRPr="003E1F91">
              <w:rPr>
                <w:rFonts w:asciiTheme="minorHAnsi" w:eastAsia="Times New Roman" w:hAnsiTheme="minorHAnsi" w:cstheme="minorHAnsi"/>
                <w:color w:val="000000"/>
                <w:szCs w:val="20"/>
              </w:rPr>
              <w:t>Repayment</w:t>
            </w:r>
            <w:proofErr w:type="spellEnd"/>
            <w:r w:rsidRPr="003E1F91">
              <w:rPr>
                <w:rFonts w:asciiTheme="minorHAnsi" w:eastAsia="Times New Roman" w:hAnsiTheme="minorHAnsi" w:cstheme="minorHAnsi"/>
                <w:color w:val="000000"/>
                <w:szCs w:val="20"/>
              </w:rPr>
              <w:t xml:space="preserve"> </w:t>
            </w:r>
            <w:proofErr w:type="spellStart"/>
            <w:r w:rsidRPr="003E1F91">
              <w:rPr>
                <w:rFonts w:asciiTheme="minorHAnsi" w:eastAsia="Times New Roman" w:hAnsiTheme="minorHAnsi" w:cstheme="minorHAnsi"/>
                <w:color w:val="000000"/>
                <w:szCs w:val="20"/>
              </w:rPr>
              <w:t>of</w:t>
            </w:r>
            <w:proofErr w:type="spellEnd"/>
            <w:r w:rsidRPr="003E1F91">
              <w:rPr>
                <w:rFonts w:asciiTheme="minorHAnsi" w:eastAsia="Times New Roman" w:hAnsiTheme="minorHAnsi" w:cstheme="minorHAnsi"/>
                <w:color w:val="000000"/>
                <w:szCs w:val="20"/>
              </w:rPr>
              <w:t xml:space="preserve"> </w:t>
            </w:r>
            <w:proofErr w:type="spellStart"/>
            <w:r w:rsidRPr="003E1F91">
              <w:rPr>
                <w:rFonts w:asciiTheme="minorHAnsi" w:eastAsia="Times New Roman" w:hAnsiTheme="minorHAnsi" w:cstheme="minorHAnsi"/>
                <w:color w:val="000000"/>
                <w:szCs w:val="20"/>
              </w:rPr>
              <w:t>borrowings</w:t>
            </w:r>
            <w:proofErr w:type="spellEnd"/>
            <w:r w:rsidRPr="003E1F91">
              <w:rPr>
                <w:rFonts w:asciiTheme="minorHAnsi" w:eastAsia="Times New Roman" w:hAnsiTheme="minorHAnsi" w:cstheme="minorHAnsi"/>
                <w:color w:val="000000"/>
                <w:szCs w:val="20"/>
              </w:rPr>
              <w:t xml:space="preserve"> </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sidRPr="003E1F91">
              <w:rPr>
                <w:rFonts w:asciiTheme="minorHAnsi" w:eastAsia="Times New Roman" w:hAnsiTheme="minorHAnsi" w:cstheme="minorHAnsi"/>
                <w:szCs w:val="20"/>
              </w:rPr>
              <w:t xml:space="preserve">-113    </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sidRPr="003E1F91">
              <w:rPr>
                <w:rFonts w:asciiTheme="minorHAnsi" w:eastAsia="Times New Roman" w:hAnsiTheme="minorHAnsi" w:cstheme="minorHAnsi"/>
                <w:szCs w:val="20"/>
              </w:rPr>
              <w:t xml:space="preserve">– </w:t>
            </w:r>
          </w:p>
        </w:tc>
      </w:tr>
      <w:tr w:rsidR="003E1F91" w:rsidRPr="003E1F91" w:rsidTr="003E1F91">
        <w:trPr>
          <w:trHeight w:val="290"/>
        </w:trPr>
        <w:tc>
          <w:tcPr>
            <w:tcW w:w="6180" w:type="dxa"/>
            <w:tcBorders>
              <w:top w:val="single" w:sz="8" w:space="0" w:color="auto"/>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lang w:val="en-GB"/>
              </w:rPr>
            </w:pPr>
            <w:r w:rsidRPr="003E1F91">
              <w:rPr>
                <w:rFonts w:asciiTheme="minorHAnsi" w:eastAsia="Times New Roman" w:hAnsiTheme="minorHAnsi" w:cstheme="minorHAnsi"/>
                <w:b/>
                <w:bCs/>
                <w:color w:val="000000"/>
                <w:szCs w:val="20"/>
                <w:lang w:val="en-GB"/>
              </w:rPr>
              <w:t>Net cash flow from financing activities</w:t>
            </w:r>
          </w:p>
        </w:tc>
        <w:tc>
          <w:tcPr>
            <w:tcW w:w="1380" w:type="dxa"/>
            <w:tcBorders>
              <w:top w:val="single" w:sz="8" w:space="0" w:color="auto"/>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szCs w:val="20"/>
              </w:rPr>
            </w:pPr>
            <w:r w:rsidRPr="003E1F91">
              <w:rPr>
                <w:rFonts w:asciiTheme="minorHAnsi" w:eastAsia="Times New Roman" w:hAnsiTheme="minorHAnsi" w:cstheme="minorHAnsi"/>
                <w:b/>
                <w:bCs/>
                <w:szCs w:val="20"/>
              </w:rPr>
              <w:t xml:space="preserve">496    </w:t>
            </w:r>
          </w:p>
        </w:tc>
        <w:tc>
          <w:tcPr>
            <w:tcW w:w="1380" w:type="dxa"/>
            <w:tcBorders>
              <w:top w:val="single" w:sz="8" w:space="0" w:color="auto"/>
              <w:left w:val="nil"/>
              <w:bottom w:val="nil"/>
              <w:right w:val="nil"/>
            </w:tcBorders>
            <w:shd w:val="clear" w:color="auto" w:fill="auto"/>
            <w:vAlign w:val="center"/>
            <w:hideMark/>
          </w:tcPr>
          <w:p w:rsidR="003E1F91" w:rsidRPr="003E1F91" w:rsidRDefault="007B49DB" w:rsidP="003E1F91">
            <w:pPr>
              <w:spacing w:after="0" w:line="240" w:lineRule="auto"/>
              <w:jc w:val="right"/>
              <w:rPr>
                <w:rFonts w:asciiTheme="minorHAnsi" w:eastAsia="Times New Roman" w:hAnsiTheme="minorHAnsi" w:cstheme="minorHAnsi"/>
                <w:b/>
                <w:bCs/>
                <w:szCs w:val="20"/>
              </w:rPr>
            </w:pPr>
            <w:r>
              <w:rPr>
                <w:rFonts w:asciiTheme="minorHAnsi" w:eastAsia="Times New Roman" w:hAnsiTheme="minorHAnsi" w:cstheme="minorHAnsi"/>
                <w:b/>
                <w:bCs/>
                <w:szCs w:val="20"/>
              </w:rPr>
              <w:t>2,</w:t>
            </w:r>
            <w:r w:rsidR="003E1F91" w:rsidRPr="003E1F91">
              <w:rPr>
                <w:rFonts w:asciiTheme="minorHAnsi" w:eastAsia="Times New Roman" w:hAnsiTheme="minorHAnsi" w:cstheme="minorHAnsi"/>
                <w:b/>
                <w:bCs/>
                <w:szCs w:val="20"/>
              </w:rPr>
              <w:t xml:space="preserve">352    </w:t>
            </w:r>
          </w:p>
        </w:tc>
      </w:tr>
      <w:tr w:rsidR="003E1F91" w:rsidRPr="003E1F91" w:rsidTr="003E1F91">
        <w:trPr>
          <w:trHeight w:val="300"/>
        </w:trPr>
        <w:tc>
          <w:tcPr>
            <w:tcW w:w="6180" w:type="dxa"/>
            <w:tcBorders>
              <w:top w:val="nil"/>
              <w:left w:val="nil"/>
              <w:bottom w:val="single" w:sz="8" w:space="0" w:color="auto"/>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sidRPr="003E1F91">
              <w:rPr>
                <w:rFonts w:asciiTheme="minorHAnsi" w:eastAsia="Times New Roman" w:hAnsiTheme="minorHAnsi" w:cstheme="minorHAnsi"/>
                <w:color w:val="000000"/>
                <w:szCs w:val="20"/>
              </w:rPr>
              <w:t> </w:t>
            </w:r>
          </w:p>
        </w:tc>
        <w:tc>
          <w:tcPr>
            <w:tcW w:w="1380" w:type="dxa"/>
            <w:tcBorders>
              <w:top w:val="nil"/>
              <w:left w:val="nil"/>
              <w:bottom w:val="single" w:sz="8"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sidRPr="003E1F91">
              <w:rPr>
                <w:rFonts w:asciiTheme="minorHAnsi" w:eastAsia="Times New Roman" w:hAnsiTheme="minorHAnsi" w:cstheme="minorHAnsi"/>
                <w:szCs w:val="20"/>
              </w:rPr>
              <w:t> </w:t>
            </w:r>
          </w:p>
        </w:tc>
        <w:tc>
          <w:tcPr>
            <w:tcW w:w="1380" w:type="dxa"/>
            <w:tcBorders>
              <w:top w:val="nil"/>
              <w:left w:val="nil"/>
              <w:bottom w:val="single" w:sz="8"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szCs w:val="20"/>
              </w:rPr>
            </w:pPr>
            <w:r w:rsidRPr="003E1F91">
              <w:rPr>
                <w:rFonts w:asciiTheme="minorHAnsi" w:eastAsia="Times New Roman" w:hAnsiTheme="minorHAnsi" w:cstheme="minorHAnsi"/>
                <w:b/>
                <w:bCs/>
                <w:szCs w:val="20"/>
              </w:rPr>
              <w:t> </w:t>
            </w:r>
          </w:p>
        </w:tc>
      </w:tr>
      <w:tr w:rsidR="003E1F91" w:rsidRPr="003E1F91" w:rsidTr="003E1F91">
        <w:trPr>
          <w:trHeight w:val="300"/>
        </w:trPr>
        <w:tc>
          <w:tcPr>
            <w:tcW w:w="6180" w:type="dxa"/>
            <w:tcBorders>
              <w:top w:val="nil"/>
              <w:left w:val="nil"/>
              <w:bottom w:val="double" w:sz="6" w:space="0" w:color="auto"/>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r w:rsidRPr="003E1F91">
              <w:rPr>
                <w:rFonts w:asciiTheme="minorHAnsi" w:eastAsia="Times New Roman" w:hAnsiTheme="minorHAnsi" w:cstheme="minorHAnsi"/>
                <w:b/>
                <w:bCs/>
                <w:color w:val="000000"/>
                <w:szCs w:val="20"/>
              </w:rPr>
              <w:t xml:space="preserve">Net cash </w:t>
            </w:r>
            <w:proofErr w:type="spellStart"/>
            <w:r w:rsidRPr="003E1F91">
              <w:rPr>
                <w:rFonts w:asciiTheme="minorHAnsi" w:eastAsia="Times New Roman" w:hAnsiTheme="minorHAnsi" w:cstheme="minorHAnsi"/>
                <w:b/>
                <w:bCs/>
                <w:color w:val="000000"/>
                <w:szCs w:val="20"/>
              </w:rPr>
              <w:t>flow</w:t>
            </w:r>
            <w:proofErr w:type="spellEnd"/>
          </w:p>
        </w:tc>
        <w:tc>
          <w:tcPr>
            <w:tcW w:w="1380" w:type="dxa"/>
            <w:tcBorders>
              <w:top w:val="nil"/>
              <w:left w:val="nil"/>
              <w:bottom w:val="double" w:sz="6"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szCs w:val="20"/>
              </w:rPr>
            </w:pPr>
            <w:r w:rsidRPr="003E1F91">
              <w:rPr>
                <w:rFonts w:asciiTheme="minorHAnsi" w:eastAsia="Times New Roman" w:hAnsiTheme="minorHAnsi" w:cstheme="minorHAnsi"/>
                <w:b/>
                <w:bCs/>
                <w:szCs w:val="20"/>
              </w:rPr>
              <w:t xml:space="preserve">-72    </w:t>
            </w:r>
          </w:p>
        </w:tc>
        <w:tc>
          <w:tcPr>
            <w:tcW w:w="1380" w:type="dxa"/>
            <w:tcBorders>
              <w:top w:val="nil"/>
              <w:left w:val="nil"/>
              <w:bottom w:val="double" w:sz="6"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szCs w:val="20"/>
              </w:rPr>
            </w:pPr>
            <w:r w:rsidRPr="003E1F91">
              <w:rPr>
                <w:rFonts w:asciiTheme="minorHAnsi" w:eastAsia="Times New Roman" w:hAnsiTheme="minorHAnsi" w:cstheme="minorHAnsi"/>
                <w:b/>
                <w:bCs/>
                <w:szCs w:val="20"/>
              </w:rPr>
              <w:t xml:space="preserve">22    </w:t>
            </w:r>
          </w:p>
        </w:tc>
      </w:tr>
      <w:tr w:rsidR="003E1F91" w:rsidRPr="003E1F91" w:rsidTr="003E1F91">
        <w:trPr>
          <w:trHeight w:val="300"/>
        </w:trPr>
        <w:tc>
          <w:tcPr>
            <w:tcW w:w="618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b/>
                <w:bCs/>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3E1F91" w:rsidTr="003E1F91">
        <w:trPr>
          <w:trHeight w:val="290"/>
        </w:trPr>
        <w:tc>
          <w:tcPr>
            <w:tcW w:w="618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lang w:val="en-GB"/>
              </w:rPr>
            </w:pPr>
            <w:r w:rsidRPr="003E1F91">
              <w:rPr>
                <w:rFonts w:asciiTheme="minorHAnsi" w:eastAsia="Times New Roman" w:hAnsiTheme="minorHAnsi" w:cstheme="minorHAnsi"/>
                <w:color w:val="000000"/>
                <w:szCs w:val="20"/>
                <w:lang w:val="en-GB"/>
              </w:rPr>
              <w:t>Cash -/- bank overdrafts at beginning of period</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sidRPr="003E1F91">
              <w:rPr>
                <w:rFonts w:asciiTheme="minorHAnsi" w:eastAsia="Times New Roman" w:hAnsiTheme="minorHAnsi" w:cstheme="minorHAnsi"/>
                <w:szCs w:val="20"/>
              </w:rPr>
              <w:t xml:space="preserve">689    </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sidRPr="003E1F91">
              <w:rPr>
                <w:rFonts w:asciiTheme="minorHAnsi" w:eastAsia="Times New Roman" w:hAnsiTheme="minorHAnsi" w:cstheme="minorHAnsi"/>
                <w:szCs w:val="20"/>
              </w:rPr>
              <w:t xml:space="preserve">667    </w:t>
            </w:r>
          </w:p>
        </w:tc>
      </w:tr>
      <w:tr w:rsidR="003E1F91" w:rsidRPr="003E1F91" w:rsidTr="003E1F91">
        <w:trPr>
          <w:trHeight w:val="300"/>
        </w:trPr>
        <w:tc>
          <w:tcPr>
            <w:tcW w:w="6180" w:type="dxa"/>
            <w:tcBorders>
              <w:top w:val="nil"/>
              <w:left w:val="nil"/>
              <w:bottom w:val="single" w:sz="8" w:space="0" w:color="auto"/>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lang w:val="en-GB"/>
              </w:rPr>
            </w:pPr>
            <w:r w:rsidRPr="003E1F91">
              <w:rPr>
                <w:rFonts w:asciiTheme="minorHAnsi" w:eastAsia="Times New Roman" w:hAnsiTheme="minorHAnsi" w:cstheme="minorHAnsi"/>
                <w:color w:val="000000"/>
                <w:szCs w:val="20"/>
                <w:lang w:val="en-GB"/>
              </w:rPr>
              <w:t>Cash -/- bank overdrafts at end of period</w:t>
            </w:r>
          </w:p>
        </w:tc>
        <w:tc>
          <w:tcPr>
            <w:tcW w:w="1380" w:type="dxa"/>
            <w:tcBorders>
              <w:top w:val="nil"/>
              <w:left w:val="nil"/>
              <w:bottom w:val="single" w:sz="8"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sidRPr="003E1F91">
              <w:rPr>
                <w:rFonts w:asciiTheme="minorHAnsi" w:eastAsia="Times New Roman" w:hAnsiTheme="minorHAnsi" w:cstheme="minorHAnsi"/>
                <w:szCs w:val="20"/>
              </w:rPr>
              <w:t xml:space="preserve">617    </w:t>
            </w:r>
          </w:p>
        </w:tc>
        <w:tc>
          <w:tcPr>
            <w:tcW w:w="1380" w:type="dxa"/>
            <w:tcBorders>
              <w:top w:val="nil"/>
              <w:left w:val="nil"/>
              <w:bottom w:val="single" w:sz="8"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sidRPr="003E1F91">
              <w:rPr>
                <w:rFonts w:asciiTheme="minorHAnsi" w:eastAsia="Times New Roman" w:hAnsiTheme="minorHAnsi" w:cstheme="minorHAnsi"/>
                <w:szCs w:val="20"/>
              </w:rPr>
              <w:t xml:space="preserve">689    </w:t>
            </w:r>
          </w:p>
        </w:tc>
      </w:tr>
      <w:tr w:rsidR="003E1F91" w:rsidRPr="003E1F91" w:rsidTr="003E1F91">
        <w:trPr>
          <w:trHeight w:val="300"/>
        </w:trPr>
        <w:tc>
          <w:tcPr>
            <w:tcW w:w="6180" w:type="dxa"/>
            <w:tcBorders>
              <w:top w:val="nil"/>
              <w:left w:val="nil"/>
              <w:bottom w:val="double" w:sz="6" w:space="0" w:color="auto"/>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r w:rsidRPr="003E1F91">
              <w:rPr>
                <w:rFonts w:asciiTheme="minorHAnsi" w:eastAsia="Times New Roman" w:hAnsiTheme="minorHAnsi" w:cstheme="minorHAnsi"/>
                <w:b/>
                <w:bCs/>
                <w:color w:val="000000"/>
                <w:szCs w:val="20"/>
              </w:rPr>
              <w:t xml:space="preserve">Net cash </w:t>
            </w:r>
            <w:proofErr w:type="spellStart"/>
            <w:r w:rsidRPr="003E1F91">
              <w:rPr>
                <w:rFonts w:asciiTheme="minorHAnsi" w:eastAsia="Times New Roman" w:hAnsiTheme="minorHAnsi" w:cstheme="minorHAnsi"/>
                <w:b/>
                <w:bCs/>
                <w:color w:val="000000"/>
                <w:szCs w:val="20"/>
              </w:rPr>
              <w:t>flow</w:t>
            </w:r>
            <w:proofErr w:type="spellEnd"/>
          </w:p>
        </w:tc>
        <w:tc>
          <w:tcPr>
            <w:tcW w:w="1380" w:type="dxa"/>
            <w:tcBorders>
              <w:top w:val="nil"/>
              <w:left w:val="nil"/>
              <w:bottom w:val="double" w:sz="6"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r w:rsidRPr="003E1F91">
              <w:rPr>
                <w:rFonts w:asciiTheme="minorHAnsi" w:eastAsia="Times New Roman" w:hAnsiTheme="minorHAnsi" w:cstheme="minorHAnsi"/>
                <w:b/>
                <w:bCs/>
                <w:color w:val="000000"/>
                <w:szCs w:val="20"/>
              </w:rPr>
              <w:t xml:space="preserve">-72    </w:t>
            </w:r>
          </w:p>
        </w:tc>
        <w:tc>
          <w:tcPr>
            <w:tcW w:w="1380" w:type="dxa"/>
            <w:tcBorders>
              <w:top w:val="nil"/>
              <w:left w:val="nil"/>
              <w:bottom w:val="double" w:sz="6"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r w:rsidRPr="003E1F91">
              <w:rPr>
                <w:rFonts w:asciiTheme="minorHAnsi" w:eastAsia="Times New Roman" w:hAnsiTheme="minorHAnsi" w:cstheme="minorHAnsi"/>
                <w:b/>
                <w:bCs/>
                <w:color w:val="000000"/>
                <w:szCs w:val="20"/>
              </w:rPr>
              <w:t xml:space="preserve">22    </w:t>
            </w:r>
          </w:p>
        </w:tc>
      </w:tr>
    </w:tbl>
    <w:p w:rsidR="003E1F91" w:rsidRPr="003E1F91" w:rsidRDefault="003E1F91" w:rsidP="003E1F91">
      <w:pPr>
        <w:spacing w:after="0"/>
        <w:jc w:val="both"/>
        <w:rPr>
          <w:rFonts w:asciiTheme="minorHAnsi" w:eastAsia="Times New Roman" w:hAnsiTheme="minorHAnsi" w:cstheme="minorHAnsi"/>
          <w:b/>
          <w:szCs w:val="20"/>
          <w:highlight w:val="yellow"/>
          <w:lang w:val="en-GB" w:eastAsia="en-GB" w:bidi="en-GB"/>
        </w:rPr>
      </w:pPr>
      <w:r w:rsidRPr="003E1F91">
        <w:rPr>
          <w:rFonts w:asciiTheme="minorHAnsi" w:eastAsia="Times New Roman" w:hAnsiTheme="minorHAnsi" w:cstheme="minorHAnsi"/>
          <w:b/>
          <w:szCs w:val="20"/>
          <w:highlight w:val="yellow"/>
          <w:lang w:val="en-GB" w:eastAsia="en-GB" w:bidi="en-GB"/>
        </w:rPr>
        <w:br/>
      </w:r>
    </w:p>
    <w:p w:rsidR="003E1F91" w:rsidRPr="003E1F91" w:rsidRDefault="003E1F91" w:rsidP="003E1F91">
      <w:pPr>
        <w:spacing w:after="0" w:line="240" w:lineRule="auto"/>
        <w:jc w:val="both"/>
        <w:rPr>
          <w:rFonts w:asciiTheme="minorHAnsi" w:eastAsia="Times New Roman" w:hAnsiTheme="minorHAnsi" w:cstheme="minorHAnsi"/>
          <w:b/>
          <w:color w:val="B71234"/>
          <w:szCs w:val="20"/>
          <w:lang w:val="en-GB" w:eastAsia="en-GB" w:bidi="en-GB"/>
        </w:rPr>
      </w:pPr>
      <w:r w:rsidRPr="003E1F91">
        <w:rPr>
          <w:rFonts w:asciiTheme="minorHAnsi" w:eastAsia="Times New Roman" w:hAnsiTheme="minorHAnsi" w:cstheme="minorHAnsi"/>
          <w:b/>
          <w:color w:val="B71234"/>
          <w:szCs w:val="20"/>
          <w:lang w:val="en-GB" w:eastAsia="en-GB" w:bidi="en-GB"/>
        </w:rPr>
        <w:br w:type="page"/>
      </w:r>
    </w:p>
    <w:p w:rsidR="003E1F91" w:rsidRPr="007972CA" w:rsidRDefault="003E1F91" w:rsidP="007972CA">
      <w:pPr>
        <w:ind w:left="284"/>
        <w:jc w:val="both"/>
        <w:rPr>
          <w:rFonts w:asciiTheme="minorHAnsi" w:eastAsia="Times New Roman" w:hAnsiTheme="minorHAnsi" w:cstheme="minorHAnsi"/>
          <w:b/>
          <w:color w:val="B71234"/>
          <w:sz w:val="22"/>
          <w:lang w:val="en-GB" w:eastAsia="en-GB" w:bidi="en-GB"/>
        </w:rPr>
      </w:pPr>
      <w:r w:rsidRPr="007972CA">
        <w:rPr>
          <w:rFonts w:asciiTheme="minorHAnsi" w:eastAsia="Times New Roman" w:hAnsiTheme="minorHAnsi" w:cstheme="minorHAnsi"/>
          <w:b/>
          <w:color w:val="B71234"/>
          <w:sz w:val="22"/>
          <w:lang w:val="en-GB" w:eastAsia="en-GB" w:bidi="en-GB"/>
        </w:rPr>
        <w:lastRenderedPageBreak/>
        <w:t>Accounting policies used in the preparation of the annual accounts</w:t>
      </w:r>
    </w:p>
    <w:p w:rsidR="003E1F91" w:rsidRPr="003E1F91" w:rsidRDefault="003E1F91" w:rsidP="007972CA">
      <w:pPr>
        <w:ind w:left="284"/>
        <w:jc w:val="both"/>
        <w:rPr>
          <w:rFonts w:asciiTheme="minorHAnsi" w:eastAsia="Times New Roman" w:hAnsiTheme="minorHAnsi" w:cstheme="minorHAnsi"/>
          <w:szCs w:val="20"/>
          <w:lang w:val="en-GB" w:eastAsia="en-GB" w:bidi="en-GB"/>
        </w:rPr>
      </w:pPr>
      <w:proofErr w:type="spellStart"/>
      <w:r w:rsidRPr="007972CA">
        <w:rPr>
          <w:rFonts w:asciiTheme="minorHAnsi" w:eastAsia="Times New Roman" w:hAnsiTheme="minorHAnsi" w:cstheme="minorHAnsi"/>
          <w:color w:val="B71234"/>
          <w:szCs w:val="20"/>
          <w:lang w:val="en-GB" w:eastAsia="en-GB" w:bidi="en-GB"/>
        </w:rPr>
        <w:t>Rood</w:t>
      </w:r>
      <w:r w:rsidRPr="003E1F91">
        <w:rPr>
          <w:rFonts w:asciiTheme="minorHAnsi" w:eastAsia="Times New Roman" w:hAnsiTheme="minorHAnsi" w:cstheme="minorHAnsi"/>
          <w:szCs w:val="20"/>
          <w:lang w:val="en-GB" w:eastAsia="en-GB" w:bidi="en-GB"/>
        </w:rPr>
        <w:t>Microtec</w:t>
      </w:r>
      <w:proofErr w:type="spellEnd"/>
      <w:r w:rsidRPr="003E1F91">
        <w:rPr>
          <w:rFonts w:asciiTheme="minorHAnsi" w:eastAsia="Times New Roman" w:hAnsiTheme="minorHAnsi" w:cstheme="minorHAnsi"/>
          <w:szCs w:val="20"/>
          <w:lang w:val="en-GB" w:eastAsia="en-GB" w:bidi="en-GB"/>
        </w:rPr>
        <w:t xml:space="preserve"> N.V.’s annual accounts for the financial year 2017 contain an overview of the applied accounting policies for financial reporting. The principles laid out in this overview are in accordance with the </w:t>
      </w:r>
      <w:r w:rsidR="00657139">
        <w:rPr>
          <w:rFonts w:asciiTheme="minorHAnsi" w:eastAsia="Times New Roman" w:hAnsiTheme="minorHAnsi" w:cstheme="minorHAnsi"/>
          <w:szCs w:val="20"/>
          <w:lang w:val="en-GB" w:eastAsia="en-GB" w:bidi="en-GB"/>
        </w:rPr>
        <w:t>International Financial Reporting Standards as</w:t>
      </w:r>
      <w:r w:rsidRPr="003E1F91">
        <w:rPr>
          <w:rFonts w:asciiTheme="minorHAnsi" w:eastAsia="Times New Roman" w:hAnsiTheme="minorHAnsi" w:cstheme="minorHAnsi"/>
          <w:szCs w:val="20"/>
          <w:lang w:val="en-GB" w:eastAsia="en-GB" w:bidi="en-GB"/>
        </w:rPr>
        <w:t xml:space="preserve"> laid down by the International Accounting Standards Board (IASB) and approved by the European Commission</w:t>
      </w:r>
      <w:r w:rsidR="00657139">
        <w:rPr>
          <w:rFonts w:asciiTheme="minorHAnsi" w:eastAsia="Times New Roman" w:hAnsiTheme="minorHAnsi" w:cstheme="minorHAnsi"/>
          <w:szCs w:val="20"/>
          <w:lang w:val="en-GB" w:eastAsia="en-GB" w:bidi="en-GB"/>
        </w:rPr>
        <w:t xml:space="preserve"> (IFRS-EU)</w:t>
      </w:r>
      <w:r w:rsidRPr="003E1F91">
        <w:rPr>
          <w:rFonts w:asciiTheme="minorHAnsi" w:eastAsia="Times New Roman" w:hAnsiTheme="minorHAnsi" w:cstheme="minorHAnsi"/>
          <w:szCs w:val="20"/>
          <w:lang w:val="en-GB" w:eastAsia="en-GB" w:bidi="en-GB"/>
        </w:rPr>
        <w:t>, as applicable on 31 December 2017. The accounting policies have been applied consistently to the periods pre</w:t>
      </w:r>
      <w:r w:rsidR="00657139">
        <w:rPr>
          <w:rFonts w:asciiTheme="minorHAnsi" w:eastAsia="Times New Roman" w:hAnsiTheme="minorHAnsi" w:cstheme="minorHAnsi"/>
          <w:szCs w:val="20"/>
          <w:lang w:val="en-GB" w:eastAsia="en-GB" w:bidi="en-GB"/>
        </w:rPr>
        <w:t>sented in this press release.</w:t>
      </w:r>
    </w:p>
    <w:p w:rsidR="003E1F91" w:rsidRPr="003E1F91" w:rsidRDefault="003E1F91" w:rsidP="007972CA">
      <w:pPr>
        <w:ind w:left="284"/>
        <w:jc w:val="both"/>
        <w:rPr>
          <w:rFonts w:asciiTheme="minorHAnsi" w:eastAsia="Times New Roman" w:hAnsiTheme="minorHAnsi" w:cstheme="minorHAnsi"/>
          <w:szCs w:val="20"/>
          <w:highlight w:val="yellow"/>
          <w:lang w:val="en-GB" w:eastAsia="en-GB" w:bidi="en-GB"/>
        </w:rPr>
      </w:pPr>
      <w:proofErr w:type="spellStart"/>
      <w:r w:rsidRPr="003E1F91">
        <w:rPr>
          <w:rFonts w:asciiTheme="minorHAnsi" w:eastAsia="Times New Roman" w:hAnsiTheme="minorHAnsi" w:cstheme="minorHAnsi"/>
          <w:color w:val="C00000"/>
          <w:szCs w:val="20"/>
          <w:lang w:val="en-GB" w:eastAsia="en-GB" w:bidi="en-GB"/>
        </w:rPr>
        <w:t>Rood</w:t>
      </w:r>
      <w:r w:rsidRPr="003E1F91">
        <w:rPr>
          <w:rFonts w:asciiTheme="minorHAnsi" w:eastAsia="Times New Roman" w:hAnsiTheme="minorHAnsi" w:cstheme="minorHAnsi"/>
          <w:szCs w:val="20"/>
          <w:lang w:val="en-GB" w:eastAsia="en-GB" w:bidi="en-GB"/>
        </w:rPr>
        <w:t>Microtec</w:t>
      </w:r>
      <w:proofErr w:type="spellEnd"/>
      <w:r w:rsidRPr="003E1F91">
        <w:rPr>
          <w:rFonts w:asciiTheme="minorHAnsi" w:eastAsia="Times New Roman" w:hAnsiTheme="minorHAnsi" w:cstheme="minorHAnsi"/>
          <w:szCs w:val="20"/>
          <w:lang w:val="en-GB" w:eastAsia="en-GB" w:bidi="en-GB"/>
        </w:rPr>
        <w:t xml:space="preserve"> N.V. has applied all the new and amended standards and interpretations applicable to the year</w:t>
      </w:r>
      <w:r w:rsidR="00657139">
        <w:rPr>
          <w:rFonts w:asciiTheme="minorHAnsi" w:eastAsia="Times New Roman" w:hAnsiTheme="minorHAnsi" w:cstheme="minorHAnsi"/>
          <w:szCs w:val="20"/>
          <w:lang w:val="en-GB" w:eastAsia="en-GB" w:bidi="en-GB"/>
        </w:rPr>
        <w:t xml:space="preserve"> under review, which have been </w:t>
      </w:r>
      <w:r w:rsidRPr="003E1F91">
        <w:rPr>
          <w:rFonts w:asciiTheme="minorHAnsi" w:eastAsia="Times New Roman" w:hAnsiTheme="minorHAnsi" w:cstheme="minorHAnsi"/>
          <w:szCs w:val="20"/>
          <w:lang w:val="en-GB" w:eastAsia="en-GB" w:bidi="en-GB"/>
        </w:rPr>
        <w:t>approved by the European Commission and which were in force for the period beginning 1</w:t>
      </w:r>
      <w:r w:rsidR="00657139">
        <w:rPr>
          <w:rFonts w:asciiTheme="minorHAnsi" w:eastAsia="Times New Roman" w:hAnsiTheme="minorHAnsi" w:cstheme="minorHAnsi"/>
          <w:szCs w:val="20"/>
          <w:lang w:val="en-GB" w:eastAsia="en-GB" w:bidi="en-GB"/>
        </w:rPr>
        <w:t> </w:t>
      </w:r>
      <w:r w:rsidRPr="003E1F91">
        <w:rPr>
          <w:rFonts w:asciiTheme="minorHAnsi" w:eastAsia="Times New Roman" w:hAnsiTheme="minorHAnsi" w:cstheme="minorHAnsi"/>
          <w:szCs w:val="20"/>
          <w:lang w:val="en-GB" w:eastAsia="en-GB" w:bidi="en-GB"/>
        </w:rPr>
        <w:t>January 2017. None of these standards had a material effect on the Group’s financial statements.</w:t>
      </w:r>
    </w:p>
    <w:p w:rsidR="003E1F91" w:rsidRPr="003E1F91" w:rsidRDefault="003E1F91" w:rsidP="007972CA">
      <w:pPr>
        <w:ind w:left="284"/>
        <w:jc w:val="both"/>
        <w:rPr>
          <w:rFonts w:asciiTheme="minorHAnsi" w:eastAsia="Times New Roman" w:hAnsiTheme="minorHAnsi" w:cstheme="minorHAnsi"/>
          <w:szCs w:val="20"/>
          <w:lang w:val="en-GB" w:eastAsia="en-GB" w:bidi="en-GB"/>
        </w:rPr>
      </w:pPr>
    </w:p>
    <w:p w:rsidR="003E1F91" w:rsidRPr="007972CA" w:rsidRDefault="003E1F91" w:rsidP="007972CA">
      <w:pPr>
        <w:ind w:left="284"/>
        <w:jc w:val="both"/>
        <w:rPr>
          <w:rFonts w:asciiTheme="minorHAnsi" w:eastAsia="Times New Roman" w:hAnsiTheme="minorHAnsi" w:cstheme="minorHAnsi"/>
          <w:b/>
          <w:color w:val="B71234"/>
          <w:sz w:val="22"/>
          <w:lang w:val="en-GB" w:eastAsia="en-GB" w:bidi="en-GB"/>
        </w:rPr>
      </w:pPr>
      <w:r w:rsidRPr="007972CA">
        <w:rPr>
          <w:rFonts w:asciiTheme="minorHAnsi" w:eastAsia="Times New Roman" w:hAnsiTheme="minorHAnsi" w:cstheme="minorHAnsi"/>
          <w:b/>
          <w:color w:val="B71234"/>
          <w:sz w:val="22"/>
          <w:lang w:val="en-GB" w:eastAsia="en-GB" w:bidi="en-GB"/>
        </w:rPr>
        <w:t>Other</w:t>
      </w:r>
    </w:p>
    <w:p w:rsidR="003E1F91" w:rsidRPr="003E1F91" w:rsidRDefault="003E1F91" w:rsidP="007972CA">
      <w:pPr>
        <w:ind w:left="284"/>
        <w:jc w:val="both"/>
        <w:rPr>
          <w:rFonts w:asciiTheme="minorHAnsi" w:eastAsia="Times New Roman" w:hAnsiTheme="minorHAnsi" w:cstheme="minorHAnsi"/>
          <w:szCs w:val="20"/>
          <w:lang w:val="en-GB" w:eastAsia="en-GB" w:bidi="en-GB"/>
        </w:rPr>
      </w:pPr>
      <w:r w:rsidRPr="003E1F91">
        <w:rPr>
          <w:rFonts w:asciiTheme="minorHAnsi" w:eastAsia="Times New Roman" w:hAnsiTheme="minorHAnsi" w:cstheme="minorHAnsi"/>
          <w:szCs w:val="20"/>
          <w:lang w:val="en-GB" w:eastAsia="en-GB" w:bidi="en-GB"/>
        </w:rPr>
        <w:t>The condensed financial information presented in this press release has not been audited. For the insight required to arrive at a responsible opinion concerning the financial position and the results of the company, this press release should be read in combinati</w:t>
      </w:r>
      <w:r w:rsidR="004F4E0E">
        <w:rPr>
          <w:rFonts w:asciiTheme="minorHAnsi" w:eastAsia="Times New Roman" w:hAnsiTheme="minorHAnsi" w:cstheme="minorHAnsi"/>
          <w:szCs w:val="20"/>
          <w:lang w:val="en-GB" w:eastAsia="en-GB" w:bidi="en-GB"/>
        </w:rPr>
        <w:t>on with the annual accounts.</w:t>
      </w:r>
    </w:p>
    <w:p w:rsidR="003E1F91" w:rsidRPr="003E1F91" w:rsidRDefault="003E1F91" w:rsidP="007972CA">
      <w:pPr>
        <w:ind w:left="284"/>
        <w:jc w:val="both"/>
        <w:rPr>
          <w:rFonts w:asciiTheme="minorHAnsi" w:eastAsia="Times New Roman" w:hAnsiTheme="minorHAnsi" w:cstheme="minorHAnsi"/>
          <w:szCs w:val="20"/>
          <w:lang w:val="en-GB" w:eastAsia="en-GB" w:bidi="en-GB"/>
        </w:rPr>
      </w:pPr>
      <w:proofErr w:type="spellStart"/>
      <w:r w:rsidRPr="007972CA">
        <w:rPr>
          <w:rFonts w:asciiTheme="minorHAnsi" w:eastAsia="Times New Roman" w:hAnsiTheme="minorHAnsi" w:cstheme="minorHAnsi"/>
          <w:color w:val="B71234"/>
          <w:szCs w:val="20"/>
          <w:lang w:val="en-GB" w:eastAsia="en-GB" w:bidi="en-GB"/>
        </w:rPr>
        <w:t>Rood</w:t>
      </w:r>
      <w:r w:rsidRPr="003E1F91">
        <w:rPr>
          <w:rFonts w:asciiTheme="minorHAnsi" w:eastAsia="Times New Roman" w:hAnsiTheme="minorHAnsi" w:cstheme="minorHAnsi"/>
          <w:szCs w:val="20"/>
          <w:lang w:val="en-GB" w:eastAsia="en-GB" w:bidi="en-GB"/>
        </w:rPr>
        <w:t>Microtec</w:t>
      </w:r>
      <w:proofErr w:type="spellEnd"/>
      <w:r w:rsidRPr="003E1F91">
        <w:rPr>
          <w:rFonts w:asciiTheme="minorHAnsi" w:eastAsia="Times New Roman" w:hAnsiTheme="minorHAnsi" w:cstheme="minorHAnsi"/>
          <w:szCs w:val="20"/>
          <w:lang w:val="en-GB" w:eastAsia="en-GB" w:bidi="en-GB"/>
        </w:rPr>
        <w:t xml:space="preserve"> N.V. will publish its annual report 2017 on 28 March 2018. The annual accounts 2017 will be submitted to the General Meeting of Shareholders for adoption on 17 May 20</w:t>
      </w:r>
      <w:r w:rsidR="007972CA">
        <w:rPr>
          <w:rFonts w:asciiTheme="minorHAnsi" w:eastAsia="Times New Roman" w:hAnsiTheme="minorHAnsi" w:cstheme="minorHAnsi"/>
          <w:szCs w:val="20"/>
          <w:lang w:val="en-GB" w:eastAsia="en-GB" w:bidi="en-GB"/>
        </w:rPr>
        <w:t>18.</w:t>
      </w:r>
    </w:p>
    <w:sectPr w:rsidR="003E1F91" w:rsidRPr="003E1F91" w:rsidSect="00575A1A">
      <w:footerReference w:type="default" r:id="rId11"/>
      <w:headerReference w:type="first" r:id="rId12"/>
      <w:footerReference w:type="first" r:id="rId13"/>
      <w:pgSz w:w="11906" w:h="16838" w:code="9"/>
      <w:pgMar w:top="568" w:right="849" w:bottom="454" w:left="709" w:header="3856"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0B46" w:rsidRDefault="00EE0B46" w:rsidP="00487DE4">
      <w:pPr>
        <w:spacing w:after="0" w:line="240" w:lineRule="auto"/>
      </w:pPr>
      <w:r>
        <w:separator/>
      </w:r>
    </w:p>
  </w:endnote>
  <w:endnote w:type="continuationSeparator" w:id="0">
    <w:p w:rsidR="00EE0B46" w:rsidRDefault="00EE0B46" w:rsidP="00487D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1">
    <w:altName w:val="MS Gothic"/>
    <w:panose1 w:val="00000000000000000000"/>
    <w:charset w:val="80"/>
    <w:family w:val="auto"/>
    <w:notTrueType/>
    <w:pitch w:val="default"/>
    <w:sig w:usb0="00000001" w:usb1="08070000" w:usb2="00000010" w:usb3="00000000" w:csb0="00020000" w:csb1="00000000"/>
  </w:font>
  <w:font w:name="MS ????">
    <w:panose1 w:val="00000000000000000000"/>
    <w:charset w:val="80"/>
    <w:family w:val="auto"/>
    <w:notTrueType/>
    <w:pitch w:val="variable"/>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B46" w:rsidRDefault="00843E0D" w:rsidP="00B50948">
    <w:pPr>
      <w:pStyle w:val="Fuzeile"/>
      <w:tabs>
        <w:tab w:val="clear" w:pos="9072"/>
      </w:tabs>
      <w:ind w:left="-284"/>
    </w:pPr>
    <w:r>
      <w:rPr>
        <w:noProof/>
        <w:lang w:eastAsia="de-DE"/>
      </w:rPr>
      <w:pict>
        <v:shapetype id="_x0000_t202" coordsize="21600,21600" o:spt="202" path="m,l,21600r21600,l21600,xe">
          <v:stroke joinstyle="miter"/>
          <v:path gradientshapeok="t" o:connecttype="rect"/>
        </v:shapetype>
        <v:shape id="_x0000_s2055" type="#_x0000_t202" style="position:absolute;left:0;text-align:left;margin-left:-10.4pt;margin-top:2.5pt;width:556.25pt;height:17.7pt;z-index:251660288;mso-width-relative:margin;mso-height-relative:margin" filled="f" stroked="f">
          <v:textbox style="mso-next-textbox:#_x0000_s2055" inset="0,0,0,0">
            <w:txbxContent>
              <w:p w:rsidR="00EE0B46" w:rsidRPr="00B50948" w:rsidRDefault="00EE0B46" w:rsidP="00B50948">
                <w:pPr>
                  <w:tabs>
                    <w:tab w:val="center" w:pos="5387"/>
                    <w:tab w:val="right" w:pos="10625"/>
                  </w:tabs>
                  <w:ind w:left="284" w:right="-47"/>
                  <w:rPr>
                    <w:color w:val="FFFFFF"/>
                    <w:lang w:val="en-GB"/>
                  </w:rPr>
                </w:pPr>
                <w:r>
                  <w:rPr>
                    <w:color w:val="FFFFFF"/>
                    <w:lang w:val="en-GB"/>
                  </w:rPr>
                  <w:t>Unaudited Annual Figures 2017</w:t>
                </w:r>
                <w:r w:rsidRPr="00B50948">
                  <w:rPr>
                    <w:color w:val="FFFFFF"/>
                    <w:lang w:val="en-GB"/>
                  </w:rPr>
                  <w:tab/>
                </w:r>
                <w:r w:rsidR="00843E0D" w:rsidRPr="00B50948">
                  <w:rPr>
                    <w:color w:val="FFFFFF"/>
                  </w:rPr>
                  <w:fldChar w:fldCharType="begin"/>
                </w:r>
                <w:r w:rsidRPr="00B50948">
                  <w:rPr>
                    <w:color w:val="FFFFFF"/>
                    <w:lang w:val="en-GB"/>
                  </w:rPr>
                  <w:instrText xml:space="preserve"> PAGE   \* MERGEFORMAT </w:instrText>
                </w:r>
                <w:r w:rsidR="00843E0D" w:rsidRPr="00B50948">
                  <w:rPr>
                    <w:color w:val="FFFFFF"/>
                  </w:rPr>
                  <w:fldChar w:fldCharType="separate"/>
                </w:r>
                <w:r w:rsidR="000B790D">
                  <w:rPr>
                    <w:noProof/>
                    <w:color w:val="FFFFFF"/>
                    <w:lang w:val="en-GB"/>
                  </w:rPr>
                  <w:t>5</w:t>
                </w:r>
                <w:r w:rsidR="00843E0D" w:rsidRPr="00B50948">
                  <w:rPr>
                    <w:color w:val="FFFFFF"/>
                  </w:rPr>
                  <w:fldChar w:fldCharType="end"/>
                </w:r>
                <w:r w:rsidRPr="00B50948">
                  <w:rPr>
                    <w:color w:val="FFFFFF"/>
                    <w:lang w:val="en-GB"/>
                  </w:rPr>
                  <w:tab/>
                </w:r>
                <w:proofErr w:type="spellStart"/>
                <w:r>
                  <w:rPr>
                    <w:color w:val="FFFFFF"/>
                    <w:lang w:val="en-GB"/>
                  </w:rPr>
                  <w:t>RoodMicrotec</w:t>
                </w:r>
                <w:proofErr w:type="spellEnd"/>
                <w:r>
                  <w:rPr>
                    <w:color w:val="FFFFFF"/>
                    <w:lang w:val="en-GB"/>
                  </w:rPr>
                  <w:t xml:space="preserve"> </w:t>
                </w:r>
                <w:r w:rsidRPr="00B50948">
                  <w:rPr>
                    <w:color w:val="FFFFFF"/>
                    <w:lang w:val="en-GB"/>
                  </w:rPr>
                  <w:t>Press Release</w:t>
                </w:r>
              </w:p>
              <w:p w:rsidR="00EE0B46" w:rsidRPr="00F33608" w:rsidRDefault="00EE0B46" w:rsidP="00B50948">
                <w:pPr>
                  <w:tabs>
                    <w:tab w:val="center" w:pos="5387"/>
                  </w:tabs>
                  <w:ind w:left="284"/>
                  <w:rPr>
                    <w:lang w:val="en-GB"/>
                  </w:rPr>
                </w:pPr>
              </w:p>
            </w:txbxContent>
          </v:textbox>
        </v:shape>
      </w:pict>
    </w:r>
    <w:r w:rsidR="00EE0B46">
      <w:rPr>
        <w:noProof/>
        <w:lang w:eastAsia="de-DE"/>
      </w:rPr>
      <w:drawing>
        <wp:inline distT="0" distB="0" distL="0" distR="0">
          <wp:extent cx="7089416" cy="286247"/>
          <wp:effectExtent l="19050" t="0" r="0" b="0"/>
          <wp:docPr id="3"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092834" cy="286385"/>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B46" w:rsidRDefault="00843E0D" w:rsidP="0036342D">
    <w:pPr>
      <w:pStyle w:val="Fuzeile"/>
      <w:tabs>
        <w:tab w:val="clear" w:pos="9072"/>
        <w:tab w:val="right" w:pos="10773"/>
      </w:tabs>
      <w:ind w:left="-284"/>
    </w:pPr>
    <w:r>
      <w:rPr>
        <w:noProof/>
      </w:rPr>
      <w:pict>
        <v:shapetype id="_x0000_t202" coordsize="21600,21600" o:spt="202" path="m,l,21600r21600,l21600,xe">
          <v:stroke joinstyle="miter"/>
          <v:path gradientshapeok="t" o:connecttype="rect"/>
        </v:shapetype>
        <v:shape id="_x0000_s2051" type="#_x0000_t202" style="position:absolute;left:0;text-align:left;margin-left:-12.35pt;margin-top:2.2pt;width:541.7pt;height:14.4pt;z-index:251656192;mso-width-relative:margin;mso-height-relative:margin;v-text-anchor:middle" filled="f" stroked="f">
          <v:textbox style="mso-next-textbox:#_x0000_s2051" inset="0,0,0,0">
            <w:txbxContent>
              <w:p w:rsidR="00EE0B46" w:rsidRPr="009D767A" w:rsidRDefault="00EE0B46" w:rsidP="009D767A">
                <w:pPr>
                  <w:tabs>
                    <w:tab w:val="center" w:pos="5387"/>
                    <w:tab w:val="right" w:pos="10632"/>
                  </w:tabs>
                  <w:ind w:left="284" w:right="-63"/>
                  <w:rPr>
                    <w:color w:val="FFFFFF"/>
                    <w:lang w:val="en-GB"/>
                  </w:rPr>
                </w:pPr>
                <w:r>
                  <w:rPr>
                    <w:color w:val="FFFFFF"/>
                    <w:lang w:val="en-GB"/>
                  </w:rPr>
                  <w:t>Unaudited Annual Figures 2017</w:t>
                </w:r>
                <w:r w:rsidRPr="009D767A">
                  <w:rPr>
                    <w:color w:val="FFFFFF"/>
                    <w:lang w:val="en-GB"/>
                  </w:rPr>
                  <w:tab/>
                </w:r>
                <w:r w:rsidR="00843E0D" w:rsidRPr="009D767A">
                  <w:rPr>
                    <w:color w:val="FFFFFF"/>
                  </w:rPr>
                  <w:fldChar w:fldCharType="begin"/>
                </w:r>
                <w:r w:rsidRPr="009D767A">
                  <w:rPr>
                    <w:color w:val="FFFFFF"/>
                    <w:lang w:val="en-GB"/>
                  </w:rPr>
                  <w:instrText xml:space="preserve"> PAGE   \* MERGEFORMAT </w:instrText>
                </w:r>
                <w:r w:rsidR="00843E0D" w:rsidRPr="009D767A">
                  <w:rPr>
                    <w:color w:val="FFFFFF"/>
                  </w:rPr>
                  <w:fldChar w:fldCharType="separate"/>
                </w:r>
                <w:r w:rsidR="000B790D">
                  <w:rPr>
                    <w:noProof/>
                    <w:color w:val="FFFFFF"/>
                    <w:lang w:val="en-GB"/>
                  </w:rPr>
                  <w:t>1</w:t>
                </w:r>
                <w:r w:rsidR="00843E0D" w:rsidRPr="009D767A">
                  <w:rPr>
                    <w:color w:val="FFFFFF"/>
                  </w:rPr>
                  <w:fldChar w:fldCharType="end"/>
                </w:r>
                <w:r w:rsidRPr="009D767A">
                  <w:rPr>
                    <w:color w:val="FFFFFF"/>
                    <w:lang w:val="en-GB"/>
                  </w:rPr>
                  <w:tab/>
                </w:r>
                <w:r>
                  <w:rPr>
                    <w:color w:val="FFFFFF"/>
                    <w:lang w:val="en-GB"/>
                  </w:rPr>
                  <w:t xml:space="preserve"> </w:t>
                </w:r>
                <w:proofErr w:type="spellStart"/>
                <w:r>
                  <w:rPr>
                    <w:color w:val="FFFFFF"/>
                    <w:lang w:val="en-GB"/>
                  </w:rPr>
                  <w:t>RoodMicrotec</w:t>
                </w:r>
                <w:proofErr w:type="spellEnd"/>
                <w:r>
                  <w:rPr>
                    <w:color w:val="FFFFFF"/>
                    <w:lang w:val="en-GB"/>
                  </w:rPr>
                  <w:t xml:space="preserve"> </w:t>
                </w:r>
                <w:r w:rsidRPr="009D767A">
                  <w:rPr>
                    <w:color w:val="FFFFFF"/>
                    <w:lang w:val="en-GB"/>
                  </w:rPr>
                  <w:t>Press Release</w:t>
                </w:r>
              </w:p>
              <w:p w:rsidR="00EE0B46" w:rsidRPr="00F33608" w:rsidRDefault="00EE0B46" w:rsidP="00657E90">
                <w:pPr>
                  <w:ind w:right="-205"/>
                  <w:rPr>
                    <w:lang w:val="en-GB"/>
                  </w:rPr>
                </w:pPr>
              </w:p>
            </w:txbxContent>
          </v:textbox>
        </v:shape>
      </w:pict>
    </w:r>
    <w:r w:rsidR="00EE0B46">
      <w:rPr>
        <w:noProof/>
        <w:lang w:eastAsia="de-DE"/>
      </w:rPr>
      <w:drawing>
        <wp:inline distT="0" distB="0" distL="0" distR="0">
          <wp:extent cx="7145076" cy="286247"/>
          <wp:effectExtent l="19050" t="0" r="0" b="0"/>
          <wp:docPr id="2"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148521" cy="28638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0B46" w:rsidRDefault="00EE0B46" w:rsidP="00487DE4">
      <w:pPr>
        <w:spacing w:after="0" w:line="240" w:lineRule="auto"/>
      </w:pPr>
      <w:r>
        <w:separator/>
      </w:r>
    </w:p>
  </w:footnote>
  <w:footnote w:type="continuationSeparator" w:id="0">
    <w:p w:rsidR="00EE0B46" w:rsidRDefault="00EE0B46" w:rsidP="00487D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E0B46" w:rsidRDefault="00843E0D" w:rsidP="00DC1818">
    <w:pPr>
      <w:pStyle w:val="Kopfzeile"/>
    </w:pPr>
    <w:r>
      <w:rPr>
        <w:noProof/>
        <w:lang w:eastAsia="de-DE"/>
      </w:rPr>
      <w:pict>
        <v:shapetype id="_x0000_t202" coordsize="21600,21600" o:spt="202" path="m,l,21600r21600,l21600,xe">
          <v:stroke joinstyle="miter"/>
          <v:path gradientshapeok="t" o:connecttype="rect"/>
        </v:shapetype>
        <v:shape id="_x0000_s2059" type="#_x0000_t202" style="position:absolute;margin-left:9pt;margin-top:-170.85pt;width:238.3pt;height:122.05pt;z-index:251661312" filled="f" stroked="f">
          <v:textbox style="mso-next-textbox:#_x0000_s2059" inset="0,0,0,0">
            <w:txbxContent>
              <w:p w:rsidR="00EE0B46" w:rsidRPr="00FE6420" w:rsidRDefault="00EE0B46" w:rsidP="006A787C">
                <w:pPr>
                  <w:spacing w:after="0" w:line="240" w:lineRule="auto"/>
                  <w:rPr>
                    <w:sz w:val="18"/>
                    <w:szCs w:val="18"/>
                    <w:lang w:val="en-GB"/>
                  </w:rPr>
                </w:pPr>
                <w:r w:rsidRPr="00FE6420">
                  <w:rPr>
                    <w:sz w:val="18"/>
                    <w:szCs w:val="18"/>
                    <w:lang w:val="en-GB"/>
                  </w:rPr>
                  <w:t xml:space="preserve">Martin </w:t>
                </w:r>
                <w:proofErr w:type="spellStart"/>
                <w:r w:rsidRPr="00FE6420">
                  <w:rPr>
                    <w:sz w:val="18"/>
                    <w:szCs w:val="18"/>
                    <w:lang w:val="en-GB"/>
                  </w:rPr>
                  <w:t>Sallenhag</w:t>
                </w:r>
                <w:proofErr w:type="spellEnd"/>
                <w:r w:rsidRPr="00FE6420">
                  <w:rPr>
                    <w:sz w:val="18"/>
                    <w:szCs w:val="18"/>
                    <w:lang w:val="en-GB"/>
                  </w:rPr>
                  <w:t>, CEO</w:t>
                </w:r>
              </w:p>
              <w:p w:rsidR="00EE0B46" w:rsidRPr="00FE6420" w:rsidRDefault="00EE0B46" w:rsidP="006A787C">
                <w:pPr>
                  <w:spacing w:after="0" w:line="240" w:lineRule="auto"/>
                  <w:rPr>
                    <w:sz w:val="18"/>
                    <w:szCs w:val="18"/>
                    <w:lang w:val="en-GB"/>
                  </w:rPr>
                </w:pPr>
                <w:proofErr w:type="spellStart"/>
                <w:r w:rsidRPr="00FE6420">
                  <w:rPr>
                    <w:sz w:val="18"/>
                    <w:szCs w:val="18"/>
                    <w:lang w:val="en-GB"/>
                  </w:rPr>
                  <w:t>Reinhard</w:t>
                </w:r>
                <w:proofErr w:type="spellEnd"/>
                <w:r w:rsidRPr="00FE6420">
                  <w:rPr>
                    <w:sz w:val="18"/>
                    <w:szCs w:val="18"/>
                    <w:lang w:val="en-GB"/>
                  </w:rPr>
                  <w:t xml:space="preserve"> </w:t>
                </w:r>
                <w:proofErr w:type="spellStart"/>
                <w:r w:rsidRPr="00FE6420">
                  <w:rPr>
                    <w:sz w:val="18"/>
                    <w:szCs w:val="18"/>
                    <w:lang w:val="en-GB"/>
                  </w:rPr>
                  <w:t>Pusch</w:t>
                </w:r>
                <w:proofErr w:type="spellEnd"/>
                <w:r w:rsidRPr="00FE6420">
                  <w:rPr>
                    <w:sz w:val="18"/>
                    <w:szCs w:val="18"/>
                    <w:lang w:val="en-GB"/>
                  </w:rPr>
                  <w:t>, COO</w:t>
                </w:r>
              </w:p>
              <w:p w:rsidR="00EE0B46" w:rsidRPr="00FE6420" w:rsidRDefault="00EE0B46" w:rsidP="006A787C">
                <w:pPr>
                  <w:spacing w:after="0" w:line="240" w:lineRule="auto"/>
                  <w:rPr>
                    <w:sz w:val="18"/>
                    <w:szCs w:val="18"/>
                    <w:lang w:val="en-GB"/>
                  </w:rPr>
                </w:pPr>
                <w:proofErr w:type="spellStart"/>
                <w:r w:rsidRPr="00FE6420">
                  <w:rPr>
                    <w:sz w:val="18"/>
                    <w:szCs w:val="18"/>
                    <w:lang w:val="en-GB"/>
                  </w:rPr>
                  <w:t>Arvid</w:t>
                </w:r>
                <w:proofErr w:type="spellEnd"/>
                <w:r w:rsidRPr="00FE6420">
                  <w:rPr>
                    <w:sz w:val="18"/>
                    <w:szCs w:val="18"/>
                    <w:lang w:val="en-GB"/>
                  </w:rPr>
                  <w:t xml:space="preserve"> </w:t>
                </w:r>
                <w:proofErr w:type="spellStart"/>
                <w:r w:rsidRPr="00FE6420">
                  <w:rPr>
                    <w:sz w:val="18"/>
                    <w:szCs w:val="18"/>
                    <w:lang w:val="en-GB"/>
                  </w:rPr>
                  <w:t>Ladega</w:t>
                </w:r>
                <w:proofErr w:type="spellEnd"/>
                <w:r w:rsidRPr="00FE6420">
                  <w:rPr>
                    <w:sz w:val="18"/>
                    <w:szCs w:val="18"/>
                    <w:lang w:val="en-GB"/>
                  </w:rPr>
                  <w:t>, CFO</w:t>
                </w:r>
              </w:p>
              <w:p w:rsidR="00EE0B46" w:rsidRPr="00FE6420" w:rsidRDefault="00EE0B46" w:rsidP="006A787C">
                <w:pPr>
                  <w:spacing w:after="0" w:line="240" w:lineRule="auto"/>
                  <w:rPr>
                    <w:sz w:val="18"/>
                    <w:szCs w:val="18"/>
                    <w:lang w:val="en-GB"/>
                  </w:rPr>
                </w:pPr>
              </w:p>
              <w:p w:rsidR="00EE0B46" w:rsidRPr="009D767A" w:rsidRDefault="00EE0B46" w:rsidP="006A787C">
                <w:pPr>
                  <w:spacing w:after="0" w:line="240" w:lineRule="auto"/>
                  <w:rPr>
                    <w:b/>
                    <w:sz w:val="18"/>
                    <w:szCs w:val="18"/>
                    <w:lang w:val="nl-NL"/>
                  </w:rPr>
                </w:pPr>
                <w:r w:rsidRPr="001E3A10">
                  <w:rPr>
                    <w:b/>
                    <w:color w:val="B71234"/>
                    <w:sz w:val="18"/>
                    <w:szCs w:val="18"/>
                    <w:lang w:val="nl-NL"/>
                  </w:rPr>
                  <w:t>Rood</w:t>
                </w:r>
                <w:r w:rsidRPr="009D767A">
                  <w:rPr>
                    <w:b/>
                    <w:sz w:val="18"/>
                    <w:szCs w:val="18"/>
                    <w:lang w:val="nl-NL"/>
                  </w:rPr>
                  <w:t>Microtec N.V.</w:t>
                </w:r>
              </w:p>
              <w:p w:rsidR="00EE0B46" w:rsidRPr="00FE6420" w:rsidRDefault="00EE0B46" w:rsidP="006A787C">
                <w:pPr>
                  <w:spacing w:after="0" w:line="240" w:lineRule="auto"/>
                  <w:rPr>
                    <w:sz w:val="18"/>
                    <w:szCs w:val="18"/>
                    <w:lang w:val="nl-NL"/>
                  </w:rPr>
                </w:pPr>
                <w:r w:rsidRPr="00FE6420">
                  <w:rPr>
                    <w:sz w:val="18"/>
                    <w:szCs w:val="18"/>
                    <w:lang w:val="nl-NL"/>
                  </w:rPr>
                  <w:t>‘Rembrandt’; Dokter van Deenweg 58</w:t>
                </w:r>
              </w:p>
              <w:p w:rsidR="00EE0B46" w:rsidRPr="00FE6420" w:rsidRDefault="00EE0B46" w:rsidP="006A787C">
                <w:pPr>
                  <w:spacing w:after="0" w:line="240" w:lineRule="auto"/>
                  <w:rPr>
                    <w:sz w:val="18"/>
                    <w:szCs w:val="18"/>
                    <w:lang w:val="en-GB"/>
                  </w:rPr>
                </w:pPr>
                <w:r w:rsidRPr="00FE6420">
                  <w:rPr>
                    <w:sz w:val="18"/>
                    <w:szCs w:val="18"/>
                    <w:lang w:val="en-GB"/>
                  </w:rPr>
                  <w:t>NL-</w:t>
                </w:r>
                <w:r>
                  <w:rPr>
                    <w:sz w:val="18"/>
                    <w:szCs w:val="18"/>
                    <w:lang w:val="en-GB"/>
                  </w:rPr>
                  <w:t xml:space="preserve">8025 BC </w:t>
                </w:r>
                <w:r w:rsidRPr="00FE6420">
                  <w:rPr>
                    <w:sz w:val="18"/>
                    <w:szCs w:val="18"/>
                    <w:lang w:val="en-GB"/>
                  </w:rPr>
                  <w:t>Zwolle</w:t>
                </w:r>
              </w:p>
              <w:p w:rsidR="00EE0B46" w:rsidRPr="00FE6420" w:rsidRDefault="00EE0B46" w:rsidP="006A787C">
                <w:pPr>
                  <w:spacing w:after="0" w:line="240" w:lineRule="auto"/>
                  <w:rPr>
                    <w:sz w:val="18"/>
                    <w:szCs w:val="18"/>
                    <w:lang w:val="en-GB"/>
                  </w:rPr>
                </w:pPr>
              </w:p>
              <w:p w:rsidR="00EE0B46" w:rsidRPr="00FE6420" w:rsidRDefault="00EE0B46"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FE6420">
                  <w:rPr>
                    <w:rFonts w:asciiTheme="minorHAnsi" w:eastAsia="Arial" w:hAnsiTheme="minorHAnsi" w:cstheme="minorHAnsi"/>
                    <w:b/>
                    <w:color w:val="231F20"/>
                    <w:sz w:val="18"/>
                    <w:szCs w:val="18"/>
                    <w:lang w:val="nl-NL"/>
                  </w:rPr>
                  <w:t>+31 38 4215216</w:t>
                </w:r>
              </w:p>
              <w:p w:rsidR="00EE0B46" w:rsidRPr="00FE6420" w:rsidRDefault="00EE0B46"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1">
                  <w:r w:rsidRPr="00FE6420">
                    <w:rPr>
                      <w:rFonts w:asciiTheme="minorHAnsi" w:eastAsia="Arial" w:hAnsiTheme="minorHAnsi" w:cstheme="minorHAnsi"/>
                      <w:color w:val="231F20"/>
                      <w:sz w:val="18"/>
                      <w:szCs w:val="18"/>
                      <w:lang w:val="nl-NL"/>
                    </w:rPr>
                    <w:t>investor-relations@roodmicrotec.com</w:t>
                  </w:r>
                </w:hyperlink>
              </w:p>
              <w:p w:rsidR="00EE0B46" w:rsidRPr="00FE6420" w:rsidRDefault="00EE0B46"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v:textbox>
        </v:shape>
      </w:pict>
    </w:r>
    <w:r>
      <w:rPr>
        <w:noProof/>
        <w:lang w:eastAsia="de-DE"/>
      </w:rPr>
      <w:pict>
        <v:shape id="_x0000_s2061" type="#_x0000_t202" style="position:absolute;margin-left:1.85pt;margin-top:-39.4pt;width:520.1pt;height:27.7pt;z-index:251662336" filled="f" stroked="f">
          <v:textbox style="mso-next-textbox:#_x0000_s2061">
            <w:txbxContent>
              <w:p w:rsidR="00EE0B46" w:rsidRPr="00E878A9" w:rsidRDefault="00EE0B46" w:rsidP="00F33608">
                <w:pPr>
                  <w:tabs>
                    <w:tab w:val="right" w:pos="10206"/>
                  </w:tabs>
                  <w:rPr>
                    <w:rFonts w:asciiTheme="minorHAnsi" w:hAnsiTheme="minorHAnsi" w:cstheme="minorHAnsi"/>
                    <w:color w:val="FFFFFF" w:themeColor="background1"/>
                    <w:sz w:val="32"/>
                    <w:szCs w:val="32"/>
                  </w:rPr>
                </w:pPr>
                <w:proofErr w:type="spellStart"/>
                <w:r w:rsidRPr="009D767A">
                  <w:rPr>
                    <w:rFonts w:asciiTheme="minorHAnsi" w:hAnsiTheme="minorHAnsi" w:cstheme="minorHAnsi"/>
                    <w:color w:val="FFFFFF" w:themeColor="background1"/>
                    <w:sz w:val="22"/>
                  </w:rPr>
                  <w:t>Zwolle</w:t>
                </w:r>
                <w:proofErr w:type="spellEnd"/>
                <w:r w:rsidRPr="009D767A">
                  <w:rPr>
                    <w:rFonts w:asciiTheme="minorHAnsi" w:hAnsiTheme="minorHAnsi" w:cstheme="minorHAnsi"/>
                    <w:color w:val="FFFFFF" w:themeColor="background1"/>
                    <w:sz w:val="22"/>
                  </w:rPr>
                  <w:t xml:space="preserve"> – </w:t>
                </w:r>
                <w:r>
                  <w:rPr>
                    <w:rFonts w:asciiTheme="minorHAnsi" w:hAnsiTheme="minorHAnsi" w:cstheme="minorHAnsi"/>
                    <w:color w:val="FFFFFF" w:themeColor="background1"/>
                    <w:sz w:val="22"/>
                  </w:rPr>
                  <w:t>08</w:t>
                </w:r>
                <w:r w:rsidRPr="003E1F91">
                  <w:rPr>
                    <w:rFonts w:asciiTheme="minorHAnsi" w:hAnsiTheme="minorHAnsi" w:cstheme="minorHAnsi"/>
                    <w:color w:val="FFFFFF" w:themeColor="background1"/>
                    <w:sz w:val="22"/>
                    <w:vertAlign w:val="superscript"/>
                  </w:rPr>
                  <w:t>th</w:t>
                </w:r>
                <w:r>
                  <w:rPr>
                    <w:rFonts w:asciiTheme="minorHAnsi" w:hAnsiTheme="minorHAnsi" w:cstheme="minorHAnsi"/>
                    <w:color w:val="FFFFFF" w:themeColor="background1"/>
                    <w:sz w:val="22"/>
                  </w:rPr>
                  <w:t xml:space="preserve"> March </w:t>
                </w:r>
                <w:r w:rsidRPr="009D767A">
                  <w:rPr>
                    <w:rFonts w:asciiTheme="minorHAnsi" w:hAnsiTheme="minorHAnsi" w:cstheme="minorHAnsi"/>
                    <w:color w:val="FFFFFF" w:themeColor="background1"/>
                    <w:sz w:val="22"/>
                  </w:rPr>
                  <w:t>201</w:t>
                </w:r>
                <w:r>
                  <w:rPr>
                    <w:rFonts w:asciiTheme="minorHAnsi" w:hAnsiTheme="minorHAnsi" w:cstheme="minorHAnsi"/>
                    <w:color w:val="FFFFFF" w:themeColor="background1"/>
                    <w:sz w:val="22"/>
                  </w:rPr>
                  <w:t>8</w:t>
                </w:r>
                <w:r w:rsidRPr="00E878A9">
                  <w:rPr>
                    <w:color w:val="FFFFFF" w:themeColor="background1"/>
                  </w:rPr>
                  <w:tab/>
                </w:r>
                <w:r w:rsidRPr="00F33608">
                  <w:rPr>
                    <w:rFonts w:cstheme="minorHAnsi"/>
                    <w:b/>
                    <w:color w:val="FFFFFF" w:themeColor="background1"/>
                    <w:spacing w:val="20"/>
                    <w:sz w:val="32"/>
                    <w:szCs w:val="32"/>
                  </w:rPr>
                  <w:t>PRESS RELEASE</w:t>
                </w:r>
              </w:p>
            </w:txbxContent>
          </v:textbox>
        </v:shape>
      </w:pict>
    </w:r>
    <w:r w:rsidR="00EE0B46">
      <w:rPr>
        <w:noProof/>
        <w:lang w:eastAsia="de-DE"/>
      </w:rPr>
      <w:drawing>
        <wp:anchor distT="0" distB="0" distL="114300" distR="114300" simplePos="0" relativeHeight="251658240" behindDoc="1" locked="1" layoutInCell="1" allowOverlap="1">
          <wp:simplePos x="0" y="0"/>
          <wp:positionH relativeFrom="column">
            <wp:posOffset>3464560</wp:posOffset>
          </wp:positionH>
          <wp:positionV relativeFrom="paragraph">
            <wp:posOffset>-2353310</wp:posOffset>
          </wp:positionV>
          <wp:extent cx="3781425" cy="1828800"/>
          <wp:effectExtent l="19050" t="0" r="9525" b="0"/>
          <wp:wrapTight wrapText="bothSides">
            <wp:wrapPolygon edited="0">
              <wp:start x="-109" y="0"/>
              <wp:lineTo x="-109" y="21375"/>
              <wp:lineTo x="21654" y="21375"/>
              <wp:lineTo x="21654" y="0"/>
              <wp:lineTo x="-109" y="0"/>
            </wp:wrapPolygon>
          </wp:wrapTight>
          <wp:docPr id="9" name="Grafik 1" descr="Logo mit Sla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mit Slash.jpg"/>
                  <pic:cNvPicPr>
                    <a:picLocks noChangeAspect="1" noChangeArrowheads="1"/>
                  </pic:cNvPicPr>
                </pic:nvPicPr>
                <pic:blipFill>
                  <a:blip r:embed="rId2"/>
                  <a:srcRect/>
                  <a:stretch>
                    <a:fillRect/>
                  </a:stretch>
                </pic:blipFill>
                <pic:spPr bwMode="auto">
                  <a:xfrm>
                    <a:off x="0" y="0"/>
                    <a:ext cx="3781425" cy="1828800"/>
                  </a:xfrm>
                  <a:prstGeom prst="rect">
                    <a:avLst/>
                  </a:prstGeom>
                  <a:noFill/>
                  <a:ln w="9525">
                    <a:noFill/>
                    <a:miter lim="800000"/>
                    <a:headEnd/>
                    <a:tailEnd/>
                  </a:ln>
                </pic:spPr>
              </pic:pic>
            </a:graphicData>
          </a:graphic>
        </wp:anchor>
      </w:drawing>
    </w:r>
    <w:r w:rsidR="00EE0B46">
      <w:rPr>
        <w:noProof/>
        <w:lang w:eastAsia="de-DE"/>
      </w:rPr>
      <w:drawing>
        <wp:anchor distT="0" distB="0" distL="114300" distR="114300" simplePos="0" relativeHeight="251655168" behindDoc="1" locked="1" layoutInCell="1" allowOverlap="1">
          <wp:simplePos x="0" y="0"/>
          <wp:positionH relativeFrom="column">
            <wp:posOffset>-65405</wp:posOffset>
          </wp:positionH>
          <wp:positionV relativeFrom="paragraph">
            <wp:posOffset>-548640</wp:posOffset>
          </wp:positionV>
          <wp:extent cx="7048500" cy="532130"/>
          <wp:effectExtent l="19050" t="0" r="0" b="0"/>
          <wp:wrapTight wrapText="bothSides">
            <wp:wrapPolygon edited="0">
              <wp:start x="-58" y="0"/>
              <wp:lineTo x="-58" y="20878"/>
              <wp:lineTo x="21600" y="20878"/>
              <wp:lineTo x="21600" y="0"/>
              <wp:lineTo x="-58" y="0"/>
            </wp:wrapPolygon>
          </wp:wrapTight>
          <wp:docPr id="8"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3"/>
                  <a:srcRect/>
                  <a:stretch>
                    <a:fillRect/>
                  </a:stretch>
                </pic:blipFill>
                <pic:spPr bwMode="auto">
                  <a:xfrm>
                    <a:off x="0" y="0"/>
                    <a:ext cx="7048500" cy="53213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F4FED"/>
    <w:multiLevelType w:val="hybridMultilevel"/>
    <w:tmpl w:val="55CCE960"/>
    <w:lvl w:ilvl="0" w:tplc="89949936">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8BE6DCB"/>
    <w:multiLevelType w:val="hybridMultilevel"/>
    <w:tmpl w:val="102E097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6900A37"/>
    <w:multiLevelType w:val="hybridMultilevel"/>
    <w:tmpl w:val="21922F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B8C5159"/>
    <w:multiLevelType w:val="hybridMultilevel"/>
    <w:tmpl w:val="F04C2F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E2D3F73"/>
    <w:multiLevelType w:val="hybridMultilevel"/>
    <w:tmpl w:val="A40A91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58E3E2B"/>
    <w:multiLevelType w:val="hybridMultilevel"/>
    <w:tmpl w:val="85DCC0B8"/>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6">
    <w:nsid w:val="57470D11"/>
    <w:multiLevelType w:val="hybridMultilevel"/>
    <w:tmpl w:val="E4BA7632"/>
    <w:lvl w:ilvl="0" w:tplc="CCF6A786">
      <w:start w:val="1"/>
      <w:numFmt w:val="bullet"/>
      <w:lvlText w:val=""/>
      <w:lvlJc w:val="left"/>
      <w:pPr>
        <w:ind w:left="720"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5B6B73BB"/>
    <w:multiLevelType w:val="hybridMultilevel"/>
    <w:tmpl w:val="20AE275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95F37EA"/>
    <w:multiLevelType w:val="hybridMultilevel"/>
    <w:tmpl w:val="B56EE7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71DA131D"/>
    <w:multiLevelType w:val="hybridMultilevel"/>
    <w:tmpl w:val="D780D17C"/>
    <w:lvl w:ilvl="0" w:tplc="0407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nsid w:val="79DE7B4A"/>
    <w:multiLevelType w:val="hybridMultilevel"/>
    <w:tmpl w:val="0D06F6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4"/>
  </w:num>
  <w:num w:numId="4">
    <w:abstractNumId w:val="0"/>
  </w:num>
  <w:num w:numId="5">
    <w:abstractNumId w:val="2"/>
  </w:num>
  <w:num w:numId="6">
    <w:abstractNumId w:val="3"/>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9"/>
  </w:num>
  <w:num w:numId="10">
    <w:abstractNumId w:val="6"/>
  </w:num>
  <w:num w:numId="11">
    <w:abstractNumId w:val="1"/>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08"/>
  <w:hyphenationZone w:val="425"/>
  <w:characterSpacingControl w:val="doNotCompress"/>
  <w:hdrShapeDefaults>
    <o:shapedefaults v:ext="edit" spidmax="2065">
      <o:colormenu v:ext="edit" fillcolor="none" strokecolor="none"/>
    </o:shapedefaults>
    <o:shapelayout v:ext="edit">
      <o:idmap v:ext="edit" data="2"/>
    </o:shapelayout>
  </w:hdrShapeDefaults>
  <w:footnotePr>
    <w:footnote w:id="-1"/>
    <w:footnote w:id="0"/>
  </w:footnotePr>
  <w:endnotePr>
    <w:endnote w:id="-1"/>
    <w:endnote w:id="0"/>
  </w:endnotePr>
  <w:compat/>
  <w:rsids>
    <w:rsidRoot w:val="00FF65C5"/>
    <w:rsid w:val="000032BA"/>
    <w:rsid w:val="00025CC6"/>
    <w:rsid w:val="0005578B"/>
    <w:rsid w:val="00057DA6"/>
    <w:rsid w:val="0006071C"/>
    <w:rsid w:val="000B4D30"/>
    <w:rsid w:val="000B790D"/>
    <w:rsid w:val="000E2847"/>
    <w:rsid w:val="00127576"/>
    <w:rsid w:val="00142EC6"/>
    <w:rsid w:val="00161C05"/>
    <w:rsid w:val="001649FA"/>
    <w:rsid w:val="001720A4"/>
    <w:rsid w:val="00186B6E"/>
    <w:rsid w:val="001B036F"/>
    <w:rsid w:val="001C4809"/>
    <w:rsid w:val="001D1AF1"/>
    <w:rsid w:val="001E3A10"/>
    <w:rsid w:val="0020005B"/>
    <w:rsid w:val="002032DD"/>
    <w:rsid w:val="00207257"/>
    <w:rsid w:val="00255CD0"/>
    <w:rsid w:val="0027201E"/>
    <w:rsid w:val="00276FC8"/>
    <w:rsid w:val="002A0D07"/>
    <w:rsid w:val="002B3A96"/>
    <w:rsid w:val="002B40F6"/>
    <w:rsid w:val="002D5E7D"/>
    <w:rsid w:val="002F583B"/>
    <w:rsid w:val="00321862"/>
    <w:rsid w:val="0036342D"/>
    <w:rsid w:val="003A4B18"/>
    <w:rsid w:val="003A6DC1"/>
    <w:rsid w:val="003B675B"/>
    <w:rsid w:val="003B71F6"/>
    <w:rsid w:val="003B7A9E"/>
    <w:rsid w:val="003D5390"/>
    <w:rsid w:val="003D6A82"/>
    <w:rsid w:val="003E1F91"/>
    <w:rsid w:val="003E75B5"/>
    <w:rsid w:val="004152A2"/>
    <w:rsid w:val="00434690"/>
    <w:rsid w:val="00463E1E"/>
    <w:rsid w:val="0047010F"/>
    <w:rsid w:val="0048528F"/>
    <w:rsid w:val="00487DE4"/>
    <w:rsid w:val="00493CFF"/>
    <w:rsid w:val="004955AE"/>
    <w:rsid w:val="004A0C63"/>
    <w:rsid w:val="004C7650"/>
    <w:rsid w:val="004E2A2D"/>
    <w:rsid w:val="004F2691"/>
    <w:rsid w:val="004F4E0E"/>
    <w:rsid w:val="00503052"/>
    <w:rsid w:val="0050668E"/>
    <w:rsid w:val="005314DF"/>
    <w:rsid w:val="00571884"/>
    <w:rsid w:val="00573576"/>
    <w:rsid w:val="00575A1A"/>
    <w:rsid w:val="00595340"/>
    <w:rsid w:val="005A69F3"/>
    <w:rsid w:val="005B2C6E"/>
    <w:rsid w:val="005C7240"/>
    <w:rsid w:val="0060504B"/>
    <w:rsid w:val="006507EB"/>
    <w:rsid w:val="00657139"/>
    <w:rsid w:val="00657E90"/>
    <w:rsid w:val="00671C9D"/>
    <w:rsid w:val="00682B31"/>
    <w:rsid w:val="006A2DDA"/>
    <w:rsid w:val="006A5247"/>
    <w:rsid w:val="006A7255"/>
    <w:rsid w:val="006A787C"/>
    <w:rsid w:val="006B777C"/>
    <w:rsid w:val="006C4773"/>
    <w:rsid w:val="00732161"/>
    <w:rsid w:val="00737837"/>
    <w:rsid w:val="007443E1"/>
    <w:rsid w:val="00751D4F"/>
    <w:rsid w:val="00754913"/>
    <w:rsid w:val="007557BE"/>
    <w:rsid w:val="00774401"/>
    <w:rsid w:val="007815CD"/>
    <w:rsid w:val="007834C3"/>
    <w:rsid w:val="0079010F"/>
    <w:rsid w:val="00793CEB"/>
    <w:rsid w:val="007972CA"/>
    <w:rsid w:val="007B0C31"/>
    <w:rsid w:val="007B1FC8"/>
    <w:rsid w:val="007B49DB"/>
    <w:rsid w:val="007B640C"/>
    <w:rsid w:val="007D0FDD"/>
    <w:rsid w:val="007E731F"/>
    <w:rsid w:val="007F0493"/>
    <w:rsid w:val="00802B7C"/>
    <w:rsid w:val="00815117"/>
    <w:rsid w:val="008159F1"/>
    <w:rsid w:val="00820CB6"/>
    <w:rsid w:val="00831CBE"/>
    <w:rsid w:val="00843E0D"/>
    <w:rsid w:val="0087320B"/>
    <w:rsid w:val="00881D9A"/>
    <w:rsid w:val="00892457"/>
    <w:rsid w:val="008B3CE5"/>
    <w:rsid w:val="008C621D"/>
    <w:rsid w:val="00916D16"/>
    <w:rsid w:val="0094385B"/>
    <w:rsid w:val="009B2E69"/>
    <w:rsid w:val="009B4F9B"/>
    <w:rsid w:val="009C32BB"/>
    <w:rsid w:val="009D1A77"/>
    <w:rsid w:val="009D767A"/>
    <w:rsid w:val="00A41C13"/>
    <w:rsid w:val="00A60997"/>
    <w:rsid w:val="00A61864"/>
    <w:rsid w:val="00A74E8F"/>
    <w:rsid w:val="00A7714F"/>
    <w:rsid w:val="00AB303D"/>
    <w:rsid w:val="00AB38E8"/>
    <w:rsid w:val="00AE5FCE"/>
    <w:rsid w:val="00B0249B"/>
    <w:rsid w:val="00B107E9"/>
    <w:rsid w:val="00B12DF5"/>
    <w:rsid w:val="00B30686"/>
    <w:rsid w:val="00B379AD"/>
    <w:rsid w:val="00B50948"/>
    <w:rsid w:val="00B812F6"/>
    <w:rsid w:val="00B821EA"/>
    <w:rsid w:val="00BB7256"/>
    <w:rsid w:val="00BD28A6"/>
    <w:rsid w:val="00BF2556"/>
    <w:rsid w:val="00BF7D94"/>
    <w:rsid w:val="00C309CD"/>
    <w:rsid w:val="00C32FBA"/>
    <w:rsid w:val="00C42AA3"/>
    <w:rsid w:val="00C44C66"/>
    <w:rsid w:val="00C52BCD"/>
    <w:rsid w:val="00C713FE"/>
    <w:rsid w:val="00C81EDE"/>
    <w:rsid w:val="00CB0F85"/>
    <w:rsid w:val="00CC6004"/>
    <w:rsid w:val="00CE767D"/>
    <w:rsid w:val="00D10423"/>
    <w:rsid w:val="00D1348F"/>
    <w:rsid w:val="00D21343"/>
    <w:rsid w:val="00D23D98"/>
    <w:rsid w:val="00D26C35"/>
    <w:rsid w:val="00D61A83"/>
    <w:rsid w:val="00D63542"/>
    <w:rsid w:val="00D7156E"/>
    <w:rsid w:val="00D71E25"/>
    <w:rsid w:val="00D73A71"/>
    <w:rsid w:val="00D9366C"/>
    <w:rsid w:val="00DB20C9"/>
    <w:rsid w:val="00DB29E6"/>
    <w:rsid w:val="00DC1818"/>
    <w:rsid w:val="00DD0C2D"/>
    <w:rsid w:val="00DE3384"/>
    <w:rsid w:val="00DF2AFE"/>
    <w:rsid w:val="00E20165"/>
    <w:rsid w:val="00E20568"/>
    <w:rsid w:val="00E262F8"/>
    <w:rsid w:val="00E81A40"/>
    <w:rsid w:val="00E90550"/>
    <w:rsid w:val="00E930F8"/>
    <w:rsid w:val="00EE0B46"/>
    <w:rsid w:val="00F12E27"/>
    <w:rsid w:val="00F15FE0"/>
    <w:rsid w:val="00F33608"/>
    <w:rsid w:val="00F45F6A"/>
    <w:rsid w:val="00F57F65"/>
    <w:rsid w:val="00F60125"/>
    <w:rsid w:val="00FA460A"/>
    <w:rsid w:val="00FB2BA3"/>
    <w:rsid w:val="00FC010D"/>
    <w:rsid w:val="00FC2A3C"/>
    <w:rsid w:val="00FC3035"/>
    <w:rsid w:val="00FC3DC8"/>
    <w:rsid w:val="00FD3B4C"/>
    <w:rsid w:val="00FD5E78"/>
    <w:rsid w:val="00FE6420"/>
    <w:rsid w:val="00FF65C5"/>
    <w:rsid w:val="00FF7423"/>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PR standard text"/>
    <w:qFormat/>
    <w:rsid w:val="002A0D07"/>
    <w:pPr>
      <w:spacing w:after="120" w:line="276" w:lineRule="auto"/>
    </w:pPr>
    <w:rPr>
      <w:szCs w:val="22"/>
      <w:lang w:eastAsia="en-US"/>
    </w:rPr>
  </w:style>
  <w:style w:type="paragraph" w:styleId="berschrift1">
    <w:name w:val="heading 1"/>
    <w:aliases w:val="PR überschrift 1"/>
    <w:basedOn w:val="Standard"/>
    <w:next w:val="Standard"/>
    <w:link w:val="berschrift1Zchn"/>
    <w:autoRedefine/>
    <w:uiPriority w:val="9"/>
    <w:qFormat/>
    <w:rsid w:val="001C4809"/>
    <w:pPr>
      <w:keepNext/>
      <w:keepLines/>
      <w:tabs>
        <w:tab w:val="left" w:pos="10555"/>
      </w:tabs>
      <w:spacing w:after="480"/>
      <w:ind w:left="280" w:right="-284"/>
      <w:outlineLvl w:val="0"/>
    </w:pPr>
    <w:rPr>
      <w:rFonts w:eastAsiaTheme="majorEastAsia" w:cstheme="majorBidi"/>
      <w:b/>
      <w:bCs/>
      <w:color w:val="B71234"/>
      <w:sz w:val="28"/>
      <w:szCs w:val="28"/>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87D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style>
  <w:style w:type="character" w:customStyle="1" w:styleId="berschrift1Zchn">
    <w:name w:val="Überschrift 1 Zchn"/>
    <w:aliases w:val="PR überschrift 1 Zchn"/>
    <w:basedOn w:val="Absatz-Standardschriftart"/>
    <w:link w:val="berschrift1"/>
    <w:uiPriority w:val="9"/>
    <w:rsid w:val="001C4809"/>
    <w:rPr>
      <w:rFonts w:eastAsiaTheme="majorEastAsia" w:cstheme="majorBidi"/>
      <w:b/>
      <w:bCs/>
      <w:color w:val="B71234"/>
      <w:sz w:val="28"/>
      <w:szCs w:val="28"/>
      <w:lang w:val="en-GB" w:eastAsia="en-GB"/>
    </w:rPr>
  </w:style>
  <w:style w:type="table" w:styleId="Tabellengitternetz">
    <w:name w:val="Table Grid"/>
    <w:basedOn w:val="NormaleTabelle"/>
    <w:uiPriority w:val="59"/>
    <w:rsid w:val="00D7156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mentarzeichen">
    <w:name w:val="annotation reference"/>
    <w:basedOn w:val="Absatz-Standardschriftart"/>
    <w:uiPriority w:val="99"/>
    <w:semiHidden/>
    <w:unhideWhenUsed/>
    <w:rsid w:val="00BB7256"/>
    <w:rPr>
      <w:sz w:val="16"/>
      <w:szCs w:val="16"/>
    </w:rPr>
  </w:style>
  <w:style w:type="paragraph" w:styleId="Kommentartext">
    <w:name w:val="annotation text"/>
    <w:basedOn w:val="Standard"/>
    <w:link w:val="KommentartextZchn"/>
    <w:uiPriority w:val="99"/>
    <w:semiHidden/>
    <w:unhideWhenUsed/>
    <w:rsid w:val="00BB7256"/>
    <w:pPr>
      <w:spacing w:line="240" w:lineRule="auto"/>
    </w:pPr>
    <w:rPr>
      <w:szCs w:val="20"/>
    </w:rPr>
  </w:style>
  <w:style w:type="character" w:customStyle="1" w:styleId="KommentartextZchn">
    <w:name w:val="Kommentartext Zchn"/>
    <w:basedOn w:val="Absatz-Standardschriftart"/>
    <w:link w:val="Kommentartext"/>
    <w:uiPriority w:val="99"/>
    <w:semiHidden/>
    <w:rsid w:val="00BB7256"/>
    <w:rPr>
      <w:lang w:eastAsia="en-US"/>
    </w:rPr>
  </w:style>
  <w:style w:type="paragraph" w:styleId="Kommentarthema">
    <w:name w:val="annotation subject"/>
    <w:basedOn w:val="Kommentartext"/>
    <w:next w:val="Kommentartext"/>
    <w:link w:val="KommentarthemaZchn"/>
    <w:uiPriority w:val="99"/>
    <w:semiHidden/>
    <w:unhideWhenUsed/>
    <w:rsid w:val="00BB7256"/>
    <w:rPr>
      <w:b/>
      <w:bCs/>
    </w:rPr>
  </w:style>
  <w:style w:type="character" w:customStyle="1" w:styleId="KommentarthemaZchn">
    <w:name w:val="Kommentarthema Zchn"/>
    <w:basedOn w:val="KommentartextZchn"/>
    <w:link w:val="Kommentarthema"/>
    <w:uiPriority w:val="99"/>
    <w:semiHidden/>
    <w:rsid w:val="00BB7256"/>
    <w:rPr>
      <w:b/>
      <w:bCs/>
    </w:rPr>
  </w:style>
  <w:style w:type="character" w:styleId="Fett">
    <w:name w:val="Strong"/>
    <w:basedOn w:val="Absatz-Standardschriftart"/>
    <w:uiPriority w:val="22"/>
    <w:qFormat/>
    <w:rsid w:val="003E1F91"/>
    <w:rPr>
      <w:b/>
      <w:bCs/>
    </w:rPr>
  </w:style>
  <w:style w:type="character" w:styleId="Hervorhebung">
    <w:name w:val="Emphasis"/>
    <w:basedOn w:val="Absatz-Standardschriftart"/>
    <w:uiPriority w:val="20"/>
    <w:qFormat/>
    <w:rsid w:val="003E1F91"/>
    <w:rPr>
      <w:i/>
      <w:iCs/>
    </w:rPr>
  </w:style>
</w:styles>
</file>

<file path=word/webSettings.xml><?xml version="1.0" encoding="utf-8"?>
<w:webSettings xmlns:r="http://schemas.openxmlformats.org/officeDocument/2006/relationships" xmlns:w="http://schemas.openxmlformats.org/wordprocessingml/2006/main">
  <w:divs>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roodmicrotec.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oodmicrotec.com" TargetMode="External"/><Relationship Id="rId4" Type="http://schemas.openxmlformats.org/officeDocument/2006/relationships/settings" Target="settings.xml"/><Relationship Id="rId9" Type="http://schemas.openxmlformats.org/officeDocument/2006/relationships/hyperlink" Target="mailto:investor-relations@roodmicrotec.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2.jpeg"/><Relationship Id="rId1" Type="http://schemas.openxmlformats.org/officeDocument/2006/relationships/hyperlink" Target="mailto:investor-relations@roodmicrote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RM-NV\PRESSE\Vorlagen\2017_E_PR_Vorlage_New%20design.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690021-902C-4E8B-96B3-4625D4FDB0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2017_E_PR_Vorlage_New design.dotx</Template>
  <TotalTime>0</TotalTime>
  <Pages>9</Pages>
  <Words>2451</Words>
  <Characters>15445</Characters>
  <Application>Microsoft Office Word</Application>
  <DocSecurity>0</DocSecurity>
  <Lines>128</Lines>
  <Paragraphs>35</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17861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bayerle@BAYERLE1-PC</dc:creator>
  <cp:lastModifiedBy>bayerle@BAYERLE1-PC</cp:lastModifiedBy>
  <cp:revision>2</cp:revision>
  <cp:lastPrinted>2017-11-08T10:57:00Z</cp:lastPrinted>
  <dcterms:created xsi:type="dcterms:W3CDTF">2018-03-07T15:13:00Z</dcterms:created>
  <dcterms:modified xsi:type="dcterms:W3CDTF">2018-03-07T15:13:00Z</dcterms:modified>
</cp:coreProperties>
</file>