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2E69" w:rsidRDefault="003E1F91" w:rsidP="00800E1B">
      <w:pPr>
        <w:pStyle w:val="berschrift1"/>
        <w:spacing w:after="0"/>
      </w:pPr>
      <w:r>
        <w:t>RoodMicrotec publiceert haar nog niet gecontroleerde jaarcijfers over 2017: Sterke toename van kasstroom uit bedrijfsactiviteiten en verbeterd nettoresultaat van EUR 1,2 miljoen hoger dan in 2016</w:t>
      </w:r>
    </w:p>
    <w:p w:rsidR="003E1F91" w:rsidRDefault="003E1F91" w:rsidP="00800E1B">
      <w:pPr>
        <w:pStyle w:val="Listenabsatz"/>
        <w:numPr>
          <w:ilvl w:val="0"/>
          <w:numId w:val="6"/>
        </w:numPr>
        <w:autoSpaceDE w:val="0"/>
        <w:autoSpaceDN w:val="0"/>
        <w:adjustRightInd w:val="0"/>
        <w:spacing w:before="240" w:after="0" w:line="240" w:lineRule="auto"/>
        <w:ind w:left="709" w:right="-142" w:hanging="387"/>
        <w:jc w:val="both"/>
        <w:rPr>
          <w:rFonts w:asciiTheme="minorHAnsi" w:hAnsiTheme="minorHAnsi" w:cstheme="minorHAnsi"/>
          <w:b/>
          <w:color w:val="000000"/>
          <w:szCs w:val="20"/>
        </w:rPr>
      </w:pPr>
      <w:r>
        <w:rPr>
          <w:rFonts w:asciiTheme="minorHAnsi" w:hAnsiTheme="minorHAnsi"/>
          <w:b/>
          <w:color w:val="000000"/>
          <w:szCs w:val="20"/>
        </w:rPr>
        <w:t>Sterke toename van de kasstroom uit operationele activiteiten, EUR 0,63 miljoen positief (2016: EUR 0,45 miljoen negatief)</w:t>
      </w:r>
    </w:p>
    <w:p w:rsidR="003E1F91" w:rsidRDefault="003E1F91" w:rsidP="003E1F91">
      <w:pPr>
        <w:pStyle w:val="Listenabsatz"/>
        <w:numPr>
          <w:ilvl w:val="0"/>
          <w:numId w:val="6"/>
        </w:numPr>
        <w:autoSpaceDE w:val="0"/>
        <w:autoSpaceDN w:val="0"/>
        <w:adjustRightInd w:val="0"/>
        <w:spacing w:before="240" w:after="0" w:line="240" w:lineRule="auto"/>
        <w:ind w:left="280" w:right="-142" w:firstLine="42"/>
        <w:jc w:val="both"/>
        <w:rPr>
          <w:rFonts w:asciiTheme="minorHAnsi" w:hAnsiTheme="minorHAnsi" w:cstheme="minorHAnsi"/>
          <w:b/>
          <w:color w:val="000000"/>
          <w:szCs w:val="20"/>
        </w:rPr>
      </w:pPr>
      <w:r>
        <w:rPr>
          <w:rFonts w:asciiTheme="minorHAnsi" w:hAnsiTheme="minorHAnsi"/>
          <w:b/>
          <w:color w:val="000000"/>
          <w:szCs w:val="20"/>
        </w:rPr>
        <w:t xml:space="preserve">Positief resultaat over het jaar vóór eenmalige </w:t>
      </w:r>
      <w:r w:rsidR="002966AC">
        <w:rPr>
          <w:rFonts w:asciiTheme="minorHAnsi" w:hAnsiTheme="minorHAnsi"/>
          <w:b/>
          <w:color w:val="000000"/>
          <w:szCs w:val="20"/>
        </w:rPr>
        <w:t>kosten afvloeingsvergoeding</w:t>
      </w:r>
      <w:r>
        <w:rPr>
          <w:rFonts w:asciiTheme="minorHAnsi" w:hAnsiTheme="minorHAnsi"/>
          <w:b/>
          <w:color w:val="000000"/>
          <w:szCs w:val="20"/>
        </w:rPr>
        <w:t xml:space="preserve"> van EUR 0,4 miljoen</w:t>
      </w:r>
    </w:p>
    <w:p w:rsidR="003E1F91" w:rsidRPr="003E1F91" w:rsidRDefault="003E1F91" w:rsidP="003E1F91">
      <w:pPr>
        <w:pStyle w:val="Listenabsatz"/>
        <w:numPr>
          <w:ilvl w:val="0"/>
          <w:numId w:val="6"/>
        </w:numPr>
        <w:autoSpaceDE w:val="0"/>
        <w:autoSpaceDN w:val="0"/>
        <w:adjustRightInd w:val="0"/>
        <w:spacing w:line="240" w:lineRule="auto"/>
        <w:ind w:left="280" w:right="-142" w:firstLine="42"/>
        <w:jc w:val="both"/>
        <w:rPr>
          <w:rFonts w:asciiTheme="minorHAnsi" w:eastAsia="CIDFont+F1" w:hAnsiTheme="minorHAnsi" w:cstheme="minorHAnsi"/>
          <w:szCs w:val="20"/>
        </w:rPr>
      </w:pPr>
      <w:r>
        <w:rPr>
          <w:rFonts w:asciiTheme="minorHAnsi" w:hAnsiTheme="minorHAnsi"/>
          <w:b/>
          <w:szCs w:val="20"/>
        </w:rPr>
        <w:t>Omzet 16% hoger naar EUR 12,1 miljoen</w:t>
      </w:r>
    </w:p>
    <w:p w:rsidR="003E1F91" w:rsidRPr="003E1F91" w:rsidRDefault="003E1F91" w:rsidP="003E1F91">
      <w:pPr>
        <w:spacing w:line="240" w:lineRule="auto"/>
        <w:ind w:left="284"/>
        <w:jc w:val="both"/>
        <w:rPr>
          <w:rFonts w:asciiTheme="minorHAnsi" w:hAnsiTheme="minorHAnsi" w:cstheme="minorHAnsi"/>
          <w:szCs w:val="20"/>
          <w:lang w:val="en-GB"/>
        </w:rPr>
      </w:pPr>
    </w:p>
    <w:p w:rsidR="003E1F91" w:rsidRPr="003E1F91" w:rsidRDefault="003E1F91" w:rsidP="003E1F91">
      <w:pPr>
        <w:spacing w:before="240"/>
        <w:ind w:left="284"/>
        <w:jc w:val="both"/>
        <w:rPr>
          <w:rFonts w:asciiTheme="minorHAnsi" w:hAnsiTheme="minorHAnsi" w:cstheme="minorHAnsi"/>
          <w:szCs w:val="20"/>
        </w:rPr>
      </w:pPr>
      <w:r>
        <w:rPr>
          <w:rFonts w:asciiTheme="minorHAnsi" w:hAnsiTheme="minorHAnsi"/>
          <w:color w:val="B71234"/>
          <w:szCs w:val="20"/>
        </w:rPr>
        <w:t>Rood</w:t>
      </w:r>
      <w:r>
        <w:rPr>
          <w:rFonts w:asciiTheme="minorHAnsi" w:hAnsiTheme="minorHAnsi"/>
          <w:szCs w:val="20"/>
        </w:rPr>
        <w:t>Microtec N.V., de toonaangevende onafhankelijke Nederlandse leverancier van semiconductors en bijbehorende diensten, publiceert vandaag haar jaarcijfers over 2017, waarop nog geen accountantscontrole is toegepast. De onderneming rapporteert een positief resultaat over het jaar vóór eenmalige kosten</w:t>
      </w:r>
      <w:r w:rsidR="002966AC">
        <w:rPr>
          <w:rFonts w:asciiTheme="minorHAnsi" w:hAnsiTheme="minorHAnsi"/>
          <w:szCs w:val="20"/>
        </w:rPr>
        <w:t xml:space="preserve"> afvloeingsvergoeding</w:t>
      </w:r>
      <w:r>
        <w:rPr>
          <w:rFonts w:asciiTheme="minorHAnsi" w:hAnsiTheme="minorHAnsi"/>
          <w:szCs w:val="20"/>
        </w:rPr>
        <w:t xml:space="preserve">. </w:t>
      </w:r>
      <w:r>
        <w:rPr>
          <w:rFonts w:asciiTheme="minorHAnsi" w:hAnsiTheme="minorHAnsi"/>
          <w:color w:val="B71234"/>
          <w:szCs w:val="20"/>
        </w:rPr>
        <w:t>Rood</w:t>
      </w:r>
      <w:r>
        <w:rPr>
          <w:rFonts w:asciiTheme="minorHAnsi" w:hAnsiTheme="minorHAnsi"/>
          <w:szCs w:val="20"/>
        </w:rPr>
        <w:t xml:space="preserve">Microtec was ervan overtuigd dat het in 2017 een positief nettoresultaat zou boeken, maar als gevolg van een buitengewone eenmalige uitkering aan een oud-adviseur wist de onderneming haar nettoverlies slechts terug te brengen tot EUR 0,4 miljoen. Dit was echter een aanzienlijke verbetering ten opzichte van het nettoverlies van EUR 1,6 miljoen in het jaar ervoor. De omzet steeg 16% naar EUR 12,1 miljoen. Een andere sterke indicator is de positieve kasstroom uit operationele activiteiten die het bedrijf in 2017 wist te bereiken. </w:t>
      </w:r>
    </w:p>
    <w:p w:rsidR="003E1F91" w:rsidRPr="003E1F91" w:rsidRDefault="003E1F91" w:rsidP="003E1F91">
      <w:pPr>
        <w:ind w:left="284"/>
        <w:jc w:val="both"/>
        <w:rPr>
          <w:rFonts w:asciiTheme="minorHAnsi" w:hAnsiTheme="minorHAnsi" w:cstheme="minorHAnsi"/>
          <w:i/>
          <w:szCs w:val="20"/>
        </w:rPr>
      </w:pPr>
      <w:r>
        <w:rPr>
          <w:rFonts w:asciiTheme="minorHAnsi" w:hAnsiTheme="minorHAnsi"/>
          <w:szCs w:val="20"/>
        </w:rPr>
        <w:t xml:space="preserve">Martin Sallenhag, CEO van </w:t>
      </w:r>
      <w:r>
        <w:rPr>
          <w:rFonts w:asciiTheme="minorHAnsi" w:hAnsiTheme="minorHAnsi"/>
          <w:color w:val="B71234"/>
          <w:szCs w:val="20"/>
        </w:rPr>
        <w:t>Rood</w:t>
      </w:r>
      <w:r>
        <w:rPr>
          <w:rFonts w:asciiTheme="minorHAnsi" w:hAnsiTheme="minorHAnsi"/>
          <w:szCs w:val="20"/>
        </w:rPr>
        <w:t>Microtec:</w:t>
      </w:r>
      <w:r>
        <w:rPr>
          <w:rFonts w:asciiTheme="minorHAnsi" w:hAnsiTheme="minorHAnsi"/>
          <w:i/>
          <w:szCs w:val="20"/>
        </w:rPr>
        <w:t xml:space="preserve"> ‘2017 was een bijzonder goed jaar voor </w:t>
      </w:r>
      <w:r>
        <w:rPr>
          <w:rFonts w:asciiTheme="minorHAnsi" w:hAnsiTheme="minorHAnsi"/>
          <w:i/>
          <w:color w:val="B71234"/>
          <w:szCs w:val="20"/>
        </w:rPr>
        <w:t>Rood</w:t>
      </w:r>
      <w:r>
        <w:rPr>
          <w:rFonts w:asciiTheme="minorHAnsi" w:hAnsiTheme="minorHAnsi"/>
          <w:i/>
          <w:szCs w:val="20"/>
        </w:rPr>
        <w:t xml:space="preserve">Microtec. Wij hebben onze positie in de ASIC-market versterkt door contracten met nieuwe klanten; met de nieuwe apparatuur die wij in 2016 hebben aangeschaft bieden wij een goed afgestemde dienstenportefeuille. Daardoor hebben wij onze inkomsten sterk weten te verhogen en een positief bedrijfsresultaat geboekt. De toename van 55% in onze orderportefeuille vergeleken met het begin van 2017 samen met de sterke motivatie van de werknemers en de verhoogde efficiëntie van onze operaties geeft ons vertrouwen dat de groei duurzaam zal zijn.’ </w:t>
      </w:r>
    </w:p>
    <w:p w:rsidR="003E1F91" w:rsidRPr="005136E4" w:rsidRDefault="003E1F91" w:rsidP="00800E1B">
      <w:pPr>
        <w:spacing w:after="0" w:line="240" w:lineRule="auto"/>
        <w:ind w:left="284"/>
        <w:jc w:val="both"/>
        <w:rPr>
          <w:rFonts w:asciiTheme="minorHAnsi" w:hAnsiTheme="minorHAnsi" w:cstheme="minorHAnsi"/>
          <w:szCs w:val="20"/>
        </w:rPr>
      </w:pPr>
    </w:p>
    <w:p w:rsidR="003E1F91" w:rsidRPr="003E1F91" w:rsidRDefault="003E1F91" w:rsidP="00800E1B">
      <w:pPr>
        <w:spacing w:after="0"/>
        <w:ind w:left="284"/>
        <w:jc w:val="both"/>
        <w:rPr>
          <w:rFonts w:asciiTheme="minorHAnsi" w:hAnsiTheme="minorHAnsi" w:cstheme="minorHAnsi"/>
          <w:b/>
          <w:color w:val="C00000"/>
          <w:sz w:val="22"/>
        </w:rPr>
      </w:pPr>
      <w:r>
        <w:rPr>
          <w:rFonts w:asciiTheme="minorHAnsi" w:hAnsiTheme="minorHAnsi"/>
          <w:b/>
          <w:color w:val="C00000"/>
          <w:sz w:val="22"/>
        </w:rPr>
        <w:t>KERNPUNTEN 2017</w:t>
      </w:r>
    </w:p>
    <w:p w:rsidR="003E1F91" w:rsidRPr="003E1F91" w:rsidRDefault="003E1F91" w:rsidP="00800E1B">
      <w:pPr>
        <w:spacing w:after="0"/>
        <w:ind w:left="284"/>
        <w:jc w:val="both"/>
        <w:rPr>
          <w:rFonts w:asciiTheme="minorHAnsi" w:hAnsiTheme="minorHAnsi" w:cstheme="minorHAnsi"/>
          <w:b/>
          <w:color w:val="C00000"/>
          <w:sz w:val="22"/>
        </w:rPr>
      </w:pPr>
      <w:r>
        <w:rPr>
          <w:rFonts w:asciiTheme="minorHAnsi" w:hAnsiTheme="minorHAnsi"/>
          <w:b/>
          <w:color w:val="C00000"/>
          <w:sz w:val="22"/>
        </w:rPr>
        <w:t>Commercieel/operationeel</w:t>
      </w:r>
    </w:p>
    <w:p w:rsidR="003E1F91" w:rsidRPr="003E1F91" w:rsidRDefault="003E1F91" w:rsidP="00800E1B">
      <w:pPr>
        <w:numPr>
          <w:ilvl w:val="0"/>
          <w:numId w:val="9"/>
        </w:numPr>
        <w:spacing w:after="0"/>
        <w:contextualSpacing/>
        <w:jc w:val="both"/>
        <w:rPr>
          <w:rFonts w:asciiTheme="minorHAnsi" w:eastAsiaTheme="minorHAnsi" w:hAnsiTheme="minorHAnsi" w:cstheme="minorHAnsi"/>
          <w:szCs w:val="20"/>
        </w:rPr>
      </w:pPr>
      <w:r>
        <w:rPr>
          <w:rFonts w:asciiTheme="minorHAnsi" w:hAnsiTheme="minorHAnsi"/>
          <w:szCs w:val="20"/>
        </w:rPr>
        <w:t>Sterke omzettoename in alle business units.</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Sterke groei in twee grote marktsegmenten, automotive en industrial.</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Supply Chain Management raamovereenkomst getekend met vooraanstaande testapparatuurfabrikant Rohde &amp; Schwarz.</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Drie nieuwe supply chain orders in belangrijke Europese markten.</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 xml:space="preserve">Nieuw foundry ecosysteem tussen </w:t>
      </w:r>
      <w:r>
        <w:rPr>
          <w:rFonts w:asciiTheme="minorHAnsi" w:hAnsiTheme="minorHAnsi"/>
          <w:color w:val="B71234"/>
          <w:szCs w:val="20"/>
        </w:rPr>
        <w:t>Rood</w:t>
      </w:r>
      <w:r>
        <w:rPr>
          <w:rFonts w:asciiTheme="minorHAnsi" w:hAnsiTheme="minorHAnsi"/>
          <w:szCs w:val="20"/>
        </w:rPr>
        <w:t>Microtec, ams en Fraunhofer instituut biedt oplossingen voor ontwerpdiensten, testen en fabricage van ASICs.</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 xml:space="preserve">Productiefase van twee grote SCM-projecten </w:t>
      </w:r>
      <w:r w:rsidR="002F6F29">
        <w:rPr>
          <w:rFonts w:asciiTheme="minorHAnsi" w:hAnsiTheme="minorHAnsi"/>
          <w:szCs w:val="20"/>
        </w:rPr>
        <w:t>gaan van start</w:t>
      </w:r>
      <w:r>
        <w:rPr>
          <w:rFonts w:asciiTheme="minorHAnsi" w:hAnsiTheme="minorHAnsi"/>
          <w:szCs w:val="20"/>
        </w:rPr>
        <w:t xml:space="preserve">, de klant </w:t>
      </w:r>
      <w:r w:rsidR="002F6F29">
        <w:rPr>
          <w:rFonts w:asciiTheme="minorHAnsi" w:hAnsiTheme="minorHAnsi"/>
          <w:szCs w:val="20"/>
        </w:rPr>
        <w:t xml:space="preserve">verlengt </w:t>
      </w:r>
      <w:r>
        <w:rPr>
          <w:rFonts w:asciiTheme="minorHAnsi" w:hAnsiTheme="minorHAnsi"/>
          <w:szCs w:val="20"/>
        </w:rPr>
        <w:t>de levensduur van een healthcare-project tot 15 jaar.</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Twee nieuwe orders op het gebied van optoelektronica; deze vertegenwoordigen een waarde van</w:t>
      </w:r>
      <w:r w:rsidR="002F6F29">
        <w:rPr>
          <w:rFonts w:asciiTheme="minorHAnsi" w:hAnsiTheme="minorHAnsi"/>
          <w:szCs w:val="20"/>
        </w:rPr>
        <w:t xml:space="preserve"> ruim</w:t>
      </w:r>
      <w:r>
        <w:rPr>
          <w:rFonts w:asciiTheme="minorHAnsi" w:hAnsiTheme="minorHAnsi"/>
          <w:szCs w:val="20"/>
        </w:rPr>
        <w:t xml:space="preserve"> 250.000 euro.</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Via</w:t>
      </w:r>
      <w:r w:rsidR="002F6F29">
        <w:rPr>
          <w:rFonts w:asciiTheme="minorHAnsi" w:hAnsiTheme="minorHAnsi"/>
          <w:szCs w:val="20"/>
        </w:rPr>
        <w:t xml:space="preserve"> </w:t>
      </w:r>
      <w:r>
        <w:rPr>
          <w:rFonts w:asciiTheme="minorHAnsi" w:hAnsiTheme="minorHAnsi"/>
          <w:szCs w:val="20"/>
        </w:rPr>
        <w:t>EuroPAT-MASIP project ECSEL</w:t>
      </w:r>
      <w:r w:rsidR="002F6F29">
        <w:rPr>
          <w:rFonts w:asciiTheme="minorHAnsi" w:hAnsiTheme="minorHAnsi"/>
          <w:szCs w:val="20"/>
        </w:rPr>
        <w:t>-</w:t>
      </w:r>
      <w:r>
        <w:rPr>
          <w:rFonts w:asciiTheme="minorHAnsi" w:hAnsiTheme="minorHAnsi"/>
          <w:szCs w:val="20"/>
        </w:rPr>
        <w:t>financiering binnengehaald om semiconductor packaging terug te brengen naar Europa.</w:t>
      </w:r>
    </w:p>
    <w:p w:rsidR="003E1F91" w:rsidRPr="003E1F91" w:rsidRDefault="003E1F91" w:rsidP="007972CA">
      <w:pPr>
        <w:numPr>
          <w:ilvl w:val="0"/>
          <w:numId w:val="9"/>
        </w:numPr>
        <w:spacing w:after="160"/>
        <w:contextualSpacing/>
        <w:jc w:val="both"/>
        <w:rPr>
          <w:rFonts w:asciiTheme="minorHAnsi" w:eastAsiaTheme="minorHAnsi" w:hAnsiTheme="minorHAnsi" w:cstheme="minorHAnsi"/>
          <w:szCs w:val="20"/>
        </w:rPr>
      </w:pPr>
      <w:r>
        <w:rPr>
          <w:rFonts w:asciiTheme="minorHAnsi" w:hAnsiTheme="minorHAnsi"/>
          <w:szCs w:val="20"/>
        </w:rPr>
        <w:t>Nieuwe website gelanceerd – modern, innovatief en aantrekkelijk.</w:t>
      </w:r>
    </w:p>
    <w:p w:rsidR="003E1F91" w:rsidRPr="003E1F91" w:rsidRDefault="003E1F91" w:rsidP="003E1F91">
      <w:pPr>
        <w:spacing w:after="200"/>
        <w:ind w:left="284"/>
        <w:jc w:val="both"/>
        <w:rPr>
          <w:rFonts w:asciiTheme="minorHAnsi" w:eastAsia="Times New Roman" w:hAnsiTheme="minorHAnsi" w:cstheme="minorHAnsi"/>
          <w:b/>
          <w:color w:val="C00000"/>
          <w:sz w:val="22"/>
        </w:rPr>
      </w:pPr>
      <w:r>
        <w:rPr>
          <w:rFonts w:asciiTheme="minorHAnsi" w:hAnsiTheme="minorHAnsi"/>
          <w:b/>
          <w:color w:val="C00000"/>
          <w:sz w:val="22"/>
        </w:rPr>
        <w:lastRenderedPageBreak/>
        <w:t xml:space="preserve">Financieel </w:t>
      </w:r>
    </w:p>
    <w:p w:rsidR="003E1F91" w:rsidRPr="003E1F91" w:rsidRDefault="00800E1B"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EUR</w:t>
      </w:r>
      <w:r w:rsidR="003E1F91">
        <w:rPr>
          <w:rFonts w:asciiTheme="minorHAnsi" w:hAnsiTheme="minorHAnsi"/>
          <w:szCs w:val="20"/>
        </w:rPr>
        <w:t xml:space="preserve"> 1</w:t>
      </w:r>
      <w:r w:rsidR="00304574">
        <w:rPr>
          <w:rFonts w:asciiTheme="minorHAnsi" w:hAnsiTheme="minorHAnsi"/>
          <w:szCs w:val="20"/>
        </w:rPr>
        <w:t>2</w:t>
      </w:r>
      <w:r w:rsidR="003E1F91">
        <w:rPr>
          <w:rFonts w:asciiTheme="minorHAnsi" w:hAnsiTheme="minorHAnsi"/>
          <w:szCs w:val="20"/>
        </w:rPr>
        <w:t>,</w:t>
      </w:r>
      <w:r w:rsidR="00304574">
        <w:rPr>
          <w:rFonts w:asciiTheme="minorHAnsi" w:hAnsiTheme="minorHAnsi"/>
          <w:szCs w:val="20"/>
        </w:rPr>
        <w:t>1</w:t>
      </w:r>
      <w:r w:rsidR="003E1F91">
        <w:rPr>
          <w:rFonts w:asciiTheme="minorHAnsi" w:hAnsiTheme="minorHAnsi"/>
          <w:szCs w:val="20"/>
        </w:rPr>
        <w:t xml:space="preserve"> miljoen omzet in 2017; 16% toename vergeleken met 2016 (EUR 10,5 miljoen).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Nettoschuld bleef gelijk op EUR 2,4 miljoen (2016: EUR 2,4 miljoen).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EBITDA: EUR 0,60 miljoen positief (2016: EUR 0,31 miljoen negatief)</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EBIT (bedrijfsresultaat) EUR 0,41 miljoen negatief (2016: EUR 1,34 miljoen negatief)</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Nettowinst: EUR 0,390 miljoen negatief (2016: EUR 1,578 miljoen negatief).</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Solvabiliteit omhoog naar 31% (2016: 28%).</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Het balanstotaal nam toe tot EUR 15,6 miljoen (2016: 14,7 miljoen).</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 xml:space="preserve">Eind december is Philip Nijenhuis afgetreden als adviseur; als gevolg hiervan is er een eenmalige </w:t>
      </w:r>
      <w:r w:rsidR="00AD6F1E">
        <w:rPr>
          <w:rFonts w:asciiTheme="minorHAnsi" w:hAnsiTheme="minorHAnsi"/>
          <w:szCs w:val="20"/>
        </w:rPr>
        <w:t>kosten</w:t>
      </w:r>
      <w:r>
        <w:rPr>
          <w:rFonts w:asciiTheme="minorHAnsi" w:hAnsiTheme="minorHAnsi"/>
          <w:szCs w:val="20"/>
        </w:rPr>
        <w:t xml:space="preserve">post </w:t>
      </w:r>
      <w:r w:rsidR="0082705D">
        <w:rPr>
          <w:rFonts w:asciiTheme="minorHAnsi" w:hAnsiTheme="minorHAnsi"/>
          <w:szCs w:val="20"/>
        </w:rPr>
        <w:t xml:space="preserve">van een afvloeingsregeling </w:t>
      </w:r>
      <w:r>
        <w:rPr>
          <w:rFonts w:asciiTheme="minorHAnsi" w:hAnsiTheme="minorHAnsi"/>
          <w:szCs w:val="20"/>
        </w:rPr>
        <w:t>van EUR 0,40 miljoen verwerkt.</w:t>
      </w:r>
    </w:p>
    <w:p w:rsidR="003E1F91" w:rsidRPr="003E1F91" w:rsidRDefault="003E1F91" w:rsidP="003E1F91">
      <w:pPr>
        <w:numPr>
          <w:ilvl w:val="0"/>
          <w:numId w:val="10"/>
        </w:numPr>
        <w:tabs>
          <w:tab w:val="left" w:pos="709"/>
        </w:tabs>
        <w:spacing w:after="0"/>
        <w:jc w:val="both"/>
        <w:rPr>
          <w:rFonts w:asciiTheme="minorHAnsi" w:eastAsia="Times New Roman" w:hAnsiTheme="minorHAnsi" w:cstheme="minorHAnsi"/>
          <w:szCs w:val="20"/>
        </w:rPr>
      </w:pPr>
      <w:r>
        <w:rPr>
          <w:rFonts w:asciiTheme="minorHAnsi" w:hAnsiTheme="minorHAnsi"/>
          <w:szCs w:val="20"/>
        </w:rPr>
        <w:t>De</w:t>
      </w:r>
      <w:r w:rsidR="00EB2BDD">
        <w:rPr>
          <w:rFonts w:asciiTheme="minorHAnsi" w:hAnsiTheme="minorHAnsi"/>
          <w:szCs w:val="20"/>
        </w:rPr>
        <w:t xml:space="preserve"> </w:t>
      </w:r>
      <w:r>
        <w:rPr>
          <w:rFonts w:asciiTheme="minorHAnsi" w:hAnsiTheme="minorHAnsi"/>
          <w:szCs w:val="20"/>
        </w:rPr>
        <w:t xml:space="preserve">fondsbeleggingen </w:t>
      </w:r>
      <w:r w:rsidR="00BC65F5">
        <w:rPr>
          <w:rFonts w:asciiTheme="minorHAnsi" w:hAnsiTheme="minorHAnsi"/>
          <w:szCs w:val="20"/>
        </w:rPr>
        <w:t>bij Plentum</w:t>
      </w:r>
      <w:r w:rsidR="000C211C">
        <w:rPr>
          <w:rFonts w:asciiTheme="minorHAnsi" w:hAnsiTheme="minorHAnsi"/>
          <w:szCs w:val="20"/>
        </w:rPr>
        <w:t xml:space="preserve"> </w:t>
      </w:r>
      <w:r>
        <w:rPr>
          <w:rFonts w:asciiTheme="minorHAnsi" w:hAnsiTheme="minorHAnsi"/>
          <w:szCs w:val="20"/>
        </w:rPr>
        <w:t>met betrekking tot de pensioenvoorzieningen werden met EUR 0,35 miljoen afgewaardeerd vanwege wijzigingen in de waardering van de portefeuille.</w:t>
      </w:r>
    </w:p>
    <w:p w:rsidR="003E1F91" w:rsidRPr="005136E4" w:rsidRDefault="003E1F91" w:rsidP="007972CA"/>
    <w:p w:rsidR="003E1F91" w:rsidRPr="003E1F91" w:rsidRDefault="003E1F91" w:rsidP="003E1F91">
      <w:pPr>
        <w:spacing w:after="200"/>
        <w:ind w:left="284"/>
        <w:jc w:val="both"/>
        <w:rPr>
          <w:rFonts w:asciiTheme="minorHAnsi" w:eastAsia="Times New Roman" w:hAnsiTheme="minorHAnsi" w:cstheme="minorHAnsi"/>
          <w:b/>
          <w:color w:val="B71234"/>
          <w:sz w:val="22"/>
        </w:rPr>
      </w:pPr>
      <w:r>
        <w:rPr>
          <w:rFonts w:asciiTheme="minorHAnsi" w:hAnsiTheme="minorHAnsi"/>
          <w:b/>
          <w:color w:val="B71234"/>
          <w:sz w:val="22"/>
        </w:rPr>
        <w:t xml:space="preserve">Kerngegevens  </w:t>
      </w:r>
    </w:p>
    <w:p w:rsidR="003E1F91" w:rsidRPr="003E1F91" w:rsidRDefault="003E1F91" w:rsidP="0089247E">
      <w:pPr>
        <w:spacing w:after="0"/>
        <w:ind w:left="6521" w:hanging="6237"/>
        <w:rPr>
          <w:rFonts w:asciiTheme="minorHAnsi" w:eastAsia="Times New Roman" w:hAnsiTheme="minorHAnsi" w:cstheme="minorHAnsi"/>
          <w:szCs w:val="20"/>
        </w:rPr>
      </w:pPr>
      <w:r>
        <w:rPr>
          <w:rFonts w:asciiTheme="minorHAnsi" w:hAnsiTheme="minorHAnsi"/>
          <w:szCs w:val="20"/>
        </w:rPr>
        <w:t>(x EUR 1.000, tenzij anders vermeld)</w:t>
      </w:r>
      <w:r>
        <w:rPr>
          <w:rFonts w:asciiTheme="minorHAnsi" w:hAnsiTheme="minorHAnsi"/>
          <w:szCs w:val="20"/>
        </w:rPr>
        <w:br/>
        <w:t>Niet gecontroleerd</w:t>
      </w:r>
    </w:p>
    <w:tbl>
      <w:tblPr>
        <w:tblW w:w="9560" w:type="dxa"/>
        <w:tblInd w:w="284" w:type="dxa"/>
        <w:tblLook w:val="04A0"/>
      </w:tblPr>
      <w:tblGrid>
        <w:gridCol w:w="5560"/>
        <w:gridCol w:w="2000"/>
        <w:gridCol w:w="2000"/>
      </w:tblGrid>
      <w:tr w:rsidR="003E1F91" w:rsidRPr="003E1F91" w:rsidTr="003E1F91">
        <w:trPr>
          <w:trHeight w:val="450"/>
        </w:trPr>
        <w:tc>
          <w:tcPr>
            <w:tcW w:w="5560" w:type="dxa"/>
            <w:tcBorders>
              <w:top w:val="nil"/>
              <w:left w:val="nil"/>
              <w:bottom w:val="single" w:sz="8" w:space="0" w:color="auto"/>
              <w:right w:val="nil"/>
            </w:tcBorders>
            <w:shd w:val="clear" w:color="auto" w:fill="auto"/>
            <w:vAlign w:val="center"/>
            <w:hideMark/>
          </w:tcPr>
          <w:p w:rsidR="003E1F91" w:rsidRPr="005136E4" w:rsidRDefault="003E1F91" w:rsidP="003E1F91">
            <w:pPr>
              <w:spacing w:after="0" w:line="240" w:lineRule="auto"/>
              <w:jc w:val="both"/>
              <w:rPr>
                <w:rFonts w:asciiTheme="minorHAnsi" w:eastAsia="Times New Roman" w:hAnsiTheme="minorHAnsi" w:cstheme="minorHAnsi"/>
                <w:b/>
                <w:bCs/>
                <w:color w:val="000000"/>
                <w:szCs w:val="20"/>
              </w:rPr>
            </w:pPr>
          </w:p>
        </w:tc>
        <w:tc>
          <w:tcPr>
            <w:tcW w:w="200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2017</w:t>
            </w:r>
          </w:p>
        </w:tc>
        <w:tc>
          <w:tcPr>
            <w:tcW w:w="200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2016</w:t>
            </w:r>
          </w:p>
        </w:tc>
      </w:tr>
      <w:tr w:rsidR="003E1F91" w:rsidRPr="003E1F91" w:rsidTr="003E1F91">
        <w:trPr>
          <w:trHeight w:val="290"/>
        </w:trPr>
        <w:tc>
          <w:tcPr>
            <w:tcW w:w="556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Omzet en resultaat</w:t>
            </w:r>
          </w:p>
        </w:tc>
        <w:tc>
          <w:tcPr>
            <w:tcW w:w="200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200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Netto-omzet</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12</w:t>
            </w:r>
            <w:r w:rsidR="000E4792">
              <w:rPr>
                <w:rFonts w:asciiTheme="minorHAnsi" w:hAnsiTheme="minorHAnsi"/>
                <w:color w:val="000000"/>
                <w:szCs w:val="20"/>
              </w:rPr>
              <w:t>.</w:t>
            </w:r>
            <w:r>
              <w:rPr>
                <w:rFonts w:asciiTheme="minorHAnsi" w:hAnsiTheme="minorHAnsi"/>
                <w:color w:val="000000"/>
                <w:szCs w:val="20"/>
              </w:rPr>
              <w:t>127</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10</w:t>
            </w:r>
            <w:r w:rsidR="000E4792">
              <w:rPr>
                <w:rFonts w:asciiTheme="minorHAnsi" w:hAnsiTheme="minorHAnsi"/>
                <w:color w:val="000000"/>
                <w:szCs w:val="20"/>
              </w:rPr>
              <w:t>.</w:t>
            </w:r>
            <w:r>
              <w:rPr>
                <w:rFonts w:asciiTheme="minorHAnsi" w:hAnsiTheme="minorHAnsi"/>
                <w:color w:val="000000"/>
                <w:szCs w:val="20"/>
              </w:rPr>
              <w:t>465</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Brutomarge</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10</w:t>
            </w:r>
            <w:r w:rsidR="000E4792">
              <w:rPr>
                <w:rFonts w:asciiTheme="minorHAnsi" w:hAnsiTheme="minorHAnsi"/>
                <w:color w:val="000000"/>
                <w:szCs w:val="20"/>
              </w:rPr>
              <w:t>.</w:t>
            </w:r>
            <w:r>
              <w:rPr>
                <w:rFonts w:asciiTheme="minorHAnsi" w:hAnsiTheme="minorHAnsi"/>
                <w:color w:val="000000"/>
                <w:szCs w:val="20"/>
              </w:rPr>
              <w:t>157</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8</w:t>
            </w:r>
            <w:r w:rsidR="000E4792">
              <w:rPr>
                <w:rFonts w:asciiTheme="minorHAnsi" w:hAnsiTheme="minorHAnsi"/>
                <w:color w:val="000000"/>
                <w:szCs w:val="20"/>
              </w:rPr>
              <w:t>.</w:t>
            </w:r>
            <w:r>
              <w:rPr>
                <w:rFonts w:asciiTheme="minorHAnsi" w:hAnsiTheme="minorHAnsi"/>
                <w:color w:val="000000"/>
                <w:szCs w:val="20"/>
              </w:rPr>
              <w:t>615</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EBITDA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603</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-310</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EBIT (bedrijfsresultaat)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-415</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0E4792">
              <w:rPr>
                <w:rFonts w:asciiTheme="minorHAnsi" w:hAnsiTheme="minorHAnsi"/>
                <w:color w:val="000000"/>
                <w:szCs w:val="20"/>
              </w:rPr>
              <w:t>.</w:t>
            </w:r>
            <w:r>
              <w:rPr>
                <w:rFonts w:asciiTheme="minorHAnsi" w:hAnsiTheme="minorHAnsi"/>
                <w:color w:val="000000"/>
                <w:szCs w:val="20"/>
              </w:rPr>
              <w:t>339</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EBT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-673</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0E4792">
              <w:rPr>
                <w:rFonts w:asciiTheme="minorHAnsi" w:hAnsiTheme="minorHAnsi"/>
                <w:color w:val="000000"/>
                <w:szCs w:val="20"/>
              </w:rPr>
              <w:t>.</w:t>
            </w:r>
            <w:r>
              <w:rPr>
                <w:rFonts w:asciiTheme="minorHAnsi" w:hAnsiTheme="minorHAnsi"/>
                <w:color w:val="000000"/>
                <w:szCs w:val="20"/>
              </w:rPr>
              <w:t>587</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Nettoresultaat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-390</w:t>
            </w:r>
          </w:p>
        </w:tc>
        <w:tc>
          <w:tcPr>
            <w:tcW w:w="2000" w:type="dxa"/>
            <w:tcBorders>
              <w:top w:val="nil"/>
              <w:left w:val="nil"/>
              <w:bottom w:val="nil"/>
              <w:right w:val="nil"/>
            </w:tcBorders>
            <w:shd w:val="clear" w:color="auto" w:fill="auto"/>
            <w:noWrap/>
            <w:vAlign w:val="center"/>
            <w:hideMark/>
          </w:tcPr>
          <w:p w:rsidR="003E1F91" w:rsidRPr="003E1F91" w:rsidRDefault="003E1F91" w:rsidP="000E4792">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0E4792">
              <w:rPr>
                <w:rFonts w:asciiTheme="minorHAnsi" w:hAnsiTheme="minorHAnsi"/>
                <w:color w:val="000000"/>
                <w:szCs w:val="20"/>
              </w:rPr>
              <w:t>.</w:t>
            </w:r>
            <w:r>
              <w:rPr>
                <w:rFonts w:asciiTheme="minorHAnsi" w:hAnsiTheme="minorHAnsi"/>
                <w:color w:val="000000"/>
                <w:szCs w:val="20"/>
              </w:rPr>
              <w:t>578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Kasstroom uit bedrijfsactiviteiten</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627</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-452</w:t>
            </w:r>
          </w:p>
        </w:tc>
      </w:tr>
      <w:tr w:rsidR="003E1F91" w:rsidRPr="003E1F91" w:rsidTr="003E1F91">
        <w:trPr>
          <w:trHeight w:val="290"/>
        </w:trPr>
        <w:tc>
          <w:tcPr>
            <w:tcW w:w="556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Kapitaal, schuld en liquiditeitsratio's</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Totaal activa</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15</w:t>
            </w:r>
            <w:r w:rsidR="005762AF">
              <w:rPr>
                <w:rFonts w:asciiTheme="minorHAnsi" w:hAnsiTheme="minorHAnsi"/>
                <w:color w:val="000000"/>
                <w:szCs w:val="20"/>
              </w:rPr>
              <w:t>.</w:t>
            </w:r>
            <w:r>
              <w:rPr>
                <w:rFonts w:asciiTheme="minorHAnsi" w:hAnsiTheme="minorHAnsi"/>
                <w:color w:val="000000"/>
                <w:szCs w:val="20"/>
              </w:rPr>
              <w:t>564</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14</w:t>
            </w:r>
            <w:r w:rsidR="005762AF">
              <w:rPr>
                <w:rFonts w:asciiTheme="minorHAnsi" w:hAnsiTheme="minorHAnsi"/>
                <w:color w:val="000000"/>
                <w:szCs w:val="20"/>
              </w:rPr>
              <w:t>.</w:t>
            </w:r>
            <w:r>
              <w:rPr>
                <w:rFonts w:asciiTheme="minorHAnsi" w:hAnsiTheme="minorHAnsi"/>
                <w:color w:val="000000"/>
                <w:szCs w:val="20"/>
              </w:rPr>
              <w:t>711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Groepsvermogen</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w:t>
            </w:r>
            <w:r w:rsidR="005762AF">
              <w:rPr>
                <w:rFonts w:asciiTheme="minorHAnsi" w:hAnsiTheme="minorHAnsi"/>
                <w:color w:val="000000"/>
                <w:szCs w:val="20"/>
              </w:rPr>
              <w:t>.</w:t>
            </w:r>
            <w:r>
              <w:rPr>
                <w:rFonts w:asciiTheme="minorHAnsi" w:hAnsiTheme="minorHAnsi"/>
                <w:color w:val="000000"/>
                <w:szCs w:val="20"/>
              </w:rPr>
              <w:t>767</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w:t>
            </w:r>
            <w:r w:rsidR="005762AF">
              <w:rPr>
                <w:rFonts w:asciiTheme="minorHAnsi" w:hAnsiTheme="minorHAnsi"/>
                <w:color w:val="000000"/>
                <w:szCs w:val="20"/>
              </w:rPr>
              <w:t>.</w:t>
            </w:r>
            <w:r>
              <w:rPr>
                <w:rFonts w:asciiTheme="minorHAnsi" w:hAnsiTheme="minorHAnsi"/>
                <w:color w:val="000000"/>
                <w:szCs w:val="20"/>
              </w:rPr>
              <w:t>053</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Netto schuldpositie</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5762AF">
              <w:rPr>
                <w:rFonts w:asciiTheme="minorHAnsi" w:hAnsiTheme="minorHAnsi"/>
                <w:color w:val="000000"/>
                <w:szCs w:val="20"/>
              </w:rPr>
              <w:t>.</w:t>
            </w:r>
            <w:r>
              <w:rPr>
                <w:rFonts w:asciiTheme="minorHAnsi" w:hAnsiTheme="minorHAnsi"/>
                <w:color w:val="000000"/>
                <w:szCs w:val="20"/>
              </w:rPr>
              <w:t>452</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5762AF">
              <w:rPr>
                <w:rFonts w:asciiTheme="minorHAnsi" w:hAnsiTheme="minorHAnsi"/>
                <w:color w:val="000000"/>
                <w:szCs w:val="20"/>
              </w:rPr>
              <w:t>.</w:t>
            </w:r>
            <w:r>
              <w:rPr>
                <w:rFonts w:asciiTheme="minorHAnsi" w:hAnsiTheme="minorHAnsi"/>
                <w:color w:val="000000"/>
                <w:szCs w:val="20"/>
              </w:rPr>
              <w:t>428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Kapitaal (= nettoschuld + eigen vermogen)</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w:t>
            </w:r>
            <w:r w:rsidR="005762AF">
              <w:rPr>
                <w:rFonts w:asciiTheme="minorHAnsi" w:hAnsiTheme="minorHAnsi"/>
                <w:color w:val="000000"/>
                <w:szCs w:val="20"/>
              </w:rPr>
              <w:t>.</w:t>
            </w:r>
            <w:r>
              <w:rPr>
                <w:rFonts w:asciiTheme="minorHAnsi" w:hAnsiTheme="minorHAnsi"/>
                <w:color w:val="000000"/>
                <w:szCs w:val="20"/>
              </w:rPr>
              <w:t>219</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w:t>
            </w:r>
            <w:r w:rsidR="005762AF">
              <w:rPr>
                <w:rFonts w:asciiTheme="minorHAnsi" w:hAnsiTheme="minorHAnsi"/>
                <w:color w:val="000000"/>
                <w:szCs w:val="20"/>
              </w:rPr>
              <w:t>.</w:t>
            </w:r>
            <w:r>
              <w:rPr>
                <w:rFonts w:asciiTheme="minorHAnsi" w:hAnsiTheme="minorHAnsi"/>
                <w:color w:val="000000"/>
                <w:szCs w:val="20"/>
              </w:rPr>
              <w:t>481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Gearing ratio (nettoschuld / kapitaal)</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34%</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37%</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Solvabiliteit (groepsvermogen / totale passiva)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31%</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Schuldratio (nettoschuld / EBITDA)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4,1</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-7,8</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r>
              <w:rPr>
                <w:rFonts w:asciiTheme="minorHAnsi" w:hAnsiTheme="minorHAnsi"/>
                <w:szCs w:val="20"/>
              </w:rPr>
              <w:t>Netto werkkapitaal</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452</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540</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r>
              <w:rPr>
                <w:rFonts w:asciiTheme="minorHAnsi" w:hAnsiTheme="minorHAnsi"/>
                <w:szCs w:val="20"/>
              </w:rPr>
              <w:t>Werkkapitaal ratio (kortlopende activa / kortlopende passiva)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1,17</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1,23</w:t>
            </w:r>
          </w:p>
        </w:tc>
      </w:tr>
      <w:tr w:rsidR="003E1F91" w:rsidRPr="003E1F91" w:rsidTr="003E1F91">
        <w:trPr>
          <w:trHeight w:val="290"/>
        </w:trPr>
        <w:tc>
          <w:tcPr>
            <w:tcW w:w="5560" w:type="dxa"/>
            <w:tcBorders>
              <w:top w:val="nil"/>
              <w:left w:val="nil"/>
              <w:bottom w:val="nil"/>
              <w:right w:val="nil"/>
            </w:tcBorders>
            <w:shd w:val="clear" w:color="auto" w:fill="auto"/>
            <w:noWrap/>
            <w:vAlign w:val="bottom"/>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Activa</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Materiële en immateriële vaste activa</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8</w:t>
            </w:r>
            <w:r w:rsidR="005762AF">
              <w:rPr>
                <w:rFonts w:asciiTheme="minorHAnsi" w:hAnsiTheme="minorHAnsi"/>
                <w:color w:val="000000"/>
                <w:szCs w:val="20"/>
              </w:rPr>
              <w:t>.</w:t>
            </w:r>
            <w:r>
              <w:rPr>
                <w:rFonts w:asciiTheme="minorHAnsi" w:hAnsiTheme="minorHAnsi"/>
                <w:color w:val="000000"/>
                <w:szCs w:val="20"/>
              </w:rPr>
              <w:t>451</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w:t>
            </w:r>
            <w:r w:rsidR="005762AF">
              <w:rPr>
                <w:rFonts w:asciiTheme="minorHAnsi" w:hAnsiTheme="minorHAnsi"/>
                <w:color w:val="000000"/>
                <w:szCs w:val="20"/>
              </w:rPr>
              <w:t>.</w:t>
            </w:r>
            <w:r>
              <w:rPr>
                <w:rFonts w:asciiTheme="minorHAnsi" w:hAnsiTheme="minorHAnsi"/>
                <w:color w:val="000000"/>
                <w:szCs w:val="20"/>
              </w:rPr>
              <w:t>684</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Invest. materiële en immateriële vaste activa</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5762AF">
              <w:rPr>
                <w:rFonts w:asciiTheme="minorHAnsi" w:hAnsiTheme="minorHAnsi"/>
                <w:color w:val="000000"/>
                <w:szCs w:val="20"/>
              </w:rPr>
              <w:t>.</w:t>
            </w:r>
            <w:r>
              <w:rPr>
                <w:rFonts w:asciiTheme="minorHAnsi" w:hAnsiTheme="minorHAnsi"/>
                <w:color w:val="000000"/>
                <w:szCs w:val="20"/>
              </w:rPr>
              <w:t>199</w:t>
            </w:r>
          </w:p>
        </w:tc>
        <w:tc>
          <w:tcPr>
            <w:tcW w:w="2000" w:type="dxa"/>
            <w:tcBorders>
              <w:top w:val="nil"/>
              <w:left w:val="nil"/>
              <w:bottom w:val="nil"/>
              <w:right w:val="nil"/>
            </w:tcBorders>
            <w:shd w:val="clear" w:color="auto" w:fill="auto"/>
            <w:noWrap/>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879</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Afschr. materiële en immateriële vaste activa</w:t>
            </w:r>
          </w:p>
        </w:tc>
        <w:tc>
          <w:tcPr>
            <w:tcW w:w="2000" w:type="dxa"/>
            <w:tcBorders>
              <w:top w:val="nil"/>
              <w:left w:val="nil"/>
              <w:bottom w:val="nil"/>
              <w:right w:val="nil"/>
            </w:tcBorders>
            <w:shd w:val="clear" w:color="auto" w:fill="auto"/>
            <w:noWrap/>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018</w:t>
            </w:r>
          </w:p>
        </w:tc>
        <w:tc>
          <w:tcPr>
            <w:tcW w:w="2000" w:type="dxa"/>
            <w:tcBorders>
              <w:top w:val="nil"/>
              <w:left w:val="nil"/>
              <w:bottom w:val="nil"/>
              <w:right w:val="nil"/>
            </w:tcBorders>
            <w:shd w:val="clear" w:color="auto" w:fill="auto"/>
            <w:noWrap/>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029</w:t>
            </w:r>
          </w:p>
        </w:tc>
      </w:tr>
      <w:tr w:rsidR="003E1F91" w:rsidRPr="003E1F91" w:rsidTr="003E1F91">
        <w:trPr>
          <w:trHeight w:val="290"/>
        </w:trPr>
        <w:tc>
          <w:tcPr>
            <w:tcW w:w="556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Uitgifte va</w:t>
            </w:r>
            <w:r w:rsidR="002E0BF9">
              <w:rPr>
                <w:rFonts w:asciiTheme="minorHAnsi" w:hAnsiTheme="minorHAnsi"/>
                <w:b/>
                <w:bCs/>
                <w:color w:val="000000"/>
                <w:szCs w:val="20"/>
              </w:rPr>
              <w:t>n gewone</w:t>
            </w:r>
            <w:r>
              <w:rPr>
                <w:rFonts w:asciiTheme="minorHAnsi" w:hAnsiTheme="minorHAnsi"/>
                <w:b/>
                <w:bCs/>
                <w:color w:val="000000"/>
                <w:szCs w:val="20"/>
              </w:rPr>
              <w:t xml:space="preserve"> aandelen</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Positie ultimo (x 1,000)</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66</w:t>
            </w:r>
            <w:r w:rsidR="005762AF">
              <w:rPr>
                <w:rFonts w:asciiTheme="minorHAnsi" w:hAnsiTheme="minorHAnsi"/>
                <w:color w:val="000000"/>
                <w:szCs w:val="20"/>
              </w:rPr>
              <w:t>.</w:t>
            </w:r>
            <w:r>
              <w:rPr>
                <w:rFonts w:asciiTheme="minorHAnsi" w:hAnsiTheme="minorHAnsi"/>
                <w:color w:val="000000"/>
                <w:szCs w:val="20"/>
              </w:rPr>
              <w:t>716</w:t>
            </w:r>
          </w:p>
        </w:tc>
        <w:tc>
          <w:tcPr>
            <w:tcW w:w="2000" w:type="dxa"/>
            <w:tcBorders>
              <w:top w:val="nil"/>
              <w:left w:val="nil"/>
              <w:bottom w:val="nil"/>
              <w:right w:val="nil"/>
            </w:tcBorders>
            <w:shd w:val="clear" w:color="auto" w:fill="auto"/>
            <w:noWrap/>
            <w:vAlign w:val="center"/>
            <w:hideMark/>
          </w:tcPr>
          <w:p w:rsidR="003E1F91" w:rsidRPr="003E1F91" w:rsidRDefault="003E1F91" w:rsidP="005762AF">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63</w:t>
            </w:r>
            <w:r w:rsidR="005762AF">
              <w:rPr>
                <w:rFonts w:asciiTheme="minorHAnsi" w:hAnsiTheme="minorHAnsi"/>
                <w:color w:val="000000"/>
                <w:szCs w:val="20"/>
              </w:rPr>
              <w:t>.</w:t>
            </w:r>
            <w:r>
              <w:rPr>
                <w:rFonts w:asciiTheme="minorHAnsi" w:hAnsiTheme="minorHAnsi"/>
                <w:color w:val="000000"/>
                <w:szCs w:val="20"/>
              </w:rPr>
              <w:t>411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Aantal FTE’s (permanent)</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Gemiddeld</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91</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91</w:t>
            </w:r>
          </w:p>
        </w:tc>
      </w:tr>
      <w:tr w:rsidR="003E1F91" w:rsidRPr="003E1F91" w:rsidTr="003E1F91">
        <w:trPr>
          <w:trHeight w:val="290"/>
        </w:trPr>
        <w:tc>
          <w:tcPr>
            <w:tcW w:w="556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Omzet / FTE</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133</w:t>
            </w:r>
          </w:p>
        </w:tc>
        <w:tc>
          <w:tcPr>
            <w:tcW w:w="200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115</w:t>
            </w:r>
          </w:p>
        </w:tc>
      </w:tr>
    </w:tbl>
    <w:p w:rsidR="003E1F91" w:rsidRPr="005762AF" w:rsidRDefault="003E1F91" w:rsidP="003E1F91">
      <w:pPr>
        <w:spacing w:after="0"/>
        <w:ind w:firstLine="284"/>
        <w:jc w:val="both"/>
        <w:rPr>
          <w:rFonts w:asciiTheme="minorHAnsi" w:eastAsia="Times New Roman" w:hAnsiTheme="minorHAnsi" w:cstheme="minorHAnsi"/>
          <w:szCs w:val="20"/>
          <w:lang w:eastAsia="en-GB" w:bidi="en-GB"/>
        </w:rPr>
      </w:pPr>
    </w:p>
    <w:p w:rsidR="00562ED7" w:rsidRPr="005762AF" w:rsidRDefault="00562ED7" w:rsidP="003E1F91">
      <w:pPr>
        <w:spacing w:after="0"/>
        <w:ind w:firstLine="284"/>
        <w:jc w:val="both"/>
        <w:rPr>
          <w:rFonts w:asciiTheme="minorHAnsi" w:eastAsia="Times New Roman" w:hAnsiTheme="minorHAnsi" w:cstheme="minorHAnsi"/>
          <w:szCs w:val="20"/>
          <w:lang w:eastAsia="en-GB" w:bidi="en-GB"/>
        </w:rPr>
      </w:pPr>
    </w:p>
    <w:p w:rsidR="003E1F91" w:rsidRPr="003E1F91" w:rsidRDefault="003E1F91" w:rsidP="00304574">
      <w:pPr>
        <w:spacing w:after="0" w:line="240" w:lineRule="auto"/>
        <w:ind w:left="284"/>
        <w:rPr>
          <w:rFonts w:asciiTheme="minorHAnsi" w:eastAsia="Times New Roman" w:hAnsiTheme="minorHAnsi" w:cstheme="minorHAnsi"/>
          <w:b/>
          <w:color w:val="B71234"/>
          <w:sz w:val="22"/>
        </w:rPr>
      </w:pPr>
      <w:r>
        <w:rPr>
          <w:rFonts w:asciiTheme="minorHAnsi" w:hAnsiTheme="minorHAnsi"/>
          <w:b/>
          <w:color w:val="B71234"/>
          <w:sz w:val="22"/>
        </w:rPr>
        <w:lastRenderedPageBreak/>
        <w:t>Omzet en resultaat</w:t>
      </w:r>
    </w:p>
    <w:p w:rsidR="00304574" w:rsidRDefault="00304574" w:rsidP="003E1F91">
      <w:pPr>
        <w:spacing w:after="0"/>
        <w:ind w:left="284"/>
        <w:jc w:val="both"/>
        <w:rPr>
          <w:rFonts w:asciiTheme="minorHAnsi" w:hAnsiTheme="minorHAnsi"/>
          <w:color w:val="000000"/>
          <w:szCs w:val="20"/>
        </w:rPr>
      </w:pPr>
    </w:p>
    <w:p w:rsidR="003E1F91" w:rsidRPr="003E1F91" w:rsidRDefault="003E1F91" w:rsidP="003E1F91">
      <w:pPr>
        <w:spacing w:after="0"/>
        <w:ind w:left="284"/>
        <w:jc w:val="both"/>
        <w:rPr>
          <w:rFonts w:asciiTheme="minorHAnsi" w:eastAsia="Times New Roman" w:hAnsiTheme="minorHAnsi" w:cstheme="minorHAnsi"/>
          <w:color w:val="000000"/>
          <w:szCs w:val="20"/>
        </w:rPr>
      </w:pPr>
      <w:r>
        <w:rPr>
          <w:rFonts w:asciiTheme="minorHAnsi" w:hAnsiTheme="minorHAnsi"/>
          <w:color w:val="000000"/>
          <w:szCs w:val="20"/>
        </w:rPr>
        <w:t>Omzet per klantsegment:</w:t>
      </w:r>
    </w:p>
    <w:p w:rsidR="003E1F91" w:rsidRPr="005762AF" w:rsidRDefault="003E1F91" w:rsidP="003E1F91">
      <w:pPr>
        <w:spacing w:after="0"/>
        <w:ind w:left="284"/>
        <w:jc w:val="both"/>
        <w:rPr>
          <w:rFonts w:asciiTheme="minorHAnsi" w:eastAsia="Times New Roman" w:hAnsiTheme="minorHAnsi" w:cstheme="minorHAnsi"/>
          <w:color w:val="000000"/>
          <w:szCs w:val="20"/>
          <w:lang w:eastAsia="en-GB" w:bidi="en-GB"/>
        </w:rPr>
      </w:pPr>
    </w:p>
    <w:tbl>
      <w:tblPr>
        <w:tblW w:w="7936" w:type="dxa"/>
        <w:tblInd w:w="426" w:type="dxa"/>
        <w:tblLook w:val="00A0"/>
      </w:tblPr>
      <w:tblGrid>
        <w:gridCol w:w="4111"/>
        <w:gridCol w:w="1275"/>
        <w:gridCol w:w="1275"/>
        <w:gridCol w:w="1275"/>
      </w:tblGrid>
      <w:tr w:rsidR="003E1F91" w:rsidRPr="003E1F91" w:rsidTr="003E1F91">
        <w:tc>
          <w:tcPr>
            <w:tcW w:w="4111" w:type="dxa"/>
            <w:tcBorders>
              <w:bottom w:val="single" w:sz="4" w:space="0" w:color="auto"/>
            </w:tcBorders>
          </w:tcPr>
          <w:p w:rsidR="003E1F91" w:rsidRPr="003E1F91" w:rsidRDefault="003E1F91" w:rsidP="003E1F91">
            <w:pPr>
              <w:jc w:val="both"/>
              <w:rPr>
                <w:rFonts w:asciiTheme="minorHAnsi" w:hAnsiTheme="minorHAnsi" w:cstheme="minorHAnsi"/>
                <w:szCs w:val="20"/>
              </w:rPr>
            </w:pPr>
            <w:r>
              <w:rPr>
                <w:rFonts w:asciiTheme="minorHAnsi" w:hAnsiTheme="minorHAnsi"/>
                <w:szCs w:val="20"/>
              </w:rPr>
              <w:t>(x EUR 1.000)</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r>
              <w:rPr>
                <w:rFonts w:asciiTheme="minorHAnsi" w:hAnsiTheme="minorHAnsi"/>
                <w:szCs w:val="20"/>
              </w:rPr>
              <w:t>2017</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r>
              <w:rPr>
                <w:rFonts w:asciiTheme="minorHAnsi" w:hAnsiTheme="minorHAnsi"/>
                <w:szCs w:val="20"/>
              </w:rPr>
              <w:t>2016</w:t>
            </w: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r>
              <w:rPr>
                <w:rFonts w:asciiTheme="minorHAnsi" w:hAnsiTheme="minorHAnsi"/>
                <w:szCs w:val="20"/>
              </w:rPr>
              <w:t>mutatie ca.</w:t>
            </w:r>
          </w:p>
        </w:tc>
      </w:tr>
      <w:tr w:rsidR="003E1F91" w:rsidRPr="003E1F91" w:rsidTr="003E1F91">
        <w:tc>
          <w:tcPr>
            <w:tcW w:w="4111"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Automotive</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5.011</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4.013</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+25%</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Industrial/Healthcare</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5.563</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4.700</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+18%</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 xml:space="preserve">Hi-Rel/Space </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620</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779</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-20%</w:t>
            </w:r>
          </w:p>
        </w:tc>
      </w:tr>
      <w:tr w:rsidR="003E1F91" w:rsidRPr="003E1F91" w:rsidTr="003E1F91">
        <w:tc>
          <w:tcPr>
            <w:tcW w:w="4111"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Overig</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933</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973</w:t>
            </w:r>
          </w:p>
        </w:tc>
        <w:tc>
          <w:tcPr>
            <w:tcW w:w="1275"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-4%</w:t>
            </w:r>
          </w:p>
        </w:tc>
      </w:tr>
      <w:tr w:rsidR="003E1F91" w:rsidRPr="003E1F91" w:rsidTr="003E1F91">
        <w:tc>
          <w:tcPr>
            <w:tcW w:w="4111" w:type="dxa"/>
            <w:tcBorders>
              <w:bottom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bottom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275"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4111" w:type="dxa"/>
          </w:tcPr>
          <w:p w:rsidR="003E1F91" w:rsidRPr="003E1F91" w:rsidRDefault="003E1F91" w:rsidP="003E1F91">
            <w:pPr>
              <w:jc w:val="both"/>
              <w:rPr>
                <w:rFonts w:asciiTheme="minorHAnsi" w:hAnsiTheme="minorHAnsi" w:cstheme="minorHAnsi"/>
                <w:b/>
                <w:bCs/>
                <w:szCs w:val="20"/>
              </w:rPr>
            </w:pPr>
            <w:r>
              <w:rPr>
                <w:rFonts w:asciiTheme="minorHAnsi" w:hAnsiTheme="minorHAnsi"/>
                <w:b/>
                <w:szCs w:val="20"/>
              </w:rPr>
              <w:t>Totaal</w:t>
            </w:r>
          </w:p>
        </w:tc>
        <w:tc>
          <w:tcPr>
            <w:tcW w:w="1275" w:type="dxa"/>
          </w:tcPr>
          <w:p w:rsidR="003E1F91" w:rsidRPr="003E1F91" w:rsidRDefault="003E1F91" w:rsidP="003E1F91">
            <w:pPr>
              <w:jc w:val="right"/>
              <w:rPr>
                <w:rFonts w:asciiTheme="minorHAnsi" w:hAnsiTheme="minorHAnsi" w:cstheme="minorHAnsi"/>
                <w:b/>
                <w:bCs/>
                <w:szCs w:val="20"/>
              </w:rPr>
            </w:pPr>
            <w:r>
              <w:rPr>
                <w:rFonts w:asciiTheme="minorHAnsi" w:hAnsiTheme="minorHAnsi"/>
                <w:b/>
                <w:szCs w:val="20"/>
              </w:rPr>
              <w:t>12.127</w:t>
            </w:r>
          </w:p>
        </w:tc>
        <w:tc>
          <w:tcPr>
            <w:tcW w:w="1275" w:type="dxa"/>
          </w:tcPr>
          <w:p w:rsidR="003E1F91" w:rsidRPr="003E1F91" w:rsidRDefault="003E1F91" w:rsidP="003E1F91">
            <w:pPr>
              <w:jc w:val="right"/>
              <w:rPr>
                <w:rFonts w:asciiTheme="minorHAnsi" w:hAnsiTheme="minorHAnsi" w:cstheme="minorHAnsi"/>
                <w:b/>
                <w:bCs/>
                <w:szCs w:val="20"/>
              </w:rPr>
            </w:pPr>
            <w:r>
              <w:rPr>
                <w:rFonts w:asciiTheme="minorHAnsi" w:hAnsiTheme="minorHAnsi"/>
                <w:b/>
                <w:szCs w:val="20"/>
              </w:rPr>
              <w:t>10.465</w:t>
            </w:r>
          </w:p>
        </w:tc>
        <w:tc>
          <w:tcPr>
            <w:tcW w:w="1275" w:type="dxa"/>
          </w:tcPr>
          <w:p w:rsidR="003E1F91" w:rsidRPr="003E1F91" w:rsidRDefault="003E1F91" w:rsidP="003E1F91">
            <w:pPr>
              <w:jc w:val="right"/>
              <w:rPr>
                <w:rFonts w:asciiTheme="minorHAnsi" w:hAnsiTheme="minorHAnsi" w:cstheme="minorHAnsi"/>
                <w:b/>
                <w:bCs/>
                <w:szCs w:val="20"/>
              </w:rPr>
            </w:pPr>
            <w:r>
              <w:rPr>
                <w:rFonts w:asciiTheme="minorHAnsi" w:hAnsiTheme="minorHAnsi"/>
                <w:b/>
                <w:szCs w:val="20"/>
              </w:rPr>
              <w:t>+16%</w:t>
            </w:r>
          </w:p>
        </w:tc>
      </w:tr>
    </w:tbl>
    <w:p w:rsidR="003E1F91" w:rsidRPr="003E1F91" w:rsidRDefault="003E1F91" w:rsidP="003E1F91">
      <w:pPr>
        <w:spacing w:after="0"/>
        <w:ind w:left="284"/>
        <w:jc w:val="both"/>
        <w:rPr>
          <w:rFonts w:asciiTheme="minorHAnsi" w:eastAsia="Times New Roman" w:hAnsiTheme="minorHAnsi" w:cstheme="minorHAnsi"/>
          <w:b/>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rPr>
      </w:pPr>
      <w:r>
        <w:rPr>
          <w:rFonts w:asciiTheme="minorHAnsi" w:hAnsiTheme="minorHAnsi"/>
          <w:szCs w:val="20"/>
        </w:rPr>
        <w:t xml:space="preserve">De toename in de automotive markt is het gevolg van onze inspanningen om ons </w:t>
      </w:r>
      <w:r w:rsidR="00535B71">
        <w:rPr>
          <w:rFonts w:asciiTheme="minorHAnsi" w:hAnsiTheme="minorHAnsi"/>
          <w:szCs w:val="20"/>
        </w:rPr>
        <w:t>automotive</w:t>
      </w:r>
      <w:r>
        <w:rPr>
          <w:rFonts w:asciiTheme="minorHAnsi" w:hAnsiTheme="minorHAnsi"/>
          <w:szCs w:val="20"/>
        </w:rPr>
        <w:t xml:space="preserve"> competence centre te consolideren en grote nieuwe automotive orders binnen te halen. De groei in dit segment is in lijn met onze strategische doelstelling om onze activiteiten in deze sector uit te breiden, waar een revolutie gaande is, veroorzaakt door de </w:t>
      </w:r>
      <w:r w:rsidR="003B017A">
        <w:rPr>
          <w:rFonts w:asciiTheme="minorHAnsi" w:hAnsiTheme="minorHAnsi"/>
          <w:szCs w:val="20"/>
        </w:rPr>
        <w:t xml:space="preserve">snel </w:t>
      </w:r>
      <w:r w:rsidR="007E0FC5">
        <w:rPr>
          <w:rFonts w:asciiTheme="minorHAnsi" w:hAnsiTheme="minorHAnsi"/>
          <w:szCs w:val="20"/>
        </w:rPr>
        <w:t>veranderende</w:t>
      </w:r>
      <w:r>
        <w:rPr>
          <w:rFonts w:asciiTheme="minorHAnsi" w:hAnsiTheme="minorHAnsi"/>
          <w:szCs w:val="20"/>
        </w:rPr>
        <w:t xml:space="preserve"> technologieën </w:t>
      </w:r>
      <w:r w:rsidR="007E0FC5">
        <w:rPr>
          <w:rFonts w:asciiTheme="minorHAnsi" w:hAnsiTheme="minorHAnsi"/>
          <w:szCs w:val="20"/>
        </w:rPr>
        <w:t xml:space="preserve">van </w:t>
      </w:r>
      <w:r>
        <w:rPr>
          <w:rFonts w:asciiTheme="minorHAnsi" w:hAnsiTheme="minorHAnsi"/>
          <w:szCs w:val="20"/>
        </w:rPr>
        <w:t>kunstmatige intelligentie, automatisering en het Internet of Things, die de vraag naar gespecialiseerde halfgeleiderproducten en -diensten aanjagen.</w:t>
      </w:r>
    </w:p>
    <w:p w:rsidR="003E1F91" w:rsidRPr="005136E4" w:rsidRDefault="003E1F91" w:rsidP="003E1F91">
      <w:pPr>
        <w:spacing w:after="0" w:line="240" w:lineRule="auto"/>
        <w:ind w:left="284"/>
        <w:jc w:val="both"/>
        <w:rPr>
          <w:rFonts w:asciiTheme="minorHAnsi" w:eastAsia="Times New Roman" w:hAnsiTheme="minorHAnsi" w:cstheme="minorHAnsi"/>
          <w:szCs w:val="20"/>
          <w:lang w:eastAsia="en-GB" w:bidi="en-GB"/>
        </w:rPr>
      </w:pPr>
    </w:p>
    <w:p w:rsidR="003E1F91" w:rsidRPr="003E1F91" w:rsidRDefault="003E1F91" w:rsidP="003E1F91">
      <w:pPr>
        <w:spacing w:after="0"/>
        <w:ind w:left="284"/>
        <w:jc w:val="both"/>
        <w:rPr>
          <w:rFonts w:asciiTheme="minorHAnsi" w:eastAsia="Times New Roman" w:hAnsiTheme="minorHAnsi" w:cstheme="minorHAnsi"/>
          <w:szCs w:val="20"/>
        </w:rPr>
      </w:pPr>
      <w:r>
        <w:rPr>
          <w:rFonts w:asciiTheme="minorHAnsi" w:hAnsiTheme="minorHAnsi"/>
          <w:szCs w:val="20"/>
        </w:rPr>
        <w:t xml:space="preserve">Het segment industrial/healthcare vertoonde een sterke toename van 18% vergeleken met 2016 door de duidelijke focus op het herwinnen van marktaandeel in dit segment. Sommige langjarige klanten zijn bij ons teruggekomen met hogere volumes. De afname in het segment Hi-rel/Space is het gevolg van de aard van deze sector. Ons werk bestaat voornamelijk uit foutanalyse en kwalificatie, en is afhankelijk van de ontwerpcycli van onze klanten. Wij beschouwen Hi-rel/Space nog steeds als een belangrijk aspect van onze business, en voorzien verdere toename in de toekomst. </w:t>
      </w:r>
    </w:p>
    <w:p w:rsidR="003E1F91" w:rsidRPr="005136E4" w:rsidRDefault="003E1F91" w:rsidP="007972CA">
      <w:pPr>
        <w:rPr>
          <w:lang w:eastAsia="en-GB" w:bidi="en-GB"/>
        </w:rPr>
      </w:pPr>
    </w:p>
    <w:p w:rsidR="003E1F91" w:rsidRPr="003E1F91" w:rsidRDefault="003E1F91" w:rsidP="003E1F91">
      <w:pPr>
        <w:spacing w:after="0"/>
        <w:ind w:left="284"/>
        <w:jc w:val="both"/>
        <w:rPr>
          <w:rFonts w:asciiTheme="minorHAnsi" w:eastAsia="Times New Roman" w:hAnsiTheme="minorHAnsi" w:cstheme="minorHAnsi"/>
          <w:color w:val="000000"/>
          <w:szCs w:val="20"/>
        </w:rPr>
      </w:pPr>
      <w:r>
        <w:rPr>
          <w:rFonts w:asciiTheme="minorHAnsi" w:hAnsiTheme="minorHAnsi"/>
          <w:color w:val="000000"/>
          <w:szCs w:val="20"/>
        </w:rPr>
        <w:t>Per business unit waren de omzetresultaten als volgt:</w:t>
      </w:r>
    </w:p>
    <w:p w:rsidR="003E1F91" w:rsidRPr="005136E4" w:rsidRDefault="003E1F91" w:rsidP="003E1F91">
      <w:pPr>
        <w:spacing w:after="0" w:line="240" w:lineRule="auto"/>
        <w:ind w:left="284"/>
        <w:jc w:val="both"/>
        <w:rPr>
          <w:rFonts w:asciiTheme="minorHAnsi" w:eastAsia="Times New Roman" w:hAnsiTheme="minorHAnsi" w:cstheme="minorHAnsi"/>
          <w:szCs w:val="20"/>
          <w:lang w:eastAsia="zh-CN" w:bidi="en-GB"/>
        </w:rPr>
      </w:pPr>
    </w:p>
    <w:tbl>
      <w:tblPr>
        <w:tblW w:w="7905" w:type="dxa"/>
        <w:tblInd w:w="426" w:type="dxa"/>
        <w:tblLook w:val="00A0"/>
      </w:tblPr>
      <w:tblGrid>
        <w:gridCol w:w="3936"/>
        <w:gridCol w:w="1455"/>
        <w:gridCol w:w="1380"/>
        <w:gridCol w:w="1134"/>
      </w:tblGrid>
      <w:tr w:rsidR="003E1F91" w:rsidRPr="003E1F91" w:rsidTr="003E1F91">
        <w:tc>
          <w:tcPr>
            <w:tcW w:w="3936" w:type="dxa"/>
            <w:tcBorders>
              <w:bottom w:val="single" w:sz="4" w:space="0" w:color="auto"/>
            </w:tcBorders>
          </w:tcPr>
          <w:p w:rsidR="003E1F91" w:rsidRPr="003E1F91" w:rsidRDefault="003E1F91" w:rsidP="003E1F91">
            <w:pPr>
              <w:jc w:val="both"/>
              <w:rPr>
                <w:rFonts w:asciiTheme="minorHAnsi" w:hAnsiTheme="minorHAnsi" w:cstheme="minorHAnsi"/>
                <w:szCs w:val="20"/>
              </w:rPr>
            </w:pPr>
            <w:r>
              <w:rPr>
                <w:rFonts w:asciiTheme="minorHAnsi" w:hAnsiTheme="minorHAnsi"/>
                <w:szCs w:val="20"/>
              </w:rPr>
              <w:t>(x EUR 1.000)</w:t>
            </w:r>
          </w:p>
        </w:tc>
        <w:tc>
          <w:tcPr>
            <w:tcW w:w="1455" w:type="dxa"/>
            <w:tcBorders>
              <w:bottom w:val="single" w:sz="4" w:space="0" w:color="auto"/>
            </w:tcBorders>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2017</w:t>
            </w:r>
          </w:p>
        </w:tc>
        <w:tc>
          <w:tcPr>
            <w:tcW w:w="1380" w:type="dxa"/>
            <w:tcBorders>
              <w:bottom w:val="single" w:sz="4" w:space="0" w:color="auto"/>
            </w:tcBorders>
          </w:tcPr>
          <w:p w:rsidR="003E1F91" w:rsidRPr="003E1F91" w:rsidRDefault="003E1F91" w:rsidP="003E1F91">
            <w:pPr>
              <w:jc w:val="right"/>
              <w:rPr>
                <w:rFonts w:asciiTheme="minorHAnsi" w:hAnsiTheme="minorHAnsi" w:cstheme="minorHAnsi"/>
                <w:szCs w:val="20"/>
              </w:rPr>
            </w:pPr>
            <w:r>
              <w:rPr>
                <w:rFonts w:asciiTheme="minorHAnsi" w:hAnsiTheme="minorHAnsi"/>
                <w:szCs w:val="20"/>
              </w:rPr>
              <w:t>2016</w:t>
            </w:r>
          </w:p>
        </w:tc>
        <w:tc>
          <w:tcPr>
            <w:tcW w:w="1134" w:type="dxa"/>
            <w:tcBorders>
              <w:bottom w:val="single" w:sz="4" w:space="0" w:color="auto"/>
            </w:tcBorders>
          </w:tcPr>
          <w:p w:rsidR="003E1F91" w:rsidRPr="003E1F91" w:rsidRDefault="003E1F91" w:rsidP="003E1F91">
            <w:pPr>
              <w:jc w:val="right"/>
              <w:rPr>
                <w:rFonts w:asciiTheme="minorHAnsi" w:hAnsiTheme="minorHAnsi" w:cstheme="minorHAnsi"/>
                <w:szCs w:val="20"/>
              </w:rPr>
            </w:pPr>
            <w:r>
              <w:rPr>
                <w:rFonts w:asciiTheme="minorHAnsi" w:hAnsiTheme="minorHAnsi"/>
                <w:szCs w:val="20"/>
              </w:rPr>
              <w:t>mutatie ca.</w:t>
            </w:r>
          </w:p>
        </w:tc>
      </w:tr>
      <w:tr w:rsidR="003E1F91" w:rsidRPr="003E1F91" w:rsidTr="003E1F91">
        <w:tc>
          <w:tcPr>
            <w:tcW w:w="3936"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455" w:type="dxa"/>
            <w:tcBorders>
              <w:top w:val="single" w:sz="4" w:space="0" w:color="auto"/>
            </w:tcBorders>
          </w:tcPr>
          <w:p w:rsidR="003E1F91" w:rsidRPr="003E1F91" w:rsidRDefault="003E1F91" w:rsidP="003E1F91">
            <w:pPr>
              <w:ind w:left="-250"/>
              <w:jc w:val="right"/>
              <w:rPr>
                <w:rFonts w:asciiTheme="minorHAnsi" w:hAnsiTheme="minorHAnsi" w:cstheme="minorHAnsi"/>
                <w:szCs w:val="20"/>
              </w:rPr>
            </w:pPr>
          </w:p>
        </w:tc>
        <w:tc>
          <w:tcPr>
            <w:tcW w:w="1380"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134"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Supply Chain Management</w:t>
            </w:r>
          </w:p>
        </w:tc>
        <w:tc>
          <w:tcPr>
            <w:tcW w:w="1455" w:type="dxa"/>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2.448</w:t>
            </w:r>
          </w:p>
        </w:tc>
        <w:tc>
          <w:tcPr>
            <w:tcW w:w="1380"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2.077</w:t>
            </w:r>
          </w:p>
        </w:tc>
        <w:tc>
          <w:tcPr>
            <w:tcW w:w="1134"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+18%</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Test Engineering</w:t>
            </w:r>
          </w:p>
        </w:tc>
        <w:tc>
          <w:tcPr>
            <w:tcW w:w="1455" w:type="dxa"/>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689</w:t>
            </w:r>
          </w:p>
        </w:tc>
        <w:tc>
          <w:tcPr>
            <w:tcW w:w="1380"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471</w:t>
            </w:r>
          </w:p>
        </w:tc>
        <w:tc>
          <w:tcPr>
            <w:tcW w:w="1134"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+46%</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Test Operations</w:t>
            </w:r>
          </w:p>
        </w:tc>
        <w:tc>
          <w:tcPr>
            <w:tcW w:w="1455" w:type="dxa"/>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4.275</w:t>
            </w:r>
          </w:p>
        </w:tc>
        <w:tc>
          <w:tcPr>
            <w:tcW w:w="1380"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3.727</w:t>
            </w:r>
          </w:p>
        </w:tc>
        <w:tc>
          <w:tcPr>
            <w:tcW w:w="1134"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+15%</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Failure &amp; Technology Analysis</w:t>
            </w:r>
          </w:p>
        </w:tc>
        <w:tc>
          <w:tcPr>
            <w:tcW w:w="1455" w:type="dxa"/>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1.787</w:t>
            </w:r>
          </w:p>
        </w:tc>
        <w:tc>
          <w:tcPr>
            <w:tcW w:w="1380"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1.494</w:t>
            </w:r>
          </w:p>
        </w:tc>
        <w:tc>
          <w:tcPr>
            <w:tcW w:w="1134"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+20%</w:t>
            </w:r>
          </w:p>
        </w:tc>
      </w:tr>
      <w:tr w:rsidR="003E1F91" w:rsidRPr="003E1F91" w:rsidTr="003E1F91">
        <w:tc>
          <w:tcPr>
            <w:tcW w:w="3936" w:type="dxa"/>
          </w:tcPr>
          <w:p w:rsidR="003E1F91" w:rsidRPr="003E1F91" w:rsidRDefault="003E1F91" w:rsidP="003E1F91">
            <w:pPr>
              <w:jc w:val="both"/>
              <w:rPr>
                <w:rFonts w:asciiTheme="minorHAnsi" w:hAnsiTheme="minorHAnsi" w:cstheme="minorHAnsi"/>
                <w:szCs w:val="20"/>
              </w:rPr>
            </w:pPr>
            <w:r>
              <w:rPr>
                <w:rFonts w:asciiTheme="minorHAnsi" w:hAnsiTheme="minorHAnsi"/>
                <w:szCs w:val="20"/>
              </w:rPr>
              <w:t>Qualification &amp; Reliability Investigation</w:t>
            </w:r>
          </w:p>
        </w:tc>
        <w:tc>
          <w:tcPr>
            <w:tcW w:w="1455" w:type="dxa"/>
          </w:tcPr>
          <w:p w:rsidR="003E1F91" w:rsidRPr="003E1F91" w:rsidRDefault="003E1F91" w:rsidP="003E1F91">
            <w:pPr>
              <w:ind w:left="-250"/>
              <w:jc w:val="right"/>
              <w:rPr>
                <w:rFonts w:asciiTheme="minorHAnsi" w:hAnsiTheme="minorHAnsi" w:cstheme="minorHAnsi"/>
                <w:szCs w:val="20"/>
              </w:rPr>
            </w:pPr>
            <w:r>
              <w:rPr>
                <w:rFonts w:asciiTheme="minorHAnsi" w:hAnsiTheme="minorHAnsi"/>
                <w:szCs w:val="20"/>
              </w:rPr>
              <w:t>2.928</w:t>
            </w:r>
          </w:p>
        </w:tc>
        <w:tc>
          <w:tcPr>
            <w:tcW w:w="1380"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2.696</w:t>
            </w:r>
          </w:p>
        </w:tc>
        <w:tc>
          <w:tcPr>
            <w:tcW w:w="1134" w:type="dxa"/>
          </w:tcPr>
          <w:p w:rsidR="003E1F91" w:rsidRPr="003E1F91" w:rsidRDefault="003E1F91" w:rsidP="003E1F91">
            <w:pPr>
              <w:jc w:val="right"/>
              <w:rPr>
                <w:rFonts w:asciiTheme="minorHAnsi" w:hAnsiTheme="minorHAnsi" w:cstheme="minorHAnsi"/>
                <w:szCs w:val="20"/>
              </w:rPr>
            </w:pPr>
            <w:r>
              <w:rPr>
                <w:rFonts w:asciiTheme="minorHAnsi" w:hAnsiTheme="minorHAnsi"/>
                <w:szCs w:val="20"/>
              </w:rPr>
              <w:t>+9%</w:t>
            </w:r>
          </w:p>
        </w:tc>
      </w:tr>
      <w:tr w:rsidR="003E1F91" w:rsidRPr="003E1F91" w:rsidTr="003E1F91">
        <w:tc>
          <w:tcPr>
            <w:tcW w:w="3936" w:type="dxa"/>
            <w:tcBorders>
              <w:top w:val="single" w:sz="4" w:space="0" w:color="auto"/>
            </w:tcBorders>
          </w:tcPr>
          <w:p w:rsidR="003E1F91" w:rsidRPr="003E1F91" w:rsidRDefault="003E1F91" w:rsidP="003E1F91">
            <w:pPr>
              <w:jc w:val="both"/>
              <w:rPr>
                <w:rFonts w:asciiTheme="minorHAnsi" w:hAnsiTheme="minorHAnsi" w:cstheme="minorHAnsi"/>
                <w:szCs w:val="20"/>
              </w:rPr>
            </w:pPr>
          </w:p>
        </w:tc>
        <w:tc>
          <w:tcPr>
            <w:tcW w:w="1455" w:type="dxa"/>
            <w:tcBorders>
              <w:top w:val="single" w:sz="4" w:space="0" w:color="auto"/>
            </w:tcBorders>
          </w:tcPr>
          <w:p w:rsidR="003E1F91" w:rsidRPr="003E1F91" w:rsidRDefault="003E1F91" w:rsidP="003E1F91">
            <w:pPr>
              <w:ind w:left="-250"/>
              <w:jc w:val="right"/>
              <w:rPr>
                <w:rFonts w:asciiTheme="minorHAnsi" w:hAnsiTheme="minorHAnsi" w:cstheme="minorHAnsi"/>
                <w:szCs w:val="20"/>
              </w:rPr>
            </w:pPr>
          </w:p>
        </w:tc>
        <w:tc>
          <w:tcPr>
            <w:tcW w:w="1380" w:type="dxa"/>
            <w:tcBorders>
              <w:top w:val="single" w:sz="4" w:space="0" w:color="auto"/>
            </w:tcBorders>
          </w:tcPr>
          <w:p w:rsidR="003E1F91" w:rsidRPr="003E1F91" w:rsidRDefault="003E1F91" w:rsidP="003E1F91">
            <w:pPr>
              <w:jc w:val="right"/>
              <w:rPr>
                <w:rFonts w:asciiTheme="minorHAnsi" w:hAnsiTheme="minorHAnsi" w:cstheme="minorHAnsi"/>
                <w:szCs w:val="20"/>
              </w:rPr>
            </w:pPr>
          </w:p>
        </w:tc>
        <w:tc>
          <w:tcPr>
            <w:tcW w:w="1134" w:type="dxa"/>
            <w:tcBorders>
              <w:top w:val="single" w:sz="4" w:space="0" w:color="auto"/>
            </w:tcBorders>
          </w:tcPr>
          <w:p w:rsidR="003E1F91" w:rsidRPr="003E1F91" w:rsidRDefault="003E1F91" w:rsidP="003E1F91">
            <w:pPr>
              <w:jc w:val="right"/>
              <w:rPr>
                <w:rFonts w:asciiTheme="minorHAnsi" w:hAnsiTheme="minorHAnsi" w:cstheme="minorHAnsi"/>
                <w:szCs w:val="20"/>
              </w:rPr>
            </w:pPr>
          </w:p>
        </w:tc>
      </w:tr>
      <w:tr w:rsidR="003E1F91" w:rsidRPr="003E1F91" w:rsidTr="003E1F91">
        <w:tc>
          <w:tcPr>
            <w:tcW w:w="3936" w:type="dxa"/>
          </w:tcPr>
          <w:p w:rsidR="003E1F91" w:rsidRPr="003E1F91" w:rsidRDefault="003E1F91" w:rsidP="003E1F91">
            <w:pPr>
              <w:jc w:val="both"/>
              <w:rPr>
                <w:rFonts w:asciiTheme="minorHAnsi" w:hAnsiTheme="minorHAnsi" w:cstheme="minorHAnsi"/>
                <w:b/>
                <w:bCs/>
                <w:szCs w:val="20"/>
              </w:rPr>
            </w:pPr>
            <w:r>
              <w:rPr>
                <w:rFonts w:asciiTheme="minorHAnsi" w:hAnsiTheme="minorHAnsi"/>
                <w:b/>
                <w:szCs w:val="20"/>
              </w:rPr>
              <w:t xml:space="preserve">Totaal </w:t>
            </w:r>
          </w:p>
        </w:tc>
        <w:tc>
          <w:tcPr>
            <w:tcW w:w="1455" w:type="dxa"/>
          </w:tcPr>
          <w:p w:rsidR="003E1F91" w:rsidRPr="003E1F91" w:rsidRDefault="003E1F91" w:rsidP="003E1F91">
            <w:pPr>
              <w:ind w:left="-250"/>
              <w:jc w:val="right"/>
              <w:rPr>
                <w:rFonts w:asciiTheme="minorHAnsi" w:hAnsiTheme="minorHAnsi" w:cstheme="minorHAnsi"/>
                <w:b/>
                <w:bCs/>
                <w:szCs w:val="20"/>
              </w:rPr>
            </w:pPr>
            <w:r>
              <w:rPr>
                <w:rFonts w:asciiTheme="minorHAnsi" w:hAnsiTheme="minorHAnsi"/>
                <w:b/>
                <w:szCs w:val="20"/>
              </w:rPr>
              <w:t>12.127</w:t>
            </w:r>
          </w:p>
        </w:tc>
        <w:tc>
          <w:tcPr>
            <w:tcW w:w="1380" w:type="dxa"/>
          </w:tcPr>
          <w:p w:rsidR="003E1F91" w:rsidRPr="003E1F91" w:rsidRDefault="003E1F91" w:rsidP="003E1F91">
            <w:pPr>
              <w:jc w:val="right"/>
              <w:rPr>
                <w:rFonts w:asciiTheme="minorHAnsi" w:hAnsiTheme="minorHAnsi" w:cstheme="minorHAnsi"/>
                <w:b/>
                <w:bCs/>
                <w:szCs w:val="20"/>
              </w:rPr>
            </w:pPr>
            <w:r>
              <w:rPr>
                <w:rFonts w:asciiTheme="minorHAnsi" w:hAnsiTheme="minorHAnsi"/>
                <w:b/>
                <w:szCs w:val="20"/>
              </w:rPr>
              <w:t>10.465</w:t>
            </w:r>
          </w:p>
        </w:tc>
        <w:tc>
          <w:tcPr>
            <w:tcW w:w="1134" w:type="dxa"/>
          </w:tcPr>
          <w:p w:rsidR="003E1F91" w:rsidRPr="003E1F91" w:rsidRDefault="003E1F91" w:rsidP="003E1F91">
            <w:pPr>
              <w:jc w:val="right"/>
              <w:rPr>
                <w:rFonts w:asciiTheme="minorHAnsi" w:hAnsiTheme="minorHAnsi" w:cstheme="minorHAnsi"/>
                <w:b/>
                <w:bCs/>
                <w:szCs w:val="20"/>
              </w:rPr>
            </w:pPr>
            <w:r>
              <w:rPr>
                <w:rFonts w:asciiTheme="minorHAnsi" w:hAnsiTheme="minorHAnsi"/>
                <w:b/>
                <w:szCs w:val="20"/>
              </w:rPr>
              <w:t>+16%</w:t>
            </w:r>
          </w:p>
        </w:tc>
      </w:tr>
    </w:tbl>
    <w:p w:rsidR="003E1F91" w:rsidRPr="003E1F91" w:rsidRDefault="003E1F91" w:rsidP="003E1F91">
      <w:pPr>
        <w:ind w:left="284"/>
        <w:jc w:val="both"/>
        <w:rPr>
          <w:rFonts w:asciiTheme="minorHAnsi" w:hAnsiTheme="minorHAnsi" w:cstheme="minorHAnsi"/>
          <w:szCs w:val="20"/>
          <w:lang w:val="en-GB"/>
        </w:rPr>
      </w:pPr>
    </w:p>
    <w:p w:rsidR="003E1F91" w:rsidRPr="003E1F91" w:rsidRDefault="003E1F91" w:rsidP="003E1F91">
      <w:pPr>
        <w:spacing w:after="0" w:line="240" w:lineRule="auto"/>
        <w:jc w:val="both"/>
        <w:rPr>
          <w:rFonts w:asciiTheme="minorHAnsi" w:eastAsia="Times New Roman" w:hAnsiTheme="minorHAnsi" w:cstheme="minorHAnsi"/>
          <w:b/>
          <w:color w:val="B71234"/>
          <w:szCs w:val="20"/>
        </w:rPr>
      </w:pPr>
      <w:r>
        <w:br w:type="page"/>
      </w:r>
    </w:p>
    <w:p w:rsidR="003E1F91" w:rsidRPr="007972CA" w:rsidRDefault="003E1F91" w:rsidP="007972CA">
      <w:pPr>
        <w:tabs>
          <w:tab w:val="left" w:pos="2055"/>
        </w:tabs>
        <w:spacing w:after="200"/>
        <w:ind w:left="284"/>
        <w:jc w:val="both"/>
        <w:rPr>
          <w:rFonts w:asciiTheme="minorHAnsi" w:eastAsia="Times New Roman" w:hAnsiTheme="minorHAnsi" w:cstheme="minorHAnsi"/>
          <w:b/>
          <w:color w:val="B71234"/>
          <w:sz w:val="22"/>
        </w:rPr>
      </w:pPr>
      <w:r>
        <w:rPr>
          <w:rFonts w:asciiTheme="minorHAnsi" w:hAnsiTheme="minorHAnsi"/>
          <w:b/>
          <w:color w:val="B71234"/>
          <w:sz w:val="22"/>
        </w:rPr>
        <w:lastRenderedPageBreak/>
        <w:t>Ontwikkelingen</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 xml:space="preserve">All business units vertoonden omzettoenames vergeleken met 2016; dit is bijzonder bemoedigend en toont aan dat </w:t>
      </w:r>
      <w:r>
        <w:rPr>
          <w:rFonts w:asciiTheme="minorHAnsi" w:hAnsiTheme="minorHAnsi"/>
          <w:color w:val="B71234"/>
          <w:szCs w:val="20"/>
        </w:rPr>
        <w:t>Rood</w:t>
      </w:r>
      <w:r>
        <w:rPr>
          <w:rFonts w:asciiTheme="minorHAnsi" w:hAnsiTheme="minorHAnsi"/>
          <w:szCs w:val="20"/>
        </w:rPr>
        <w:t>Microtec in de juiste dienstensectoren actief is, en dat de focus op toename in het gehele aanbod vruchten afwerpt.</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 xml:space="preserve">De omzet in de Business Unit Test Operations nam met 15% toe als gevolg van nieuwe testapparatuur die in 2016 aangeschaft werd. De toename was het gevolg van de nieuwe testsystemen en de 12” wafer prober, samen met de hogere </w:t>
      </w:r>
      <w:r w:rsidR="00F914E0">
        <w:rPr>
          <w:rFonts w:asciiTheme="minorHAnsi" w:hAnsiTheme="minorHAnsi"/>
          <w:szCs w:val="20"/>
        </w:rPr>
        <w:t>volumes</w:t>
      </w:r>
      <w:r>
        <w:rPr>
          <w:rFonts w:asciiTheme="minorHAnsi" w:hAnsiTheme="minorHAnsi"/>
          <w:szCs w:val="20"/>
        </w:rPr>
        <w:t xml:space="preserve"> van alle andere systemen. Ook de grote SCM-projecten die </w:t>
      </w:r>
      <w:r>
        <w:rPr>
          <w:rFonts w:asciiTheme="minorHAnsi" w:hAnsiTheme="minorHAnsi"/>
          <w:color w:val="B71234"/>
          <w:szCs w:val="20"/>
        </w:rPr>
        <w:t>Rood</w:t>
      </w:r>
      <w:r>
        <w:rPr>
          <w:rFonts w:asciiTheme="minorHAnsi" w:hAnsiTheme="minorHAnsi"/>
          <w:szCs w:val="20"/>
        </w:rPr>
        <w:t xml:space="preserve">Microtec binnengehaald heeft, hebben sterk bijgedragen aan de toename bij test operations aangezien sommige ervan zich nu in de volumeproductiefase bevinden. </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De inkomsten bij Supply Chain Management (SCM) vertoonden een sterke groei vergeleken met voorgaande jaren. Dit kwam doordat enkele van de grote SCM-projecten zich nu in de volumeproductiefase bevinden, maar was ook te danken aan de herziene organisatie-workflow van de  business unit, waardoor wij de vele nieuwe projecten die in de komende jaren in productie zullen gaan zeer professioneel kunnen aanpakken. Het is bemoedigend om te zien dat onze strategiewijziging vruchten afwerpt, en in de komende jaren zullen wij ons nog sterker op dit gebied richten. Onze expertise in SCM wordt bevestigd door de partnerships die wij met andere leiders in de sector hebben gevormd.</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Onze Failure &amp; Technology Analysis activiteiten zijn zeer sterk afhankelijk van kortetermijnbehoeften van onze klanten. In 2017 hebben wij er hard aan gewerkt onze bekendheid in de markt te verhogen, wat nu reeds terug te zien is in onze omzet. Wij zien tevens dat onze pogingen dit belangrijke deel van onze activiteiten te consolideren, resulteren in nieuwe langlopende contracten met bestaande klanten.</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In Test Engineering en Qualification &amp; Reliability Investigation was er sprake van een aanzienlijke omzettoename in de afgelopen 12 maanden als gevolg van enkele grote projecten die al enige tijd gaande zijn, en het begin van de kwalificatiefase voor andere grote orders. Wij zien ook dat er extra orders binnenkomen voor ondersteuning van de kwalificatie van standaardcomponenten voor de groeiende automotive markt.</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 xml:space="preserve">Het managementteam van </w:t>
      </w:r>
      <w:r>
        <w:rPr>
          <w:rFonts w:asciiTheme="minorHAnsi" w:hAnsiTheme="minorHAnsi"/>
          <w:color w:val="B71234"/>
          <w:szCs w:val="20"/>
        </w:rPr>
        <w:t>Rood</w:t>
      </w:r>
      <w:r>
        <w:rPr>
          <w:rFonts w:asciiTheme="minorHAnsi" w:hAnsiTheme="minorHAnsi"/>
          <w:szCs w:val="20"/>
        </w:rPr>
        <w:t xml:space="preserve">Microtec is bijzonder positief over de toekomstige ontwikkeling van de onderneming aangezien vijf van de zes belangrijke projecten in de automotive en industrial/healthcare sectoren, waar onze strategie op gefocused is, in 2017 de industrialiserings- of productiefase ingegaan zijn. Deze projecten zullen samen een omzet van tot wel EUR 10 miljoen per jaar genereren wanneer zij volledig in productie zijn. </w:t>
      </w:r>
    </w:p>
    <w:p w:rsidR="003E1F91" w:rsidRPr="003E1F91" w:rsidRDefault="003E1F91" w:rsidP="003E1F91">
      <w:pPr>
        <w:ind w:left="284"/>
        <w:jc w:val="both"/>
        <w:rPr>
          <w:rFonts w:asciiTheme="minorHAnsi" w:eastAsia="Times New Roman" w:hAnsiTheme="minorHAnsi" w:cstheme="minorHAnsi"/>
          <w:szCs w:val="20"/>
        </w:rPr>
      </w:pPr>
      <w:r>
        <w:rPr>
          <w:rFonts w:asciiTheme="minorHAnsi" w:hAnsiTheme="minorHAnsi"/>
          <w:szCs w:val="20"/>
        </w:rPr>
        <w:t xml:space="preserve">Industriebreed was er sprake van een groei van halfgeleiderbedrijven in Europa van 15,4%, vergeleken met een verwachte toename van 4,6% in 2018 (WSTS Forecast Summary november 2017). </w:t>
      </w:r>
    </w:p>
    <w:p w:rsidR="003E1F91" w:rsidRPr="005136E4" w:rsidRDefault="003E1F91" w:rsidP="003E1F91">
      <w:pPr>
        <w:ind w:left="284"/>
        <w:jc w:val="both"/>
        <w:rPr>
          <w:rFonts w:asciiTheme="minorHAnsi" w:hAnsiTheme="minorHAnsi" w:cstheme="minorHAnsi"/>
          <w:szCs w:val="20"/>
        </w:rPr>
      </w:pPr>
    </w:p>
    <w:p w:rsidR="003E1F91" w:rsidRPr="007972CA" w:rsidRDefault="003E1F91" w:rsidP="00304574">
      <w:pPr>
        <w:tabs>
          <w:tab w:val="left" w:pos="2055"/>
        </w:tabs>
        <w:spacing w:after="0"/>
        <w:ind w:left="284"/>
        <w:jc w:val="both"/>
        <w:rPr>
          <w:rFonts w:asciiTheme="minorHAnsi" w:eastAsia="Times New Roman" w:hAnsiTheme="minorHAnsi" w:cstheme="minorHAnsi"/>
          <w:b/>
          <w:color w:val="B71234"/>
          <w:sz w:val="22"/>
        </w:rPr>
      </w:pPr>
      <w:r>
        <w:rPr>
          <w:rFonts w:asciiTheme="minorHAnsi" w:hAnsiTheme="minorHAnsi"/>
          <w:b/>
          <w:color w:val="B71234"/>
          <w:sz w:val="22"/>
        </w:rPr>
        <w:t>Personeel en organisatie</w:t>
      </w:r>
    </w:p>
    <w:p w:rsidR="003E1F91" w:rsidRPr="003E1F91" w:rsidRDefault="003E1F91" w:rsidP="00304574">
      <w:pPr>
        <w:autoSpaceDE w:val="0"/>
        <w:autoSpaceDN w:val="0"/>
        <w:adjustRightInd w:val="0"/>
        <w:spacing w:after="0"/>
        <w:ind w:left="284"/>
        <w:jc w:val="both"/>
        <w:rPr>
          <w:rFonts w:asciiTheme="minorHAnsi" w:eastAsia="Times New Roman" w:hAnsiTheme="minorHAnsi" w:cstheme="minorHAnsi"/>
          <w:szCs w:val="20"/>
        </w:rPr>
      </w:pPr>
      <w:r>
        <w:rPr>
          <w:rFonts w:asciiTheme="minorHAnsi" w:hAnsiTheme="minorHAnsi"/>
          <w:szCs w:val="20"/>
        </w:rPr>
        <w:t xml:space="preserve">In 2017 heeft </w:t>
      </w:r>
      <w:r>
        <w:rPr>
          <w:rFonts w:asciiTheme="minorHAnsi" w:hAnsiTheme="minorHAnsi"/>
          <w:color w:val="B71234"/>
          <w:szCs w:val="20"/>
        </w:rPr>
        <w:t>Rood</w:t>
      </w:r>
      <w:r>
        <w:rPr>
          <w:rFonts w:asciiTheme="minorHAnsi" w:hAnsiTheme="minorHAnsi"/>
          <w:szCs w:val="20"/>
        </w:rPr>
        <w:t>Microtec het consolidatieproces op het gebied van personeel en organisatie voortgezet. Wij blijven zeer ervaren personeel werven om onze toekomstplannen te kunnen uitvoeren.</w:t>
      </w:r>
    </w:p>
    <w:p w:rsidR="003E1F91" w:rsidRPr="005136E4" w:rsidRDefault="003E1F91" w:rsidP="003E1F91">
      <w:pPr>
        <w:autoSpaceDE w:val="0"/>
        <w:autoSpaceDN w:val="0"/>
        <w:adjustRightInd w:val="0"/>
        <w:spacing w:after="0" w:line="120" w:lineRule="auto"/>
        <w:ind w:left="284"/>
        <w:jc w:val="both"/>
        <w:rPr>
          <w:rFonts w:asciiTheme="minorHAnsi" w:eastAsia="Times New Roman" w:hAnsiTheme="minorHAnsi" w:cstheme="minorHAnsi"/>
          <w:szCs w:val="20"/>
          <w:lang w:eastAsia="zh-CN"/>
        </w:rPr>
      </w:pPr>
    </w:p>
    <w:p w:rsidR="003E1F91" w:rsidRPr="003E1F91" w:rsidRDefault="003E1F91" w:rsidP="003E1F91">
      <w:pPr>
        <w:spacing w:after="0"/>
        <w:ind w:left="284"/>
        <w:jc w:val="both"/>
        <w:rPr>
          <w:rFonts w:asciiTheme="minorHAnsi" w:eastAsia="Times New Roman" w:hAnsiTheme="minorHAnsi" w:cstheme="minorHAnsi"/>
          <w:szCs w:val="20"/>
        </w:rPr>
      </w:pPr>
      <w:r>
        <w:rPr>
          <w:rFonts w:asciiTheme="minorHAnsi" w:hAnsiTheme="minorHAnsi"/>
          <w:szCs w:val="20"/>
        </w:rPr>
        <w:t>Het gemiddeld</w:t>
      </w:r>
      <w:r w:rsidR="00304574">
        <w:rPr>
          <w:rFonts w:asciiTheme="minorHAnsi" w:hAnsiTheme="minorHAnsi"/>
          <w:szCs w:val="20"/>
        </w:rPr>
        <w:t>e aantal vaste medewerkers (FTE</w:t>
      </w:r>
      <w:r>
        <w:rPr>
          <w:rFonts w:asciiTheme="minorHAnsi" w:hAnsiTheme="minorHAnsi"/>
          <w:szCs w:val="20"/>
        </w:rPr>
        <w:t>s) bleef in 2017 ongewijzigd op 91. De omzet per vaste medewerker is met</w:t>
      </w:r>
      <w:r w:rsidR="005762AF">
        <w:rPr>
          <w:rFonts w:asciiTheme="minorHAnsi" w:hAnsiTheme="minorHAnsi"/>
          <w:szCs w:val="20"/>
        </w:rPr>
        <w:t xml:space="preserve"> ca. 16% toegenomen van EUR 115.</w:t>
      </w:r>
      <w:r>
        <w:rPr>
          <w:rFonts w:asciiTheme="minorHAnsi" w:hAnsiTheme="minorHAnsi"/>
          <w:szCs w:val="20"/>
        </w:rPr>
        <w:t xml:space="preserve">000 in 2016 tot EUR 133.000 in 2017. Onze beleid blijft erop gericht om de omzet per FTE te laten groeien. </w:t>
      </w:r>
    </w:p>
    <w:p w:rsidR="003E1F91" w:rsidRPr="005136E4" w:rsidRDefault="003E1F91" w:rsidP="007972CA">
      <w:pPr>
        <w:spacing w:before="240"/>
        <w:ind w:left="284"/>
        <w:jc w:val="both"/>
        <w:rPr>
          <w:rFonts w:asciiTheme="minorHAnsi" w:hAnsiTheme="minorHAnsi" w:cstheme="minorHAnsi"/>
          <w:szCs w:val="20"/>
        </w:rPr>
      </w:pPr>
    </w:p>
    <w:p w:rsidR="003E1F91" w:rsidRPr="007972CA" w:rsidRDefault="003E1F91" w:rsidP="00304574">
      <w:pPr>
        <w:tabs>
          <w:tab w:val="left" w:pos="2055"/>
        </w:tabs>
        <w:spacing w:after="0"/>
        <w:ind w:left="284"/>
        <w:jc w:val="both"/>
        <w:rPr>
          <w:rFonts w:asciiTheme="minorHAnsi" w:eastAsia="Times New Roman" w:hAnsiTheme="minorHAnsi" w:cstheme="minorHAnsi"/>
          <w:b/>
          <w:color w:val="B71234"/>
          <w:sz w:val="22"/>
        </w:rPr>
      </w:pPr>
      <w:r>
        <w:rPr>
          <w:rFonts w:asciiTheme="minorHAnsi" w:hAnsiTheme="minorHAnsi"/>
          <w:b/>
          <w:color w:val="B71234"/>
          <w:sz w:val="22"/>
        </w:rPr>
        <w:t>Vooruitzichten</w:t>
      </w:r>
    </w:p>
    <w:p w:rsidR="003E1F91" w:rsidRPr="003E1F91" w:rsidRDefault="003E1F91" w:rsidP="00304574">
      <w:pPr>
        <w:spacing w:after="0"/>
        <w:ind w:left="284"/>
        <w:jc w:val="both"/>
        <w:rPr>
          <w:rFonts w:asciiTheme="minorHAnsi" w:eastAsia="Times New Roman" w:hAnsiTheme="minorHAnsi" w:cstheme="minorHAnsi"/>
          <w:szCs w:val="20"/>
        </w:rPr>
      </w:pPr>
      <w:r>
        <w:rPr>
          <w:rFonts w:asciiTheme="minorHAnsi" w:hAnsiTheme="minorHAnsi"/>
          <w:color w:val="B71234"/>
          <w:szCs w:val="20"/>
        </w:rPr>
        <w:t>Rood</w:t>
      </w:r>
      <w:r>
        <w:rPr>
          <w:rFonts w:asciiTheme="minorHAnsi" w:hAnsiTheme="minorHAnsi"/>
          <w:szCs w:val="20"/>
        </w:rPr>
        <w:t>Microtec verwacht dat haar omzet in de komende paar jaar zal blijven groeien, en prognosticeert een omzet van ca. EUR 18 miljoen in 2020. De resultaten zullen blijven verbeteren en de onderneming verwacht elk jaar positieve nettowinst te boeken.</w:t>
      </w:r>
    </w:p>
    <w:p w:rsidR="003E1F91" w:rsidRPr="005136E4" w:rsidRDefault="003E1F91" w:rsidP="007972CA">
      <w:pPr>
        <w:spacing w:before="240"/>
        <w:ind w:left="284"/>
        <w:jc w:val="both"/>
        <w:rPr>
          <w:rFonts w:asciiTheme="minorHAnsi" w:hAnsiTheme="minorHAnsi" w:cstheme="minorHAnsi"/>
          <w:szCs w:val="20"/>
        </w:rPr>
      </w:pPr>
    </w:p>
    <w:p w:rsidR="003E1F91" w:rsidRPr="007972CA" w:rsidRDefault="003E1F91" w:rsidP="00304574">
      <w:pPr>
        <w:tabs>
          <w:tab w:val="left" w:pos="2055"/>
        </w:tabs>
        <w:spacing w:after="0"/>
        <w:ind w:left="284"/>
        <w:jc w:val="both"/>
        <w:rPr>
          <w:rFonts w:asciiTheme="minorHAnsi" w:eastAsia="Times New Roman" w:hAnsiTheme="minorHAnsi" w:cstheme="minorHAnsi"/>
          <w:b/>
          <w:color w:val="B71234"/>
          <w:sz w:val="22"/>
        </w:rPr>
      </w:pPr>
      <w:r>
        <w:rPr>
          <w:rFonts w:asciiTheme="minorHAnsi" w:hAnsiTheme="minorHAnsi"/>
          <w:b/>
          <w:color w:val="B71234"/>
          <w:sz w:val="22"/>
        </w:rPr>
        <w:t>Conference call vandaag 8 maart 2018 om 9.30 's ochtends</w:t>
      </w:r>
    </w:p>
    <w:p w:rsidR="003E1F91" w:rsidRPr="003E1F91" w:rsidRDefault="003E1F91" w:rsidP="00304574">
      <w:pPr>
        <w:autoSpaceDE w:val="0"/>
        <w:autoSpaceDN w:val="0"/>
        <w:adjustRightInd w:val="0"/>
        <w:spacing w:after="0" w:line="240" w:lineRule="auto"/>
        <w:ind w:left="284"/>
        <w:jc w:val="both"/>
        <w:rPr>
          <w:rFonts w:asciiTheme="minorHAnsi" w:eastAsia="Times New Roman" w:hAnsiTheme="minorHAnsi" w:cstheme="minorHAnsi"/>
          <w:szCs w:val="20"/>
        </w:rPr>
      </w:pPr>
      <w:r>
        <w:rPr>
          <w:rFonts w:asciiTheme="minorHAnsi" w:hAnsiTheme="minorHAnsi"/>
          <w:szCs w:val="20"/>
        </w:rPr>
        <w:t xml:space="preserve">Wij nodigen u uit om deel te nemen aan </w:t>
      </w:r>
      <w:r>
        <w:rPr>
          <w:rFonts w:asciiTheme="minorHAnsi" w:hAnsiTheme="minorHAnsi"/>
          <w:color w:val="B71234"/>
          <w:szCs w:val="20"/>
        </w:rPr>
        <w:t>Rood</w:t>
      </w:r>
      <w:r>
        <w:rPr>
          <w:rFonts w:asciiTheme="minorHAnsi" w:hAnsiTheme="minorHAnsi"/>
          <w:szCs w:val="20"/>
        </w:rPr>
        <w:t>Microtecs conference call voor pers en analisten op donderdagochtend 8 maart om 9.30. De directie zal daarin de nog niet gecontroleerde jaarcijfers 2017 in detail bespreken en uw vragen beantwoorden.</w:t>
      </w:r>
    </w:p>
    <w:p w:rsidR="003E1F91" w:rsidRPr="003E1F91" w:rsidRDefault="003E1F91" w:rsidP="003E1F91">
      <w:pPr>
        <w:spacing w:before="100" w:beforeAutospacing="1" w:after="100" w:afterAutospacing="1" w:line="240" w:lineRule="auto"/>
        <w:ind w:left="284"/>
        <w:jc w:val="both"/>
        <w:rPr>
          <w:rFonts w:asciiTheme="minorHAnsi" w:eastAsia="Times New Roman" w:hAnsiTheme="minorHAnsi" w:cstheme="minorHAnsi"/>
          <w:szCs w:val="20"/>
        </w:rPr>
      </w:pPr>
      <w:r>
        <w:rPr>
          <w:rFonts w:asciiTheme="minorHAnsi" w:hAnsiTheme="minorHAnsi"/>
          <w:szCs w:val="20"/>
        </w:rPr>
        <w:t>U kunt hiervoor inbellen via het volgende telefoonnummer: +31(0)20 531 5850.</w:t>
      </w:r>
    </w:p>
    <w:p w:rsidR="002E61B2" w:rsidRPr="002E61B2" w:rsidRDefault="002E61B2" w:rsidP="002E61B2">
      <w:pPr>
        <w:tabs>
          <w:tab w:val="left" w:pos="2055"/>
        </w:tabs>
        <w:spacing w:after="200"/>
        <w:ind w:left="284"/>
        <w:jc w:val="both"/>
        <w:rPr>
          <w:rFonts w:asciiTheme="minorHAnsi" w:eastAsia="Times New Roman" w:hAnsiTheme="minorHAnsi" w:cstheme="minorHAnsi"/>
          <w:b/>
          <w:color w:val="B71234"/>
          <w:sz w:val="22"/>
        </w:rPr>
      </w:pPr>
      <w:r>
        <w:rPr>
          <w:rFonts w:asciiTheme="minorHAnsi" w:hAnsiTheme="minorHAnsi"/>
          <w:b/>
          <w:color w:val="B71234"/>
          <w:sz w:val="22"/>
        </w:rPr>
        <w:lastRenderedPageBreak/>
        <w:t>Financiële agenda</w:t>
      </w:r>
    </w:p>
    <w:tbl>
      <w:tblPr>
        <w:tblW w:w="9604" w:type="dxa"/>
        <w:tblInd w:w="2" w:type="dxa"/>
        <w:tblLook w:val="00A0"/>
      </w:tblPr>
      <w:tblGrid>
        <w:gridCol w:w="2800"/>
        <w:gridCol w:w="6804"/>
      </w:tblGrid>
      <w:tr w:rsidR="002E61B2" w:rsidRPr="002E61B2" w:rsidTr="002E61B2">
        <w:trPr>
          <w:trHeight w:val="284"/>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28 maart 2018</w:t>
            </w:r>
          </w:p>
        </w:tc>
        <w:tc>
          <w:tcPr>
            <w:tcW w:w="6804"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Publicatie jaarverslag 2017</w:t>
            </w:r>
          </w:p>
        </w:tc>
      </w:tr>
      <w:tr w:rsidR="002E61B2" w:rsidRPr="00800E1B" w:rsidTr="002E61B2">
        <w:trPr>
          <w:trHeight w:val="284"/>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17 mei 2018</w:t>
            </w:r>
          </w:p>
        </w:tc>
        <w:tc>
          <w:tcPr>
            <w:tcW w:w="6804" w:type="dxa"/>
          </w:tcPr>
          <w:p w:rsidR="002E61B2" w:rsidRPr="005136E4" w:rsidRDefault="002E61B2" w:rsidP="002E61B2">
            <w:pPr>
              <w:spacing w:after="0"/>
              <w:ind w:left="284"/>
              <w:jc w:val="both"/>
              <w:rPr>
                <w:rFonts w:asciiTheme="minorHAnsi" w:eastAsia="Times New Roman" w:hAnsiTheme="minorHAnsi" w:cstheme="minorHAnsi"/>
                <w:szCs w:val="20"/>
                <w:lang w:val="en-US"/>
              </w:rPr>
            </w:pPr>
            <w:r w:rsidRPr="005136E4">
              <w:rPr>
                <w:rFonts w:asciiTheme="minorHAnsi" w:hAnsiTheme="minorHAnsi"/>
                <w:szCs w:val="20"/>
                <w:lang w:val="en-US"/>
              </w:rPr>
              <w:t>Annual general meeting of shareholders</w:t>
            </w:r>
          </w:p>
        </w:tc>
      </w:tr>
      <w:tr w:rsidR="002E61B2" w:rsidRPr="002E61B2" w:rsidTr="002E61B2">
        <w:trPr>
          <w:trHeight w:val="284"/>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18 mei 2018</w:t>
            </w:r>
          </w:p>
        </w:tc>
        <w:tc>
          <w:tcPr>
            <w:tcW w:w="6804"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Algemene vergadering van obligatiehouders</w:t>
            </w:r>
          </w:p>
        </w:tc>
      </w:tr>
      <w:tr w:rsidR="002E61B2" w:rsidRPr="002E61B2" w:rsidTr="002E61B2">
        <w:trPr>
          <w:trHeight w:val="284"/>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5 juli 2018</w:t>
            </w:r>
          </w:p>
        </w:tc>
        <w:tc>
          <w:tcPr>
            <w:tcW w:w="6804"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Publicatie omzetcijfers eerste halfjaar 2018</w:t>
            </w:r>
          </w:p>
        </w:tc>
      </w:tr>
      <w:tr w:rsidR="002E61B2" w:rsidRPr="002E61B2" w:rsidTr="002E61B2">
        <w:trPr>
          <w:trHeight w:val="287"/>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2 augustus 2018</w:t>
            </w:r>
          </w:p>
        </w:tc>
        <w:tc>
          <w:tcPr>
            <w:tcW w:w="6804"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Publicatie halfjaarbericht 2018</w:t>
            </w:r>
          </w:p>
        </w:tc>
      </w:tr>
      <w:tr w:rsidR="002E61B2" w:rsidRPr="002E61B2" w:rsidTr="002E61B2">
        <w:trPr>
          <w:trHeight w:val="292"/>
        </w:trPr>
        <w:tc>
          <w:tcPr>
            <w:tcW w:w="2800"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2 augustus 2018</w:t>
            </w:r>
          </w:p>
        </w:tc>
        <w:tc>
          <w:tcPr>
            <w:tcW w:w="6804" w:type="dxa"/>
          </w:tcPr>
          <w:p w:rsidR="002E61B2" w:rsidRPr="002E61B2" w:rsidRDefault="002E61B2" w:rsidP="002E61B2">
            <w:pPr>
              <w:spacing w:after="0"/>
              <w:ind w:left="284"/>
              <w:jc w:val="both"/>
              <w:rPr>
                <w:rFonts w:asciiTheme="minorHAnsi" w:eastAsia="Times New Roman" w:hAnsiTheme="minorHAnsi" w:cstheme="minorHAnsi"/>
                <w:szCs w:val="20"/>
              </w:rPr>
            </w:pPr>
            <w:r>
              <w:rPr>
                <w:rFonts w:asciiTheme="minorHAnsi" w:hAnsiTheme="minorHAnsi"/>
                <w:szCs w:val="20"/>
              </w:rPr>
              <w:t>Conference call voor pers en analisten</w:t>
            </w:r>
          </w:p>
        </w:tc>
      </w:tr>
    </w:tbl>
    <w:p w:rsidR="003E1F91" w:rsidRPr="00304574" w:rsidRDefault="003E1F91" w:rsidP="007972CA">
      <w:pPr>
        <w:spacing w:before="240"/>
        <w:ind w:left="284"/>
        <w:jc w:val="both"/>
        <w:rPr>
          <w:rFonts w:asciiTheme="minorHAnsi" w:hAnsiTheme="minorHAnsi" w:cstheme="minorHAnsi"/>
          <w:szCs w:val="20"/>
        </w:rPr>
      </w:pPr>
    </w:p>
    <w:p w:rsidR="002E61B2" w:rsidRPr="002E61B2" w:rsidRDefault="002E61B2" w:rsidP="00304574">
      <w:pPr>
        <w:tabs>
          <w:tab w:val="left" w:pos="2055"/>
        </w:tabs>
        <w:spacing w:after="0"/>
        <w:ind w:left="284"/>
        <w:jc w:val="both"/>
        <w:rPr>
          <w:rFonts w:asciiTheme="minorHAnsi" w:eastAsia="Times New Roman" w:hAnsiTheme="minorHAnsi" w:cstheme="minorHAnsi"/>
          <w:b/>
          <w:color w:val="B71234"/>
          <w:sz w:val="22"/>
        </w:rPr>
      </w:pPr>
      <w:r>
        <w:rPr>
          <w:rFonts w:asciiTheme="minorHAnsi" w:hAnsiTheme="minorHAnsi"/>
          <w:b/>
          <w:color w:val="B71234"/>
          <w:sz w:val="22"/>
        </w:rPr>
        <w:t>Toekomstgerichte uitspraken</w:t>
      </w:r>
    </w:p>
    <w:p w:rsidR="002E61B2" w:rsidRPr="002E61B2" w:rsidRDefault="002E61B2" w:rsidP="00304574">
      <w:pPr>
        <w:spacing w:after="0"/>
        <w:ind w:left="284"/>
        <w:jc w:val="both"/>
        <w:rPr>
          <w:rFonts w:asciiTheme="minorHAnsi" w:eastAsia="Times New Roman" w:hAnsiTheme="minorHAnsi" w:cstheme="minorHAnsi"/>
          <w:szCs w:val="20"/>
        </w:rPr>
      </w:pPr>
      <w:r>
        <w:rPr>
          <w:rFonts w:asciiTheme="minorHAnsi" w:hAnsiTheme="minorHAnsi"/>
          <w:szCs w:val="20"/>
        </w:rPr>
        <w:t xml:space="preserve">Dit persbericht bevat een aantal toekomstgerichte uitspraken. Deze uitspraken zijn gebaseerd op de huidige verwachtingen, inschattingen en prognoses van het management en de informatie die de onderneming momenteel ter beschikking staat. De uitspraken zijn onderhevig aan bepaalde risico’s en onzekerheden die moeilijk zijn in te schatten, zoals algemene economische omstandigheden, rentepercentages, wisselkoersen en veranderingen in wet- en regelgeving. Het bestuur van </w:t>
      </w:r>
      <w:r>
        <w:rPr>
          <w:rFonts w:asciiTheme="minorHAnsi" w:hAnsiTheme="minorHAnsi"/>
          <w:color w:val="B71234"/>
          <w:szCs w:val="20"/>
        </w:rPr>
        <w:t>Rood</w:t>
      </w:r>
      <w:r>
        <w:rPr>
          <w:rFonts w:asciiTheme="minorHAnsi" w:hAnsiTheme="minorHAnsi"/>
          <w:szCs w:val="20"/>
        </w:rPr>
        <w:t xml:space="preserve">Microtec kan dan ook niet garanderen dat haar verwachtingen zullen uitkomen. Verder aanvaardt </w:t>
      </w:r>
      <w:r>
        <w:rPr>
          <w:rFonts w:asciiTheme="minorHAnsi" w:hAnsiTheme="minorHAnsi"/>
          <w:color w:val="B71234"/>
          <w:szCs w:val="20"/>
        </w:rPr>
        <w:t>Rood</w:t>
      </w:r>
      <w:r>
        <w:rPr>
          <w:rFonts w:asciiTheme="minorHAnsi" w:hAnsiTheme="minorHAnsi"/>
          <w:szCs w:val="20"/>
        </w:rPr>
        <w:t xml:space="preserve">Microtec geen verplichting om de in dit persbericht gedane uitspraken te actualiseren. </w:t>
      </w:r>
    </w:p>
    <w:p w:rsidR="003E1F91" w:rsidRPr="002E61B2" w:rsidRDefault="003E1F91" w:rsidP="007972CA">
      <w:pPr>
        <w:spacing w:before="240"/>
        <w:ind w:left="284"/>
        <w:jc w:val="both"/>
        <w:rPr>
          <w:rFonts w:asciiTheme="minorHAnsi" w:hAnsiTheme="minorHAnsi" w:cstheme="minorHAnsi"/>
          <w:szCs w:val="20"/>
        </w:rPr>
      </w:pPr>
    </w:p>
    <w:p w:rsidR="002E61B2" w:rsidRPr="0093195A" w:rsidRDefault="002E61B2" w:rsidP="00304574">
      <w:pPr>
        <w:spacing w:after="0"/>
        <w:ind w:left="284" w:right="142"/>
        <w:jc w:val="both"/>
        <w:rPr>
          <w:b/>
          <w:sz w:val="22"/>
        </w:rPr>
      </w:pPr>
      <w:r>
        <w:rPr>
          <w:b/>
          <w:sz w:val="22"/>
        </w:rPr>
        <w:t xml:space="preserve">Over </w:t>
      </w:r>
      <w:r>
        <w:rPr>
          <w:b/>
          <w:color w:val="B71234"/>
          <w:sz w:val="22"/>
        </w:rPr>
        <w:t>Rood</w:t>
      </w:r>
      <w:r>
        <w:rPr>
          <w:b/>
          <w:sz w:val="22"/>
        </w:rPr>
        <w:t>Microtec</w:t>
      </w:r>
    </w:p>
    <w:p w:rsidR="002E61B2" w:rsidRPr="0093195A" w:rsidRDefault="002E61B2" w:rsidP="00304574">
      <w:pPr>
        <w:ind w:left="284" w:right="142"/>
        <w:jc w:val="both"/>
        <w:rPr>
          <w:szCs w:val="20"/>
        </w:rPr>
      </w:pPr>
      <w:r>
        <w:t xml:space="preserve">Met meer dan 45 jaar ervaring als een onafhankelijke value-added dienstverlener op het gebied  van micro- en optoelectronica biedt </w:t>
      </w:r>
      <w:r>
        <w:rPr>
          <w:color w:val="B71234"/>
          <w:szCs w:val="20"/>
        </w:rPr>
        <w:t>Rood</w:t>
      </w:r>
      <w:r>
        <w:t xml:space="preserve">Microtec Fabless Companies, OEM's en andere ondernemingen een one-stop shop propositie. Met haar powerful solutions heeft </w:t>
      </w:r>
      <w:r>
        <w:rPr>
          <w:color w:val="B71234"/>
          <w:szCs w:val="20"/>
        </w:rPr>
        <w:t>Rood</w:t>
      </w:r>
      <w:r>
        <w:t>Microtec een sterke positie in Europa opgebouwd.</w:t>
      </w:r>
    </w:p>
    <w:p w:rsidR="002E61B2" w:rsidRPr="0093195A" w:rsidRDefault="002E61B2" w:rsidP="00304574">
      <w:pPr>
        <w:ind w:left="284" w:right="142"/>
        <w:jc w:val="both"/>
        <w:rPr>
          <w:szCs w:val="20"/>
        </w:rPr>
      </w:pPr>
      <w:r>
        <w:t>Onze diensten voldoen aan de industriële en kwaliteitseisen van de high-reliability/ruimtevaart, automobiel-, telecommunicatie-, medische-, IT- and elektronicasectoren.</w:t>
      </w:r>
    </w:p>
    <w:p w:rsidR="002E61B2" w:rsidRPr="0093195A" w:rsidRDefault="002E61B2" w:rsidP="00304574">
      <w:pPr>
        <w:ind w:left="284" w:right="142"/>
        <w:jc w:val="both"/>
        <w:rPr>
          <w:szCs w:val="20"/>
        </w:rPr>
      </w:pPr>
      <w:r>
        <w:t>Ons geïntegreerde kwaliteitsmanagementsysteem is gebaseerd op internationale DIN EN ISO 9001:2015 normen. Ons kwaliteitsmanagement is tevens in grote lijnen in overeenstemming met de Automobielspecificatie ISO/TS 16949. De onderneming heeft ook een geaccrediteerd laboratorium voor testactiviteiten en kwalificatie volgens de ISO/IEC 17025 norm.</w:t>
      </w:r>
    </w:p>
    <w:p w:rsidR="002E61B2" w:rsidRPr="005136E4" w:rsidRDefault="002E61B2" w:rsidP="00304574">
      <w:pPr>
        <w:ind w:left="284" w:right="142"/>
        <w:jc w:val="both"/>
        <w:rPr>
          <w:szCs w:val="20"/>
          <w:lang w:val="en-US"/>
        </w:rPr>
      </w:pPr>
      <w:r w:rsidRPr="005136E4">
        <w:rPr>
          <w:lang w:val="en-US"/>
        </w:rPr>
        <w:t xml:space="preserve">De value-added </w:t>
      </w:r>
      <w:proofErr w:type="spellStart"/>
      <w:r w:rsidRPr="005136E4">
        <w:rPr>
          <w:lang w:val="en-US"/>
        </w:rPr>
        <w:t>diensten</w:t>
      </w:r>
      <w:proofErr w:type="spellEnd"/>
      <w:r w:rsidRPr="005136E4">
        <w:rPr>
          <w:lang w:val="en-US"/>
        </w:rPr>
        <w:t xml:space="preserve"> </w:t>
      </w:r>
      <w:proofErr w:type="spellStart"/>
      <w:r w:rsidRPr="005136E4">
        <w:rPr>
          <w:lang w:val="en-US"/>
        </w:rPr>
        <w:t>omvatten</w:t>
      </w:r>
      <w:proofErr w:type="spellEnd"/>
      <w:r w:rsidRPr="005136E4">
        <w:rPr>
          <w:lang w:val="en-US"/>
        </w:rPr>
        <w:t xml:space="preserve"> </w:t>
      </w:r>
      <w:proofErr w:type="spellStart"/>
      <w:r w:rsidRPr="005136E4">
        <w:rPr>
          <w:lang w:val="en-US"/>
        </w:rPr>
        <w:t>onder</w:t>
      </w:r>
      <w:proofErr w:type="spellEnd"/>
      <w:r w:rsidRPr="005136E4">
        <w:rPr>
          <w:lang w:val="en-US"/>
        </w:rPr>
        <w:t xml:space="preserve"> </w:t>
      </w:r>
      <w:proofErr w:type="spellStart"/>
      <w:r w:rsidRPr="005136E4">
        <w:rPr>
          <w:lang w:val="en-US"/>
        </w:rPr>
        <w:t>meer</w:t>
      </w:r>
      <w:proofErr w:type="spellEnd"/>
      <w:r w:rsidRPr="005136E4">
        <w:rPr>
          <w:lang w:val="en-US"/>
        </w:rPr>
        <w:t xml:space="preserve"> (</w:t>
      </w:r>
      <w:proofErr w:type="spellStart"/>
      <w:r w:rsidRPr="005136E4">
        <w:rPr>
          <w:lang w:val="en-US"/>
        </w:rPr>
        <w:t>e</w:t>
      </w:r>
      <w:r w:rsidRPr="005136E4">
        <w:rPr>
          <w:color w:val="C00000"/>
          <w:szCs w:val="20"/>
          <w:lang w:val="en-US"/>
        </w:rPr>
        <w:t>X</w:t>
      </w:r>
      <w:r w:rsidRPr="005136E4">
        <w:rPr>
          <w:lang w:val="en-US"/>
        </w:rPr>
        <w:t>tended</w:t>
      </w:r>
      <w:proofErr w:type="spellEnd"/>
      <w:r w:rsidRPr="005136E4">
        <w:rPr>
          <w:lang w:val="en-US"/>
        </w:rPr>
        <w:t xml:space="preserve">) Supply Chain Management en Total Manufacturing Solutions in </w:t>
      </w:r>
      <w:proofErr w:type="spellStart"/>
      <w:r w:rsidRPr="005136E4">
        <w:rPr>
          <w:lang w:val="en-US"/>
        </w:rPr>
        <w:t>samenwerking</w:t>
      </w:r>
      <w:proofErr w:type="spellEnd"/>
      <w:r w:rsidRPr="005136E4">
        <w:rPr>
          <w:lang w:val="en-US"/>
        </w:rPr>
        <w:t xml:space="preserve"> met </w:t>
      </w:r>
      <w:proofErr w:type="spellStart"/>
      <w:r w:rsidRPr="005136E4">
        <w:rPr>
          <w:lang w:val="en-US"/>
        </w:rPr>
        <w:t>onze</w:t>
      </w:r>
      <w:proofErr w:type="spellEnd"/>
      <w:r w:rsidRPr="005136E4">
        <w:rPr>
          <w:lang w:val="en-US"/>
        </w:rPr>
        <w:t xml:space="preserve"> partners, failure &amp; technology analysis, qualification &amp; burn-in, test- &amp; product engineering, production test (</w:t>
      </w:r>
      <w:proofErr w:type="spellStart"/>
      <w:r w:rsidRPr="005136E4">
        <w:rPr>
          <w:lang w:val="en-US"/>
        </w:rPr>
        <w:t>inclusief</w:t>
      </w:r>
      <w:proofErr w:type="spellEnd"/>
      <w:r w:rsidRPr="005136E4">
        <w:rPr>
          <w:lang w:val="en-US"/>
        </w:rPr>
        <w:t xml:space="preserve"> device programming en end-of-line service), ESD/ESDFOS assessment &amp; training, and quality &amp; reliability consulting.</w:t>
      </w:r>
    </w:p>
    <w:p w:rsidR="002E61B2" w:rsidRPr="0093195A" w:rsidRDefault="002E61B2" w:rsidP="00304574">
      <w:pPr>
        <w:ind w:left="284" w:right="142"/>
        <w:jc w:val="both"/>
        <w:rPr>
          <w:szCs w:val="20"/>
        </w:rPr>
      </w:pPr>
      <w:r>
        <w:rPr>
          <w:color w:val="B71234"/>
          <w:szCs w:val="20"/>
        </w:rPr>
        <w:t>Rood</w:t>
      </w:r>
      <w:r>
        <w:t xml:space="preserve">Microtec heeft vestigingen in Duitsland (Dresden, Nördlingen, Stuttgart), in het Verenigd Koninkrijk (Bath) en in Nederland (Zwolle). </w:t>
      </w:r>
    </w:p>
    <w:p w:rsidR="002E61B2" w:rsidRPr="0093195A" w:rsidRDefault="002E61B2" w:rsidP="00304574">
      <w:pPr>
        <w:ind w:left="284" w:right="142"/>
        <w:jc w:val="both"/>
        <w:rPr>
          <w:szCs w:val="20"/>
        </w:rPr>
      </w:pPr>
      <w:r>
        <w:t xml:space="preserve">Voor meer informatie visit: </w:t>
      </w:r>
      <w:hyperlink r:id="rId8" w:history="1">
        <w:r>
          <w:rPr>
            <w:rStyle w:val="Hyperlink"/>
          </w:rPr>
          <w:t>http://www.roodmicrotec.com</w:t>
        </w:r>
      </w:hyperlink>
      <w:r>
        <w:t xml:space="preserve"> </w:t>
      </w:r>
    </w:p>
    <w:p w:rsidR="007972CA" w:rsidRPr="002E61B2" w:rsidRDefault="007972CA" w:rsidP="007972CA">
      <w:pPr>
        <w:spacing w:before="240"/>
        <w:ind w:left="284"/>
        <w:jc w:val="both"/>
        <w:rPr>
          <w:rFonts w:asciiTheme="minorHAnsi" w:hAnsiTheme="minorHAnsi" w:cstheme="minorHAnsi"/>
          <w:szCs w:val="20"/>
        </w:rPr>
      </w:pPr>
    </w:p>
    <w:p w:rsidR="00057FBD" w:rsidRPr="00057FBD" w:rsidRDefault="00057FBD" w:rsidP="00057FBD">
      <w:pPr>
        <w:ind w:left="252"/>
        <w:rPr>
          <w:rFonts w:asciiTheme="minorHAnsi" w:hAnsiTheme="minorHAnsi" w:cstheme="minorHAnsi"/>
          <w:b/>
          <w:color w:val="B71234"/>
          <w:szCs w:val="20"/>
        </w:rPr>
      </w:pPr>
      <w:r>
        <w:rPr>
          <w:rFonts w:asciiTheme="minorHAnsi" w:hAnsiTheme="minorHAnsi"/>
          <w:b/>
          <w:color w:val="B71234"/>
          <w:szCs w:val="20"/>
        </w:rPr>
        <w:t>Voor nadere informatie</w:t>
      </w:r>
    </w:p>
    <w:p w:rsidR="00057FBD" w:rsidRPr="00057FBD" w:rsidRDefault="00057FBD" w:rsidP="00057FBD">
      <w:pPr>
        <w:spacing w:after="0"/>
        <w:ind w:left="252"/>
        <w:rPr>
          <w:rFonts w:asciiTheme="minorHAnsi" w:hAnsiTheme="minorHAnsi" w:cstheme="minorHAnsi"/>
          <w:szCs w:val="20"/>
        </w:rPr>
      </w:pPr>
      <w:r>
        <w:rPr>
          <w:rFonts w:asciiTheme="minorHAnsi" w:hAnsiTheme="minorHAnsi"/>
          <w:szCs w:val="20"/>
        </w:rPr>
        <w:t>Martin Sallenhag – CEO, Reinhard Pusch – COO, Arvid Ladega - CFO</w:t>
      </w:r>
    </w:p>
    <w:p w:rsidR="00057FBD" w:rsidRPr="00057FBD" w:rsidRDefault="00057FBD" w:rsidP="00057FBD">
      <w:pPr>
        <w:tabs>
          <w:tab w:val="left" w:pos="1134"/>
        </w:tabs>
        <w:spacing w:after="0"/>
        <w:ind w:left="252"/>
        <w:rPr>
          <w:rFonts w:asciiTheme="minorHAnsi" w:eastAsia="MS Mincho" w:hAnsiTheme="minorHAnsi" w:cstheme="minorHAnsi"/>
          <w:szCs w:val="20"/>
        </w:rPr>
      </w:pPr>
      <w:r>
        <w:rPr>
          <w:rFonts w:asciiTheme="minorHAnsi" w:hAnsiTheme="minorHAnsi"/>
          <w:szCs w:val="20"/>
        </w:rPr>
        <w:t>Telefoon:</w:t>
      </w:r>
      <w:r>
        <w:rPr>
          <w:rFonts w:asciiTheme="minorHAnsi" w:hAnsiTheme="minorHAnsi"/>
          <w:szCs w:val="20"/>
        </w:rPr>
        <w:tab/>
        <w:t>+31 38 4215216 </w:t>
      </w:r>
      <w:r>
        <w:rPr>
          <w:rFonts w:asciiTheme="minorHAnsi" w:hAnsiTheme="minorHAnsi"/>
          <w:szCs w:val="20"/>
        </w:rPr>
        <w:br/>
        <w:t>E-mail:</w:t>
      </w:r>
      <w:r>
        <w:rPr>
          <w:rFonts w:asciiTheme="minorHAnsi" w:hAnsiTheme="minorHAnsi"/>
          <w:szCs w:val="20"/>
        </w:rPr>
        <w:tab/>
      </w:r>
      <w:hyperlink r:id="rId9" w:history="1">
        <w:r>
          <w:rPr>
            <w:rStyle w:val="Hyperlink"/>
            <w:rFonts w:asciiTheme="minorHAnsi" w:hAnsiTheme="minorHAnsi"/>
            <w:szCs w:val="20"/>
          </w:rPr>
          <w:t>investor-relations@roodmicrotec.com</w:t>
        </w:r>
      </w:hyperlink>
      <w:r w:rsidR="00304574">
        <w:tab/>
      </w:r>
      <w:r>
        <w:rPr>
          <w:rFonts w:asciiTheme="minorHAnsi" w:hAnsiTheme="minorHAnsi"/>
          <w:szCs w:val="20"/>
        </w:rPr>
        <w:t>Web:</w:t>
      </w:r>
      <w:r>
        <w:rPr>
          <w:rFonts w:asciiTheme="minorHAnsi" w:hAnsiTheme="minorHAnsi"/>
          <w:szCs w:val="20"/>
        </w:rPr>
        <w:tab/>
      </w:r>
      <w:hyperlink r:id="rId10" w:history="1">
        <w:r>
          <w:rPr>
            <w:rStyle w:val="Hyperlink"/>
            <w:rFonts w:asciiTheme="minorHAnsi" w:hAnsiTheme="minorHAnsi"/>
            <w:szCs w:val="20"/>
          </w:rPr>
          <w:t>www.roodmicrotec.com</w:t>
        </w:r>
      </w:hyperlink>
      <w:r>
        <w:rPr>
          <w:rFonts w:asciiTheme="minorHAnsi" w:hAnsiTheme="minorHAnsi"/>
          <w:szCs w:val="20"/>
        </w:rPr>
        <w:t xml:space="preserve"> </w:t>
      </w:r>
    </w:p>
    <w:p w:rsidR="00057FBD" w:rsidRPr="002E61B2" w:rsidRDefault="00057FBD" w:rsidP="00057FBD">
      <w:pPr>
        <w:spacing w:before="240"/>
        <w:ind w:left="284"/>
        <w:jc w:val="both"/>
        <w:rPr>
          <w:rFonts w:asciiTheme="minorHAnsi" w:hAnsiTheme="minorHAnsi" w:cstheme="minorHAnsi"/>
          <w:szCs w:val="20"/>
        </w:rPr>
      </w:pPr>
    </w:p>
    <w:p w:rsidR="002E61B2" w:rsidRPr="00292E70" w:rsidRDefault="002E61B2" w:rsidP="00057FBD">
      <w:pPr>
        <w:spacing w:before="240" w:after="0"/>
        <w:ind w:left="227" w:right="142"/>
        <w:jc w:val="both"/>
        <w:rPr>
          <w:i/>
          <w:szCs w:val="20"/>
        </w:rPr>
      </w:pPr>
      <w:r>
        <w:rPr>
          <w:i/>
          <w:szCs w:val="20"/>
        </w:rPr>
        <w:t>Dit persbericht is gepubliceerd in het Engels</w:t>
      </w:r>
      <w:r w:rsidR="005762AF">
        <w:rPr>
          <w:i/>
          <w:szCs w:val="20"/>
        </w:rPr>
        <w:t xml:space="preserve"> en</w:t>
      </w:r>
      <w:r>
        <w:rPr>
          <w:i/>
          <w:szCs w:val="20"/>
        </w:rPr>
        <w:t xml:space="preserve"> Nederlands. In gevallen van tegenstrijdigheid tussen deze versies prevaleert de Engelse versie.</w:t>
      </w:r>
    </w:p>
    <w:p w:rsidR="003E1F91" w:rsidRPr="002E61B2" w:rsidRDefault="002E61B2" w:rsidP="00304574">
      <w:pPr>
        <w:spacing w:before="240"/>
        <w:ind w:left="227" w:right="142"/>
        <w:jc w:val="both"/>
        <w:rPr>
          <w:rFonts w:asciiTheme="minorHAnsi" w:eastAsia="Times New Roman" w:hAnsiTheme="minorHAnsi" w:cstheme="minorHAnsi"/>
          <w:b/>
          <w:szCs w:val="20"/>
        </w:rPr>
      </w:pPr>
      <w:r>
        <w:rPr>
          <w:i/>
          <w:szCs w:val="20"/>
        </w:rPr>
        <w:t xml:space="preserve">Deze mededeling bevat informatie die </w:t>
      </w:r>
      <w:r w:rsidR="00310A55">
        <w:rPr>
          <w:i/>
          <w:szCs w:val="20"/>
        </w:rPr>
        <w:t xml:space="preserve">geldt </w:t>
      </w:r>
      <w:r>
        <w:rPr>
          <w:i/>
          <w:szCs w:val="20"/>
        </w:rPr>
        <w:t xml:space="preserve"> als voorwetenschap in de zin van artikel 7, lid 1, van de EU-verordening inzake marktmisbruik. De gedelegeerd bestuurder en CEO van het bedrijf, Martin Sallenhag, is verantwoordelijk voor het regelen van de publicatie van dit document namens </w:t>
      </w:r>
      <w:r>
        <w:rPr>
          <w:i/>
          <w:color w:val="C00000"/>
          <w:szCs w:val="20"/>
        </w:rPr>
        <w:t>Rood</w:t>
      </w:r>
      <w:r>
        <w:rPr>
          <w:i/>
          <w:szCs w:val="20"/>
        </w:rPr>
        <w:t>Microtec.</w:t>
      </w:r>
      <w:r w:rsidR="003E1F91">
        <w:br w:type="page"/>
      </w:r>
    </w:p>
    <w:p w:rsidR="003E1F91" w:rsidRPr="002E61B2" w:rsidRDefault="003E1F91" w:rsidP="003E1F91">
      <w:pPr>
        <w:spacing w:after="0"/>
        <w:ind w:left="284"/>
        <w:jc w:val="both"/>
        <w:rPr>
          <w:rFonts w:asciiTheme="minorHAnsi" w:eastAsia="Times New Roman" w:hAnsiTheme="minorHAnsi" w:cstheme="minorHAnsi"/>
          <w:b/>
          <w:szCs w:val="20"/>
          <w:lang w:eastAsia="en-GB" w:bidi="en-GB"/>
        </w:rPr>
      </w:pPr>
    </w:p>
    <w:p w:rsidR="003E1F91" w:rsidRPr="00304574" w:rsidRDefault="003E1F91" w:rsidP="00304574">
      <w:pPr>
        <w:ind w:left="252"/>
        <w:rPr>
          <w:rFonts w:asciiTheme="minorHAnsi" w:hAnsiTheme="minorHAnsi"/>
          <w:b/>
          <w:color w:val="B71234"/>
          <w:szCs w:val="20"/>
        </w:rPr>
      </w:pPr>
      <w:r w:rsidRPr="00304574">
        <w:rPr>
          <w:rFonts w:asciiTheme="minorHAnsi" w:hAnsiTheme="minorHAnsi"/>
          <w:b/>
          <w:color w:val="B71234"/>
          <w:szCs w:val="20"/>
        </w:rPr>
        <w:t>Geconsolideerde winst- en verliesrekening</w:t>
      </w:r>
    </w:p>
    <w:p w:rsidR="003E1F91" w:rsidRPr="005136E4" w:rsidRDefault="003E1F91" w:rsidP="003E1F91">
      <w:pPr>
        <w:spacing w:after="0"/>
        <w:ind w:left="284"/>
        <w:jc w:val="both"/>
        <w:rPr>
          <w:rFonts w:asciiTheme="minorHAnsi" w:eastAsia="Times New Roman" w:hAnsiTheme="minorHAnsi" w:cstheme="minorHAnsi"/>
          <w:b/>
          <w:bCs/>
          <w:szCs w:val="20"/>
          <w:lang w:eastAsia="en-GB" w:bidi="en-GB"/>
        </w:rPr>
      </w:pPr>
    </w:p>
    <w:tbl>
      <w:tblPr>
        <w:tblW w:w="9694" w:type="dxa"/>
        <w:tblInd w:w="284" w:type="dxa"/>
        <w:tblLook w:val="04A0"/>
      </w:tblPr>
      <w:tblGrid>
        <w:gridCol w:w="3820"/>
        <w:gridCol w:w="1380"/>
        <w:gridCol w:w="1380"/>
        <w:gridCol w:w="294"/>
        <w:gridCol w:w="1380"/>
        <w:gridCol w:w="1440"/>
      </w:tblGrid>
      <w:tr w:rsidR="003E1F91" w:rsidRPr="003E1F91" w:rsidTr="003E1F91">
        <w:trPr>
          <w:trHeight w:val="70"/>
        </w:trPr>
        <w:tc>
          <w:tcPr>
            <w:tcW w:w="382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single" w:sz="8" w:space="0" w:color="000000"/>
              <w:left w:val="nil"/>
              <w:bottom w:val="nil"/>
              <w:right w:val="nil"/>
            </w:tcBorders>
            <w:shd w:val="clear" w:color="auto" w:fill="auto"/>
            <w:vAlign w:val="center"/>
            <w:hideMark/>
          </w:tcPr>
          <w:p w:rsidR="003E1F91" w:rsidRPr="003E1F91" w:rsidRDefault="00643105" w:rsidP="00643105">
            <w:pPr>
              <w:spacing w:after="0" w:line="240" w:lineRule="auto"/>
              <w:jc w:val="center"/>
              <w:rPr>
                <w:rFonts w:asciiTheme="minorHAnsi" w:eastAsia="Times New Roman" w:hAnsiTheme="minorHAnsi" w:cstheme="minorHAnsi"/>
                <w:color w:val="000000"/>
                <w:szCs w:val="20"/>
              </w:rPr>
            </w:pPr>
            <w:r>
              <w:rPr>
                <w:rFonts w:asciiTheme="minorHAnsi" w:hAnsiTheme="minorHAnsi"/>
                <w:szCs w:val="20"/>
              </w:rPr>
              <w:t>Niet gecontroleerd</w:t>
            </w:r>
          </w:p>
        </w:tc>
        <w:tc>
          <w:tcPr>
            <w:tcW w:w="294"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520"/>
        </w:trPr>
        <w:tc>
          <w:tcPr>
            <w:tcW w:w="382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i/>
                <w:iCs/>
                <w:color w:val="000000"/>
                <w:szCs w:val="20"/>
              </w:rPr>
            </w:pPr>
            <w:r>
              <w:rPr>
                <w:rFonts w:asciiTheme="minorHAnsi" w:hAnsiTheme="minorHAnsi"/>
                <w:i/>
                <w:iCs/>
                <w:color w:val="000000"/>
                <w:szCs w:val="20"/>
              </w:rPr>
              <w:t>(x EUR 1.000)</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2017</w:t>
            </w:r>
          </w:p>
        </w:tc>
        <w:tc>
          <w:tcPr>
            <w:tcW w:w="294"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44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2016</w:t>
            </w:r>
          </w:p>
        </w:tc>
      </w:tr>
      <w:tr w:rsidR="003E1F91" w:rsidRPr="003E1F91" w:rsidTr="003E1F91">
        <w:trPr>
          <w:trHeight w:val="24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Netto-omzet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12.</w:t>
            </w:r>
            <w:r w:rsidR="003E1F91">
              <w:rPr>
                <w:rFonts w:asciiTheme="minorHAnsi" w:hAnsiTheme="minorHAnsi"/>
                <w:color w:val="000000"/>
                <w:szCs w:val="20"/>
              </w:rPr>
              <w:t>127</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10.</w:t>
            </w:r>
            <w:r w:rsidR="003E1F91">
              <w:rPr>
                <w:rFonts w:asciiTheme="minorHAnsi" w:hAnsiTheme="minorHAnsi"/>
                <w:color w:val="000000"/>
                <w:szCs w:val="20"/>
              </w:rPr>
              <w:t>465</w:t>
            </w: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Kostprijs omzet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970</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850</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Brutomarge</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10.</w:t>
            </w:r>
            <w:r w:rsidR="003E1F91">
              <w:rPr>
                <w:rFonts w:asciiTheme="minorHAnsi" w:hAnsiTheme="minorHAnsi"/>
                <w:b/>
                <w:bCs/>
                <w:color w:val="000000"/>
                <w:szCs w:val="20"/>
              </w:rPr>
              <w:t>157</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8.</w:t>
            </w:r>
            <w:r w:rsidR="003E1F91">
              <w:rPr>
                <w:rFonts w:asciiTheme="minorHAnsi" w:hAnsiTheme="minorHAnsi"/>
                <w:b/>
                <w:bCs/>
                <w:color w:val="000000"/>
                <w:szCs w:val="20"/>
              </w:rPr>
              <w:t>615</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Personeelskosten</w:t>
            </w:r>
            <w:bookmarkStart w:id="0" w:name="_GoBack"/>
            <w:bookmarkEnd w:id="0"/>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w:t>
            </w:r>
            <w:r w:rsidR="003E1F91">
              <w:rPr>
                <w:rFonts w:asciiTheme="minorHAnsi" w:hAnsiTheme="minorHAnsi"/>
                <w:color w:val="000000"/>
                <w:szCs w:val="20"/>
              </w:rPr>
              <w:t>105</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w:t>
            </w:r>
            <w:r w:rsidR="003E1F91">
              <w:rPr>
                <w:rFonts w:asciiTheme="minorHAnsi" w:hAnsiTheme="minorHAnsi"/>
                <w:color w:val="000000"/>
                <w:szCs w:val="20"/>
              </w:rPr>
              <w:t>016</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Overige bedrijfskosten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703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909</w:t>
            </w:r>
          </w:p>
        </w:tc>
      </w:tr>
      <w:tr w:rsidR="003E1F91" w:rsidRPr="003E1F91" w:rsidTr="003E1F91">
        <w:trPr>
          <w:trHeight w:val="12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70"/>
        </w:trPr>
        <w:tc>
          <w:tcPr>
            <w:tcW w:w="382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Kosten afvloeiingsvergoeding</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-400</w:t>
            </w:r>
          </w:p>
        </w:tc>
        <w:tc>
          <w:tcPr>
            <w:tcW w:w="138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0</w:t>
            </w:r>
          </w:p>
        </w:tc>
        <w:tc>
          <w:tcPr>
            <w:tcW w:w="144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C51873">
            <w:pPr>
              <w:spacing w:after="0" w:line="240" w:lineRule="auto"/>
              <w:rPr>
                <w:rFonts w:asciiTheme="minorHAnsi" w:eastAsia="Times New Roman" w:hAnsiTheme="minorHAnsi" w:cstheme="minorHAnsi"/>
                <w:color w:val="000000"/>
                <w:szCs w:val="20"/>
              </w:rPr>
            </w:pPr>
            <w:r>
              <w:rPr>
                <w:rFonts w:asciiTheme="minorHAnsi" w:hAnsiTheme="minorHAnsi"/>
                <w:color w:val="000000"/>
                <w:szCs w:val="20"/>
              </w:rPr>
              <w:t>Bijzondere waardevermindering van financiële activa</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-346</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0</w:t>
            </w:r>
          </w:p>
        </w:tc>
        <w:tc>
          <w:tcPr>
            <w:tcW w:w="144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-746</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0</w:t>
            </w:r>
          </w:p>
        </w:tc>
      </w:tr>
      <w:tr w:rsidR="003E1F91" w:rsidRPr="003E1F91" w:rsidTr="003E1F91">
        <w:trPr>
          <w:trHeight w:val="150"/>
        </w:trPr>
        <w:tc>
          <w:tcPr>
            <w:tcW w:w="382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294"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nil"/>
              <w:left w:val="nil"/>
              <w:bottom w:val="single" w:sz="4" w:space="0" w:color="auto"/>
              <w:right w:val="nil"/>
            </w:tcBorders>
            <w:shd w:val="clear" w:color="auto" w:fill="auto"/>
            <w:noWrap/>
            <w:vAlign w:val="bottom"/>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Totale bedrijfskosten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-9.</w:t>
            </w:r>
            <w:r w:rsidR="003E1F91">
              <w:rPr>
                <w:rFonts w:asciiTheme="minorHAnsi" w:hAnsiTheme="minorHAnsi"/>
                <w:b/>
                <w:bCs/>
                <w:color w:val="000000"/>
                <w:szCs w:val="20"/>
              </w:rPr>
              <w:t>554</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-8.</w:t>
            </w:r>
            <w:r w:rsidR="003E1F91">
              <w:rPr>
                <w:rFonts w:asciiTheme="minorHAnsi" w:hAnsiTheme="minorHAnsi"/>
                <w:b/>
                <w:bCs/>
                <w:color w:val="000000"/>
                <w:szCs w:val="20"/>
              </w:rPr>
              <w:t>925</w:t>
            </w: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EBITDA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603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-310</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Afschrijvingen en amortisatie</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018</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029</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EBIT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-415</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w:t>
            </w:r>
            <w:r w:rsidR="003E1F91">
              <w:rPr>
                <w:rFonts w:asciiTheme="minorHAnsi" w:hAnsiTheme="minorHAnsi"/>
                <w:b/>
                <w:bCs/>
                <w:color w:val="000000"/>
                <w:szCs w:val="20"/>
              </w:rPr>
              <w:t>339</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Financiële kosten</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-258</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-248</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Resultaat voor belastingen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-673</w:t>
            </w: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w:t>
            </w:r>
            <w:r w:rsidR="003E1F91">
              <w:rPr>
                <w:rFonts w:asciiTheme="minorHAnsi" w:hAnsiTheme="minorHAnsi"/>
                <w:b/>
                <w:bCs/>
                <w:color w:val="000000"/>
                <w:szCs w:val="20"/>
              </w:rPr>
              <w:t>587</w:t>
            </w:r>
          </w:p>
        </w:tc>
      </w:tr>
      <w:tr w:rsidR="003E1F91" w:rsidRPr="003E1F91" w:rsidTr="003E1F91">
        <w:trPr>
          <w:trHeight w:val="270"/>
        </w:trPr>
        <w:tc>
          <w:tcPr>
            <w:tcW w:w="382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9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44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80"/>
        </w:trPr>
        <w:tc>
          <w:tcPr>
            <w:tcW w:w="382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Belastinglast</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283</w:t>
            </w:r>
          </w:p>
        </w:tc>
        <w:tc>
          <w:tcPr>
            <w:tcW w:w="294"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144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9</w:t>
            </w:r>
          </w:p>
        </w:tc>
      </w:tr>
      <w:tr w:rsidR="003E1F91" w:rsidRPr="003E1F91" w:rsidTr="003E1F91">
        <w:trPr>
          <w:trHeight w:val="280"/>
        </w:trPr>
        <w:tc>
          <w:tcPr>
            <w:tcW w:w="382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Nettowinst (verlies)</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-390</w:t>
            </w:r>
          </w:p>
        </w:tc>
        <w:tc>
          <w:tcPr>
            <w:tcW w:w="294"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440"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w:t>
            </w:r>
            <w:r w:rsidR="003E1F91">
              <w:rPr>
                <w:rFonts w:asciiTheme="minorHAnsi" w:hAnsiTheme="minorHAnsi"/>
                <w:b/>
                <w:bCs/>
                <w:color w:val="000000"/>
                <w:szCs w:val="20"/>
              </w:rPr>
              <w:t>578</w:t>
            </w:r>
          </w:p>
        </w:tc>
      </w:tr>
    </w:tbl>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tabs>
          <w:tab w:val="left" w:pos="4320"/>
        </w:tabs>
        <w:autoSpaceDE w:val="0"/>
        <w:spacing w:after="0"/>
        <w:ind w:left="284"/>
        <w:jc w:val="both"/>
        <w:rPr>
          <w:rFonts w:asciiTheme="minorHAnsi" w:eastAsia="Times New Roman" w:hAnsiTheme="minorHAnsi" w:cstheme="minorHAnsi"/>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highlight w:val="yellow"/>
          <w:lang w:val="en-GB" w:eastAsia="en-GB" w:bidi="en-GB"/>
        </w:rPr>
      </w:pPr>
    </w:p>
    <w:p w:rsidR="003E1F91" w:rsidRPr="003E1F91" w:rsidRDefault="003E1F91" w:rsidP="003E1F91">
      <w:pPr>
        <w:spacing w:after="0"/>
        <w:ind w:left="284"/>
        <w:jc w:val="both"/>
        <w:rPr>
          <w:rFonts w:asciiTheme="minorHAnsi" w:eastAsia="Times New Roman" w:hAnsiTheme="minorHAnsi" w:cstheme="minorHAnsi"/>
          <w:szCs w:val="20"/>
          <w:highlight w:val="yellow"/>
          <w:lang w:val="en-GB" w:eastAsia="en-GB" w:bidi="en-GB"/>
        </w:rPr>
      </w:pPr>
    </w:p>
    <w:p w:rsidR="003E1F91" w:rsidRPr="0087196A" w:rsidRDefault="003E1F91" w:rsidP="0087196A">
      <w:pPr>
        <w:ind w:left="252"/>
        <w:rPr>
          <w:rFonts w:asciiTheme="minorHAnsi" w:hAnsiTheme="minorHAnsi"/>
          <w:b/>
          <w:color w:val="B71234"/>
          <w:szCs w:val="20"/>
        </w:rPr>
      </w:pPr>
      <w:r w:rsidRPr="0087196A">
        <w:rPr>
          <w:rFonts w:asciiTheme="minorHAnsi" w:hAnsiTheme="minorHAnsi"/>
          <w:b/>
          <w:color w:val="B71234"/>
          <w:szCs w:val="20"/>
        </w:rPr>
        <w:t>Geconsolideerd overzicht van het totaalresultaat</w:t>
      </w:r>
    </w:p>
    <w:tbl>
      <w:tblPr>
        <w:tblW w:w="9639" w:type="dxa"/>
        <w:tblInd w:w="284" w:type="dxa"/>
        <w:tblLook w:val="04A0"/>
      </w:tblPr>
      <w:tblGrid>
        <w:gridCol w:w="5555"/>
        <w:gridCol w:w="1367"/>
        <w:gridCol w:w="2717"/>
      </w:tblGrid>
      <w:tr w:rsidR="003E1F91" w:rsidRPr="003E1F91" w:rsidTr="003E1F91">
        <w:trPr>
          <w:trHeight w:val="110"/>
        </w:trPr>
        <w:tc>
          <w:tcPr>
            <w:tcW w:w="5974"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728" w:type="dxa"/>
            <w:tcBorders>
              <w:top w:val="single" w:sz="8" w:space="0" w:color="000000"/>
              <w:left w:val="nil"/>
              <w:bottom w:val="nil"/>
              <w:right w:val="nil"/>
            </w:tcBorders>
            <w:shd w:val="clear" w:color="auto" w:fill="auto"/>
            <w:vAlign w:val="center"/>
            <w:hideMark/>
          </w:tcPr>
          <w:p w:rsidR="003E1F91" w:rsidRPr="003E1F91" w:rsidRDefault="0000072A" w:rsidP="0000072A">
            <w:pPr>
              <w:spacing w:after="0" w:line="240" w:lineRule="auto"/>
              <w:jc w:val="center"/>
              <w:rPr>
                <w:rFonts w:asciiTheme="minorHAnsi" w:eastAsia="Times New Roman" w:hAnsiTheme="minorHAnsi" w:cstheme="minorHAnsi"/>
                <w:color w:val="000000"/>
                <w:szCs w:val="20"/>
              </w:rPr>
            </w:pPr>
            <w:r>
              <w:rPr>
                <w:rFonts w:asciiTheme="minorHAnsi" w:hAnsiTheme="minorHAnsi"/>
                <w:szCs w:val="20"/>
              </w:rPr>
              <w:t>Niet gecontroleerd</w:t>
            </w:r>
          </w:p>
        </w:tc>
        <w:tc>
          <w:tcPr>
            <w:tcW w:w="2937"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330"/>
        </w:trPr>
        <w:tc>
          <w:tcPr>
            <w:tcW w:w="5974"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(x EUR 1.000)</w:t>
            </w:r>
          </w:p>
        </w:tc>
        <w:tc>
          <w:tcPr>
            <w:tcW w:w="728"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2017</w:t>
            </w:r>
          </w:p>
        </w:tc>
        <w:tc>
          <w:tcPr>
            <w:tcW w:w="2937"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2016</w:t>
            </w:r>
          </w:p>
        </w:tc>
      </w:tr>
      <w:tr w:rsidR="003E1F91" w:rsidRPr="003E1F91" w:rsidTr="003E1F91">
        <w:trPr>
          <w:trHeight w:val="29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c>
          <w:tcPr>
            <w:tcW w:w="293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29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Nettowinst (verlies)</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-390    </w:t>
            </w:r>
          </w:p>
        </w:tc>
        <w:tc>
          <w:tcPr>
            <w:tcW w:w="293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 xml:space="preserve">578    </w:t>
            </w:r>
          </w:p>
        </w:tc>
      </w:tr>
      <w:tr w:rsidR="003E1F91" w:rsidRPr="003E1F91" w:rsidTr="003E1F91">
        <w:trPr>
          <w:trHeight w:val="29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Herwaardering van toegezegd-pensioenvoorziening</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60    </w:t>
            </w:r>
          </w:p>
        </w:tc>
        <w:tc>
          <w:tcPr>
            <w:tcW w:w="293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-459    </w:t>
            </w:r>
          </w:p>
        </w:tc>
      </w:tr>
      <w:tr w:rsidR="003E1F91" w:rsidRPr="003E1F91" w:rsidTr="003E1F91">
        <w:trPr>
          <w:trHeight w:val="29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 xml:space="preserve">Herwaardering van toegezegd-pensioenvoorziening - DTL </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-16    </w:t>
            </w:r>
          </w:p>
        </w:tc>
        <w:tc>
          <w:tcPr>
            <w:tcW w:w="293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126    </w:t>
            </w:r>
          </w:p>
        </w:tc>
      </w:tr>
      <w:tr w:rsidR="003E1F91" w:rsidRPr="003E1F91" w:rsidTr="003E1F91">
        <w:trPr>
          <w:trHeight w:val="29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Herwaardering van gebouw</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586    </w:t>
            </w:r>
          </w:p>
        </w:tc>
        <w:tc>
          <w:tcPr>
            <w:tcW w:w="293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 </w:t>
            </w:r>
          </w:p>
        </w:tc>
      </w:tr>
      <w:tr w:rsidR="003E1F91" w:rsidRPr="003E1F91" w:rsidTr="003E1F91">
        <w:trPr>
          <w:trHeight w:val="300"/>
        </w:trPr>
        <w:tc>
          <w:tcPr>
            <w:tcW w:w="5974" w:type="dxa"/>
            <w:tcBorders>
              <w:top w:val="nil"/>
              <w:left w:val="nil"/>
              <w:bottom w:val="nil"/>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color w:val="000000"/>
                <w:szCs w:val="20"/>
              </w:rPr>
            </w:pPr>
            <w:r>
              <w:rPr>
                <w:rFonts w:asciiTheme="minorHAnsi" w:hAnsiTheme="minorHAnsi"/>
                <w:color w:val="000000"/>
                <w:szCs w:val="20"/>
              </w:rPr>
              <w:t xml:space="preserve">Herwaardering van gebouw - DTL </w:t>
            </w:r>
          </w:p>
        </w:tc>
        <w:tc>
          <w:tcPr>
            <w:tcW w:w="728"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-133    </w:t>
            </w:r>
          </w:p>
        </w:tc>
        <w:tc>
          <w:tcPr>
            <w:tcW w:w="293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xml:space="preserve">- </w:t>
            </w:r>
          </w:p>
        </w:tc>
      </w:tr>
      <w:tr w:rsidR="003E1F91" w:rsidRPr="003E1F91" w:rsidTr="003E1F91">
        <w:trPr>
          <w:trHeight w:val="300"/>
        </w:trPr>
        <w:tc>
          <w:tcPr>
            <w:tcW w:w="5974" w:type="dxa"/>
            <w:tcBorders>
              <w:top w:val="single" w:sz="8" w:space="0" w:color="000000"/>
              <w:left w:val="nil"/>
              <w:bottom w:val="double" w:sz="6" w:space="0" w:color="000000"/>
              <w:right w:val="nil"/>
            </w:tcBorders>
            <w:shd w:val="clear" w:color="auto" w:fill="auto"/>
            <w:vAlign w:val="center"/>
            <w:hideMark/>
          </w:tcPr>
          <w:p w:rsidR="003E1F91" w:rsidRPr="003E1F91" w:rsidRDefault="003E1F91" w:rsidP="003E1F91">
            <w:pPr>
              <w:spacing w:after="0" w:line="240" w:lineRule="auto"/>
              <w:ind w:right="-247"/>
              <w:jc w:val="both"/>
              <w:rPr>
                <w:rFonts w:asciiTheme="minorHAnsi" w:eastAsia="Times New Roman" w:hAnsiTheme="minorHAnsi" w:cstheme="minorHAnsi"/>
                <w:b/>
                <w:bCs/>
                <w:color w:val="000000"/>
                <w:szCs w:val="20"/>
              </w:rPr>
            </w:pPr>
            <w:r>
              <w:rPr>
                <w:rFonts w:asciiTheme="minorHAnsi" w:hAnsiTheme="minorHAnsi"/>
                <w:b/>
                <w:bCs/>
                <w:color w:val="000000"/>
                <w:szCs w:val="20"/>
              </w:rPr>
              <w:t xml:space="preserve">Totaalresultaat </w:t>
            </w:r>
          </w:p>
        </w:tc>
        <w:tc>
          <w:tcPr>
            <w:tcW w:w="728" w:type="dxa"/>
            <w:tcBorders>
              <w:top w:val="single" w:sz="8" w:space="0" w:color="000000"/>
              <w:left w:val="nil"/>
              <w:bottom w:val="double" w:sz="6"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107</w:t>
            </w:r>
          </w:p>
        </w:tc>
        <w:tc>
          <w:tcPr>
            <w:tcW w:w="2937" w:type="dxa"/>
            <w:tcBorders>
              <w:top w:val="single" w:sz="8" w:space="0" w:color="000000"/>
              <w:left w:val="nil"/>
              <w:bottom w:val="double" w:sz="6" w:space="0" w:color="000000"/>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w:t>
            </w:r>
            <w:r w:rsidR="003E1F91">
              <w:rPr>
                <w:rFonts w:asciiTheme="minorHAnsi" w:hAnsiTheme="minorHAnsi"/>
                <w:b/>
                <w:bCs/>
                <w:color w:val="000000"/>
                <w:szCs w:val="20"/>
              </w:rPr>
              <w:t>911</w:t>
            </w:r>
          </w:p>
        </w:tc>
      </w:tr>
    </w:tbl>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lang w:val="en-GB" w:eastAsia="en-GB" w:bidi="en-GB"/>
        </w:rPr>
      </w:pPr>
    </w:p>
    <w:p w:rsidR="003E1F91" w:rsidRPr="003E1F91" w:rsidRDefault="003E1F91" w:rsidP="003E1F91">
      <w:pPr>
        <w:spacing w:after="0"/>
        <w:ind w:left="284"/>
        <w:jc w:val="both"/>
        <w:rPr>
          <w:rFonts w:asciiTheme="minorHAnsi" w:eastAsia="Times New Roman" w:hAnsiTheme="minorHAnsi" w:cstheme="minorHAnsi"/>
          <w:b/>
          <w:bCs/>
          <w:szCs w:val="20"/>
          <w:highlight w:val="yellow"/>
          <w:lang w:val="en-GB" w:eastAsia="en-GB" w:bidi="en-GB"/>
        </w:rPr>
      </w:pPr>
    </w:p>
    <w:p w:rsidR="003E1F91" w:rsidRPr="003E1F91" w:rsidRDefault="003E1F91" w:rsidP="003E1F91">
      <w:pPr>
        <w:spacing w:after="0" w:line="240" w:lineRule="auto"/>
        <w:jc w:val="both"/>
        <w:rPr>
          <w:rFonts w:asciiTheme="minorHAnsi" w:hAnsiTheme="minorHAnsi" w:cstheme="minorHAnsi"/>
          <w:i/>
          <w:szCs w:val="20"/>
        </w:rPr>
      </w:pPr>
      <w:r>
        <w:br w:type="page"/>
      </w:r>
    </w:p>
    <w:p w:rsidR="003E1F91" w:rsidRPr="003E1F91" w:rsidRDefault="003E1F91" w:rsidP="003E1F91">
      <w:pPr>
        <w:ind w:left="284" w:right="284"/>
        <w:jc w:val="both"/>
        <w:rPr>
          <w:rFonts w:asciiTheme="minorHAnsi" w:hAnsiTheme="minorHAnsi" w:cstheme="minorHAnsi"/>
          <w:i/>
          <w:szCs w:val="20"/>
          <w:lang w:val="en-GB"/>
        </w:rPr>
      </w:pPr>
    </w:p>
    <w:p w:rsidR="003E1F91" w:rsidRPr="0087196A" w:rsidRDefault="003E1F91" w:rsidP="0087196A">
      <w:pPr>
        <w:ind w:left="252"/>
        <w:rPr>
          <w:rFonts w:asciiTheme="minorHAnsi" w:hAnsiTheme="minorHAnsi"/>
          <w:b/>
          <w:color w:val="B71234"/>
          <w:szCs w:val="20"/>
        </w:rPr>
      </w:pPr>
      <w:r w:rsidRPr="0087196A">
        <w:rPr>
          <w:rFonts w:asciiTheme="minorHAnsi" w:hAnsiTheme="minorHAnsi"/>
          <w:b/>
          <w:color w:val="B71234"/>
          <w:szCs w:val="20"/>
        </w:rPr>
        <w:t>Geconsolideerde balans (na resultaat</w:t>
      </w:r>
      <w:r w:rsidR="0087196A">
        <w:rPr>
          <w:rFonts w:asciiTheme="minorHAnsi" w:hAnsiTheme="minorHAnsi"/>
          <w:b/>
          <w:color w:val="B71234"/>
          <w:szCs w:val="20"/>
        </w:rPr>
        <w:t>bestemming)</w:t>
      </w:r>
    </w:p>
    <w:p w:rsidR="003E1F91" w:rsidRPr="005136E4" w:rsidRDefault="003E1F91" w:rsidP="003E1F91">
      <w:pPr>
        <w:autoSpaceDE w:val="0"/>
        <w:spacing w:after="0"/>
        <w:jc w:val="both"/>
        <w:rPr>
          <w:rFonts w:asciiTheme="minorHAnsi" w:eastAsia="Times New Roman" w:hAnsiTheme="minorHAnsi" w:cstheme="minorHAnsi"/>
          <w:szCs w:val="20"/>
          <w:lang w:eastAsia="en-GB" w:bidi="en-GB"/>
        </w:rPr>
      </w:pPr>
    </w:p>
    <w:tbl>
      <w:tblPr>
        <w:tblW w:w="9214" w:type="dxa"/>
        <w:tblInd w:w="284" w:type="dxa"/>
        <w:tblLook w:val="04A0"/>
      </w:tblPr>
      <w:tblGrid>
        <w:gridCol w:w="5467"/>
        <w:gridCol w:w="1367"/>
        <w:gridCol w:w="2380"/>
      </w:tblGrid>
      <w:tr w:rsidR="003E1F91" w:rsidRPr="003E1F91" w:rsidTr="0044134E">
        <w:trPr>
          <w:trHeight w:val="170"/>
        </w:trPr>
        <w:tc>
          <w:tcPr>
            <w:tcW w:w="5467"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67" w:type="dxa"/>
            <w:tcBorders>
              <w:top w:val="single" w:sz="8" w:space="0" w:color="000000"/>
              <w:left w:val="nil"/>
              <w:bottom w:val="nil"/>
              <w:right w:val="nil"/>
            </w:tcBorders>
            <w:shd w:val="clear" w:color="auto" w:fill="auto"/>
            <w:vAlign w:val="center"/>
            <w:hideMark/>
          </w:tcPr>
          <w:p w:rsidR="003E1F91" w:rsidRPr="003E1F91" w:rsidRDefault="004F2B90" w:rsidP="004F2B90">
            <w:pPr>
              <w:spacing w:after="0" w:line="240" w:lineRule="auto"/>
              <w:jc w:val="center"/>
              <w:rPr>
                <w:rFonts w:asciiTheme="minorHAnsi" w:eastAsia="Times New Roman" w:hAnsiTheme="minorHAnsi" w:cstheme="minorHAnsi"/>
                <w:color w:val="000000"/>
                <w:szCs w:val="20"/>
              </w:rPr>
            </w:pPr>
            <w:r>
              <w:rPr>
                <w:rFonts w:asciiTheme="minorHAnsi" w:hAnsiTheme="minorHAnsi"/>
                <w:szCs w:val="20"/>
              </w:rPr>
              <w:t>Niet gecontroleerd</w:t>
            </w:r>
          </w:p>
        </w:tc>
        <w:tc>
          <w:tcPr>
            <w:tcW w:w="23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44134E">
        <w:trPr>
          <w:trHeight w:val="340"/>
        </w:trPr>
        <w:tc>
          <w:tcPr>
            <w:tcW w:w="5467"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(x EUR 1.000)</w:t>
            </w:r>
          </w:p>
        </w:tc>
        <w:tc>
          <w:tcPr>
            <w:tcW w:w="1367"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2017</w:t>
            </w:r>
          </w:p>
        </w:tc>
        <w:tc>
          <w:tcPr>
            <w:tcW w:w="238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2016</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31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Activa</w:t>
            </w: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15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Materiële vaste activa</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szCs w:val="20"/>
              </w:rPr>
            </w:pPr>
            <w:r>
              <w:rPr>
                <w:rFonts w:asciiTheme="minorHAnsi" w:hAnsiTheme="minorHAnsi"/>
                <w:szCs w:val="20"/>
              </w:rPr>
              <w:t>6.</w:t>
            </w:r>
            <w:r w:rsidR="003E1F91">
              <w:rPr>
                <w:rFonts w:asciiTheme="minorHAnsi" w:hAnsiTheme="minorHAnsi"/>
                <w:szCs w:val="20"/>
              </w:rPr>
              <w:t>023</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5.</w:t>
            </w:r>
            <w:r w:rsidR="003E1F91">
              <w:rPr>
                <w:rFonts w:asciiTheme="minorHAnsi" w:hAnsiTheme="minorHAnsi"/>
                <w:color w:val="000000"/>
                <w:szCs w:val="20"/>
              </w:rPr>
              <w:t>283</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Immateriële vaste activa</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428</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401</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9061CA"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Actieve belastingl</w:t>
            </w:r>
            <w:r w:rsidR="003E1F91">
              <w:rPr>
                <w:rFonts w:asciiTheme="minorHAnsi" w:hAnsiTheme="minorHAnsi"/>
                <w:color w:val="000000"/>
                <w:szCs w:val="20"/>
              </w:rPr>
              <w:t>atent</w:t>
            </w:r>
            <w:r>
              <w:rPr>
                <w:rFonts w:asciiTheme="minorHAnsi" w:hAnsiTheme="minorHAnsi"/>
                <w:color w:val="000000"/>
                <w:szCs w:val="20"/>
              </w:rPr>
              <w:t>i</w:t>
            </w:r>
            <w:r w:rsidR="003E1F91">
              <w:rPr>
                <w:rFonts w:asciiTheme="minorHAnsi" w:hAnsiTheme="minorHAnsi"/>
                <w:color w:val="000000"/>
                <w:szCs w:val="20"/>
              </w:rPr>
              <w:t>e</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284</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151</w:t>
            </w:r>
          </w:p>
        </w:tc>
      </w:tr>
      <w:tr w:rsidR="003E1F91" w:rsidRPr="003E1F91" w:rsidTr="0044134E">
        <w:trPr>
          <w:trHeight w:val="30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Financiële activa</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651</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w:t>
            </w:r>
            <w:r w:rsidR="003E1F91">
              <w:rPr>
                <w:rFonts w:asciiTheme="minorHAnsi" w:hAnsiTheme="minorHAnsi"/>
                <w:color w:val="000000"/>
                <w:szCs w:val="20"/>
              </w:rPr>
              <w:t>001</w:t>
            </w:r>
          </w:p>
        </w:tc>
      </w:tr>
      <w:tr w:rsidR="003E1F91" w:rsidRPr="003E1F91" w:rsidTr="0044134E">
        <w:trPr>
          <w:trHeight w:val="290"/>
        </w:trPr>
        <w:tc>
          <w:tcPr>
            <w:tcW w:w="5467"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Vaste activa</w:t>
            </w:r>
          </w:p>
        </w:tc>
        <w:tc>
          <w:tcPr>
            <w:tcW w:w="1367"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12.</w:t>
            </w:r>
            <w:r w:rsidR="003E1F91">
              <w:rPr>
                <w:rFonts w:asciiTheme="minorHAnsi" w:hAnsiTheme="minorHAnsi"/>
                <w:b/>
                <w:bCs/>
                <w:color w:val="000000"/>
                <w:szCs w:val="20"/>
              </w:rPr>
              <w:t>386</w:t>
            </w:r>
          </w:p>
        </w:tc>
        <w:tc>
          <w:tcPr>
            <w:tcW w:w="2380"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11.</w:t>
            </w:r>
            <w:r w:rsidR="003E1F91">
              <w:rPr>
                <w:rFonts w:asciiTheme="minorHAnsi" w:hAnsiTheme="minorHAnsi"/>
                <w:b/>
                <w:bCs/>
                <w:color w:val="000000"/>
                <w:szCs w:val="20"/>
              </w:rPr>
              <w:t>836</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Voorraden</w:t>
            </w: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581</w:t>
            </w: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474</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Handels</w:t>
            </w:r>
            <w:r w:rsidR="000E12B3">
              <w:rPr>
                <w:rFonts w:asciiTheme="minorHAnsi" w:hAnsiTheme="minorHAnsi"/>
                <w:color w:val="000000"/>
                <w:szCs w:val="20"/>
              </w:rPr>
              <w:t xml:space="preserve">debiteuren </w:t>
            </w:r>
            <w:r>
              <w:rPr>
                <w:rFonts w:asciiTheme="minorHAnsi" w:hAnsiTheme="minorHAnsi"/>
                <w:color w:val="000000"/>
                <w:szCs w:val="20"/>
              </w:rPr>
              <w:t xml:space="preserve">en overige </w:t>
            </w:r>
            <w:r w:rsidR="000E12B3">
              <w:rPr>
                <w:rFonts w:asciiTheme="minorHAnsi" w:hAnsiTheme="minorHAnsi"/>
                <w:color w:val="000000"/>
                <w:szCs w:val="20"/>
              </w:rPr>
              <w:t>vorderingen</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980</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712</w:t>
            </w:r>
          </w:p>
        </w:tc>
      </w:tr>
      <w:tr w:rsidR="003E1F91" w:rsidRPr="003E1F91" w:rsidTr="0044134E">
        <w:trPr>
          <w:trHeight w:val="300"/>
        </w:trPr>
        <w:tc>
          <w:tcPr>
            <w:tcW w:w="5467"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Liquide middelen</w:t>
            </w:r>
          </w:p>
        </w:tc>
        <w:tc>
          <w:tcPr>
            <w:tcW w:w="1367"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617</w:t>
            </w:r>
          </w:p>
        </w:tc>
        <w:tc>
          <w:tcPr>
            <w:tcW w:w="238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689</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Vlottende activa</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3.</w:t>
            </w:r>
            <w:r w:rsidR="003E1F91">
              <w:rPr>
                <w:rFonts w:asciiTheme="minorHAnsi" w:hAnsiTheme="minorHAnsi"/>
                <w:b/>
                <w:bCs/>
                <w:color w:val="000000"/>
                <w:szCs w:val="20"/>
              </w:rPr>
              <w:t>178</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w:t>
            </w:r>
            <w:r w:rsidR="003E1F91">
              <w:rPr>
                <w:rFonts w:asciiTheme="minorHAnsi" w:hAnsiTheme="minorHAnsi"/>
                <w:b/>
                <w:bCs/>
                <w:color w:val="000000"/>
                <w:szCs w:val="20"/>
              </w:rPr>
              <w:t>875</w:t>
            </w:r>
          </w:p>
        </w:tc>
      </w:tr>
      <w:tr w:rsidR="003E1F91" w:rsidRPr="003E1F91" w:rsidTr="0044134E">
        <w:trPr>
          <w:trHeight w:val="300"/>
        </w:trPr>
        <w:tc>
          <w:tcPr>
            <w:tcW w:w="5467"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67"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2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r>
      <w:tr w:rsidR="003E1F91" w:rsidRPr="003E1F91" w:rsidTr="0044134E">
        <w:trPr>
          <w:trHeight w:val="300"/>
        </w:trPr>
        <w:tc>
          <w:tcPr>
            <w:tcW w:w="5467"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Totaal activa</w:t>
            </w:r>
          </w:p>
        </w:tc>
        <w:tc>
          <w:tcPr>
            <w:tcW w:w="1367"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15.</w:t>
            </w:r>
            <w:r w:rsidR="003E1F91">
              <w:rPr>
                <w:rFonts w:asciiTheme="minorHAnsi" w:hAnsiTheme="minorHAnsi"/>
                <w:b/>
                <w:bCs/>
                <w:color w:val="000000"/>
                <w:szCs w:val="20"/>
              </w:rPr>
              <w:t>564</w:t>
            </w:r>
          </w:p>
        </w:tc>
        <w:tc>
          <w:tcPr>
            <w:tcW w:w="2380"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14.</w:t>
            </w:r>
            <w:r w:rsidR="003E1F91">
              <w:rPr>
                <w:rFonts w:asciiTheme="minorHAnsi" w:hAnsiTheme="minorHAnsi"/>
                <w:b/>
                <w:bCs/>
                <w:color w:val="000000"/>
                <w:szCs w:val="20"/>
              </w:rPr>
              <w:t>711</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Passiva</w:t>
            </w: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15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8477DC"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w:t>
            </w:r>
            <w:r w:rsidR="003E1F91">
              <w:rPr>
                <w:rFonts w:asciiTheme="minorHAnsi" w:hAnsiTheme="minorHAnsi"/>
                <w:color w:val="000000"/>
                <w:szCs w:val="20"/>
              </w:rPr>
              <w:t xml:space="preserve">andelenkapitaal </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w:t>
            </w:r>
            <w:r w:rsidR="003E1F91">
              <w:rPr>
                <w:rFonts w:asciiTheme="minorHAnsi" w:hAnsiTheme="minorHAnsi"/>
                <w:color w:val="000000"/>
                <w:szCs w:val="20"/>
              </w:rPr>
              <w:t>339</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w:t>
            </w:r>
            <w:r w:rsidR="003E1F91">
              <w:rPr>
                <w:rFonts w:asciiTheme="minorHAnsi" w:hAnsiTheme="minorHAnsi"/>
                <w:color w:val="000000"/>
                <w:szCs w:val="20"/>
              </w:rPr>
              <w:t>979</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Agioreserve</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19.</w:t>
            </w:r>
            <w:r w:rsidR="003E1F91">
              <w:rPr>
                <w:rFonts w:asciiTheme="minorHAnsi" w:hAnsiTheme="minorHAnsi"/>
                <w:color w:val="000000"/>
                <w:szCs w:val="20"/>
              </w:rPr>
              <w:t>906</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19.</w:t>
            </w:r>
            <w:r w:rsidR="003E1F91">
              <w:rPr>
                <w:rFonts w:asciiTheme="minorHAnsi" w:hAnsiTheme="minorHAnsi"/>
                <w:color w:val="000000"/>
                <w:szCs w:val="20"/>
              </w:rPr>
              <w:t>659</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Herwaarderingsreserve</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216</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763</w:t>
            </w:r>
          </w:p>
        </w:tc>
      </w:tr>
      <w:tr w:rsidR="003E1F91" w:rsidRPr="003E1F91" w:rsidTr="0044134E">
        <w:trPr>
          <w:trHeight w:val="300"/>
        </w:trPr>
        <w:tc>
          <w:tcPr>
            <w:tcW w:w="5467" w:type="dxa"/>
            <w:tcBorders>
              <w:top w:val="nil"/>
              <w:left w:val="nil"/>
              <w:bottom w:val="nil"/>
              <w:right w:val="nil"/>
            </w:tcBorders>
            <w:shd w:val="clear" w:color="auto" w:fill="auto"/>
            <w:vAlign w:val="center"/>
            <w:hideMark/>
          </w:tcPr>
          <w:p w:rsidR="003E1F91" w:rsidRPr="003E1F91" w:rsidRDefault="008477DC"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Overige r</w:t>
            </w:r>
            <w:r w:rsidR="003E1F91">
              <w:rPr>
                <w:rFonts w:asciiTheme="minorHAnsi" w:hAnsiTheme="minorHAnsi"/>
                <w:color w:val="000000"/>
                <w:szCs w:val="20"/>
              </w:rPr>
              <w:t>eserve</w:t>
            </w:r>
            <w:r>
              <w:rPr>
                <w:rFonts w:asciiTheme="minorHAnsi" w:hAnsiTheme="minorHAnsi"/>
                <w:color w:val="000000"/>
                <w:szCs w:val="20"/>
              </w:rPr>
              <w:t>s</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-27.</w:t>
            </w:r>
            <w:r w:rsidR="003E1F91">
              <w:rPr>
                <w:rFonts w:asciiTheme="minorHAnsi" w:hAnsiTheme="minorHAnsi"/>
                <w:color w:val="000000"/>
                <w:szCs w:val="20"/>
              </w:rPr>
              <w:t>188</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-26.</w:t>
            </w:r>
            <w:r w:rsidR="003E1F91">
              <w:rPr>
                <w:rFonts w:asciiTheme="minorHAnsi" w:hAnsiTheme="minorHAnsi"/>
                <w:color w:val="000000"/>
                <w:szCs w:val="20"/>
              </w:rPr>
              <w:t>842</w:t>
            </w:r>
          </w:p>
        </w:tc>
      </w:tr>
      <w:tr w:rsidR="003E1F91" w:rsidRPr="003E1F91" w:rsidTr="0044134E">
        <w:trPr>
          <w:trHeight w:val="290"/>
        </w:trPr>
        <w:tc>
          <w:tcPr>
            <w:tcW w:w="5467"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Eigen vermogen toekomend aan aandeelhouders </w:t>
            </w:r>
          </w:p>
        </w:tc>
        <w:tc>
          <w:tcPr>
            <w:tcW w:w="1367"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273</w:t>
            </w:r>
          </w:p>
        </w:tc>
        <w:tc>
          <w:tcPr>
            <w:tcW w:w="2380"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w:t>
            </w:r>
            <w:r w:rsidR="003E1F91">
              <w:rPr>
                <w:rFonts w:asciiTheme="minorHAnsi" w:hAnsiTheme="minorHAnsi"/>
                <w:color w:val="000000"/>
                <w:szCs w:val="20"/>
              </w:rPr>
              <w:t>559</w:t>
            </w:r>
          </w:p>
        </w:tc>
      </w:tr>
      <w:tr w:rsidR="003E1F91" w:rsidRPr="003E1F91" w:rsidTr="0044134E">
        <w:trPr>
          <w:trHeight w:val="300"/>
        </w:trPr>
        <w:tc>
          <w:tcPr>
            <w:tcW w:w="5467"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Minderheidsbelangen</w:t>
            </w:r>
          </w:p>
        </w:tc>
        <w:tc>
          <w:tcPr>
            <w:tcW w:w="1367"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494</w:t>
            </w:r>
          </w:p>
        </w:tc>
        <w:tc>
          <w:tcPr>
            <w:tcW w:w="2380"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494</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Totaal eigen vermogen</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4.</w:t>
            </w:r>
            <w:r w:rsidR="003E1F91">
              <w:rPr>
                <w:rFonts w:asciiTheme="minorHAnsi" w:hAnsiTheme="minorHAnsi"/>
                <w:b/>
                <w:bCs/>
                <w:color w:val="000000"/>
                <w:szCs w:val="20"/>
              </w:rPr>
              <w:t>767</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4.</w:t>
            </w:r>
            <w:r w:rsidR="003E1F91">
              <w:rPr>
                <w:rFonts w:asciiTheme="minorHAnsi" w:hAnsiTheme="minorHAnsi"/>
                <w:b/>
                <w:bCs/>
                <w:color w:val="000000"/>
                <w:szCs w:val="20"/>
              </w:rPr>
              <w:t>053</w:t>
            </w:r>
          </w:p>
        </w:tc>
      </w:tr>
      <w:tr w:rsidR="003E1F91" w:rsidRPr="003E1F91" w:rsidTr="0044134E">
        <w:trPr>
          <w:trHeight w:val="31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Totaal leningen</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880</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3.</w:t>
            </w:r>
            <w:r w:rsidR="003E1F91">
              <w:rPr>
                <w:rFonts w:asciiTheme="minorHAnsi" w:hAnsiTheme="minorHAnsi"/>
                <w:color w:val="000000"/>
                <w:szCs w:val="20"/>
              </w:rPr>
              <w:t>004</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Pensioenvoorziening </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5.</w:t>
            </w:r>
            <w:r w:rsidR="003E1F91">
              <w:rPr>
                <w:rFonts w:asciiTheme="minorHAnsi" w:hAnsiTheme="minorHAnsi"/>
                <w:color w:val="000000"/>
                <w:szCs w:val="20"/>
              </w:rPr>
              <w:t>047</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5.</w:t>
            </w:r>
            <w:r w:rsidR="003E1F91">
              <w:rPr>
                <w:rFonts w:asciiTheme="minorHAnsi" w:hAnsiTheme="minorHAnsi"/>
                <w:color w:val="000000"/>
                <w:szCs w:val="20"/>
              </w:rPr>
              <w:t>247</w:t>
            </w:r>
          </w:p>
        </w:tc>
      </w:tr>
      <w:tr w:rsidR="003E1F91" w:rsidRPr="003E1F91" w:rsidTr="0044134E">
        <w:trPr>
          <w:trHeight w:val="30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Voorzieningen</w:t>
            </w: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144</w:t>
            </w: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72</w:t>
            </w:r>
          </w:p>
        </w:tc>
      </w:tr>
      <w:tr w:rsidR="003E1F91" w:rsidRPr="003E1F91" w:rsidTr="0044134E">
        <w:trPr>
          <w:trHeight w:val="290"/>
        </w:trPr>
        <w:tc>
          <w:tcPr>
            <w:tcW w:w="5467"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Langlopende verplichtingen</w:t>
            </w:r>
          </w:p>
        </w:tc>
        <w:tc>
          <w:tcPr>
            <w:tcW w:w="1367"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8.</w:t>
            </w:r>
            <w:r w:rsidR="003E1F91">
              <w:rPr>
                <w:rFonts w:asciiTheme="minorHAnsi" w:hAnsiTheme="minorHAnsi"/>
                <w:b/>
                <w:bCs/>
                <w:color w:val="000000"/>
                <w:szCs w:val="20"/>
              </w:rPr>
              <w:t>071</w:t>
            </w:r>
          </w:p>
        </w:tc>
        <w:tc>
          <w:tcPr>
            <w:tcW w:w="2380" w:type="dxa"/>
            <w:tcBorders>
              <w:top w:val="single" w:sz="8" w:space="0" w:color="000000"/>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8.</w:t>
            </w:r>
            <w:r w:rsidR="003E1F91">
              <w:rPr>
                <w:rFonts w:asciiTheme="minorHAnsi" w:hAnsiTheme="minorHAnsi"/>
                <w:b/>
                <w:bCs/>
                <w:color w:val="000000"/>
                <w:szCs w:val="20"/>
              </w:rPr>
              <w:t>323</w:t>
            </w:r>
          </w:p>
        </w:tc>
      </w:tr>
      <w:tr w:rsidR="003E1F91" w:rsidRPr="003E1F91" w:rsidTr="0044134E">
        <w:trPr>
          <w:trHeight w:val="31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Kortlopende leningen</w:t>
            </w:r>
          </w:p>
        </w:tc>
        <w:tc>
          <w:tcPr>
            <w:tcW w:w="13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188</w:t>
            </w:r>
          </w:p>
        </w:tc>
        <w:tc>
          <w:tcPr>
            <w:tcW w:w="2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113</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Handels- en overige </w:t>
            </w:r>
            <w:r w:rsidR="000E0A6C">
              <w:rPr>
                <w:rFonts w:asciiTheme="minorHAnsi" w:hAnsiTheme="minorHAnsi"/>
                <w:color w:val="000000"/>
                <w:szCs w:val="20"/>
              </w:rPr>
              <w:t>cr</w:t>
            </w:r>
            <w:r>
              <w:rPr>
                <w:rFonts w:asciiTheme="minorHAnsi" w:hAnsiTheme="minorHAnsi"/>
                <w:color w:val="000000"/>
                <w:szCs w:val="20"/>
              </w:rPr>
              <w:t>e</w:t>
            </w:r>
            <w:r w:rsidR="000E0A6C">
              <w:rPr>
                <w:rFonts w:asciiTheme="minorHAnsi" w:hAnsiTheme="minorHAnsi"/>
                <w:color w:val="000000"/>
                <w:szCs w:val="20"/>
              </w:rPr>
              <w:t>d</w:t>
            </w:r>
            <w:r>
              <w:rPr>
                <w:rFonts w:asciiTheme="minorHAnsi" w:hAnsiTheme="minorHAnsi"/>
                <w:color w:val="000000"/>
                <w:szCs w:val="20"/>
              </w:rPr>
              <w:t>iteuren</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480</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2.</w:t>
            </w:r>
            <w:r w:rsidR="003E1F91">
              <w:rPr>
                <w:rFonts w:asciiTheme="minorHAnsi" w:hAnsiTheme="minorHAnsi"/>
                <w:color w:val="000000"/>
                <w:szCs w:val="20"/>
              </w:rPr>
              <w:t>159</w:t>
            </w:r>
          </w:p>
        </w:tc>
      </w:tr>
      <w:tr w:rsidR="003E1F91" w:rsidRPr="003E1F91" w:rsidTr="0044134E">
        <w:trPr>
          <w:trHeight w:val="300"/>
        </w:trPr>
        <w:tc>
          <w:tcPr>
            <w:tcW w:w="5467"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Belastingen en premies sociale verzekeringen</w:t>
            </w:r>
          </w:p>
        </w:tc>
        <w:tc>
          <w:tcPr>
            <w:tcW w:w="1367"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58</w:t>
            </w:r>
          </w:p>
        </w:tc>
        <w:tc>
          <w:tcPr>
            <w:tcW w:w="2380" w:type="dxa"/>
            <w:tcBorders>
              <w:top w:val="nil"/>
              <w:left w:val="nil"/>
              <w:bottom w:val="single" w:sz="8" w:space="0" w:color="000000"/>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63</w:t>
            </w:r>
          </w:p>
        </w:tc>
      </w:tr>
      <w:tr w:rsidR="003E1F91" w:rsidRPr="003E1F91" w:rsidTr="0044134E">
        <w:trPr>
          <w:trHeight w:val="290"/>
        </w:trPr>
        <w:tc>
          <w:tcPr>
            <w:tcW w:w="5467"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Kortlopende verplichtingen</w:t>
            </w:r>
          </w:p>
        </w:tc>
        <w:tc>
          <w:tcPr>
            <w:tcW w:w="1367"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w:t>
            </w:r>
            <w:r w:rsidR="003E1F91">
              <w:rPr>
                <w:rFonts w:asciiTheme="minorHAnsi" w:hAnsiTheme="minorHAnsi"/>
                <w:b/>
                <w:bCs/>
                <w:color w:val="000000"/>
                <w:szCs w:val="20"/>
              </w:rPr>
              <w:t>726</w:t>
            </w:r>
          </w:p>
        </w:tc>
        <w:tc>
          <w:tcPr>
            <w:tcW w:w="2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w:t>
            </w:r>
            <w:r w:rsidR="003E1F91">
              <w:rPr>
                <w:rFonts w:asciiTheme="minorHAnsi" w:hAnsiTheme="minorHAnsi"/>
                <w:b/>
                <w:bCs/>
                <w:color w:val="000000"/>
                <w:szCs w:val="20"/>
              </w:rPr>
              <w:t>335</w:t>
            </w:r>
          </w:p>
        </w:tc>
      </w:tr>
      <w:tr w:rsidR="003E1F91" w:rsidRPr="003E1F91" w:rsidTr="0044134E">
        <w:trPr>
          <w:trHeight w:val="300"/>
        </w:trPr>
        <w:tc>
          <w:tcPr>
            <w:tcW w:w="5467"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1367"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c>
          <w:tcPr>
            <w:tcW w:w="2380" w:type="dxa"/>
            <w:tcBorders>
              <w:top w:val="nil"/>
              <w:left w:val="nil"/>
              <w:bottom w:val="single" w:sz="4"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w:t>
            </w:r>
          </w:p>
        </w:tc>
      </w:tr>
      <w:tr w:rsidR="003E1F91" w:rsidRPr="003E1F91" w:rsidTr="0044134E">
        <w:trPr>
          <w:trHeight w:val="300"/>
        </w:trPr>
        <w:tc>
          <w:tcPr>
            <w:tcW w:w="5467"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Totaal passiva </w:t>
            </w:r>
          </w:p>
        </w:tc>
        <w:tc>
          <w:tcPr>
            <w:tcW w:w="1367"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15.</w:t>
            </w:r>
            <w:r w:rsidR="003E1F91">
              <w:rPr>
                <w:rFonts w:asciiTheme="minorHAnsi" w:hAnsiTheme="minorHAnsi"/>
                <w:b/>
                <w:bCs/>
                <w:color w:val="000000"/>
                <w:szCs w:val="20"/>
              </w:rPr>
              <w:t>564</w:t>
            </w:r>
          </w:p>
        </w:tc>
        <w:tc>
          <w:tcPr>
            <w:tcW w:w="2380" w:type="dxa"/>
            <w:tcBorders>
              <w:top w:val="nil"/>
              <w:left w:val="nil"/>
              <w:bottom w:val="single" w:sz="8" w:space="0" w:color="auto"/>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14.</w:t>
            </w:r>
            <w:r w:rsidR="003E1F91">
              <w:rPr>
                <w:rFonts w:asciiTheme="minorHAnsi" w:hAnsiTheme="minorHAnsi"/>
                <w:b/>
                <w:bCs/>
                <w:color w:val="000000"/>
                <w:szCs w:val="20"/>
              </w:rPr>
              <w:t>711</w:t>
            </w:r>
          </w:p>
        </w:tc>
      </w:tr>
    </w:tbl>
    <w:p w:rsidR="003E1F91" w:rsidRPr="003E1F91" w:rsidRDefault="003E1F91" w:rsidP="003E1F91">
      <w:pPr>
        <w:autoSpaceDE w:val="0"/>
        <w:spacing w:after="0"/>
        <w:jc w:val="both"/>
        <w:rPr>
          <w:rFonts w:asciiTheme="minorHAnsi" w:eastAsia="Times New Roman" w:hAnsiTheme="minorHAnsi" w:cstheme="minorHAnsi"/>
          <w:szCs w:val="20"/>
          <w:lang w:val="en-GB" w:eastAsia="en-GB" w:bidi="en-GB"/>
        </w:rPr>
      </w:pPr>
    </w:p>
    <w:p w:rsidR="003E1F91" w:rsidRPr="003E1F91" w:rsidRDefault="003E1F91" w:rsidP="003E1F91">
      <w:pPr>
        <w:spacing w:after="0" w:line="240" w:lineRule="auto"/>
        <w:jc w:val="both"/>
        <w:rPr>
          <w:rFonts w:asciiTheme="minorHAnsi" w:eastAsia="Times New Roman" w:hAnsiTheme="minorHAnsi" w:cstheme="minorHAnsi"/>
          <w:color w:val="3366FF"/>
          <w:szCs w:val="20"/>
          <w:highlight w:val="yellow"/>
        </w:rPr>
      </w:pPr>
      <w:r>
        <w:br w:type="page"/>
      </w:r>
    </w:p>
    <w:p w:rsidR="003E1F91" w:rsidRPr="003E1F91" w:rsidRDefault="003E1F91" w:rsidP="003E1F91">
      <w:pPr>
        <w:autoSpaceDE w:val="0"/>
        <w:spacing w:after="0"/>
        <w:jc w:val="both"/>
        <w:rPr>
          <w:rFonts w:asciiTheme="minorHAnsi" w:eastAsia="Times New Roman" w:hAnsiTheme="minorHAnsi" w:cstheme="minorHAnsi"/>
          <w:b/>
          <w:szCs w:val="20"/>
          <w:lang w:val="en-GB" w:eastAsia="en-GB" w:bidi="en-GB"/>
        </w:rPr>
      </w:pPr>
    </w:p>
    <w:p w:rsidR="003E1F91" w:rsidRPr="003E1F91" w:rsidRDefault="003E1F91" w:rsidP="003E1F91">
      <w:pPr>
        <w:autoSpaceDE w:val="0"/>
        <w:spacing w:after="0"/>
        <w:jc w:val="both"/>
        <w:rPr>
          <w:rFonts w:asciiTheme="minorHAnsi" w:eastAsia="Times New Roman" w:hAnsiTheme="minorHAnsi" w:cstheme="minorHAnsi"/>
          <w:b/>
          <w:szCs w:val="20"/>
          <w:lang w:val="en-GB" w:eastAsia="en-GB" w:bidi="en-GB"/>
        </w:rPr>
      </w:pPr>
    </w:p>
    <w:p w:rsidR="003E1F91" w:rsidRPr="0087196A" w:rsidRDefault="003E1F91" w:rsidP="0087196A">
      <w:pPr>
        <w:ind w:left="252"/>
        <w:rPr>
          <w:rFonts w:asciiTheme="minorHAnsi" w:hAnsiTheme="minorHAnsi"/>
          <w:b/>
          <w:color w:val="B71234"/>
          <w:szCs w:val="20"/>
        </w:rPr>
      </w:pPr>
      <w:r w:rsidRPr="0087196A">
        <w:rPr>
          <w:rFonts w:asciiTheme="minorHAnsi" w:hAnsiTheme="minorHAnsi"/>
          <w:b/>
          <w:color w:val="B71234"/>
          <w:szCs w:val="20"/>
        </w:rPr>
        <w:t>Geconso</w:t>
      </w:r>
      <w:r w:rsidR="0087196A">
        <w:rPr>
          <w:rFonts w:asciiTheme="minorHAnsi" w:hAnsiTheme="minorHAnsi"/>
          <w:b/>
          <w:color w:val="B71234"/>
          <w:szCs w:val="20"/>
        </w:rPr>
        <w:t>lideerd kasstroomoverzicht</w:t>
      </w:r>
    </w:p>
    <w:p w:rsidR="003E1F91" w:rsidRPr="003E1F91" w:rsidRDefault="003E1F91" w:rsidP="003E1F91">
      <w:pPr>
        <w:spacing w:after="0"/>
        <w:jc w:val="both"/>
        <w:rPr>
          <w:rFonts w:asciiTheme="minorHAnsi" w:eastAsia="Times New Roman" w:hAnsiTheme="minorHAnsi" w:cstheme="minorHAnsi"/>
          <w:szCs w:val="20"/>
          <w:highlight w:val="yellow"/>
          <w:lang w:val="en-GB" w:eastAsia="en-GB" w:bidi="en-GB"/>
        </w:rPr>
      </w:pPr>
    </w:p>
    <w:tbl>
      <w:tblPr>
        <w:tblW w:w="8940" w:type="dxa"/>
        <w:tblInd w:w="284" w:type="dxa"/>
        <w:tblLook w:val="04A0"/>
      </w:tblPr>
      <w:tblGrid>
        <w:gridCol w:w="6180"/>
        <w:gridCol w:w="1380"/>
        <w:gridCol w:w="1380"/>
      </w:tblGrid>
      <w:tr w:rsidR="003E1F91" w:rsidRPr="003E1F91" w:rsidTr="003E1F91">
        <w:trPr>
          <w:trHeight w:val="240"/>
        </w:trPr>
        <w:tc>
          <w:tcPr>
            <w:tcW w:w="61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single" w:sz="8" w:space="0" w:color="000000"/>
              <w:left w:val="nil"/>
              <w:bottom w:val="nil"/>
              <w:right w:val="nil"/>
            </w:tcBorders>
            <w:shd w:val="clear" w:color="auto" w:fill="auto"/>
            <w:vAlign w:val="center"/>
            <w:hideMark/>
          </w:tcPr>
          <w:p w:rsidR="003E1F91" w:rsidRPr="003E1F91" w:rsidRDefault="00AD27D1" w:rsidP="00AD27D1">
            <w:pPr>
              <w:spacing w:after="0" w:line="240" w:lineRule="auto"/>
              <w:jc w:val="center"/>
              <w:rPr>
                <w:rFonts w:asciiTheme="minorHAnsi" w:eastAsia="Times New Roman" w:hAnsiTheme="minorHAnsi" w:cstheme="minorHAnsi"/>
                <w:color w:val="000000"/>
                <w:szCs w:val="20"/>
              </w:rPr>
            </w:pPr>
            <w:r>
              <w:rPr>
                <w:rFonts w:asciiTheme="minorHAnsi" w:hAnsiTheme="minorHAnsi"/>
                <w:szCs w:val="20"/>
              </w:rPr>
              <w:t>Niet gecontroleerd</w:t>
            </w:r>
          </w:p>
        </w:tc>
        <w:tc>
          <w:tcPr>
            <w:tcW w:w="1380" w:type="dxa"/>
            <w:tcBorders>
              <w:top w:val="single" w:sz="8" w:space="0" w:color="000000"/>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color w:val="000000"/>
                <w:szCs w:val="20"/>
              </w:rPr>
              <w:t> </w:t>
            </w:r>
          </w:p>
        </w:tc>
      </w:tr>
      <w:tr w:rsidR="003E1F91" w:rsidRPr="003E1F91" w:rsidTr="003E1F91">
        <w:trPr>
          <w:trHeight w:val="340"/>
        </w:trPr>
        <w:tc>
          <w:tcPr>
            <w:tcW w:w="61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(x EUR 1.000)</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2017</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2016</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EBITDA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603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-310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Aanpassingen voor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Mutaties in pensioenv</w:t>
            </w:r>
            <w:r w:rsidR="0092486D">
              <w:rPr>
                <w:rFonts w:asciiTheme="minorHAnsi" w:hAnsiTheme="minorHAnsi"/>
                <w:color w:val="000000"/>
                <w:szCs w:val="20"/>
              </w:rPr>
              <w:t>erplichting</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-141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-76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Op aandelen gebaseerde betalingen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13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    </w:t>
            </w:r>
            <w:r w:rsidR="00F16FFB">
              <w:rPr>
                <w:rFonts w:asciiTheme="minorHAnsi" w:hAnsiTheme="minorHAnsi"/>
                <w:color w:val="000000"/>
                <w:szCs w:val="20"/>
              </w:rPr>
              <w:t>L</w:t>
            </w:r>
            <w:r>
              <w:rPr>
                <w:rFonts w:asciiTheme="minorHAnsi" w:hAnsiTheme="minorHAnsi"/>
                <w:color w:val="000000"/>
                <w:szCs w:val="20"/>
              </w:rPr>
              <w:t xml:space="preserve">opende </w:t>
            </w:r>
            <w:r w:rsidR="00F16FFB">
              <w:rPr>
                <w:rFonts w:asciiTheme="minorHAnsi" w:hAnsiTheme="minorHAnsi"/>
                <w:color w:val="000000"/>
                <w:szCs w:val="20"/>
              </w:rPr>
              <w:t>rente</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-25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-28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Bijzondere waardevermindering van financiële activa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346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Veranderingen  in werk kapitaal </w:t>
            </w:r>
            <w:r w:rsidR="00F16FFB">
              <w:rPr>
                <w:rFonts w:asciiTheme="minorHAnsi" w:hAnsiTheme="minorHAnsi"/>
                <w:color w:val="000000"/>
                <w:szCs w:val="20"/>
              </w:rPr>
              <w:t>:</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Voorraden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-107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-194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Handels</w:t>
            </w:r>
            <w:r w:rsidR="00F16FFB">
              <w:rPr>
                <w:rFonts w:asciiTheme="minorHAnsi" w:hAnsiTheme="minorHAnsi"/>
                <w:color w:val="000000"/>
                <w:szCs w:val="20"/>
              </w:rPr>
              <w:t>debiteuren</w:t>
            </w:r>
            <w:r>
              <w:rPr>
                <w:rFonts w:asciiTheme="minorHAnsi" w:hAnsiTheme="minorHAnsi"/>
                <w:color w:val="000000"/>
                <w:szCs w:val="20"/>
              </w:rPr>
              <w:t xml:space="preserve"> en overige </w:t>
            </w:r>
            <w:r w:rsidR="00F16FFB">
              <w:rPr>
                <w:rFonts w:asciiTheme="minorHAnsi" w:hAnsiTheme="minorHAnsi"/>
                <w:color w:val="000000"/>
                <w:szCs w:val="20"/>
              </w:rPr>
              <w:t>vorderingen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-268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-53    </w:t>
            </w:r>
          </w:p>
        </w:tc>
      </w:tr>
      <w:tr w:rsidR="003E1F91" w:rsidRPr="003E1F91" w:rsidTr="003E1F91">
        <w:trPr>
          <w:trHeight w:val="300"/>
        </w:trPr>
        <w:tc>
          <w:tcPr>
            <w:tcW w:w="61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both"/>
              <w:rPr>
                <w:rFonts w:asciiTheme="minorHAnsi" w:eastAsia="Times New Roman" w:hAnsiTheme="minorHAnsi" w:cstheme="minorHAnsi"/>
                <w:szCs w:val="20"/>
              </w:rPr>
            </w:pPr>
            <w:r>
              <w:rPr>
                <w:rFonts w:asciiTheme="minorHAnsi" w:hAnsiTheme="minorHAnsi"/>
                <w:szCs w:val="20"/>
              </w:rPr>
              <w:t xml:space="preserve">-    Handels- en overige kortlopende verplichtingen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408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361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Kasstroom uit bedrijfsactiviteiten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815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-287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Betaalde </w:t>
            </w:r>
            <w:r w:rsidR="00A3061D">
              <w:rPr>
                <w:rFonts w:asciiTheme="minorHAnsi" w:hAnsiTheme="minorHAnsi"/>
                <w:color w:val="000000"/>
                <w:szCs w:val="20"/>
              </w:rPr>
              <w:t>rente</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-188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-165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Betaalde belastingen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 kasstroom uit bedrijfsactiviteiten</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627    </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-452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Kasstroom uit investeringsactiviteiten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lang w:val="en-GB"/>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lang w:val="en-GB"/>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Investeringen in materiële vaste activa</w:t>
            </w: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szCs w:val="20"/>
              </w:rPr>
            </w:pPr>
            <w:r>
              <w:rPr>
                <w:rFonts w:asciiTheme="minorHAnsi" w:hAnsiTheme="minorHAnsi"/>
                <w:szCs w:val="20"/>
              </w:rPr>
              <w:t>-1.</w:t>
            </w:r>
            <w:r w:rsidR="003E1F91">
              <w:rPr>
                <w:rFonts w:asciiTheme="minorHAnsi" w:hAnsiTheme="minorHAnsi"/>
                <w:szCs w:val="20"/>
              </w:rPr>
              <w:t xml:space="preserve">127    </w:t>
            </w:r>
          </w:p>
        </w:tc>
        <w:tc>
          <w:tcPr>
            <w:tcW w:w="1380" w:type="dxa"/>
            <w:tcBorders>
              <w:top w:val="nil"/>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szCs w:val="20"/>
              </w:rPr>
            </w:pPr>
            <w:r>
              <w:rPr>
                <w:rFonts w:asciiTheme="minorHAnsi" w:hAnsiTheme="minorHAnsi"/>
                <w:szCs w:val="20"/>
              </w:rPr>
              <w:t>-1.</w:t>
            </w:r>
            <w:r w:rsidR="003E1F91">
              <w:rPr>
                <w:rFonts w:asciiTheme="minorHAnsi" w:hAnsiTheme="minorHAnsi"/>
                <w:szCs w:val="20"/>
              </w:rPr>
              <w:t xml:space="preserve">590    </w:t>
            </w:r>
          </w:p>
        </w:tc>
      </w:tr>
      <w:tr w:rsidR="003E1F91" w:rsidRPr="003E1F91" w:rsidTr="003E1F91">
        <w:trPr>
          <w:trHeight w:val="330"/>
        </w:trPr>
        <w:tc>
          <w:tcPr>
            <w:tcW w:w="6180" w:type="dxa"/>
            <w:tcBorders>
              <w:top w:val="nil"/>
              <w:left w:val="nil"/>
              <w:bottom w:val="nil"/>
              <w:right w:val="nil"/>
            </w:tcBorders>
            <w:shd w:val="clear" w:color="auto" w:fill="auto"/>
            <w:noWrap/>
            <w:vAlign w:val="center"/>
            <w:hideMark/>
          </w:tcPr>
          <w:p w:rsidR="003E1F91" w:rsidRPr="003E1F91" w:rsidRDefault="00BA1BAE"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Desinvestering van ma</w:t>
            </w:r>
            <w:r w:rsidR="003E1F91">
              <w:rPr>
                <w:rFonts w:asciiTheme="minorHAnsi" w:hAnsiTheme="minorHAnsi"/>
                <w:color w:val="000000"/>
                <w:szCs w:val="20"/>
              </w:rPr>
              <w:t>teriële vaste activa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Investeringen in immateriële activa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-72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-289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Desinvesteringen </w:t>
            </w:r>
            <w:r w:rsidR="000A40F3">
              <w:rPr>
                <w:rFonts w:asciiTheme="minorHAnsi" w:hAnsiTheme="minorHAnsi"/>
                <w:color w:val="000000"/>
                <w:szCs w:val="20"/>
              </w:rPr>
              <w:t>van</w:t>
            </w:r>
            <w:r>
              <w:rPr>
                <w:rFonts w:asciiTheme="minorHAnsi" w:hAnsiTheme="minorHAnsi"/>
                <w:color w:val="000000"/>
                <w:szCs w:val="20"/>
              </w:rPr>
              <w:t xml:space="preserve"> immateriële activa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color w:val="000000"/>
                <w:szCs w:val="20"/>
              </w:rPr>
            </w:pPr>
            <w:r>
              <w:rPr>
                <w:rFonts w:asciiTheme="minorHAnsi" w:hAnsi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Netto-investeringen in financiële activa</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4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 kasstroom uit investeringsactiviteiten</w:t>
            </w:r>
          </w:p>
        </w:tc>
        <w:tc>
          <w:tcPr>
            <w:tcW w:w="1380" w:type="dxa"/>
            <w:tcBorders>
              <w:top w:val="single" w:sz="8" w:space="0" w:color="auto"/>
              <w:left w:val="nil"/>
              <w:bottom w:val="nil"/>
              <w:right w:val="nil"/>
            </w:tcBorders>
            <w:shd w:val="clear" w:color="auto" w:fill="auto"/>
            <w:vAlign w:val="center"/>
            <w:hideMark/>
          </w:tcPr>
          <w:p w:rsidR="003E1F91" w:rsidRPr="003E1F91" w:rsidRDefault="005762AF"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-1.</w:t>
            </w:r>
            <w:r w:rsidR="003E1F91">
              <w:rPr>
                <w:rFonts w:asciiTheme="minorHAnsi" w:hAnsiTheme="minorHAnsi"/>
                <w:b/>
                <w:bCs/>
                <w:szCs w:val="20"/>
              </w:rPr>
              <w:t xml:space="preserve">195    </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5762AF">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-1</w:t>
            </w:r>
            <w:r w:rsidR="005762AF">
              <w:rPr>
                <w:rFonts w:asciiTheme="minorHAnsi" w:hAnsiTheme="minorHAnsi"/>
                <w:b/>
                <w:bCs/>
                <w:szCs w:val="20"/>
              </w:rPr>
              <w:t>.</w:t>
            </w:r>
            <w:r>
              <w:rPr>
                <w:rFonts w:asciiTheme="minorHAnsi" w:hAnsiTheme="minorHAnsi"/>
                <w:b/>
                <w:bCs/>
                <w:szCs w:val="20"/>
              </w:rPr>
              <w:t xml:space="preserve">878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Kasstroom uit financieringsactiviteiten</w:t>
            </w:r>
          </w:p>
        </w:tc>
        <w:tc>
          <w:tcPr>
            <w:tcW w:w="1380" w:type="dxa"/>
            <w:tcBorders>
              <w:top w:val="nil"/>
              <w:left w:val="nil"/>
              <w:bottom w:val="nil"/>
              <w:right w:val="nil"/>
            </w:tcBorders>
            <w:shd w:val="clear" w:color="auto" w:fill="auto"/>
            <w:vAlign w:val="center"/>
            <w:hideMark/>
          </w:tcPr>
          <w:p w:rsidR="003E1F91" w:rsidRPr="005762AF" w:rsidRDefault="003E1F91" w:rsidP="003E1F91">
            <w:pPr>
              <w:spacing w:after="0" w:line="240" w:lineRule="auto"/>
              <w:jc w:val="right"/>
              <w:rPr>
                <w:rFonts w:asciiTheme="minorHAnsi" w:eastAsia="Times New Roman" w:hAnsiTheme="minorHAnsi" w:cstheme="minorHAnsi"/>
                <w:b/>
                <w:bCs/>
                <w:color w:val="000000"/>
                <w:szCs w:val="20"/>
              </w:rPr>
            </w:pPr>
          </w:p>
        </w:tc>
        <w:tc>
          <w:tcPr>
            <w:tcW w:w="1380" w:type="dxa"/>
            <w:tcBorders>
              <w:top w:val="nil"/>
              <w:left w:val="nil"/>
              <w:bottom w:val="nil"/>
              <w:right w:val="nil"/>
            </w:tcBorders>
            <w:shd w:val="clear" w:color="auto" w:fill="auto"/>
            <w:vAlign w:val="center"/>
            <w:hideMark/>
          </w:tcPr>
          <w:p w:rsidR="003E1F91" w:rsidRPr="005762AF"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Inkomsten uit uitgifte van aandelen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609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1,629    </w:t>
            </w: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Opbrengst uit leningen</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723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xml:space="preserve">Aflossing </w:t>
            </w:r>
            <w:r w:rsidR="00D03E2B">
              <w:rPr>
                <w:rFonts w:asciiTheme="minorHAnsi" w:hAnsiTheme="minorHAnsi"/>
                <w:color w:val="000000"/>
                <w:szCs w:val="20"/>
              </w:rPr>
              <w:t>van</w:t>
            </w:r>
            <w:r>
              <w:rPr>
                <w:rFonts w:asciiTheme="minorHAnsi" w:hAnsiTheme="minorHAnsi"/>
                <w:color w:val="000000"/>
                <w:szCs w:val="20"/>
              </w:rPr>
              <w:t xml:space="preserve"> leningen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-113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 </w:t>
            </w:r>
          </w:p>
        </w:tc>
      </w:tr>
      <w:tr w:rsidR="003E1F91" w:rsidRPr="003E1F91" w:rsidTr="003E1F91">
        <w:trPr>
          <w:trHeight w:val="290"/>
        </w:trPr>
        <w:tc>
          <w:tcPr>
            <w:tcW w:w="6180" w:type="dxa"/>
            <w:tcBorders>
              <w:top w:val="single" w:sz="8" w:space="0" w:color="auto"/>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 kasstroom uit financieringsactiviteiten</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496    </w:t>
            </w:r>
          </w:p>
        </w:tc>
        <w:tc>
          <w:tcPr>
            <w:tcW w:w="1380" w:type="dxa"/>
            <w:tcBorders>
              <w:top w:val="single" w:sz="8" w:space="0" w:color="auto"/>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2,352    </w:t>
            </w:r>
          </w:p>
        </w:tc>
      </w:tr>
      <w:tr w:rsidR="003E1F91" w:rsidRPr="003E1F91" w:rsidTr="003E1F91">
        <w:trPr>
          <w:trHeight w:val="300"/>
        </w:trPr>
        <w:tc>
          <w:tcPr>
            <w:tcW w:w="6180" w:type="dxa"/>
            <w:tcBorders>
              <w:top w:val="nil"/>
              <w:left w:val="nil"/>
              <w:bottom w:val="single" w:sz="8"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w:t>
            </w:r>
          </w:p>
        </w:tc>
      </w:tr>
      <w:tr w:rsidR="003E1F91" w:rsidRPr="003E1F91" w:rsidTr="003E1F91">
        <w:trPr>
          <w:trHeight w:val="300"/>
        </w:trPr>
        <w:tc>
          <w:tcPr>
            <w:tcW w:w="6180" w:type="dxa"/>
            <w:tcBorders>
              <w:top w:val="nil"/>
              <w:left w:val="nil"/>
              <w:bottom w:val="double" w:sz="6"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 kasstroom</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-72    </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szCs w:val="20"/>
              </w:rPr>
            </w:pPr>
            <w:r>
              <w:rPr>
                <w:rFonts w:asciiTheme="minorHAnsi" w:hAnsiTheme="minorHAnsi"/>
                <w:b/>
                <w:bCs/>
                <w:szCs w:val="20"/>
              </w:rPr>
              <w:t xml:space="preserve">22    </w:t>
            </w:r>
          </w:p>
        </w:tc>
      </w:tr>
      <w:tr w:rsidR="003E1F91" w:rsidRPr="003E1F91" w:rsidTr="003E1F91">
        <w:trPr>
          <w:trHeight w:val="30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p>
        </w:tc>
      </w:tr>
      <w:tr w:rsidR="003E1F91" w:rsidRPr="003E1F91" w:rsidTr="003E1F91">
        <w:trPr>
          <w:trHeight w:val="290"/>
        </w:trPr>
        <w:tc>
          <w:tcPr>
            <w:tcW w:w="6180" w:type="dxa"/>
            <w:tcBorders>
              <w:top w:val="nil"/>
              <w:left w:val="nil"/>
              <w:bottom w:val="nil"/>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Liquide middelen -/- rekening courant bank primo</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689    </w:t>
            </w:r>
          </w:p>
        </w:tc>
        <w:tc>
          <w:tcPr>
            <w:tcW w:w="1380" w:type="dxa"/>
            <w:tcBorders>
              <w:top w:val="nil"/>
              <w:left w:val="nil"/>
              <w:bottom w:val="nil"/>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667    </w:t>
            </w:r>
          </w:p>
        </w:tc>
      </w:tr>
      <w:tr w:rsidR="003E1F91" w:rsidRPr="003E1F91" w:rsidTr="003E1F91">
        <w:trPr>
          <w:trHeight w:val="300"/>
        </w:trPr>
        <w:tc>
          <w:tcPr>
            <w:tcW w:w="6180" w:type="dxa"/>
            <w:tcBorders>
              <w:top w:val="nil"/>
              <w:left w:val="nil"/>
              <w:bottom w:val="single" w:sz="8"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color w:val="000000"/>
                <w:szCs w:val="20"/>
              </w:rPr>
            </w:pPr>
            <w:r>
              <w:rPr>
                <w:rFonts w:asciiTheme="minorHAnsi" w:hAnsiTheme="minorHAnsi"/>
                <w:color w:val="000000"/>
                <w:szCs w:val="20"/>
              </w:rPr>
              <w:t>Liquide middelen -/- rekening courant bank ultimo</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617    </w:t>
            </w:r>
          </w:p>
        </w:tc>
        <w:tc>
          <w:tcPr>
            <w:tcW w:w="1380" w:type="dxa"/>
            <w:tcBorders>
              <w:top w:val="nil"/>
              <w:left w:val="nil"/>
              <w:bottom w:val="single" w:sz="8"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szCs w:val="20"/>
              </w:rPr>
            </w:pPr>
            <w:r>
              <w:rPr>
                <w:rFonts w:asciiTheme="minorHAnsi" w:hAnsiTheme="minorHAnsi"/>
                <w:szCs w:val="20"/>
              </w:rPr>
              <w:t xml:space="preserve">689    </w:t>
            </w:r>
          </w:p>
        </w:tc>
      </w:tr>
      <w:tr w:rsidR="003E1F91" w:rsidRPr="003E1F91" w:rsidTr="003E1F91">
        <w:trPr>
          <w:trHeight w:val="300"/>
        </w:trPr>
        <w:tc>
          <w:tcPr>
            <w:tcW w:w="6180" w:type="dxa"/>
            <w:tcBorders>
              <w:top w:val="nil"/>
              <w:left w:val="nil"/>
              <w:bottom w:val="double" w:sz="6" w:space="0" w:color="auto"/>
              <w:right w:val="nil"/>
            </w:tcBorders>
            <w:shd w:val="clear" w:color="auto" w:fill="auto"/>
            <w:noWrap/>
            <w:vAlign w:val="center"/>
            <w:hideMark/>
          </w:tcPr>
          <w:p w:rsidR="003E1F91" w:rsidRPr="003E1F91" w:rsidRDefault="003E1F91" w:rsidP="003E1F91">
            <w:pPr>
              <w:spacing w:after="0" w:line="240" w:lineRule="auto"/>
              <w:jc w:val="both"/>
              <w:rPr>
                <w:rFonts w:asciiTheme="minorHAnsi" w:eastAsia="Times New Roman" w:hAnsiTheme="minorHAnsi" w:cstheme="minorHAnsi"/>
                <w:b/>
                <w:bCs/>
                <w:color w:val="000000"/>
                <w:szCs w:val="20"/>
              </w:rPr>
            </w:pPr>
            <w:r>
              <w:rPr>
                <w:rFonts w:asciiTheme="minorHAnsi" w:hAnsiTheme="minorHAnsi"/>
                <w:b/>
                <w:bCs/>
                <w:color w:val="000000"/>
                <w:szCs w:val="20"/>
              </w:rPr>
              <w:t>Netto kasstroom</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xml:space="preserve">-72    </w:t>
            </w:r>
          </w:p>
        </w:tc>
        <w:tc>
          <w:tcPr>
            <w:tcW w:w="1380" w:type="dxa"/>
            <w:tcBorders>
              <w:top w:val="nil"/>
              <w:left w:val="nil"/>
              <w:bottom w:val="double" w:sz="6" w:space="0" w:color="auto"/>
              <w:right w:val="nil"/>
            </w:tcBorders>
            <w:shd w:val="clear" w:color="auto" w:fill="auto"/>
            <w:vAlign w:val="center"/>
            <w:hideMark/>
          </w:tcPr>
          <w:p w:rsidR="003E1F91" w:rsidRPr="003E1F91" w:rsidRDefault="003E1F91" w:rsidP="003E1F91">
            <w:pPr>
              <w:spacing w:after="0" w:line="240" w:lineRule="auto"/>
              <w:jc w:val="right"/>
              <w:rPr>
                <w:rFonts w:asciiTheme="minorHAnsi" w:eastAsia="Times New Roman" w:hAnsiTheme="minorHAnsi" w:cstheme="minorHAnsi"/>
                <w:b/>
                <w:bCs/>
                <w:color w:val="000000"/>
                <w:szCs w:val="20"/>
              </w:rPr>
            </w:pPr>
            <w:r>
              <w:rPr>
                <w:rFonts w:asciiTheme="minorHAnsi" w:hAnsiTheme="minorHAnsi"/>
                <w:b/>
                <w:bCs/>
                <w:color w:val="000000"/>
                <w:szCs w:val="20"/>
              </w:rPr>
              <w:t xml:space="preserve">22    </w:t>
            </w:r>
          </w:p>
        </w:tc>
      </w:tr>
    </w:tbl>
    <w:p w:rsidR="003E1F91" w:rsidRPr="003E1F91" w:rsidRDefault="003E1F91" w:rsidP="003E1F91">
      <w:pPr>
        <w:spacing w:after="0"/>
        <w:jc w:val="both"/>
        <w:rPr>
          <w:rFonts w:asciiTheme="minorHAnsi" w:eastAsia="Times New Roman" w:hAnsiTheme="minorHAnsi" w:cstheme="minorHAnsi"/>
          <w:b/>
          <w:szCs w:val="20"/>
          <w:highlight w:val="yellow"/>
        </w:rPr>
      </w:pPr>
      <w:r>
        <w:rPr>
          <w:rFonts w:asciiTheme="minorHAnsi" w:hAnsiTheme="minorHAnsi"/>
          <w:b/>
          <w:szCs w:val="20"/>
          <w:highlight w:val="yellow"/>
        </w:rPr>
        <w:br/>
      </w:r>
    </w:p>
    <w:p w:rsidR="003E1F91" w:rsidRPr="003E1F91" w:rsidRDefault="003E1F91" w:rsidP="003E1F91">
      <w:pPr>
        <w:spacing w:after="0" w:line="240" w:lineRule="auto"/>
        <w:jc w:val="both"/>
        <w:rPr>
          <w:rFonts w:asciiTheme="minorHAnsi" w:eastAsia="Times New Roman" w:hAnsiTheme="minorHAnsi" w:cstheme="minorHAnsi"/>
          <w:b/>
          <w:color w:val="B71234"/>
          <w:szCs w:val="20"/>
        </w:rPr>
      </w:pPr>
      <w:r>
        <w:br w:type="page"/>
      </w:r>
    </w:p>
    <w:p w:rsidR="003E1F91" w:rsidRPr="007972CA" w:rsidRDefault="003E1F91" w:rsidP="007972CA">
      <w:pPr>
        <w:ind w:left="284"/>
        <w:jc w:val="both"/>
        <w:rPr>
          <w:rFonts w:asciiTheme="minorHAnsi" w:eastAsia="Times New Roman" w:hAnsiTheme="minorHAnsi" w:cstheme="minorHAnsi"/>
          <w:b/>
          <w:color w:val="B71234"/>
          <w:sz w:val="22"/>
        </w:rPr>
      </w:pPr>
      <w:r>
        <w:rPr>
          <w:rFonts w:asciiTheme="minorHAnsi" w:hAnsiTheme="minorHAnsi"/>
          <w:b/>
          <w:color w:val="B71234"/>
          <w:sz w:val="22"/>
        </w:rPr>
        <w:lastRenderedPageBreak/>
        <w:t>Gehanteerde grondslagen bij het opstellen van de jaarrekening</w:t>
      </w:r>
    </w:p>
    <w:p w:rsidR="003E1F91" w:rsidRPr="003E1F91" w:rsidRDefault="003E1F91" w:rsidP="007972CA">
      <w:pPr>
        <w:ind w:left="284"/>
        <w:jc w:val="both"/>
        <w:rPr>
          <w:rFonts w:asciiTheme="minorHAnsi" w:eastAsia="Times New Roman" w:hAnsiTheme="minorHAnsi" w:cstheme="minorHAnsi"/>
          <w:szCs w:val="20"/>
        </w:rPr>
      </w:pPr>
      <w:r>
        <w:rPr>
          <w:rFonts w:asciiTheme="minorHAnsi" w:hAnsiTheme="minorHAnsi"/>
          <w:szCs w:val="20"/>
        </w:rPr>
        <w:t xml:space="preserve">De jaarrekening van </w:t>
      </w:r>
      <w:r>
        <w:rPr>
          <w:rFonts w:asciiTheme="minorHAnsi" w:hAnsiTheme="minorHAnsi"/>
          <w:color w:val="B71234"/>
          <w:szCs w:val="20"/>
        </w:rPr>
        <w:t>Rood</w:t>
      </w:r>
      <w:r>
        <w:rPr>
          <w:rFonts w:asciiTheme="minorHAnsi" w:hAnsiTheme="minorHAnsi"/>
          <w:szCs w:val="20"/>
        </w:rPr>
        <w:t xml:space="preserve">Microtec N.V.voor het boekjaar 2017 bevat een overzicht van de toegepaste grondslagen voor financiële verslaggeving. De principes uiteengezet in dit overzicht zijn in overeenstemming met de </w:t>
      </w:r>
      <w:r w:rsidR="00BD710C">
        <w:rPr>
          <w:rFonts w:asciiTheme="minorHAnsi" w:hAnsiTheme="minorHAnsi"/>
          <w:szCs w:val="20"/>
        </w:rPr>
        <w:t xml:space="preserve">International Financial Reporting Standards </w:t>
      </w:r>
      <w:r>
        <w:rPr>
          <w:rFonts w:asciiTheme="minorHAnsi" w:hAnsiTheme="minorHAnsi"/>
          <w:szCs w:val="20"/>
        </w:rPr>
        <w:t>vastgelegd door de International Accounting Standards Board (IASB) en goedgekeurd door de Europese Commissie</w:t>
      </w:r>
      <w:r w:rsidR="00A01C9E">
        <w:rPr>
          <w:rFonts w:asciiTheme="minorHAnsi" w:hAnsiTheme="minorHAnsi"/>
          <w:szCs w:val="20"/>
        </w:rPr>
        <w:t xml:space="preserve"> (IFRS-EU)</w:t>
      </w:r>
      <w:r>
        <w:rPr>
          <w:rFonts w:asciiTheme="minorHAnsi" w:hAnsiTheme="minorHAnsi"/>
          <w:szCs w:val="20"/>
        </w:rPr>
        <w:t>, zoals van toepassing op 31 december 2017. De grondslagen voor financiële verslaggeving zijn consistent toegepast op de gepresenteerde</w:t>
      </w:r>
      <w:r w:rsidR="005762AF">
        <w:rPr>
          <w:rFonts w:asciiTheme="minorHAnsi" w:hAnsiTheme="minorHAnsi"/>
          <w:szCs w:val="20"/>
        </w:rPr>
        <w:t xml:space="preserve"> perioden in dit persbericht.</w:t>
      </w:r>
    </w:p>
    <w:p w:rsidR="003E1F91" w:rsidRPr="003E1F91" w:rsidRDefault="003E1F91" w:rsidP="007972CA">
      <w:pPr>
        <w:ind w:left="284"/>
        <w:jc w:val="both"/>
        <w:rPr>
          <w:rFonts w:asciiTheme="minorHAnsi" w:eastAsia="Times New Roman" w:hAnsiTheme="minorHAnsi" w:cstheme="minorHAnsi"/>
          <w:szCs w:val="20"/>
          <w:highlight w:val="yellow"/>
        </w:rPr>
      </w:pPr>
      <w:r>
        <w:rPr>
          <w:rFonts w:asciiTheme="minorHAnsi" w:hAnsiTheme="minorHAnsi"/>
          <w:color w:val="C00000"/>
          <w:szCs w:val="20"/>
        </w:rPr>
        <w:t>Rood</w:t>
      </w:r>
      <w:r>
        <w:rPr>
          <w:rFonts w:asciiTheme="minorHAnsi" w:hAnsiTheme="minorHAnsi"/>
          <w:szCs w:val="20"/>
        </w:rPr>
        <w:t>Microtec N.V. heeft alle nieuwe en gewijzigde standaarden en interpretaties toegepast die van toepassing zijn op het verslagjaar, die zijn goedgekeurd door de Europese Commissie en die van kracht waren voor de periode die begint op 1</w:t>
      </w:r>
      <w:r w:rsidR="00BF312E">
        <w:rPr>
          <w:rFonts w:asciiTheme="minorHAnsi" w:hAnsiTheme="minorHAnsi"/>
          <w:szCs w:val="20"/>
        </w:rPr>
        <w:t> </w:t>
      </w:r>
      <w:r>
        <w:rPr>
          <w:rFonts w:asciiTheme="minorHAnsi" w:hAnsiTheme="minorHAnsi"/>
          <w:szCs w:val="20"/>
        </w:rPr>
        <w:t>januari 2017. Geen van deze standaarden had een materieel effect op de jaarrekening van de Groep.</w:t>
      </w:r>
    </w:p>
    <w:p w:rsidR="003E1F91" w:rsidRPr="005136E4" w:rsidRDefault="003E1F91" w:rsidP="007972CA">
      <w:pPr>
        <w:ind w:left="284"/>
        <w:jc w:val="both"/>
        <w:rPr>
          <w:rFonts w:asciiTheme="minorHAnsi" w:eastAsia="Times New Roman" w:hAnsiTheme="minorHAnsi" w:cstheme="minorHAnsi"/>
          <w:szCs w:val="20"/>
          <w:lang w:eastAsia="en-GB" w:bidi="en-GB"/>
        </w:rPr>
      </w:pPr>
    </w:p>
    <w:p w:rsidR="003E1F91" w:rsidRPr="007972CA" w:rsidRDefault="003E1F91" w:rsidP="007972CA">
      <w:pPr>
        <w:ind w:left="284"/>
        <w:jc w:val="both"/>
        <w:rPr>
          <w:rFonts w:asciiTheme="minorHAnsi" w:eastAsia="Times New Roman" w:hAnsiTheme="minorHAnsi" w:cstheme="minorHAnsi"/>
          <w:b/>
          <w:color w:val="B71234"/>
          <w:sz w:val="22"/>
        </w:rPr>
      </w:pPr>
      <w:r>
        <w:rPr>
          <w:rFonts w:asciiTheme="minorHAnsi" w:hAnsiTheme="minorHAnsi"/>
          <w:b/>
          <w:color w:val="B71234"/>
          <w:sz w:val="22"/>
        </w:rPr>
        <w:t>Overig</w:t>
      </w:r>
    </w:p>
    <w:p w:rsidR="003E1F91" w:rsidRPr="003E1F91" w:rsidRDefault="003E1F91" w:rsidP="007972CA">
      <w:pPr>
        <w:ind w:left="284"/>
        <w:jc w:val="both"/>
        <w:rPr>
          <w:rFonts w:asciiTheme="minorHAnsi" w:eastAsia="Times New Roman" w:hAnsiTheme="minorHAnsi" w:cstheme="minorHAnsi"/>
          <w:szCs w:val="20"/>
        </w:rPr>
      </w:pPr>
      <w:r>
        <w:rPr>
          <w:rFonts w:asciiTheme="minorHAnsi" w:hAnsiTheme="minorHAnsi"/>
          <w:szCs w:val="20"/>
        </w:rPr>
        <w:t>De verkorte financiële informatie in dit persbericht is niet gecontroleerd. Voor het inzicht dat nodig is om tot een verantwoord oordeel te komen over de financiële positie en de resultaten van het bedrijf, dient dit persbericht te worden gelezen in com</w:t>
      </w:r>
      <w:r w:rsidR="00BF312E">
        <w:rPr>
          <w:rFonts w:asciiTheme="minorHAnsi" w:hAnsiTheme="minorHAnsi"/>
          <w:szCs w:val="20"/>
        </w:rPr>
        <w:t>binatie met de jaarrekening.</w:t>
      </w:r>
    </w:p>
    <w:p w:rsidR="003E1F91" w:rsidRPr="003E1F91" w:rsidRDefault="003E1F91" w:rsidP="007972CA">
      <w:pPr>
        <w:ind w:left="284"/>
        <w:jc w:val="both"/>
        <w:rPr>
          <w:rFonts w:asciiTheme="minorHAnsi" w:eastAsia="Times New Roman" w:hAnsiTheme="minorHAnsi" w:cstheme="minorHAnsi"/>
          <w:szCs w:val="20"/>
        </w:rPr>
      </w:pPr>
      <w:r>
        <w:rPr>
          <w:rFonts w:asciiTheme="minorHAnsi" w:hAnsiTheme="minorHAnsi"/>
          <w:color w:val="B71234"/>
          <w:szCs w:val="20"/>
        </w:rPr>
        <w:t>Rood</w:t>
      </w:r>
      <w:r>
        <w:rPr>
          <w:rFonts w:asciiTheme="minorHAnsi" w:hAnsiTheme="minorHAnsi"/>
          <w:szCs w:val="20"/>
        </w:rPr>
        <w:t>Microtec N.V. Zal haar jaarverslag 2017 op 28 maart 2018 publiceren. De jaarrekening 2017 zal op 17 mei 2018 ter goedkeuring voorgelegd worden aan de Algemene Vergadering van Aandeelhouders.</w:t>
      </w:r>
    </w:p>
    <w:sectPr w:rsidR="003E1F91" w:rsidRPr="003E1F91" w:rsidSect="00575A1A">
      <w:footerReference w:type="default" r:id="rId11"/>
      <w:headerReference w:type="first" r:id="rId12"/>
      <w:footerReference w:type="first" r:id="rId13"/>
      <w:pgSz w:w="11906" w:h="16838" w:code="9"/>
      <w:pgMar w:top="568" w:right="849" w:bottom="454" w:left="709" w:header="3856" w:footer="567"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762AF" w:rsidRDefault="005762AF" w:rsidP="00487DE4">
      <w:pPr>
        <w:spacing w:after="0" w:line="240" w:lineRule="auto"/>
      </w:pPr>
      <w:r>
        <w:separator/>
      </w:r>
    </w:p>
  </w:endnote>
  <w:endnote w:type="continuationSeparator" w:id="0">
    <w:p w:rsidR="005762AF" w:rsidRDefault="005762AF" w:rsidP="00487DE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IDFont+F1">
    <w:altName w:val="MS Gothic"/>
    <w:panose1 w:val="00000000000000000000"/>
    <w:charset w:val="80"/>
    <w:family w:val="auto"/>
    <w:notTrueType/>
    <w:pitch w:val="default"/>
    <w:sig w:usb0="00000001" w:usb1="08070000" w:usb2="00000010" w:usb3="00000000" w:csb0="00020000" w:csb1="00000000"/>
  </w:font>
  <w:font w:name="MS Mincho">
    <w:altName w:val="ＭＳ 明朝"/>
    <w:panose1 w:val="02020609040205080304"/>
    <w:charset w:val="80"/>
    <w:family w:val="modern"/>
    <w:pitch w:val="fixed"/>
    <w:sig w:usb0="A00002BF" w:usb1="68C7FCFB" w:usb2="00000010" w:usb3="00000000" w:csb0="0002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AF" w:rsidRDefault="005762AF" w:rsidP="00B50948">
    <w:pPr>
      <w:pStyle w:val="Fuzeile"/>
      <w:tabs>
        <w:tab w:val="clear" w:pos="9072"/>
      </w:tabs>
      <w:ind w:left="-284"/>
    </w:pPr>
    <w:r w:rsidRPr="0015710A">
      <w:pict>
        <v:shapetype id="_x0000_t202" coordsize="21600,21600" o:spt="202" path="m,l,21600r21600,l21600,xe">
          <v:stroke joinstyle="miter"/>
          <v:path gradientshapeok="t" o:connecttype="rect"/>
        </v:shapetype>
        <v:shape id="_x0000_s2055" type="#_x0000_t202" style="position:absolute;left:0;text-align:left;margin-left:-10.4pt;margin-top:2.5pt;width:556.25pt;height:17.7pt;z-index:251660288;mso-width-relative:margin;mso-height-relative:margin" filled="f" stroked="f">
          <v:textbox style="mso-next-textbox:#_x0000_s2055" inset="0,0,0,0">
            <w:txbxContent>
              <w:p w:rsidR="005762AF" w:rsidRPr="00B50948" w:rsidRDefault="005762AF" w:rsidP="00B50948">
                <w:pPr>
                  <w:tabs>
                    <w:tab w:val="center" w:pos="5387"/>
                    <w:tab w:val="right" w:pos="10625"/>
                  </w:tabs>
                  <w:ind w:left="284" w:right="-47"/>
                  <w:rPr>
                    <w:color w:val="FFFFFF"/>
                  </w:rPr>
                </w:pPr>
                <w:r>
                  <w:rPr>
                    <w:color w:val="FFFFFF"/>
                  </w:rPr>
                  <w:t xml:space="preserve">Jaarcijfers 2017 (niet gecontroleerd) </w:t>
                </w:r>
                <w:r>
                  <w:rPr>
                    <w:color w:val="FFFFFF"/>
                  </w:rPr>
                  <w:tab/>
                </w:r>
                <w:r w:rsidRPr="00B50948">
                  <w:rPr>
                    <w:color w:val="FFFFFF"/>
                  </w:rPr>
                  <w:fldChar w:fldCharType="begin"/>
                </w:r>
                <w:r w:rsidRPr="00B50948">
                  <w:rPr>
                    <w:color w:val="FFFFFF"/>
                  </w:rPr>
                  <w:instrText xml:space="preserve"> PAGE   \* MERGEFORMAT </w:instrText>
                </w:r>
                <w:r w:rsidRPr="00B50948">
                  <w:rPr>
                    <w:color w:val="FFFFFF"/>
                  </w:rPr>
                  <w:fldChar w:fldCharType="separate"/>
                </w:r>
                <w:r w:rsidR="00BF312E">
                  <w:rPr>
                    <w:noProof/>
                    <w:color w:val="FFFFFF"/>
                  </w:rPr>
                  <w:t>9</w:t>
                </w:r>
                <w:r w:rsidRPr="00B50948">
                  <w:rPr>
                    <w:color w:val="FFFFFF"/>
                  </w:rPr>
                  <w:fldChar w:fldCharType="end"/>
                </w:r>
                <w:r>
                  <w:rPr>
                    <w:color w:val="FFFFFF"/>
                  </w:rPr>
                  <w:tab/>
                  <w:t>RoodMicrotec Persbericht</w:t>
                </w:r>
              </w:p>
              <w:p w:rsidR="005762AF" w:rsidRPr="005136E4" w:rsidRDefault="005762AF" w:rsidP="00B50948">
                <w:pPr>
                  <w:tabs>
                    <w:tab w:val="center" w:pos="5387"/>
                  </w:tabs>
                  <w:ind w:left="284"/>
                </w:pPr>
              </w:p>
            </w:txbxContent>
          </v:textbox>
        </v:shape>
      </w:pict>
    </w:r>
    <w:r>
      <w:rPr>
        <w:noProof/>
        <w:lang w:val="de-DE" w:eastAsia="de-DE"/>
      </w:rPr>
      <w:drawing>
        <wp:inline distT="0" distB="0" distL="0" distR="0">
          <wp:extent cx="7089416" cy="286247"/>
          <wp:effectExtent l="19050" t="0" r="0" b="0"/>
          <wp:docPr id="3"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092834" cy="286385"/>
                  </a:xfrm>
                  <a:prstGeom prst="rect">
                    <a:avLst/>
                  </a:prstGeom>
                  <a:noFill/>
                  <a:ln w="9525">
                    <a:noFill/>
                    <a:miter lim="800000"/>
                    <a:headEnd/>
                    <a:tailEnd/>
                  </a:ln>
                </pic:spPr>
              </pic:pic>
            </a:graphicData>
          </a:graphic>
        </wp:inline>
      </w:drawing>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AF" w:rsidRDefault="005762AF" w:rsidP="0036342D">
    <w:pPr>
      <w:pStyle w:val="Fuzeile"/>
      <w:tabs>
        <w:tab w:val="clear" w:pos="9072"/>
        <w:tab w:val="right" w:pos="10773"/>
      </w:tabs>
      <w:ind w:left="-284"/>
    </w:pPr>
    <w:r w:rsidRPr="0015710A">
      <w:pict>
        <v:shapetype id="_x0000_t202" coordsize="21600,21600" o:spt="202" path="m,l,21600r21600,l21600,xe">
          <v:stroke joinstyle="miter"/>
          <v:path gradientshapeok="t" o:connecttype="rect"/>
        </v:shapetype>
        <v:shape id="_x0000_s2051" type="#_x0000_t202" style="position:absolute;left:0;text-align:left;margin-left:-12.35pt;margin-top:2.2pt;width:541.7pt;height:14.4pt;z-index:251656192;mso-width-relative:margin;mso-height-relative:margin;v-text-anchor:middle" filled="f" stroked="f">
          <v:textbox style="mso-next-textbox:#_x0000_s2051" inset="0,0,0,0">
            <w:txbxContent>
              <w:p w:rsidR="005762AF" w:rsidRPr="009D767A" w:rsidRDefault="005762AF" w:rsidP="009D767A">
                <w:pPr>
                  <w:tabs>
                    <w:tab w:val="center" w:pos="5387"/>
                    <w:tab w:val="right" w:pos="10632"/>
                  </w:tabs>
                  <w:ind w:left="284" w:right="-63"/>
                  <w:rPr>
                    <w:color w:val="FFFFFF"/>
                  </w:rPr>
                </w:pPr>
                <w:r>
                  <w:rPr>
                    <w:color w:val="FFFFFF"/>
                  </w:rPr>
                  <w:t xml:space="preserve">Jaarcijfers 2017 (niet gecontroleerd) </w:t>
                </w:r>
                <w:r>
                  <w:rPr>
                    <w:color w:val="FFFFFF"/>
                  </w:rPr>
                  <w:tab/>
                </w:r>
                <w:r w:rsidRPr="009D767A">
                  <w:rPr>
                    <w:color w:val="FFFFFF"/>
                  </w:rPr>
                  <w:fldChar w:fldCharType="begin"/>
                </w:r>
                <w:r w:rsidRPr="009D767A">
                  <w:rPr>
                    <w:color w:val="FFFFFF"/>
                  </w:rPr>
                  <w:instrText xml:space="preserve"> PAGE   \* MERGEFORMAT </w:instrText>
                </w:r>
                <w:r w:rsidRPr="009D767A">
                  <w:rPr>
                    <w:color w:val="FFFFFF"/>
                  </w:rPr>
                  <w:fldChar w:fldCharType="separate"/>
                </w:r>
                <w:r>
                  <w:rPr>
                    <w:noProof/>
                    <w:color w:val="FFFFFF"/>
                  </w:rPr>
                  <w:t>1</w:t>
                </w:r>
                <w:r w:rsidRPr="009D767A">
                  <w:rPr>
                    <w:color w:val="FFFFFF"/>
                  </w:rPr>
                  <w:fldChar w:fldCharType="end"/>
                </w:r>
                <w:r>
                  <w:rPr>
                    <w:color w:val="FFFFFF"/>
                  </w:rPr>
                  <w:tab/>
                  <w:t>RoodMicrotec Persbericht</w:t>
                </w:r>
              </w:p>
              <w:p w:rsidR="005762AF" w:rsidRPr="002966AC" w:rsidRDefault="005762AF" w:rsidP="00657E90">
                <w:pPr>
                  <w:ind w:right="-205"/>
                </w:pPr>
              </w:p>
            </w:txbxContent>
          </v:textbox>
        </v:shape>
      </w:pict>
    </w:r>
    <w:r>
      <w:rPr>
        <w:noProof/>
        <w:lang w:val="de-DE" w:eastAsia="de-DE"/>
      </w:rPr>
      <w:drawing>
        <wp:inline distT="0" distB="0" distL="0" distR="0">
          <wp:extent cx="7145076" cy="286247"/>
          <wp:effectExtent l="19050" t="0" r="0" b="0"/>
          <wp:docPr id="2" name="Grafik 6"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6" descr="Balken klein.jpg"/>
                  <pic:cNvPicPr>
                    <a:picLocks noChangeAspect="1" noChangeArrowheads="1"/>
                  </pic:cNvPicPr>
                </pic:nvPicPr>
                <pic:blipFill>
                  <a:blip r:embed="rId1"/>
                  <a:srcRect/>
                  <a:stretch>
                    <a:fillRect/>
                  </a:stretch>
                </pic:blipFill>
                <pic:spPr bwMode="auto">
                  <a:xfrm>
                    <a:off x="0" y="0"/>
                    <a:ext cx="7148521" cy="286385"/>
                  </a:xfrm>
                  <a:prstGeom prst="rect">
                    <a:avLst/>
                  </a:prstGeom>
                  <a:noFill/>
                  <a:ln w="9525">
                    <a:noFill/>
                    <a:miter lim="800000"/>
                    <a:headEnd/>
                    <a:tailEnd/>
                  </a:ln>
                </pic:spPr>
              </pic:pic>
            </a:graphicData>
          </a:graphic>
        </wp:inline>
      </w:drawing>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762AF" w:rsidRDefault="005762AF" w:rsidP="00487DE4">
      <w:pPr>
        <w:spacing w:after="0" w:line="240" w:lineRule="auto"/>
      </w:pPr>
      <w:r>
        <w:separator/>
      </w:r>
    </w:p>
  </w:footnote>
  <w:footnote w:type="continuationSeparator" w:id="0">
    <w:p w:rsidR="005762AF" w:rsidRDefault="005762AF" w:rsidP="00487DE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2AF" w:rsidRDefault="005762AF" w:rsidP="00DC1818">
    <w:pPr>
      <w:pStyle w:val="Kopfzeile"/>
    </w:pPr>
    <w:r w:rsidRPr="0015710A">
      <w:pict>
        <v:shapetype id="_x0000_t202" coordsize="21600,21600" o:spt="202" path="m,l,21600r21600,l21600,xe">
          <v:stroke joinstyle="miter"/>
          <v:path gradientshapeok="t" o:connecttype="rect"/>
        </v:shapetype>
        <v:shape id="_x0000_s2059" type="#_x0000_t202" style="position:absolute;margin-left:9pt;margin-top:-170.85pt;width:238.3pt;height:122.05pt;z-index:251661312" filled="f" stroked="f">
          <v:textbox style="mso-next-textbox:#_x0000_s2059" inset="0,0,0,0">
            <w:txbxContent>
              <w:p w:rsidR="005762AF" w:rsidRPr="005136E4" w:rsidRDefault="005762AF" w:rsidP="006A787C">
                <w:pPr>
                  <w:spacing w:after="0" w:line="240" w:lineRule="auto"/>
                  <w:rPr>
                    <w:sz w:val="18"/>
                    <w:szCs w:val="18"/>
                    <w:lang w:val="en-US"/>
                  </w:rPr>
                </w:pPr>
                <w:r w:rsidRPr="005136E4">
                  <w:rPr>
                    <w:sz w:val="18"/>
                    <w:szCs w:val="18"/>
                    <w:lang w:val="en-US"/>
                  </w:rPr>
                  <w:t xml:space="preserve">Martin </w:t>
                </w:r>
                <w:proofErr w:type="spellStart"/>
                <w:r w:rsidRPr="005136E4">
                  <w:rPr>
                    <w:sz w:val="18"/>
                    <w:szCs w:val="18"/>
                    <w:lang w:val="en-US"/>
                  </w:rPr>
                  <w:t>Sallenhag</w:t>
                </w:r>
                <w:proofErr w:type="spellEnd"/>
                <w:r w:rsidRPr="005136E4">
                  <w:rPr>
                    <w:sz w:val="18"/>
                    <w:szCs w:val="18"/>
                    <w:lang w:val="en-US"/>
                  </w:rPr>
                  <w:t>, CEO</w:t>
                </w:r>
              </w:p>
              <w:p w:rsidR="005762AF" w:rsidRPr="005136E4" w:rsidRDefault="005762AF" w:rsidP="006A787C">
                <w:pPr>
                  <w:spacing w:after="0" w:line="240" w:lineRule="auto"/>
                  <w:rPr>
                    <w:sz w:val="18"/>
                    <w:szCs w:val="18"/>
                    <w:lang w:val="en-US"/>
                  </w:rPr>
                </w:pPr>
                <w:proofErr w:type="spellStart"/>
                <w:r w:rsidRPr="005136E4">
                  <w:rPr>
                    <w:sz w:val="18"/>
                    <w:szCs w:val="18"/>
                    <w:lang w:val="en-US"/>
                  </w:rPr>
                  <w:t>Reinhard</w:t>
                </w:r>
                <w:proofErr w:type="spellEnd"/>
                <w:r w:rsidRPr="005136E4">
                  <w:rPr>
                    <w:sz w:val="18"/>
                    <w:szCs w:val="18"/>
                    <w:lang w:val="en-US"/>
                  </w:rPr>
                  <w:t xml:space="preserve"> </w:t>
                </w:r>
                <w:proofErr w:type="spellStart"/>
                <w:r w:rsidRPr="005136E4">
                  <w:rPr>
                    <w:sz w:val="18"/>
                    <w:szCs w:val="18"/>
                    <w:lang w:val="en-US"/>
                  </w:rPr>
                  <w:t>Pusch</w:t>
                </w:r>
                <w:proofErr w:type="spellEnd"/>
                <w:r w:rsidRPr="005136E4">
                  <w:rPr>
                    <w:sz w:val="18"/>
                    <w:szCs w:val="18"/>
                    <w:lang w:val="en-US"/>
                  </w:rPr>
                  <w:t>, COO</w:t>
                </w:r>
              </w:p>
              <w:p w:rsidR="005762AF" w:rsidRPr="002966AC" w:rsidRDefault="005762AF" w:rsidP="006A787C">
                <w:pPr>
                  <w:spacing w:after="0" w:line="240" w:lineRule="auto"/>
                  <w:rPr>
                    <w:sz w:val="18"/>
                    <w:szCs w:val="18"/>
                    <w:lang w:val="en-US"/>
                  </w:rPr>
                </w:pPr>
                <w:proofErr w:type="spellStart"/>
                <w:r w:rsidRPr="002966AC">
                  <w:rPr>
                    <w:sz w:val="18"/>
                    <w:szCs w:val="18"/>
                    <w:lang w:val="en-US"/>
                  </w:rPr>
                  <w:t>Arvid</w:t>
                </w:r>
                <w:proofErr w:type="spellEnd"/>
                <w:r w:rsidRPr="002966AC">
                  <w:rPr>
                    <w:sz w:val="18"/>
                    <w:szCs w:val="18"/>
                    <w:lang w:val="en-US"/>
                  </w:rPr>
                  <w:t xml:space="preserve"> </w:t>
                </w:r>
                <w:proofErr w:type="spellStart"/>
                <w:r w:rsidRPr="002966AC">
                  <w:rPr>
                    <w:sz w:val="18"/>
                    <w:szCs w:val="18"/>
                    <w:lang w:val="en-US"/>
                  </w:rPr>
                  <w:t>Ladega</w:t>
                </w:r>
                <w:proofErr w:type="spellEnd"/>
                <w:r w:rsidRPr="002966AC">
                  <w:rPr>
                    <w:sz w:val="18"/>
                    <w:szCs w:val="18"/>
                    <w:lang w:val="en-US"/>
                  </w:rPr>
                  <w:t>, CFO</w:t>
                </w:r>
              </w:p>
              <w:p w:rsidR="005762AF" w:rsidRPr="002966AC" w:rsidRDefault="005762AF" w:rsidP="006A787C">
                <w:pPr>
                  <w:spacing w:after="0" w:line="240" w:lineRule="auto"/>
                  <w:rPr>
                    <w:sz w:val="18"/>
                    <w:szCs w:val="18"/>
                    <w:lang w:val="en-US"/>
                  </w:rPr>
                </w:pPr>
              </w:p>
              <w:p w:rsidR="005762AF" w:rsidRPr="009D767A" w:rsidRDefault="005762AF" w:rsidP="006A787C">
                <w:pPr>
                  <w:spacing w:after="0" w:line="240" w:lineRule="auto"/>
                  <w:rPr>
                    <w:b/>
                    <w:sz w:val="18"/>
                    <w:szCs w:val="18"/>
                  </w:rPr>
                </w:pPr>
                <w:r>
                  <w:rPr>
                    <w:b/>
                    <w:color w:val="B71234"/>
                    <w:sz w:val="18"/>
                    <w:szCs w:val="18"/>
                  </w:rPr>
                  <w:t>Rood</w:t>
                </w:r>
                <w:r>
                  <w:rPr>
                    <w:b/>
                    <w:sz w:val="18"/>
                    <w:szCs w:val="18"/>
                  </w:rPr>
                  <w:t>Microtec N.V.</w:t>
                </w:r>
              </w:p>
              <w:p w:rsidR="005762AF" w:rsidRPr="00FE6420" w:rsidRDefault="005762AF" w:rsidP="006A787C">
                <w:pPr>
                  <w:spacing w:after="0" w:line="240" w:lineRule="auto"/>
                  <w:rPr>
                    <w:sz w:val="18"/>
                    <w:szCs w:val="18"/>
                  </w:rPr>
                </w:pPr>
                <w:r>
                  <w:rPr>
                    <w:sz w:val="18"/>
                    <w:szCs w:val="18"/>
                  </w:rPr>
                  <w:t>‘Rembrandt’; Dokter van Deenweg 58</w:t>
                </w:r>
              </w:p>
              <w:p w:rsidR="005762AF" w:rsidRPr="00FE6420" w:rsidRDefault="005762AF" w:rsidP="006A787C">
                <w:pPr>
                  <w:spacing w:after="0" w:line="240" w:lineRule="auto"/>
                  <w:rPr>
                    <w:sz w:val="18"/>
                    <w:szCs w:val="18"/>
                  </w:rPr>
                </w:pPr>
                <w:r>
                  <w:rPr>
                    <w:sz w:val="18"/>
                    <w:szCs w:val="18"/>
                  </w:rPr>
                  <w:t>NL-8025 BC Zwolle</w:t>
                </w:r>
              </w:p>
              <w:p w:rsidR="005762AF" w:rsidRPr="005136E4" w:rsidRDefault="005762AF" w:rsidP="006A787C">
                <w:pPr>
                  <w:spacing w:after="0" w:line="240" w:lineRule="auto"/>
                  <w:rPr>
                    <w:sz w:val="18"/>
                    <w:szCs w:val="18"/>
                  </w:rPr>
                </w:pPr>
              </w:p>
              <w:p w:rsidR="005762AF" w:rsidRPr="00FE6420" w:rsidRDefault="005762AF" w:rsidP="0047010F">
                <w:pPr>
                  <w:pStyle w:val="Listenabsatz"/>
                  <w:numPr>
                    <w:ilvl w:val="0"/>
                    <w:numId w:val="1"/>
                  </w:numPr>
                  <w:tabs>
                    <w:tab w:val="left" w:pos="426"/>
                  </w:tabs>
                  <w:spacing w:after="0" w:line="240" w:lineRule="auto"/>
                  <w:ind w:left="426" w:hanging="426"/>
                  <w:rPr>
                    <w:rFonts w:asciiTheme="minorHAnsi" w:eastAsia="Arial" w:hAnsiTheme="minorHAnsi" w:cstheme="minorHAnsi"/>
                    <w:b/>
                    <w:color w:val="231F20"/>
                    <w:sz w:val="18"/>
                    <w:szCs w:val="18"/>
                  </w:rPr>
                </w:pPr>
                <w:r>
                  <w:rPr>
                    <w:rFonts w:asciiTheme="minorHAnsi" w:hAnsiTheme="minorHAnsi"/>
                    <w:b/>
                    <w:color w:val="231F20"/>
                    <w:sz w:val="18"/>
                    <w:szCs w:val="18"/>
                  </w:rPr>
                  <w:t>+31 38 4215216</w:t>
                </w:r>
              </w:p>
              <w:p w:rsidR="005762AF" w:rsidRPr="00FE6420" w:rsidRDefault="005762AF"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t>@</w:t>
                </w:r>
                <w:r>
                  <w:rPr>
                    <w:rFonts w:asciiTheme="minorHAnsi" w:hAnsiTheme="minorHAnsi"/>
                    <w:color w:val="231F20"/>
                    <w:sz w:val="18"/>
                    <w:szCs w:val="18"/>
                  </w:rPr>
                  <w:tab/>
                </w:r>
                <w:hyperlink r:id="rId1">
                  <w:r>
                    <w:rPr>
                      <w:rFonts w:asciiTheme="minorHAnsi" w:hAnsiTheme="minorHAnsi"/>
                      <w:color w:val="231F20"/>
                      <w:sz w:val="18"/>
                      <w:szCs w:val="18"/>
                    </w:rPr>
                    <w:t>investor-relations@roodmicrotec.com</w:t>
                  </w:r>
                </w:hyperlink>
              </w:p>
              <w:p w:rsidR="005762AF" w:rsidRPr="00FE6420" w:rsidRDefault="005762AF" w:rsidP="0047010F">
                <w:pPr>
                  <w:tabs>
                    <w:tab w:val="left" w:pos="426"/>
                  </w:tabs>
                  <w:spacing w:after="0" w:line="240" w:lineRule="auto"/>
                  <w:rPr>
                    <w:rFonts w:asciiTheme="minorHAnsi" w:eastAsia="Arial" w:hAnsiTheme="minorHAnsi" w:cstheme="minorHAnsi"/>
                    <w:color w:val="231F20"/>
                    <w:sz w:val="18"/>
                    <w:szCs w:val="18"/>
                  </w:rPr>
                </w:pPr>
                <w:r>
                  <w:rPr>
                    <w:rFonts w:asciiTheme="minorHAnsi" w:hAnsiTheme="minorHAnsi"/>
                    <w:color w:val="231F20"/>
                    <w:sz w:val="18"/>
                    <w:szCs w:val="18"/>
                  </w:rPr>
                  <w:sym w:font="Webdings" w:char="F0FC"/>
                </w:r>
                <w:r>
                  <w:rPr>
                    <w:rFonts w:asciiTheme="minorHAnsi" w:hAnsiTheme="minorHAnsi"/>
                    <w:color w:val="231F20"/>
                    <w:sz w:val="18"/>
                    <w:szCs w:val="18"/>
                  </w:rPr>
                  <w:tab/>
                  <w:t>www.roodmicrotec.com</w:t>
                </w:r>
              </w:p>
            </w:txbxContent>
          </v:textbox>
        </v:shape>
      </w:pict>
    </w:r>
    <w:r w:rsidRPr="0015710A">
      <w:pict>
        <v:shape id="_x0000_s2061" type="#_x0000_t202" style="position:absolute;margin-left:1.85pt;margin-top:-39.4pt;width:520.1pt;height:27.7pt;z-index:251662336" filled="f" stroked="f">
          <v:textbox style="mso-next-textbox:#_x0000_s2061">
            <w:txbxContent>
              <w:p w:rsidR="005762AF" w:rsidRPr="00E878A9" w:rsidRDefault="005762AF" w:rsidP="00F33608">
                <w:pPr>
                  <w:tabs>
                    <w:tab w:val="right" w:pos="10206"/>
                  </w:tabs>
                  <w:rPr>
                    <w:rFonts w:asciiTheme="minorHAnsi" w:hAnsiTheme="minorHAnsi" w:cstheme="minorHAnsi"/>
                    <w:color w:val="FFFFFF" w:themeColor="background1"/>
                    <w:sz w:val="32"/>
                    <w:szCs w:val="32"/>
                  </w:rPr>
                </w:pPr>
                <w:r>
                  <w:rPr>
                    <w:rFonts w:asciiTheme="minorHAnsi" w:hAnsiTheme="minorHAnsi"/>
                    <w:color w:val="FFFFFF" w:themeColor="background1"/>
                    <w:sz w:val="22"/>
                  </w:rPr>
                  <w:t>Zwolle – 8 maart 2018</w:t>
                </w:r>
                <w:r>
                  <w:rPr>
                    <w:color w:val="FFFFFF" w:themeColor="background1"/>
                  </w:rPr>
                  <w:tab/>
                </w:r>
                <w:r>
                  <w:rPr>
                    <w:b/>
                    <w:color w:val="FFFFFF" w:themeColor="background1"/>
                    <w:sz w:val="32"/>
                    <w:szCs w:val="32"/>
                  </w:rPr>
                  <w:t>PERSBERICHT</w:t>
                </w:r>
              </w:p>
            </w:txbxContent>
          </v:textbox>
        </v:shape>
      </w:pict>
    </w:r>
    <w:r>
      <w:rPr>
        <w:noProof/>
        <w:lang w:val="de-DE" w:eastAsia="de-DE"/>
      </w:rPr>
      <w:drawing>
        <wp:anchor distT="0" distB="0" distL="114300" distR="114300" simplePos="0" relativeHeight="251658240" behindDoc="1" locked="1" layoutInCell="1" allowOverlap="1">
          <wp:simplePos x="0" y="0"/>
          <wp:positionH relativeFrom="column">
            <wp:posOffset>3464560</wp:posOffset>
          </wp:positionH>
          <wp:positionV relativeFrom="paragraph">
            <wp:posOffset>-2353310</wp:posOffset>
          </wp:positionV>
          <wp:extent cx="3781425" cy="1828800"/>
          <wp:effectExtent l="19050" t="0" r="9525" b="0"/>
          <wp:wrapTight wrapText="bothSides">
            <wp:wrapPolygon edited="0">
              <wp:start x="-109" y="0"/>
              <wp:lineTo x="-109" y="21375"/>
              <wp:lineTo x="21654" y="21375"/>
              <wp:lineTo x="21654" y="0"/>
              <wp:lineTo x="-109" y="0"/>
            </wp:wrapPolygon>
          </wp:wrapTight>
          <wp:docPr id="9" name="Grafik 1" descr="Logo mit Slash.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Logo mit Slash.jpg"/>
                  <pic:cNvPicPr>
                    <a:picLocks noChangeAspect="1" noChangeArrowheads="1"/>
                  </pic:cNvPicPr>
                </pic:nvPicPr>
                <pic:blipFill>
                  <a:blip r:embed="rId2"/>
                  <a:srcRect/>
                  <a:stretch>
                    <a:fillRect/>
                  </a:stretch>
                </pic:blipFill>
                <pic:spPr bwMode="auto">
                  <a:xfrm>
                    <a:off x="0" y="0"/>
                    <a:ext cx="3781425" cy="1828800"/>
                  </a:xfrm>
                  <a:prstGeom prst="rect">
                    <a:avLst/>
                  </a:prstGeom>
                  <a:noFill/>
                  <a:ln w="9525">
                    <a:noFill/>
                    <a:miter lim="800000"/>
                    <a:headEnd/>
                    <a:tailEnd/>
                  </a:ln>
                </pic:spPr>
              </pic:pic>
            </a:graphicData>
          </a:graphic>
        </wp:anchor>
      </w:drawing>
    </w:r>
    <w:r>
      <w:rPr>
        <w:noProof/>
        <w:lang w:val="de-DE" w:eastAsia="de-DE"/>
      </w:rPr>
      <w:drawing>
        <wp:anchor distT="0" distB="0" distL="114300" distR="114300" simplePos="0" relativeHeight="251655168" behindDoc="1" locked="1" layoutInCell="1" allowOverlap="1">
          <wp:simplePos x="0" y="0"/>
          <wp:positionH relativeFrom="column">
            <wp:posOffset>-65405</wp:posOffset>
          </wp:positionH>
          <wp:positionV relativeFrom="paragraph">
            <wp:posOffset>-548640</wp:posOffset>
          </wp:positionV>
          <wp:extent cx="7048500" cy="532130"/>
          <wp:effectExtent l="19050" t="0" r="0" b="0"/>
          <wp:wrapTight wrapText="bothSides">
            <wp:wrapPolygon edited="0">
              <wp:start x="-58" y="0"/>
              <wp:lineTo x="-58" y="20878"/>
              <wp:lineTo x="21600" y="20878"/>
              <wp:lineTo x="21600" y="0"/>
              <wp:lineTo x="-58" y="0"/>
            </wp:wrapPolygon>
          </wp:wrapTight>
          <wp:docPr id="8" name="Grafik 3" descr="Balken klei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3" descr="Balken klein.jpg"/>
                  <pic:cNvPicPr>
                    <a:picLocks noChangeAspect="1" noChangeArrowheads="1"/>
                  </pic:cNvPicPr>
                </pic:nvPicPr>
                <pic:blipFill>
                  <a:blip r:embed="rId3"/>
                  <a:srcRect/>
                  <a:stretch>
                    <a:fillRect/>
                  </a:stretch>
                </pic:blipFill>
                <pic:spPr bwMode="auto">
                  <a:xfrm>
                    <a:off x="0" y="0"/>
                    <a:ext cx="7048500" cy="532130"/>
                  </a:xfrm>
                  <a:prstGeom prst="rect">
                    <a:avLst/>
                  </a:prstGeom>
                  <a:noFill/>
                  <a:ln w="9525">
                    <a:noFill/>
                    <a:miter lim="800000"/>
                    <a:headEnd/>
                    <a:tailEnd/>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3FF4FED"/>
    <w:multiLevelType w:val="hybridMultilevel"/>
    <w:tmpl w:val="55CCE960"/>
    <w:lvl w:ilvl="0" w:tplc="89949936">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18BE6DCB"/>
    <w:multiLevelType w:val="hybridMultilevel"/>
    <w:tmpl w:val="102E0976"/>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26900A37"/>
    <w:multiLevelType w:val="hybridMultilevel"/>
    <w:tmpl w:val="21922F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B8C5159"/>
    <w:multiLevelType w:val="hybridMultilevel"/>
    <w:tmpl w:val="F04C2FF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2E2D3F73"/>
    <w:multiLevelType w:val="hybridMultilevel"/>
    <w:tmpl w:val="A40A912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358E3E2B"/>
    <w:multiLevelType w:val="hybridMultilevel"/>
    <w:tmpl w:val="85DCC0B8"/>
    <w:lvl w:ilvl="0" w:tplc="04070001">
      <w:start w:val="1"/>
      <w:numFmt w:val="bullet"/>
      <w:lvlText w:val=""/>
      <w:lvlJc w:val="left"/>
      <w:pPr>
        <w:ind w:left="720" w:hanging="360"/>
      </w:pPr>
      <w:rPr>
        <w:rFonts w:ascii="Symbol" w:hAnsi="Symbol" w:hint="default"/>
      </w:rPr>
    </w:lvl>
    <w:lvl w:ilvl="1" w:tplc="04070003">
      <w:start w:val="1"/>
      <w:numFmt w:val="decimal"/>
      <w:lvlText w:val="%2."/>
      <w:lvlJc w:val="left"/>
      <w:pPr>
        <w:tabs>
          <w:tab w:val="num" w:pos="1440"/>
        </w:tabs>
        <w:ind w:left="1440" w:hanging="360"/>
      </w:pPr>
    </w:lvl>
    <w:lvl w:ilvl="2" w:tplc="04070005">
      <w:start w:val="1"/>
      <w:numFmt w:val="decimal"/>
      <w:lvlText w:val="%3."/>
      <w:lvlJc w:val="left"/>
      <w:pPr>
        <w:tabs>
          <w:tab w:val="num" w:pos="2160"/>
        </w:tabs>
        <w:ind w:left="2160" w:hanging="360"/>
      </w:pPr>
    </w:lvl>
    <w:lvl w:ilvl="3" w:tplc="04070001">
      <w:start w:val="1"/>
      <w:numFmt w:val="decimal"/>
      <w:lvlText w:val="%4."/>
      <w:lvlJc w:val="left"/>
      <w:pPr>
        <w:tabs>
          <w:tab w:val="num" w:pos="2880"/>
        </w:tabs>
        <w:ind w:left="2880" w:hanging="360"/>
      </w:pPr>
    </w:lvl>
    <w:lvl w:ilvl="4" w:tplc="04070003">
      <w:start w:val="1"/>
      <w:numFmt w:val="decimal"/>
      <w:lvlText w:val="%5."/>
      <w:lvlJc w:val="left"/>
      <w:pPr>
        <w:tabs>
          <w:tab w:val="num" w:pos="3600"/>
        </w:tabs>
        <w:ind w:left="3600" w:hanging="360"/>
      </w:pPr>
    </w:lvl>
    <w:lvl w:ilvl="5" w:tplc="04070005">
      <w:start w:val="1"/>
      <w:numFmt w:val="decimal"/>
      <w:lvlText w:val="%6."/>
      <w:lvlJc w:val="left"/>
      <w:pPr>
        <w:tabs>
          <w:tab w:val="num" w:pos="4320"/>
        </w:tabs>
        <w:ind w:left="4320" w:hanging="360"/>
      </w:pPr>
    </w:lvl>
    <w:lvl w:ilvl="6" w:tplc="04070001">
      <w:start w:val="1"/>
      <w:numFmt w:val="decimal"/>
      <w:lvlText w:val="%7."/>
      <w:lvlJc w:val="left"/>
      <w:pPr>
        <w:tabs>
          <w:tab w:val="num" w:pos="5040"/>
        </w:tabs>
        <w:ind w:left="5040" w:hanging="360"/>
      </w:pPr>
    </w:lvl>
    <w:lvl w:ilvl="7" w:tplc="04070003">
      <w:start w:val="1"/>
      <w:numFmt w:val="decimal"/>
      <w:lvlText w:val="%8."/>
      <w:lvlJc w:val="left"/>
      <w:pPr>
        <w:tabs>
          <w:tab w:val="num" w:pos="5760"/>
        </w:tabs>
        <w:ind w:left="5760" w:hanging="360"/>
      </w:pPr>
    </w:lvl>
    <w:lvl w:ilvl="8" w:tplc="04070005">
      <w:start w:val="1"/>
      <w:numFmt w:val="decimal"/>
      <w:lvlText w:val="%9."/>
      <w:lvlJc w:val="left"/>
      <w:pPr>
        <w:tabs>
          <w:tab w:val="num" w:pos="6480"/>
        </w:tabs>
        <w:ind w:left="6480" w:hanging="360"/>
      </w:pPr>
    </w:lvl>
  </w:abstractNum>
  <w:abstractNum w:abstractNumId="6">
    <w:nsid w:val="57470D11"/>
    <w:multiLevelType w:val="hybridMultilevel"/>
    <w:tmpl w:val="E4BA7632"/>
    <w:lvl w:ilvl="0" w:tplc="CCF6A786">
      <w:start w:val="1"/>
      <w:numFmt w:val="bullet"/>
      <w:lvlText w:val=""/>
      <w:lvlJc w:val="left"/>
      <w:pPr>
        <w:ind w:left="720" w:hanging="360"/>
      </w:pPr>
      <w:rPr>
        <w:rFonts w:ascii="Symbol" w:hAnsi="Symbol" w:cs="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cs="Wingdings" w:hint="default"/>
      </w:rPr>
    </w:lvl>
    <w:lvl w:ilvl="3" w:tplc="04090001">
      <w:start w:val="1"/>
      <w:numFmt w:val="bullet"/>
      <w:lvlText w:val=""/>
      <w:lvlJc w:val="left"/>
      <w:pPr>
        <w:ind w:left="2880" w:hanging="360"/>
      </w:pPr>
      <w:rPr>
        <w:rFonts w:ascii="Symbol" w:hAnsi="Symbol" w:cs="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cs="Wingdings" w:hint="default"/>
      </w:rPr>
    </w:lvl>
    <w:lvl w:ilvl="6" w:tplc="04090001">
      <w:start w:val="1"/>
      <w:numFmt w:val="bullet"/>
      <w:lvlText w:val=""/>
      <w:lvlJc w:val="left"/>
      <w:pPr>
        <w:ind w:left="5040" w:hanging="360"/>
      </w:pPr>
      <w:rPr>
        <w:rFonts w:ascii="Symbol" w:hAnsi="Symbol" w:cs="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cs="Wingdings" w:hint="default"/>
      </w:rPr>
    </w:lvl>
  </w:abstractNum>
  <w:abstractNum w:abstractNumId="7">
    <w:nsid w:val="5B6903C4"/>
    <w:multiLevelType w:val="hybridMultilevel"/>
    <w:tmpl w:val="71E83162"/>
    <w:lvl w:ilvl="0" w:tplc="776CD426">
      <w:numFmt w:val="bullet"/>
      <w:lvlText w:val=""/>
      <w:lvlJc w:val="left"/>
      <w:pPr>
        <w:ind w:left="720" w:hanging="360"/>
      </w:pPr>
      <w:rPr>
        <w:rFonts w:ascii="Wingdings 2" w:eastAsia="Arial" w:hAnsi="Wingdings 2" w:cstheme="minorHAns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5B6B73BB"/>
    <w:multiLevelType w:val="hybridMultilevel"/>
    <w:tmpl w:val="20AE275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nsid w:val="695F37EA"/>
    <w:multiLevelType w:val="hybridMultilevel"/>
    <w:tmpl w:val="B56EE75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nsid w:val="71DA131D"/>
    <w:multiLevelType w:val="hybridMultilevel"/>
    <w:tmpl w:val="D780D17C"/>
    <w:lvl w:ilvl="0" w:tplc="0407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1">
    <w:nsid w:val="79DE7B4A"/>
    <w:multiLevelType w:val="hybridMultilevel"/>
    <w:tmpl w:val="0D06F6F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7"/>
  </w:num>
  <w:num w:numId="2">
    <w:abstractNumId w:val="11"/>
  </w:num>
  <w:num w:numId="3">
    <w:abstractNumId w:val="4"/>
  </w:num>
  <w:num w:numId="4">
    <w:abstractNumId w:val="0"/>
  </w:num>
  <w:num w:numId="5">
    <w:abstractNumId w:val="2"/>
  </w:num>
  <w:num w:numId="6">
    <w:abstractNumId w:val="3"/>
  </w:num>
  <w:num w:numId="7">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num>
  <w:num w:numId="9">
    <w:abstractNumId w:val="9"/>
  </w:num>
  <w:num w:numId="10">
    <w:abstractNumId w:val="6"/>
  </w:num>
  <w:num w:numId="11">
    <w:abstractNumId w:val="1"/>
  </w:num>
  <w:num w:numId="12">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attachedTemplate r:id="rId1"/>
  <w:defaultTabStop w:val="708"/>
  <w:hyphenationZone w:val="425"/>
  <w:characterSpacingControl w:val="doNotCompress"/>
  <w:hdrShapeDefaults>
    <o:shapedefaults v:ext="edit" spidmax="2065">
      <o:colormenu v:ext="edit" fillcolor="none" strokecolor="none"/>
    </o:shapedefaults>
    <o:shapelayout v:ext="edit">
      <o:idmap v:ext="edit" data="2"/>
    </o:shapelayout>
  </w:hdrShapeDefaults>
  <w:footnotePr>
    <w:footnote w:id="-1"/>
    <w:footnote w:id="0"/>
  </w:footnotePr>
  <w:endnotePr>
    <w:endnote w:id="-1"/>
    <w:endnote w:id="0"/>
  </w:endnotePr>
  <w:compat/>
  <w:rsids>
    <w:rsidRoot w:val="00FF65C5"/>
    <w:rsid w:val="0000072A"/>
    <w:rsid w:val="000032BA"/>
    <w:rsid w:val="00025CC6"/>
    <w:rsid w:val="0005578B"/>
    <w:rsid w:val="00057DA6"/>
    <w:rsid w:val="00057FBD"/>
    <w:rsid w:val="0006071C"/>
    <w:rsid w:val="00090B6F"/>
    <w:rsid w:val="000A40F3"/>
    <w:rsid w:val="000B4D30"/>
    <w:rsid w:val="000C211C"/>
    <w:rsid w:val="000E0A6C"/>
    <w:rsid w:val="000E12B3"/>
    <w:rsid w:val="000E2847"/>
    <w:rsid w:val="000E4792"/>
    <w:rsid w:val="00107454"/>
    <w:rsid w:val="00127576"/>
    <w:rsid w:val="00142EC6"/>
    <w:rsid w:val="0015710A"/>
    <w:rsid w:val="00161C05"/>
    <w:rsid w:val="001649FA"/>
    <w:rsid w:val="00167259"/>
    <w:rsid w:val="001720A4"/>
    <w:rsid w:val="00186B6E"/>
    <w:rsid w:val="001B036F"/>
    <w:rsid w:val="001C09EA"/>
    <w:rsid w:val="001D1AF1"/>
    <w:rsid w:val="001E3A10"/>
    <w:rsid w:val="0020005B"/>
    <w:rsid w:val="002032DD"/>
    <w:rsid w:val="00207257"/>
    <w:rsid w:val="002461E4"/>
    <w:rsid w:val="00255CD0"/>
    <w:rsid w:val="0027201E"/>
    <w:rsid w:val="00276FC8"/>
    <w:rsid w:val="002966AC"/>
    <w:rsid w:val="002A0D07"/>
    <w:rsid w:val="002B3634"/>
    <w:rsid w:val="002B3A96"/>
    <w:rsid w:val="002B40F6"/>
    <w:rsid w:val="002D5E7D"/>
    <w:rsid w:val="002E0BF9"/>
    <w:rsid w:val="002E61B2"/>
    <w:rsid w:val="002F583B"/>
    <w:rsid w:val="002F6F29"/>
    <w:rsid w:val="00304574"/>
    <w:rsid w:val="00310A55"/>
    <w:rsid w:val="00321862"/>
    <w:rsid w:val="0036342D"/>
    <w:rsid w:val="003A4B18"/>
    <w:rsid w:val="003A6DC1"/>
    <w:rsid w:val="003B017A"/>
    <w:rsid w:val="003B71F6"/>
    <w:rsid w:val="003B7A9E"/>
    <w:rsid w:val="003D5390"/>
    <w:rsid w:val="003D6A82"/>
    <w:rsid w:val="003E1F91"/>
    <w:rsid w:val="003E75B5"/>
    <w:rsid w:val="004152A2"/>
    <w:rsid w:val="00434690"/>
    <w:rsid w:val="0044134E"/>
    <w:rsid w:val="00463E1E"/>
    <w:rsid w:val="0047010F"/>
    <w:rsid w:val="0048528F"/>
    <w:rsid w:val="00487DE4"/>
    <w:rsid w:val="00493CFF"/>
    <w:rsid w:val="004955AE"/>
    <w:rsid w:val="004C7650"/>
    <w:rsid w:val="004D3F0C"/>
    <w:rsid w:val="004E2A2D"/>
    <w:rsid w:val="004E5B36"/>
    <w:rsid w:val="004F2691"/>
    <w:rsid w:val="004F2B90"/>
    <w:rsid w:val="00503052"/>
    <w:rsid w:val="0050668E"/>
    <w:rsid w:val="005136E4"/>
    <w:rsid w:val="005314DF"/>
    <w:rsid w:val="00535B71"/>
    <w:rsid w:val="00562ED7"/>
    <w:rsid w:val="00571884"/>
    <w:rsid w:val="00573576"/>
    <w:rsid w:val="00575A1A"/>
    <w:rsid w:val="005762AF"/>
    <w:rsid w:val="00593F37"/>
    <w:rsid w:val="00595340"/>
    <w:rsid w:val="005A69F3"/>
    <w:rsid w:val="005B2C6E"/>
    <w:rsid w:val="005C21C2"/>
    <w:rsid w:val="005C7240"/>
    <w:rsid w:val="0060504B"/>
    <w:rsid w:val="00643105"/>
    <w:rsid w:val="006507EB"/>
    <w:rsid w:val="00657E90"/>
    <w:rsid w:val="00671C9D"/>
    <w:rsid w:val="00681B7D"/>
    <w:rsid w:val="006A2DDA"/>
    <w:rsid w:val="006A5247"/>
    <w:rsid w:val="006A7255"/>
    <w:rsid w:val="006A787C"/>
    <w:rsid w:val="006B777C"/>
    <w:rsid w:val="006C4773"/>
    <w:rsid w:val="00732161"/>
    <w:rsid w:val="00737837"/>
    <w:rsid w:val="007443E1"/>
    <w:rsid w:val="00751D4F"/>
    <w:rsid w:val="00754913"/>
    <w:rsid w:val="007557BE"/>
    <w:rsid w:val="00774401"/>
    <w:rsid w:val="007815CD"/>
    <w:rsid w:val="007834C3"/>
    <w:rsid w:val="00793CEB"/>
    <w:rsid w:val="007972CA"/>
    <w:rsid w:val="007B0C31"/>
    <w:rsid w:val="007B1FC8"/>
    <w:rsid w:val="007B640C"/>
    <w:rsid w:val="007D0FDD"/>
    <w:rsid w:val="007E0FC5"/>
    <w:rsid w:val="007E731F"/>
    <w:rsid w:val="007F0493"/>
    <w:rsid w:val="007F0547"/>
    <w:rsid w:val="007F7529"/>
    <w:rsid w:val="00800E1B"/>
    <w:rsid w:val="00802B7C"/>
    <w:rsid w:val="00805F0E"/>
    <w:rsid w:val="00815117"/>
    <w:rsid w:val="008159F1"/>
    <w:rsid w:val="00820B04"/>
    <w:rsid w:val="00820CB6"/>
    <w:rsid w:val="0082705D"/>
    <w:rsid w:val="00831CBE"/>
    <w:rsid w:val="008477DC"/>
    <w:rsid w:val="0085391B"/>
    <w:rsid w:val="0087196A"/>
    <w:rsid w:val="0087320B"/>
    <w:rsid w:val="00881D9A"/>
    <w:rsid w:val="00892457"/>
    <w:rsid w:val="0089247E"/>
    <w:rsid w:val="008B3CE5"/>
    <w:rsid w:val="008C621D"/>
    <w:rsid w:val="009061CA"/>
    <w:rsid w:val="00916D16"/>
    <w:rsid w:val="0092486D"/>
    <w:rsid w:val="0094385B"/>
    <w:rsid w:val="009B2E69"/>
    <w:rsid w:val="009B4F9B"/>
    <w:rsid w:val="009C32BB"/>
    <w:rsid w:val="009D1A77"/>
    <w:rsid w:val="009D767A"/>
    <w:rsid w:val="00A01C9E"/>
    <w:rsid w:val="00A3061D"/>
    <w:rsid w:val="00A41C13"/>
    <w:rsid w:val="00A60997"/>
    <w:rsid w:val="00A61864"/>
    <w:rsid w:val="00A74E8F"/>
    <w:rsid w:val="00A7714F"/>
    <w:rsid w:val="00A84F16"/>
    <w:rsid w:val="00AA092A"/>
    <w:rsid w:val="00AB303D"/>
    <w:rsid w:val="00AB38E8"/>
    <w:rsid w:val="00AC7E06"/>
    <w:rsid w:val="00AD27D1"/>
    <w:rsid w:val="00AD6F1E"/>
    <w:rsid w:val="00AE5FCE"/>
    <w:rsid w:val="00B0249B"/>
    <w:rsid w:val="00B107E9"/>
    <w:rsid w:val="00B12DF5"/>
    <w:rsid w:val="00B30686"/>
    <w:rsid w:val="00B379AD"/>
    <w:rsid w:val="00B50948"/>
    <w:rsid w:val="00B812F6"/>
    <w:rsid w:val="00B821EA"/>
    <w:rsid w:val="00BA1BAE"/>
    <w:rsid w:val="00BB7256"/>
    <w:rsid w:val="00BC65F5"/>
    <w:rsid w:val="00BD28A6"/>
    <w:rsid w:val="00BD710C"/>
    <w:rsid w:val="00BF2556"/>
    <w:rsid w:val="00BF312E"/>
    <w:rsid w:val="00BF7D94"/>
    <w:rsid w:val="00C309CD"/>
    <w:rsid w:val="00C32FBA"/>
    <w:rsid w:val="00C42AA3"/>
    <w:rsid w:val="00C44C66"/>
    <w:rsid w:val="00C51873"/>
    <w:rsid w:val="00C52BCD"/>
    <w:rsid w:val="00C713FE"/>
    <w:rsid w:val="00C81EDE"/>
    <w:rsid w:val="00C93E71"/>
    <w:rsid w:val="00CB0F85"/>
    <w:rsid w:val="00CC6004"/>
    <w:rsid w:val="00CE767D"/>
    <w:rsid w:val="00D03E2B"/>
    <w:rsid w:val="00D10423"/>
    <w:rsid w:val="00D1348F"/>
    <w:rsid w:val="00D21343"/>
    <w:rsid w:val="00D23D98"/>
    <w:rsid w:val="00D26C35"/>
    <w:rsid w:val="00D61A83"/>
    <w:rsid w:val="00D63542"/>
    <w:rsid w:val="00D7156E"/>
    <w:rsid w:val="00D71E25"/>
    <w:rsid w:val="00D73A71"/>
    <w:rsid w:val="00D9366C"/>
    <w:rsid w:val="00DB20C9"/>
    <w:rsid w:val="00DB29E6"/>
    <w:rsid w:val="00DC1818"/>
    <w:rsid w:val="00DD0C2D"/>
    <w:rsid w:val="00DE3384"/>
    <w:rsid w:val="00DF2AFE"/>
    <w:rsid w:val="00E20165"/>
    <w:rsid w:val="00E20568"/>
    <w:rsid w:val="00E262F8"/>
    <w:rsid w:val="00E56814"/>
    <w:rsid w:val="00E81A40"/>
    <w:rsid w:val="00E90550"/>
    <w:rsid w:val="00E930F8"/>
    <w:rsid w:val="00EB2BDD"/>
    <w:rsid w:val="00F15FE0"/>
    <w:rsid w:val="00F16FFB"/>
    <w:rsid w:val="00F33608"/>
    <w:rsid w:val="00F45F6A"/>
    <w:rsid w:val="00F57F65"/>
    <w:rsid w:val="00F60125"/>
    <w:rsid w:val="00F914E0"/>
    <w:rsid w:val="00F915E3"/>
    <w:rsid w:val="00FA460A"/>
    <w:rsid w:val="00FB2BA3"/>
    <w:rsid w:val="00FC010D"/>
    <w:rsid w:val="00FC2A3C"/>
    <w:rsid w:val="00FC3035"/>
    <w:rsid w:val="00FC3DC8"/>
    <w:rsid w:val="00FD3B4C"/>
    <w:rsid w:val="00FD5E78"/>
    <w:rsid w:val="00FE6420"/>
    <w:rsid w:val="00FF65C5"/>
    <w:rsid w:val="00FF7423"/>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65">
      <o:colormenu v:ext="edit" fillcolor="none" strokecolor="non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nl-NL"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aliases w:val="PR standard text"/>
    <w:qFormat/>
    <w:rsid w:val="002A0D07"/>
    <w:pPr>
      <w:spacing w:after="120" w:line="276" w:lineRule="auto"/>
    </w:pPr>
    <w:rPr>
      <w:szCs w:val="22"/>
      <w:lang w:eastAsia="en-US"/>
    </w:rPr>
  </w:style>
  <w:style w:type="paragraph" w:styleId="berschrift1">
    <w:name w:val="heading 1"/>
    <w:aliases w:val="PR überschrift 1"/>
    <w:basedOn w:val="Standard"/>
    <w:next w:val="Standard"/>
    <w:link w:val="berschrift1Zchn"/>
    <w:autoRedefine/>
    <w:uiPriority w:val="9"/>
    <w:qFormat/>
    <w:rsid w:val="00800E1B"/>
    <w:pPr>
      <w:keepNext/>
      <w:keepLines/>
      <w:tabs>
        <w:tab w:val="left" w:pos="10632"/>
      </w:tabs>
      <w:spacing w:after="480" w:line="240" w:lineRule="auto"/>
      <w:ind w:left="227" w:right="-567"/>
      <w:outlineLvl w:val="0"/>
    </w:pPr>
    <w:rPr>
      <w:rFonts w:eastAsiaTheme="majorEastAsia" w:cstheme="majorBidi"/>
      <w:b/>
      <w:bCs/>
      <w:color w:val="B71234"/>
      <w:sz w:val="28"/>
      <w:szCs w:val="28"/>
      <w:lang w:eastAsia="en-GB"/>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uiPriority w:val="99"/>
    <w:unhideWhenUsed/>
    <w:rsid w:val="00487DE4"/>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487DE4"/>
  </w:style>
  <w:style w:type="paragraph" w:styleId="Fuzeile">
    <w:name w:val="footer"/>
    <w:basedOn w:val="Standard"/>
    <w:link w:val="FuzeileZchn"/>
    <w:uiPriority w:val="99"/>
    <w:unhideWhenUsed/>
    <w:rsid w:val="00487DE4"/>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487DE4"/>
  </w:style>
  <w:style w:type="paragraph" w:styleId="Sprechblasentext">
    <w:name w:val="Balloon Text"/>
    <w:basedOn w:val="Standard"/>
    <w:link w:val="SprechblasentextZchn"/>
    <w:uiPriority w:val="99"/>
    <w:semiHidden/>
    <w:unhideWhenUsed/>
    <w:rsid w:val="00487DE4"/>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487DE4"/>
    <w:rPr>
      <w:rFonts w:ascii="Tahoma" w:hAnsi="Tahoma" w:cs="Tahoma"/>
      <w:sz w:val="16"/>
      <w:szCs w:val="16"/>
    </w:rPr>
  </w:style>
  <w:style w:type="character" w:styleId="Hyperlink">
    <w:name w:val="Hyperlink"/>
    <w:basedOn w:val="Absatz-Standardschriftart"/>
    <w:unhideWhenUsed/>
    <w:rsid w:val="001649FA"/>
    <w:rPr>
      <w:color w:val="0000FF"/>
      <w:u w:val="single"/>
    </w:rPr>
  </w:style>
  <w:style w:type="paragraph" w:styleId="Listenabsatz">
    <w:name w:val="List Paragraph"/>
    <w:basedOn w:val="Standard"/>
    <w:uiPriority w:val="34"/>
    <w:qFormat/>
    <w:rsid w:val="0047010F"/>
    <w:pPr>
      <w:ind w:left="720"/>
      <w:contextualSpacing/>
    </w:pPr>
  </w:style>
  <w:style w:type="character" w:customStyle="1" w:styleId="berschrift1Zchn">
    <w:name w:val="Überschrift 1 Zchn"/>
    <w:aliases w:val="PR überschrift 1 Zchn"/>
    <w:basedOn w:val="Absatz-Standardschriftart"/>
    <w:link w:val="berschrift1"/>
    <w:uiPriority w:val="9"/>
    <w:rsid w:val="00800E1B"/>
    <w:rPr>
      <w:rFonts w:eastAsiaTheme="majorEastAsia" w:cstheme="majorBidi"/>
      <w:b/>
      <w:bCs/>
      <w:color w:val="B71234"/>
      <w:sz w:val="28"/>
      <w:szCs w:val="28"/>
      <w:lang w:eastAsia="en-GB"/>
    </w:rPr>
  </w:style>
  <w:style w:type="table" w:styleId="Tabellengitternetz">
    <w:name w:val="Table Grid"/>
    <w:basedOn w:val="NormaleTabelle"/>
    <w:uiPriority w:val="59"/>
    <w:rsid w:val="00D7156E"/>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Kommentarzeichen">
    <w:name w:val="annotation reference"/>
    <w:uiPriority w:val="99"/>
    <w:semiHidden/>
    <w:unhideWhenUsed/>
    <w:rsid w:val="00AC7E06"/>
    <w:rPr>
      <w:sz w:val="16"/>
      <w:szCs w:val="16"/>
    </w:rPr>
  </w:style>
  <w:style w:type="paragraph" w:styleId="Kommentartext">
    <w:name w:val="annotation text"/>
    <w:link w:val="KommentartextZchn"/>
    <w:uiPriority w:val="99"/>
    <w:semiHidden/>
    <w:unhideWhenUsed/>
    <w:rsid w:val="00AC7E06"/>
  </w:style>
  <w:style w:type="character" w:customStyle="1" w:styleId="KommentartextZchn">
    <w:name w:val="Kommentartext Zchn"/>
    <w:basedOn w:val="Absatz-Standardschriftart"/>
    <w:link w:val="Kommentartext"/>
    <w:uiPriority w:val="99"/>
    <w:semiHidden/>
    <w:rsid w:val="00BB7256"/>
    <w:rPr>
      <w:lang w:eastAsia="en-US"/>
    </w:rPr>
  </w:style>
  <w:style w:type="paragraph" w:styleId="Kommentarthema">
    <w:name w:val="annotation subject"/>
    <w:basedOn w:val="Kommentartext"/>
    <w:next w:val="Kommentartext"/>
    <w:link w:val="KommentarthemaZchn"/>
    <w:uiPriority w:val="99"/>
    <w:semiHidden/>
    <w:unhideWhenUsed/>
    <w:rsid w:val="00BB7256"/>
    <w:rPr>
      <w:b/>
      <w:bCs/>
    </w:rPr>
  </w:style>
  <w:style w:type="character" w:customStyle="1" w:styleId="KommentarthemaZchn">
    <w:name w:val="Kommentarthema Zchn"/>
    <w:basedOn w:val="KommentartextZchn"/>
    <w:link w:val="Kommentarthema"/>
    <w:uiPriority w:val="99"/>
    <w:semiHidden/>
    <w:rsid w:val="00BB7256"/>
    <w:rPr>
      <w:b/>
      <w:bCs/>
      <w:lang w:eastAsia="en-US"/>
    </w:rPr>
  </w:style>
  <w:style w:type="character" w:styleId="Fett">
    <w:name w:val="Strong"/>
    <w:basedOn w:val="Absatz-Standardschriftart"/>
    <w:uiPriority w:val="22"/>
    <w:qFormat/>
    <w:rsid w:val="003E1F91"/>
    <w:rPr>
      <w:b/>
      <w:bCs/>
    </w:rPr>
  </w:style>
  <w:style w:type="character" w:styleId="Hervorhebung">
    <w:name w:val="Emphasis"/>
    <w:basedOn w:val="Absatz-Standardschriftart"/>
    <w:uiPriority w:val="20"/>
    <w:qFormat/>
    <w:rsid w:val="003E1F91"/>
    <w:rPr>
      <w:i/>
      <w:iCs/>
    </w:rPr>
  </w:style>
</w:styles>
</file>

<file path=word/webSettings.xml><?xml version="1.0" encoding="utf-8"?>
<w:webSettings xmlns:r="http://schemas.openxmlformats.org/officeDocument/2006/relationships" xmlns:w="http://schemas.openxmlformats.org/wordprocessingml/2006/main">
  <w:divs>
    <w:div w:id="1656102321">
      <w:bodyDiv w:val="1"/>
      <w:marLeft w:val="0"/>
      <w:marRight w:val="0"/>
      <w:marTop w:val="0"/>
      <w:marBottom w:val="0"/>
      <w:divBdr>
        <w:top w:val="none" w:sz="0" w:space="0" w:color="auto"/>
        <w:left w:val="none" w:sz="0" w:space="0" w:color="auto"/>
        <w:bottom w:val="none" w:sz="0" w:space="0" w:color="auto"/>
        <w:right w:val="none" w:sz="0" w:space="0" w:color="auto"/>
      </w:divBdr>
      <w:divsChild>
        <w:div w:id="531840624">
          <w:marLeft w:val="0"/>
          <w:marRight w:val="0"/>
          <w:marTop w:val="0"/>
          <w:marBottom w:val="0"/>
          <w:divBdr>
            <w:top w:val="none" w:sz="0" w:space="0" w:color="auto"/>
            <w:left w:val="none" w:sz="0" w:space="0" w:color="auto"/>
            <w:bottom w:val="none" w:sz="0" w:space="0" w:color="auto"/>
            <w:right w:val="none" w:sz="0" w:space="0" w:color="auto"/>
          </w:divBdr>
          <w:divsChild>
            <w:div w:id="1473868047">
              <w:marLeft w:val="0"/>
              <w:marRight w:val="0"/>
              <w:marTop w:val="0"/>
              <w:marBottom w:val="0"/>
              <w:divBdr>
                <w:top w:val="none" w:sz="0" w:space="0" w:color="auto"/>
                <w:left w:val="none" w:sz="0" w:space="0" w:color="auto"/>
                <w:bottom w:val="none" w:sz="0" w:space="0" w:color="auto"/>
                <w:right w:val="none" w:sz="0" w:space="0" w:color="auto"/>
              </w:divBdr>
              <w:divsChild>
                <w:div w:id="1946304092">
                  <w:marLeft w:val="0"/>
                  <w:marRight w:val="0"/>
                  <w:marTop w:val="0"/>
                  <w:marBottom w:val="0"/>
                  <w:divBdr>
                    <w:top w:val="none" w:sz="0" w:space="0" w:color="auto"/>
                    <w:left w:val="none" w:sz="0" w:space="0" w:color="auto"/>
                    <w:bottom w:val="none" w:sz="0" w:space="0" w:color="auto"/>
                    <w:right w:val="none" w:sz="0" w:space="0" w:color="auto"/>
                  </w:divBdr>
                  <w:divsChild>
                    <w:div w:id="10957738">
                      <w:marLeft w:val="0"/>
                      <w:marRight w:val="0"/>
                      <w:marTop w:val="0"/>
                      <w:marBottom w:val="0"/>
                      <w:divBdr>
                        <w:top w:val="none" w:sz="0" w:space="0" w:color="auto"/>
                        <w:left w:val="none" w:sz="0" w:space="0" w:color="auto"/>
                        <w:bottom w:val="none" w:sz="0" w:space="0" w:color="auto"/>
                        <w:right w:val="none" w:sz="0" w:space="0" w:color="auto"/>
                      </w:divBdr>
                    </w:div>
                    <w:div w:id="621881960">
                      <w:marLeft w:val="0"/>
                      <w:marRight w:val="0"/>
                      <w:marTop w:val="0"/>
                      <w:marBottom w:val="0"/>
                      <w:divBdr>
                        <w:top w:val="none" w:sz="0" w:space="0" w:color="auto"/>
                        <w:left w:val="none" w:sz="0" w:space="0" w:color="auto"/>
                        <w:bottom w:val="none" w:sz="0" w:space="0" w:color="auto"/>
                        <w:right w:val="none" w:sz="0" w:space="0" w:color="auto"/>
                      </w:divBdr>
                    </w:div>
                    <w:div w:id="1512067685">
                      <w:marLeft w:val="0"/>
                      <w:marRight w:val="0"/>
                      <w:marTop w:val="0"/>
                      <w:marBottom w:val="0"/>
                      <w:divBdr>
                        <w:top w:val="none" w:sz="0" w:space="0" w:color="auto"/>
                        <w:left w:val="none" w:sz="0" w:space="0" w:color="auto"/>
                        <w:bottom w:val="none" w:sz="0" w:space="0" w:color="auto"/>
                        <w:right w:val="none" w:sz="0" w:space="0" w:color="auto"/>
                      </w:divBdr>
                    </w:div>
                    <w:div w:id="48768572">
                      <w:marLeft w:val="0"/>
                      <w:marRight w:val="0"/>
                      <w:marTop w:val="0"/>
                      <w:marBottom w:val="0"/>
                      <w:divBdr>
                        <w:top w:val="none" w:sz="0" w:space="0" w:color="auto"/>
                        <w:left w:val="none" w:sz="0" w:space="0" w:color="auto"/>
                        <w:bottom w:val="none" w:sz="0" w:space="0" w:color="auto"/>
                        <w:right w:val="none" w:sz="0" w:space="0" w:color="auto"/>
                      </w:divBdr>
                    </w:div>
                    <w:div w:id="13647920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866336">
              <w:marLeft w:val="0"/>
              <w:marRight w:val="0"/>
              <w:marTop w:val="0"/>
              <w:marBottom w:val="0"/>
              <w:divBdr>
                <w:top w:val="none" w:sz="0" w:space="0" w:color="auto"/>
                <w:left w:val="none" w:sz="0" w:space="0" w:color="auto"/>
                <w:bottom w:val="none" w:sz="0" w:space="0" w:color="auto"/>
                <w:right w:val="none" w:sz="0" w:space="0" w:color="auto"/>
              </w:divBdr>
              <w:divsChild>
                <w:div w:id="8522319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roodmicrotec.com"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roodmicrotec.com" TargetMode="External"/><Relationship Id="rId4" Type="http://schemas.openxmlformats.org/officeDocument/2006/relationships/settings" Target="settings.xml"/><Relationship Id="rId9" Type="http://schemas.openxmlformats.org/officeDocument/2006/relationships/hyperlink" Target="mailto:investor-relations@roodmicrotec.com" TargetMode="Externa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footer2.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3" Type="http://schemas.openxmlformats.org/officeDocument/2006/relationships/image" Target="media/image1.jpeg"/><Relationship Id="rId2" Type="http://schemas.openxmlformats.org/officeDocument/2006/relationships/image" Target="media/image2.jpeg"/><Relationship Id="rId1" Type="http://schemas.openxmlformats.org/officeDocument/2006/relationships/hyperlink" Target="mailto:investor-relations@roodmicrotec.com"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G:\RM-NV\PRESSE\Vorlagen\2017_E_PR_Vorlage_New%20design.dotx"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99276EC-DB4D-488E-A002-692BF1D0F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2017_E_PR_Vorlage_New design.dotx</Template>
  <TotalTime>0</TotalTime>
  <Pages>9</Pages>
  <Words>2580</Words>
  <Characters>16255</Characters>
  <Application>Microsoft Office Word</Application>
  <DocSecurity>0</DocSecurity>
  <Lines>135</Lines>
  <Paragraphs>37</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Microsoft</Company>
  <LinksUpToDate>false</LinksUpToDate>
  <CharactersWithSpaces>18798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bayerle@BAYERLE1-PC</dc:creator>
  <cp:lastModifiedBy>bayerle@BAYERLE1-PC</cp:lastModifiedBy>
  <cp:revision>2</cp:revision>
  <cp:lastPrinted>2018-03-07T13:57:00Z</cp:lastPrinted>
  <dcterms:created xsi:type="dcterms:W3CDTF">2018-03-07T15:20:00Z</dcterms:created>
  <dcterms:modified xsi:type="dcterms:W3CDTF">2018-03-07T15:20:00Z</dcterms:modified>
</cp:coreProperties>
</file>