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DE" w:rsidRPr="00E072EC" w:rsidRDefault="008B0FBE" w:rsidP="00E072EC">
      <w:pPr>
        <w:pStyle w:val="berschrift1"/>
      </w:pPr>
      <w:r>
        <w:t>RoodMicrotec eindigt eerste halfjaar 2018 met positief nettoresultaat</w:t>
      </w:r>
    </w:p>
    <w:p w:rsidR="003B57DE" w:rsidRPr="00BE3E11" w:rsidRDefault="009F6BE4" w:rsidP="003B57DE">
      <w:pPr>
        <w:pStyle w:val="Listenabsatz"/>
        <w:numPr>
          <w:ilvl w:val="0"/>
          <w:numId w:val="6"/>
        </w:numPr>
        <w:spacing w:after="200"/>
        <w:rPr>
          <w:b/>
        </w:rPr>
      </w:pPr>
      <w:r>
        <w:rPr>
          <w:b/>
        </w:rPr>
        <w:t>Positief nettoresultaat van € 276k en brutomarge van 83% in eerste halfjaar 2018</w:t>
      </w:r>
    </w:p>
    <w:p w:rsidR="003B57DE" w:rsidRPr="00B1709C" w:rsidRDefault="003B57DE" w:rsidP="003B57DE">
      <w:pPr>
        <w:pStyle w:val="Listenabsatz"/>
        <w:numPr>
          <w:ilvl w:val="0"/>
          <w:numId w:val="6"/>
        </w:numPr>
        <w:spacing w:after="200"/>
        <w:rPr>
          <w:b/>
          <w:lang w:val="en-US"/>
        </w:rPr>
      </w:pPr>
      <w:proofErr w:type="spellStart"/>
      <w:r w:rsidRPr="00B1709C">
        <w:rPr>
          <w:b/>
          <w:lang w:val="en-US"/>
        </w:rPr>
        <w:t>Sterke</w:t>
      </w:r>
      <w:proofErr w:type="spellEnd"/>
      <w:r w:rsidRPr="00B1709C">
        <w:rPr>
          <w:b/>
          <w:lang w:val="en-US"/>
        </w:rPr>
        <w:t xml:space="preserve"> </w:t>
      </w:r>
      <w:proofErr w:type="spellStart"/>
      <w:r w:rsidRPr="00B1709C">
        <w:rPr>
          <w:b/>
          <w:lang w:val="en-US"/>
        </w:rPr>
        <w:t>groei</w:t>
      </w:r>
      <w:proofErr w:type="spellEnd"/>
      <w:r w:rsidRPr="00B1709C">
        <w:rPr>
          <w:b/>
          <w:lang w:val="en-US"/>
        </w:rPr>
        <w:t xml:space="preserve"> in units Test Operations and Supply Chain Management</w:t>
      </w:r>
    </w:p>
    <w:p w:rsidR="003B57DE" w:rsidRPr="00BE3E11" w:rsidRDefault="003B57DE" w:rsidP="003B57DE">
      <w:pPr>
        <w:pStyle w:val="Listenabsatz"/>
        <w:numPr>
          <w:ilvl w:val="0"/>
          <w:numId w:val="6"/>
        </w:numPr>
        <w:spacing w:after="200"/>
        <w:rPr>
          <w:b/>
        </w:rPr>
      </w:pPr>
      <w:r>
        <w:rPr>
          <w:b/>
        </w:rPr>
        <w:t>Book-to-bill ratio blijft consistent boven de 1</w:t>
      </w:r>
    </w:p>
    <w:p w:rsidR="003B57DE" w:rsidRPr="00BE3E11" w:rsidRDefault="003B57DE" w:rsidP="003B57DE">
      <w:pPr>
        <w:jc w:val="both"/>
        <w:rPr>
          <w:shd w:val="clear" w:color="auto" w:fill="FF0000"/>
        </w:rPr>
      </w:pPr>
      <w:r>
        <w:rPr>
          <w:color w:val="BA0C2F"/>
        </w:rPr>
        <w:t>Rood</w:t>
      </w:r>
      <w:r>
        <w:t>Microtec N.V., de toonaangevende onafhankelijke Nederlandse leverancier van semiconductors en kwaliteitsdiensten, heeft in het eerste halfjaar van 2018 een positief nettoresultaat van € 276k geboekt. De brutomarge bleef op een consistent hoog niveau van 83%. De sterkste leidende indicator voor toekomstige groei van bedrijfsactiviteiten, de book-to-bill ratio, staat stabiel boven de 1. In het eerste halfjaar steeg de omzet met 17% vergeleken met het eerste halfjaar van 2017, vooral in op de gebieden Test Operation</w:t>
      </w:r>
      <w:r w:rsidR="00382750">
        <w:t>s and Supply Chain Management.</w:t>
      </w:r>
    </w:p>
    <w:p w:rsidR="003B57DE" w:rsidRPr="00BE3E11" w:rsidRDefault="003B57DE" w:rsidP="003B57DE">
      <w:pPr>
        <w:jc w:val="both"/>
      </w:pPr>
      <w:r>
        <w:rPr>
          <w:i/>
        </w:rPr>
        <w:t xml:space="preserve">“Wij zijn blij met de prestaties tot dusver en trots dat wij over het eerste halfjaar 2018 een positief nettoresultaat kunnen bekendmaken. Het toont aan dat </w:t>
      </w:r>
      <w:r>
        <w:rPr>
          <w:i/>
          <w:color w:val="BA0C2F"/>
        </w:rPr>
        <w:t>Rood</w:t>
      </w:r>
      <w:r>
        <w:rPr>
          <w:i/>
        </w:rPr>
        <w:t xml:space="preserve">Microtecs strategie en de commitment van onze werknemers de toekomstige groei van de onderneming blijven aanjagen. Het is bemoedigend om in het hele bedrijf positieve veranderingen waar te nemen en hoe dit zich vertaalt in aanhoudende double-digit omzetgroei. De significante groei in zowel Test Operations en Supply Chain Management is een duidelijke aanwijzing dat onze strategie om lange-termijn opdrachten binnen te halen bijzonder succesvol is”, </w:t>
      </w:r>
      <w:r>
        <w:t xml:space="preserve">aldus Martin Sallenhag, CEO van </w:t>
      </w:r>
      <w:r>
        <w:rPr>
          <w:color w:val="BA0C2F"/>
        </w:rPr>
        <w:t>Rood</w:t>
      </w:r>
      <w:r>
        <w:t xml:space="preserve">Microtec. </w:t>
      </w:r>
    </w:p>
    <w:p w:rsidR="007C5301" w:rsidRPr="00B1709C" w:rsidRDefault="007C5301" w:rsidP="003B57DE"/>
    <w:p w:rsidR="003B57DE" w:rsidRPr="003B57DE" w:rsidRDefault="003B57DE" w:rsidP="003B57DE">
      <w:pPr>
        <w:rPr>
          <w:rFonts w:asciiTheme="minorHAnsi" w:hAnsiTheme="minorHAnsi" w:cstheme="minorHAnsi"/>
          <w:b/>
          <w:color w:val="B71234"/>
        </w:rPr>
      </w:pPr>
      <w:r>
        <w:rPr>
          <w:rFonts w:asciiTheme="minorHAnsi" w:hAnsiTheme="minorHAnsi"/>
          <w:b/>
          <w:color w:val="B71234"/>
        </w:rPr>
        <w:t xml:space="preserve">Samenvatting eerste halfjaar 2018 </w:t>
      </w:r>
    </w:p>
    <w:tbl>
      <w:tblPr>
        <w:tblW w:w="9067" w:type="dxa"/>
        <w:tblInd w:w="108" w:type="dxa"/>
        <w:tblLook w:val="04A0"/>
      </w:tblPr>
      <w:tblGrid>
        <w:gridCol w:w="3828"/>
        <w:gridCol w:w="2824"/>
        <w:gridCol w:w="2140"/>
        <w:gridCol w:w="275"/>
      </w:tblGrid>
      <w:tr w:rsidR="003B57DE" w:rsidRPr="003B57DE" w:rsidTr="007A2C9A">
        <w:trPr>
          <w:trHeight w:val="216"/>
        </w:trPr>
        <w:tc>
          <w:tcPr>
            <w:tcW w:w="3828" w:type="dxa"/>
            <w:tcBorders>
              <w:top w:val="nil"/>
              <w:left w:val="nil"/>
              <w:bottom w:val="single" w:sz="8" w:space="0" w:color="auto"/>
              <w:right w:val="nil"/>
            </w:tcBorders>
            <w:hideMark/>
          </w:tcPr>
          <w:p w:rsidR="003B57DE" w:rsidRPr="003B57DE" w:rsidRDefault="00B1709C" w:rsidP="00C75F3B">
            <w:pPr>
              <w:spacing w:line="240" w:lineRule="auto"/>
              <w:rPr>
                <w:rFonts w:cstheme="minorHAnsi"/>
                <w:b/>
                <w:bCs/>
                <w:color w:val="000000"/>
              </w:rPr>
            </w:pPr>
            <w:r>
              <w:rPr>
                <w:b/>
                <w:color w:val="000000"/>
              </w:rPr>
              <w:t>(x EUR 1.</w:t>
            </w:r>
            <w:r w:rsidR="009A0C1C">
              <w:rPr>
                <w:b/>
                <w:color w:val="000000"/>
              </w:rPr>
              <w:t>000)</w:t>
            </w:r>
          </w:p>
        </w:tc>
        <w:tc>
          <w:tcPr>
            <w:tcW w:w="2824" w:type="dxa"/>
            <w:tcBorders>
              <w:top w:val="nil"/>
              <w:left w:val="nil"/>
              <w:bottom w:val="single" w:sz="8" w:space="0" w:color="auto"/>
              <w:right w:val="nil"/>
            </w:tcBorders>
            <w:hideMark/>
          </w:tcPr>
          <w:p w:rsidR="003B57DE" w:rsidRPr="003B57DE" w:rsidRDefault="003B57DE" w:rsidP="00C75F3B">
            <w:pPr>
              <w:spacing w:line="240" w:lineRule="auto"/>
              <w:ind w:right="-68"/>
              <w:jc w:val="right"/>
              <w:rPr>
                <w:rFonts w:cstheme="minorHAnsi"/>
                <w:b/>
                <w:bCs/>
              </w:rPr>
            </w:pPr>
            <w:r>
              <w:rPr>
                <w:b/>
              </w:rPr>
              <w:t>Niet gecontroleerd</w:t>
            </w:r>
            <w:r>
              <w:rPr>
                <w:b/>
              </w:rPr>
              <w:br/>
              <w:t>HY1 2018</w:t>
            </w:r>
          </w:p>
        </w:tc>
        <w:tc>
          <w:tcPr>
            <w:tcW w:w="2140" w:type="dxa"/>
            <w:tcBorders>
              <w:top w:val="nil"/>
              <w:left w:val="nil"/>
              <w:bottom w:val="single" w:sz="8" w:space="0" w:color="auto"/>
              <w:right w:val="nil"/>
            </w:tcBorders>
            <w:hideMark/>
          </w:tcPr>
          <w:p w:rsidR="003B57DE" w:rsidRPr="003B57DE" w:rsidRDefault="003B57DE" w:rsidP="00C75F3B">
            <w:pPr>
              <w:spacing w:line="240" w:lineRule="auto"/>
              <w:ind w:right="-48"/>
              <w:jc w:val="right"/>
              <w:rPr>
                <w:rFonts w:cstheme="minorHAnsi"/>
                <w:b/>
                <w:bCs/>
              </w:rPr>
            </w:pPr>
            <w:r>
              <w:rPr>
                <w:b/>
              </w:rPr>
              <w:t>Niet gecontroleerd</w:t>
            </w:r>
            <w:r>
              <w:rPr>
                <w:b/>
              </w:rPr>
              <w:br/>
              <w:t>HY1 2017</w:t>
            </w:r>
          </w:p>
        </w:tc>
        <w:tc>
          <w:tcPr>
            <w:tcW w:w="275" w:type="dxa"/>
            <w:tcBorders>
              <w:top w:val="nil"/>
              <w:left w:val="nil"/>
              <w:bottom w:val="single" w:sz="8" w:space="0" w:color="auto"/>
              <w:right w:val="nil"/>
            </w:tcBorders>
          </w:tcPr>
          <w:p w:rsidR="003B57DE" w:rsidRPr="003B57DE" w:rsidRDefault="003B57DE" w:rsidP="00C75F3B">
            <w:pPr>
              <w:spacing w:line="240" w:lineRule="auto"/>
              <w:ind w:right="-48"/>
              <w:rPr>
                <w:rFonts w:cstheme="minorHAnsi"/>
                <w:b/>
                <w:lang w:val="en-US"/>
              </w:rPr>
            </w:pPr>
          </w:p>
        </w:tc>
      </w:tr>
      <w:tr w:rsidR="003B57DE" w:rsidRPr="003B57DE" w:rsidTr="007A2C9A">
        <w:trPr>
          <w:trHeight w:val="158"/>
        </w:trPr>
        <w:tc>
          <w:tcPr>
            <w:tcW w:w="3828" w:type="dxa"/>
            <w:tcBorders>
              <w:top w:val="nil"/>
              <w:left w:val="nil"/>
              <w:bottom w:val="nil"/>
              <w:right w:val="nil"/>
            </w:tcBorders>
            <w:vAlign w:val="center"/>
            <w:hideMark/>
          </w:tcPr>
          <w:p w:rsidR="003B57DE" w:rsidRPr="003B57DE" w:rsidRDefault="003B57DE" w:rsidP="003B57DE">
            <w:pPr>
              <w:spacing w:line="240" w:lineRule="auto"/>
              <w:rPr>
                <w:rFonts w:cstheme="minorHAnsi"/>
                <w:b/>
                <w:bCs/>
                <w:color w:val="000000"/>
                <w:lang w:val="en-US"/>
              </w:rPr>
            </w:pPr>
          </w:p>
        </w:tc>
        <w:tc>
          <w:tcPr>
            <w:tcW w:w="2824" w:type="dxa"/>
            <w:tcBorders>
              <w:top w:val="nil"/>
              <w:left w:val="nil"/>
              <w:bottom w:val="nil"/>
              <w:right w:val="nil"/>
            </w:tcBorders>
            <w:vAlign w:val="center"/>
            <w:hideMark/>
          </w:tcPr>
          <w:p w:rsidR="003B57DE" w:rsidRPr="003B57DE" w:rsidRDefault="003B57DE" w:rsidP="003B57DE">
            <w:pPr>
              <w:spacing w:line="240" w:lineRule="auto"/>
              <w:rPr>
                <w:rFonts w:cstheme="minorHAnsi"/>
                <w:b/>
                <w:bCs/>
                <w:lang w:val="en-US"/>
              </w:rPr>
            </w:pPr>
          </w:p>
        </w:tc>
        <w:tc>
          <w:tcPr>
            <w:tcW w:w="2140" w:type="dxa"/>
            <w:tcBorders>
              <w:top w:val="nil"/>
              <w:left w:val="nil"/>
              <w:bottom w:val="nil"/>
              <w:right w:val="nil"/>
            </w:tcBorders>
            <w:vAlign w:val="center"/>
            <w:hideMark/>
          </w:tcPr>
          <w:p w:rsidR="003B57DE" w:rsidRPr="003B57DE" w:rsidRDefault="003B57DE" w:rsidP="003B57DE">
            <w:pPr>
              <w:spacing w:line="240" w:lineRule="auto"/>
              <w:rPr>
                <w:rFonts w:cstheme="minorHAnsi"/>
                <w:b/>
                <w:bCs/>
                <w:lang w:val="en-US"/>
              </w:rPr>
            </w:pPr>
          </w:p>
        </w:tc>
        <w:tc>
          <w:tcPr>
            <w:tcW w:w="275" w:type="dxa"/>
            <w:tcBorders>
              <w:top w:val="nil"/>
              <w:left w:val="nil"/>
              <w:bottom w:val="nil"/>
              <w:right w:val="nil"/>
            </w:tcBorders>
          </w:tcPr>
          <w:p w:rsidR="003B57DE" w:rsidRPr="003B57DE" w:rsidRDefault="003B57DE" w:rsidP="003B57DE">
            <w:pPr>
              <w:spacing w:line="240" w:lineRule="auto"/>
              <w:rPr>
                <w:rFonts w:cstheme="minorHAnsi"/>
                <w:b/>
                <w:bCs/>
                <w:lang w:val="en-US"/>
              </w:rPr>
            </w:pPr>
          </w:p>
        </w:tc>
      </w:tr>
      <w:tr w:rsidR="003B57DE" w:rsidRPr="003B57DE" w:rsidTr="007A2C9A">
        <w:trPr>
          <w:trHeight w:val="264"/>
        </w:trPr>
        <w:tc>
          <w:tcPr>
            <w:tcW w:w="3828" w:type="dxa"/>
            <w:tcBorders>
              <w:top w:val="nil"/>
              <w:left w:val="nil"/>
              <w:bottom w:val="nil"/>
              <w:right w:val="nil"/>
            </w:tcBorders>
            <w:vAlign w:val="center"/>
            <w:hideMark/>
          </w:tcPr>
          <w:p w:rsidR="003B57DE" w:rsidRPr="003B57DE" w:rsidRDefault="003B57DE" w:rsidP="003B57DE">
            <w:pPr>
              <w:spacing w:line="240" w:lineRule="auto"/>
              <w:rPr>
                <w:rFonts w:cstheme="minorHAnsi"/>
                <w:b/>
                <w:bCs/>
                <w:color w:val="000000"/>
              </w:rPr>
            </w:pPr>
            <w:r>
              <w:rPr>
                <w:b/>
                <w:color w:val="000000"/>
              </w:rPr>
              <w:t>Netto-omzet</w:t>
            </w:r>
          </w:p>
        </w:tc>
        <w:tc>
          <w:tcPr>
            <w:tcW w:w="2824" w:type="dxa"/>
            <w:tcBorders>
              <w:top w:val="nil"/>
              <w:left w:val="nil"/>
              <w:bottom w:val="nil"/>
              <w:right w:val="nil"/>
            </w:tcBorders>
            <w:vAlign w:val="center"/>
          </w:tcPr>
          <w:p w:rsidR="003B57DE" w:rsidRPr="003B57DE" w:rsidRDefault="007A2C9A" w:rsidP="003B57DE">
            <w:pPr>
              <w:spacing w:line="240" w:lineRule="auto"/>
              <w:ind w:right="-68"/>
              <w:jc w:val="right"/>
              <w:rPr>
                <w:rFonts w:cstheme="minorHAnsi"/>
                <w:b/>
                <w:bCs/>
              </w:rPr>
            </w:pPr>
            <w:r>
              <w:rPr>
                <w:b/>
                <w:bCs/>
              </w:rPr>
              <w:t>6.</w:t>
            </w:r>
            <w:r w:rsidR="009A0C1C">
              <w:rPr>
                <w:b/>
                <w:bCs/>
              </w:rPr>
              <w:t>843</w:t>
            </w:r>
          </w:p>
        </w:tc>
        <w:tc>
          <w:tcPr>
            <w:tcW w:w="2140" w:type="dxa"/>
            <w:tcBorders>
              <w:top w:val="nil"/>
              <w:left w:val="nil"/>
              <w:bottom w:val="nil"/>
              <w:right w:val="nil"/>
            </w:tcBorders>
            <w:vAlign w:val="center"/>
            <w:hideMark/>
          </w:tcPr>
          <w:p w:rsidR="003B57DE" w:rsidRPr="003B57DE" w:rsidRDefault="007A2C9A" w:rsidP="003B57DE">
            <w:pPr>
              <w:spacing w:line="240" w:lineRule="auto"/>
              <w:ind w:right="-68"/>
              <w:jc w:val="right"/>
              <w:rPr>
                <w:rFonts w:cstheme="minorHAnsi"/>
                <w:b/>
                <w:bCs/>
              </w:rPr>
            </w:pPr>
            <w:r>
              <w:rPr>
                <w:b/>
                <w:bCs/>
              </w:rPr>
              <w:t>5.</w:t>
            </w:r>
            <w:r w:rsidR="009A0C1C">
              <w:rPr>
                <w:b/>
                <w:bCs/>
              </w:rPr>
              <w:t>832</w:t>
            </w:r>
          </w:p>
        </w:tc>
        <w:tc>
          <w:tcPr>
            <w:tcW w:w="275" w:type="dxa"/>
            <w:tcBorders>
              <w:top w:val="nil"/>
              <w:left w:val="nil"/>
              <w:bottom w:val="nil"/>
              <w:right w:val="nil"/>
            </w:tcBorders>
          </w:tcPr>
          <w:p w:rsidR="003B57DE" w:rsidRPr="003B57DE" w:rsidRDefault="003B57DE" w:rsidP="003B57DE">
            <w:pPr>
              <w:spacing w:line="240" w:lineRule="auto"/>
              <w:ind w:right="-68"/>
              <w:jc w:val="right"/>
              <w:rPr>
                <w:rFonts w:cstheme="minorHAnsi"/>
                <w:b/>
                <w:bCs/>
                <w:lang w:val="en-US"/>
              </w:rPr>
            </w:pPr>
          </w:p>
        </w:tc>
      </w:tr>
      <w:tr w:rsidR="003B57DE" w:rsidRPr="003B57DE" w:rsidTr="007A2C9A">
        <w:trPr>
          <w:trHeight w:val="264"/>
        </w:trPr>
        <w:tc>
          <w:tcPr>
            <w:tcW w:w="3828" w:type="dxa"/>
            <w:tcBorders>
              <w:top w:val="nil"/>
              <w:left w:val="nil"/>
              <w:bottom w:val="nil"/>
              <w:right w:val="nil"/>
            </w:tcBorders>
            <w:vAlign w:val="center"/>
            <w:hideMark/>
          </w:tcPr>
          <w:p w:rsidR="003B57DE" w:rsidRPr="003B57DE" w:rsidRDefault="003B57DE" w:rsidP="003B57DE">
            <w:pPr>
              <w:spacing w:line="240" w:lineRule="auto"/>
              <w:rPr>
                <w:rFonts w:cstheme="minorHAnsi"/>
                <w:b/>
                <w:bCs/>
                <w:color w:val="000000"/>
              </w:rPr>
            </w:pPr>
            <w:r>
              <w:rPr>
                <w:b/>
                <w:color w:val="000000"/>
              </w:rPr>
              <w:t>Brutomarge</w:t>
            </w:r>
          </w:p>
        </w:tc>
        <w:tc>
          <w:tcPr>
            <w:tcW w:w="2824" w:type="dxa"/>
            <w:tcBorders>
              <w:top w:val="nil"/>
              <w:left w:val="nil"/>
              <w:bottom w:val="nil"/>
              <w:right w:val="nil"/>
            </w:tcBorders>
            <w:vAlign w:val="center"/>
          </w:tcPr>
          <w:p w:rsidR="003B57DE" w:rsidRPr="003B57DE" w:rsidRDefault="007A2C9A" w:rsidP="003B57DE">
            <w:pPr>
              <w:spacing w:line="240" w:lineRule="auto"/>
              <w:ind w:right="-68"/>
              <w:jc w:val="right"/>
              <w:rPr>
                <w:rFonts w:cstheme="minorHAnsi"/>
                <w:b/>
                <w:bCs/>
              </w:rPr>
            </w:pPr>
            <w:r>
              <w:rPr>
                <w:b/>
                <w:bCs/>
              </w:rPr>
              <w:t>5.</w:t>
            </w:r>
            <w:r w:rsidR="009A0C1C">
              <w:rPr>
                <w:b/>
                <w:bCs/>
              </w:rPr>
              <w:t>686</w:t>
            </w:r>
          </w:p>
        </w:tc>
        <w:tc>
          <w:tcPr>
            <w:tcW w:w="2140" w:type="dxa"/>
            <w:tcBorders>
              <w:top w:val="nil"/>
              <w:left w:val="nil"/>
              <w:bottom w:val="nil"/>
              <w:right w:val="nil"/>
            </w:tcBorders>
            <w:vAlign w:val="center"/>
            <w:hideMark/>
          </w:tcPr>
          <w:p w:rsidR="003B57DE" w:rsidRPr="003B57DE" w:rsidRDefault="007A2C9A" w:rsidP="003B57DE">
            <w:pPr>
              <w:spacing w:line="240" w:lineRule="auto"/>
              <w:ind w:right="-68"/>
              <w:jc w:val="right"/>
              <w:rPr>
                <w:rFonts w:cstheme="minorHAnsi"/>
                <w:b/>
                <w:bCs/>
              </w:rPr>
            </w:pPr>
            <w:r>
              <w:rPr>
                <w:b/>
                <w:bCs/>
              </w:rPr>
              <w:t>4.</w:t>
            </w:r>
            <w:r w:rsidR="009A0C1C">
              <w:rPr>
                <w:b/>
                <w:bCs/>
              </w:rPr>
              <w:t>817</w:t>
            </w:r>
          </w:p>
        </w:tc>
        <w:tc>
          <w:tcPr>
            <w:tcW w:w="275" w:type="dxa"/>
            <w:tcBorders>
              <w:top w:val="nil"/>
              <w:left w:val="nil"/>
              <w:bottom w:val="nil"/>
              <w:right w:val="nil"/>
            </w:tcBorders>
          </w:tcPr>
          <w:p w:rsidR="003B57DE" w:rsidRPr="003B57DE" w:rsidRDefault="003B57DE" w:rsidP="003B57DE">
            <w:pPr>
              <w:spacing w:line="240" w:lineRule="auto"/>
              <w:ind w:right="-68"/>
              <w:jc w:val="right"/>
              <w:rPr>
                <w:rFonts w:cstheme="minorHAnsi"/>
                <w:b/>
                <w:bCs/>
                <w:lang w:val="en-US"/>
              </w:rPr>
            </w:pPr>
          </w:p>
        </w:tc>
      </w:tr>
      <w:tr w:rsidR="003B57DE" w:rsidRPr="003B57DE" w:rsidTr="007A2C9A">
        <w:trPr>
          <w:trHeight w:val="264"/>
        </w:trPr>
        <w:tc>
          <w:tcPr>
            <w:tcW w:w="3828" w:type="dxa"/>
            <w:tcBorders>
              <w:top w:val="nil"/>
              <w:left w:val="nil"/>
              <w:bottom w:val="nil"/>
              <w:right w:val="nil"/>
            </w:tcBorders>
            <w:vAlign w:val="center"/>
            <w:hideMark/>
          </w:tcPr>
          <w:p w:rsidR="003B57DE" w:rsidRPr="003B57DE" w:rsidRDefault="003B57DE" w:rsidP="003B57DE">
            <w:pPr>
              <w:spacing w:line="240" w:lineRule="auto"/>
              <w:rPr>
                <w:rFonts w:cstheme="minorHAnsi"/>
                <w:i/>
                <w:iCs/>
                <w:color w:val="000000"/>
              </w:rPr>
            </w:pPr>
            <w:r>
              <w:rPr>
                <w:i/>
                <w:color w:val="000000"/>
              </w:rPr>
              <w:t>Brutomarge als % van netto-omzet</w:t>
            </w:r>
          </w:p>
        </w:tc>
        <w:tc>
          <w:tcPr>
            <w:tcW w:w="2824" w:type="dxa"/>
            <w:tcBorders>
              <w:top w:val="nil"/>
              <w:left w:val="nil"/>
              <w:bottom w:val="nil"/>
              <w:right w:val="nil"/>
            </w:tcBorders>
            <w:vAlign w:val="center"/>
          </w:tcPr>
          <w:p w:rsidR="003B57DE" w:rsidRPr="00F02B79" w:rsidRDefault="003B57DE" w:rsidP="003B57DE">
            <w:pPr>
              <w:spacing w:line="240" w:lineRule="auto"/>
              <w:ind w:right="-68"/>
              <w:jc w:val="right"/>
              <w:rPr>
                <w:rFonts w:cstheme="minorHAnsi"/>
                <w:i/>
              </w:rPr>
            </w:pPr>
            <w:r>
              <w:rPr>
                <w:i/>
              </w:rPr>
              <w:t>83%</w:t>
            </w:r>
          </w:p>
        </w:tc>
        <w:tc>
          <w:tcPr>
            <w:tcW w:w="2140" w:type="dxa"/>
            <w:tcBorders>
              <w:top w:val="nil"/>
              <w:left w:val="nil"/>
              <w:bottom w:val="nil"/>
              <w:right w:val="nil"/>
            </w:tcBorders>
            <w:vAlign w:val="center"/>
            <w:hideMark/>
          </w:tcPr>
          <w:p w:rsidR="003B57DE" w:rsidRPr="00F02B79" w:rsidRDefault="003B57DE" w:rsidP="003B57DE">
            <w:pPr>
              <w:spacing w:line="240" w:lineRule="auto"/>
              <w:ind w:right="-68"/>
              <w:jc w:val="right"/>
              <w:rPr>
                <w:rFonts w:cstheme="minorHAnsi"/>
                <w:i/>
              </w:rPr>
            </w:pPr>
            <w:r>
              <w:rPr>
                <w:i/>
              </w:rPr>
              <w:t>83%</w:t>
            </w:r>
          </w:p>
        </w:tc>
        <w:tc>
          <w:tcPr>
            <w:tcW w:w="275" w:type="dxa"/>
            <w:tcBorders>
              <w:top w:val="nil"/>
              <w:left w:val="nil"/>
              <w:bottom w:val="nil"/>
              <w:right w:val="nil"/>
            </w:tcBorders>
          </w:tcPr>
          <w:p w:rsidR="003B57DE" w:rsidRPr="003B57DE" w:rsidRDefault="003B57DE" w:rsidP="003B57DE">
            <w:pPr>
              <w:spacing w:line="240" w:lineRule="auto"/>
              <w:ind w:right="-68"/>
              <w:jc w:val="right"/>
              <w:rPr>
                <w:rFonts w:cstheme="minorHAnsi"/>
                <w:i/>
                <w:lang w:val="en-US"/>
              </w:rPr>
            </w:pPr>
          </w:p>
        </w:tc>
      </w:tr>
      <w:tr w:rsidR="003B57DE" w:rsidRPr="003B57DE" w:rsidTr="007A2C9A">
        <w:trPr>
          <w:trHeight w:val="264"/>
        </w:trPr>
        <w:tc>
          <w:tcPr>
            <w:tcW w:w="3828" w:type="dxa"/>
            <w:tcBorders>
              <w:top w:val="nil"/>
              <w:left w:val="nil"/>
              <w:bottom w:val="nil"/>
              <w:right w:val="nil"/>
            </w:tcBorders>
            <w:vAlign w:val="center"/>
            <w:hideMark/>
          </w:tcPr>
          <w:p w:rsidR="003B57DE" w:rsidRPr="003B57DE" w:rsidRDefault="003B57DE" w:rsidP="003B57DE">
            <w:pPr>
              <w:spacing w:line="240" w:lineRule="auto"/>
              <w:rPr>
                <w:rFonts w:cstheme="minorHAnsi"/>
                <w:b/>
                <w:bCs/>
                <w:color w:val="000000"/>
              </w:rPr>
            </w:pPr>
            <w:r>
              <w:rPr>
                <w:b/>
                <w:color w:val="000000"/>
              </w:rPr>
              <w:t>EBITDA</w:t>
            </w:r>
          </w:p>
        </w:tc>
        <w:tc>
          <w:tcPr>
            <w:tcW w:w="2824" w:type="dxa"/>
            <w:tcBorders>
              <w:top w:val="nil"/>
              <w:left w:val="nil"/>
              <w:bottom w:val="nil"/>
              <w:right w:val="nil"/>
            </w:tcBorders>
            <w:vAlign w:val="center"/>
          </w:tcPr>
          <w:p w:rsidR="003B57DE" w:rsidRPr="00F02B79" w:rsidRDefault="009F6BE4" w:rsidP="003B57DE">
            <w:pPr>
              <w:spacing w:line="240" w:lineRule="auto"/>
              <w:ind w:right="-68"/>
              <w:jc w:val="right"/>
              <w:rPr>
                <w:rFonts w:cstheme="minorHAnsi"/>
                <w:b/>
                <w:bCs/>
              </w:rPr>
            </w:pPr>
            <w:r>
              <w:rPr>
                <w:b/>
                <w:bCs/>
              </w:rPr>
              <w:t>913</w:t>
            </w:r>
          </w:p>
        </w:tc>
        <w:tc>
          <w:tcPr>
            <w:tcW w:w="2140" w:type="dxa"/>
            <w:tcBorders>
              <w:top w:val="nil"/>
              <w:left w:val="nil"/>
              <w:bottom w:val="nil"/>
              <w:right w:val="nil"/>
            </w:tcBorders>
            <w:vAlign w:val="center"/>
            <w:hideMark/>
          </w:tcPr>
          <w:p w:rsidR="003B57DE" w:rsidRPr="00F02B79" w:rsidRDefault="003B57DE" w:rsidP="003B57DE">
            <w:pPr>
              <w:spacing w:line="240" w:lineRule="auto"/>
              <w:ind w:right="-68"/>
              <w:jc w:val="right"/>
              <w:rPr>
                <w:rFonts w:cstheme="minorHAnsi"/>
                <w:b/>
                <w:bCs/>
              </w:rPr>
            </w:pPr>
            <w:r>
              <w:rPr>
                <w:b/>
                <w:bCs/>
              </w:rPr>
              <w:t>534</w:t>
            </w:r>
          </w:p>
        </w:tc>
        <w:tc>
          <w:tcPr>
            <w:tcW w:w="275" w:type="dxa"/>
            <w:tcBorders>
              <w:top w:val="nil"/>
              <w:left w:val="nil"/>
              <w:bottom w:val="nil"/>
              <w:right w:val="nil"/>
            </w:tcBorders>
          </w:tcPr>
          <w:p w:rsidR="003B57DE" w:rsidRPr="003B57DE" w:rsidRDefault="003B57DE" w:rsidP="003B57DE">
            <w:pPr>
              <w:spacing w:line="240" w:lineRule="auto"/>
              <w:ind w:right="-68"/>
              <w:jc w:val="right"/>
              <w:rPr>
                <w:rFonts w:cstheme="minorHAnsi"/>
                <w:b/>
                <w:bCs/>
                <w:lang w:val="en-US"/>
              </w:rPr>
            </w:pPr>
          </w:p>
        </w:tc>
      </w:tr>
      <w:tr w:rsidR="003B57DE" w:rsidRPr="003B57DE" w:rsidTr="007A2C9A">
        <w:trPr>
          <w:trHeight w:val="264"/>
        </w:trPr>
        <w:tc>
          <w:tcPr>
            <w:tcW w:w="3828" w:type="dxa"/>
            <w:tcBorders>
              <w:top w:val="nil"/>
              <w:left w:val="nil"/>
              <w:bottom w:val="nil"/>
              <w:right w:val="nil"/>
            </w:tcBorders>
            <w:vAlign w:val="center"/>
            <w:hideMark/>
          </w:tcPr>
          <w:p w:rsidR="003B57DE" w:rsidRPr="003B57DE" w:rsidRDefault="003B57DE" w:rsidP="003B57DE">
            <w:pPr>
              <w:spacing w:line="240" w:lineRule="auto"/>
              <w:rPr>
                <w:rFonts w:cstheme="minorHAnsi"/>
                <w:i/>
                <w:iCs/>
                <w:color w:val="000000"/>
              </w:rPr>
            </w:pPr>
            <w:r>
              <w:rPr>
                <w:i/>
                <w:color w:val="000000"/>
              </w:rPr>
              <w:t>EBITDA als % van netto-omzet</w:t>
            </w:r>
          </w:p>
        </w:tc>
        <w:tc>
          <w:tcPr>
            <w:tcW w:w="2824" w:type="dxa"/>
            <w:tcBorders>
              <w:top w:val="nil"/>
              <w:left w:val="nil"/>
              <w:bottom w:val="nil"/>
              <w:right w:val="nil"/>
            </w:tcBorders>
            <w:vAlign w:val="center"/>
          </w:tcPr>
          <w:p w:rsidR="003B57DE" w:rsidRPr="00F02B79" w:rsidRDefault="009F6BE4" w:rsidP="003B57DE">
            <w:pPr>
              <w:spacing w:line="240" w:lineRule="auto"/>
              <w:ind w:right="-68"/>
              <w:jc w:val="right"/>
              <w:rPr>
                <w:rFonts w:cstheme="minorHAnsi"/>
                <w:i/>
              </w:rPr>
            </w:pPr>
            <w:r>
              <w:rPr>
                <w:i/>
              </w:rPr>
              <w:t>13%</w:t>
            </w:r>
          </w:p>
        </w:tc>
        <w:tc>
          <w:tcPr>
            <w:tcW w:w="2140" w:type="dxa"/>
            <w:tcBorders>
              <w:top w:val="nil"/>
              <w:left w:val="nil"/>
              <w:bottom w:val="nil"/>
              <w:right w:val="nil"/>
            </w:tcBorders>
            <w:vAlign w:val="center"/>
            <w:hideMark/>
          </w:tcPr>
          <w:p w:rsidR="003B57DE" w:rsidRPr="00F02B79" w:rsidRDefault="003B57DE" w:rsidP="003B57DE">
            <w:pPr>
              <w:spacing w:line="240" w:lineRule="auto"/>
              <w:ind w:right="-68"/>
              <w:jc w:val="right"/>
              <w:rPr>
                <w:rFonts w:cstheme="minorHAnsi"/>
                <w:i/>
              </w:rPr>
            </w:pPr>
            <w:r>
              <w:rPr>
                <w:i/>
              </w:rPr>
              <w:t>9%</w:t>
            </w:r>
          </w:p>
        </w:tc>
        <w:tc>
          <w:tcPr>
            <w:tcW w:w="275" w:type="dxa"/>
            <w:tcBorders>
              <w:top w:val="nil"/>
              <w:left w:val="nil"/>
              <w:bottom w:val="nil"/>
              <w:right w:val="nil"/>
            </w:tcBorders>
          </w:tcPr>
          <w:p w:rsidR="003B57DE" w:rsidRPr="003B57DE" w:rsidRDefault="003B57DE" w:rsidP="003B57DE">
            <w:pPr>
              <w:spacing w:line="240" w:lineRule="auto"/>
              <w:ind w:right="-68"/>
              <w:jc w:val="right"/>
              <w:rPr>
                <w:rFonts w:cstheme="minorHAnsi"/>
                <w:i/>
              </w:rPr>
            </w:pPr>
          </w:p>
        </w:tc>
      </w:tr>
      <w:tr w:rsidR="003B57DE" w:rsidRPr="003B57DE" w:rsidTr="007A2C9A">
        <w:trPr>
          <w:trHeight w:val="264"/>
        </w:trPr>
        <w:tc>
          <w:tcPr>
            <w:tcW w:w="3828" w:type="dxa"/>
            <w:tcBorders>
              <w:top w:val="nil"/>
              <w:left w:val="nil"/>
              <w:bottom w:val="nil"/>
              <w:right w:val="nil"/>
            </w:tcBorders>
            <w:vAlign w:val="center"/>
            <w:hideMark/>
          </w:tcPr>
          <w:p w:rsidR="003B57DE" w:rsidRPr="003B57DE" w:rsidRDefault="003B57DE" w:rsidP="003B57DE">
            <w:pPr>
              <w:spacing w:line="240" w:lineRule="auto"/>
              <w:rPr>
                <w:rFonts w:cstheme="minorHAnsi"/>
                <w:b/>
                <w:bCs/>
                <w:color w:val="000000"/>
              </w:rPr>
            </w:pPr>
            <w:r>
              <w:rPr>
                <w:b/>
                <w:color w:val="000000"/>
              </w:rPr>
              <w:t>EBIT</w:t>
            </w:r>
          </w:p>
        </w:tc>
        <w:tc>
          <w:tcPr>
            <w:tcW w:w="2824" w:type="dxa"/>
            <w:tcBorders>
              <w:top w:val="nil"/>
              <w:left w:val="nil"/>
              <w:bottom w:val="nil"/>
              <w:right w:val="nil"/>
            </w:tcBorders>
            <w:vAlign w:val="center"/>
          </w:tcPr>
          <w:p w:rsidR="003B57DE" w:rsidRPr="00F02B79" w:rsidRDefault="009F6BE4" w:rsidP="003B57DE">
            <w:pPr>
              <w:spacing w:line="240" w:lineRule="auto"/>
              <w:ind w:right="-68"/>
              <w:jc w:val="right"/>
              <w:rPr>
                <w:rFonts w:cstheme="minorHAnsi"/>
                <w:b/>
              </w:rPr>
            </w:pPr>
            <w:r>
              <w:rPr>
                <w:b/>
              </w:rPr>
              <w:t>398</w:t>
            </w:r>
          </w:p>
        </w:tc>
        <w:tc>
          <w:tcPr>
            <w:tcW w:w="2140" w:type="dxa"/>
            <w:tcBorders>
              <w:top w:val="nil"/>
              <w:left w:val="nil"/>
              <w:bottom w:val="nil"/>
              <w:right w:val="nil"/>
            </w:tcBorders>
            <w:vAlign w:val="center"/>
            <w:hideMark/>
          </w:tcPr>
          <w:p w:rsidR="003B57DE" w:rsidRPr="00F02B79" w:rsidRDefault="003B57DE" w:rsidP="003B57DE">
            <w:pPr>
              <w:spacing w:line="240" w:lineRule="auto"/>
              <w:ind w:right="-68"/>
              <w:jc w:val="right"/>
              <w:rPr>
                <w:rFonts w:cstheme="minorHAnsi"/>
                <w:b/>
              </w:rPr>
            </w:pPr>
            <w:r>
              <w:rPr>
                <w:b/>
              </w:rPr>
              <w:t>44</w:t>
            </w:r>
          </w:p>
        </w:tc>
        <w:tc>
          <w:tcPr>
            <w:tcW w:w="275" w:type="dxa"/>
            <w:tcBorders>
              <w:top w:val="nil"/>
              <w:left w:val="nil"/>
              <w:bottom w:val="nil"/>
              <w:right w:val="nil"/>
            </w:tcBorders>
          </w:tcPr>
          <w:p w:rsidR="003B57DE" w:rsidRPr="003B57DE" w:rsidRDefault="003B57DE" w:rsidP="003B57DE">
            <w:pPr>
              <w:spacing w:line="240" w:lineRule="auto"/>
              <w:ind w:right="-68"/>
              <w:jc w:val="right"/>
              <w:rPr>
                <w:rFonts w:cstheme="minorHAnsi"/>
                <w:b/>
              </w:rPr>
            </w:pPr>
          </w:p>
        </w:tc>
      </w:tr>
      <w:tr w:rsidR="003B57DE" w:rsidRPr="003B57DE" w:rsidTr="007A2C9A">
        <w:trPr>
          <w:trHeight w:val="264"/>
        </w:trPr>
        <w:tc>
          <w:tcPr>
            <w:tcW w:w="3828" w:type="dxa"/>
            <w:tcBorders>
              <w:top w:val="nil"/>
              <w:left w:val="nil"/>
              <w:bottom w:val="nil"/>
              <w:right w:val="nil"/>
            </w:tcBorders>
            <w:vAlign w:val="center"/>
            <w:hideMark/>
          </w:tcPr>
          <w:p w:rsidR="003B57DE" w:rsidRPr="003B57DE" w:rsidRDefault="003B57DE" w:rsidP="003B57DE">
            <w:pPr>
              <w:spacing w:line="240" w:lineRule="auto"/>
              <w:rPr>
                <w:rFonts w:cstheme="minorHAnsi"/>
                <w:i/>
                <w:iCs/>
                <w:color w:val="000000"/>
              </w:rPr>
            </w:pPr>
            <w:r>
              <w:rPr>
                <w:i/>
                <w:color w:val="000000"/>
              </w:rPr>
              <w:t>EBIT als % van netto-omzet</w:t>
            </w:r>
          </w:p>
        </w:tc>
        <w:tc>
          <w:tcPr>
            <w:tcW w:w="2824" w:type="dxa"/>
            <w:tcBorders>
              <w:top w:val="nil"/>
              <w:left w:val="nil"/>
              <w:bottom w:val="nil"/>
              <w:right w:val="nil"/>
            </w:tcBorders>
            <w:vAlign w:val="center"/>
          </w:tcPr>
          <w:p w:rsidR="003B57DE" w:rsidRPr="00F02B79" w:rsidRDefault="003B57DE" w:rsidP="003B57DE">
            <w:pPr>
              <w:spacing w:line="240" w:lineRule="auto"/>
              <w:ind w:right="-68"/>
              <w:jc w:val="right"/>
              <w:rPr>
                <w:rFonts w:cstheme="minorHAnsi"/>
                <w:i/>
              </w:rPr>
            </w:pPr>
            <w:r>
              <w:rPr>
                <w:i/>
              </w:rPr>
              <w:t>6%</w:t>
            </w:r>
          </w:p>
        </w:tc>
        <w:tc>
          <w:tcPr>
            <w:tcW w:w="2140" w:type="dxa"/>
            <w:tcBorders>
              <w:top w:val="nil"/>
              <w:left w:val="nil"/>
              <w:bottom w:val="nil"/>
              <w:right w:val="nil"/>
            </w:tcBorders>
            <w:vAlign w:val="center"/>
            <w:hideMark/>
          </w:tcPr>
          <w:p w:rsidR="003B57DE" w:rsidRPr="00F02B79" w:rsidRDefault="003B57DE" w:rsidP="003B57DE">
            <w:pPr>
              <w:spacing w:line="240" w:lineRule="auto"/>
              <w:ind w:right="-68"/>
              <w:jc w:val="right"/>
              <w:rPr>
                <w:rFonts w:cstheme="minorHAnsi"/>
                <w:i/>
              </w:rPr>
            </w:pPr>
            <w:r>
              <w:rPr>
                <w:i/>
              </w:rPr>
              <w:t>1%</w:t>
            </w:r>
          </w:p>
        </w:tc>
        <w:tc>
          <w:tcPr>
            <w:tcW w:w="275" w:type="dxa"/>
            <w:tcBorders>
              <w:top w:val="nil"/>
              <w:left w:val="nil"/>
              <w:bottom w:val="nil"/>
              <w:right w:val="nil"/>
            </w:tcBorders>
          </w:tcPr>
          <w:p w:rsidR="003B57DE" w:rsidRPr="003B57DE" w:rsidRDefault="003B57DE" w:rsidP="003B57DE">
            <w:pPr>
              <w:spacing w:line="240" w:lineRule="auto"/>
              <w:ind w:right="-68"/>
              <w:jc w:val="right"/>
              <w:rPr>
                <w:rFonts w:cstheme="minorHAnsi"/>
                <w:i/>
              </w:rPr>
            </w:pPr>
          </w:p>
        </w:tc>
      </w:tr>
      <w:tr w:rsidR="003B57DE" w:rsidRPr="003B57DE" w:rsidTr="007A2C9A">
        <w:trPr>
          <w:trHeight w:val="264"/>
        </w:trPr>
        <w:tc>
          <w:tcPr>
            <w:tcW w:w="3828" w:type="dxa"/>
            <w:tcBorders>
              <w:top w:val="nil"/>
              <w:left w:val="nil"/>
              <w:bottom w:val="nil"/>
              <w:right w:val="nil"/>
            </w:tcBorders>
            <w:vAlign w:val="center"/>
            <w:hideMark/>
          </w:tcPr>
          <w:p w:rsidR="003B57DE" w:rsidRPr="003B57DE" w:rsidRDefault="003B57DE" w:rsidP="003B57DE">
            <w:pPr>
              <w:spacing w:line="240" w:lineRule="auto"/>
              <w:rPr>
                <w:rFonts w:cstheme="minorHAnsi"/>
                <w:b/>
                <w:bCs/>
                <w:color w:val="000000"/>
              </w:rPr>
            </w:pPr>
            <w:r>
              <w:rPr>
                <w:b/>
                <w:color w:val="000000"/>
              </w:rPr>
              <w:t>Nettoresultaat</w:t>
            </w:r>
          </w:p>
        </w:tc>
        <w:tc>
          <w:tcPr>
            <w:tcW w:w="2824" w:type="dxa"/>
            <w:tcBorders>
              <w:top w:val="nil"/>
              <w:left w:val="nil"/>
              <w:bottom w:val="nil"/>
              <w:right w:val="nil"/>
            </w:tcBorders>
            <w:vAlign w:val="center"/>
          </w:tcPr>
          <w:p w:rsidR="003B57DE" w:rsidRPr="00F02B79" w:rsidRDefault="009F6BE4" w:rsidP="003B57DE">
            <w:pPr>
              <w:spacing w:line="240" w:lineRule="auto"/>
              <w:ind w:right="-68"/>
              <w:jc w:val="right"/>
              <w:rPr>
                <w:rFonts w:cstheme="minorHAnsi"/>
                <w:b/>
                <w:bCs/>
              </w:rPr>
            </w:pPr>
            <w:r>
              <w:rPr>
                <w:b/>
                <w:bCs/>
              </w:rPr>
              <w:t>276</w:t>
            </w:r>
          </w:p>
        </w:tc>
        <w:tc>
          <w:tcPr>
            <w:tcW w:w="2140" w:type="dxa"/>
            <w:tcBorders>
              <w:top w:val="nil"/>
              <w:left w:val="nil"/>
              <w:bottom w:val="nil"/>
              <w:right w:val="nil"/>
            </w:tcBorders>
            <w:vAlign w:val="center"/>
            <w:hideMark/>
          </w:tcPr>
          <w:p w:rsidR="003B57DE" w:rsidRPr="00F02B79" w:rsidRDefault="003B57DE" w:rsidP="003B57DE">
            <w:pPr>
              <w:spacing w:line="240" w:lineRule="auto"/>
              <w:ind w:right="-68"/>
              <w:jc w:val="right"/>
              <w:rPr>
                <w:rFonts w:cstheme="minorHAnsi"/>
                <w:b/>
                <w:bCs/>
              </w:rPr>
            </w:pPr>
            <w:r>
              <w:rPr>
                <w:b/>
                <w:bCs/>
              </w:rPr>
              <w:t>-85</w:t>
            </w:r>
          </w:p>
        </w:tc>
        <w:tc>
          <w:tcPr>
            <w:tcW w:w="275" w:type="dxa"/>
            <w:tcBorders>
              <w:top w:val="nil"/>
              <w:left w:val="nil"/>
              <w:bottom w:val="nil"/>
              <w:right w:val="nil"/>
            </w:tcBorders>
          </w:tcPr>
          <w:p w:rsidR="003B57DE" w:rsidRPr="003B57DE" w:rsidRDefault="003B57DE" w:rsidP="003B57DE">
            <w:pPr>
              <w:spacing w:line="240" w:lineRule="auto"/>
              <w:ind w:right="-68"/>
              <w:jc w:val="right"/>
              <w:rPr>
                <w:rFonts w:cstheme="minorHAnsi"/>
                <w:b/>
                <w:bCs/>
              </w:rPr>
            </w:pPr>
          </w:p>
        </w:tc>
      </w:tr>
      <w:tr w:rsidR="003B57DE" w:rsidRPr="003B57DE" w:rsidTr="007A2C9A">
        <w:trPr>
          <w:trHeight w:val="138"/>
        </w:trPr>
        <w:tc>
          <w:tcPr>
            <w:tcW w:w="3828" w:type="dxa"/>
            <w:tcBorders>
              <w:top w:val="nil"/>
              <w:left w:val="nil"/>
              <w:bottom w:val="nil"/>
              <w:right w:val="nil"/>
            </w:tcBorders>
            <w:vAlign w:val="center"/>
            <w:hideMark/>
          </w:tcPr>
          <w:p w:rsidR="003B57DE" w:rsidRPr="003B57DE" w:rsidRDefault="003B57DE" w:rsidP="003B57DE">
            <w:pPr>
              <w:spacing w:line="240" w:lineRule="auto"/>
              <w:rPr>
                <w:rFonts w:cstheme="minorHAnsi"/>
                <w:i/>
                <w:iCs/>
                <w:color w:val="000000"/>
              </w:rPr>
            </w:pPr>
            <w:r>
              <w:rPr>
                <w:i/>
                <w:color w:val="000000"/>
              </w:rPr>
              <w:t>Nettoresultaat als % van netto-omzet</w:t>
            </w:r>
          </w:p>
        </w:tc>
        <w:tc>
          <w:tcPr>
            <w:tcW w:w="2824" w:type="dxa"/>
            <w:tcBorders>
              <w:top w:val="nil"/>
              <w:left w:val="nil"/>
              <w:bottom w:val="nil"/>
              <w:right w:val="nil"/>
            </w:tcBorders>
            <w:vAlign w:val="center"/>
          </w:tcPr>
          <w:p w:rsidR="003B57DE" w:rsidRPr="003B57DE" w:rsidRDefault="003B57DE" w:rsidP="003B57DE">
            <w:pPr>
              <w:spacing w:line="240" w:lineRule="auto"/>
              <w:ind w:right="-68"/>
              <w:jc w:val="right"/>
              <w:rPr>
                <w:rFonts w:cstheme="minorHAnsi"/>
                <w:i/>
              </w:rPr>
            </w:pPr>
            <w:r>
              <w:rPr>
                <w:i/>
              </w:rPr>
              <w:t>4%</w:t>
            </w:r>
          </w:p>
        </w:tc>
        <w:tc>
          <w:tcPr>
            <w:tcW w:w="2140" w:type="dxa"/>
            <w:tcBorders>
              <w:top w:val="nil"/>
              <w:left w:val="nil"/>
              <w:bottom w:val="nil"/>
              <w:right w:val="nil"/>
            </w:tcBorders>
            <w:vAlign w:val="center"/>
            <w:hideMark/>
          </w:tcPr>
          <w:p w:rsidR="003B57DE" w:rsidRPr="003B57DE" w:rsidRDefault="003B57DE" w:rsidP="003B57DE">
            <w:pPr>
              <w:spacing w:line="240" w:lineRule="auto"/>
              <w:ind w:right="-68"/>
              <w:jc w:val="right"/>
              <w:rPr>
                <w:rFonts w:cstheme="minorHAnsi"/>
                <w:i/>
              </w:rPr>
            </w:pPr>
            <w:r>
              <w:rPr>
                <w:i/>
              </w:rPr>
              <w:t>-1%</w:t>
            </w:r>
          </w:p>
        </w:tc>
        <w:tc>
          <w:tcPr>
            <w:tcW w:w="275" w:type="dxa"/>
            <w:tcBorders>
              <w:top w:val="nil"/>
              <w:left w:val="nil"/>
              <w:bottom w:val="nil"/>
              <w:right w:val="nil"/>
            </w:tcBorders>
          </w:tcPr>
          <w:p w:rsidR="003B57DE" w:rsidRPr="003B57DE" w:rsidRDefault="003B57DE" w:rsidP="003B57DE">
            <w:pPr>
              <w:spacing w:line="240" w:lineRule="auto"/>
              <w:ind w:right="-68"/>
              <w:jc w:val="right"/>
              <w:rPr>
                <w:rFonts w:cstheme="minorHAnsi"/>
                <w:i/>
              </w:rPr>
            </w:pPr>
          </w:p>
        </w:tc>
      </w:tr>
    </w:tbl>
    <w:p w:rsidR="009F6BE4" w:rsidRPr="009F6BE4" w:rsidRDefault="009F6BE4" w:rsidP="009F6BE4">
      <w:pPr>
        <w:rPr>
          <w:rFonts w:asciiTheme="minorHAnsi" w:hAnsiTheme="minorHAnsi" w:cstheme="minorHAnsi"/>
          <w:b/>
          <w:color w:val="B70C2F"/>
        </w:rPr>
      </w:pPr>
      <w:r>
        <w:rPr>
          <w:rFonts w:asciiTheme="minorHAnsi" w:hAnsiTheme="minorHAnsi"/>
          <w:b/>
          <w:color w:val="B70C2F"/>
        </w:rPr>
        <w:lastRenderedPageBreak/>
        <w:t>Conference call</w:t>
      </w:r>
    </w:p>
    <w:p w:rsidR="009F6BE4" w:rsidRDefault="009F6BE4" w:rsidP="007A2C9A">
      <w:pPr>
        <w:spacing w:after="0"/>
        <w:jc w:val="both"/>
      </w:pPr>
      <w:r>
        <w:t xml:space="preserve">U wordt uitgenodigd om deel te nemen aan </w:t>
      </w:r>
      <w:r>
        <w:rPr>
          <w:color w:val="BA0C2F"/>
        </w:rPr>
        <w:t>Rood</w:t>
      </w:r>
      <w:r>
        <w:t xml:space="preserve">Microtecs conference call voor pers en analisten op </w:t>
      </w:r>
      <w:r>
        <w:rPr>
          <w:b/>
        </w:rPr>
        <w:t>donderdag 2</w:t>
      </w:r>
      <w:r w:rsidR="007A2C9A">
        <w:rPr>
          <w:b/>
        </w:rPr>
        <w:t> </w:t>
      </w:r>
      <w:r>
        <w:rPr>
          <w:b/>
        </w:rPr>
        <w:t>augustus 2018 om 9:30 uur</w:t>
      </w:r>
      <w:r>
        <w:t>. De directie zal daarin het halfjaarbericht 2018 in detail bespreken en uw vragen beantwoorden.</w:t>
      </w:r>
    </w:p>
    <w:p w:rsidR="003B57DE" w:rsidRPr="00C75F3B" w:rsidRDefault="003B57DE" w:rsidP="007A2C9A">
      <w:pPr>
        <w:spacing w:after="0"/>
        <w:jc w:val="both"/>
      </w:pPr>
      <w:r>
        <w:t>Het inbelnummer voor de call is:</w:t>
      </w:r>
      <w:r>
        <w:tab/>
        <w:t xml:space="preserve"> </w:t>
      </w:r>
      <w:r>
        <w:rPr>
          <w:b/>
        </w:rPr>
        <w:t>+31 (0)20 531 5850</w:t>
      </w:r>
      <w:r>
        <w:t xml:space="preserve"> (via operator)</w:t>
      </w:r>
    </w:p>
    <w:p w:rsidR="003B57DE" w:rsidRPr="00C75F3B" w:rsidRDefault="003B57DE" w:rsidP="007A2C9A">
      <w:pPr>
        <w:jc w:val="both"/>
      </w:pPr>
    </w:p>
    <w:p w:rsidR="009A0C1C" w:rsidRPr="009A0C1C" w:rsidRDefault="009A0C1C" w:rsidP="009A0C1C">
      <w:pPr>
        <w:rPr>
          <w:rFonts w:asciiTheme="minorHAnsi" w:hAnsiTheme="minorHAnsi" w:cstheme="minorHAnsi"/>
          <w:b/>
          <w:color w:val="B70C2F"/>
        </w:rPr>
      </w:pPr>
      <w:r>
        <w:rPr>
          <w:rFonts w:asciiTheme="minorHAnsi" w:hAnsiTheme="minorHAnsi"/>
          <w:b/>
          <w:color w:val="B70C2F"/>
        </w:rPr>
        <w:t>Financiële agenda</w:t>
      </w:r>
    </w:p>
    <w:tbl>
      <w:tblPr>
        <w:tblW w:w="9887" w:type="dxa"/>
        <w:tblInd w:w="2" w:type="dxa"/>
        <w:tblLook w:val="00A0"/>
      </w:tblPr>
      <w:tblGrid>
        <w:gridCol w:w="3083"/>
        <w:gridCol w:w="6804"/>
      </w:tblGrid>
      <w:tr w:rsidR="009A0C1C" w:rsidRPr="009A0C1C" w:rsidTr="009A0C1C">
        <w:trPr>
          <w:trHeight w:val="292"/>
        </w:trPr>
        <w:tc>
          <w:tcPr>
            <w:tcW w:w="3083" w:type="dxa"/>
          </w:tcPr>
          <w:p w:rsidR="009A0C1C" w:rsidRPr="009A0C1C" w:rsidRDefault="009A0C1C" w:rsidP="00A444F4">
            <w:pPr>
              <w:spacing w:after="0"/>
              <w:jc w:val="both"/>
              <w:rPr>
                <w:rFonts w:cs="Calibri"/>
              </w:rPr>
            </w:pPr>
            <w:r>
              <w:t>02 augustus 2018 – 09:30 uur</w:t>
            </w:r>
          </w:p>
        </w:tc>
        <w:tc>
          <w:tcPr>
            <w:tcW w:w="6804" w:type="dxa"/>
          </w:tcPr>
          <w:p w:rsidR="009A0C1C" w:rsidRPr="009A0C1C" w:rsidRDefault="009A0C1C" w:rsidP="00A444F4">
            <w:pPr>
              <w:spacing w:after="0"/>
              <w:jc w:val="both"/>
              <w:rPr>
                <w:rFonts w:cs="Calibri"/>
              </w:rPr>
            </w:pPr>
            <w:r>
              <w:t>Conference call voor pers en analisten - halfjaarbericht 2018</w:t>
            </w:r>
          </w:p>
        </w:tc>
      </w:tr>
      <w:tr w:rsidR="009A0C1C" w:rsidRPr="009A0C1C" w:rsidTr="009A0C1C">
        <w:trPr>
          <w:trHeight w:val="284"/>
        </w:trPr>
        <w:tc>
          <w:tcPr>
            <w:tcW w:w="3083" w:type="dxa"/>
          </w:tcPr>
          <w:p w:rsidR="009A0C1C" w:rsidRPr="009A0C1C" w:rsidRDefault="009A0C1C" w:rsidP="009A0C1C">
            <w:pPr>
              <w:spacing w:after="0"/>
              <w:jc w:val="both"/>
              <w:rPr>
                <w:rFonts w:cs="Calibri"/>
              </w:rPr>
            </w:pPr>
            <w:r>
              <w:t>10 januari 2019</w:t>
            </w:r>
          </w:p>
        </w:tc>
        <w:tc>
          <w:tcPr>
            <w:tcW w:w="6804" w:type="dxa"/>
          </w:tcPr>
          <w:p w:rsidR="009A0C1C" w:rsidRPr="009A0C1C" w:rsidRDefault="009A0C1C" w:rsidP="009A0C1C">
            <w:pPr>
              <w:spacing w:after="0"/>
              <w:jc w:val="both"/>
              <w:rPr>
                <w:rFonts w:cs="Calibri"/>
              </w:rPr>
            </w:pPr>
            <w:r>
              <w:t>Publicatie (voorlopige) omzetcijfers 2018</w:t>
            </w:r>
          </w:p>
        </w:tc>
      </w:tr>
      <w:tr w:rsidR="009A0C1C" w:rsidRPr="009A0C1C" w:rsidTr="009A0C1C">
        <w:trPr>
          <w:trHeight w:val="284"/>
        </w:trPr>
        <w:tc>
          <w:tcPr>
            <w:tcW w:w="3083" w:type="dxa"/>
          </w:tcPr>
          <w:p w:rsidR="009A0C1C" w:rsidRPr="009A0C1C" w:rsidRDefault="009A0C1C" w:rsidP="009A0C1C">
            <w:pPr>
              <w:spacing w:after="0"/>
              <w:jc w:val="both"/>
              <w:rPr>
                <w:rFonts w:cs="Calibri"/>
              </w:rPr>
            </w:pPr>
            <w:r>
              <w:t>14 maart 2019</w:t>
            </w:r>
          </w:p>
        </w:tc>
        <w:tc>
          <w:tcPr>
            <w:tcW w:w="6804" w:type="dxa"/>
          </w:tcPr>
          <w:p w:rsidR="009A0C1C" w:rsidRPr="009A0C1C" w:rsidRDefault="009A0C1C" w:rsidP="009A0C1C">
            <w:pPr>
              <w:spacing w:after="0"/>
              <w:jc w:val="both"/>
              <w:rPr>
                <w:rFonts w:cs="Calibri"/>
              </w:rPr>
            </w:pPr>
            <w:r>
              <w:t>Publicatie (voorlopige) jaarcijfers 2018</w:t>
            </w:r>
          </w:p>
        </w:tc>
      </w:tr>
      <w:tr w:rsidR="009A0C1C" w:rsidRPr="009A0C1C" w:rsidTr="009A0C1C">
        <w:trPr>
          <w:trHeight w:val="284"/>
        </w:trPr>
        <w:tc>
          <w:tcPr>
            <w:tcW w:w="3083" w:type="dxa"/>
          </w:tcPr>
          <w:p w:rsidR="009A0C1C" w:rsidRPr="009A0C1C" w:rsidRDefault="009A0C1C" w:rsidP="009A0C1C">
            <w:pPr>
              <w:spacing w:after="0"/>
              <w:jc w:val="both"/>
              <w:rPr>
                <w:rFonts w:cs="Calibri"/>
              </w:rPr>
            </w:pPr>
            <w:r>
              <w:t>14 maart 2019</w:t>
            </w:r>
          </w:p>
        </w:tc>
        <w:tc>
          <w:tcPr>
            <w:tcW w:w="6804" w:type="dxa"/>
          </w:tcPr>
          <w:p w:rsidR="009A0C1C" w:rsidRPr="009A0C1C" w:rsidRDefault="009A0C1C" w:rsidP="009A0C1C">
            <w:pPr>
              <w:spacing w:after="0"/>
              <w:jc w:val="both"/>
              <w:rPr>
                <w:rFonts w:cs="Calibri"/>
              </w:rPr>
            </w:pPr>
            <w:r>
              <w:t>Conference call voor pers en analisten</w:t>
            </w:r>
          </w:p>
        </w:tc>
      </w:tr>
      <w:tr w:rsidR="009A0C1C" w:rsidRPr="009A0C1C" w:rsidTr="009A0C1C">
        <w:trPr>
          <w:trHeight w:val="284"/>
        </w:trPr>
        <w:tc>
          <w:tcPr>
            <w:tcW w:w="3083" w:type="dxa"/>
          </w:tcPr>
          <w:p w:rsidR="009A0C1C" w:rsidRPr="009A0C1C" w:rsidRDefault="009A0C1C" w:rsidP="009A0C1C">
            <w:pPr>
              <w:spacing w:after="0"/>
              <w:jc w:val="both"/>
              <w:rPr>
                <w:rFonts w:cs="Calibri"/>
              </w:rPr>
            </w:pPr>
            <w:r>
              <w:t>04 april 2019</w:t>
            </w:r>
          </w:p>
        </w:tc>
        <w:tc>
          <w:tcPr>
            <w:tcW w:w="6804" w:type="dxa"/>
          </w:tcPr>
          <w:p w:rsidR="009A0C1C" w:rsidRPr="009A0C1C" w:rsidRDefault="009A0C1C" w:rsidP="009A0C1C">
            <w:pPr>
              <w:spacing w:after="0"/>
              <w:jc w:val="both"/>
              <w:rPr>
                <w:rFonts w:cs="Calibri"/>
              </w:rPr>
            </w:pPr>
            <w:r>
              <w:t>Publicatie jaarverslag 2018</w:t>
            </w:r>
          </w:p>
        </w:tc>
      </w:tr>
      <w:tr w:rsidR="009A0C1C" w:rsidRPr="009A0C1C" w:rsidTr="009A0C1C">
        <w:trPr>
          <w:trHeight w:val="284"/>
        </w:trPr>
        <w:tc>
          <w:tcPr>
            <w:tcW w:w="3083" w:type="dxa"/>
          </w:tcPr>
          <w:p w:rsidR="009A0C1C" w:rsidRPr="009A0C1C" w:rsidRDefault="009A0C1C" w:rsidP="009A0C1C">
            <w:pPr>
              <w:spacing w:after="0"/>
              <w:jc w:val="both"/>
              <w:rPr>
                <w:rFonts w:cs="Calibri"/>
              </w:rPr>
            </w:pPr>
            <w:r>
              <w:t>23 mei 2019</w:t>
            </w:r>
          </w:p>
        </w:tc>
        <w:tc>
          <w:tcPr>
            <w:tcW w:w="6804" w:type="dxa"/>
          </w:tcPr>
          <w:p w:rsidR="009A0C1C" w:rsidRPr="009A0C1C" w:rsidRDefault="009A0C1C" w:rsidP="009A0C1C">
            <w:pPr>
              <w:spacing w:after="0"/>
              <w:jc w:val="both"/>
              <w:rPr>
                <w:rFonts w:cs="Calibri"/>
              </w:rPr>
            </w:pPr>
            <w:r>
              <w:t>Algemene vergadering van aandeelhouders</w:t>
            </w:r>
          </w:p>
        </w:tc>
      </w:tr>
      <w:tr w:rsidR="009A0C1C" w:rsidRPr="009A0C1C" w:rsidTr="009A0C1C">
        <w:trPr>
          <w:trHeight w:val="284"/>
        </w:trPr>
        <w:tc>
          <w:tcPr>
            <w:tcW w:w="3083" w:type="dxa"/>
          </w:tcPr>
          <w:p w:rsidR="009A0C1C" w:rsidRPr="009A0C1C" w:rsidRDefault="009A0C1C" w:rsidP="009A0C1C">
            <w:pPr>
              <w:spacing w:after="0"/>
              <w:jc w:val="both"/>
              <w:rPr>
                <w:rFonts w:cs="Calibri"/>
              </w:rPr>
            </w:pPr>
            <w:r>
              <w:t>24 mei 2019</w:t>
            </w:r>
          </w:p>
        </w:tc>
        <w:tc>
          <w:tcPr>
            <w:tcW w:w="6804" w:type="dxa"/>
          </w:tcPr>
          <w:p w:rsidR="009A0C1C" w:rsidRPr="009A0C1C" w:rsidRDefault="009A0C1C" w:rsidP="009A0C1C">
            <w:pPr>
              <w:spacing w:after="0"/>
              <w:jc w:val="both"/>
              <w:rPr>
                <w:rFonts w:cs="Calibri"/>
              </w:rPr>
            </w:pPr>
            <w:r>
              <w:t>Algemene vergadering van obligatiehouders</w:t>
            </w:r>
          </w:p>
        </w:tc>
      </w:tr>
      <w:tr w:rsidR="009A0C1C" w:rsidRPr="009A0C1C" w:rsidTr="009A0C1C">
        <w:trPr>
          <w:trHeight w:val="284"/>
        </w:trPr>
        <w:tc>
          <w:tcPr>
            <w:tcW w:w="3083" w:type="dxa"/>
          </w:tcPr>
          <w:p w:rsidR="009A0C1C" w:rsidRPr="009A0C1C" w:rsidRDefault="009A0C1C" w:rsidP="009A0C1C">
            <w:pPr>
              <w:spacing w:after="0"/>
              <w:jc w:val="both"/>
              <w:rPr>
                <w:rFonts w:cs="Calibri"/>
              </w:rPr>
            </w:pPr>
            <w:r>
              <w:t>04 juli 2019</w:t>
            </w:r>
          </w:p>
        </w:tc>
        <w:tc>
          <w:tcPr>
            <w:tcW w:w="6804" w:type="dxa"/>
          </w:tcPr>
          <w:p w:rsidR="009A0C1C" w:rsidRPr="009A0C1C" w:rsidRDefault="009A0C1C" w:rsidP="009A0C1C">
            <w:pPr>
              <w:spacing w:after="0"/>
              <w:jc w:val="both"/>
              <w:rPr>
                <w:rFonts w:cs="Calibri"/>
              </w:rPr>
            </w:pPr>
            <w:r>
              <w:t>Publicatie omzetcijfers eerste halfjaar 2019</w:t>
            </w:r>
          </w:p>
        </w:tc>
      </w:tr>
      <w:tr w:rsidR="009A0C1C" w:rsidRPr="009A0C1C" w:rsidTr="009A0C1C">
        <w:trPr>
          <w:trHeight w:val="287"/>
        </w:trPr>
        <w:tc>
          <w:tcPr>
            <w:tcW w:w="3083" w:type="dxa"/>
          </w:tcPr>
          <w:p w:rsidR="009A0C1C" w:rsidRPr="009A0C1C" w:rsidRDefault="009A0C1C" w:rsidP="009A0C1C">
            <w:pPr>
              <w:spacing w:after="0"/>
              <w:jc w:val="both"/>
              <w:rPr>
                <w:rFonts w:cs="Calibri"/>
              </w:rPr>
            </w:pPr>
            <w:r>
              <w:t>01 augustus 2019</w:t>
            </w:r>
          </w:p>
        </w:tc>
        <w:tc>
          <w:tcPr>
            <w:tcW w:w="6804" w:type="dxa"/>
          </w:tcPr>
          <w:p w:rsidR="009A0C1C" w:rsidRPr="009A0C1C" w:rsidRDefault="009A0C1C" w:rsidP="009A0C1C">
            <w:pPr>
              <w:spacing w:after="0"/>
              <w:jc w:val="both"/>
              <w:rPr>
                <w:rFonts w:cs="Calibri"/>
              </w:rPr>
            </w:pPr>
            <w:r>
              <w:t>Publicatie halfjaarbericht 2019</w:t>
            </w:r>
          </w:p>
        </w:tc>
      </w:tr>
      <w:tr w:rsidR="009A0C1C" w:rsidRPr="009A0C1C" w:rsidTr="009A0C1C">
        <w:trPr>
          <w:trHeight w:val="292"/>
        </w:trPr>
        <w:tc>
          <w:tcPr>
            <w:tcW w:w="3083" w:type="dxa"/>
          </w:tcPr>
          <w:p w:rsidR="009A0C1C" w:rsidRPr="009A0C1C" w:rsidRDefault="009A0C1C" w:rsidP="009A0C1C">
            <w:pPr>
              <w:spacing w:after="0"/>
              <w:jc w:val="both"/>
              <w:rPr>
                <w:rFonts w:cs="Calibri"/>
              </w:rPr>
            </w:pPr>
            <w:r>
              <w:t>01 augustus 2019</w:t>
            </w:r>
          </w:p>
        </w:tc>
        <w:tc>
          <w:tcPr>
            <w:tcW w:w="6804" w:type="dxa"/>
          </w:tcPr>
          <w:p w:rsidR="009A0C1C" w:rsidRPr="009A0C1C" w:rsidRDefault="009A0C1C" w:rsidP="009A0C1C">
            <w:pPr>
              <w:spacing w:after="0"/>
              <w:jc w:val="both"/>
              <w:rPr>
                <w:rFonts w:cs="Calibri"/>
              </w:rPr>
            </w:pPr>
            <w:r>
              <w:t>Conference call voor pers en analisten</w:t>
            </w:r>
          </w:p>
        </w:tc>
      </w:tr>
    </w:tbl>
    <w:p w:rsidR="00016C99" w:rsidRPr="00057395" w:rsidRDefault="00016C99" w:rsidP="00057395">
      <w:pPr>
        <w:jc w:val="both"/>
      </w:pPr>
    </w:p>
    <w:p w:rsidR="009A0C1C" w:rsidRPr="005762AB" w:rsidRDefault="009A0C1C" w:rsidP="009A0C1C">
      <w:pPr>
        <w:rPr>
          <w:rFonts w:asciiTheme="minorHAnsi" w:hAnsiTheme="minorHAnsi" w:cstheme="minorHAnsi"/>
          <w:b/>
          <w:color w:val="B71234"/>
        </w:rPr>
      </w:pPr>
      <w:r>
        <w:rPr>
          <w:rFonts w:asciiTheme="minorHAnsi" w:hAnsiTheme="minorHAnsi"/>
          <w:b/>
          <w:color w:val="B71234"/>
        </w:rPr>
        <w:t>Over RoodMicrotec</w:t>
      </w:r>
    </w:p>
    <w:p w:rsidR="009A0C1C" w:rsidRPr="00AA1FD7" w:rsidRDefault="009A0C1C" w:rsidP="009A0C1C">
      <w:pPr>
        <w:ind w:right="142"/>
        <w:jc w:val="both"/>
        <w:rPr>
          <w:szCs w:val="20"/>
        </w:rPr>
      </w:pPr>
      <w:r>
        <w:t xml:space="preserve">Met meer dan 45 jaar ervaring als een onafhankelijke value-added dienstverlener op het gebied  van micro- en optoelectronica biedt </w:t>
      </w:r>
      <w:r>
        <w:rPr>
          <w:color w:val="BA0C2F"/>
          <w:szCs w:val="20"/>
        </w:rPr>
        <w:t>Rood</w:t>
      </w:r>
      <w:r>
        <w:t xml:space="preserve">Microtec Fabless Companies, OEM's en andere ondernemingen een one-stop shop propositie. Met haar powerful solutions heeft </w:t>
      </w:r>
      <w:r>
        <w:rPr>
          <w:color w:val="BA0C2F"/>
          <w:szCs w:val="20"/>
        </w:rPr>
        <w:t>Rood</w:t>
      </w:r>
      <w:r>
        <w:t>Microtec een sterke positie in Europa opgebouwd.</w:t>
      </w:r>
    </w:p>
    <w:p w:rsidR="009A0C1C" w:rsidRPr="00AA1FD7" w:rsidRDefault="009A0C1C" w:rsidP="009A0C1C">
      <w:pPr>
        <w:ind w:right="142"/>
        <w:jc w:val="both"/>
        <w:rPr>
          <w:szCs w:val="20"/>
        </w:rPr>
      </w:pPr>
      <w:r>
        <w:t>Onze diensten voldoen aan de industriële en kwaliteitseisen van de high-reliability/ruimtevaart, automobiel-, telecommunicatie-, medische-, IT- and elektronicasectoren.</w:t>
      </w:r>
    </w:p>
    <w:p w:rsidR="009A0C1C" w:rsidRPr="00AA1FD7" w:rsidRDefault="009A0C1C" w:rsidP="009A0C1C">
      <w:pPr>
        <w:ind w:right="142"/>
        <w:jc w:val="both"/>
        <w:rPr>
          <w:szCs w:val="20"/>
        </w:rPr>
      </w:pPr>
      <w:r>
        <w:t>Ons geïntegreerde kwaliteitsmanagementsysteem is gebaseerd op internationale DIN EN ISO 9001:2015 normen. Ons kwaliteitsmanagement is tevens in grote lijnen in overeenstemming met de Automobielspecificatie ISO/TS 16949. De onderneming heeft ook een geaccrediteerd laboratorium voor testactiviteiten en kwalificatie volgens de ISO/IEC 17025 norm.</w:t>
      </w:r>
    </w:p>
    <w:p w:rsidR="009A0C1C" w:rsidRPr="00B1709C" w:rsidRDefault="009A0C1C" w:rsidP="009A0C1C">
      <w:pPr>
        <w:ind w:right="142"/>
        <w:jc w:val="both"/>
        <w:rPr>
          <w:szCs w:val="20"/>
          <w:lang w:val="en-US"/>
        </w:rPr>
      </w:pPr>
      <w:r w:rsidRPr="00B1709C">
        <w:rPr>
          <w:lang w:val="en-US"/>
        </w:rPr>
        <w:t xml:space="preserve">De value-added </w:t>
      </w:r>
      <w:proofErr w:type="spellStart"/>
      <w:r w:rsidRPr="00B1709C">
        <w:rPr>
          <w:lang w:val="en-US"/>
        </w:rPr>
        <w:t>diensten</w:t>
      </w:r>
      <w:proofErr w:type="spellEnd"/>
      <w:r w:rsidRPr="00B1709C">
        <w:rPr>
          <w:lang w:val="en-US"/>
        </w:rPr>
        <w:t xml:space="preserve"> </w:t>
      </w:r>
      <w:proofErr w:type="spellStart"/>
      <w:r w:rsidRPr="00B1709C">
        <w:rPr>
          <w:lang w:val="en-US"/>
        </w:rPr>
        <w:t>omvatten</w:t>
      </w:r>
      <w:proofErr w:type="spellEnd"/>
      <w:r w:rsidRPr="00B1709C">
        <w:rPr>
          <w:lang w:val="en-US"/>
        </w:rPr>
        <w:t xml:space="preserve"> </w:t>
      </w:r>
      <w:proofErr w:type="spellStart"/>
      <w:r w:rsidRPr="00B1709C">
        <w:rPr>
          <w:lang w:val="en-US"/>
        </w:rPr>
        <w:t>onder</w:t>
      </w:r>
      <w:proofErr w:type="spellEnd"/>
      <w:r w:rsidRPr="00B1709C">
        <w:rPr>
          <w:lang w:val="en-US"/>
        </w:rPr>
        <w:t xml:space="preserve"> </w:t>
      </w:r>
      <w:proofErr w:type="spellStart"/>
      <w:r w:rsidRPr="00B1709C">
        <w:rPr>
          <w:lang w:val="en-US"/>
        </w:rPr>
        <w:t>meer</w:t>
      </w:r>
      <w:proofErr w:type="spellEnd"/>
      <w:r w:rsidRPr="00B1709C">
        <w:rPr>
          <w:lang w:val="en-US"/>
        </w:rPr>
        <w:t xml:space="preserve"> (</w:t>
      </w:r>
      <w:proofErr w:type="spellStart"/>
      <w:r w:rsidRPr="00B1709C">
        <w:rPr>
          <w:lang w:val="en-US"/>
        </w:rPr>
        <w:t>e</w:t>
      </w:r>
      <w:r w:rsidRPr="00B1709C">
        <w:rPr>
          <w:color w:val="C00000"/>
          <w:szCs w:val="20"/>
          <w:lang w:val="en-US"/>
        </w:rPr>
        <w:t>X</w:t>
      </w:r>
      <w:r w:rsidRPr="00B1709C">
        <w:rPr>
          <w:lang w:val="en-US"/>
        </w:rPr>
        <w:t>tended</w:t>
      </w:r>
      <w:proofErr w:type="spellEnd"/>
      <w:r w:rsidRPr="00B1709C">
        <w:rPr>
          <w:lang w:val="en-US"/>
        </w:rPr>
        <w:t xml:space="preserve">) Supply Chain Management en Total Manufacturing Solutions in </w:t>
      </w:r>
      <w:proofErr w:type="spellStart"/>
      <w:r w:rsidRPr="00B1709C">
        <w:rPr>
          <w:lang w:val="en-US"/>
        </w:rPr>
        <w:t>samenwerking</w:t>
      </w:r>
      <w:proofErr w:type="spellEnd"/>
      <w:r w:rsidRPr="00B1709C">
        <w:rPr>
          <w:lang w:val="en-US"/>
        </w:rPr>
        <w:t xml:space="preserve"> met </w:t>
      </w:r>
      <w:proofErr w:type="spellStart"/>
      <w:r w:rsidRPr="00B1709C">
        <w:rPr>
          <w:lang w:val="en-US"/>
        </w:rPr>
        <w:t>onze</w:t>
      </w:r>
      <w:proofErr w:type="spellEnd"/>
      <w:r w:rsidRPr="00B1709C">
        <w:rPr>
          <w:lang w:val="en-US"/>
        </w:rPr>
        <w:t xml:space="preserve"> partners, failure &amp; technology analysis, qualification &amp; burn-in, test- &amp; product engineering, production test (</w:t>
      </w:r>
      <w:proofErr w:type="spellStart"/>
      <w:r w:rsidRPr="00B1709C">
        <w:rPr>
          <w:lang w:val="en-US"/>
        </w:rPr>
        <w:t>inclusief</w:t>
      </w:r>
      <w:proofErr w:type="spellEnd"/>
      <w:r w:rsidRPr="00B1709C">
        <w:rPr>
          <w:lang w:val="en-US"/>
        </w:rPr>
        <w:t xml:space="preserve"> device programming en end-of-line service), ESD/ESDFOS assessment &amp; training, and quality &amp; reliability consulting.</w:t>
      </w:r>
    </w:p>
    <w:p w:rsidR="009A0C1C" w:rsidRDefault="009A0C1C" w:rsidP="009A0C1C">
      <w:pPr>
        <w:ind w:right="142"/>
        <w:jc w:val="both"/>
      </w:pPr>
      <w:r>
        <w:rPr>
          <w:color w:val="BA0C2F"/>
          <w:szCs w:val="20"/>
        </w:rPr>
        <w:t>Rood</w:t>
      </w:r>
      <w:r>
        <w:t>Microtec heeft vestigingen in Duitsland (Dresden, Nördlingen, Stuttgart), in het Verenigd Koninkrijk (Bath) en in Nederland (Zwolle).</w:t>
      </w:r>
    </w:p>
    <w:p w:rsidR="009A0C1C" w:rsidRPr="00AA1FD7" w:rsidRDefault="009A0C1C" w:rsidP="009A0C1C">
      <w:pPr>
        <w:ind w:right="142"/>
        <w:jc w:val="both"/>
        <w:rPr>
          <w:szCs w:val="20"/>
        </w:rPr>
      </w:pPr>
      <w:r>
        <w:t xml:space="preserve">Voor meer informatie visit: </w:t>
      </w:r>
      <w:hyperlink r:id="rId8" w:history="1">
        <w:r>
          <w:rPr>
            <w:rStyle w:val="Hyperlink"/>
          </w:rPr>
          <w:t>http://www.roodmicrotec.com</w:t>
        </w:r>
      </w:hyperlink>
      <w:r>
        <w:t xml:space="preserve"> </w:t>
      </w:r>
    </w:p>
    <w:p w:rsidR="009A0C1C" w:rsidRPr="00A94FEA" w:rsidRDefault="009A0C1C" w:rsidP="009A0C1C">
      <w:pPr>
        <w:spacing w:after="0"/>
        <w:jc w:val="both"/>
      </w:pPr>
    </w:p>
    <w:p w:rsidR="009A0C1C" w:rsidRPr="00AA1FD7" w:rsidRDefault="009A0C1C" w:rsidP="009A0C1C">
      <w:pPr>
        <w:jc w:val="both"/>
        <w:rPr>
          <w:rFonts w:asciiTheme="minorHAnsi" w:hAnsiTheme="minorHAnsi" w:cstheme="minorHAnsi"/>
          <w:b/>
          <w:color w:val="B71234"/>
          <w:szCs w:val="20"/>
        </w:rPr>
      </w:pPr>
      <w:r>
        <w:rPr>
          <w:rFonts w:asciiTheme="minorHAnsi" w:hAnsiTheme="minorHAnsi"/>
          <w:b/>
          <w:color w:val="B71234"/>
          <w:szCs w:val="20"/>
        </w:rPr>
        <w:t>Voor nadere informatie</w:t>
      </w:r>
    </w:p>
    <w:p w:rsidR="009A0C1C" w:rsidRPr="00AA1FD7" w:rsidRDefault="009A0C1C" w:rsidP="009A0C1C">
      <w:pPr>
        <w:spacing w:after="0"/>
        <w:jc w:val="both"/>
        <w:rPr>
          <w:rFonts w:asciiTheme="minorHAnsi" w:hAnsiTheme="minorHAnsi" w:cstheme="minorHAnsi"/>
          <w:szCs w:val="20"/>
        </w:rPr>
      </w:pPr>
      <w:r>
        <w:rPr>
          <w:rFonts w:asciiTheme="minorHAnsi" w:hAnsiTheme="minorHAnsi"/>
          <w:szCs w:val="20"/>
        </w:rPr>
        <w:t>Martin Sallenhag – CEO, Reinhard Pusch – COO, Arvid Ladega - CFO</w:t>
      </w:r>
    </w:p>
    <w:p w:rsidR="009A0C1C" w:rsidRPr="00EF5F3C" w:rsidRDefault="009A0C1C" w:rsidP="009A0C1C">
      <w:pPr>
        <w:tabs>
          <w:tab w:val="left" w:pos="2694"/>
          <w:tab w:val="left" w:pos="6663"/>
        </w:tabs>
        <w:spacing w:after="0"/>
        <w:jc w:val="both"/>
        <w:rPr>
          <w:rFonts w:asciiTheme="minorHAnsi" w:eastAsia="MS Mincho" w:hAnsiTheme="minorHAnsi" w:cstheme="minorHAnsi"/>
          <w:szCs w:val="20"/>
        </w:rPr>
      </w:pPr>
      <w:r>
        <w:rPr>
          <w:rFonts w:asciiTheme="minorHAnsi" w:hAnsiTheme="minorHAnsi"/>
          <w:szCs w:val="20"/>
        </w:rPr>
        <w:t>Telefoon: +31 38 4215216</w:t>
      </w:r>
      <w:r>
        <w:rPr>
          <w:rFonts w:asciiTheme="minorHAnsi" w:hAnsiTheme="minorHAnsi"/>
          <w:szCs w:val="20"/>
        </w:rPr>
        <w:tab/>
        <w:t xml:space="preserve">E-mail: </w:t>
      </w:r>
      <w:hyperlink r:id="rId9" w:history="1">
        <w:r>
          <w:rPr>
            <w:rStyle w:val="Hyperlink"/>
            <w:rFonts w:asciiTheme="minorHAnsi" w:hAnsiTheme="minorHAnsi"/>
            <w:szCs w:val="20"/>
          </w:rPr>
          <w:t>investor-relations@roodmicrotec.com</w:t>
        </w:r>
      </w:hyperlink>
      <w:r>
        <w:tab/>
      </w:r>
      <w:r>
        <w:rPr>
          <w:rFonts w:asciiTheme="minorHAnsi" w:hAnsiTheme="minorHAnsi"/>
          <w:szCs w:val="20"/>
        </w:rPr>
        <w:t>Web:</w:t>
      </w:r>
      <w:r>
        <w:rPr>
          <w:rFonts w:asciiTheme="minorHAnsi" w:hAnsiTheme="minorHAnsi"/>
          <w:szCs w:val="20"/>
        </w:rPr>
        <w:tab/>
      </w:r>
      <w:hyperlink r:id="rId10" w:history="1">
        <w:r>
          <w:rPr>
            <w:rStyle w:val="Hyperlink"/>
            <w:rFonts w:asciiTheme="minorHAnsi" w:hAnsiTheme="minorHAnsi"/>
            <w:szCs w:val="20"/>
          </w:rPr>
          <w:t>www.roodmicrotec.com</w:t>
        </w:r>
      </w:hyperlink>
      <w:r>
        <w:rPr>
          <w:rFonts w:asciiTheme="minorHAnsi" w:hAnsiTheme="minorHAnsi"/>
          <w:szCs w:val="20"/>
        </w:rPr>
        <w:t xml:space="preserve"> </w:t>
      </w:r>
    </w:p>
    <w:p w:rsidR="009A0C1C" w:rsidRPr="00A94FEA" w:rsidRDefault="009A0C1C" w:rsidP="009A0C1C">
      <w:pPr>
        <w:spacing w:after="0"/>
        <w:jc w:val="both"/>
      </w:pPr>
    </w:p>
    <w:p w:rsidR="009A0C1C" w:rsidRDefault="009A0C1C" w:rsidP="007A2C9A">
      <w:pPr>
        <w:spacing w:after="0"/>
        <w:ind w:right="142"/>
        <w:jc w:val="both"/>
        <w:rPr>
          <w:i/>
          <w:sz w:val="18"/>
          <w:szCs w:val="18"/>
        </w:rPr>
      </w:pPr>
      <w:r>
        <w:rPr>
          <w:i/>
          <w:sz w:val="18"/>
          <w:szCs w:val="18"/>
        </w:rPr>
        <w:t>Dit persbericht is gepubliceerd in het Engels, Nederlands en Duits.. In gevallen van tegenstrijdigheid tussen deze versies prevaleert de Engelse versie.</w:t>
      </w:r>
    </w:p>
    <w:p w:rsidR="009A0C1C" w:rsidRPr="00A94FEA" w:rsidRDefault="009A0C1C" w:rsidP="007A2C9A">
      <w:pPr>
        <w:spacing w:after="0"/>
        <w:ind w:right="142"/>
        <w:jc w:val="both"/>
        <w:rPr>
          <w:rFonts w:asciiTheme="minorHAnsi" w:eastAsia="Times New Roman" w:hAnsiTheme="minorHAnsi" w:cstheme="minorHAnsi"/>
          <w:b/>
          <w:sz w:val="18"/>
          <w:szCs w:val="18"/>
        </w:rPr>
      </w:pPr>
      <w:r>
        <w:rPr>
          <w:i/>
          <w:sz w:val="18"/>
          <w:szCs w:val="18"/>
        </w:rPr>
        <w:t xml:space="preserve">Deze mededeling bevat informatie die geldt  als voorwetenschap in de zin van artikel 7, lid 1, van de EU-verordening inzake marktmisbruik. De gedelegeerd bestuurder en CEO van het bedrijf, Martin Sallenhag, is verantwoordelijk voor het regelen van de publicatie van dit document namens </w:t>
      </w:r>
      <w:r>
        <w:rPr>
          <w:i/>
          <w:color w:val="BA0C2F"/>
          <w:sz w:val="18"/>
          <w:szCs w:val="18"/>
        </w:rPr>
        <w:t>Rood</w:t>
      </w:r>
      <w:r>
        <w:rPr>
          <w:i/>
          <w:sz w:val="18"/>
          <w:szCs w:val="18"/>
        </w:rPr>
        <w:t>Microtec.</w:t>
      </w:r>
    </w:p>
    <w:sectPr w:rsidR="009A0C1C" w:rsidRPr="00A94FEA" w:rsidSect="00FB7A27">
      <w:footerReference w:type="default" r:id="rId11"/>
      <w:headerReference w:type="first" r:id="rId12"/>
      <w:footerReference w:type="first" r:id="rId13"/>
      <w:pgSz w:w="11906" w:h="16838" w:code="9"/>
      <w:pgMar w:top="568" w:right="566" w:bottom="454" w:left="993"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706" w:rsidRDefault="00355706" w:rsidP="00487DE4">
      <w:pPr>
        <w:spacing w:after="0" w:line="240" w:lineRule="auto"/>
      </w:pPr>
      <w:r>
        <w:separator/>
      </w:r>
    </w:p>
  </w:endnote>
  <w:endnote w:type="continuationSeparator" w:id="0">
    <w:p w:rsidR="00355706" w:rsidRDefault="00355706"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F3B" w:rsidRDefault="000C57FE" w:rsidP="00B50948">
    <w:pPr>
      <w:pStyle w:val="Fuzeile"/>
      <w:tabs>
        <w:tab w:val="clear" w:pos="9072"/>
      </w:tabs>
      <w:ind w:left="-284"/>
    </w:pPr>
    <w:r w:rsidRPr="000C57FE">
      <w:pict>
        <v:shapetype id="_x0000_t202" coordsize="21600,21600" o:spt="202" path="m,l,21600r21600,l21600,xe">
          <v:stroke joinstyle="miter"/>
          <v:path gradientshapeok="t" o:connecttype="rect"/>
        </v:shapetype>
        <v:shape id="Text Box 7" o:spid="_x0000_s4101" type="#_x0000_t202" style="position:absolute;left:0;text-align:left;margin-left:-10.4pt;margin-top:2.5pt;width:556.25pt;height:17.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VbrwIAAKk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" filled="f" stroked="f">
          <v:textbox inset="0,0,0,0">
            <w:txbxContent>
              <w:p w:rsidR="00C75F3B" w:rsidRPr="009A0C1C" w:rsidRDefault="00C75F3B" w:rsidP="00B50948">
                <w:pPr>
                  <w:tabs>
                    <w:tab w:val="center" w:pos="5387"/>
                    <w:tab w:val="right" w:pos="10625"/>
                  </w:tabs>
                  <w:ind w:left="284" w:right="-47"/>
                  <w:rPr>
                    <w:color w:val="FFFFFF"/>
                  </w:rPr>
                </w:pPr>
                <w:r>
                  <w:rPr>
                    <w:color w:val="FFFFFF"/>
                  </w:rPr>
                  <w:t>RoodMicrotec – halfjaarbericht 2018</w:t>
                </w:r>
                <w:r>
                  <w:rPr>
                    <w:color w:val="FFFFFF"/>
                  </w:rPr>
                  <w:tab/>
                </w:r>
                <w:r w:rsidR="000C57FE" w:rsidRPr="00B50948">
                  <w:rPr>
                    <w:color w:val="FFFFFF"/>
                  </w:rPr>
                  <w:fldChar w:fldCharType="begin"/>
                </w:r>
                <w:r w:rsidRPr="009A0C1C">
                  <w:rPr>
                    <w:color w:val="FFFFFF"/>
                  </w:rPr>
                  <w:instrText xml:space="preserve"> PAGE   \* MERGEFORMAT </w:instrText>
                </w:r>
                <w:r w:rsidR="000C57FE" w:rsidRPr="00B50948">
                  <w:rPr>
                    <w:color w:val="FFFFFF"/>
                  </w:rPr>
                  <w:fldChar w:fldCharType="separate"/>
                </w:r>
                <w:r w:rsidR="00586CE7">
                  <w:rPr>
                    <w:noProof/>
                    <w:color w:val="FFFFFF"/>
                  </w:rPr>
                  <w:t>2</w:t>
                </w:r>
                <w:r w:rsidR="000C57FE" w:rsidRPr="00B50948">
                  <w:rPr>
                    <w:color w:val="FFFFFF"/>
                  </w:rPr>
                  <w:fldChar w:fldCharType="end"/>
                </w:r>
                <w:r>
                  <w:rPr>
                    <w:color w:val="FFFFFF"/>
                  </w:rPr>
                  <w:tab/>
                  <w:t>RoodMicrotec Press Release</w:t>
                </w:r>
              </w:p>
              <w:p w:rsidR="00C75F3B" w:rsidRPr="009A0C1C" w:rsidRDefault="00C75F3B" w:rsidP="00B50948">
                <w:pPr>
                  <w:tabs>
                    <w:tab w:val="center" w:pos="5387"/>
                  </w:tabs>
                  <w:ind w:left="284"/>
                </w:pPr>
              </w:p>
            </w:txbxContent>
          </v:textbox>
        </v:shape>
      </w:pict>
    </w:r>
    <w:r w:rsidR="00D77F35">
      <w:rPr>
        <w:noProof/>
        <w:lang w:val="de-DE"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solidFill>
                    <a:srgbClr val="BA0C2F"/>
                  </a:solid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F3B" w:rsidRDefault="000C57FE" w:rsidP="00B1173A">
    <w:pPr>
      <w:pStyle w:val="Fuzeile"/>
      <w:tabs>
        <w:tab w:val="clear" w:pos="9072"/>
        <w:tab w:val="right" w:pos="10348"/>
      </w:tabs>
      <w:ind w:left="-284"/>
    </w:pPr>
    <w:r w:rsidRPr="000C57FE">
      <w:pict>
        <v:shapetype id="_x0000_t202" coordsize="21600,21600" o:spt="202" path="m,l,21600r21600,l21600,xe">
          <v:stroke joinstyle="miter"/>
          <v:path gradientshapeok="t" o:connecttype="rect"/>
        </v:shapetype>
        <v:shape id="Text Box 3" o:spid="_x0000_s4097" type="#_x0000_t202" style="position:absolute;left:0;text-align:left;margin-left:-6.55pt;margin-top:-5.45pt;width:512.25pt;height:14.1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" filled="f" stroked="f">
          <v:textbox inset="0,0,0,0">
            <w:txbxContent>
              <w:p w:rsidR="00C75F3B" w:rsidRPr="009D767A" w:rsidRDefault="00C75F3B" w:rsidP="00FB7A27">
                <w:pPr>
                  <w:tabs>
                    <w:tab w:val="center" w:pos="5103"/>
                    <w:tab w:val="right" w:pos="10348"/>
                  </w:tabs>
                  <w:ind w:right="-63"/>
                  <w:rPr>
                    <w:color w:val="FFFFFF"/>
                  </w:rPr>
                </w:pPr>
                <w:r>
                  <w:rPr>
                    <w:color w:val="FFFFFF"/>
                  </w:rPr>
                  <w:t>RoodM</w:t>
                </w:r>
                <w:r w:rsidR="00382750">
                  <w:rPr>
                    <w:color w:val="FFFFFF"/>
                  </w:rPr>
                  <w:t>icrotec – halfjaarbericht 2018</w:t>
                </w:r>
                <w:r>
                  <w:rPr>
                    <w:color w:val="FFFFFF"/>
                  </w:rPr>
                  <w:tab/>
                  <w:t>1</w:t>
                </w:r>
                <w:r>
                  <w:rPr>
                    <w:color w:val="FFFFFF"/>
                  </w:rPr>
                  <w:tab/>
                  <w:t>RoodMicrotec Press Releases</w:t>
                </w:r>
              </w:p>
              <w:p w:rsidR="00C75F3B" w:rsidRPr="00F33608" w:rsidRDefault="00C75F3B" w:rsidP="00657E90">
                <w:pPr>
                  <w:ind w:right="-205"/>
                </w:pPr>
              </w:p>
            </w:txbxContent>
          </v:textbox>
        </v:shape>
      </w:pict>
    </w:r>
    <w:r w:rsidR="00D77F35">
      <w:rPr>
        <w:noProof/>
        <w:lang w:val="de-DE" w:eastAsia="de-DE"/>
      </w:rPr>
      <w:drawing>
        <wp:anchor distT="0" distB="0" distL="114300" distR="114300" simplePos="0" relativeHeight="251667456" behindDoc="1" locked="0" layoutInCell="1" allowOverlap="1">
          <wp:simplePos x="0" y="0"/>
          <wp:positionH relativeFrom="column">
            <wp:posOffset>-346075</wp:posOffset>
          </wp:positionH>
          <wp:positionV relativeFrom="paragraph">
            <wp:posOffset>-81915</wp:posOffset>
          </wp:positionV>
          <wp:extent cx="7051040" cy="254635"/>
          <wp:effectExtent l="19050" t="0" r="0" b="0"/>
          <wp:wrapTight wrapText="bothSides">
            <wp:wrapPolygon edited="0">
              <wp:start x="-58" y="0"/>
              <wp:lineTo x="-58" y="19392"/>
              <wp:lineTo x="21592" y="19392"/>
              <wp:lineTo x="21592" y="0"/>
              <wp:lineTo x="-58" y="0"/>
            </wp:wrapPolygon>
          </wp:wrapTight>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51040" cy="254635"/>
                  </a:xfrm>
                  <a:prstGeom prst="rect">
                    <a:avLst/>
                  </a:prstGeom>
                  <a:solidFill>
                    <a:srgbClr val="BA0C2F"/>
                  </a:solid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706" w:rsidRDefault="00355706" w:rsidP="00487DE4">
      <w:pPr>
        <w:spacing w:after="0" w:line="240" w:lineRule="auto"/>
      </w:pPr>
      <w:r>
        <w:separator/>
      </w:r>
    </w:p>
  </w:footnote>
  <w:footnote w:type="continuationSeparator" w:id="0">
    <w:p w:rsidR="00355706" w:rsidRDefault="00355706"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F3B" w:rsidRDefault="000C57FE" w:rsidP="003279A8">
    <w:pPr>
      <w:pStyle w:val="Kopfzeile"/>
    </w:pPr>
    <w:r w:rsidRPr="000C57FE">
      <w:pict>
        <v:shapetype id="_x0000_t202" coordsize="21600,21600" o:spt="202" path="m,l,21600r21600,l21600,xe">
          <v:stroke joinstyle="miter"/>
          <v:path gradientshapeok="t" o:connecttype="rect"/>
        </v:shapetype>
        <v:shape id="Text Box 11" o:spid="_x0000_s4100" type="#_x0000_t202" style="position:absolute;margin-left:-7.85pt;margin-top:-164.65pt;width:238.3pt;height:114.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rsidR="00C75F3B" w:rsidRPr="00B1709C" w:rsidRDefault="00C75F3B" w:rsidP="006A787C">
                <w:pPr>
                  <w:spacing w:after="0" w:line="240" w:lineRule="auto"/>
                  <w:rPr>
                    <w:sz w:val="18"/>
                    <w:szCs w:val="18"/>
                    <w:lang w:val="en-US"/>
                  </w:rPr>
                </w:pPr>
                <w:r w:rsidRPr="00B1709C">
                  <w:rPr>
                    <w:sz w:val="18"/>
                    <w:szCs w:val="18"/>
                    <w:lang w:val="en-US"/>
                  </w:rPr>
                  <w:t xml:space="preserve">Martin </w:t>
                </w:r>
                <w:proofErr w:type="spellStart"/>
                <w:r w:rsidRPr="00B1709C">
                  <w:rPr>
                    <w:sz w:val="18"/>
                    <w:szCs w:val="18"/>
                    <w:lang w:val="en-US"/>
                  </w:rPr>
                  <w:t>Sallenhag</w:t>
                </w:r>
                <w:proofErr w:type="spellEnd"/>
                <w:r w:rsidRPr="00B1709C">
                  <w:rPr>
                    <w:sz w:val="18"/>
                    <w:szCs w:val="18"/>
                    <w:lang w:val="en-US"/>
                  </w:rPr>
                  <w:t>, CEO</w:t>
                </w:r>
              </w:p>
              <w:p w:rsidR="00C75F3B" w:rsidRPr="00B1709C" w:rsidRDefault="00C75F3B" w:rsidP="006A787C">
                <w:pPr>
                  <w:spacing w:after="0" w:line="240" w:lineRule="auto"/>
                  <w:rPr>
                    <w:sz w:val="18"/>
                    <w:szCs w:val="18"/>
                    <w:lang w:val="en-US"/>
                  </w:rPr>
                </w:pPr>
                <w:proofErr w:type="spellStart"/>
                <w:r w:rsidRPr="00B1709C">
                  <w:rPr>
                    <w:sz w:val="18"/>
                    <w:szCs w:val="18"/>
                    <w:lang w:val="en-US"/>
                  </w:rPr>
                  <w:t>Reinhard</w:t>
                </w:r>
                <w:proofErr w:type="spellEnd"/>
                <w:r w:rsidRPr="00B1709C">
                  <w:rPr>
                    <w:sz w:val="18"/>
                    <w:szCs w:val="18"/>
                    <w:lang w:val="en-US"/>
                  </w:rPr>
                  <w:t xml:space="preserve"> </w:t>
                </w:r>
                <w:proofErr w:type="spellStart"/>
                <w:r w:rsidRPr="00B1709C">
                  <w:rPr>
                    <w:sz w:val="18"/>
                    <w:szCs w:val="18"/>
                    <w:lang w:val="en-US"/>
                  </w:rPr>
                  <w:t>Pusch</w:t>
                </w:r>
                <w:proofErr w:type="spellEnd"/>
                <w:r w:rsidRPr="00B1709C">
                  <w:rPr>
                    <w:sz w:val="18"/>
                    <w:szCs w:val="18"/>
                    <w:lang w:val="en-US"/>
                  </w:rPr>
                  <w:t>, COO</w:t>
                </w:r>
              </w:p>
              <w:p w:rsidR="00C75F3B" w:rsidRPr="007A2C9A" w:rsidRDefault="00C75F3B" w:rsidP="006A787C">
                <w:pPr>
                  <w:spacing w:after="0" w:line="240" w:lineRule="auto"/>
                  <w:rPr>
                    <w:sz w:val="18"/>
                    <w:szCs w:val="18"/>
                    <w:lang w:val="en-GB"/>
                  </w:rPr>
                </w:pPr>
                <w:proofErr w:type="spellStart"/>
                <w:r w:rsidRPr="007A2C9A">
                  <w:rPr>
                    <w:sz w:val="18"/>
                    <w:szCs w:val="18"/>
                    <w:lang w:val="en-GB"/>
                  </w:rPr>
                  <w:t>Arvid</w:t>
                </w:r>
                <w:proofErr w:type="spellEnd"/>
                <w:r w:rsidRPr="007A2C9A">
                  <w:rPr>
                    <w:sz w:val="18"/>
                    <w:szCs w:val="18"/>
                    <w:lang w:val="en-GB"/>
                  </w:rPr>
                  <w:t xml:space="preserve"> </w:t>
                </w:r>
                <w:proofErr w:type="spellStart"/>
                <w:r w:rsidRPr="007A2C9A">
                  <w:rPr>
                    <w:sz w:val="18"/>
                    <w:szCs w:val="18"/>
                    <w:lang w:val="en-GB"/>
                  </w:rPr>
                  <w:t>Ladega</w:t>
                </w:r>
                <w:proofErr w:type="spellEnd"/>
                <w:r w:rsidRPr="007A2C9A">
                  <w:rPr>
                    <w:sz w:val="18"/>
                    <w:szCs w:val="18"/>
                    <w:lang w:val="en-GB"/>
                  </w:rPr>
                  <w:t>, CFO</w:t>
                </w:r>
              </w:p>
              <w:p w:rsidR="00C75F3B" w:rsidRPr="007A2C9A" w:rsidRDefault="00C75F3B" w:rsidP="006A787C">
                <w:pPr>
                  <w:spacing w:after="0" w:line="240" w:lineRule="auto"/>
                  <w:rPr>
                    <w:sz w:val="10"/>
                    <w:szCs w:val="10"/>
                    <w:lang w:val="en-GB"/>
                  </w:rPr>
                </w:pPr>
              </w:p>
              <w:p w:rsidR="00C75F3B" w:rsidRPr="009D767A" w:rsidRDefault="00C75F3B" w:rsidP="006A787C">
                <w:pPr>
                  <w:spacing w:after="0" w:line="240" w:lineRule="auto"/>
                  <w:rPr>
                    <w:b/>
                    <w:sz w:val="18"/>
                    <w:szCs w:val="18"/>
                  </w:rPr>
                </w:pPr>
                <w:r>
                  <w:rPr>
                    <w:b/>
                    <w:color w:val="B70C2F"/>
                    <w:sz w:val="18"/>
                    <w:szCs w:val="18"/>
                  </w:rPr>
                  <w:t>Rood</w:t>
                </w:r>
                <w:r>
                  <w:rPr>
                    <w:b/>
                    <w:sz w:val="18"/>
                    <w:szCs w:val="18"/>
                  </w:rPr>
                  <w:t>Microtec N.V.</w:t>
                </w:r>
              </w:p>
              <w:p w:rsidR="00C75F3B" w:rsidRPr="00FE6420" w:rsidRDefault="00C75F3B" w:rsidP="006A787C">
                <w:pPr>
                  <w:spacing w:after="0" w:line="240" w:lineRule="auto"/>
                  <w:rPr>
                    <w:sz w:val="18"/>
                    <w:szCs w:val="18"/>
                  </w:rPr>
                </w:pPr>
                <w:r>
                  <w:rPr>
                    <w:sz w:val="18"/>
                    <w:szCs w:val="18"/>
                  </w:rPr>
                  <w:t>‘Rembrandt’; Dokter van Deenweg 58</w:t>
                </w:r>
              </w:p>
              <w:p w:rsidR="00C75F3B" w:rsidRPr="00FE6420" w:rsidRDefault="00C75F3B" w:rsidP="006A787C">
                <w:pPr>
                  <w:spacing w:after="0" w:line="240" w:lineRule="auto"/>
                  <w:rPr>
                    <w:sz w:val="18"/>
                    <w:szCs w:val="18"/>
                  </w:rPr>
                </w:pPr>
                <w:r>
                  <w:rPr>
                    <w:sz w:val="18"/>
                    <w:szCs w:val="18"/>
                  </w:rPr>
                  <w:t>NL-8025 BC Zwolle</w:t>
                </w:r>
              </w:p>
              <w:p w:rsidR="00C75F3B" w:rsidRPr="00DD3676" w:rsidRDefault="00C75F3B" w:rsidP="006A787C">
                <w:pPr>
                  <w:spacing w:after="0" w:line="240" w:lineRule="auto"/>
                  <w:rPr>
                    <w:sz w:val="10"/>
                    <w:szCs w:val="10"/>
                  </w:rPr>
                </w:pPr>
              </w:p>
              <w:p w:rsidR="00C75F3B" w:rsidRPr="00FE6420" w:rsidRDefault="00C75F3B"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rPr>
                </w:pPr>
                <w:r>
                  <w:rPr>
                    <w:rFonts w:asciiTheme="minorHAnsi" w:hAnsiTheme="minorHAnsi"/>
                    <w:b/>
                    <w:color w:val="231F20"/>
                    <w:sz w:val="18"/>
                    <w:szCs w:val="18"/>
                  </w:rPr>
                  <w:t>+31 38 4215216</w:t>
                </w:r>
              </w:p>
              <w:p w:rsidR="00C75F3B" w:rsidRPr="00FE6420" w:rsidRDefault="00C75F3B" w:rsidP="0047010F">
                <w:pPr>
                  <w:tabs>
                    <w:tab w:val="left" w:pos="426"/>
                  </w:tabs>
                  <w:spacing w:after="0" w:line="240" w:lineRule="auto"/>
                  <w:rPr>
                    <w:rFonts w:asciiTheme="minorHAnsi" w:eastAsia="Arial" w:hAnsiTheme="minorHAnsi" w:cstheme="minorHAnsi"/>
                    <w:color w:val="231F20"/>
                    <w:sz w:val="18"/>
                    <w:szCs w:val="18"/>
                  </w:rPr>
                </w:pPr>
                <w:r>
                  <w:rPr>
                    <w:rFonts w:asciiTheme="minorHAnsi" w:hAnsiTheme="minorHAnsi"/>
                    <w:color w:val="231F20"/>
                    <w:sz w:val="18"/>
                    <w:szCs w:val="18"/>
                  </w:rPr>
                  <w:t>@</w:t>
                </w:r>
                <w:r>
                  <w:rPr>
                    <w:rFonts w:asciiTheme="minorHAnsi" w:hAnsiTheme="minorHAnsi"/>
                    <w:color w:val="231F20"/>
                    <w:sz w:val="18"/>
                    <w:szCs w:val="18"/>
                  </w:rPr>
                  <w:tab/>
                </w:r>
                <w:hyperlink r:id="rId1">
                  <w:r>
                    <w:rPr>
                      <w:rFonts w:asciiTheme="minorHAnsi" w:hAnsiTheme="minorHAnsi"/>
                      <w:color w:val="231F20"/>
                      <w:sz w:val="18"/>
                      <w:szCs w:val="18"/>
                    </w:rPr>
                    <w:t>investor-relations@roodmicrotec.com</w:t>
                  </w:r>
                </w:hyperlink>
              </w:p>
              <w:p w:rsidR="00C75F3B" w:rsidRPr="00FE6420" w:rsidRDefault="00C75F3B" w:rsidP="0047010F">
                <w:pPr>
                  <w:tabs>
                    <w:tab w:val="left" w:pos="426"/>
                  </w:tabs>
                  <w:spacing w:after="0" w:line="240" w:lineRule="auto"/>
                  <w:rPr>
                    <w:rFonts w:asciiTheme="minorHAnsi" w:eastAsia="Arial" w:hAnsiTheme="minorHAnsi" w:cstheme="minorHAnsi"/>
                    <w:color w:val="231F20"/>
                    <w:sz w:val="18"/>
                    <w:szCs w:val="18"/>
                  </w:rPr>
                </w:pPr>
                <w:r>
                  <w:rPr>
                    <w:rFonts w:asciiTheme="minorHAnsi" w:hAnsiTheme="minorHAnsi"/>
                    <w:color w:val="231F20"/>
                    <w:sz w:val="18"/>
                    <w:szCs w:val="18"/>
                  </w:rPr>
                  <w:sym w:font="Webdings" w:char="F0FC"/>
                </w:r>
                <w:r>
                  <w:rPr>
                    <w:rFonts w:asciiTheme="minorHAnsi" w:hAnsiTheme="minorHAnsi"/>
                    <w:color w:val="231F20"/>
                    <w:sz w:val="18"/>
                    <w:szCs w:val="18"/>
                  </w:rPr>
                  <w:tab/>
                  <w:t>www.roodmicrotec.com</w:t>
                </w:r>
              </w:p>
            </w:txbxContent>
          </v:textbox>
        </v:shape>
      </w:pict>
    </w:r>
    <w:r w:rsidRPr="000C57FE">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4099" type="#_x0000_t7" style="position:absolute;margin-left:242.3pt;margin-top:-170.85pt;width:77.05pt;height:12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w:r>
    <w:r w:rsidR="00D77F35">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4"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2"/>
                  <a:stretch>
                    <a:fillRect/>
                  </a:stretch>
                </pic:blipFill>
                <pic:spPr>
                  <a:xfrm>
                    <a:off x="0" y="0"/>
                    <a:ext cx="2973705" cy="1080770"/>
                  </a:xfrm>
                  <a:prstGeom prst="rect">
                    <a:avLst/>
                  </a:prstGeom>
                </pic:spPr>
              </pic:pic>
            </a:graphicData>
          </a:graphic>
        </wp:anchor>
      </w:drawing>
    </w:r>
    <w:r w:rsidRPr="000C57FE">
      <w:pict>
        <v:shape id="Text Box 13" o:spid="_x0000_s4098" type="#_x0000_t202" style="position:absolute;margin-left:-14.4pt;margin-top:-39.4pt;width:520.1pt;height:27.7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rsidR="00C75F3B" w:rsidRPr="00E878A9" w:rsidRDefault="00C75F3B" w:rsidP="00F33608">
                <w:pPr>
                  <w:tabs>
                    <w:tab w:val="right" w:pos="10206"/>
                  </w:tabs>
                  <w:rPr>
                    <w:rFonts w:asciiTheme="minorHAnsi" w:hAnsiTheme="minorHAnsi" w:cstheme="minorHAnsi"/>
                    <w:color w:val="FFFFFF" w:themeColor="background1"/>
                    <w:sz w:val="32"/>
                    <w:szCs w:val="32"/>
                  </w:rPr>
                </w:pPr>
                <w:r>
                  <w:rPr>
                    <w:rFonts w:asciiTheme="minorHAnsi" w:hAnsiTheme="minorHAnsi"/>
                    <w:color w:val="FFFFFF" w:themeColor="background1"/>
                  </w:rPr>
                  <w:t>Zwolle – 2 augustus 2018</w:t>
                </w:r>
                <w:r>
                  <w:rPr>
                    <w:color w:val="FFFFFF" w:themeColor="background1"/>
                  </w:rPr>
                  <w:tab/>
                </w:r>
                <w:r>
                  <w:rPr>
                    <w:b/>
                    <w:color w:val="FFFFFF" w:themeColor="background1"/>
                    <w:sz w:val="32"/>
                    <w:szCs w:val="32"/>
                  </w:rPr>
                  <w:t>PERSBERICHT</w:t>
                </w:r>
              </w:p>
            </w:txbxContent>
          </v:textbox>
        </v:shape>
      </w:pict>
    </w:r>
    <w:r w:rsidR="00D77F35">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708"/>
  <w:hyphenationZone w:val="425"/>
  <w:characterSpacingControl w:val="doNotCompress"/>
  <w:hdrShapeDefaults>
    <o:shapedefaults v:ext="edit" spidmax="4105"/>
    <o:shapelayout v:ext="edit">
      <o:idmap v:ext="edit" data="4"/>
    </o:shapelayout>
  </w:hdrShapeDefaults>
  <w:footnotePr>
    <w:footnote w:id="-1"/>
    <w:footnote w:id="0"/>
  </w:footnotePr>
  <w:endnotePr>
    <w:endnote w:id="-1"/>
    <w:endnote w:id="0"/>
  </w:endnotePr>
  <w:compat/>
  <w:rsids>
    <w:rsidRoot w:val="009D4A54"/>
    <w:rsid w:val="00016C99"/>
    <w:rsid w:val="0005578B"/>
    <w:rsid w:val="00057395"/>
    <w:rsid w:val="0007461B"/>
    <w:rsid w:val="0009202D"/>
    <w:rsid w:val="000A112C"/>
    <w:rsid w:val="000C57FE"/>
    <w:rsid w:val="001401D2"/>
    <w:rsid w:val="00161C05"/>
    <w:rsid w:val="001649FA"/>
    <w:rsid w:val="001651A5"/>
    <w:rsid w:val="00186B6E"/>
    <w:rsid w:val="001F3216"/>
    <w:rsid w:val="002715B1"/>
    <w:rsid w:val="0027201E"/>
    <w:rsid w:val="00274555"/>
    <w:rsid w:val="002A0D07"/>
    <w:rsid w:val="002B1307"/>
    <w:rsid w:val="002D3A6D"/>
    <w:rsid w:val="002D5E7D"/>
    <w:rsid w:val="002F6980"/>
    <w:rsid w:val="00324BEA"/>
    <w:rsid w:val="003279A8"/>
    <w:rsid w:val="00355706"/>
    <w:rsid w:val="0036342D"/>
    <w:rsid w:val="00380F5D"/>
    <w:rsid w:val="00382750"/>
    <w:rsid w:val="00391D49"/>
    <w:rsid w:val="003A6DC1"/>
    <w:rsid w:val="003B57DE"/>
    <w:rsid w:val="003B7C72"/>
    <w:rsid w:val="003C5287"/>
    <w:rsid w:val="003D1859"/>
    <w:rsid w:val="003D5390"/>
    <w:rsid w:val="003E75B5"/>
    <w:rsid w:val="004152A2"/>
    <w:rsid w:val="00427C8B"/>
    <w:rsid w:val="0047010F"/>
    <w:rsid w:val="00472F83"/>
    <w:rsid w:val="00475E82"/>
    <w:rsid w:val="00482BBD"/>
    <w:rsid w:val="00487DE4"/>
    <w:rsid w:val="0049089D"/>
    <w:rsid w:val="00532194"/>
    <w:rsid w:val="00546072"/>
    <w:rsid w:val="00585D08"/>
    <w:rsid w:val="00586CE7"/>
    <w:rsid w:val="005A69F3"/>
    <w:rsid w:val="005C5830"/>
    <w:rsid w:val="005C59EB"/>
    <w:rsid w:val="005C762A"/>
    <w:rsid w:val="005E0C1E"/>
    <w:rsid w:val="006516E0"/>
    <w:rsid w:val="00657E90"/>
    <w:rsid w:val="006634B6"/>
    <w:rsid w:val="0067571D"/>
    <w:rsid w:val="00687C2F"/>
    <w:rsid w:val="006A787C"/>
    <w:rsid w:val="006B777C"/>
    <w:rsid w:val="006D7E75"/>
    <w:rsid w:val="00732161"/>
    <w:rsid w:val="00736E04"/>
    <w:rsid w:val="00737837"/>
    <w:rsid w:val="0076690A"/>
    <w:rsid w:val="00774401"/>
    <w:rsid w:val="007815CD"/>
    <w:rsid w:val="007834C3"/>
    <w:rsid w:val="007A15F9"/>
    <w:rsid w:val="007A22AB"/>
    <w:rsid w:val="007A2C9A"/>
    <w:rsid w:val="007B1FC8"/>
    <w:rsid w:val="007B640C"/>
    <w:rsid w:val="007C101D"/>
    <w:rsid w:val="007C5301"/>
    <w:rsid w:val="007D0F4A"/>
    <w:rsid w:val="008420C3"/>
    <w:rsid w:val="008636E7"/>
    <w:rsid w:val="00881D9A"/>
    <w:rsid w:val="008B0FBE"/>
    <w:rsid w:val="008E047B"/>
    <w:rsid w:val="009418AA"/>
    <w:rsid w:val="00961AC5"/>
    <w:rsid w:val="009A0C1C"/>
    <w:rsid w:val="009A2701"/>
    <w:rsid w:val="009B4F9B"/>
    <w:rsid w:val="009C23D3"/>
    <w:rsid w:val="009C32BB"/>
    <w:rsid w:val="009D4A54"/>
    <w:rsid w:val="009D767A"/>
    <w:rsid w:val="009E7F64"/>
    <w:rsid w:val="009F6BE4"/>
    <w:rsid w:val="00A42A35"/>
    <w:rsid w:val="00A45E36"/>
    <w:rsid w:val="00AC4975"/>
    <w:rsid w:val="00B1173A"/>
    <w:rsid w:val="00B12DF5"/>
    <w:rsid w:val="00B1709C"/>
    <w:rsid w:val="00B23EB1"/>
    <w:rsid w:val="00B24C43"/>
    <w:rsid w:val="00B30686"/>
    <w:rsid w:val="00B44F7A"/>
    <w:rsid w:val="00B50948"/>
    <w:rsid w:val="00BB6452"/>
    <w:rsid w:val="00BD0404"/>
    <w:rsid w:val="00BF7D94"/>
    <w:rsid w:val="00C02992"/>
    <w:rsid w:val="00C15373"/>
    <w:rsid w:val="00C309CD"/>
    <w:rsid w:val="00C32FBA"/>
    <w:rsid w:val="00C4081C"/>
    <w:rsid w:val="00C50068"/>
    <w:rsid w:val="00C60B78"/>
    <w:rsid w:val="00C6156F"/>
    <w:rsid w:val="00C65150"/>
    <w:rsid w:val="00C72334"/>
    <w:rsid w:val="00C75F3B"/>
    <w:rsid w:val="00C76754"/>
    <w:rsid w:val="00D12D59"/>
    <w:rsid w:val="00D4584B"/>
    <w:rsid w:val="00D5218A"/>
    <w:rsid w:val="00D77F35"/>
    <w:rsid w:val="00DC1818"/>
    <w:rsid w:val="00DD3676"/>
    <w:rsid w:val="00DE2ADD"/>
    <w:rsid w:val="00DE3384"/>
    <w:rsid w:val="00E072EC"/>
    <w:rsid w:val="00E55B13"/>
    <w:rsid w:val="00E73190"/>
    <w:rsid w:val="00E90550"/>
    <w:rsid w:val="00EB2D32"/>
    <w:rsid w:val="00EC2D6B"/>
    <w:rsid w:val="00EE1D09"/>
    <w:rsid w:val="00EF04AB"/>
    <w:rsid w:val="00F02B79"/>
    <w:rsid w:val="00F15FE0"/>
    <w:rsid w:val="00F33608"/>
    <w:rsid w:val="00F35BDD"/>
    <w:rsid w:val="00F45F6A"/>
    <w:rsid w:val="00F56C7A"/>
    <w:rsid w:val="00F75600"/>
    <w:rsid w:val="00FA460A"/>
    <w:rsid w:val="00FB2BA3"/>
    <w:rsid w:val="00FB7A27"/>
    <w:rsid w:val="00FE6420"/>
    <w:rsid w:val="00FE71B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546072"/>
    <w:pPr>
      <w:spacing w:after="120" w:line="276" w:lineRule="auto"/>
    </w:pPr>
    <w:rPr>
      <w:sz w:val="22"/>
      <w:szCs w:val="22"/>
      <w:lang w:eastAsia="en-US"/>
    </w:rPr>
  </w:style>
  <w:style w:type="paragraph" w:styleId="berschrift1">
    <w:name w:val="heading 1"/>
    <w:aliases w:val="PR überschrift 1"/>
    <w:basedOn w:val="Standard"/>
    <w:next w:val="Standard"/>
    <w:link w:val="berschrift1Zchn"/>
    <w:autoRedefine/>
    <w:uiPriority w:val="9"/>
    <w:qFormat/>
    <w:rsid w:val="00E072EC"/>
    <w:pPr>
      <w:keepNext/>
      <w:keepLines/>
      <w:tabs>
        <w:tab w:val="left" w:pos="10415"/>
      </w:tabs>
      <w:spacing w:before="240" w:after="360"/>
      <w:ind w:right="284"/>
      <w:jc w:val="both"/>
      <w:outlineLvl w:val="0"/>
    </w:pPr>
    <w:rPr>
      <w:rFonts w:eastAsiaTheme="majorEastAsia" w:cstheme="majorBidi"/>
      <w:b/>
      <w:bCs/>
      <w:color w:val="BA0C2F"/>
      <w:sz w:val="28"/>
      <w:szCs w:val="28"/>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E072EC"/>
    <w:rPr>
      <w:rFonts w:eastAsiaTheme="majorEastAsia" w:cstheme="majorBidi"/>
      <w:b/>
      <w:bCs/>
      <w:color w:val="BA0C2F"/>
      <w:sz w:val="28"/>
      <w:szCs w:val="28"/>
      <w:lang w:val="nl-NL" w:eastAsia="en-GB"/>
    </w:rPr>
  </w:style>
  <w:style w:type="character" w:styleId="BesuchterHyperlink">
    <w:name w:val="FollowedHyperlink"/>
    <w:basedOn w:val="Absatz-Standardschriftart"/>
    <w:uiPriority w:val="99"/>
    <w:semiHidden/>
    <w:unhideWhenUsed/>
    <w:rsid w:val="00F75600"/>
    <w:rPr>
      <w:color w:val="800080" w:themeColor="followedHyperlink"/>
      <w:u w:val="single"/>
    </w:rPr>
  </w:style>
  <w:style w:type="table" w:styleId="Tabellengitternetz">
    <w:name w:val="Table Grid"/>
    <w:basedOn w:val="NormaleTabelle"/>
    <w:uiPriority w:val="59"/>
    <w:rsid w:val="008B0F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pn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E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201AF-C608-4E16-BEB1-824F5EB7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2018_E_PR_Vorlage_New Logo.dotx</Template>
  <TotalTime>0</TotalTime>
  <Pages>2</Pages>
  <Words>680</Words>
  <Characters>4285</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2018-07-31T08:39:00Z</cp:lastPrinted>
  <dcterms:created xsi:type="dcterms:W3CDTF">2018-08-02T04:13:00Z</dcterms:created>
  <dcterms:modified xsi:type="dcterms:W3CDTF">2018-08-02T04:13:00Z</dcterms:modified>
</cp:coreProperties>
</file>