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FDB" w:rsidRPr="006314A4" w:rsidRDefault="007F6FDB" w:rsidP="007F6FDB">
      <w:pPr>
        <w:pStyle w:val="berschrift1"/>
      </w:pPr>
      <w:r>
        <w:t>Unaudited preliminary revenue</w:t>
      </w:r>
      <w:r w:rsidRPr="006314A4">
        <w:t>:</w:t>
      </w:r>
      <w:r>
        <w:br/>
      </w:r>
      <w:proofErr w:type="spellStart"/>
      <w:r w:rsidRPr="006314A4">
        <w:rPr>
          <w:color w:val="C00000"/>
        </w:rPr>
        <w:t>Rood</w:t>
      </w:r>
      <w:r>
        <w:t>Microtec</w:t>
      </w:r>
      <w:proofErr w:type="spellEnd"/>
      <w:r w:rsidRPr="006314A4">
        <w:t xml:space="preserve"> </w:t>
      </w:r>
      <w:r>
        <w:t xml:space="preserve">ends 2018 with double-digit sales growth </w:t>
      </w:r>
    </w:p>
    <w:p w:rsidR="007F6FDB" w:rsidRPr="007F6FDB" w:rsidRDefault="007F6FDB" w:rsidP="007F6FDB">
      <w:pPr>
        <w:pStyle w:val="Listenabsatz"/>
        <w:numPr>
          <w:ilvl w:val="0"/>
          <w:numId w:val="6"/>
        </w:numPr>
        <w:spacing w:after="200"/>
        <w:rPr>
          <w:b/>
          <w:lang w:val="en-US"/>
        </w:rPr>
      </w:pPr>
      <w:r w:rsidRPr="007F6FDB">
        <w:rPr>
          <w:b/>
          <w:lang w:val="en-US"/>
        </w:rPr>
        <w:t>Revenue growth by 13% to EUR 13.65 million in 2018 compared to 2017</w:t>
      </w:r>
    </w:p>
    <w:p w:rsidR="007F6FDB" w:rsidRPr="007F6FDB" w:rsidRDefault="007F6FDB" w:rsidP="007F6FDB">
      <w:pPr>
        <w:pStyle w:val="Listenabsatz"/>
        <w:numPr>
          <w:ilvl w:val="0"/>
          <w:numId w:val="6"/>
        </w:numPr>
        <w:spacing w:after="200"/>
        <w:rPr>
          <w:b/>
          <w:lang w:val="en-US"/>
        </w:rPr>
      </w:pPr>
      <w:r w:rsidRPr="007F6FDB">
        <w:rPr>
          <w:b/>
          <w:lang w:val="en-US"/>
        </w:rPr>
        <w:t>Strong increase in sales revenue in Supply Chain Management</w:t>
      </w:r>
    </w:p>
    <w:p w:rsidR="007F6FDB" w:rsidRPr="007F6FDB" w:rsidRDefault="007F6FDB" w:rsidP="007F6FDB">
      <w:pPr>
        <w:pStyle w:val="Listenabsatz"/>
        <w:numPr>
          <w:ilvl w:val="0"/>
          <w:numId w:val="6"/>
        </w:numPr>
        <w:spacing w:after="200"/>
        <w:rPr>
          <w:b/>
          <w:lang w:val="en-US"/>
        </w:rPr>
      </w:pPr>
      <w:r w:rsidRPr="007F6FDB">
        <w:rPr>
          <w:b/>
          <w:lang w:val="en-US"/>
        </w:rPr>
        <w:t>Automotive sector growth by 12%</w:t>
      </w:r>
    </w:p>
    <w:p w:rsidR="007F6FDB" w:rsidRPr="007F6FDB" w:rsidRDefault="00260AF0" w:rsidP="007F6FDB">
      <w:pPr>
        <w:spacing w:before="240"/>
        <w:jc w:val="both"/>
        <w:rPr>
          <w:rFonts w:asciiTheme="minorHAnsi" w:hAnsiTheme="minorHAnsi" w:cstheme="minorHAnsi"/>
        </w:rPr>
      </w:pPr>
      <w:r w:rsidRPr="00260AF0">
        <w:rPr>
          <w:b/>
          <w:lang w:val="en-US"/>
        </w:rPr>
        <w:t xml:space="preserve">Zwolle, </w:t>
      </w:r>
      <w:r w:rsidR="00071143">
        <w:rPr>
          <w:b/>
          <w:lang w:val="en-US"/>
        </w:rPr>
        <w:t>1</w:t>
      </w:r>
      <w:r w:rsidR="0058155F">
        <w:rPr>
          <w:b/>
          <w:lang w:val="en-US"/>
        </w:rPr>
        <w:t>0</w:t>
      </w:r>
      <w:r w:rsidRPr="00260AF0">
        <w:rPr>
          <w:b/>
          <w:vertAlign w:val="superscript"/>
          <w:lang w:val="en-US"/>
        </w:rPr>
        <w:t>th</w:t>
      </w:r>
      <w:r w:rsidRPr="00260AF0">
        <w:rPr>
          <w:b/>
          <w:lang w:val="en-US"/>
        </w:rPr>
        <w:t xml:space="preserve"> </w:t>
      </w:r>
      <w:r w:rsidR="0058155F">
        <w:rPr>
          <w:b/>
          <w:lang w:val="en-US"/>
        </w:rPr>
        <w:t xml:space="preserve">January </w:t>
      </w:r>
      <w:r w:rsidRPr="00260AF0">
        <w:rPr>
          <w:b/>
          <w:lang w:val="en-US"/>
        </w:rPr>
        <w:t>201</w:t>
      </w:r>
      <w:r w:rsidR="0058155F">
        <w:rPr>
          <w:b/>
          <w:lang w:val="en-US"/>
        </w:rPr>
        <w:t>9</w:t>
      </w:r>
      <w:r w:rsidRPr="00260AF0">
        <w:rPr>
          <w:b/>
          <w:lang w:val="en-US"/>
        </w:rPr>
        <w:t xml:space="preserve"> </w:t>
      </w:r>
      <w:r w:rsidR="00071143">
        <w:rPr>
          <w:b/>
          <w:lang w:val="en-US"/>
        </w:rPr>
        <w:t>–</w:t>
      </w:r>
      <w:r>
        <w:rPr>
          <w:color w:val="BA0C2F"/>
          <w:lang w:val="en-US"/>
        </w:rPr>
        <w:t xml:space="preserve"> </w:t>
      </w:r>
      <w:bookmarkStart w:id="0" w:name="_GoBack"/>
      <w:proofErr w:type="spellStart"/>
      <w:r w:rsidR="007F6FDB" w:rsidRPr="00484324">
        <w:rPr>
          <w:rFonts w:asciiTheme="minorHAnsi" w:hAnsiTheme="minorHAnsi" w:cstheme="minorHAnsi"/>
          <w:color w:val="BA0C2F"/>
        </w:rPr>
        <w:t>Rood</w:t>
      </w:r>
      <w:bookmarkEnd w:id="0"/>
      <w:r w:rsidR="007F6FDB" w:rsidRPr="007F6FDB">
        <w:rPr>
          <w:rFonts w:asciiTheme="minorHAnsi" w:hAnsiTheme="minorHAnsi" w:cstheme="minorHAnsi"/>
        </w:rPr>
        <w:t>Microtec</w:t>
      </w:r>
      <w:proofErr w:type="spellEnd"/>
      <w:r w:rsidR="007F6FDB" w:rsidRPr="007F6FDB">
        <w:rPr>
          <w:rFonts w:asciiTheme="minorHAnsi" w:hAnsiTheme="minorHAnsi" w:cstheme="minorHAnsi"/>
        </w:rPr>
        <w:t xml:space="preserve"> N.V., the leading independent company for semiconductors supply and quality services, released </w:t>
      </w:r>
      <w:r w:rsidR="007F6FDB" w:rsidRPr="004C5748">
        <w:rPr>
          <w:rFonts w:asciiTheme="minorHAnsi" w:hAnsiTheme="minorHAnsi" w:cstheme="minorHAnsi"/>
        </w:rPr>
        <w:t xml:space="preserve">the </w:t>
      </w:r>
      <w:r w:rsidR="007F6FDB" w:rsidRPr="007F6FDB">
        <w:rPr>
          <w:rFonts w:asciiTheme="minorHAnsi" w:hAnsiTheme="minorHAnsi" w:cstheme="minorHAnsi"/>
        </w:rPr>
        <w:t xml:space="preserve">unaudited preliminary revenue for 2018 </w:t>
      </w:r>
      <w:r w:rsidR="007F6FDB" w:rsidRPr="004C5748">
        <w:rPr>
          <w:rFonts w:asciiTheme="minorHAnsi" w:hAnsiTheme="minorHAnsi" w:cstheme="minorHAnsi"/>
        </w:rPr>
        <w:t>today</w:t>
      </w:r>
      <w:r w:rsidR="007F6FDB" w:rsidRPr="007F6FDB">
        <w:rPr>
          <w:rFonts w:asciiTheme="minorHAnsi" w:hAnsiTheme="minorHAnsi" w:cstheme="minorHAnsi"/>
        </w:rPr>
        <w:t xml:space="preserve">. The independent general contractor delivers again a strong annual performance with an increase of 13% in sales revenue year-on-year. The revenue shows a strong and steady increase in the Supply Chain Management business unit. The Test Operations business unit continues to run at a good utilization level and in the Qualification &amp; Failure Analysis business unit the order situation is improving. </w:t>
      </w:r>
    </w:p>
    <w:p w:rsidR="007F6FDB" w:rsidRPr="007F6FDB" w:rsidRDefault="007F6FDB" w:rsidP="007F6FDB">
      <w:pPr>
        <w:jc w:val="both"/>
        <w:rPr>
          <w:rFonts w:asciiTheme="minorHAnsi" w:hAnsiTheme="minorHAnsi" w:cstheme="minorHAnsi"/>
        </w:rPr>
      </w:pPr>
      <w:r w:rsidRPr="007F6FDB">
        <w:rPr>
          <w:rFonts w:asciiTheme="minorHAnsi" w:hAnsiTheme="minorHAnsi" w:cstheme="minorHAnsi"/>
        </w:rPr>
        <w:t xml:space="preserve">The increase in revenue by 12% in the automotive market sector also shows that </w:t>
      </w:r>
      <w:proofErr w:type="spellStart"/>
      <w:r w:rsidRPr="00484324">
        <w:rPr>
          <w:rFonts w:asciiTheme="minorHAnsi" w:hAnsiTheme="minorHAnsi" w:cstheme="minorHAnsi"/>
          <w:color w:val="BA0C2F"/>
        </w:rPr>
        <w:t>Rood</w:t>
      </w:r>
      <w:r w:rsidRPr="007F6FDB">
        <w:rPr>
          <w:rFonts w:asciiTheme="minorHAnsi" w:hAnsiTheme="minorHAnsi" w:cstheme="minorHAnsi"/>
        </w:rPr>
        <w:t>Microtec</w:t>
      </w:r>
      <w:proofErr w:type="spellEnd"/>
      <w:r w:rsidRPr="007F6FDB">
        <w:rPr>
          <w:rFonts w:asciiTheme="minorHAnsi" w:hAnsiTheme="minorHAnsi" w:cstheme="minorHAnsi"/>
        </w:rPr>
        <w:t xml:space="preserve"> is well positioned in one of the </w:t>
      </w:r>
      <w:r w:rsidR="004C5748" w:rsidRPr="007F6FDB">
        <w:rPr>
          <w:rFonts w:asciiTheme="minorHAnsi" w:hAnsiTheme="minorHAnsi" w:cstheme="minorHAnsi"/>
        </w:rPr>
        <w:t>fast-growing</w:t>
      </w:r>
      <w:r w:rsidRPr="007F6FDB">
        <w:rPr>
          <w:rFonts w:asciiTheme="minorHAnsi" w:hAnsiTheme="minorHAnsi" w:cstheme="minorHAnsi"/>
        </w:rPr>
        <w:t xml:space="preserve"> sectors for the future. The order book at the end of 2018 is higher than the year before and this enables </w:t>
      </w:r>
      <w:proofErr w:type="spellStart"/>
      <w:r w:rsidRPr="00484324">
        <w:rPr>
          <w:rFonts w:asciiTheme="minorHAnsi" w:hAnsiTheme="minorHAnsi" w:cstheme="minorHAnsi"/>
          <w:color w:val="BA0C2F"/>
        </w:rPr>
        <w:t>Rood</w:t>
      </w:r>
      <w:r w:rsidRPr="007F6FDB">
        <w:rPr>
          <w:rFonts w:asciiTheme="minorHAnsi" w:hAnsiTheme="minorHAnsi" w:cstheme="minorHAnsi"/>
        </w:rPr>
        <w:t>Microtec</w:t>
      </w:r>
      <w:proofErr w:type="spellEnd"/>
      <w:r w:rsidRPr="007F6FDB">
        <w:rPr>
          <w:rFonts w:asciiTheme="minorHAnsi" w:hAnsiTheme="minorHAnsi" w:cstheme="minorHAnsi"/>
        </w:rPr>
        <w:t xml:space="preserve"> to plan the production capacity moving into 2019.</w:t>
      </w:r>
    </w:p>
    <w:p w:rsidR="007F6FDB" w:rsidRDefault="007F6FDB" w:rsidP="007F6FDB">
      <w:pPr>
        <w:jc w:val="both"/>
        <w:rPr>
          <w:rFonts w:asciiTheme="minorHAnsi" w:hAnsiTheme="minorHAnsi" w:cstheme="minorHAnsi"/>
          <w:i/>
        </w:rPr>
      </w:pPr>
      <w:r w:rsidRPr="007F6FDB">
        <w:rPr>
          <w:rFonts w:asciiTheme="minorHAnsi" w:hAnsiTheme="minorHAnsi" w:cstheme="minorHAnsi"/>
          <w:i/>
        </w:rPr>
        <w:t xml:space="preserve">“I am pleased to announce another successful year for </w:t>
      </w:r>
      <w:proofErr w:type="spellStart"/>
      <w:r w:rsidRPr="00484324">
        <w:rPr>
          <w:rFonts w:asciiTheme="minorHAnsi" w:hAnsiTheme="minorHAnsi" w:cstheme="minorHAnsi"/>
          <w:i/>
          <w:color w:val="BA0C2F"/>
        </w:rPr>
        <w:t>Rood</w:t>
      </w:r>
      <w:r w:rsidRPr="007F6FDB">
        <w:rPr>
          <w:rFonts w:asciiTheme="minorHAnsi" w:hAnsiTheme="minorHAnsi" w:cstheme="minorHAnsi"/>
          <w:i/>
        </w:rPr>
        <w:t>Microtec</w:t>
      </w:r>
      <w:proofErr w:type="spellEnd"/>
      <w:r w:rsidRPr="007F6FDB">
        <w:rPr>
          <w:rFonts w:asciiTheme="minorHAnsi" w:hAnsiTheme="minorHAnsi" w:cstheme="minorHAnsi"/>
          <w:i/>
        </w:rPr>
        <w:t>”,</w:t>
      </w:r>
      <w:r w:rsidRPr="007F6FDB">
        <w:rPr>
          <w:rFonts w:asciiTheme="minorHAnsi" w:hAnsiTheme="minorHAnsi" w:cstheme="minorHAnsi"/>
        </w:rPr>
        <w:t xml:space="preserve"> said Martin </w:t>
      </w:r>
      <w:proofErr w:type="spellStart"/>
      <w:r w:rsidRPr="007F6FDB">
        <w:rPr>
          <w:rFonts w:asciiTheme="minorHAnsi" w:hAnsiTheme="minorHAnsi" w:cstheme="minorHAnsi"/>
        </w:rPr>
        <w:t>Sallenhag</w:t>
      </w:r>
      <w:proofErr w:type="spellEnd"/>
      <w:r w:rsidRPr="007F6FDB">
        <w:rPr>
          <w:rFonts w:asciiTheme="minorHAnsi" w:hAnsiTheme="minorHAnsi" w:cstheme="minorHAnsi"/>
        </w:rPr>
        <w:t xml:space="preserve">, CEO of </w:t>
      </w:r>
      <w:proofErr w:type="spellStart"/>
      <w:r w:rsidRPr="00484324">
        <w:rPr>
          <w:rFonts w:asciiTheme="minorHAnsi" w:hAnsiTheme="minorHAnsi" w:cstheme="minorHAnsi"/>
          <w:color w:val="BA0C2F"/>
        </w:rPr>
        <w:t>Rood</w:t>
      </w:r>
      <w:r w:rsidRPr="007F6FDB">
        <w:rPr>
          <w:rFonts w:asciiTheme="minorHAnsi" w:hAnsiTheme="minorHAnsi" w:cstheme="minorHAnsi"/>
        </w:rPr>
        <w:t>Microtec</w:t>
      </w:r>
      <w:proofErr w:type="spellEnd"/>
      <w:r w:rsidRPr="007F6FDB">
        <w:rPr>
          <w:rFonts w:asciiTheme="minorHAnsi" w:hAnsiTheme="minorHAnsi" w:cstheme="minorHAnsi"/>
        </w:rPr>
        <w:t xml:space="preserve">. </w:t>
      </w:r>
      <w:r w:rsidRPr="007F6FDB">
        <w:rPr>
          <w:rFonts w:asciiTheme="minorHAnsi" w:hAnsiTheme="minorHAnsi" w:cstheme="minorHAnsi"/>
          <w:i/>
        </w:rPr>
        <w:t>“Our unaudited preliminary revenue for 2018 was strong, despite the softening of the market during the fourth quarter as reported by many market research institutes. It is also very encouraging to see the revenue increase in Supply Chain Management which again shows that the direction of the company is the right one.”</w:t>
      </w:r>
    </w:p>
    <w:p w:rsidR="007F6FDB" w:rsidRPr="00274915" w:rsidRDefault="007F6FDB" w:rsidP="007F6FDB">
      <w:pPr>
        <w:ind w:left="28"/>
        <w:jc w:val="both"/>
        <w:rPr>
          <w:rFonts w:asciiTheme="minorHAnsi" w:hAnsiTheme="minorHAnsi" w:cstheme="minorHAnsi"/>
          <w:szCs w:val="20"/>
        </w:rPr>
      </w:pPr>
    </w:p>
    <w:p w:rsidR="007F6FDB" w:rsidRPr="007F6FDB" w:rsidRDefault="007F6FDB" w:rsidP="007F6FDB">
      <w:pPr>
        <w:rPr>
          <w:b/>
          <w:sz w:val="24"/>
          <w:szCs w:val="24"/>
          <w:lang w:val="en-US"/>
        </w:rPr>
      </w:pPr>
      <w:r w:rsidRPr="007F6FDB">
        <w:rPr>
          <w:b/>
          <w:sz w:val="24"/>
          <w:szCs w:val="24"/>
          <w:lang w:val="en-US"/>
        </w:rPr>
        <w:t>Sales by business unit in 2018 compared to 2017:</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843"/>
        <w:gridCol w:w="1843"/>
        <w:gridCol w:w="1843"/>
      </w:tblGrid>
      <w:tr w:rsidR="007F6FDB" w:rsidRPr="00FA7375" w:rsidTr="00C20F20">
        <w:tc>
          <w:tcPr>
            <w:tcW w:w="3510" w:type="dxa"/>
          </w:tcPr>
          <w:p w:rsidR="007F6FDB" w:rsidRPr="00FA7375" w:rsidRDefault="007F6FDB" w:rsidP="007F6FDB">
            <w:pPr>
              <w:spacing w:after="0"/>
              <w:rPr>
                <w:b/>
              </w:rPr>
            </w:pPr>
            <w:r w:rsidRPr="00FA7375">
              <w:rPr>
                <w:b/>
              </w:rPr>
              <w:t>(x € 1,000)</w:t>
            </w:r>
          </w:p>
        </w:tc>
        <w:tc>
          <w:tcPr>
            <w:tcW w:w="1843" w:type="dxa"/>
          </w:tcPr>
          <w:p w:rsidR="007F6FDB" w:rsidRPr="00FA7375" w:rsidRDefault="007F6FDB" w:rsidP="007F6FDB">
            <w:pPr>
              <w:spacing w:after="0"/>
              <w:jc w:val="right"/>
              <w:rPr>
                <w:b/>
              </w:rPr>
            </w:pPr>
            <w:r w:rsidRPr="00FA7375">
              <w:rPr>
                <w:b/>
              </w:rPr>
              <w:t>2018</w:t>
            </w:r>
          </w:p>
        </w:tc>
        <w:tc>
          <w:tcPr>
            <w:tcW w:w="1843" w:type="dxa"/>
          </w:tcPr>
          <w:p w:rsidR="007F6FDB" w:rsidRPr="00FA7375" w:rsidRDefault="007F6FDB" w:rsidP="007F6FDB">
            <w:pPr>
              <w:spacing w:after="0"/>
              <w:jc w:val="right"/>
              <w:rPr>
                <w:b/>
              </w:rPr>
            </w:pPr>
            <w:r w:rsidRPr="00FA7375">
              <w:rPr>
                <w:b/>
              </w:rPr>
              <w:t>2017</w:t>
            </w:r>
          </w:p>
        </w:tc>
        <w:tc>
          <w:tcPr>
            <w:tcW w:w="1843" w:type="dxa"/>
          </w:tcPr>
          <w:p w:rsidR="007F6FDB" w:rsidRPr="00FA7375" w:rsidRDefault="007F6FDB" w:rsidP="007F6FDB">
            <w:pPr>
              <w:spacing w:after="0"/>
              <w:jc w:val="right"/>
              <w:rPr>
                <w:b/>
              </w:rPr>
            </w:pPr>
            <w:r w:rsidRPr="00FA7375">
              <w:rPr>
                <w:b/>
              </w:rPr>
              <w:t>Change</w:t>
            </w:r>
          </w:p>
        </w:tc>
      </w:tr>
      <w:tr w:rsidR="007F6FDB" w:rsidRPr="00FA7375" w:rsidTr="00C20F20">
        <w:tc>
          <w:tcPr>
            <w:tcW w:w="3510" w:type="dxa"/>
          </w:tcPr>
          <w:p w:rsidR="007F6FDB" w:rsidRPr="00FA7375" w:rsidRDefault="007F6FDB" w:rsidP="007F6FDB">
            <w:pPr>
              <w:spacing w:after="0"/>
            </w:pPr>
          </w:p>
        </w:tc>
        <w:tc>
          <w:tcPr>
            <w:tcW w:w="1843" w:type="dxa"/>
          </w:tcPr>
          <w:p w:rsidR="007F6FDB" w:rsidRPr="00FA7375" w:rsidRDefault="007F6FDB" w:rsidP="007F6FDB">
            <w:pPr>
              <w:spacing w:after="0"/>
              <w:jc w:val="right"/>
            </w:pPr>
          </w:p>
        </w:tc>
        <w:tc>
          <w:tcPr>
            <w:tcW w:w="1843" w:type="dxa"/>
          </w:tcPr>
          <w:p w:rsidR="007F6FDB" w:rsidRPr="00FA7375" w:rsidRDefault="007F6FDB" w:rsidP="007F6FDB">
            <w:pPr>
              <w:spacing w:after="0"/>
              <w:jc w:val="right"/>
            </w:pPr>
          </w:p>
        </w:tc>
        <w:tc>
          <w:tcPr>
            <w:tcW w:w="1843" w:type="dxa"/>
          </w:tcPr>
          <w:p w:rsidR="007F6FDB" w:rsidRPr="00FA7375" w:rsidRDefault="007F6FDB" w:rsidP="007F6FDB">
            <w:pPr>
              <w:spacing w:after="0"/>
              <w:jc w:val="right"/>
            </w:pPr>
          </w:p>
        </w:tc>
      </w:tr>
      <w:tr w:rsidR="007F6FDB" w:rsidRPr="00FA7375" w:rsidTr="00C20F20">
        <w:tc>
          <w:tcPr>
            <w:tcW w:w="3510" w:type="dxa"/>
          </w:tcPr>
          <w:p w:rsidR="007F6FDB" w:rsidRPr="00FA7375" w:rsidRDefault="007F6FDB" w:rsidP="007F6FDB">
            <w:pPr>
              <w:spacing w:after="0"/>
            </w:pPr>
            <w:r w:rsidRPr="00FA7375">
              <w:t xml:space="preserve">Test Operations </w:t>
            </w:r>
          </w:p>
        </w:tc>
        <w:tc>
          <w:tcPr>
            <w:tcW w:w="1843" w:type="dxa"/>
          </w:tcPr>
          <w:p w:rsidR="007F6FDB" w:rsidRPr="00FA7375" w:rsidRDefault="007F6FDB" w:rsidP="007F6FDB">
            <w:pPr>
              <w:spacing w:after="0"/>
              <w:jc w:val="right"/>
            </w:pPr>
            <w:r w:rsidRPr="00FA7375">
              <w:t>6,046</w:t>
            </w:r>
          </w:p>
        </w:tc>
        <w:tc>
          <w:tcPr>
            <w:tcW w:w="1843" w:type="dxa"/>
          </w:tcPr>
          <w:p w:rsidR="007F6FDB" w:rsidRPr="00FA7375" w:rsidRDefault="007F6FDB" w:rsidP="007F6FDB">
            <w:pPr>
              <w:spacing w:after="0"/>
              <w:jc w:val="right"/>
            </w:pPr>
            <w:r w:rsidRPr="00FA7375">
              <w:t>4,964</w:t>
            </w:r>
          </w:p>
        </w:tc>
        <w:tc>
          <w:tcPr>
            <w:tcW w:w="1843" w:type="dxa"/>
          </w:tcPr>
          <w:p w:rsidR="007F6FDB" w:rsidRPr="00FA7375" w:rsidRDefault="007F6FDB" w:rsidP="007F6FDB">
            <w:pPr>
              <w:spacing w:after="0"/>
              <w:jc w:val="right"/>
            </w:pPr>
            <w:r w:rsidRPr="00FA7375">
              <w:t>+22%</w:t>
            </w:r>
          </w:p>
        </w:tc>
      </w:tr>
      <w:tr w:rsidR="007F6FDB" w:rsidRPr="00FA7375" w:rsidTr="00C20F20">
        <w:tc>
          <w:tcPr>
            <w:tcW w:w="3510" w:type="dxa"/>
          </w:tcPr>
          <w:p w:rsidR="007F6FDB" w:rsidRPr="00FA7375" w:rsidRDefault="007F6FDB" w:rsidP="007F6FDB">
            <w:pPr>
              <w:spacing w:after="0"/>
            </w:pPr>
            <w:r w:rsidRPr="00FA7375">
              <w:t>Supply Chain Management</w:t>
            </w:r>
          </w:p>
        </w:tc>
        <w:tc>
          <w:tcPr>
            <w:tcW w:w="1843" w:type="dxa"/>
          </w:tcPr>
          <w:p w:rsidR="007F6FDB" w:rsidRPr="00FA7375" w:rsidRDefault="007F6FDB" w:rsidP="007F6FDB">
            <w:pPr>
              <w:spacing w:after="0"/>
              <w:jc w:val="right"/>
            </w:pPr>
            <w:r w:rsidRPr="00FA7375">
              <w:t>3,537</w:t>
            </w:r>
          </w:p>
        </w:tc>
        <w:tc>
          <w:tcPr>
            <w:tcW w:w="1843" w:type="dxa"/>
          </w:tcPr>
          <w:p w:rsidR="007F6FDB" w:rsidRPr="00FA7375" w:rsidRDefault="007F6FDB" w:rsidP="007F6FDB">
            <w:pPr>
              <w:spacing w:after="0"/>
              <w:jc w:val="right"/>
            </w:pPr>
            <w:r w:rsidRPr="00FA7375">
              <w:t>2,448</w:t>
            </w:r>
          </w:p>
        </w:tc>
        <w:tc>
          <w:tcPr>
            <w:tcW w:w="1843" w:type="dxa"/>
          </w:tcPr>
          <w:p w:rsidR="007F6FDB" w:rsidRPr="00FA7375" w:rsidRDefault="007F6FDB" w:rsidP="007F6FDB">
            <w:pPr>
              <w:spacing w:after="0"/>
              <w:jc w:val="right"/>
            </w:pPr>
            <w:r w:rsidRPr="00FA7375">
              <w:t>+44%</w:t>
            </w:r>
          </w:p>
        </w:tc>
      </w:tr>
      <w:tr w:rsidR="007F6FDB" w:rsidRPr="00FA7375" w:rsidTr="00C20F20">
        <w:tc>
          <w:tcPr>
            <w:tcW w:w="3510" w:type="dxa"/>
          </w:tcPr>
          <w:p w:rsidR="007F6FDB" w:rsidRPr="00FA7375" w:rsidRDefault="007F6FDB" w:rsidP="007F6FDB">
            <w:pPr>
              <w:spacing w:after="0"/>
            </w:pPr>
            <w:r w:rsidRPr="00FA7375">
              <w:t xml:space="preserve">Qualification &amp; Failure Analysis </w:t>
            </w:r>
          </w:p>
        </w:tc>
        <w:tc>
          <w:tcPr>
            <w:tcW w:w="1843" w:type="dxa"/>
          </w:tcPr>
          <w:p w:rsidR="007F6FDB" w:rsidRPr="00FA7375" w:rsidRDefault="007F6FDB" w:rsidP="007F6FDB">
            <w:pPr>
              <w:spacing w:after="0"/>
              <w:jc w:val="right"/>
            </w:pPr>
            <w:r w:rsidRPr="00FA7375">
              <w:t>4,067</w:t>
            </w:r>
          </w:p>
        </w:tc>
        <w:tc>
          <w:tcPr>
            <w:tcW w:w="1843" w:type="dxa"/>
          </w:tcPr>
          <w:p w:rsidR="007F6FDB" w:rsidRPr="00FA7375" w:rsidRDefault="007F6FDB" w:rsidP="007F6FDB">
            <w:pPr>
              <w:spacing w:after="0"/>
              <w:jc w:val="right"/>
            </w:pPr>
            <w:r w:rsidRPr="00FA7375">
              <w:t>4,715</w:t>
            </w:r>
          </w:p>
        </w:tc>
        <w:tc>
          <w:tcPr>
            <w:tcW w:w="1843" w:type="dxa"/>
          </w:tcPr>
          <w:p w:rsidR="007F6FDB" w:rsidRPr="00FA7375" w:rsidRDefault="007F6FDB" w:rsidP="007F6FDB">
            <w:pPr>
              <w:spacing w:after="0"/>
              <w:jc w:val="right"/>
            </w:pPr>
            <w:r w:rsidRPr="00FA7375">
              <w:t>-14%</w:t>
            </w:r>
          </w:p>
        </w:tc>
      </w:tr>
      <w:tr w:rsidR="007F6FDB" w:rsidRPr="00FA7375" w:rsidTr="00C20F20">
        <w:tc>
          <w:tcPr>
            <w:tcW w:w="3510" w:type="dxa"/>
          </w:tcPr>
          <w:p w:rsidR="007F6FDB" w:rsidRPr="00FA7375" w:rsidRDefault="007F6FDB" w:rsidP="007F6FDB">
            <w:pPr>
              <w:spacing w:after="0"/>
            </w:pPr>
          </w:p>
        </w:tc>
        <w:tc>
          <w:tcPr>
            <w:tcW w:w="1843" w:type="dxa"/>
          </w:tcPr>
          <w:p w:rsidR="007F6FDB" w:rsidRPr="00FA7375" w:rsidRDefault="007F6FDB" w:rsidP="007F6FDB">
            <w:pPr>
              <w:spacing w:after="0"/>
            </w:pPr>
          </w:p>
        </w:tc>
        <w:tc>
          <w:tcPr>
            <w:tcW w:w="1843" w:type="dxa"/>
          </w:tcPr>
          <w:p w:rsidR="007F6FDB" w:rsidRPr="00FA7375" w:rsidRDefault="007F6FDB" w:rsidP="007F6FDB">
            <w:pPr>
              <w:spacing w:after="0"/>
              <w:jc w:val="right"/>
            </w:pPr>
          </w:p>
        </w:tc>
        <w:tc>
          <w:tcPr>
            <w:tcW w:w="1843" w:type="dxa"/>
          </w:tcPr>
          <w:p w:rsidR="007F6FDB" w:rsidRPr="00FA7375" w:rsidRDefault="007F6FDB" w:rsidP="007F6FDB">
            <w:pPr>
              <w:spacing w:after="0"/>
              <w:jc w:val="right"/>
            </w:pPr>
          </w:p>
        </w:tc>
      </w:tr>
      <w:tr w:rsidR="007F6FDB" w:rsidRPr="00FA7375" w:rsidTr="00C20F20">
        <w:tc>
          <w:tcPr>
            <w:tcW w:w="3510" w:type="dxa"/>
          </w:tcPr>
          <w:p w:rsidR="007F6FDB" w:rsidRPr="00FA7375" w:rsidRDefault="007F6FDB" w:rsidP="007F6FDB">
            <w:pPr>
              <w:spacing w:after="0"/>
              <w:rPr>
                <w:b/>
              </w:rPr>
            </w:pPr>
            <w:r w:rsidRPr="00FA7375">
              <w:rPr>
                <w:b/>
              </w:rPr>
              <w:t>TOTAL</w:t>
            </w:r>
          </w:p>
        </w:tc>
        <w:tc>
          <w:tcPr>
            <w:tcW w:w="1843" w:type="dxa"/>
          </w:tcPr>
          <w:p w:rsidR="007F6FDB" w:rsidRPr="00FA7375" w:rsidRDefault="007F6FDB" w:rsidP="007F6FDB">
            <w:pPr>
              <w:spacing w:after="0"/>
              <w:jc w:val="right"/>
              <w:rPr>
                <w:b/>
              </w:rPr>
            </w:pPr>
            <w:r w:rsidRPr="00FA7375">
              <w:rPr>
                <w:b/>
              </w:rPr>
              <w:t>13,650</w:t>
            </w:r>
          </w:p>
        </w:tc>
        <w:tc>
          <w:tcPr>
            <w:tcW w:w="1843" w:type="dxa"/>
          </w:tcPr>
          <w:p w:rsidR="007F6FDB" w:rsidRPr="00FA7375" w:rsidRDefault="007F6FDB" w:rsidP="007F6FDB">
            <w:pPr>
              <w:spacing w:after="0"/>
              <w:jc w:val="right"/>
              <w:rPr>
                <w:b/>
              </w:rPr>
            </w:pPr>
            <w:r w:rsidRPr="00FA7375">
              <w:rPr>
                <w:b/>
              </w:rPr>
              <w:t>12,127</w:t>
            </w:r>
          </w:p>
        </w:tc>
        <w:tc>
          <w:tcPr>
            <w:tcW w:w="1843" w:type="dxa"/>
          </w:tcPr>
          <w:p w:rsidR="007F6FDB" w:rsidRPr="00FA7375" w:rsidRDefault="007F6FDB" w:rsidP="007F6FDB">
            <w:pPr>
              <w:spacing w:after="0"/>
              <w:jc w:val="right"/>
              <w:rPr>
                <w:b/>
              </w:rPr>
            </w:pPr>
            <w:r w:rsidRPr="00FA7375">
              <w:rPr>
                <w:b/>
              </w:rPr>
              <w:t>+13%</w:t>
            </w:r>
          </w:p>
        </w:tc>
      </w:tr>
    </w:tbl>
    <w:p w:rsidR="004C5748" w:rsidRPr="00071143" w:rsidRDefault="004C5748" w:rsidP="004C5748">
      <w:pPr>
        <w:jc w:val="both"/>
        <w:rPr>
          <w:rFonts w:asciiTheme="minorHAnsi" w:hAnsiTheme="minorHAnsi" w:cstheme="minorHAnsi"/>
        </w:rPr>
      </w:pPr>
    </w:p>
    <w:p w:rsidR="004C5748" w:rsidRPr="00C85F02" w:rsidRDefault="004C5748" w:rsidP="004C5748">
      <w:pPr>
        <w:rPr>
          <w:rFonts w:asciiTheme="minorHAnsi" w:hAnsiTheme="minorHAnsi" w:cstheme="minorHAnsi"/>
          <w:b/>
          <w:color w:val="BA0C2F"/>
        </w:rPr>
      </w:pPr>
      <w:r w:rsidRPr="00C85F02">
        <w:rPr>
          <w:rFonts w:asciiTheme="minorHAnsi" w:hAnsiTheme="minorHAnsi" w:cstheme="minorHAnsi"/>
          <w:b/>
          <w:color w:val="BA0C2F"/>
        </w:rPr>
        <w:t>Outlook</w:t>
      </w:r>
    </w:p>
    <w:p w:rsidR="004C5748" w:rsidRPr="00560CE5" w:rsidRDefault="004C5748" w:rsidP="004C5748">
      <w:pPr>
        <w:jc w:val="both"/>
        <w:rPr>
          <w:i/>
          <w:lang w:val="en-US"/>
        </w:rPr>
      </w:pPr>
      <w:proofErr w:type="spellStart"/>
      <w:r w:rsidRPr="00484324">
        <w:rPr>
          <w:rFonts w:asciiTheme="minorHAnsi" w:hAnsiTheme="minorHAnsi" w:cstheme="minorHAnsi"/>
          <w:color w:val="BA0C2F"/>
        </w:rPr>
        <w:t>Rood</w:t>
      </w:r>
      <w:r w:rsidRPr="00071143">
        <w:rPr>
          <w:rFonts w:asciiTheme="minorHAnsi" w:hAnsiTheme="minorHAnsi" w:cstheme="minorHAnsi"/>
        </w:rPr>
        <w:t>Microtec</w:t>
      </w:r>
      <w:proofErr w:type="spellEnd"/>
      <w:r w:rsidRPr="00071143">
        <w:rPr>
          <w:rFonts w:asciiTheme="minorHAnsi" w:hAnsiTheme="minorHAnsi" w:cstheme="minorHAnsi"/>
        </w:rPr>
        <w:t xml:space="preserve"> expects a continuing revenue increase over the next years and projects the revenue in 2020 to be approximately EUR 18 million. The results will continue to </w:t>
      </w:r>
      <w:proofErr w:type="gramStart"/>
      <w:r w:rsidRPr="00071143">
        <w:rPr>
          <w:rFonts w:asciiTheme="minorHAnsi" w:hAnsiTheme="minorHAnsi" w:cstheme="minorHAnsi"/>
        </w:rPr>
        <w:t>improve</w:t>
      </w:r>
      <w:proofErr w:type="gramEnd"/>
      <w:r w:rsidRPr="00071143">
        <w:rPr>
          <w:rFonts w:asciiTheme="minorHAnsi" w:hAnsiTheme="minorHAnsi" w:cstheme="minorHAnsi"/>
        </w:rPr>
        <w:t xml:space="preserve"> and the company expects to report yearly positive</w:t>
      </w:r>
      <w:r>
        <w:rPr>
          <w:rFonts w:asciiTheme="minorHAnsi" w:hAnsiTheme="minorHAnsi" w:cstheme="minorHAnsi"/>
        </w:rPr>
        <w:t>.</w:t>
      </w:r>
    </w:p>
    <w:p w:rsidR="00ED530D" w:rsidRPr="004C5748" w:rsidRDefault="00ED530D" w:rsidP="007F6FDB">
      <w:pPr>
        <w:ind w:left="28"/>
        <w:jc w:val="both"/>
        <w:rPr>
          <w:rFonts w:asciiTheme="minorHAnsi" w:hAnsiTheme="minorHAnsi" w:cstheme="minorHAnsi"/>
          <w:szCs w:val="20"/>
          <w:lang w:val="en-US"/>
        </w:rPr>
      </w:pPr>
    </w:p>
    <w:p w:rsidR="007F6FDB" w:rsidRPr="007F6FDB" w:rsidRDefault="007F6FDB" w:rsidP="007F6FDB">
      <w:pPr>
        <w:rPr>
          <w:rFonts w:asciiTheme="minorHAnsi" w:hAnsiTheme="minorHAnsi" w:cstheme="minorHAnsi"/>
          <w:b/>
          <w:color w:val="BA0C2F"/>
        </w:rPr>
      </w:pPr>
      <w:r w:rsidRPr="007F6FDB">
        <w:rPr>
          <w:rFonts w:asciiTheme="minorHAnsi" w:hAnsiTheme="minorHAnsi" w:cstheme="minorHAnsi"/>
          <w:b/>
          <w:color w:val="BA0C2F"/>
        </w:rPr>
        <w:lastRenderedPageBreak/>
        <w:t>Audit</w:t>
      </w:r>
    </w:p>
    <w:p w:rsidR="007F6FDB" w:rsidRPr="007F6FDB" w:rsidRDefault="007F6FDB" w:rsidP="007F6FDB">
      <w:pPr>
        <w:spacing w:after="0"/>
        <w:ind w:right="284"/>
        <w:jc w:val="both"/>
        <w:rPr>
          <w:rFonts w:asciiTheme="minorHAnsi" w:hAnsiTheme="minorHAnsi" w:cstheme="minorHAnsi"/>
        </w:rPr>
      </w:pPr>
      <w:r w:rsidRPr="007F6FDB">
        <w:rPr>
          <w:rFonts w:asciiTheme="minorHAnsi" w:hAnsiTheme="minorHAnsi" w:cstheme="minorHAnsi"/>
        </w:rPr>
        <w:t xml:space="preserve">The financial data has not been audited. </w:t>
      </w:r>
    </w:p>
    <w:p w:rsidR="007F6FDB" w:rsidRPr="00274915" w:rsidRDefault="007F6FDB" w:rsidP="004C5748">
      <w:pPr>
        <w:spacing w:after="0"/>
        <w:ind w:left="28"/>
        <w:jc w:val="both"/>
        <w:rPr>
          <w:rFonts w:asciiTheme="minorHAnsi" w:hAnsiTheme="minorHAnsi" w:cstheme="minorHAnsi"/>
          <w:szCs w:val="20"/>
        </w:rPr>
      </w:pPr>
    </w:p>
    <w:p w:rsidR="007F6FDB" w:rsidRPr="007F6FDB" w:rsidRDefault="007F6FDB" w:rsidP="007F6FDB">
      <w:pPr>
        <w:rPr>
          <w:rFonts w:asciiTheme="minorHAnsi" w:hAnsiTheme="minorHAnsi" w:cstheme="minorHAnsi"/>
          <w:b/>
          <w:color w:val="BA0C2F"/>
        </w:rPr>
      </w:pPr>
      <w:r w:rsidRPr="007F6FDB">
        <w:rPr>
          <w:rFonts w:asciiTheme="minorHAnsi" w:hAnsiTheme="minorHAnsi" w:cstheme="minorHAnsi"/>
          <w:b/>
          <w:color w:val="BA0C2F"/>
        </w:rPr>
        <w:t>Forward-looking statements</w:t>
      </w:r>
    </w:p>
    <w:p w:rsidR="007F6FDB" w:rsidRPr="007F6FDB" w:rsidRDefault="007F6FDB" w:rsidP="007F6FDB">
      <w:pPr>
        <w:spacing w:after="0"/>
        <w:ind w:right="284"/>
        <w:jc w:val="both"/>
        <w:rPr>
          <w:rFonts w:asciiTheme="minorHAnsi" w:hAnsiTheme="minorHAnsi" w:cstheme="minorHAnsi"/>
        </w:rPr>
      </w:pPr>
      <w:r w:rsidRPr="007F6FDB">
        <w:rPr>
          <w:rFonts w:asciiTheme="minorHAnsi" w:hAnsiTheme="minorHAnsi" w:cstheme="minorHAnsi"/>
        </w:rPr>
        <w:t xml:space="preserve">This press release contains </w:t>
      </w:r>
      <w:proofErr w:type="gramStart"/>
      <w:r w:rsidRPr="007F6FDB">
        <w:rPr>
          <w:rFonts w:asciiTheme="minorHAnsi" w:hAnsiTheme="minorHAnsi" w:cstheme="minorHAnsi"/>
        </w:rPr>
        <w:t>a number of</w:t>
      </w:r>
      <w:proofErr w:type="gramEnd"/>
      <w:r w:rsidRPr="007F6FDB">
        <w:rPr>
          <w:rFonts w:asciiTheme="minorHAnsi" w:hAnsiTheme="minorHAnsi" w:cstheme="minorHAnsi"/>
        </w:rPr>
        <w:t xml:space="preserve"> forward-looking statements. These statements are based on current expectations, estimates and prognoses of the board of management and on the information currently available to the company. The statements are subject to certain risks and uncertainties which are hard to evaluate, such as the general economic conditions, interest rates, exchange rates and amendments to statutory laws and regulations. The board of management of </w:t>
      </w:r>
      <w:proofErr w:type="spellStart"/>
      <w:r w:rsidRPr="00484324">
        <w:rPr>
          <w:rFonts w:asciiTheme="minorHAnsi" w:hAnsiTheme="minorHAnsi" w:cstheme="minorHAnsi"/>
          <w:color w:val="BA0C2F"/>
        </w:rPr>
        <w:t>Rood</w:t>
      </w:r>
      <w:r w:rsidRPr="007F6FDB">
        <w:rPr>
          <w:rFonts w:asciiTheme="minorHAnsi" w:hAnsiTheme="minorHAnsi" w:cstheme="minorHAnsi"/>
        </w:rPr>
        <w:t>Microtec</w:t>
      </w:r>
      <w:proofErr w:type="spellEnd"/>
      <w:r w:rsidRPr="007F6FDB">
        <w:rPr>
          <w:rFonts w:asciiTheme="minorHAnsi" w:hAnsiTheme="minorHAnsi" w:cstheme="minorHAnsi"/>
        </w:rPr>
        <w:t xml:space="preserve"> cannot guarantee that its expectations will materialise. Furthermore, </w:t>
      </w:r>
      <w:proofErr w:type="spellStart"/>
      <w:r w:rsidRPr="00484324">
        <w:rPr>
          <w:rFonts w:asciiTheme="minorHAnsi" w:hAnsiTheme="minorHAnsi" w:cstheme="minorHAnsi"/>
          <w:color w:val="BA0C2F"/>
        </w:rPr>
        <w:t>Rood</w:t>
      </w:r>
      <w:r w:rsidRPr="007F6FDB">
        <w:rPr>
          <w:rFonts w:asciiTheme="minorHAnsi" w:hAnsiTheme="minorHAnsi" w:cstheme="minorHAnsi"/>
        </w:rPr>
        <w:t>Microtec</w:t>
      </w:r>
      <w:proofErr w:type="spellEnd"/>
      <w:r w:rsidRPr="007F6FDB">
        <w:rPr>
          <w:rFonts w:asciiTheme="minorHAnsi" w:hAnsiTheme="minorHAnsi" w:cstheme="minorHAnsi"/>
        </w:rPr>
        <w:t xml:space="preserve"> does not accept any obligation to update the statements made in this press release. </w:t>
      </w:r>
    </w:p>
    <w:p w:rsidR="007F6FDB" w:rsidRPr="00274915" w:rsidRDefault="007F6FDB" w:rsidP="004C5748">
      <w:pPr>
        <w:spacing w:after="0"/>
        <w:ind w:left="28"/>
        <w:jc w:val="both"/>
        <w:rPr>
          <w:rFonts w:asciiTheme="minorHAnsi" w:hAnsiTheme="minorHAnsi" w:cstheme="minorHAnsi"/>
          <w:szCs w:val="20"/>
        </w:rPr>
      </w:pPr>
    </w:p>
    <w:p w:rsidR="007106A6" w:rsidRPr="007106A6" w:rsidRDefault="007106A6" w:rsidP="007106A6">
      <w:pPr>
        <w:rPr>
          <w:rFonts w:asciiTheme="minorHAnsi" w:hAnsiTheme="minorHAnsi" w:cstheme="minorHAnsi"/>
          <w:b/>
          <w:color w:val="BA0C2F"/>
        </w:rPr>
      </w:pPr>
      <w:r w:rsidRPr="007106A6">
        <w:rPr>
          <w:rFonts w:asciiTheme="minorHAnsi" w:hAnsiTheme="minorHAnsi" w:cstheme="minorHAnsi"/>
          <w:b/>
          <w:color w:val="BA0C2F"/>
        </w:rPr>
        <w:t>Financial agenda</w:t>
      </w:r>
    </w:p>
    <w:tbl>
      <w:tblPr>
        <w:tblW w:w="9604" w:type="dxa"/>
        <w:tblInd w:w="2" w:type="dxa"/>
        <w:tblLook w:val="00A0" w:firstRow="1" w:lastRow="0" w:firstColumn="1" w:lastColumn="0" w:noHBand="0" w:noVBand="0"/>
      </w:tblPr>
      <w:tblGrid>
        <w:gridCol w:w="2800"/>
        <w:gridCol w:w="6804"/>
      </w:tblGrid>
      <w:tr w:rsidR="007106A6" w:rsidRPr="007106A6" w:rsidTr="007E68B7">
        <w:trPr>
          <w:trHeight w:val="284"/>
        </w:trPr>
        <w:tc>
          <w:tcPr>
            <w:tcW w:w="2800" w:type="dxa"/>
          </w:tcPr>
          <w:p w:rsidR="007106A6" w:rsidRPr="007106A6" w:rsidRDefault="007106A6" w:rsidP="007106A6">
            <w:pPr>
              <w:spacing w:after="0"/>
              <w:jc w:val="both"/>
              <w:rPr>
                <w:rFonts w:asciiTheme="minorHAnsi" w:hAnsiTheme="minorHAnsi" w:cstheme="minorHAnsi"/>
              </w:rPr>
            </w:pPr>
            <w:r w:rsidRPr="007106A6">
              <w:rPr>
                <w:rFonts w:asciiTheme="minorHAnsi" w:hAnsiTheme="minorHAnsi" w:cstheme="minorHAnsi"/>
              </w:rPr>
              <w:t>14 March 2019</w:t>
            </w:r>
          </w:p>
        </w:tc>
        <w:tc>
          <w:tcPr>
            <w:tcW w:w="6804" w:type="dxa"/>
          </w:tcPr>
          <w:p w:rsidR="007106A6" w:rsidRPr="007106A6" w:rsidRDefault="007106A6" w:rsidP="007106A6">
            <w:pPr>
              <w:spacing w:after="0"/>
              <w:jc w:val="both"/>
              <w:rPr>
                <w:rFonts w:asciiTheme="minorHAnsi" w:hAnsiTheme="minorHAnsi" w:cstheme="minorHAnsi"/>
              </w:rPr>
            </w:pPr>
            <w:r w:rsidRPr="007106A6">
              <w:rPr>
                <w:rFonts w:asciiTheme="minorHAnsi" w:hAnsiTheme="minorHAnsi" w:cstheme="minorHAnsi"/>
              </w:rPr>
              <w:t>Publication (preliminary) annual figures 2018</w:t>
            </w:r>
          </w:p>
        </w:tc>
      </w:tr>
      <w:tr w:rsidR="007106A6" w:rsidRPr="007106A6" w:rsidTr="007E68B7">
        <w:trPr>
          <w:trHeight w:val="284"/>
        </w:trPr>
        <w:tc>
          <w:tcPr>
            <w:tcW w:w="2800" w:type="dxa"/>
          </w:tcPr>
          <w:p w:rsidR="007106A6" w:rsidRPr="007106A6" w:rsidRDefault="007106A6" w:rsidP="007106A6">
            <w:pPr>
              <w:spacing w:after="0"/>
              <w:jc w:val="both"/>
              <w:rPr>
                <w:rFonts w:asciiTheme="minorHAnsi" w:hAnsiTheme="minorHAnsi" w:cstheme="minorHAnsi"/>
              </w:rPr>
            </w:pPr>
            <w:r w:rsidRPr="007106A6">
              <w:rPr>
                <w:rFonts w:asciiTheme="minorHAnsi" w:hAnsiTheme="minorHAnsi" w:cstheme="minorHAnsi"/>
              </w:rPr>
              <w:t>14 March 2019</w:t>
            </w:r>
          </w:p>
        </w:tc>
        <w:tc>
          <w:tcPr>
            <w:tcW w:w="6804" w:type="dxa"/>
          </w:tcPr>
          <w:p w:rsidR="007106A6" w:rsidRPr="007106A6" w:rsidRDefault="007106A6" w:rsidP="007106A6">
            <w:pPr>
              <w:spacing w:after="0"/>
              <w:jc w:val="both"/>
              <w:rPr>
                <w:rFonts w:asciiTheme="minorHAnsi" w:hAnsiTheme="minorHAnsi" w:cstheme="minorHAnsi"/>
              </w:rPr>
            </w:pPr>
            <w:r w:rsidRPr="007106A6">
              <w:rPr>
                <w:rFonts w:asciiTheme="minorHAnsi" w:hAnsiTheme="minorHAnsi" w:cstheme="minorHAnsi"/>
              </w:rPr>
              <w:t>Conference call for press and analysts</w:t>
            </w:r>
          </w:p>
        </w:tc>
      </w:tr>
      <w:tr w:rsidR="007106A6" w:rsidRPr="007106A6" w:rsidTr="007E68B7">
        <w:trPr>
          <w:trHeight w:val="284"/>
        </w:trPr>
        <w:tc>
          <w:tcPr>
            <w:tcW w:w="2800" w:type="dxa"/>
          </w:tcPr>
          <w:p w:rsidR="007106A6" w:rsidRPr="007106A6" w:rsidRDefault="007106A6" w:rsidP="007106A6">
            <w:pPr>
              <w:spacing w:after="0"/>
              <w:jc w:val="both"/>
              <w:rPr>
                <w:rFonts w:asciiTheme="minorHAnsi" w:hAnsiTheme="minorHAnsi" w:cstheme="minorHAnsi"/>
              </w:rPr>
            </w:pPr>
            <w:r w:rsidRPr="007106A6">
              <w:rPr>
                <w:rFonts w:asciiTheme="minorHAnsi" w:hAnsiTheme="minorHAnsi" w:cstheme="minorHAnsi"/>
              </w:rPr>
              <w:t>04 April 2019</w:t>
            </w:r>
          </w:p>
        </w:tc>
        <w:tc>
          <w:tcPr>
            <w:tcW w:w="6804" w:type="dxa"/>
          </w:tcPr>
          <w:p w:rsidR="007106A6" w:rsidRPr="007106A6" w:rsidRDefault="007106A6" w:rsidP="007106A6">
            <w:pPr>
              <w:spacing w:after="0"/>
              <w:jc w:val="both"/>
              <w:rPr>
                <w:rFonts w:asciiTheme="minorHAnsi" w:hAnsiTheme="minorHAnsi" w:cstheme="minorHAnsi"/>
              </w:rPr>
            </w:pPr>
            <w:r w:rsidRPr="007106A6">
              <w:rPr>
                <w:rFonts w:asciiTheme="minorHAnsi" w:hAnsiTheme="minorHAnsi" w:cstheme="minorHAnsi"/>
              </w:rPr>
              <w:t>Publication annual report 2018</w:t>
            </w:r>
          </w:p>
        </w:tc>
      </w:tr>
      <w:tr w:rsidR="007106A6" w:rsidRPr="007106A6" w:rsidTr="007E68B7">
        <w:trPr>
          <w:trHeight w:val="284"/>
        </w:trPr>
        <w:tc>
          <w:tcPr>
            <w:tcW w:w="2800" w:type="dxa"/>
          </w:tcPr>
          <w:p w:rsidR="007106A6" w:rsidRPr="007106A6" w:rsidRDefault="007106A6" w:rsidP="007106A6">
            <w:pPr>
              <w:spacing w:after="0"/>
              <w:jc w:val="both"/>
              <w:rPr>
                <w:rFonts w:asciiTheme="minorHAnsi" w:hAnsiTheme="minorHAnsi" w:cstheme="minorHAnsi"/>
              </w:rPr>
            </w:pPr>
            <w:r w:rsidRPr="007106A6">
              <w:rPr>
                <w:rFonts w:asciiTheme="minorHAnsi" w:hAnsiTheme="minorHAnsi" w:cstheme="minorHAnsi"/>
              </w:rPr>
              <w:t>23 May 2019</w:t>
            </w:r>
          </w:p>
        </w:tc>
        <w:tc>
          <w:tcPr>
            <w:tcW w:w="6804" w:type="dxa"/>
          </w:tcPr>
          <w:p w:rsidR="007106A6" w:rsidRPr="007106A6" w:rsidRDefault="007106A6" w:rsidP="007106A6">
            <w:pPr>
              <w:spacing w:after="0"/>
              <w:jc w:val="both"/>
              <w:rPr>
                <w:rFonts w:asciiTheme="minorHAnsi" w:hAnsiTheme="minorHAnsi" w:cstheme="minorHAnsi"/>
              </w:rPr>
            </w:pPr>
            <w:r w:rsidRPr="007106A6">
              <w:rPr>
                <w:rFonts w:asciiTheme="minorHAnsi" w:hAnsiTheme="minorHAnsi" w:cstheme="minorHAnsi"/>
              </w:rPr>
              <w:t>Annual general meeting of shareholders</w:t>
            </w:r>
          </w:p>
        </w:tc>
      </w:tr>
      <w:tr w:rsidR="007106A6" w:rsidRPr="007106A6" w:rsidTr="007E68B7">
        <w:trPr>
          <w:trHeight w:val="284"/>
        </w:trPr>
        <w:tc>
          <w:tcPr>
            <w:tcW w:w="2800" w:type="dxa"/>
          </w:tcPr>
          <w:p w:rsidR="007106A6" w:rsidRPr="007106A6" w:rsidRDefault="007106A6" w:rsidP="007106A6">
            <w:pPr>
              <w:spacing w:after="0"/>
              <w:jc w:val="both"/>
              <w:rPr>
                <w:rFonts w:asciiTheme="minorHAnsi" w:hAnsiTheme="minorHAnsi" w:cstheme="minorHAnsi"/>
              </w:rPr>
            </w:pPr>
            <w:r w:rsidRPr="007106A6">
              <w:rPr>
                <w:rFonts w:asciiTheme="minorHAnsi" w:hAnsiTheme="minorHAnsi" w:cstheme="minorHAnsi"/>
              </w:rPr>
              <w:t>24 May 2019</w:t>
            </w:r>
          </w:p>
        </w:tc>
        <w:tc>
          <w:tcPr>
            <w:tcW w:w="6804" w:type="dxa"/>
          </w:tcPr>
          <w:p w:rsidR="007106A6" w:rsidRPr="007106A6" w:rsidRDefault="007106A6" w:rsidP="007106A6">
            <w:pPr>
              <w:spacing w:after="0"/>
              <w:jc w:val="both"/>
              <w:rPr>
                <w:rFonts w:asciiTheme="minorHAnsi" w:hAnsiTheme="minorHAnsi" w:cstheme="minorHAnsi"/>
              </w:rPr>
            </w:pPr>
            <w:r w:rsidRPr="007106A6">
              <w:rPr>
                <w:rFonts w:asciiTheme="minorHAnsi" w:hAnsiTheme="minorHAnsi" w:cstheme="minorHAnsi"/>
              </w:rPr>
              <w:t xml:space="preserve">Annual bondholders meeting </w:t>
            </w:r>
          </w:p>
        </w:tc>
      </w:tr>
      <w:tr w:rsidR="007106A6" w:rsidRPr="007106A6" w:rsidTr="007E68B7">
        <w:trPr>
          <w:trHeight w:val="284"/>
        </w:trPr>
        <w:tc>
          <w:tcPr>
            <w:tcW w:w="2800" w:type="dxa"/>
          </w:tcPr>
          <w:p w:rsidR="007106A6" w:rsidRPr="007106A6" w:rsidRDefault="007106A6" w:rsidP="007106A6">
            <w:pPr>
              <w:spacing w:after="0"/>
              <w:jc w:val="both"/>
              <w:rPr>
                <w:rFonts w:asciiTheme="minorHAnsi" w:hAnsiTheme="minorHAnsi" w:cstheme="minorHAnsi"/>
              </w:rPr>
            </w:pPr>
            <w:r w:rsidRPr="007106A6">
              <w:rPr>
                <w:rFonts w:asciiTheme="minorHAnsi" w:hAnsiTheme="minorHAnsi" w:cstheme="minorHAnsi"/>
              </w:rPr>
              <w:t>04 July 2019</w:t>
            </w:r>
          </w:p>
        </w:tc>
        <w:tc>
          <w:tcPr>
            <w:tcW w:w="6804" w:type="dxa"/>
          </w:tcPr>
          <w:p w:rsidR="007106A6" w:rsidRPr="007106A6" w:rsidRDefault="007106A6" w:rsidP="007106A6">
            <w:pPr>
              <w:spacing w:after="0"/>
              <w:jc w:val="both"/>
              <w:rPr>
                <w:rFonts w:asciiTheme="minorHAnsi" w:hAnsiTheme="minorHAnsi" w:cstheme="minorHAnsi"/>
              </w:rPr>
            </w:pPr>
            <w:r w:rsidRPr="007106A6">
              <w:rPr>
                <w:rFonts w:asciiTheme="minorHAnsi" w:hAnsiTheme="minorHAnsi" w:cstheme="minorHAnsi"/>
              </w:rPr>
              <w:t>Publication sales figures first half 2019</w:t>
            </w:r>
          </w:p>
        </w:tc>
      </w:tr>
      <w:tr w:rsidR="007106A6" w:rsidRPr="007106A6" w:rsidTr="007E68B7">
        <w:trPr>
          <w:trHeight w:val="287"/>
        </w:trPr>
        <w:tc>
          <w:tcPr>
            <w:tcW w:w="2800" w:type="dxa"/>
          </w:tcPr>
          <w:p w:rsidR="007106A6" w:rsidRPr="007106A6" w:rsidRDefault="007106A6" w:rsidP="007106A6">
            <w:pPr>
              <w:spacing w:after="0"/>
              <w:jc w:val="both"/>
              <w:rPr>
                <w:rFonts w:asciiTheme="minorHAnsi" w:hAnsiTheme="minorHAnsi" w:cstheme="minorHAnsi"/>
              </w:rPr>
            </w:pPr>
            <w:r w:rsidRPr="007106A6">
              <w:rPr>
                <w:rFonts w:asciiTheme="minorHAnsi" w:hAnsiTheme="minorHAnsi" w:cstheme="minorHAnsi"/>
              </w:rPr>
              <w:t>01 August 2019</w:t>
            </w:r>
          </w:p>
        </w:tc>
        <w:tc>
          <w:tcPr>
            <w:tcW w:w="6804" w:type="dxa"/>
          </w:tcPr>
          <w:p w:rsidR="007106A6" w:rsidRPr="007106A6" w:rsidRDefault="007106A6" w:rsidP="007106A6">
            <w:pPr>
              <w:spacing w:after="0"/>
              <w:jc w:val="both"/>
              <w:rPr>
                <w:rFonts w:asciiTheme="minorHAnsi" w:hAnsiTheme="minorHAnsi" w:cstheme="minorHAnsi"/>
              </w:rPr>
            </w:pPr>
            <w:r w:rsidRPr="007106A6">
              <w:rPr>
                <w:rFonts w:asciiTheme="minorHAnsi" w:hAnsiTheme="minorHAnsi" w:cstheme="minorHAnsi"/>
              </w:rPr>
              <w:t>Publication interim report 2019</w:t>
            </w:r>
          </w:p>
        </w:tc>
      </w:tr>
      <w:tr w:rsidR="007106A6" w:rsidRPr="007106A6" w:rsidTr="007E68B7">
        <w:trPr>
          <w:trHeight w:val="292"/>
        </w:trPr>
        <w:tc>
          <w:tcPr>
            <w:tcW w:w="2800" w:type="dxa"/>
          </w:tcPr>
          <w:p w:rsidR="007106A6" w:rsidRPr="007106A6" w:rsidRDefault="007106A6" w:rsidP="007106A6">
            <w:pPr>
              <w:spacing w:after="0"/>
              <w:jc w:val="both"/>
              <w:rPr>
                <w:rFonts w:asciiTheme="minorHAnsi" w:hAnsiTheme="minorHAnsi" w:cstheme="minorHAnsi"/>
              </w:rPr>
            </w:pPr>
            <w:r w:rsidRPr="007106A6">
              <w:rPr>
                <w:rFonts w:asciiTheme="minorHAnsi" w:hAnsiTheme="minorHAnsi" w:cstheme="minorHAnsi"/>
              </w:rPr>
              <w:t>01 August 2019</w:t>
            </w:r>
          </w:p>
        </w:tc>
        <w:tc>
          <w:tcPr>
            <w:tcW w:w="6804" w:type="dxa"/>
          </w:tcPr>
          <w:p w:rsidR="007106A6" w:rsidRPr="007106A6" w:rsidRDefault="007106A6" w:rsidP="007106A6">
            <w:pPr>
              <w:spacing w:after="0"/>
              <w:jc w:val="both"/>
              <w:rPr>
                <w:rFonts w:asciiTheme="minorHAnsi" w:hAnsiTheme="minorHAnsi" w:cstheme="minorHAnsi"/>
              </w:rPr>
            </w:pPr>
            <w:r w:rsidRPr="007106A6">
              <w:rPr>
                <w:rFonts w:asciiTheme="minorHAnsi" w:hAnsiTheme="minorHAnsi" w:cstheme="minorHAnsi"/>
              </w:rPr>
              <w:t>Conference call for press and analysts</w:t>
            </w:r>
          </w:p>
        </w:tc>
      </w:tr>
    </w:tbl>
    <w:p w:rsidR="007106A6" w:rsidRPr="00274915" w:rsidRDefault="007106A6" w:rsidP="004C5748">
      <w:pPr>
        <w:spacing w:after="0"/>
        <w:ind w:left="28"/>
        <w:jc w:val="both"/>
        <w:rPr>
          <w:rFonts w:asciiTheme="minorHAnsi" w:hAnsiTheme="minorHAnsi" w:cstheme="minorHAnsi"/>
          <w:szCs w:val="20"/>
        </w:rPr>
      </w:pPr>
    </w:p>
    <w:p w:rsidR="006D7E75" w:rsidRPr="00C85F02" w:rsidRDefault="006D7E75" w:rsidP="00057395">
      <w:pPr>
        <w:rPr>
          <w:rFonts w:asciiTheme="minorHAnsi" w:hAnsiTheme="minorHAnsi" w:cstheme="minorHAnsi"/>
          <w:b/>
          <w:color w:val="BA0C2F"/>
        </w:rPr>
      </w:pPr>
      <w:r w:rsidRPr="00C85F02">
        <w:rPr>
          <w:rFonts w:asciiTheme="minorHAnsi" w:hAnsiTheme="minorHAnsi" w:cstheme="minorHAnsi"/>
          <w:b/>
          <w:color w:val="BA0C2F"/>
        </w:rPr>
        <w:t xml:space="preserve">About </w:t>
      </w:r>
      <w:proofErr w:type="spellStart"/>
      <w:r w:rsidRPr="00C85F02">
        <w:rPr>
          <w:rFonts w:asciiTheme="minorHAnsi" w:hAnsiTheme="minorHAnsi" w:cstheme="minorHAnsi"/>
          <w:b/>
          <w:color w:val="BA0C2F"/>
        </w:rPr>
        <w:t>RoodMicrotec</w:t>
      </w:r>
      <w:proofErr w:type="spellEnd"/>
    </w:p>
    <w:p w:rsidR="006D7E75" w:rsidRPr="003E1F91" w:rsidRDefault="006D7E75" w:rsidP="008E047B">
      <w:pPr>
        <w:jc w:val="both"/>
        <w:rPr>
          <w:rFonts w:asciiTheme="minorHAnsi" w:hAnsiTheme="minorHAnsi" w:cstheme="minorHAnsi"/>
          <w:szCs w:val="20"/>
        </w:rPr>
      </w:pPr>
      <w:r w:rsidRPr="003E1F91">
        <w:rPr>
          <w:rFonts w:asciiTheme="minorHAnsi" w:hAnsiTheme="minorHAnsi" w:cstheme="minorHAnsi"/>
          <w:szCs w:val="20"/>
        </w:rPr>
        <w:t xml:space="preserve">With </w:t>
      </w:r>
      <w:r w:rsidR="0058155F">
        <w:rPr>
          <w:rFonts w:asciiTheme="minorHAnsi" w:hAnsiTheme="minorHAnsi" w:cstheme="minorHAnsi"/>
          <w:szCs w:val="20"/>
        </w:rPr>
        <w:t>50</w:t>
      </w:r>
      <w:r w:rsidRPr="003E1F91">
        <w:rPr>
          <w:rFonts w:asciiTheme="minorHAnsi" w:hAnsiTheme="minorHAnsi" w:cstheme="minorHAnsi"/>
          <w:szCs w:val="20"/>
        </w:rPr>
        <w:t xml:space="preserve"> years’ experience as an independent value-added service provider in the area of micro and optoelectronics, </w:t>
      </w:r>
      <w:proofErr w:type="spellStart"/>
      <w:r w:rsidRPr="00484324">
        <w:rPr>
          <w:rFonts w:asciiTheme="minorHAnsi" w:hAnsiTheme="minorHAnsi" w:cstheme="minorHAnsi"/>
          <w:color w:val="BA0C2F"/>
          <w:szCs w:val="20"/>
        </w:rPr>
        <w:t>Rood</w:t>
      </w:r>
      <w:r w:rsidRPr="003E1F91">
        <w:rPr>
          <w:rFonts w:asciiTheme="minorHAnsi" w:hAnsiTheme="minorHAnsi" w:cstheme="minorHAnsi"/>
          <w:szCs w:val="20"/>
        </w:rPr>
        <w:t>Microtec</w:t>
      </w:r>
      <w:proofErr w:type="spellEnd"/>
      <w:r w:rsidRPr="003E1F91">
        <w:rPr>
          <w:rFonts w:asciiTheme="minorHAnsi" w:hAnsiTheme="minorHAnsi" w:cstheme="minorHAnsi"/>
          <w:szCs w:val="20"/>
        </w:rPr>
        <w:t xml:space="preserve"> offers Fabless Companies, OEMs and other companies a one-stop shop proposition. With its powerful solutions </w:t>
      </w:r>
      <w:proofErr w:type="spellStart"/>
      <w:r w:rsidRPr="00484324">
        <w:rPr>
          <w:rFonts w:asciiTheme="minorHAnsi" w:hAnsiTheme="minorHAnsi" w:cstheme="minorHAnsi"/>
          <w:color w:val="BA0C2F"/>
          <w:szCs w:val="20"/>
        </w:rPr>
        <w:t>Rood</w:t>
      </w:r>
      <w:r w:rsidRPr="003E1F91">
        <w:rPr>
          <w:rFonts w:asciiTheme="minorHAnsi" w:hAnsiTheme="minorHAnsi" w:cstheme="minorHAnsi"/>
          <w:szCs w:val="20"/>
        </w:rPr>
        <w:t>Microtec</w:t>
      </w:r>
      <w:proofErr w:type="spellEnd"/>
      <w:r w:rsidRPr="003E1F91">
        <w:rPr>
          <w:rFonts w:asciiTheme="minorHAnsi" w:hAnsiTheme="minorHAnsi" w:cstheme="minorHAnsi"/>
          <w:szCs w:val="20"/>
        </w:rPr>
        <w:t xml:space="preserve"> has built up a strong position in Europe.</w:t>
      </w:r>
    </w:p>
    <w:p w:rsidR="006D7E75" w:rsidRPr="003E1F91" w:rsidRDefault="006D7E75" w:rsidP="008E047B">
      <w:pPr>
        <w:jc w:val="both"/>
        <w:rPr>
          <w:rFonts w:asciiTheme="minorHAnsi" w:hAnsiTheme="minorHAnsi" w:cstheme="minorHAnsi"/>
          <w:szCs w:val="20"/>
        </w:rPr>
      </w:pPr>
      <w:r w:rsidRPr="003E1F91">
        <w:rPr>
          <w:rFonts w:asciiTheme="minorHAnsi" w:hAnsiTheme="minorHAnsi" w:cstheme="minorHAnsi"/>
          <w:szCs w:val="20"/>
        </w:rPr>
        <w:t xml:space="preserve">Our services comply with the industrial and quality requirements of the high reliability/space, automotive, telecommunications, </w:t>
      </w:r>
      <w:r>
        <w:rPr>
          <w:rFonts w:asciiTheme="minorHAnsi" w:hAnsiTheme="minorHAnsi" w:cstheme="minorHAnsi"/>
          <w:szCs w:val="20"/>
        </w:rPr>
        <w:t>healthcare</w:t>
      </w:r>
      <w:r w:rsidRPr="003E1F91">
        <w:rPr>
          <w:rFonts w:asciiTheme="minorHAnsi" w:hAnsiTheme="minorHAnsi" w:cstheme="minorHAnsi"/>
          <w:szCs w:val="20"/>
        </w:rPr>
        <w:t>, industrial and electronics sectors.</w:t>
      </w:r>
    </w:p>
    <w:p w:rsidR="006D7E75" w:rsidRPr="003E1F91" w:rsidRDefault="006D7E75" w:rsidP="008E047B">
      <w:pPr>
        <w:jc w:val="both"/>
        <w:rPr>
          <w:rFonts w:asciiTheme="minorHAnsi" w:hAnsiTheme="minorHAnsi" w:cstheme="minorHAnsi"/>
          <w:szCs w:val="20"/>
        </w:rPr>
      </w:pPr>
      <w:r w:rsidRPr="003E1F91">
        <w:rPr>
          <w:rFonts w:asciiTheme="minorHAnsi" w:hAnsiTheme="minorHAnsi" w:cstheme="minorHAnsi"/>
          <w:szCs w:val="20"/>
        </w:rPr>
        <w:t>Our integrated quality management system is based on international DIN EN ISO 9001:2015 standards. In addition, our quality management is broadly consistent with the Automotive Specification ISO/TS 16949. The company also has an accredited laboratory for test activities and qualification to the ISO/IEC 17025 standard.</w:t>
      </w:r>
    </w:p>
    <w:p w:rsidR="006D7E75" w:rsidRPr="003E1F91" w:rsidRDefault="006D7E75" w:rsidP="008E047B">
      <w:pPr>
        <w:jc w:val="both"/>
        <w:rPr>
          <w:rFonts w:asciiTheme="minorHAnsi" w:hAnsiTheme="minorHAnsi" w:cstheme="minorHAnsi"/>
          <w:szCs w:val="20"/>
        </w:rPr>
      </w:pPr>
      <w:r w:rsidRPr="003E1F91">
        <w:rPr>
          <w:rFonts w:asciiTheme="minorHAnsi" w:hAnsiTheme="minorHAnsi" w:cstheme="minorHAnsi"/>
          <w:szCs w:val="20"/>
        </w:rPr>
        <w:t>Its value-added services include supply chain management and total manufacturing solutions with partners, failure &amp; technology analysis, qualification &amp; burn-in, test &amp; product engineering, production test (including device programming and end-of-line service), ESD/ESDFOS assessment &amp; training and quality &amp; reliability consulting.</w:t>
      </w:r>
    </w:p>
    <w:p w:rsidR="006D7E75" w:rsidRDefault="006D7E75" w:rsidP="008E047B">
      <w:pPr>
        <w:jc w:val="both"/>
        <w:rPr>
          <w:rFonts w:asciiTheme="minorHAnsi" w:hAnsiTheme="minorHAnsi" w:cstheme="minorHAnsi"/>
          <w:szCs w:val="20"/>
        </w:rPr>
      </w:pPr>
      <w:proofErr w:type="spellStart"/>
      <w:r w:rsidRPr="00484324">
        <w:rPr>
          <w:rFonts w:asciiTheme="minorHAnsi" w:hAnsiTheme="minorHAnsi" w:cstheme="minorHAnsi"/>
          <w:color w:val="BA0C2F"/>
          <w:szCs w:val="20"/>
        </w:rPr>
        <w:t>Rood</w:t>
      </w:r>
      <w:r w:rsidRPr="003E1F91">
        <w:rPr>
          <w:rFonts w:asciiTheme="minorHAnsi" w:hAnsiTheme="minorHAnsi" w:cstheme="minorHAnsi"/>
          <w:szCs w:val="20"/>
        </w:rPr>
        <w:t>Microtec</w:t>
      </w:r>
      <w:proofErr w:type="spellEnd"/>
      <w:r w:rsidRPr="003E1F91">
        <w:rPr>
          <w:rFonts w:asciiTheme="minorHAnsi" w:hAnsiTheme="minorHAnsi" w:cstheme="minorHAnsi"/>
          <w:szCs w:val="20"/>
        </w:rPr>
        <w:t xml:space="preserve"> has branches in Germany (</w:t>
      </w:r>
      <w:proofErr w:type="spellStart"/>
      <w:r w:rsidRPr="003E1F91">
        <w:rPr>
          <w:rFonts w:asciiTheme="minorHAnsi" w:hAnsiTheme="minorHAnsi" w:cstheme="minorHAnsi"/>
          <w:szCs w:val="20"/>
        </w:rPr>
        <w:t>Nördlingen</w:t>
      </w:r>
      <w:proofErr w:type="spellEnd"/>
      <w:r w:rsidRPr="003E1F91">
        <w:rPr>
          <w:rFonts w:asciiTheme="minorHAnsi" w:hAnsiTheme="minorHAnsi" w:cstheme="minorHAnsi"/>
          <w:szCs w:val="20"/>
        </w:rPr>
        <w:t>, Stuttgart), United Kingdom (Bath) and the Netherlands (Zwolle).</w:t>
      </w:r>
    </w:p>
    <w:p w:rsidR="001651A5" w:rsidRPr="003E1F91" w:rsidRDefault="001651A5" w:rsidP="001651A5">
      <w:pPr>
        <w:tabs>
          <w:tab w:val="left" w:pos="10490"/>
        </w:tabs>
        <w:ind w:right="284"/>
        <w:jc w:val="both"/>
        <w:rPr>
          <w:rFonts w:asciiTheme="minorHAnsi" w:hAnsiTheme="minorHAnsi" w:cstheme="minorHAnsi"/>
          <w:szCs w:val="20"/>
        </w:rPr>
      </w:pPr>
      <w:r w:rsidRPr="003E1F91">
        <w:rPr>
          <w:rFonts w:asciiTheme="minorHAnsi" w:hAnsiTheme="minorHAnsi" w:cstheme="minorHAnsi"/>
          <w:szCs w:val="20"/>
        </w:rPr>
        <w:t xml:space="preserve">For more information visit </w:t>
      </w:r>
      <w:hyperlink r:id="rId8" w:history="1">
        <w:r w:rsidRPr="003E1F91">
          <w:rPr>
            <w:rStyle w:val="Hyperlink"/>
            <w:rFonts w:asciiTheme="minorHAnsi" w:hAnsiTheme="minorHAnsi" w:cstheme="minorHAnsi"/>
            <w:szCs w:val="20"/>
          </w:rPr>
          <w:t>https://www.roodmicrotec.com</w:t>
        </w:r>
      </w:hyperlink>
    </w:p>
    <w:p w:rsidR="006D7E75" w:rsidRPr="00274915" w:rsidRDefault="006D7E75" w:rsidP="004C5748">
      <w:pPr>
        <w:spacing w:after="0"/>
        <w:ind w:left="28"/>
        <w:jc w:val="both"/>
        <w:rPr>
          <w:rFonts w:asciiTheme="minorHAnsi" w:hAnsiTheme="minorHAnsi" w:cstheme="minorHAnsi"/>
          <w:szCs w:val="20"/>
        </w:rPr>
      </w:pPr>
    </w:p>
    <w:p w:rsidR="006D7E75" w:rsidRPr="00C85F02" w:rsidRDefault="006D7E75" w:rsidP="00C85F02">
      <w:pPr>
        <w:rPr>
          <w:rFonts w:asciiTheme="minorHAnsi" w:hAnsiTheme="minorHAnsi" w:cstheme="minorHAnsi"/>
          <w:b/>
          <w:color w:val="BA0C2F"/>
        </w:rPr>
      </w:pPr>
      <w:r w:rsidRPr="00C85F02">
        <w:rPr>
          <w:rFonts w:asciiTheme="minorHAnsi" w:hAnsiTheme="minorHAnsi" w:cstheme="minorHAnsi"/>
          <w:b/>
          <w:color w:val="BA0C2F"/>
        </w:rPr>
        <w:t>Further information</w:t>
      </w:r>
    </w:p>
    <w:p w:rsidR="006D7E75" w:rsidRPr="003E1F91" w:rsidRDefault="006D7E75" w:rsidP="008E047B">
      <w:pPr>
        <w:tabs>
          <w:tab w:val="left" w:pos="3402"/>
          <w:tab w:val="left" w:pos="6804"/>
        </w:tabs>
        <w:spacing w:after="0"/>
        <w:jc w:val="both"/>
        <w:rPr>
          <w:rFonts w:asciiTheme="minorHAnsi" w:eastAsia="Times New Roman" w:hAnsiTheme="minorHAnsi" w:cstheme="minorHAnsi"/>
          <w:szCs w:val="20"/>
          <w:lang w:eastAsia="en-GB" w:bidi="en-GB"/>
        </w:rPr>
      </w:pPr>
      <w:r w:rsidRPr="003E1F91">
        <w:rPr>
          <w:rFonts w:asciiTheme="minorHAnsi" w:eastAsia="Times New Roman" w:hAnsiTheme="minorHAnsi" w:cstheme="minorHAnsi"/>
          <w:szCs w:val="20"/>
          <w:lang w:eastAsia="en-GB" w:bidi="en-GB"/>
        </w:rPr>
        <w:t xml:space="preserve">Martin </w:t>
      </w:r>
      <w:proofErr w:type="spellStart"/>
      <w:r w:rsidRPr="003E1F91">
        <w:rPr>
          <w:rFonts w:asciiTheme="minorHAnsi" w:eastAsia="Times New Roman" w:hAnsiTheme="minorHAnsi" w:cstheme="minorHAnsi"/>
          <w:szCs w:val="20"/>
          <w:lang w:eastAsia="en-GB" w:bidi="en-GB"/>
        </w:rPr>
        <w:t>Sallenhag</w:t>
      </w:r>
      <w:proofErr w:type="spellEnd"/>
      <w:r w:rsidRPr="003E1F91">
        <w:rPr>
          <w:rFonts w:asciiTheme="minorHAnsi" w:eastAsia="Times New Roman" w:hAnsiTheme="minorHAnsi" w:cstheme="minorHAnsi"/>
          <w:szCs w:val="20"/>
          <w:lang w:eastAsia="en-GB" w:bidi="en-GB"/>
        </w:rPr>
        <w:t xml:space="preserve"> - CEO, Reinhard </w:t>
      </w:r>
      <w:proofErr w:type="spellStart"/>
      <w:r w:rsidRPr="003E1F91">
        <w:rPr>
          <w:rFonts w:asciiTheme="minorHAnsi" w:eastAsia="Times New Roman" w:hAnsiTheme="minorHAnsi" w:cstheme="minorHAnsi"/>
          <w:szCs w:val="20"/>
          <w:lang w:eastAsia="en-GB" w:bidi="en-GB"/>
        </w:rPr>
        <w:t>Pusch</w:t>
      </w:r>
      <w:proofErr w:type="spellEnd"/>
      <w:r w:rsidRPr="003E1F91">
        <w:rPr>
          <w:rFonts w:asciiTheme="minorHAnsi" w:eastAsia="Times New Roman" w:hAnsiTheme="minorHAnsi" w:cstheme="minorHAnsi"/>
          <w:szCs w:val="20"/>
          <w:lang w:eastAsia="en-GB" w:bidi="en-GB"/>
        </w:rPr>
        <w:t xml:space="preserve"> - COO, </w:t>
      </w:r>
      <w:proofErr w:type="spellStart"/>
      <w:r w:rsidRPr="003E1F91">
        <w:rPr>
          <w:rFonts w:asciiTheme="minorHAnsi" w:eastAsia="Times New Roman" w:hAnsiTheme="minorHAnsi" w:cstheme="minorHAnsi"/>
          <w:szCs w:val="20"/>
          <w:lang w:eastAsia="en-GB" w:bidi="en-GB"/>
        </w:rPr>
        <w:t>Arvid</w:t>
      </w:r>
      <w:proofErr w:type="spellEnd"/>
      <w:r w:rsidRPr="003E1F91">
        <w:rPr>
          <w:rFonts w:asciiTheme="minorHAnsi" w:eastAsia="Times New Roman" w:hAnsiTheme="minorHAnsi" w:cstheme="minorHAnsi"/>
          <w:szCs w:val="20"/>
          <w:lang w:eastAsia="en-GB" w:bidi="en-GB"/>
        </w:rPr>
        <w:t xml:space="preserve"> </w:t>
      </w:r>
      <w:proofErr w:type="spellStart"/>
      <w:r w:rsidRPr="003E1F91">
        <w:rPr>
          <w:rFonts w:asciiTheme="minorHAnsi" w:eastAsia="Times New Roman" w:hAnsiTheme="minorHAnsi" w:cstheme="minorHAnsi"/>
          <w:szCs w:val="20"/>
          <w:lang w:eastAsia="en-GB" w:bidi="en-GB"/>
        </w:rPr>
        <w:t>Ladega</w:t>
      </w:r>
      <w:proofErr w:type="spellEnd"/>
      <w:r w:rsidRPr="003E1F91">
        <w:rPr>
          <w:rFonts w:asciiTheme="minorHAnsi" w:eastAsia="Times New Roman" w:hAnsiTheme="minorHAnsi" w:cstheme="minorHAnsi"/>
          <w:szCs w:val="20"/>
          <w:lang w:eastAsia="en-GB" w:bidi="en-GB"/>
        </w:rPr>
        <w:t xml:space="preserve"> - CFO</w:t>
      </w:r>
    </w:p>
    <w:p w:rsidR="006D7E75" w:rsidRDefault="006D7E75" w:rsidP="008E047B">
      <w:pPr>
        <w:tabs>
          <w:tab w:val="left" w:pos="2977"/>
          <w:tab w:val="left" w:pos="7371"/>
        </w:tabs>
        <w:spacing w:after="0"/>
        <w:jc w:val="both"/>
        <w:rPr>
          <w:rStyle w:val="Hyperlink"/>
          <w:rFonts w:asciiTheme="minorHAnsi" w:eastAsia="MS ????" w:hAnsiTheme="minorHAnsi" w:cstheme="minorHAnsi"/>
          <w:szCs w:val="20"/>
          <w:lang w:eastAsia="en-GB" w:bidi="en-GB"/>
        </w:rPr>
      </w:pPr>
      <w:r w:rsidRPr="003E1F91">
        <w:rPr>
          <w:rFonts w:asciiTheme="minorHAnsi" w:eastAsia="Times New Roman" w:hAnsiTheme="minorHAnsi" w:cstheme="minorHAnsi"/>
          <w:color w:val="000000"/>
          <w:szCs w:val="20"/>
          <w:lang w:eastAsia="en-GB" w:bidi="en-GB"/>
        </w:rPr>
        <w:t>Telephone: +31 38 4215216</w:t>
      </w:r>
      <w:r w:rsidR="005E0C1E">
        <w:rPr>
          <w:rFonts w:asciiTheme="minorHAnsi" w:eastAsia="Times New Roman" w:hAnsiTheme="minorHAnsi" w:cstheme="minorHAnsi"/>
          <w:color w:val="000000"/>
          <w:szCs w:val="20"/>
          <w:lang w:eastAsia="en-GB" w:bidi="en-GB"/>
        </w:rPr>
        <w:tab/>
      </w:r>
      <w:r w:rsidRPr="003E1F91">
        <w:rPr>
          <w:rFonts w:asciiTheme="minorHAnsi" w:eastAsia="Times New Roman" w:hAnsiTheme="minorHAnsi" w:cstheme="minorHAnsi"/>
          <w:color w:val="000000"/>
          <w:szCs w:val="20"/>
          <w:lang w:eastAsia="en-GB" w:bidi="en-GB"/>
        </w:rPr>
        <w:t>Email:</w:t>
      </w:r>
      <w:r w:rsidR="005E0C1E">
        <w:rPr>
          <w:rFonts w:asciiTheme="minorHAnsi" w:eastAsia="Times New Roman" w:hAnsiTheme="minorHAnsi" w:cstheme="minorHAnsi"/>
          <w:color w:val="000000"/>
          <w:szCs w:val="20"/>
          <w:lang w:eastAsia="en-GB" w:bidi="en-GB"/>
        </w:rPr>
        <w:t xml:space="preserve"> </w:t>
      </w:r>
      <w:hyperlink r:id="rId9" w:history="1">
        <w:r w:rsidRPr="003E1F91">
          <w:rPr>
            <w:rFonts w:asciiTheme="minorHAnsi" w:eastAsia="MS ????" w:hAnsiTheme="minorHAnsi" w:cstheme="minorHAnsi"/>
            <w:color w:val="0000FF"/>
            <w:szCs w:val="20"/>
            <w:u w:val="single"/>
            <w:lang w:eastAsia="en-GB" w:bidi="en-GB"/>
          </w:rPr>
          <w:t>investor-relations@roodmicrotec.com</w:t>
        </w:r>
      </w:hyperlink>
      <w:r w:rsidR="005E0C1E">
        <w:rPr>
          <w:rFonts w:asciiTheme="minorHAnsi" w:hAnsiTheme="minorHAnsi" w:cstheme="minorHAnsi"/>
          <w:szCs w:val="20"/>
        </w:rPr>
        <w:tab/>
      </w:r>
      <w:r w:rsidRPr="003E1F91">
        <w:rPr>
          <w:rFonts w:asciiTheme="minorHAnsi" w:eastAsia="Times New Roman" w:hAnsiTheme="minorHAnsi" w:cstheme="minorHAnsi"/>
          <w:color w:val="000000"/>
          <w:szCs w:val="20"/>
          <w:lang w:eastAsia="en-GB" w:bidi="en-GB"/>
        </w:rPr>
        <w:t>Web:</w:t>
      </w:r>
      <w:r w:rsidR="001401D2">
        <w:rPr>
          <w:rFonts w:asciiTheme="minorHAnsi" w:eastAsia="Times New Roman" w:hAnsiTheme="minorHAnsi" w:cstheme="minorHAnsi"/>
          <w:color w:val="000000"/>
          <w:szCs w:val="20"/>
          <w:lang w:eastAsia="en-GB" w:bidi="en-GB"/>
        </w:rPr>
        <w:t xml:space="preserve"> </w:t>
      </w:r>
      <w:hyperlink r:id="rId10" w:history="1">
        <w:r w:rsidR="005E0C1E" w:rsidRPr="000030D2">
          <w:rPr>
            <w:rStyle w:val="Hyperlink"/>
            <w:rFonts w:asciiTheme="minorHAnsi" w:eastAsia="MS ????" w:hAnsiTheme="minorHAnsi" w:cstheme="minorHAnsi"/>
            <w:szCs w:val="20"/>
            <w:lang w:eastAsia="en-GB" w:bidi="en-GB"/>
          </w:rPr>
          <w:t>www.roodmicrotec.com</w:t>
        </w:r>
      </w:hyperlink>
    </w:p>
    <w:p w:rsidR="004C5748" w:rsidRPr="003E1F91" w:rsidRDefault="004C5748" w:rsidP="008E047B">
      <w:pPr>
        <w:tabs>
          <w:tab w:val="left" w:pos="2977"/>
          <w:tab w:val="left" w:pos="7371"/>
        </w:tabs>
        <w:spacing w:after="0"/>
        <w:jc w:val="both"/>
        <w:rPr>
          <w:rFonts w:asciiTheme="minorHAnsi" w:eastAsia="Times New Roman" w:hAnsiTheme="minorHAnsi" w:cstheme="minorHAnsi"/>
          <w:szCs w:val="20"/>
          <w:lang w:eastAsia="en-GB" w:bidi="en-GB"/>
        </w:rPr>
      </w:pPr>
    </w:p>
    <w:p w:rsidR="00FA460A" w:rsidRPr="005E0C1E" w:rsidRDefault="00FA460A" w:rsidP="008E047B">
      <w:pPr>
        <w:spacing w:after="0"/>
        <w:ind w:right="-1"/>
        <w:jc w:val="both"/>
        <w:rPr>
          <w:i/>
          <w:sz w:val="18"/>
          <w:szCs w:val="18"/>
        </w:rPr>
      </w:pPr>
      <w:r w:rsidRPr="005E0C1E">
        <w:rPr>
          <w:i/>
          <w:sz w:val="18"/>
          <w:szCs w:val="18"/>
        </w:rPr>
        <w:t>This press release is published in English, Dutch and German. In case of conflict between these versions the English version shall prevail.</w:t>
      </w:r>
    </w:p>
    <w:p w:rsidR="00DD3676" w:rsidRPr="005E0C1E" w:rsidRDefault="00DD3676" w:rsidP="008E047B">
      <w:pPr>
        <w:spacing w:before="120" w:after="0"/>
        <w:jc w:val="both"/>
        <w:rPr>
          <w:rFonts w:asciiTheme="minorHAnsi" w:hAnsiTheme="minorHAnsi" w:cstheme="minorHAnsi"/>
          <w:i/>
          <w:sz w:val="18"/>
          <w:szCs w:val="18"/>
        </w:rPr>
      </w:pPr>
      <w:r w:rsidRPr="005E0C1E">
        <w:rPr>
          <w:rFonts w:asciiTheme="minorHAnsi" w:hAnsiTheme="minorHAnsi" w:cstheme="minorHAnsi"/>
          <w:i/>
          <w:sz w:val="18"/>
          <w:szCs w:val="18"/>
        </w:rPr>
        <w:t>This communication contains information that qualifies as inside information within the meaning of Article 7(1) of the EU Market Abuse Regulation.</w:t>
      </w:r>
      <w:r w:rsidRPr="005E0C1E">
        <w:rPr>
          <w:rFonts w:asciiTheme="minorHAnsi" w:hAnsiTheme="minorHAnsi" w:cstheme="minorHAnsi"/>
          <w:sz w:val="18"/>
          <w:szCs w:val="18"/>
        </w:rPr>
        <w:t xml:space="preserve"> </w:t>
      </w:r>
      <w:r w:rsidRPr="005E0C1E">
        <w:rPr>
          <w:rFonts w:asciiTheme="minorHAnsi" w:hAnsiTheme="minorHAnsi" w:cstheme="minorHAnsi"/>
          <w:i/>
          <w:sz w:val="18"/>
          <w:szCs w:val="18"/>
        </w:rPr>
        <w:t xml:space="preserve">The company’s managing director and CEO Martin </w:t>
      </w:r>
      <w:proofErr w:type="spellStart"/>
      <w:r w:rsidRPr="005E0C1E">
        <w:rPr>
          <w:rFonts w:asciiTheme="minorHAnsi" w:hAnsiTheme="minorHAnsi" w:cstheme="minorHAnsi"/>
          <w:i/>
          <w:sz w:val="18"/>
          <w:szCs w:val="18"/>
        </w:rPr>
        <w:t>Sallenhag</w:t>
      </w:r>
      <w:proofErr w:type="spellEnd"/>
      <w:r w:rsidRPr="005E0C1E">
        <w:rPr>
          <w:rFonts w:asciiTheme="minorHAnsi" w:hAnsiTheme="minorHAnsi" w:cstheme="minorHAnsi"/>
          <w:i/>
          <w:sz w:val="18"/>
          <w:szCs w:val="18"/>
        </w:rPr>
        <w:t xml:space="preserve">, is responsible for arranging for the release of this document on behalf of </w:t>
      </w:r>
      <w:proofErr w:type="spellStart"/>
      <w:r w:rsidRPr="00274915">
        <w:rPr>
          <w:rFonts w:asciiTheme="minorHAnsi" w:eastAsia="CIDFont+F1" w:hAnsiTheme="minorHAnsi" w:cstheme="minorHAnsi"/>
          <w:i/>
          <w:color w:val="BA0C2F"/>
          <w:sz w:val="18"/>
          <w:szCs w:val="18"/>
          <w:lang w:eastAsia="de-DE"/>
        </w:rPr>
        <w:t>Rood</w:t>
      </w:r>
      <w:r w:rsidRPr="005E0C1E">
        <w:rPr>
          <w:rFonts w:asciiTheme="minorHAnsi" w:eastAsia="CIDFont+F1" w:hAnsiTheme="minorHAnsi" w:cstheme="minorHAnsi"/>
          <w:i/>
          <w:color w:val="000000"/>
          <w:sz w:val="18"/>
          <w:szCs w:val="18"/>
          <w:lang w:eastAsia="de-DE"/>
        </w:rPr>
        <w:t>Microtec</w:t>
      </w:r>
      <w:proofErr w:type="spellEnd"/>
      <w:r w:rsidRPr="005E0C1E">
        <w:rPr>
          <w:rFonts w:asciiTheme="minorHAnsi" w:hAnsiTheme="minorHAnsi" w:cstheme="minorHAnsi"/>
          <w:i/>
          <w:sz w:val="18"/>
          <w:szCs w:val="18"/>
        </w:rPr>
        <w:t>.</w:t>
      </w:r>
    </w:p>
    <w:sectPr w:rsidR="00DD3676" w:rsidRPr="005E0C1E" w:rsidSect="00FB7A27">
      <w:footerReference w:type="default" r:id="rId11"/>
      <w:headerReference w:type="first" r:id="rId12"/>
      <w:footerReference w:type="first" r:id="rId13"/>
      <w:pgSz w:w="11906" w:h="16838" w:code="9"/>
      <w:pgMar w:top="568" w:right="566"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C43" w:rsidRDefault="00B24C43" w:rsidP="00487DE4">
      <w:pPr>
        <w:spacing w:after="0" w:line="240" w:lineRule="auto"/>
      </w:pPr>
      <w:r>
        <w:separator/>
      </w:r>
    </w:p>
  </w:endnote>
  <w:endnote w:type="continuationSeparator" w:id="0">
    <w:p w:rsidR="00B24C43" w:rsidRDefault="00B24C43"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CIDFont+F1">
    <w:altName w:val="MS Gothic"/>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C43" w:rsidRDefault="00A73B42" w:rsidP="00B50948">
    <w:pPr>
      <w:pStyle w:val="Fuzeile"/>
      <w:tabs>
        <w:tab w:val="clear" w:pos="9072"/>
      </w:tabs>
      <w:ind w:left="-284"/>
    </w:pPr>
    <w:r>
      <w:rPr>
        <w:noProof/>
        <w:lang w:eastAsia="de-DE"/>
      </w:rPr>
      <mc:AlternateContent>
        <mc:Choice Requires="wps">
          <w:drawing>
            <wp:anchor distT="0" distB="0" distL="114300" distR="114300" simplePos="0" relativeHeight="251660288" behindDoc="0" locked="0" layoutInCell="1" allowOverlap="1">
              <wp:simplePos x="0" y="0"/>
              <wp:positionH relativeFrom="column">
                <wp:posOffset>-132080</wp:posOffset>
              </wp:positionH>
              <wp:positionV relativeFrom="paragraph">
                <wp:posOffset>31750</wp:posOffset>
              </wp:positionV>
              <wp:extent cx="7063200" cy="223200"/>
              <wp:effectExtent l="0" t="0" r="4445" b="571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3200" cy="22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C43" w:rsidRPr="00B50948" w:rsidRDefault="004C5748" w:rsidP="00B50948">
                          <w:pPr>
                            <w:tabs>
                              <w:tab w:val="center" w:pos="5387"/>
                              <w:tab w:val="right" w:pos="10625"/>
                            </w:tabs>
                            <w:ind w:left="284" w:right="-47"/>
                            <w:rPr>
                              <w:color w:val="FFFFFF"/>
                            </w:rPr>
                          </w:pPr>
                          <w:proofErr w:type="spellStart"/>
                          <w:r>
                            <w:rPr>
                              <w:color w:val="FFFFFF"/>
                            </w:rPr>
                            <w:t>RoodMicrotec</w:t>
                          </w:r>
                          <w:proofErr w:type="spellEnd"/>
                          <w:r>
                            <w:rPr>
                              <w:color w:val="FFFFFF"/>
                            </w:rPr>
                            <w:t xml:space="preserve"> Unaudited preliminary revenue 2018</w:t>
                          </w:r>
                          <w:r w:rsidR="00B24C43" w:rsidRPr="00B50948">
                            <w:rPr>
                              <w:color w:val="FFFFFF"/>
                            </w:rPr>
                            <w:tab/>
                          </w:r>
                          <w:r w:rsidR="002A366D" w:rsidRPr="00B50948">
                            <w:rPr>
                              <w:color w:val="FFFFFF"/>
                            </w:rPr>
                            <w:fldChar w:fldCharType="begin"/>
                          </w:r>
                          <w:r w:rsidR="00B24C43" w:rsidRPr="00B50948">
                            <w:rPr>
                              <w:color w:val="FFFFFF"/>
                            </w:rPr>
                            <w:instrText xml:space="preserve"> PAGE   \* MERGEFORMAT </w:instrText>
                          </w:r>
                          <w:r w:rsidR="002A366D" w:rsidRPr="00B50948">
                            <w:rPr>
                              <w:color w:val="FFFFFF"/>
                            </w:rPr>
                            <w:fldChar w:fldCharType="separate"/>
                          </w:r>
                          <w:r w:rsidR="00ED530D">
                            <w:rPr>
                              <w:noProof/>
                              <w:color w:val="FFFFFF"/>
                            </w:rPr>
                            <w:t>2</w:t>
                          </w:r>
                          <w:r w:rsidR="002A366D" w:rsidRPr="00B50948">
                            <w:rPr>
                              <w:color w:val="FFFFFF"/>
                            </w:rPr>
                            <w:fldChar w:fldCharType="end"/>
                          </w:r>
                          <w:r w:rsidR="00B24C43" w:rsidRPr="00B50948">
                            <w:rPr>
                              <w:color w:val="FFFFFF"/>
                            </w:rPr>
                            <w:tab/>
                          </w:r>
                          <w:proofErr w:type="spellStart"/>
                          <w:r w:rsidR="00B24C43">
                            <w:rPr>
                              <w:color w:val="FFFFFF"/>
                            </w:rPr>
                            <w:t>RoodMicrotec</w:t>
                          </w:r>
                          <w:proofErr w:type="spellEnd"/>
                          <w:r w:rsidR="00B24C43">
                            <w:rPr>
                              <w:color w:val="FFFFFF"/>
                            </w:rPr>
                            <w:t xml:space="preserve"> </w:t>
                          </w:r>
                          <w:r w:rsidR="00B24C43" w:rsidRPr="00B50948">
                            <w:rPr>
                              <w:color w:val="FFFFFF"/>
                            </w:rPr>
                            <w:t>Press Release</w:t>
                          </w:r>
                        </w:p>
                        <w:p w:rsidR="00B24C43" w:rsidRPr="00F33608" w:rsidRDefault="00B24C43" w:rsidP="00B50948">
                          <w:pPr>
                            <w:tabs>
                              <w:tab w:val="center" w:pos="5387"/>
                            </w:tabs>
                            <w:ind w:left="284"/>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4pt;margin-top:2.5pt;width:556.1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Q0rAIAAKk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" filled="f" stroked="f">
              <v:textbox inset="0,0,0,0">
                <w:txbxContent>
                  <w:p w:rsidR="00B24C43" w:rsidRPr="00B50948" w:rsidRDefault="004C5748" w:rsidP="00B50948">
                    <w:pPr>
                      <w:tabs>
                        <w:tab w:val="center" w:pos="5387"/>
                        <w:tab w:val="right" w:pos="10625"/>
                      </w:tabs>
                      <w:ind w:left="284" w:right="-47"/>
                      <w:rPr>
                        <w:color w:val="FFFFFF"/>
                      </w:rPr>
                    </w:pPr>
                    <w:proofErr w:type="spellStart"/>
                    <w:r>
                      <w:rPr>
                        <w:color w:val="FFFFFF"/>
                      </w:rPr>
                      <w:t>RoodMicrotec</w:t>
                    </w:r>
                    <w:proofErr w:type="spellEnd"/>
                    <w:r>
                      <w:rPr>
                        <w:color w:val="FFFFFF"/>
                      </w:rPr>
                      <w:t xml:space="preserve"> Unaudited preliminary revenue 2018</w:t>
                    </w:r>
                    <w:r w:rsidR="00B24C43" w:rsidRPr="00B50948">
                      <w:rPr>
                        <w:color w:val="FFFFFF"/>
                      </w:rPr>
                      <w:tab/>
                    </w:r>
                    <w:r w:rsidR="002A366D" w:rsidRPr="00B50948">
                      <w:rPr>
                        <w:color w:val="FFFFFF"/>
                      </w:rPr>
                      <w:fldChar w:fldCharType="begin"/>
                    </w:r>
                    <w:r w:rsidR="00B24C43" w:rsidRPr="00B50948">
                      <w:rPr>
                        <w:color w:val="FFFFFF"/>
                      </w:rPr>
                      <w:instrText xml:space="preserve"> PAGE   \* MERGEFORMAT </w:instrText>
                    </w:r>
                    <w:r w:rsidR="002A366D" w:rsidRPr="00B50948">
                      <w:rPr>
                        <w:color w:val="FFFFFF"/>
                      </w:rPr>
                      <w:fldChar w:fldCharType="separate"/>
                    </w:r>
                    <w:r w:rsidR="00ED530D">
                      <w:rPr>
                        <w:noProof/>
                        <w:color w:val="FFFFFF"/>
                      </w:rPr>
                      <w:t>2</w:t>
                    </w:r>
                    <w:r w:rsidR="002A366D" w:rsidRPr="00B50948">
                      <w:rPr>
                        <w:color w:val="FFFFFF"/>
                      </w:rPr>
                      <w:fldChar w:fldCharType="end"/>
                    </w:r>
                    <w:r w:rsidR="00B24C43" w:rsidRPr="00B50948">
                      <w:rPr>
                        <w:color w:val="FFFFFF"/>
                      </w:rPr>
                      <w:tab/>
                    </w:r>
                    <w:proofErr w:type="spellStart"/>
                    <w:r w:rsidR="00B24C43">
                      <w:rPr>
                        <w:color w:val="FFFFFF"/>
                      </w:rPr>
                      <w:t>RoodMicrotec</w:t>
                    </w:r>
                    <w:proofErr w:type="spellEnd"/>
                    <w:r w:rsidR="00B24C43">
                      <w:rPr>
                        <w:color w:val="FFFFFF"/>
                      </w:rPr>
                      <w:t xml:space="preserve"> </w:t>
                    </w:r>
                    <w:r w:rsidR="00B24C43" w:rsidRPr="00B50948">
                      <w:rPr>
                        <w:color w:val="FFFFFF"/>
                      </w:rPr>
                      <w:t>Press Release</w:t>
                    </w:r>
                  </w:p>
                  <w:p w:rsidR="00B24C43" w:rsidRPr="00F33608" w:rsidRDefault="00B24C43" w:rsidP="00B50948">
                    <w:pPr>
                      <w:tabs>
                        <w:tab w:val="center" w:pos="5387"/>
                      </w:tabs>
                      <w:ind w:left="284"/>
                    </w:pPr>
                  </w:p>
                </w:txbxContent>
              </v:textbox>
            </v:shape>
          </w:pict>
        </mc:Fallback>
      </mc:AlternateContent>
    </w:r>
    <w:r w:rsidR="00B24C43">
      <w:rPr>
        <w:noProof/>
        <w:lang w:val="de-DE"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solidFill>
                    <a:srgbClr val="BA0C2F"/>
                  </a:solid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C43" w:rsidRDefault="004E7679" w:rsidP="00B1173A">
    <w:pPr>
      <w:pStyle w:val="Fuzeile"/>
      <w:tabs>
        <w:tab w:val="clear" w:pos="9072"/>
        <w:tab w:val="right" w:pos="10348"/>
      </w:tabs>
      <w:ind w:left="-284"/>
    </w:pPr>
    <w:r>
      <w:rPr>
        <w:noProof/>
      </w:rPr>
      <mc:AlternateContent>
        <mc:Choice Requires="wps">
          <w:drawing>
            <wp:anchor distT="0" distB="0" distL="114300" distR="114300" simplePos="0" relativeHeight="251656192" behindDoc="0" locked="0" layoutInCell="1" allowOverlap="1">
              <wp:simplePos x="0" y="0"/>
              <wp:positionH relativeFrom="margin">
                <wp:posOffset>-97155</wp:posOffset>
              </wp:positionH>
              <wp:positionV relativeFrom="paragraph">
                <wp:posOffset>-68316</wp:posOffset>
              </wp:positionV>
              <wp:extent cx="6659593" cy="163902"/>
              <wp:effectExtent l="0" t="0" r="8255"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593" cy="163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C43" w:rsidRPr="009D767A" w:rsidRDefault="002B1307" w:rsidP="00FB7A27">
                          <w:pPr>
                            <w:tabs>
                              <w:tab w:val="center" w:pos="5103"/>
                              <w:tab w:val="right" w:pos="10348"/>
                            </w:tabs>
                            <w:ind w:right="-63"/>
                            <w:rPr>
                              <w:color w:val="FFFFFF"/>
                            </w:rPr>
                          </w:pPr>
                          <w:proofErr w:type="spellStart"/>
                          <w:r>
                            <w:rPr>
                              <w:color w:val="FFFFFF"/>
                            </w:rPr>
                            <w:t>RoodMicrotec</w:t>
                          </w:r>
                          <w:proofErr w:type="spellEnd"/>
                          <w:r>
                            <w:rPr>
                              <w:color w:val="FFFFFF"/>
                            </w:rPr>
                            <w:t xml:space="preserve"> </w:t>
                          </w:r>
                          <w:r w:rsidR="004C5748">
                            <w:rPr>
                              <w:color w:val="FFFFFF"/>
                            </w:rPr>
                            <w:t>Unaudited preliminary revenue 2018</w:t>
                          </w:r>
                          <w:r w:rsidR="00B24C43">
                            <w:rPr>
                              <w:color w:val="FFFFFF"/>
                            </w:rPr>
                            <w:tab/>
                            <w:t>1</w:t>
                          </w:r>
                          <w:r w:rsidR="00B24C43">
                            <w:rPr>
                              <w:color w:val="FFFFFF"/>
                            </w:rPr>
                            <w:tab/>
                          </w:r>
                          <w:proofErr w:type="spellStart"/>
                          <w:r w:rsidR="00B24C43">
                            <w:rPr>
                              <w:color w:val="FFFFFF"/>
                            </w:rPr>
                            <w:t>RoodMicrotec</w:t>
                          </w:r>
                          <w:proofErr w:type="spellEnd"/>
                          <w:r w:rsidR="00B24C43">
                            <w:rPr>
                              <w:color w:val="FFFFFF"/>
                            </w:rPr>
                            <w:t xml:space="preserve"> Press Release</w:t>
                          </w:r>
                        </w:p>
                        <w:p w:rsidR="00B24C43" w:rsidRPr="00F33608" w:rsidRDefault="00B24C43" w:rsidP="00657E90">
                          <w:pPr>
                            <w:ind w:right="-205"/>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left:0;text-align:left;margin-left:-7.65pt;margin-top:-5.4pt;width:524.4pt;height:12.9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" filled="f" stroked="f">
              <v:textbox inset="0,0,0,0">
                <w:txbxContent>
                  <w:p w:rsidR="00B24C43" w:rsidRPr="009D767A" w:rsidRDefault="002B1307" w:rsidP="00FB7A27">
                    <w:pPr>
                      <w:tabs>
                        <w:tab w:val="center" w:pos="5103"/>
                        <w:tab w:val="right" w:pos="10348"/>
                      </w:tabs>
                      <w:ind w:right="-63"/>
                      <w:rPr>
                        <w:color w:val="FFFFFF"/>
                      </w:rPr>
                    </w:pPr>
                    <w:proofErr w:type="spellStart"/>
                    <w:r>
                      <w:rPr>
                        <w:color w:val="FFFFFF"/>
                      </w:rPr>
                      <w:t>RoodMicrotec</w:t>
                    </w:r>
                    <w:proofErr w:type="spellEnd"/>
                    <w:r>
                      <w:rPr>
                        <w:color w:val="FFFFFF"/>
                      </w:rPr>
                      <w:t xml:space="preserve"> </w:t>
                    </w:r>
                    <w:r w:rsidR="004C5748">
                      <w:rPr>
                        <w:color w:val="FFFFFF"/>
                      </w:rPr>
                      <w:t>Unaudited preliminary revenue 2018</w:t>
                    </w:r>
                    <w:r w:rsidR="00B24C43">
                      <w:rPr>
                        <w:color w:val="FFFFFF"/>
                      </w:rPr>
                      <w:tab/>
                      <w:t>1</w:t>
                    </w:r>
                    <w:r w:rsidR="00B24C43">
                      <w:rPr>
                        <w:color w:val="FFFFFF"/>
                      </w:rPr>
                      <w:tab/>
                    </w:r>
                    <w:proofErr w:type="spellStart"/>
                    <w:r w:rsidR="00B24C43">
                      <w:rPr>
                        <w:color w:val="FFFFFF"/>
                      </w:rPr>
                      <w:t>RoodMicrotec</w:t>
                    </w:r>
                    <w:proofErr w:type="spellEnd"/>
                    <w:r w:rsidR="00B24C43">
                      <w:rPr>
                        <w:color w:val="FFFFFF"/>
                      </w:rPr>
                      <w:t xml:space="preserve"> Press Release</w:t>
                    </w:r>
                  </w:p>
                  <w:p w:rsidR="00B24C43" w:rsidRPr="00F33608" w:rsidRDefault="00B24C43" w:rsidP="00657E90">
                    <w:pPr>
                      <w:ind w:right="-205"/>
                    </w:pPr>
                  </w:p>
                </w:txbxContent>
              </v:textbox>
              <w10:wrap anchorx="margin"/>
            </v:shape>
          </w:pict>
        </mc:Fallback>
      </mc:AlternateContent>
    </w:r>
    <w:r>
      <w:rPr>
        <w:noProof/>
        <w:lang w:val="de-DE" w:eastAsia="de-DE"/>
      </w:rPr>
      <w:drawing>
        <wp:anchor distT="0" distB="0" distL="114300" distR="114300" simplePos="0" relativeHeight="251666432" behindDoc="1" locked="0" layoutInCell="1" allowOverlap="1" wp14:anchorId="3A38800C">
          <wp:simplePos x="0" y="0"/>
          <wp:positionH relativeFrom="column">
            <wp:posOffset>-181981</wp:posOffset>
          </wp:positionH>
          <wp:positionV relativeFrom="paragraph">
            <wp:posOffset>-85617</wp:posOffset>
          </wp:positionV>
          <wp:extent cx="7056407" cy="264795"/>
          <wp:effectExtent l="0" t="0" r="0" b="1905"/>
          <wp:wrapNone/>
          <wp:docPr id="10"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8275" cy="265240"/>
                  </a:xfrm>
                  <a:prstGeom prst="rect">
                    <a:avLst/>
                  </a:prstGeom>
                  <a:solidFill>
                    <a:srgbClr val="BA0C2F"/>
                  </a:solidFill>
                  <a:ln w="9525">
                    <a:noFill/>
                    <a:miter lim="800000"/>
                    <a:headEnd/>
                    <a:tailEnd/>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C43" w:rsidRDefault="00B24C43" w:rsidP="00487DE4">
      <w:pPr>
        <w:spacing w:after="0" w:line="240" w:lineRule="auto"/>
      </w:pPr>
      <w:r>
        <w:separator/>
      </w:r>
    </w:p>
  </w:footnote>
  <w:footnote w:type="continuationSeparator" w:id="0">
    <w:p w:rsidR="00B24C43" w:rsidRDefault="00B24C43"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C43" w:rsidRDefault="00A73B42" w:rsidP="003279A8">
    <w:pPr>
      <w:pStyle w:val="Kopfzeile"/>
    </w:pPr>
    <w:r>
      <w:rPr>
        <w:noProof/>
        <w:lang w:eastAsia="de-DE"/>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-2091055</wp:posOffset>
              </wp:positionV>
              <wp:extent cx="3026410" cy="1455420"/>
              <wp:effectExtent l="0" t="4445"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C43" w:rsidRPr="00FE6420" w:rsidRDefault="00B24C43" w:rsidP="006A787C">
                          <w:pPr>
                            <w:spacing w:after="0" w:line="240" w:lineRule="auto"/>
                            <w:rPr>
                              <w:sz w:val="18"/>
                              <w:szCs w:val="18"/>
                            </w:rPr>
                          </w:pPr>
                          <w:r w:rsidRPr="00FE6420">
                            <w:rPr>
                              <w:sz w:val="18"/>
                              <w:szCs w:val="18"/>
                            </w:rPr>
                            <w:t xml:space="preserve">Martin </w:t>
                          </w:r>
                          <w:proofErr w:type="spellStart"/>
                          <w:r w:rsidRPr="00FE6420">
                            <w:rPr>
                              <w:sz w:val="18"/>
                              <w:szCs w:val="18"/>
                            </w:rPr>
                            <w:t>Sallenhag</w:t>
                          </w:r>
                          <w:proofErr w:type="spellEnd"/>
                          <w:r w:rsidRPr="00FE6420">
                            <w:rPr>
                              <w:sz w:val="18"/>
                              <w:szCs w:val="18"/>
                            </w:rPr>
                            <w:t>, CEO</w:t>
                          </w:r>
                        </w:p>
                        <w:p w:rsidR="00B24C43" w:rsidRPr="00FE6420" w:rsidRDefault="00B24C43" w:rsidP="006A787C">
                          <w:pPr>
                            <w:spacing w:after="0" w:line="240" w:lineRule="auto"/>
                            <w:rPr>
                              <w:sz w:val="18"/>
                              <w:szCs w:val="18"/>
                            </w:rPr>
                          </w:pPr>
                          <w:r w:rsidRPr="00FE6420">
                            <w:rPr>
                              <w:sz w:val="18"/>
                              <w:szCs w:val="18"/>
                            </w:rPr>
                            <w:t xml:space="preserve">Reinhard </w:t>
                          </w:r>
                          <w:proofErr w:type="spellStart"/>
                          <w:r w:rsidRPr="00FE6420">
                            <w:rPr>
                              <w:sz w:val="18"/>
                              <w:szCs w:val="18"/>
                            </w:rPr>
                            <w:t>Pusch</w:t>
                          </w:r>
                          <w:proofErr w:type="spellEnd"/>
                          <w:r w:rsidRPr="00FE6420">
                            <w:rPr>
                              <w:sz w:val="18"/>
                              <w:szCs w:val="18"/>
                            </w:rPr>
                            <w:t>, COO</w:t>
                          </w:r>
                        </w:p>
                        <w:p w:rsidR="00B24C43" w:rsidRPr="00FE6420" w:rsidRDefault="00B24C43" w:rsidP="006A787C">
                          <w:pPr>
                            <w:spacing w:after="0" w:line="240" w:lineRule="auto"/>
                            <w:rPr>
                              <w:sz w:val="18"/>
                              <w:szCs w:val="18"/>
                            </w:rPr>
                          </w:pPr>
                          <w:proofErr w:type="spellStart"/>
                          <w:r w:rsidRPr="00FE6420">
                            <w:rPr>
                              <w:sz w:val="18"/>
                              <w:szCs w:val="18"/>
                            </w:rPr>
                            <w:t>Arvid</w:t>
                          </w:r>
                          <w:proofErr w:type="spellEnd"/>
                          <w:r w:rsidRPr="00FE6420">
                            <w:rPr>
                              <w:sz w:val="18"/>
                              <w:szCs w:val="18"/>
                            </w:rPr>
                            <w:t xml:space="preserve"> </w:t>
                          </w:r>
                          <w:proofErr w:type="spellStart"/>
                          <w:r w:rsidRPr="00FE6420">
                            <w:rPr>
                              <w:sz w:val="18"/>
                              <w:szCs w:val="18"/>
                            </w:rPr>
                            <w:t>Ladega</w:t>
                          </w:r>
                          <w:proofErr w:type="spellEnd"/>
                          <w:r w:rsidRPr="00FE6420">
                            <w:rPr>
                              <w:sz w:val="18"/>
                              <w:szCs w:val="18"/>
                            </w:rPr>
                            <w:t>, CFO</w:t>
                          </w:r>
                        </w:p>
                        <w:p w:rsidR="00B24C43" w:rsidRPr="00DD3676" w:rsidRDefault="00B24C43" w:rsidP="006A787C">
                          <w:pPr>
                            <w:spacing w:after="0" w:line="240" w:lineRule="auto"/>
                            <w:rPr>
                              <w:sz w:val="10"/>
                              <w:szCs w:val="10"/>
                            </w:rPr>
                          </w:pPr>
                        </w:p>
                        <w:p w:rsidR="00B24C43" w:rsidRPr="009D767A" w:rsidRDefault="00B24C43" w:rsidP="006A787C">
                          <w:pPr>
                            <w:spacing w:after="0" w:line="240" w:lineRule="auto"/>
                            <w:rPr>
                              <w:b/>
                              <w:sz w:val="18"/>
                              <w:szCs w:val="18"/>
                              <w:lang w:val="nl-NL"/>
                            </w:rPr>
                          </w:pPr>
                          <w:r w:rsidRPr="00380F5D">
                            <w:rPr>
                              <w:b/>
                              <w:color w:val="B70C2F"/>
                              <w:sz w:val="18"/>
                              <w:szCs w:val="18"/>
                              <w:lang w:val="nl-NL"/>
                            </w:rPr>
                            <w:t>Rood</w:t>
                          </w:r>
                          <w:r w:rsidRPr="009D767A">
                            <w:rPr>
                              <w:b/>
                              <w:sz w:val="18"/>
                              <w:szCs w:val="18"/>
                              <w:lang w:val="nl-NL"/>
                            </w:rPr>
                            <w:t>Microtec N.V.</w:t>
                          </w:r>
                        </w:p>
                        <w:p w:rsidR="00B24C43" w:rsidRPr="00FE6420" w:rsidRDefault="00B24C43" w:rsidP="006A787C">
                          <w:pPr>
                            <w:spacing w:after="0" w:line="240" w:lineRule="auto"/>
                            <w:rPr>
                              <w:sz w:val="18"/>
                              <w:szCs w:val="18"/>
                              <w:lang w:val="nl-NL"/>
                            </w:rPr>
                          </w:pPr>
                          <w:r w:rsidRPr="00FE6420">
                            <w:rPr>
                              <w:sz w:val="18"/>
                              <w:szCs w:val="18"/>
                              <w:lang w:val="nl-NL"/>
                            </w:rPr>
                            <w:t>‘Rembrandt’; Dokter van Deenweg 58</w:t>
                          </w:r>
                        </w:p>
                        <w:p w:rsidR="00B24C43" w:rsidRPr="00FE6420" w:rsidRDefault="00B24C43" w:rsidP="006A787C">
                          <w:pPr>
                            <w:spacing w:after="0" w:line="240" w:lineRule="auto"/>
                            <w:rPr>
                              <w:sz w:val="18"/>
                              <w:szCs w:val="18"/>
                            </w:rPr>
                          </w:pPr>
                          <w:r>
                            <w:rPr>
                              <w:sz w:val="18"/>
                              <w:szCs w:val="18"/>
                            </w:rPr>
                            <w:t>NL-8025 BC</w:t>
                          </w:r>
                          <w:r w:rsidRPr="00FE6420">
                            <w:rPr>
                              <w:sz w:val="18"/>
                              <w:szCs w:val="18"/>
                            </w:rPr>
                            <w:t xml:space="preserve"> Zwolle</w:t>
                          </w:r>
                        </w:p>
                        <w:p w:rsidR="00B24C43" w:rsidRPr="00DD3676" w:rsidRDefault="00B24C43" w:rsidP="006A787C">
                          <w:pPr>
                            <w:spacing w:after="0" w:line="240" w:lineRule="auto"/>
                            <w:rPr>
                              <w:sz w:val="10"/>
                              <w:szCs w:val="10"/>
                            </w:rPr>
                          </w:pPr>
                        </w:p>
                        <w:p w:rsidR="00B24C43" w:rsidRPr="00FE6420" w:rsidRDefault="00B24C43"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B24C43" w:rsidRPr="00FE6420" w:rsidRDefault="00B24C43"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B24C43" w:rsidRPr="00FE6420" w:rsidRDefault="00B24C43"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wsgIAALI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A92+qwsgIAALIF&#10;AAAOAAAAAAAAAAAAAAAAAC4CAABkcnMvZTJvRG9jLnhtbFBLAQItABQABgAIAAAAIQD1myM/4QAA&#10;AA0BAAAPAAAAAAAAAAAAAAAAAAwFAABkcnMvZG93bnJldi54bWxQSwUGAAAAAAQABADzAAAAGgYA&#10;AAAA&#10;" filled="f" stroked="f">
              <v:textbox inset="0,0,0,0">
                <w:txbxContent>
                  <w:p w:rsidR="00B24C43" w:rsidRPr="00FE6420" w:rsidRDefault="00B24C43" w:rsidP="006A787C">
                    <w:pPr>
                      <w:spacing w:after="0" w:line="240" w:lineRule="auto"/>
                      <w:rPr>
                        <w:sz w:val="18"/>
                        <w:szCs w:val="18"/>
                      </w:rPr>
                    </w:pPr>
                    <w:r w:rsidRPr="00FE6420">
                      <w:rPr>
                        <w:sz w:val="18"/>
                        <w:szCs w:val="18"/>
                      </w:rPr>
                      <w:t xml:space="preserve">Martin </w:t>
                    </w:r>
                    <w:proofErr w:type="spellStart"/>
                    <w:r w:rsidRPr="00FE6420">
                      <w:rPr>
                        <w:sz w:val="18"/>
                        <w:szCs w:val="18"/>
                      </w:rPr>
                      <w:t>Sallenhag</w:t>
                    </w:r>
                    <w:proofErr w:type="spellEnd"/>
                    <w:r w:rsidRPr="00FE6420">
                      <w:rPr>
                        <w:sz w:val="18"/>
                        <w:szCs w:val="18"/>
                      </w:rPr>
                      <w:t>, CEO</w:t>
                    </w:r>
                  </w:p>
                  <w:p w:rsidR="00B24C43" w:rsidRPr="00FE6420" w:rsidRDefault="00B24C43" w:rsidP="006A787C">
                    <w:pPr>
                      <w:spacing w:after="0" w:line="240" w:lineRule="auto"/>
                      <w:rPr>
                        <w:sz w:val="18"/>
                        <w:szCs w:val="18"/>
                      </w:rPr>
                    </w:pPr>
                    <w:r w:rsidRPr="00FE6420">
                      <w:rPr>
                        <w:sz w:val="18"/>
                        <w:szCs w:val="18"/>
                      </w:rPr>
                      <w:t xml:space="preserve">Reinhard </w:t>
                    </w:r>
                    <w:proofErr w:type="spellStart"/>
                    <w:r w:rsidRPr="00FE6420">
                      <w:rPr>
                        <w:sz w:val="18"/>
                        <w:szCs w:val="18"/>
                      </w:rPr>
                      <w:t>Pusch</w:t>
                    </w:r>
                    <w:proofErr w:type="spellEnd"/>
                    <w:r w:rsidRPr="00FE6420">
                      <w:rPr>
                        <w:sz w:val="18"/>
                        <w:szCs w:val="18"/>
                      </w:rPr>
                      <w:t>, COO</w:t>
                    </w:r>
                  </w:p>
                  <w:p w:rsidR="00B24C43" w:rsidRPr="00FE6420" w:rsidRDefault="00B24C43" w:rsidP="006A787C">
                    <w:pPr>
                      <w:spacing w:after="0" w:line="240" w:lineRule="auto"/>
                      <w:rPr>
                        <w:sz w:val="18"/>
                        <w:szCs w:val="18"/>
                      </w:rPr>
                    </w:pPr>
                    <w:proofErr w:type="spellStart"/>
                    <w:r w:rsidRPr="00FE6420">
                      <w:rPr>
                        <w:sz w:val="18"/>
                        <w:szCs w:val="18"/>
                      </w:rPr>
                      <w:t>Arvid</w:t>
                    </w:r>
                    <w:proofErr w:type="spellEnd"/>
                    <w:r w:rsidRPr="00FE6420">
                      <w:rPr>
                        <w:sz w:val="18"/>
                        <w:szCs w:val="18"/>
                      </w:rPr>
                      <w:t xml:space="preserve"> </w:t>
                    </w:r>
                    <w:proofErr w:type="spellStart"/>
                    <w:r w:rsidRPr="00FE6420">
                      <w:rPr>
                        <w:sz w:val="18"/>
                        <w:szCs w:val="18"/>
                      </w:rPr>
                      <w:t>Ladega</w:t>
                    </w:r>
                    <w:proofErr w:type="spellEnd"/>
                    <w:r w:rsidRPr="00FE6420">
                      <w:rPr>
                        <w:sz w:val="18"/>
                        <w:szCs w:val="18"/>
                      </w:rPr>
                      <w:t>, CFO</w:t>
                    </w:r>
                  </w:p>
                  <w:p w:rsidR="00B24C43" w:rsidRPr="00DD3676" w:rsidRDefault="00B24C43" w:rsidP="006A787C">
                    <w:pPr>
                      <w:spacing w:after="0" w:line="240" w:lineRule="auto"/>
                      <w:rPr>
                        <w:sz w:val="10"/>
                        <w:szCs w:val="10"/>
                      </w:rPr>
                    </w:pPr>
                  </w:p>
                  <w:p w:rsidR="00B24C43" w:rsidRPr="009D767A" w:rsidRDefault="00B24C43" w:rsidP="006A787C">
                    <w:pPr>
                      <w:spacing w:after="0" w:line="240" w:lineRule="auto"/>
                      <w:rPr>
                        <w:b/>
                        <w:sz w:val="18"/>
                        <w:szCs w:val="18"/>
                        <w:lang w:val="nl-NL"/>
                      </w:rPr>
                    </w:pPr>
                    <w:r w:rsidRPr="00380F5D">
                      <w:rPr>
                        <w:b/>
                        <w:color w:val="B70C2F"/>
                        <w:sz w:val="18"/>
                        <w:szCs w:val="18"/>
                        <w:lang w:val="nl-NL"/>
                      </w:rPr>
                      <w:t>Rood</w:t>
                    </w:r>
                    <w:r w:rsidRPr="009D767A">
                      <w:rPr>
                        <w:b/>
                        <w:sz w:val="18"/>
                        <w:szCs w:val="18"/>
                        <w:lang w:val="nl-NL"/>
                      </w:rPr>
                      <w:t>Microtec N.V.</w:t>
                    </w:r>
                  </w:p>
                  <w:p w:rsidR="00B24C43" w:rsidRPr="00FE6420" w:rsidRDefault="00B24C43" w:rsidP="006A787C">
                    <w:pPr>
                      <w:spacing w:after="0" w:line="240" w:lineRule="auto"/>
                      <w:rPr>
                        <w:sz w:val="18"/>
                        <w:szCs w:val="18"/>
                        <w:lang w:val="nl-NL"/>
                      </w:rPr>
                    </w:pPr>
                    <w:r w:rsidRPr="00FE6420">
                      <w:rPr>
                        <w:sz w:val="18"/>
                        <w:szCs w:val="18"/>
                        <w:lang w:val="nl-NL"/>
                      </w:rPr>
                      <w:t>‘Rembrandt’; Dokter van Deenweg 58</w:t>
                    </w:r>
                  </w:p>
                  <w:p w:rsidR="00B24C43" w:rsidRPr="00FE6420" w:rsidRDefault="00B24C43" w:rsidP="006A787C">
                    <w:pPr>
                      <w:spacing w:after="0" w:line="240" w:lineRule="auto"/>
                      <w:rPr>
                        <w:sz w:val="18"/>
                        <w:szCs w:val="18"/>
                      </w:rPr>
                    </w:pPr>
                    <w:r>
                      <w:rPr>
                        <w:sz w:val="18"/>
                        <w:szCs w:val="18"/>
                      </w:rPr>
                      <w:t>NL-8025 BC</w:t>
                    </w:r>
                    <w:r w:rsidRPr="00FE6420">
                      <w:rPr>
                        <w:sz w:val="18"/>
                        <w:szCs w:val="18"/>
                      </w:rPr>
                      <w:t xml:space="preserve"> Zwolle</w:t>
                    </w:r>
                  </w:p>
                  <w:p w:rsidR="00B24C43" w:rsidRPr="00DD3676" w:rsidRDefault="00B24C43" w:rsidP="006A787C">
                    <w:pPr>
                      <w:spacing w:after="0" w:line="240" w:lineRule="auto"/>
                      <w:rPr>
                        <w:sz w:val="10"/>
                        <w:szCs w:val="10"/>
                      </w:rPr>
                    </w:pPr>
                  </w:p>
                  <w:p w:rsidR="00B24C43" w:rsidRPr="00FE6420" w:rsidRDefault="00B24C43"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B24C43" w:rsidRPr="00FE6420" w:rsidRDefault="00B24C43"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2">
                      <w:r w:rsidRPr="00FE6420">
                        <w:rPr>
                          <w:rFonts w:asciiTheme="minorHAnsi" w:eastAsia="Arial" w:hAnsiTheme="minorHAnsi" w:cstheme="minorHAnsi"/>
                          <w:color w:val="231F20"/>
                          <w:sz w:val="18"/>
                          <w:szCs w:val="18"/>
                          <w:lang w:val="nl-NL"/>
                        </w:rPr>
                        <w:t>investor-relations@roodmicrotec.com</w:t>
                      </w:r>
                    </w:hyperlink>
                  </w:p>
                  <w:p w:rsidR="00B24C43" w:rsidRPr="00FE6420" w:rsidRDefault="00B24C43"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eastAsia="de-DE"/>
      </w:rPr>
      <mc:AlternateContent>
        <mc:Choice Requires="wps">
          <w:drawing>
            <wp:anchor distT="0" distB="0" distL="114300" distR="114300" simplePos="0" relativeHeight="251665408" behindDoc="0" locked="0" layoutInCell="1" allowOverlap="1">
              <wp:simplePos x="0" y="0"/>
              <wp:positionH relativeFrom="column">
                <wp:posOffset>3077210</wp:posOffset>
              </wp:positionH>
              <wp:positionV relativeFrom="paragraph">
                <wp:posOffset>-2169795</wp:posOffset>
              </wp:positionV>
              <wp:extent cx="978535" cy="1644650"/>
              <wp:effectExtent l="19685" t="11430" r="20955" b="10795"/>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289B4"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S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" adj="20330" fillcolor="#a5a5a5 [2092]" strokecolor="#bfbfbf [2412]"/>
          </w:pict>
        </mc:Fallback>
      </mc:AlternateContent>
    </w:r>
    <w:r w:rsidR="00B24C43">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4"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3"/>
                  <a:stretch>
                    <a:fillRect/>
                  </a:stretch>
                </pic:blipFill>
                <pic:spPr>
                  <a:xfrm>
                    <a:off x="0" y="0"/>
                    <a:ext cx="2973705" cy="1080770"/>
                  </a:xfrm>
                  <a:prstGeom prst="rect">
                    <a:avLst/>
                  </a:prstGeom>
                </pic:spPr>
              </pic:pic>
            </a:graphicData>
          </a:graphic>
        </wp:anchor>
      </w:drawing>
    </w:r>
    <w:r>
      <w:rPr>
        <w:noProof/>
        <w:lang w:eastAsia="de-DE"/>
      </w:rPr>
      <mc:AlternateContent>
        <mc:Choice Requires="wps">
          <w:drawing>
            <wp:anchor distT="0" distB="0" distL="114300" distR="114300" simplePos="0" relativeHeight="251662336" behindDoc="0" locked="0" layoutInCell="1" allowOverlap="1">
              <wp:simplePos x="0" y="0"/>
              <wp:positionH relativeFrom="column">
                <wp:posOffset>-182880</wp:posOffset>
              </wp:positionH>
              <wp:positionV relativeFrom="paragraph">
                <wp:posOffset>-500380</wp:posOffset>
              </wp:positionV>
              <wp:extent cx="6605270" cy="351790"/>
              <wp:effectExtent l="0" t="4445"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C43" w:rsidRPr="00E878A9" w:rsidRDefault="00B24C43"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 xml:space="preserve">Zwolle – </w:t>
                          </w:r>
                          <w:r w:rsidR="00071143">
                            <w:rPr>
                              <w:rFonts w:asciiTheme="minorHAnsi" w:hAnsiTheme="minorHAnsi" w:cstheme="minorHAnsi"/>
                              <w:color w:val="FFFFFF" w:themeColor="background1"/>
                            </w:rPr>
                            <w:t>1</w:t>
                          </w:r>
                          <w:r w:rsidR="0058155F">
                            <w:rPr>
                              <w:rFonts w:asciiTheme="minorHAnsi" w:hAnsiTheme="minorHAnsi" w:cstheme="minorHAnsi"/>
                              <w:color w:val="FFFFFF" w:themeColor="background1"/>
                            </w:rPr>
                            <w:t>0</w:t>
                          </w:r>
                          <w:r w:rsidRPr="00EB2D32">
                            <w:rPr>
                              <w:rFonts w:asciiTheme="minorHAnsi" w:hAnsiTheme="minorHAnsi" w:cstheme="minorHAnsi"/>
                              <w:color w:val="FFFFFF" w:themeColor="background1"/>
                              <w:vertAlign w:val="superscript"/>
                            </w:rPr>
                            <w:t>th</w:t>
                          </w:r>
                          <w:r>
                            <w:rPr>
                              <w:rFonts w:asciiTheme="minorHAnsi" w:hAnsiTheme="minorHAnsi" w:cstheme="minorHAnsi"/>
                              <w:color w:val="FFFFFF" w:themeColor="background1"/>
                            </w:rPr>
                            <w:t xml:space="preserve"> </w:t>
                          </w:r>
                          <w:r w:rsidR="0058155F">
                            <w:rPr>
                              <w:rFonts w:asciiTheme="minorHAnsi" w:hAnsiTheme="minorHAnsi" w:cstheme="minorHAnsi"/>
                              <w:color w:val="FFFFFF" w:themeColor="background1"/>
                            </w:rPr>
                            <w:t>January</w:t>
                          </w:r>
                          <w:r>
                            <w:rPr>
                              <w:rFonts w:asciiTheme="minorHAnsi" w:hAnsiTheme="minorHAnsi" w:cstheme="minorHAnsi"/>
                              <w:color w:val="FFFFFF" w:themeColor="background1"/>
                            </w:rPr>
                            <w:t xml:space="preserve"> </w:t>
                          </w:r>
                          <w:r w:rsidRPr="009D767A">
                            <w:rPr>
                              <w:rFonts w:asciiTheme="minorHAnsi" w:hAnsiTheme="minorHAnsi" w:cstheme="minorHAnsi"/>
                              <w:color w:val="FFFFFF" w:themeColor="background1"/>
                            </w:rPr>
                            <w:t>201</w:t>
                          </w:r>
                          <w:r w:rsidR="0058155F">
                            <w:rPr>
                              <w:rFonts w:asciiTheme="minorHAnsi" w:hAnsiTheme="minorHAnsi" w:cstheme="minorHAnsi"/>
                              <w:color w:val="FFFFFF" w:themeColor="background1"/>
                            </w:rPr>
                            <w:t>9</w:t>
                          </w:r>
                          <w:r w:rsidRPr="00E878A9">
                            <w:rPr>
                              <w:color w:val="FFFFFF" w:themeColor="background1"/>
                            </w:rPr>
                            <w:tab/>
                          </w:r>
                          <w:r w:rsidRPr="00F33608">
                            <w:rPr>
                              <w:rFonts w:cstheme="minorHAnsi"/>
                              <w:b/>
                              <w:color w:val="FFFFFF" w:themeColor="background1"/>
                              <w:spacing w:val="20"/>
                              <w:sz w:val="32"/>
                              <w:szCs w:val="32"/>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l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xgJ2kOJHtneoDu5R+G1Tc846Ay0HgbQM3t4hzK7UPVwL6tvGgm5bKnYsFul5NgyWoN7of3pX3yd&#10;cLQFWY8fZQ126NZIB7RvVG9zB9lAgA5lejqVxvpSwWOSBHE0A1EFsus4nKW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" filled="f" stroked="f">
              <v:textbox>
                <w:txbxContent>
                  <w:p w:rsidR="00B24C43" w:rsidRPr="00E878A9" w:rsidRDefault="00B24C43"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 xml:space="preserve">Zwolle – </w:t>
                    </w:r>
                    <w:r w:rsidR="00071143">
                      <w:rPr>
                        <w:rFonts w:asciiTheme="minorHAnsi" w:hAnsiTheme="minorHAnsi" w:cstheme="minorHAnsi"/>
                        <w:color w:val="FFFFFF" w:themeColor="background1"/>
                      </w:rPr>
                      <w:t>1</w:t>
                    </w:r>
                    <w:r w:rsidR="0058155F">
                      <w:rPr>
                        <w:rFonts w:asciiTheme="minorHAnsi" w:hAnsiTheme="minorHAnsi" w:cstheme="minorHAnsi"/>
                        <w:color w:val="FFFFFF" w:themeColor="background1"/>
                      </w:rPr>
                      <w:t>0</w:t>
                    </w:r>
                    <w:r w:rsidRPr="00EB2D32">
                      <w:rPr>
                        <w:rFonts w:asciiTheme="minorHAnsi" w:hAnsiTheme="minorHAnsi" w:cstheme="minorHAnsi"/>
                        <w:color w:val="FFFFFF" w:themeColor="background1"/>
                        <w:vertAlign w:val="superscript"/>
                      </w:rPr>
                      <w:t>th</w:t>
                    </w:r>
                    <w:r>
                      <w:rPr>
                        <w:rFonts w:asciiTheme="minorHAnsi" w:hAnsiTheme="minorHAnsi" w:cstheme="minorHAnsi"/>
                        <w:color w:val="FFFFFF" w:themeColor="background1"/>
                      </w:rPr>
                      <w:t xml:space="preserve"> </w:t>
                    </w:r>
                    <w:r w:rsidR="0058155F">
                      <w:rPr>
                        <w:rFonts w:asciiTheme="minorHAnsi" w:hAnsiTheme="minorHAnsi" w:cstheme="minorHAnsi"/>
                        <w:color w:val="FFFFFF" w:themeColor="background1"/>
                      </w:rPr>
                      <w:t>January</w:t>
                    </w:r>
                    <w:r>
                      <w:rPr>
                        <w:rFonts w:asciiTheme="minorHAnsi" w:hAnsiTheme="minorHAnsi" w:cstheme="minorHAnsi"/>
                        <w:color w:val="FFFFFF" w:themeColor="background1"/>
                      </w:rPr>
                      <w:t xml:space="preserve"> </w:t>
                    </w:r>
                    <w:r w:rsidRPr="009D767A">
                      <w:rPr>
                        <w:rFonts w:asciiTheme="minorHAnsi" w:hAnsiTheme="minorHAnsi" w:cstheme="minorHAnsi"/>
                        <w:color w:val="FFFFFF" w:themeColor="background1"/>
                      </w:rPr>
                      <w:t>201</w:t>
                    </w:r>
                    <w:r w:rsidR="0058155F">
                      <w:rPr>
                        <w:rFonts w:asciiTheme="minorHAnsi" w:hAnsiTheme="minorHAnsi" w:cstheme="minorHAnsi"/>
                        <w:color w:val="FFFFFF" w:themeColor="background1"/>
                      </w:rPr>
                      <w:t>9</w:t>
                    </w:r>
                    <w:r w:rsidRPr="00E878A9">
                      <w:rPr>
                        <w:color w:val="FFFFFF" w:themeColor="background1"/>
                      </w:rPr>
                      <w:tab/>
                    </w:r>
                    <w:r w:rsidRPr="00F33608">
                      <w:rPr>
                        <w:rFonts w:cstheme="minorHAnsi"/>
                        <w:b/>
                        <w:color w:val="FFFFFF" w:themeColor="background1"/>
                        <w:spacing w:val="20"/>
                        <w:sz w:val="32"/>
                        <w:szCs w:val="32"/>
                      </w:rPr>
                      <w:t>PRESS RELEASE</w:t>
                    </w:r>
                  </w:p>
                </w:txbxContent>
              </v:textbox>
            </v:shape>
          </w:pict>
        </mc:Fallback>
      </mc:AlternateContent>
    </w:r>
    <w:r w:rsidR="00B24C43">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4"/>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16385">
      <o:colormenu v:ext="edit" fillcolor="none [2092]" strokecolor="none [24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54"/>
    <w:rsid w:val="0004253E"/>
    <w:rsid w:val="0005578B"/>
    <w:rsid w:val="00057395"/>
    <w:rsid w:val="00071143"/>
    <w:rsid w:val="0007461B"/>
    <w:rsid w:val="000A112C"/>
    <w:rsid w:val="001401D2"/>
    <w:rsid w:val="00161C05"/>
    <w:rsid w:val="001649FA"/>
    <w:rsid w:val="001651A5"/>
    <w:rsid w:val="00186B6E"/>
    <w:rsid w:val="001F3216"/>
    <w:rsid w:val="00260AF0"/>
    <w:rsid w:val="00265326"/>
    <w:rsid w:val="002715B1"/>
    <w:rsid w:val="0027201E"/>
    <w:rsid w:val="00274915"/>
    <w:rsid w:val="002A0D07"/>
    <w:rsid w:val="002A366D"/>
    <w:rsid w:val="002B1307"/>
    <w:rsid w:val="002D5E7D"/>
    <w:rsid w:val="00324BEA"/>
    <w:rsid w:val="003279A8"/>
    <w:rsid w:val="0036342D"/>
    <w:rsid w:val="00380F5D"/>
    <w:rsid w:val="00391D49"/>
    <w:rsid w:val="003A6DC1"/>
    <w:rsid w:val="003B7C72"/>
    <w:rsid w:val="003D1859"/>
    <w:rsid w:val="003D5390"/>
    <w:rsid w:val="003E75B5"/>
    <w:rsid w:val="004152A2"/>
    <w:rsid w:val="00427C8B"/>
    <w:rsid w:val="0047010F"/>
    <w:rsid w:val="00475E82"/>
    <w:rsid w:val="00484324"/>
    <w:rsid w:val="00487DE4"/>
    <w:rsid w:val="0049089D"/>
    <w:rsid w:val="004C5748"/>
    <w:rsid w:val="004E7679"/>
    <w:rsid w:val="00532194"/>
    <w:rsid w:val="00546072"/>
    <w:rsid w:val="0058155F"/>
    <w:rsid w:val="005A69F3"/>
    <w:rsid w:val="005C5830"/>
    <w:rsid w:val="005C59EB"/>
    <w:rsid w:val="005C762A"/>
    <w:rsid w:val="005E0C1E"/>
    <w:rsid w:val="00657E90"/>
    <w:rsid w:val="00687762"/>
    <w:rsid w:val="00687C2F"/>
    <w:rsid w:val="006A787C"/>
    <w:rsid w:val="006B777C"/>
    <w:rsid w:val="006D7E75"/>
    <w:rsid w:val="007106A6"/>
    <w:rsid w:val="00732161"/>
    <w:rsid w:val="00736E04"/>
    <w:rsid w:val="00737837"/>
    <w:rsid w:val="0076690A"/>
    <w:rsid w:val="00774401"/>
    <w:rsid w:val="007815CD"/>
    <w:rsid w:val="007834C3"/>
    <w:rsid w:val="007A15F9"/>
    <w:rsid w:val="007A22AB"/>
    <w:rsid w:val="007B1FC8"/>
    <w:rsid w:val="007B640C"/>
    <w:rsid w:val="007C5301"/>
    <w:rsid w:val="007D0F4A"/>
    <w:rsid w:val="007F6FDB"/>
    <w:rsid w:val="008636E7"/>
    <w:rsid w:val="00881D9A"/>
    <w:rsid w:val="008A6FE2"/>
    <w:rsid w:val="008B0FBE"/>
    <w:rsid w:val="008E047B"/>
    <w:rsid w:val="009418AA"/>
    <w:rsid w:val="00961AC5"/>
    <w:rsid w:val="009A2701"/>
    <w:rsid w:val="009B4F9B"/>
    <w:rsid w:val="009C32BB"/>
    <w:rsid w:val="009D4A54"/>
    <w:rsid w:val="009D767A"/>
    <w:rsid w:val="009E7F64"/>
    <w:rsid w:val="00A42A35"/>
    <w:rsid w:val="00A45E36"/>
    <w:rsid w:val="00A73B42"/>
    <w:rsid w:val="00AC4975"/>
    <w:rsid w:val="00B1173A"/>
    <w:rsid w:val="00B12DF5"/>
    <w:rsid w:val="00B23EB1"/>
    <w:rsid w:val="00B24C43"/>
    <w:rsid w:val="00B30686"/>
    <w:rsid w:val="00B44F7A"/>
    <w:rsid w:val="00B50948"/>
    <w:rsid w:val="00BF7D94"/>
    <w:rsid w:val="00C02992"/>
    <w:rsid w:val="00C15373"/>
    <w:rsid w:val="00C309CD"/>
    <w:rsid w:val="00C32FBA"/>
    <w:rsid w:val="00C4081C"/>
    <w:rsid w:val="00C50068"/>
    <w:rsid w:val="00C60B78"/>
    <w:rsid w:val="00C65150"/>
    <w:rsid w:val="00C72334"/>
    <w:rsid w:val="00C76754"/>
    <w:rsid w:val="00C85F02"/>
    <w:rsid w:val="00D12D59"/>
    <w:rsid w:val="00D4584B"/>
    <w:rsid w:val="00D5218A"/>
    <w:rsid w:val="00DC1818"/>
    <w:rsid w:val="00DD3676"/>
    <w:rsid w:val="00DE3384"/>
    <w:rsid w:val="00E55B13"/>
    <w:rsid w:val="00E73190"/>
    <w:rsid w:val="00E90550"/>
    <w:rsid w:val="00EB2D32"/>
    <w:rsid w:val="00EC2D6B"/>
    <w:rsid w:val="00ED530D"/>
    <w:rsid w:val="00EF04AB"/>
    <w:rsid w:val="00F15FE0"/>
    <w:rsid w:val="00F33608"/>
    <w:rsid w:val="00F35BDD"/>
    <w:rsid w:val="00F45F6A"/>
    <w:rsid w:val="00F56C7A"/>
    <w:rsid w:val="00F75600"/>
    <w:rsid w:val="00FA460A"/>
    <w:rsid w:val="00FB2BA3"/>
    <w:rsid w:val="00FB7A27"/>
    <w:rsid w:val="00FE6420"/>
    <w:rsid w:val="00FE71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2092]" strokecolor="none [2412]"/>
    </o:shapedefaults>
    <o:shapelayout v:ext="edit">
      <o:idmap v:ext="edit" data="1"/>
    </o:shapelayout>
  </w:shapeDefaults>
  <w:decimalSymbol w:val=","/>
  <w:listSeparator w:val=";"/>
  <w15:docId w15:val="{1A78A068-6258-4FCD-99AD-5D866DA4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PR standard text"/>
    <w:qFormat/>
    <w:rsid w:val="00546072"/>
    <w:pPr>
      <w:spacing w:after="120" w:line="276" w:lineRule="auto"/>
    </w:pPr>
    <w:rPr>
      <w:sz w:val="22"/>
      <w:szCs w:val="22"/>
      <w:lang w:val="en-GB" w:eastAsia="en-US"/>
    </w:rPr>
  </w:style>
  <w:style w:type="paragraph" w:styleId="berschrift1">
    <w:name w:val="heading 1"/>
    <w:aliases w:val="PR überschrift 1"/>
    <w:basedOn w:val="Standard"/>
    <w:next w:val="Standard"/>
    <w:link w:val="berschrift1Zchn"/>
    <w:autoRedefine/>
    <w:uiPriority w:val="9"/>
    <w:qFormat/>
    <w:rsid w:val="007F6FDB"/>
    <w:pPr>
      <w:keepNext/>
      <w:keepLines/>
      <w:tabs>
        <w:tab w:val="left" w:pos="10415"/>
      </w:tabs>
      <w:spacing w:before="240" w:after="240"/>
      <w:ind w:right="284"/>
      <w:outlineLvl w:val="0"/>
    </w:pPr>
    <w:rPr>
      <w:rFonts w:eastAsiaTheme="majorEastAsia" w:cstheme="majorBidi"/>
      <w:b/>
      <w:bCs/>
      <w:color w:val="BA0C2F"/>
      <w:sz w:val="28"/>
      <w:szCs w:val="28"/>
      <w:lang w:val="en-US"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7F6FDB"/>
    <w:rPr>
      <w:rFonts w:eastAsiaTheme="majorEastAsia" w:cstheme="majorBidi"/>
      <w:b/>
      <w:bCs/>
      <w:color w:val="BA0C2F"/>
      <w:sz w:val="28"/>
      <w:szCs w:val="28"/>
      <w:lang w:val="en-US" w:eastAsia="en-GB"/>
    </w:rPr>
  </w:style>
  <w:style w:type="character" w:styleId="BesuchterLink">
    <w:name w:val="FollowedHyperlink"/>
    <w:basedOn w:val="Absatz-Standardschriftart"/>
    <w:uiPriority w:val="99"/>
    <w:semiHidden/>
    <w:unhideWhenUsed/>
    <w:rsid w:val="00F75600"/>
    <w:rPr>
      <w:color w:val="800080" w:themeColor="followedHyperlink"/>
      <w:u w:val="single"/>
    </w:rPr>
  </w:style>
  <w:style w:type="table" w:styleId="Tabellenraster">
    <w:name w:val="Table Grid"/>
    <w:basedOn w:val="NormaleTabelle"/>
    <w:uiPriority w:val="59"/>
    <w:rsid w:val="008B0F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ED530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vestor-relations@roodmicrotec.com" TargetMode="External"/><Relationship Id="rId1" Type="http://schemas.openxmlformats.org/officeDocument/2006/relationships/hyperlink" Target="mailto:investor-relations@roodmicrotec.co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E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A55D8C-F7E7-4036-B417-B980B2597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2018_E_PR_Vorlage_New Logo.dotx</Template>
  <TotalTime>0</TotalTime>
  <Pages>2</Pages>
  <Words>788</Words>
  <Characters>4496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bayerle@BAYERLE1-PC</dc:creator>
  <cp:lastModifiedBy>Irmgard Bayerle</cp:lastModifiedBy>
  <cp:revision>2</cp:revision>
  <cp:lastPrinted>2018-10-16T04:26:00Z</cp:lastPrinted>
  <dcterms:created xsi:type="dcterms:W3CDTF">2019-01-09T12:17:00Z</dcterms:created>
  <dcterms:modified xsi:type="dcterms:W3CDTF">2019-01-09T12:17:00Z</dcterms:modified>
</cp:coreProperties>
</file>