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59C" w:rsidRDefault="007752DB" w:rsidP="007752DB">
      <w:pPr>
        <w:pStyle w:val="berschrift1"/>
      </w:pPr>
      <w:r>
        <w:t xml:space="preserve"> </w:t>
      </w:r>
      <w:r w:rsidR="00B52809">
        <w:t>RoodMicrotec publiceert haar nog niet gecontroleerde jaarcijfers over 2018:</w:t>
      </w:r>
    </w:p>
    <w:p w:rsidR="00B52809" w:rsidRPr="001B24A6" w:rsidRDefault="00B52809" w:rsidP="007752DB">
      <w:pPr>
        <w:pStyle w:val="berschrift1"/>
      </w:pPr>
      <w:r>
        <w:t xml:space="preserve">Positief nettoresultaat van EUR 0,13 miljoen; omzet 11% hoger dan in 2017 </w:t>
      </w:r>
    </w:p>
    <w:p w:rsidR="00B52809" w:rsidRPr="001B24A6" w:rsidRDefault="00B52809" w:rsidP="00D85DA4">
      <w:pPr>
        <w:numPr>
          <w:ilvl w:val="0"/>
          <w:numId w:val="7"/>
        </w:numPr>
        <w:spacing w:after="0"/>
        <w:jc w:val="both"/>
        <w:rPr>
          <w:b/>
        </w:rPr>
      </w:pPr>
      <w:r>
        <w:rPr>
          <w:b/>
        </w:rPr>
        <w:t xml:space="preserve">Omzet 11% omhoog naar EUR 13,4 miljoen </w:t>
      </w:r>
    </w:p>
    <w:p w:rsidR="00B52809" w:rsidRPr="001B24A6" w:rsidRDefault="00B52809" w:rsidP="00D85DA4">
      <w:pPr>
        <w:numPr>
          <w:ilvl w:val="0"/>
          <w:numId w:val="7"/>
        </w:numPr>
        <w:spacing w:after="0"/>
        <w:jc w:val="both"/>
        <w:rPr>
          <w:b/>
        </w:rPr>
      </w:pPr>
      <w:r>
        <w:rPr>
          <w:b/>
        </w:rPr>
        <w:t>Positief nettoresultaat over 2018 van EUR 0,13 miljoen</w:t>
      </w:r>
    </w:p>
    <w:p w:rsidR="00B52809" w:rsidRPr="001B24A6" w:rsidRDefault="00B52809" w:rsidP="007752DB">
      <w:pPr>
        <w:numPr>
          <w:ilvl w:val="0"/>
          <w:numId w:val="7"/>
        </w:numPr>
        <w:spacing w:after="0"/>
        <w:ind w:right="29"/>
        <w:jc w:val="both"/>
        <w:rPr>
          <w:b/>
        </w:rPr>
      </w:pPr>
      <w:r>
        <w:rPr>
          <w:b/>
        </w:rPr>
        <w:t>Kasstroom uit operationele activiteiten EUR 0,56 miljoen positief</w:t>
      </w:r>
    </w:p>
    <w:p w:rsidR="00B52809" w:rsidRPr="001B24A6" w:rsidRDefault="00B52809" w:rsidP="00D85DA4">
      <w:pPr>
        <w:jc w:val="both"/>
        <w:rPr>
          <w:b/>
        </w:rPr>
      </w:pPr>
    </w:p>
    <w:p w:rsidR="00B52809" w:rsidRPr="001B24A6" w:rsidRDefault="00260AF0" w:rsidP="00D85DA4">
      <w:pPr>
        <w:jc w:val="both"/>
      </w:pPr>
      <w:r>
        <w:rPr>
          <w:b/>
        </w:rPr>
        <w:t>Zwolle, 14 maart 2019 –</w:t>
      </w:r>
      <w:r>
        <w:rPr>
          <w:color w:val="BA0C2F"/>
        </w:rPr>
        <w:t xml:space="preserve"> </w:t>
      </w:r>
      <w:r>
        <w:rPr>
          <w:color w:val="B71234"/>
        </w:rPr>
        <w:t>Rood</w:t>
      </w:r>
      <w:r>
        <w:t xml:space="preserve">Microtec N.V., Microtec N.V., de toonaangevende onafhankelijke Nederlandse leverancier van halfgeleiders en </w:t>
      </w:r>
      <w:r w:rsidR="003C5B85">
        <w:t xml:space="preserve">ondersteunende </w:t>
      </w:r>
      <w:r>
        <w:t>diensten, publiceert vandaag haar jaarcijfers over 2018, waarop nog geen accountantscontrole is toegepast. De onderneming meldt een positief resultaat van EUR 0,13 miljoen over 2018, inclusief EUR 0,39 miljoen aan eenmalige kosten met betrekking tot de reeds eerder gemelde rechtszaak, BTW-correcties en correcties in pensioenverplichtingen. De omzet van de onderneming steeg met 11% tot EUR</w:t>
      </w:r>
      <w:r w:rsidR="00CB438B">
        <w:t> </w:t>
      </w:r>
      <w:r>
        <w:t>13,4</w:t>
      </w:r>
      <w:r w:rsidR="00CB438B">
        <w:t> </w:t>
      </w:r>
      <w:r>
        <w:t>miljoen. Een andere sterke indicator is de positieve kasstroom uit operationele activiteiten die het bedrijf in 2018 wist te</w:t>
      </w:r>
      <w:r w:rsidR="00466BBE">
        <w:t xml:space="preserve"> </w:t>
      </w:r>
      <w:r w:rsidR="003C5B85">
        <w:t>genereren</w:t>
      </w:r>
      <w:r>
        <w:t xml:space="preserve">. </w:t>
      </w:r>
    </w:p>
    <w:p w:rsidR="00B52809" w:rsidRPr="001B24A6" w:rsidRDefault="00B52809" w:rsidP="00D85DA4">
      <w:pPr>
        <w:jc w:val="both"/>
      </w:pPr>
      <w:r>
        <w:t>De omzet in Supply Chain Management vertoont een sterke en constante toename</w:t>
      </w:r>
      <w:r w:rsidR="003C5B85">
        <w:t>.</w:t>
      </w:r>
      <w:r>
        <w:t xml:space="preserve"> </w:t>
      </w:r>
      <w:r w:rsidR="003C5B85">
        <w:t xml:space="preserve">In </w:t>
      </w:r>
      <w:r>
        <w:t>Test Operations</w:t>
      </w:r>
      <w:r w:rsidR="003C5B85">
        <w:t xml:space="preserve"> is er wederom een goede bezettingsgraad van productiemiddelen.</w:t>
      </w:r>
      <w:r>
        <w:t xml:space="preserve"> </w:t>
      </w:r>
      <w:r w:rsidR="003C5B85">
        <w:t xml:space="preserve">De ordersituatie in de afdeling </w:t>
      </w:r>
      <w:r>
        <w:t>Qualification &amp; Failure Analysis verbetert</w:t>
      </w:r>
      <w:r w:rsidR="00466BBE">
        <w:t xml:space="preserve"> </w:t>
      </w:r>
      <w:r w:rsidR="00303C3B">
        <w:t>verder</w:t>
      </w:r>
      <w:r>
        <w:t xml:space="preserve">. De omzetstijging in de automotive sector toont aan dat </w:t>
      </w:r>
      <w:r>
        <w:rPr>
          <w:color w:val="BA0C2F"/>
        </w:rPr>
        <w:t>Rood</w:t>
      </w:r>
      <w:r>
        <w:t xml:space="preserve">Microtec goed gepositioneerd is in een van de belangrijkste toekomstige groeisectoren. </w:t>
      </w:r>
      <w:r w:rsidR="003C5B85">
        <w:t xml:space="preserve">De orderportefeuille </w:t>
      </w:r>
      <w:r>
        <w:t>ultimo 2018 is voller dan het jaar ervoor</w:t>
      </w:r>
      <w:r w:rsidR="003C5B85">
        <w:t xml:space="preserve">, hetgeen </w:t>
      </w:r>
      <w:r>
        <w:rPr>
          <w:color w:val="BA0C2F"/>
        </w:rPr>
        <w:t>Rood</w:t>
      </w:r>
      <w:r>
        <w:t xml:space="preserve">Microtec </w:t>
      </w:r>
      <w:r w:rsidR="002F382B">
        <w:t>in staat s</w:t>
      </w:r>
      <w:r w:rsidR="005A35E8">
        <w:t>t</w:t>
      </w:r>
      <w:r w:rsidR="002F382B">
        <w:t xml:space="preserve">elt </w:t>
      </w:r>
      <w:r>
        <w:t xml:space="preserve">haar productiecapaciteit voor 2019 </w:t>
      </w:r>
      <w:r w:rsidR="002F382B">
        <w:t>efficient te gebruiken.</w:t>
      </w:r>
    </w:p>
    <w:p w:rsidR="00B52809" w:rsidRPr="001B24A6" w:rsidRDefault="00B52809" w:rsidP="00D85DA4">
      <w:pPr>
        <w:jc w:val="both"/>
      </w:pPr>
      <w:r>
        <w:t xml:space="preserve">Martin Sallenhag, CEO van </w:t>
      </w:r>
      <w:r>
        <w:rPr>
          <w:color w:val="B71234"/>
        </w:rPr>
        <w:t>Rood</w:t>
      </w:r>
      <w:r>
        <w:t xml:space="preserve">Microtec: </w:t>
      </w:r>
      <w:r>
        <w:rPr>
          <w:i/>
        </w:rPr>
        <w:t xml:space="preserve">‘2018 was weer een bijzonder goed jaar voor </w:t>
      </w:r>
      <w:r>
        <w:rPr>
          <w:i/>
          <w:color w:val="B71234"/>
        </w:rPr>
        <w:t>Rood</w:t>
      </w:r>
      <w:r>
        <w:rPr>
          <w:i/>
        </w:rPr>
        <w:t xml:space="preserve">Microtec. Wij hebben onze positie in het ASIC-segment versterkt door nieuwe SCM-projecten in productie te brengen en doordat wij door EnSilica uitgekozen zijn als een belangrijke partner voor een automotive project. Daardoor hebben wij onze omzet weten te verhogen en een positief nettoresultaat geboekt in 2018. De </w:t>
      </w:r>
      <w:r w:rsidR="00303C3B">
        <w:rPr>
          <w:i/>
        </w:rPr>
        <w:t>groei van onze</w:t>
      </w:r>
      <w:r w:rsidR="00466BBE">
        <w:rPr>
          <w:i/>
        </w:rPr>
        <w:t xml:space="preserve"> </w:t>
      </w:r>
      <w:r>
        <w:rPr>
          <w:i/>
        </w:rPr>
        <w:t xml:space="preserve">onze orderportefeuille vergeleken met het begin van 2018 samen met de sterke </w:t>
      </w:r>
      <w:r w:rsidR="00303C3B">
        <w:rPr>
          <w:i/>
        </w:rPr>
        <w:t>gemotiveerde</w:t>
      </w:r>
      <w:r w:rsidR="00466BBE">
        <w:rPr>
          <w:i/>
        </w:rPr>
        <w:t xml:space="preserve"> </w:t>
      </w:r>
      <w:r>
        <w:rPr>
          <w:i/>
        </w:rPr>
        <w:t>werknemers en de verhoogde efficiëntie van onze operaties geeft ons vertrouwen dat de groei zal aanhouden.’</w:t>
      </w:r>
    </w:p>
    <w:p w:rsidR="00B52809" w:rsidRPr="001B24A6" w:rsidRDefault="00B52809" w:rsidP="00D85DA4">
      <w:pPr>
        <w:jc w:val="both"/>
      </w:pPr>
    </w:p>
    <w:p w:rsidR="00B52809" w:rsidRPr="001B24A6" w:rsidRDefault="00B52809" w:rsidP="00D85DA4">
      <w:pPr>
        <w:jc w:val="both"/>
        <w:rPr>
          <w:b/>
          <w:color w:val="C00000"/>
        </w:rPr>
      </w:pPr>
      <w:r>
        <w:rPr>
          <w:b/>
          <w:color w:val="C00000"/>
        </w:rPr>
        <w:t>KERNPUNTEN 2018</w:t>
      </w:r>
    </w:p>
    <w:p w:rsidR="00B52809" w:rsidRPr="001B24A6" w:rsidRDefault="00B52809" w:rsidP="00D85DA4">
      <w:pPr>
        <w:jc w:val="both"/>
        <w:rPr>
          <w:b/>
          <w:color w:val="C00000"/>
        </w:rPr>
      </w:pPr>
      <w:r>
        <w:rPr>
          <w:b/>
          <w:color w:val="C00000"/>
        </w:rPr>
        <w:t>Commercieel/operationeel</w:t>
      </w:r>
    </w:p>
    <w:p w:rsidR="00417AF3" w:rsidRPr="001B24A6" w:rsidRDefault="00B52809" w:rsidP="00C87C7B">
      <w:pPr>
        <w:pStyle w:val="Listenabsatz"/>
        <w:numPr>
          <w:ilvl w:val="0"/>
          <w:numId w:val="17"/>
        </w:numPr>
        <w:ind w:left="336"/>
        <w:jc w:val="both"/>
        <w:rPr>
          <w:rFonts w:eastAsiaTheme="minorHAnsi"/>
        </w:rPr>
      </w:pPr>
      <w:r>
        <w:t>Sterke omzetgroei van 11%</w:t>
      </w:r>
      <w:r w:rsidR="00303C3B">
        <w:t>,</w:t>
      </w:r>
      <w:r>
        <w:t xml:space="preserve"> EUR 13,4 miljoen (2017: EUR 12,1 miljoen). </w:t>
      </w:r>
    </w:p>
    <w:p w:rsidR="00B52809" w:rsidRPr="001B24A6" w:rsidRDefault="00B52809" w:rsidP="00C87C7B">
      <w:pPr>
        <w:pStyle w:val="Listenabsatz"/>
        <w:numPr>
          <w:ilvl w:val="0"/>
          <w:numId w:val="17"/>
        </w:numPr>
        <w:ind w:left="336"/>
        <w:jc w:val="both"/>
        <w:rPr>
          <w:rFonts w:eastAsiaTheme="minorHAnsi"/>
        </w:rPr>
      </w:pPr>
      <w:r>
        <w:t>Belangrijke omzetstijging in Test Operations en Supply Chain Management.</w:t>
      </w:r>
    </w:p>
    <w:p w:rsidR="00B52809" w:rsidRPr="001B24A6" w:rsidRDefault="00B52809" w:rsidP="00D85DA4">
      <w:pPr>
        <w:pStyle w:val="Listenabsatz"/>
        <w:numPr>
          <w:ilvl w:val="0"/>
          <w:numId w:val="17"/>
        </w:numPr>
        <w:ind w:left="336"/>
        <w:jc w:val="both"/>
        <w:rPr>
          <w:rFonts w:eastAsiaTheme="minorHAnsi"/>
        </w:rPr>
      </w:pPr>
      <w:r>
        <w:t>Aanhoudende groei in twee grote marktsegmenten, automotive en industrial.</w:t>
      </w:r>
    </w:p>
    <w:p w:rsidR="00B52809" w:rsidRPr="001B24A6" w:rsidRDefault="00B52809" w:rsidP="00D85DA4">
      <w:pPr>
        <w:pStyle w:val="Listenabsatz"/>
        <w:numPr>
          <w:ilvl w:val="0"/>
          <w:numId w:val="17"/>
        </w:numPr>
        <w:ind w:left="336"/>
        <w:jc w:val="both"/>
        <w:rPr>
          <w:rFonts w:eastAsiaTheme="minorHAnsi"/>
        </w:rPr>
      </w:pPr>
      <w:r>
        <w:t>De book-to-bill ratio was in 2018 boven de 1.0</w:t>
      </w:r>
      <w:r w:rsidR="00303C3B">
        <w:t>; verbetering</w:t>
      </w:r>
      <w:r>
        <w:t xml:space="preserve"> </w:t>
      </w:r>
      <w:r w:rsidR="005A35E8">
        <w:t xml:space="preserve">van de </w:t>
      </w:r>
      <w:r>
        <w:t>order</w:t>
      </w:r>
      <w:r w:rsidR="002F382B">
        <w:t>portefeuille</w:t>
      </w:r>
      <w:r>
        <w:t xml:space="preserve"> eind 2018 </w:t>
      </w:r>
      <w:r w:rsidR="00303C3B">
        <w:t>in vergelijking met voorafgaand jaar</w:t>
      </w:r>
      <w:r>
        <w:t xml:space="preserve">. </w:t>
      </w:r>
    </w:p>
    <w:p w:rsidR="00B52809" w:rsidRPr="001B24A6" w:rsidRDefault="00B52809" w:rsidP="00D85DA4">
      <w:pPr>
        <w:pStyle w:val="Listenabsatz"/>
        <w:numPr>
          <w:ilvl w:val="0"/>
          <w:numId w:val="17"/>
        </w:numPr>
        <w:ind w:left="336"/>
        <w:jc w:val="both"/>
        <w:rPr>
          <w:rFonts w:eastAsiaTheme="minorHAnsi"/>
        </w:rPr>
      </w:pPr>
      <w:r>
        <w:rPr>
          <w:color w:val="BA0C2F"/>
        </w:rPr>
        <w:lastRenderedPageBreak/>
        <w:t>Rood</w:t>
      </w:r>
      <w:r>
        <w:t xml:space="preserve">Microtec is door EnSilica </w:t>
      </w:r>
      <w:r w:rsidR="00303C3B">
        <w:t>(</w:t>
      </w:r>
      <w:r>
        <w:t>VK</w:t>
      </w:r>
      <w:r w:rsidR="00303C3B">
        <w:t>)</w:t>
      </w:r>
      <w:r>
        <w:t xml:space="preserve"> geselecteerd als belangrijke partner in een automotive ASIC-project, waarvoor wij kwalificatie- en testdiensten uitvoeren. </w:t>
      </w:r>
      <w:r w:rsidR="00CB0399">
        <w:t>Hoog volume p</w:t>
      </w:r>
      <w:r w:rsidR="002F382B">
        <w:t>roductie</w:t>
      </w:r>
      <w:r w:rsidR="00CB0399">
        <w:t>fase</w:t>
      </w:r>
      <w:r w:rsidR="002F382B">
        <w:t xml:space="preserve"> </w:t>
      </w:r>
      <w:r>
        <w:t xml:space="preserve">begint in 2020. </w:t>
      </w:r>
    </w:p>
    <w:p w:rsidR="00B52809" w:rsidRPr="001B24A6" w:rsidRDefault="00B52809" w:rsidP="00D85DA4">
      <w:pPr>
        <w:pStyle w:val="Listenabsatz"/>
        <w:numPr>
          <w:ilvl w:val="0"/>
          <w:numId w:val="17"/>
        </w:numPr>
        <w:ind w:left="336"/>
        <w:jc w:val="both"/>
        <w:rPr>
          <w:rFonts w:eastAsiaTheme="minorHAnsi"/>
        </w:rPr>
      </w:pPr>
      <w:r>
        <w:t xml:space="preserve">In 2018 hebben wij extra SCM-projecten in productie gebracht wat bijdroeg aan de significante toename van 34% in SCM-omzet vergeleken met 2017. </w:t>
      </w:r>
    </w:p>
    <w:p w:rsidR="00B52809" w:rsidRPr="001B24A6" w:rsidRDefault="00B52809" w:rsidP="00D85DA4">
      <w:pPr>
        <w:pStyle w:val="Listenabsatz"/>
        <w:numPr>
          <w:ilvl w:val="0"/>
          <w:numId w:val="17"/>
        </w:numPr>
        <w:ind w:left="336"/>
        <w:jc w:val="both"/>
        <w:rPr>
          <w:rFonts w:eastAsiaTheme="minorHAnsi"/>
        </w:rPr>
      </w:pPr>
      <w:r>
        <w:t>De SCM-omzetstijging leidde ook tot extra bedrijvigheid in de Test Operations unit, met een groei van 22% ten opzichte van 2017.</w:t>
      </w:r>
    </w:p>
    <w:p w:rsidR="00B52809" w:rsidRPr="001B24A6" w:rsidRDefault="00436B43" w:rsidP="00D85DA4">
      <w:pPr>
        <w:pStyle w:val="Listenabsatz"/>
        <w:numPr>
          <w:ilvl w:val="0"/>
          <w:numId w:val="17"/>
        </w:numPr>
        <w:ind w:left="336"/>
        <w:jc w:val="both"/>
        <w:rPr>
          <w:rFonts w:eastAsiaTheme="minorHAnsi"/>
        </w:rPr>
      </w:pPr>
      <w:r>
        <w:t>Er zijn nieuwe partners toegevoegd aan de bestaande samenwerkingsovereenkomsten met een aantal toonaangevende en succesvolle Europese Fabless companies (</w:t>
      </w:r>
      <w:r w:rsidR="002F382B">
        <w:t>IC leveranciers zonder eigen productielijnen</w:t>
      </w:r>
      <w:r>
        <w:t xml:space="preserve">). </w:t>
      </w:r>
    </w:p>
    <w:p w:rsidR="00B52809" w:rsidRPr="001B24A6" w:rsidRDefault="00B52809" w:rsidP="00D85DA4">
      <w:pPr>
        <w:pStyle w:val="Listenabsatz"/>
        <w:numPr>
          <w:ilvl w:val="0"/>
          <w:numId w:val="17"/>
        </w:numPr>
        <w:ind w:left="336"/>
        <w:jc w:val="both"/>
        <w:rPr>
          <w:rFonts w:eastAsiaTheme="minorHAnsi"/>
        </w:rPr>
      </w:pPr>
      <w:r>
        <w:t>De accreditatie van onze laboratoria voor de ISO/IEC 17025-norm en onze ISO 9001:2015 certificering zijn beide in 2018 vernieuwd.</w:t>
      </w:r>
    </w:p>
    <w:p w:rsidR="00B52809" w:rsidRPr="001B24A6" w:rsidRDefault="00B52809" w:rsidP="00D85DA4">
      <w:pPr>
        <w:pStyle w:val="Listenabsatz"/>
        <w:numPr>
          <w:ilvl w:val="0"/>
          <w:numId w:val="17"/>
        </w:numPr>
        <w:ind w:left="336"/>
        <w:jc w:val="both"/>
        <w:rPr>
          <w:rFonts w:eastAsiaTheme="minorHAnsi"/>
        </w:rPr>
      </w:pPr>
      <w:r>
        <w:t xml:space="preserve">Een gezamenlijke workshop over supply chain management in de halfgeleiderindustrie georganiseerd door BCS (Business Cluster Semiconductors Netherlands) en </w:t>
      </w:r>
      <w:r>
        <w:rPr>
          <w:color w:val="BA0C2F"/>
        </w:rPr>
        <w:t>Rood</w:t>
      </w:r>
      <w:r>
        <w:t xml:space="preserve">Microtec is succesvol verlopen met </w:t>
      </w:r>
      <w:r w:rsidR="002F382B">
        <w:t>ongeveer</w:t>
      </w:r>
      <w:r>
        <w:t xml:space="preserve"> 30 geïnteresseerden. </w:t>
      </w:r>
    </w:p>
    <w:p w:rsidR="00B52809" w:rsidRPr="001B24A6" w:rsidRDefault="00B52809" w:rsidP="00D85DA4">
      <w:pPr>
        <w:pStyle w:val="Listenabsatz"/>
        <w:numPr>
          <w:ilvl w:val="0"/>
          <w:numId w:val="17"/>
        </w:numPr>
        <w:ind w:left="336"/>
        <w:jc w:val="both"/>
        <w:rPr>
          <w:rFonts w:eastAsiaTheme="minorHAnsi"/>
        </w:rPr>
      </w:pPr>
      <w:r>
        <w:t>De Test Engineering unit is samengevoegd met Test Operations</w:t>
      </w:r>
      <w:r w:rsidR="002F382B">
        <w:t>.</w:t>
      </w:r>
      <w:r>
        <w:t xml:space="preserve"> Test Engineering </w:t>
      </w:r>
      <w:r w:rsidR="00303C3B">
        <w:t xml:space="preserve">biedt </w:t>
      </w:r>
      <w:r>
        <w:t xml:space="preserve">een ondersteunende rol voor toekomstig testwerk in Test Operations. </w:t>
      </w:r>
      <w:r w:rsidRPr="000340EC">
        <w:rPr>
          <w:lang w:val="en-GB"/>
        </w:rPr>
        <w:t xml:space="preserve">Failure &amp; Technology Analysis and Qualification &amp; Reliability Investigations </w:t>
      </w:r>
      <w:proofErr w:type="spellStart"/>
      <w:r w:rsidRPr="000340EC">
        <w:rPr>
          <w:lang w:val="en-GB"/>
        </w:rPr>
        <w:t>zijn</w:t>
      </w:r>
      <w:proofErr w:type="spellEnd"/>
      <w:r w:rsidRPr="000340EC">
        <w:rPr>
          <w:lang w:val="en-GB"/>
        </w:rPr>
        <w:t xml:space="preserve"> </w:t>
      </w:r>
      <w:proofErr w:type="spellStart"/>
      <w:r w:rsidRPr="000340EC">
        <w:rPr>
          <w:lang w:val="en-GB"/>
        </w:rPr>
        <w:t>samengevoegd</w:t>
      </w:r>
      <w:proofErr w:type="spellEnd"/>
      <w:r w:rsidRPr="000340EC">
        <w:rPr>
          <w:lang w:val="en-GB"/>
        </w:rPr>
        <w:t xml:space="preserve"> in de </w:t>
      </w:r>
      <w:proofErr w:type="spellStart"/>
      <w:r w:rsidRPr="000340EC">
        <w:rPr>
          <w:lang w:val="en-GB"/>
        </w:rPr>
        <w:t>nieuwe</w:t>
      </w:r>
      <w:proofErr w:type="spellEnd"/>
      <w:r w:rsidRPr="000340EC">
        <w:rPr>
          <w:lang w:val="en-GB"/>
        </w:rPr>
        <w:t xml:space="preserve"> unit Qualification &amp; Failure Analysis. </w:t>
      </w:r>
      <w:r>
        <w:t xml:space="preserve">Beide </w:t>
      </w:r>
      <w:r w:rsidR="00EE1CA8">
        <w:t>werk</w:t>
      </w:r>
      <w:r>
        <w:t>gebieden vormen onderdeel van het geaccrediteerde laboratorium.</w:t>
      </w:r>
    </w:p>
    <w:p w:rsidR="00B52809" w:rsidRPr="001B24A6" w:rsidRDefault="00B52809" w:rsidP="00D85DA4">
      <w:pPr>
        <w:jc w:val="both"/>
      </w:pPr>
    </w:p>
    <w:p w:rsidR="00B52809" w:rsidRPr="001B24A6" w:rsidRDefault="00B52809" w:rsidP="00D85DA4">
      <w:pPr>
        <w:jc w:val="both"/>
        <w:rPr>
          <w:rFonts w:eastAsia="Times New Roman"/>
          <w:b/>
          <w:color w:val="C00000"/>
        </w:rPr>
      </w:pPr>
      <w:r>
        <w:rPr>
          <w:b/>
          <w:color w:val="C00000"/>
        </w:rPr>
        <w:t xml:space="preserve">Financieel </w:t>
      </w:r>
    </w:p>
    <w:p w:rsidR="00B52809" w:rsidRPr="001B24A6" w:rsidRDefault="00B52809" w:rsidP="00D85DA4">
      <w:pPr>
        <w:pStyle w:val="Listenabsatz"/>
        <w:numPr>
          <w:ilvl w:val="0"/>
          <w:numId w:val="18"/>
        </w:numPr>
        <w:ind w:left="392"/>
        <w:jc w:val="both"/>
        <w:rPr>
          <w:rFonts w:eastAsia="Times New Roman"/>
        </w:rPr>
      </w:pPr>
      <w:r>
        <w:t>EUR 13,4 miljoen omzet in 2018; 11% toename vergeleken met 2017 (EUR 12,1 miljoen).</w:t>
      </w:r>
    </w:p>
    <w:p w:rsidR="00B52809" w:rsidRPr="001B24A6" w:rsidRDefault="00B52809" w:rsidP="00D85DA4">
      <w:pPr>
        <w:pStyle w:val="Listenabsatz"/>
        <w:numPr>
          <w:ilvl w:val="0"/>
          <w:numId w:val="18"/>
        </w:numPr>
        <w:ind w:left="392"/>
        <w:jc w:val="both"/>
        <w:rPr>
          <w:rFonts w:eastAsia="Times New Roman"/>
        </w:rPr>
      </w:pPr>
      <w:r>
        <w:t>Nettoschuld verbeterd naar EUR 0,9 miljoen (2017: EUR 2,4 miljoen).</w:t>
      </w:r>
    </w:p>
    <w:p w:rsidR="00B52809" w:rsidRPr="001B24A6" w:rsidRDefault="00B52809" w:rsidP="00D85DA4">
      <w:pPr>
        <w:pStyle w:val="Listenabsatz"/>
        <w:numPr>
          <w:ilvl w:val="0"/>
          <w:numId w:val="18"/>
        </w:numPr>
        <w:ind w:left="392"/>
        <w:jc w:val="both"/>
        <w:rPr>
          <w:rFonts w:eastAsia="Times New Roman"/>
        </w:rPr>
      </w:pPr>
      <w:r>
        <w:t>EBITDA: EUR 1,4 miljoen positief (2017: EUR 0,9 miljoen positief).</w:t>
      </w:r>
    </w:p>
    <w:p w:rsidR="00B52809" w:rsidRPr="001B24A6" w:rsidRDefault="00B52809" w:rsidP="00D85DA4">
      <w:pPr>
        <w:pStyle w:val="Listenabsatz"/>
        <w:numPr>
          <w:ilvl w:val="0"/>
          <w:numId w:val="18"/>
        </w:numPr>
        <w:ind w:left="392"/>
        <w:jc w:val="both"/>
        <w:rPr>
          <w:rFonts w:eastAsia="Times New Roman"/>
        </w:rPr>
      </w:pPr>
      <w:r>
        <w:t>EBIT (bedrijfsresultaat) EUR 0,37 miljoen positief (2017: EUR 0,07 miljoen negatief).</w:t>
      </w:r>
    </w:p>
    <w:p w:rsidR="00B52809" w:rsidRPr="001B24A6" w:rsidRDefault="00D02012" w:rsidP="00D85DA4">
      <w:pPr>
        <w:pStyle w:val="Listenabsatz"/>
        <w:numPr>
          <w:ilvl w:val="0"/>
          <w:numId w:val="18"/>
        </w:numPr>
        <w:ind w:left="392"/>
        <w:jc w:val="both"/>
        <w:rPr>
          <w:rFonts w:eastAsia="Times New Roman"/>
        </w:rPr>
      </w:pPr>
      <w:r>
        <w:t>Nettowinst: EUR 0,13 miljoen positief (2017: EUR 0,04 miljoen negatief)</w:t>
      </w:r>
    </w:p>
    <w:p w:rsidR="00B52809" w:rsidRPr="001B24A6" w:rsidRDefault="00B52809" w:rsidP="00D85DA4">
      <w:pPr>
        <w:pStyle w:val="Listenabsatz"/>
        <w:numPr>
          <w:ilvl w:val="0"/>
          <w:numId w:val="18"/>
        </w:numPr>
        <w:ind w:left="392"/>
        <w:jc w:val="both"/>
        <w:rPr>
          <w:rFonts w:eastAsia="Times New Roman"/>
        </w:rPr>
      </w:pPr>
      <w:r>
        <w:t>Solvabiliteit omhoog naar 38% (2017: 36%).</w:t>
      </w:r>
    </w:p>
    <w:p w:rsidR="00B52809" w:rsidRPr="001B24A6" w:rsidRDefault="00B52809" w:rsidP="00D85DA4">
      <w:pPr>
        <w:pStyle w:val="Listenabsatz"/>
        <w:numPr>
          <w:ilvl w:val="0"/>
          <w:numId w:val="18"/>
        </w:numPr>
        <w:ind w:left="392"/>
        <w:jc w:val="both"/>
        <w:rPr>
          <w:rFonts w:eastAsia="Times New Roman"/>
        </w:rPr>
      </w:pPr>
      <w:r>
        <w:t>Het balanstotaal nam toe tot EUR 13,6 miljoen (2017: 13,4 miljoen).</w:t>
      </w:r>
    </w:p>
    <w:p w:rsidR="00B52809" w:rsidRPr="001B24A6" w:rsidRDefault="00B52809" w:rsidP="00D85DA4">
      <w:pPr>
        <w:pStyle w:val="Listenabsatz"/>
        <w:numPr>
          <w:ilvl w:val="0"/>
          <w:numId w:val="18"/>
        </w:numPr>
        <w:ind w:left="392"/>
        <w:jc w:val="both"/>
        <w:rPr>
          <w:rFonts w:eastAsia="Times New Roman"/>
        </w:rPr>
      </w:pPr>
      <w:r>
        <w:t xml:space="preserve">De fondsbeleggingen </w:t>
      </w:r>
      <w:r w:rsidR="00303C3B">
        <w:t xml:space="preserve">bij Plentum </w:t>
      </w:r>
      <w:r>
        <w:t>met betrekking tot de pensioenv</w:t>
      </w:r>
      <w:r w:rsidR="00303C3B">
        <w:t>erplichting</w:t>
      </w:r>
      <w:r w:rsidR="00773D3E">
        <w:t xml:space="preserve"> </w:t>
      </w:r>
      <w:r>
        <w:t>werden met EUR 0,94 mi</w:t>
      </w:r>
      <w:bookmarkStart w:id="0" w:name="_GoBack"/>
      <w:bookmarkEnd w:id="0"/>
      <w:r>
        <w:t>ljoen afgewaardeerd vanwege wijzigingen in de waarde van de portefeuille.</w:t>
      </w:r>
    </w:p>
    <w:p w:rsidR="00B52809" w:rsidRPr="001B24A6" w:rsidRDefault="00B52809" w:rsidP="00D85DA4">
      <w:pPr>
        <w:pStyle w:val="Listenabsatz"/>
        <w:numPr>
          <w:ilvl w:val="0"/>
          <w:numId w:val="18"/>
        </w:numPr>
        <w:ind w:left="392"/>
        <w:jc w:val="both"/>
        <w:rPr>
          <w:rFonts w:eastAsia="Times New Roman"/>
        </w:rPr>
      </w:pPr>
      <w:r>
        <w:rPr>
          <w:color w:val="BA0C2F"/>
        </w:rPr>
        <w:t>Rood</w:t>
      </w:r>
      <w:r>
        <w:t>Microtec is een rechtszaak begonnen tegen een debiteur over een geschil over het (niet) uitvoeren van contractuele verplichtingen tussen de partijen; er is een voorziening van EUR 0,13 miljoen gevormd.</w:t>
      </w:r>
    </w:p>
    <w:p w:rsidR="00B52809" w:rsidRPr="001B24A6" w:rsidRDefault="00B52809" w:rsidP="00D85DA4">
      <w:pPr>
        <w:pStyle w:val="Listenabsatz"/>
        <w:numPr>
          <w:ilvl w:val="0"/>
          <w:numId w:val="18"/>
        </w:numPr>
        <w:ind w:left="392"/>
        <w:jc w:val="both"/>
        <w:rPr>
          <w:rFonts w:eastAsia="Times New Roman"/>
        </w:rPr>
      </w:pPr>
      <w:r>
        <w:t>Eenmalige buitengewone kosten van EUR 0,26 miljoen voor BTW genomen en pensioencorrecties (2013 tot 2018).</w:t>
      </w:r>
    </w:p>
    <w:p w:rsidR="00B52809" w:rsidRPr="001B24A6" w:rsidRDefault="00B52809" w:rsidP="00D85DA4">
      <w:pPr>
        <w:pStyle w:val="Listenabsatz"/>
        <w:numPr>
          <w:ilvl w:val="0"/>
          <w:numId w:val="18"/>
        </w:numPr>
        <w:ind w:left="392"/>
        <w:jc w:val="both"/>
      </w:pPr>
      <w:r>
        <w:t xml:space="preserve">Er zijn nieuwe aandelen (EUR 0,50 miljoen) uitgegeven aan Blikkenburg BV voor investeringen in nieuwe apparatuur zodat de onderneming de transitie naar nieuwe werkterreinen kan versnellen. </w:t>
      </w:r>
    </w:p>
    <w:p w:rsidR="00B52809" w:rsidRPr="001B24A6" w:rsidRDefault="00B52809" w:rsidP="00D85DA4">
      <w:pPr>
        <w:pStyle w:val="Listenabsatz"/>
        <w:numPr>
          <w:ilvl w:val="0"/>
          <w:numId w:val="18"/>
        </w:numPr>
        <w:ind w:left="392"/>
        <w:jc w:val="both"/>
      </w:pPr>
      <w:r>
        <w:t>Warrants Series III, ISIN code NL0011556972, konden voor het laatst december 2018 uitgeoefend worden en zijn van de beurs gehaald.</w:t>
      </w:r>
    </w:p>
    <w:p w:rsidR="00B23BCB" w:rsidRPr="001B24A6" w:rsidRDefault="00B23BCB" w:rsidP="00D85DA4">
      <w:pPr>
        <w:pStyle w:val="Listenabsatz"/>
        <w:numPr>
          <w:ilvl w:val="0"/>
          <w:numId w:val="18"/>
        </w:numPr>
        <w:ind w:left="392"/>
        <w:jc w:val="both"/>
      </w:pPr>
      <w:r>
        <w:t xml:space="preserve">Op 30 september 2018 is de Duitse dochteronderneming </w:t>
      </w:r>
      <w:r w:rsidRPr="00BF559C">
        <w:rPr>
          <w:color w:val="BA0C2F"/>
        </w:rPr>
        <w:t>Rood</w:t>
      </w:r>
      <w:r>
        <w:t xml:space="preserve">Microtec Dresden GmbH gefuseerd </w:t>
      </w:r>
      <w:r w:rsidR="00773D3E">
        <w:t xml:space="preserve">en opgegaan in </w:t>
      </w:r>
      <w:r w:rsidRPr="00BF559C">
        <w:rPr>
          <w:color w:val="BA0C2F"/>
        </w:rPr>
        <w:t>Rood</w:t>
      </w:r>
      <w:r>
        <w:t>Microtec GmbH.</w:t>
      </w:r>
    </w:p>
    <w:p w:rsidR="00D85DA4" w:rsidRPr="001B24A6" w:rsidRDefault="00D85DA4">
      <w:pPr>
        <w:spacing w:after="0" w:line="240" w:lineRule="auto"/>
      </w:pPr>
      <w:r>
        <w:br w:type="page"/>
      </w:r>
    </w:p>
    <w:p w:rsidR="00B52809" w:rsidRPr="001B24A6" w:rsidRDefault="00B52809" w:rsidP="00F451E8">
      <w:pPr>
        <w:jc w:val="both"/>
        <w:rPr>
          <w:rFonts w:eastAsia="Times New Roman"/>
          <w:b/>
          <w:color w:val="C00000"/>
        </w:rPr>
      </w:pPr>
      <w:r>
        <w:rPr>
          <w:b/>
          <w:color w:val="C00000"/>
        </w:rPr>
        <w:lastRenderedPageBreak/>
        <w:t>Kerngegevens</w:t>
      </w:r>
    </w:p>
    <w:tbl>
      <w:tblPr>
        <w:tblW w:w="8098" w:type="dxa"/>
        <w:tblCellMar>
          <w:left w:w="0" w:type="dxa"/>
          <w:right w:w="0" w:type="dxa"/>
        </w:tblCellMar>
        <w:tblLook w:val="04A0" w:firstRow="1" w:lastRow="0" w:firstColumn="1" w:lastColumn="0" w:noHBand="0" w:noVBand="1"/>
      </w:tblPr>
      <w:tblGrid>
        <w:gridCol w:w="5245"/>
        <w:gridCol w:w="1296"/>
        <w:gridCol w:w="1653"/>
      </w:tblGrid>
      <w:tr w:rsidR="00217754" w:rsidRPr="001B24A6" w:rsidTr="00217754">
        <w:trPr>
          <w:trHeight w:val="300"/>
        </w:trPr>
        <w:tc>
          <w:tcPr>
            <w:tcW w:w="5245" w:type="dxa"/>
            <w:tcBorders>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rPr>
                <w:rFonts w:asciiTheme="minorHAnsi" w:eastAsia="Times New Roman" w:hAnsiTheme="minorHAnsi" w:cstheme="minorHAnsi"/>
              </w:rPr>
            </w:pPr>
            <w:r>
              <w:rPr>
                <w:rFonts w:asciiTheme="minorHAnsi" w:hAnsiTheme="minorHAnsi"/>
              </w:rPr>
              <w:t>(x EUR 1.000, tenzij anders vermeld) </w:t>
            </w:r>
          </w:p>
        </w:tc>
        <w:tc>
          <w:tcPr>
            <w:tcW w:w="1200" w:type="dxa"/>
            <w:tcBorders>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jc w:val="right"/>
              <w:rPr>
                <w:rFonts w:asciiTheme="minorHAnsi" w:eastAsia="Times New Roman" w:hAnsiTheme="minorHAnsi" w:cstheme="minorHAnsi"/>
              </w:rPr>
            </w:pPr>
            <w:r>
              <w:rPr>
                <w:rFonts w:asciiTheme="minorHAnsi" w:hAnsiTheme="minorHAnsi"/>
              </w:rPr>
              <w:t>Niet gecontroleerd</w:t>
            </w:r>
          </w:p>
        </w:tc>
        <w:tc>
          <w:tcPr>
            <w:tcW w:w="1653" w:type="dxa"/>
            <w:tcBorders>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rPr>
                <w:rFonts w:asciiTheme="minorHAnsi" w:eastAsia="Times New Roman" w:hAnsiTheme="minorHAnsi" w:cstheme="minorHAnsi"/>
                <w:lang w:eastAsia="en-GB" w:bidi="en-GB"/>
              </w:rPr>
            </w:pPr>
          </w:p>
        </w:tc>
      </w:tr>
      <w:tr w:rsidR="00217754" w:rsidRPr="001B24A6" w:rsidTr="00217754">
        <w:trPr>
          <w:trHeight w:val="465"/>
        </w:trPr>
        <w:tc>
          <w:tcPr>
            <w:tcW w:w="5245"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 </w:t>
            </w:r>
          </w:p>
        </w:tc>
        <w:tc>
          <w:tcPr>
            <w:tcW w:w="1200"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color w:val="000000"/>
              </w:rPr>
            </w:pPr>
            <w:r>
              <w:rPr>
                <w:rFonts w:asciiTheme="minorHAnsi" w:hAnsiTheme="minorHAnsi"/>
                <w:b/>
                <w:color w:val="000000"/>
              </w:rPr>
              <w:t>2018</w:t>
            </w:r>
          </w:p>
        </w:tc>
        <w:tc>
          <w:tcPr>
            <w:tcW w:w="165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color w:val="000000"/>
              </w:rPr>
            </w:pPr>
            <w:r>
              <w:rPr>
                <w:rFonts w:asciiTheme="minorHAnsi" w:hAnsiTheme="minorHAnsi"/>
                <w:b/>
                <w:color w:val="000000"/>
              </w:rPr>
              <w:t>2017</w:t>
            </w:r>
          </w:p>
        </w:tc>
      </w:tr>
      <w:tr w:rsidR="00217754" w:rsidRPr="001B24A6" w:rsidTr="00217754">
        <w:trPr>
          <w:trHeight w:val="285"/>
        </w:trPr>
        <w:tc>
          <w:tcPr>
            <w:tcW w:w="5245" w:type="dxa"/>
            <w:tcBorders>
              <w:top w:val="nil"/>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Omzet en resultaat</w:t>
            </w: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 </w:t>
            </w:r>
          </w:p>
        </w:tc>
        <w:tc>
          <w:tcPr>
            <w:tcW w:w="1653" w:type="dxa"/>
            <w:tcBorders>
              <w:top w:val="nil"/>
              <w:left w:val="nil"/>
              <w:bottom w:val="nil"/>
              <w:right w:val="nil"/>
            </w:tcBorders>
            <w:shd w:val="clear" w:color="auto" w:fill="auto"/>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 </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Netto-omzet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13.425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12.127</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Brutomarge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10.880</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10.157</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EBITDA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D02012" w:rsidP="00217754">
            <w:pPr>
              <w:spacing w:after="0"/>
              <w:jc w:val="right"/>
              <w:rPr>
                <w:rFonts w:asciiTheme="minorHAnsi" w:hAnsiTheme="minorHAnsi" w:cstheme="minorHAnsi"/>
                <w:color w:val="000000"/>
              </w:rPr>
            </w:pPr>
            <w:r>
              <w:rPr>
                <w:rFonts w:asciiTheme="minorHAnsi" w:hAnsiTheme="minorHAnsi"/>
                <w:color w:val="000000"/>
              </w:rPr>
              <w:t>1.383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949</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EBIT (bedrijfsresultaat)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D02012" w:rsidP="00217754">
            <w:pPr>
              <w:spacing w:after="0"/>
              <w:jc w:val="right"/>
              <w:rPr>
                <w:rFonts w:asciiTheme="minorHAnsi" w:hAnsiTheme="minorHAnsi" w:cstheme="minorHAnsi"/>
                <w:color w:val="000000"/>
              </w:rPr>
            </w:pPr>
            <w:r>
              <w:rPr>
                <w:rFonts w:asciiTheme="minorHAnsi" w:hAnsiTheme="minorHAnsi"/>
                <w:color w:val="000000"/>
              </w:rPr>
              <w:t>365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-69</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EBT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D02012" w:rsidP="00217754">
            <w:pPr>
              <w:spacing w:after="0"/>
              <w:jc w:val="right"/>
              <w:rPr>
                <w:rFonts w:asciiTheme="minorHAnsi" w:hAnsiTheme="minorHAnsi" w:cstheme="minorHAnsi"/>
                <w:color w:val="000000"/>
              </w:rPr>
            </w:pPr>
            <w:r>
              <w:rPr>
                <w:rFonts w:asciiTheme="minorHAnsi" w:hAnsiTheme="minorHAnsi"/>
                <w:color w:val="000000"/>
              </w:rPr>
              <w:t>124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-327</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Nettoresultaat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D02012" w:rsidP="00217754">
            <w:pPr>
              <w:spacing w:after="0"/>
              <w:jc w:val="right"/>
              <w:rPr>
                <w:rFonts w:asciiTheme="minorHAnsi" w:hAnsiTheme="minorHAnsi" w:cstheme="minorHAnsi"/>
                <w:color w:val="000000"/>
              </w:rPr>
            </w:pPr>
            <w:r>
              <w:rPr>
                <w:rFonts w:asciiTheme="minorHAnsi" w:hAnsiTheme="minorHAnsi"/>
                <w:color w:val="000000"/>
              </w:rPr>
              <w:t>125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-44</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Kasstroom uit bedrijfsactiviteiten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563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628</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Kapitaal, schuld en liquiditeitsratio's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Totaal 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13.606</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13.416</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Groepsvermogen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5.209</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4.767</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Netto schuldpositie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915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2.451</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Kapitaal (= nettoschuld + eigen vermogen)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6.124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7.218</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Gearing ratio (nettoschuld / kapitaal)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15%</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34%</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Solvabiliteit (groepsvermogen / totale 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38%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36%</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Schuldratio (nettoschuld / EBITDA)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0,7</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2,6</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rPr>
            </w:pPr>
            <w:r>
              <w:rPr>
                <w:rFonts w:asciiTheme="minorHAnsi" w:hAnsiTheme="minorHAnsi"/>
              </w:rPr>
              <w:t>Netto werkkapitaal</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r>
              <w:rPr>
                <w:rFonts w:asciiTheme="minorHAnsi" w:hAnsiTheme="minorHAnsi"/>
              </w:rPr>
              <w:t>1.932</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r>
              <w:rPr>
                <w:rFonts w:asciiTheme="minorHAnsi" w:hAnsiTheme="minorHAnsi"/>
              </w:rPr>
              <w:t>452</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rPr>
            </w:pPr>
            <w:r>
              <w:rPr>
                <w:rFonts w:asciiTheme="minorHAnsi" w:hAnsiTheme="minorHAnsi"/>
              </w:rPr>
              <w:t>Werkkapitaalratio (vlottende activa / vlottende passiva)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r>
              <w:rPr>
                <w:rFonts w:asciiTheme="minorHAnsi" w:hAnsiTheme="minorHAnsi"/>
              </w:rPr>
              <w:t>1,78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r>
              <w:rPr>
                <w:rFonts w:asciiTheme="minorHAnsi" w:hAnsiTheme="minorHAnsi"/>
              </w:rPr>
              <w:t>1,17</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Materiële en immateriële vaste 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7.683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8.451</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Invest. in (im)materiële vaste 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576</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1.199</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Afschr. v. (im)materiële vaste activa</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1.018</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1.018</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 xml:space="preserve">Uitgifte van </w:t>
            </w:r>
            <w:r w:rsidR="00773D3E">
              <w:rPr>
                <w:rFonts w:asciiTheme="minorHAnsi" w:hAnsiTheme="minorHAnsi"/>
                <w:b/>
                <w:bCs/>
                <w:color w:val="000000"/>
              </w:rPr>
              <w:t xml:space="preserve">gewone </w:t>
            </w:r>
            <w:r>
              <w:rPr>
                <w:rFonts w:asciiTheme="minorHAnsi" w:hAnsiTheme="minorHAnsi"/>
                <w:b/>
                <w:bCs/>
                <w:color w:val="000000"/>
              </w:rPr>
              <w:t>aandelen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bottom"/>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Positie ultimo (x 1.000)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72.779</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66.716</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b/>
                <w:bCs/>
                <w:color w:val="000000"/>
              </w:rPr>
            </w:pPr>
            <w:r>
              <w:rPr>
                <w:rFonts w:asciiTheme="minorHAnsi" w:hAnsiTheme="minorHAnsi"/>
                <w:b/>
                <w:bCs/>
                <w:color w:val="000000"/>
              </w:rPr>
              <w:t>Aantal FTE’s (permanent)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b/>
                <w:bCs/>
                <w:color w:val="000000"/>
              </w:rPr>
            </w:pP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rPr>
            </w:pP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Gemiddeld</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rPr>
            </w:pPr>
            <w:r>
              <w:rPr>
                <w:rFonts w:asciiTheme="minorHAnsi" w:hAnsiTheme="minorHAnsi"/>
              </w:rPr>
              <w:t>94</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91</w:t>
            </w:r>
          </w:p>
        </w:tc>
      </w:tr>
      <w:tr w:rsidR="00217754" w:rsidRPr="001B24A6" w:rsidTr="00217754">
        <w:trPr>
          <w:trHeight w:val="285"/>
        </w:trPr>
        <w:tc>
          <w:tcPr>
            <w:tcW w:w="5245"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rPr>
                <w:rFonts w:asciiTheme="minorHAnsi" w:hAnsiTheme="minorHAnsi" w:cstheme="minorHAnsi"/>
                <w:color w:val="000000"/>
              </w:rPr>
            </w:pPr>
            <w:r>
              <w:rPr>
                <w:rFonts w:asciiTheme="minorHAnsi" w:hAnsiTheme="minorHAnsi"/>
                <w:color w:val="000000"/>
              </w:rPr>
              <w:t>Omzet / FTE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143</w:t>
            </w:r>
          </w:p>
        </w:tc>
        <w:tc>
          <w:tcPr>
            <w:tcW w:w="1653" w:type="dxa"/>
            <w:tcBorders>
              <w:top w:val="nil"/>
              <w:left w:val="nil"/>
              <w:bottom w:val="nil"/>
              <w:right w:val="nil"/>
            </w:tcBorders>
            <w:shd w:val="clear" w:color="auto" w:fill="auto"/>
            <w:noWrap/>
            <w:tcMar>
              <w:top w:w="15" w:type="dxa"/>
              <w:left w:w="15" w:type="dxa"/>
              <w:bottom w:w="0" w:type="dxa"/>
              <w:right w:w="15" w:type="dxa"/>
            </w:tcMar>
            <w:vAlign w:val="center"/>
            <w:hideMark/>
          </w:tcPr>
          <w:p w:rsidR="00217754" w:rsidRPr="001B24A6" w:rsidRDefault="00217754" w:rsidP="00217754">
            <w:pPr>
              <w:spacing w:after="0"/>
              <w:jc w:val="right"/>
              <w:rPr>
                <w:rFonts w:asciiTheme="minorHAnsi" w:hAnsiTheme="minorHAnsi" w:cstheme="minorHAnsi"/>
                <w:color w:val="000000"/>
              </w:rPr>
            </w:pPr>
            <w:r>
              <w:rPr>
                <w:rFonts w:asciiTheme="minorHAnsi" w:hAnsiTheme="minorHAnsi"/>
                <w:color w:val="000000"/>
              </w:rPr>
              <w:t>133</w:t>
            </w:r>
          </w:p>
        </w:tc>
      </w:tr>
    </w:tbl>
    <w:p w:rsidR="00217754" w:rsidRPr="001B24A6" w:rsidRDefault="00217754" w:rsidP="00217754">
      <w:pPr>
        <w:spacing w:after="0"/>
        <w:rPr>
          <w:rFonts w:asciiTheme="minorHAnsi" w:hAnsiTheme="minorHAnsi" w:cstheme="minorHAnsi"/>
        </w:rPr>
      </w:pPr>
      <w:r>
        <w:br w:type="page"/>
      </w:r>
    </w:p>
    <w:p w:rsidR="00B52809" w:rsidRPr="001B24A6" w:rsidRDefault="00B52809" w:rsidP="00D85DA4">
      <w:pPr>
        <w:jc w:val="both"/>
        <w:rPr>
          <w:rFonts w:eastAsia="Times New Roman"/>
          <w:b/>
          <w:color w:val="B71234"/>
        </w:rPr>
      </w:pPr>
      <w:r>
        <w:rPr>
          <w:b/>
          <w:color w:val="B71234"/>
        </w:rPr>
        <w:lastRenderedPageBreak/>
        <w:t>Omzet en resultaat</w:t>
      </w:r>
    </w:p>
    <w:p w:rsidR="00B52809" w:rsidRPr="001B24A6" w:rsidRDefault="00B52809" w:rsidP="00D85DA4">
      <w:pPr>
        <w:jc w:val="both"/>
        <w:rPr>
          <w:color w:val="000000" w:themeColor="text1"/>
        </w:rPr>
      </w:pPr>
      <w:r>
        <w:rPr>
          <w:color w:val="000000" w:themeColor="text1"/>
        </w:rPr>
        <w:t>Omzet per klantsegment:</w:t>
      </w:r>
    </w:p>
    <w:tbl>
      <w:tblPr>
        <w:tblW w:w="8726" w:type="dxa"/>
        <w:tblInd w:w="262" w:type="dxa"/>
        <w:tblLayout w:type="fixed"/>
        <w:tblLook w:val="00A0" w:firstRow="1" w:lastRow="0" w:firstColumn="1" w:lastColumn="0" w:noHBand="0" w:noVBand="0"/>
      </w:tblPr>
      <w:tblGrid>
        <w:gridCol w:w="4099"/>
        <w:gridCol w:w="992"/>
        <w:gridCol w:w="1843"/>
        <w:gridCol w:w="1792"/>
      </w:tblGrid>
      <w:tr w:rsidR="00B52809" w:rsidRPr="001B24A6" w:rsidTr="00B52809">
        <w:tc>
          <w:tcPr>
            <w:tcW w:w="4099" w:type="dxa"/>
            <w:tcBorders>
              <w:bottom w:val="single" w:sz="4" w:space="0" w:color="auto"/>
            </w:tcBorders>
          </w:tcPr>
          <w:p w:rsidR="00B52809" w:rsidRPr="001B24A6" w:rsidRDefault="00B52809" w:rsidP="00D85DA4">
            <w:pPr>
              <w:spacing w:after="0"/>
              <w:jc w:val="both"/>
              <w:rPr>
                <w:rFonts w:cstheme="minorBidi"/>
                <w:b/>
              </w:rPr>
            </w:pPr>
            <w:r>
              <w:rPr>
                <w:b/>
              </w:rPr>
              <w:t>(x EUR 1.000)</w:t>
            </w:r>
          </w:p>
        </w:tc>
        <w:tc>
          <w:tcPr>
            <w:tcW w:w="992" w:type="dxa"/>
            <w:tcBorders>
              <w:bottom w:val="single" w:sz="4" w:space="0" w:color="auto"/>
            </w:tcBorders>
          </w:tcPr>
          <w:p w:rsidR="00B52809" w:rsidRPr="001B24A6" w:rsidRDefault="00B52809" w:rsidP="00544816">
            <w:pPr>
              <w:spacing w:after="0"/>
              <w:jc w:val="right"/>
              <w:rPr>
                <w:b/>
                <w:highlight w:val="red"/>
              </w:rPr>
            </w:pPr>
            <w:r>
              <w:rPr>
                <w:b/>
              </w:rPr>
              <w:t>2018</w:t>
            </w:r>
          </w:p>
        </w:tc>
        <w:tc>
          <w:tcPr>
            <w:tcW w:w="1843" w:type="dxa"/>
            <w:tcBorders>
              <w:bottom w:val="single" w:sz="4" w:space="0" w:color="auto"/>
            </w:tcBorders>
          </w:tcPr>
          <w:p w:rsidR="00B52809" w:rsidRPr="001B24A6" w:rsidRDefault="00B52809" w:rsidP="00544816">
            <w:pPr>
              <w:spacing w:after="0"/>
              <w:jc w:val="right"/>
              <w:rPr>
                <w:rFonts w:cstheme="minorBidi"/>
                <w:b/>
              </w:rPr>
            </w:pPr>
            <w:r>
              <w:rPr>
                <w:b/>
              </w:rPr>
              <w:t>2017</w:t>
            </w:r>
          </w:p>
        </w:tc>
        <w:tc>
          <w:tcPr>
            <w:tcW w:w="1792" w:type="dxa"/>
            <w:tcBorders>
              <w:bottom w:val="single" w:sz="4" w:space="0" w:color="auto"/>
            </w:tcBorders>
          </w:tcPr>
          <w:p w:rsidR="00B52809" w:rsidRPr="001B24A6" w:rsidRDefault="00C87C7B" w:rsidP="00544816">
            <w:pPr>
              <w:spacing w:after="0"/>
              <w:jc w:val="right"/>
              <w:rPr>
                <w:rFonts w:cstheme="minorBidi"/>
                <w:b/>
                <w:highlight w:val="red"/>
              </w:rPr>
            </w:pPr>
            <w:r>
              <w:rPr>
                <w:b/>
              </w:rPr>
              <w:t>Mutatie</w:t>
            </w:r>
          </w:p>
        </w:tc>
      </w:tr>
      <w:tr w:rsidR="00B52809" w:rsidRPr="001B24A6" w:rsidTr="00B52809">
        <w:tc>
          <w:tcPr>
            <w:tcW w:w="4099" w:type="dxa"/>
            <w:tcBorders>
              <w:top w:val="single" w:sz="4" w:space="0" w:color="auto"/>
            </w:tcBorders>
          </w:tcPr>
          <w:p w:rsidR="00B52809" w:rsidRPr="001B24A6" w:rsidRDefault="00B52809" w:rsidP="00D85DA4">
            <w:pPr>
              <w:spacing w:after="0"/>
              <w:jc w:val="both"/>
              <w:rPr>
                <w:rFonts w:cstheme="minorBidi"/>
              </w:rPr>
            </w:pPr>
          </w:p>
        </w:tc>
        <w:tc>
          <w:tcPr>
            <w:tcW w:w="992" w:type="dxa"/>
            <w:tcBorders>
              <w:top w:val="single" w:sz="4" w:space="0" w:color="auto"/>
            </w:tcBorders>
          </w:tcPr>
          <w:p w:rsidR="00B52809" w:rsidRPr="001B24A6" w:rsidRDefault="00B52809" w:rsidP="00544816">
            <w:pPr>
              <w:spacing w:after="0"/>
              <w:jc w:val="right"/>
              <w:rPr>
                <w:rFonts w:cstheme="minorBidi"/>
                <w:highlight w:val="red"/>
              </w:rPr>
            </w:pPr>
          </w:p>
        </w:tc>
        <w:tc>
          <w:tcPr>
            <w:tcW w:w="1843" w:type="dxa"/>
            <w:tcBorders>
              <w:top w:val="single" w:sz="4" w:space="0" w:color="auto"/>
            </w:tcBorders>
          </w:tcPr>
          <w:p w:rsidR="00B52809" w:rsidRPr="001B24A6" w:rsidRDefault="00B52809" w:rsidP="00544816">
            <w:pPr>
              <w:spacing w:after="0"/>
              <w:jc w:val="right"/>
              <w:rPr>
                <w:rFonts w:cstheme="minorBidi"/>
              </w:rPr>
            </w:pPr>
          </w:p>
        </w:tc>
        <w:tc>
          <w:tcPr>
            <w:tcW w:w="1792" w:type="dxa"/>
            <w:tcBorders>
              <w:top w:val="single" w:sz="4" w:space="0" w:color="auto"/>
            </w:tcBorders>
          </w:tcPr>
          <w:p w:rsidR="00B52809" w:rsidRPr="001B24A6" w:rsidRDefault="00B52809" w:rsidP="00544816">
            <w:pPr>
              <w:spacing w:after="0"/>
              <w:jc w:val="right"/>
              <w:rPr>
                <w:rFonts w:cstheme="minorBidi"/>
                <w:highlight w:val="red"/>
              </w:rPr>
            </w:pPr>
          </w:p>
        </w:tc>
      </w:tr>
      <w:tr w:rsidR="00B52809" w:rsidRPr="001B24A6" w:rsidTr="00B52809">
        <w:tc>
          <w:tcPr>
            <w:tcW w:w="4099" w:type="dxa"/>
          </w:tcPr>
          <w:p w:rsidR="00B52809" w:rsidRPr="001B24A6" w:rsidRDefault="00B52809" w:rsidP="00D85DA4">
            <w:pPr>
              <w:spacing w:after="0"/>
              <w:jc w:val="both"/>
              <w:rPr>
                <w:rFonts w:cstheme="minorBidi"/>
              </w:rPr>
            </w:pPr>
            <w:r>
              <w:t>Automotive</w:t>
            </w:r>
          </w:p>
        </w:tc>
        <w:tc>
          <w:tcPr>
            <w:tcW w:w="992" w:type="dxa"/>
          </w:tcPr>
          <w:p w:rsidR="00B52809" w:rsidRPr="001B24A6" w:rsidRDefault="00B52809" w:rsidP="00544816">
            <w:pPr>
              <w:spacing w:after="0"/>
              <w:jc w:val="right"/>
              <w:rPr>
                <w:rFonts w:cstheme="minorBidi"/>
              </w:rPr>
            </w:pPr>
            <w:r>
              <w:t>5.395</w:t>
            </w:r>
          </w:p>
        </w:tc>
        <w:tc>
          <w:tcPr>
            <w:tcW w:w="1843" w:type="dxa"/>
          </w:tcPr>
          <w:p w:rsidR="00B52809" w:rsidRPr="001B24A6" w:rsidRDefault="00B52809" w:rsidP="00544816">
            <w:pPr>
              <w:spacing w:after="0"/>
              <w:jc w:val="right"/>
              <w:rPr>
                <w:rFonts w:cstheme="minorBidi"/>
              </w:rPr>
            </w:pPr>
            <w:r>
              <w:t>5.011</w:t>
            </w:r>
          </w:p>
        </w:tc>
        <w:tc>
          <w:tcPr>
            <w:tcW w:w="1792" w:type="dxa"/>
          </w:tcPr>
          <w:p w:rsidR="00B52809" w:rsidRPr="001B24A6" w:rsidRDefault="00B52809" w:rsidP="00544816">
            <w:pPr>
              <w:spacing w:after="0"/>
              <w:jc w:val="right"/>
              <w:rPr>
                <w:rFonts w:cstheme="minorBidi"/>
              </w:rPr>
            </w:pPr>
            <w:r>
              <w:t>+8%</w:t>
            </w:r>
          </w:p>
        </w:tc>
      </w:tr>
      <w:tr w:rsidR="00B52809" w:rsidRPr="001B24A6" w:rsidTr="00B52809">
        <w:tc>
          <w:tcPr>
            <w:tcW w:w="4099" w:type="dxa"/>
          </w:tcPr>
          <w:p w:rsidR="00B52809" w:rsidRPr="001B24A6" w:rsidRDefault="00B52809" w:rsidP="00D85DA4">
            <w:pPr>
              <w:spacing w:after="0"/>
              <w:jc w:val="both"/>
              <w:rPr>
                <w:rFonts w:cstheme="minorBidi"/>
              </w:rPr>
            </w:pPr>
            <w:r>
              <w:t>Industrial/Healthcare</w:t>
            </w:r>
          </w:p>
        </w:tc>
        <w:tc>
          <w:tcPr>
            <w:tcW w:w="992" w:type="dxa"/>
          </w:tcPr>
          <w:p w:rsidR="00B52809" w:rsidRPr="001B24A6" w:rsidRDefault="00B52809" w:rsidP="00544816">
            <w:pPr>
              <w:spacing w:after="0"/>
              <w:jc w:val="right"/>
              <w:rPr>
                <w:rFonts w:cstheme="minorBidi"/>
              </w:rPr>
            </w:pPr>
            <w:r>
              <w:t>6.024</w:t>
            </w:r>
          </w:p>
        </w:tc>
        <w:tc>
          <w:tcPr>
            <w:tcW w:w="1843" w:type="dxa"/>
          </w:tcPr>
          <w:p w:rsidR="00B52809" w:rsidRPr="001B24A6" w:rsidRDefault="00B52809" w:rsidP="00544816">
            <w:pPr>
              <w:spacing w:after="0"/>
              <w:jc w:val="right"/>
              <w:rPr>
                <w:rFonts w:cstheme="minorBidi"/>
              </w:rPr>
            </w:pPr>
            <w:r>
              <w:t>5.563</w:t>
            </w:r>
          </w:p>
        </w:tc>
        <w:tc>
          <w:tcPr>
            <w:tcW w:w="1792" w:type="dxa"/>
          </w:tcPr>
          <w:p w:rsidR="00B52809" w:rsidRPr="001B24A6" w:rsidRDefault="00B52809" w:rsidP="00544816">
            <w:pPr>
              <w:spacing w:after="0"/>
              <w:jc w:val="right"/>
              <w:rPr>
                <w:rFonts w:cstheme="minorBidi"/>
              </w:rPr>
            </w:pPr>
            <w:r>
              <w:t>+8%</w:t>
            </w:r>
          </w:p>
        </w:tc>
      </w:tr>
      <w:tr w:rsidR="00B52809" w:rsidRPr="001B24A6" w:rsidTr="00B52809">
        <w:tc>
          <w:tcPr>
            <w:tcW w:w="4099" w:type="dxa"/>
          </w:tcPr>
          <w:p w:rsidR="00B52809" w:rsidRPr="001B24A6" w:rsidRDefault="00B52809" w:rsidP="00D85DA4">
            <w:pPr>
              <w:spacing w:after="0"/>
              <w:jc w:val="both"/>
              <w:rPr>
                <w:rFonts w:cstheme="minorBidi"/>
              </w:rPr>
            </w:pPr>
            <w:r>
              <w:t>HiRel/Aerospace</w:t>
            </w:r>
          </w:p>
        </w:tc>
        <w:tc>
          <w:tcPr>
            <w:tcW w:w="992" w:type="dxa"/>
          </w:tcPr>
          <w:p w:rsidR="00B52809" w:rsidRPr="001B24A6" w:rsidRDefault="00B52809" w:rsidP="00544816">
            <w:pPr>
              <w:spacing w:after="0"/>
              <w:jc w:val="right"/>
              <w:rPr>
                <w:rFonts w:cstheme="minorBidi"/>
              </w:rPr>
            </w:pPr>
            <w:r>
              <w:t>937</w:t>
            </w:r>
          </w:p>
        </w:tc>
        <w:tc>
          <w:tcPr>
            <w:tcW w:w="1843" w:type="dxa"/>
          </w:tcPr>
          <w:p w:rsidR="00B52809" w:rsidRPr="001B24A6" w:rsidRDefault="00B52809" w:rsidP="00544816">
            <w:pPr>
              <w:spacing w:after="0"/>
              <w:jc w:val="right"/>
              <w:rPr>
                <w:rFonts w:cstheme="minorBidi"/>
              </w:rPr>
            </w:pPr>
            <w:r>
              <w:t>620</w:t>
            </w:r>
          </w:p>
        </w:tc>
        <w:tc>
          <w:tcPr>
            <w:tcW w:w="1792" w:type="dxa"/>
          </w:tcPr>
          <w:p w:rsidR="00B52809" w:rsidRPr="001B24A6" w:rsidRDefault="00B52809" w:rsidP="00544816">
            <w:pPr>
              <w:spacing w:after="0"/>
              <w:jc w:val="right"/>
              <w:rPr>
                <w:rFonts w:cstheme="minorBidi"/>
              </w:rPr>
            </w:pPr>
            <w:r>
              <w:t>+51%</w:t>
            </w:r>
          </w:p>
        </w:tc>
      </w:tr>
      <w:tr w:rsidR="00B52809" w:rsidRPr="001B24A6" w:rsidTr="00B52809">
        <w:tc>
          <w:tcPr>
            <w:tcW w:w="4099" w:type="dxa"/>
          </w:tcPr>
          <w:p w:rsidR="00B52809" w:rsidRPr="001B24A6" w:rsidRDefault="00B52809" w:rsidP="00D85DA4">
            <w:pPr>
              <w:spacing w:after="0"/>
              <w:jc w:val="both"/>
              <w:rPr>
                <w:rFonts w:cstheme="minorBidi"/>
              </w:rPr>
            </w:pPr>
            <w:r>
              <w:t>Overig</w:t>
            </w:r>
          </w:p>
        </w:tc>
        <w:tc>
          <w:tcPr>
            <w:tcW w:w="992" w:type="dxa"/>
          </w:tcPr>
          <w:p w:rsidR="00B52809" w:rsidRPr="001B24A6" w:rsidRDefault="00B52809" w:rsidP="00544816">
            <w:pPr>
              <w:spacing w:after="0"/>
              <w:jc w:val="right"/>
              <w:rPr>
                <w:rFonts w:cstheme="minorBidi"/>
              </w:rPr>
            </w:pPr>
            <w:r>
              <w:t>1.069</w:t>
            </w:r>
          </w:p>
        </w:tc>
        <w:tc>
          <w:tcPr>
            <w:tcW w:w="1843" w:type="dxa"/>
          </w:tcPr>
          <w:p w:rsidR="00B52809" w:rsidRPr="001B24A6" w:rsidRDefault="00B52809" w:rsidP="00544816">
            <w:pPr>
              <w:spacing w:after="0"/>
              <w:jc w:val="right"/>
              <w:rPr>
                <w:rFonts w:cstheme="minorBidi"/>
              </w:rPr>
            </w:pPr>
            <w:r>
              <w:t>933</w:t>
            </w:r>
          </w:p>
        </w:tc>
        <w:tc>
          <w:tcPr>
            <w:tcW w:w="1792" w:type="dxa"/>
          </w:tcPr>
          <w:p w:rsidR="00B52809" w:rsidRPr="001B24A6" w:rsidRDefault="00B52809" w:rsidP="00544816">
            <w:pPr>
              <w:spacing w:after="0"/>
              <w:jc w:val="right"/>
              <w:rPr>
                <w:rFonts w:cstheme="minorBidi"/>
              </w:rPr>
            </w:pPr>
            <w:r>
              <w:t>+15%</w:t>
            </w:r>
          </w:p>
        </w:tc>
      </w:tr>
      <w:tr w:rsidR="00B52809" w:rsidRPr="001B24A6" w:rsidTr="00B52809">
        <w:tc>
          <w:tcPr>
            <w:tcW w:w="4099" w:type="dxa"/>
            <w:tcBorders>
              <w:bottom w:val="single" w:sz="4" w:space="0" w:color="auto"/>
            </w:tcBorders>
          </w:tcPr>
          <w:p w:rsidR="00B52809" w:rsidRPr="001B24A6" w:rsidRDefault="00B52809" w:rsidP="00D85DA4">
            <w:pPr>
              <w:spacing w:after="0"/>
              <w:jc w:val="both"/>
              <w:rPr>
                <w:rFonts w:cstheme="minorBidi"/>
              </w:rPr>
            </w:pPr>
          </w:p>
        </w:tc>
        <w:tc>
          <w:tcPr>
            <w:tcW w:w="992" w:type="dxa"/>
            <w:tcBorders>
              <w:bottom w:val="single" w:sz="4" w:space="0" w:color="auto"/>
            </w:tcBorders>
          </w:tcPr>
          <w:p w:rsidR="00B52809" w:rsidRPr="001B24A6" w:rsidRDefault="00B52809" w:rsidP="00544816">
            <w:pPr>
              <w:spacing w:after="0"/>
              <w:jc w:val="right"/>
              <w:rPr>
                <w:rFonts w:cstheme="minorBidi"/>
              </w:rPr>
            </w:pPr>
          </w:p>
        </w:tc>
        <w:tc>
          <w:tcPr>
            <w:tcW w:w="1843" w:type="dxa"/>
            <w:tcBorders>
              <w:bottom w:val="single" w:sz="4" w:space="0" w:color="auto"/>
            </w:tcBorders>
          </w:tcPr>
          <w:p w:rsidR="00B52809" w:rsidRPr="001B24A6" w:rsidRDefault="00B52809" w:rsidP="00544816">
            <w:pPr>
              <w:spacing w:after="0"/>
              <w:jc w:val="right"/>
              <w:rPr>
                <w:rFonts w:cstheme="minorBidi"/>
              </w:rPr>
            </w:pPr>
          </w:p>
        </w:tc>
        <w:tc>
          <w:tcPr>
            <w:tcW w:w="1792" w:type="dxa"/>
            <w:tcBorders>
              <w:bottom w:val="single" w:sz="4" w:space="0" w:color="auto"/>
            </w:tcBorders>
          </w:tcPr>
          <w:p w:rsidR="00B52809" w:rsidRPr="001B24A6" w:rsidRDefault="00B52809" w:rsidP="00544816">
            <w:pPr>
              <w:spacing w:after="0"/>
              <w:jc w:val="right"/>
              <w:rPr>
                <w:rFonts w:cstheme="minorBidi"/>
              </w:rPr>
            </w:pPr>
          </w:p>
        </w:tc>
      </w:tr>
      <w:tr w:rsidR="00B52809" w:rsidRPr="001B24A6" w:rsidTr="00B52809">
        <w:tc>
          <w:tcPr>
            <w:tcW w:w="4099" w:type="dxa"/>
            <w:tcBorders>
              <w:top w:val="single" w:sz="4" w:space="0" w:color="auto"/>
            </w:tcBorders>
          </w:tcPr>
          <w:p w:rsidR="00B52809" w:rsidRPr="001B24A6" w:rsidRDefault="00B52809" w:rsidP="00D85DA4">
            <w:pPr>
              <w:spacing w:after="0"/>
              <w:jc w:val="both"/>
              <w:rPr>
                <w:rFonts w:cstheme="minorBidi"/>
              </w:rPr>
            </w:pPr>
            <w:r>
              <w:rPr>
                <w:b/>
              </w:rPr>
              <w:t>TOTAAL</w:t>
            </w:r>
          </w:p>
        </w:tc>
        <w:tc>
          <w:tcPr>
            <w:tcW w:w="992" w:type="dxa"/>
            <w:tcBorders>
              <w:top w:val="single" w:sz="4" w:space="0" w:color="auto"/>
            </w:tcBorders>
          </w:tcPr>
          <w:p w:rsidR="00B52809" w:rsidRPr="001B24A6" w:rsidRDefault="00B52809" w:rsidP="00544816">
            <w:pPr>
              <w:spacing w:after="0"/>
              <w:jc w:val="right"/>
              <w:rPr>
                <w:b/>
              </w:rPr>
            </w:pPr>
            <w:r>
              <w:rPr>
                <w:b/>
              </w:rPr>
              <w:t>13.425</w:t>
            </w:r>
          </w:p>
        </w:tc>
        <w:tc>
          <w:tcPr>
            <w:tcW w:w="1843" w:type="dxa"/>
            <w:tcBorders>
              <w:top w:val="single" w:sz="4" w:space="0" w:color="auto"/>
            </w:tcBorders>
          </w:tcPr>
          <w:p w:rsidR="00B52809" w:rsidRPr="001B24A6" w:rsidRDefault="00B52809" w:rsidP="00544816">
            <w:pPr>
              <w:spacing w:after="0"/>
              <w:jc w:val="right"/>
              <w:rPr>
                <w:rFonts w:cstheme="minorBidi"/>
              </w:rPr>
            </w:pPr>
            <w:r>
              <w:rPr>
                <w:b/>
              </w:rPr>
              <w:t>12.127</w:t>
            </w:r>
          </w:p>
        </w:tc>
        <w:tc>
          <w:tcPr>
            <w:tcW w:w="1792" w:type="dxa"/>
            <w:tcBorders>
              <w:top w:val="single" w:sz="4" w:space="0" w:color="auto"/>
            </w:tcBorders>
          </w:tcPr>
          <w:p w:rsidR="00B52809" w:rsidRPr="001B24A6" w:rsidRDefault="00B52809" w:rsidP="00544816">
            <w:pPr>
              <w:spacing w:after="0"/>
              <w:jc w:val="right"/>
              <w:rPr>
                <w:rFonts w:cstheme="minorBidi"/>
              </w:rPr>
            </w:pPr>
            <w:r>
              <w:rPr>
                <w:b/>
              </w:rPr>
              <w:t>11%</w:t>
            </w:r>
          </w:p>
        </w:tc>
      </w:tr>
    </w:tbl>
    <w:p w:rsidR="00F451E8" w:rsidRPr="001B24A6" w:rsidRDefault="00F451E8" w:rsidP="00F451E8"/>
    <w:p w:rsidR="00B52809" w:rsidRPr="001B24A6" w:rsidRDefault="00B52809" w:rsidP="00D85DA4">
      <w:pPr>
        <w:jc w:val="both"/>
        <w:rPr>
          <w:color w:val="000000" w:themeColor="text1"/>
        </w:rPr>
      </w:pPr>
      <w:r>
        <w:rPr>
          <w:color w:val="000000" w:themeColor="text1"/>
        </w:rPr>
        <w:t xml:space="preserve">De stijging in de automotive markt is een gevolg van de focus die wij hebben aangebracht op dit zeer interessante marktsegment. De groei zal naar verwachting aanhouden gezien de ontwikkelingen in elektrische auto's, zelfrijdende auto's en communicatiesystemen. Onze groei in dit segment is geheel in lijn met onze strategische doel om onze activiteiten in deze industrie uit te breiden, en laat zien dat de turnkey ASIC-projecten die wij de afgelopen jaren hebben aangenomen zich nu </w:t>
      </w:r>
      <w:r w:rsidR="00773D3E">
        <w:rPr>
          <w:color w:val="000000" w:themeColor="text1"/>
        </w:rPr>
        <w:t xml:space="preserve">vertalen </w:t>
      </w:r>
      <w:r>
        <w:rPr>
          <w:color w:val="000000" w:themeColor="text1"/>
        </w:rPr>
        <w:t>in hogere omzetcijfers.</w:t>
      </w:r>
    </w:p>
    <w:p w:rsidR="00B52809" w:rsidRPr="001B24A6" w:rsidRDefault="00B52809" w:rsidP="00D85DA4">
      <w:pPr>
        <w:jc w:val="both"/>
        <w:rPr>
          <w:rFonts w:eastAsia="Times New Roman"/>
        </w:rPr>
      </w:pPr>
      <w:r>
        <w:t xml:space="preserve">Het segment industrial/healthcare vertoonde een toename van 8% vergeleken met 2017 door de duidelijke focus op het herwinnen van marktaandeel in dit segment. Sommige langjarige klanten zijn bij ons teruggekomen met hogere volumes. De 51% stijging in het HiRel/Aerospace segment is ook zeer bemoedigend. Ons werk bestaat voornamelijk uit foutanalyse en kwalificatie, en is afhankelijk van de ontwerpcycli van onze klanten. Wij beschouwen dit gebied nog steeds als een belangrijk aspect van onze business, en voorzien verdere </w:t>
      </w:r>
      <w:r w:rsidR="00773D3E">
        <w:t xml:space="preserve">groei </w:t>
      </w:r>
      <w:r>
        <w:t xml:space="preserve">in de toekomst. </w:t>
      </w:r>
    </w:p>
    <w:p w:rsidR="00B52809" w:rsidRPr="001B24A6" w:rsidRDefault="00B52809" w:rsidP="00D85DA4">
      <w:pPr>
        <w:jc w:val="both"/>
        <w:rPr>
          <w:color w:val="000000" w:themeColor="text1"/>
        </w:rPr>
      </w:pPr>
      <w:r>
        <w:rPr>
          <w:color w:val="000000" w:themeColor="text1"/>
        </w:rPr>
        <w:t xml:space="preserve">De Test Engineering unit is samengevoegd met Test Operations, omdat Test Engineering een ondersteunende rol speelt voor toekomstig testwerk in Test Operations. </w:t>
      </w:r>
      <w:r w:rsidRPr="000340EC">
        <w:rPr>
          <w:color w:val="000000" w:themeColor="text1"/>
          <w:lang w:val="en-GB"/>
        </w:rPr>
        <w:t xml:space="preserve">Failure &amp; Technology Analysis and Qualification &amp; Reliability Investigations </w:t>
      </w:r>
      <w:proofErr w:type="spellStart"/>
      <w:r w:rsidRPr="003D7307">
        <w:rPr>
          <w:color w:val="000000" w:themeColor="text1"/>
          <w:lang w:val="en-GB"/>
        </w:rPr>
        <w:t>zijn</w:t>
      </w:r>
      <w:proofErr w:type="spellEnd"/>
      <w:r w:rsidRPr="000340EC">
        <w:rPr>
          <w:color w:val="000000" w:themeColor="text1"/>
          <w:lang w:val="en-GB"/>
        </w:rPr>
        <w:t xml:space="preserve"> </w:t>
      </w:r>
      <w:proofErr w:type="spellStart"/>
      <w:r w:rsidRPr="000340EC">
        <w:rPr>
          <w:color w:val="000000" w:themeColor="text1"/>
          <w:lang w:val="en-GB"/>
        </w:rPr>
        <w:t>samengevoegd</w:t>
      </w:r>
      <w:proofErr w:type="spellEnd"/>
      <w:r w:rsidRPr="000340EC">
        <w:rPr>
          <w:color w:val="000000" w:themeColor="text1"/>
          <w:lang w:val="en-GB"/>
        </w:rPr>
        <w:t xml:space="preserve"> in de </w:t>
      </w:r>
      <w:proofErr w:type="spellStart"/>
      <w:r w:rsidRPr="000340EC">
        <w:rPr>
          <w:color w:val="000000" w:themeColor="text1"/>
          <w:lang w:val="en-GB"/>
        </w:rPr>
        <w:t>nieuwe</w:t>
      </w:r>
      <w:proofErr w:type="spellEnd"/>
      <w:r w:rsidRPr="000340EC">
        <w:rPr>
          <w:color w:val="000000" w:themeColor="text1"/>
          <w:lang w:val="en-GB"/>
        </w:rPr>
        <w:t xml:space="preserve"> unit Qualification &amp; Failure Analysis. </w:t>
      </w:r>
      <w:r>
        <w:rPr>
          <w:color w:val="000000" w:themeColor="text1"/>
        </w:rPr>
        <w:t xml:space="preserve">Beide </w:t>
      </w:r>
      <w:r w:rsidR="00144004">
        <w:rPr>
          <w:color w:val="000000" w:themeColor="text1"/>
        </w:rPr>
        <w:t>werk</w:t>
      </w:r>
      <w:r>
        <w:rPr>
          <w:color w:val="000000" w:themeColor="text1"/>
        </w:rPr>
        <w:t>gebieden vormen onderdeel van het geaccrediteerde laboratorium.</w:t>
      </w:r>
    </w:p>
    <w:p w:rsidR="00B52809" w:rsidRPr="001B24A6" w:rsidRDefault="00B52809" w:rsidP="00D85DA4">
      <w:pPr>
        <w:jc w:val="both"/>
        <w:rPr>
          <w:color w:val="000000" w:themeColor="text1"/>
        </w:rPr>
      </w:pPr>
      <w:r>
        <w:rPr>
          <w:color w:val="000000" w:themeColor="text1"/>
        </w:rPr>
        <w:t>Per operationele unit waren de omzetresultaten als volgt:</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843"/>
        <w:gridCol w:w="1843"/>
      </w:tblGrid>
      <w:tr w:rsidR="00B52809" w:rsidRPr="001B24A6" w:rsidTr="00B52809">
        <w:tc>
          <w:tcPr>
            <w:tcW w:w="3510" w:type="dxa"/>
            <w:tcBorders>
              <w:bottom w:val="single" w:sz="4" w:space="0" w:color="auto"/>
            </w:tcBorders>
          </w:tcPr>
          <w:p w:rsidR="00B52809" w:rsidRPr="001B24A6" w:rsidRDefault="00B52809" w:rsidP="00F451E8">
            <w:pPr>
              <w:spacing w:after="0"/>
              <w:jc w:val="both"/>
              <w:rPr>
                <w:b/>
              </w:rPr>
            </w:pPr>
            <w:r>
              <w:rPr>
                <w:b/>
              </w:rPr>
              <w:t>(x EUR 1.000)</w:t>
            </w:r>
          </w:p>
        </w:tc>
        <w:tc>
          <w:tcPr>
            <w:tcW w:w="1843" w:type="dxa"/>
            <w:tcBorders>
              <w:bottom w:val="single" w:sz="4" w:space="0" w:color="auto"/>
            </w:tcBorders>
          </w:tcPr>
          <w:p w:rsidR="00B52809" w:rsidRPr="001B24A6" w:rsidRDefault="00B52809" w:rsidP="00544816">
            <w:pPr>
              <w:spacing w:after="0"/>
              <w:jc w:val="right"/>
              <w:rPr>
                <w:b/>
              </w:rPr>
            </w:pPr>
            <w:r>
              <w:rPr>
                <w:b/>
              </w:rPr>
              <w:t>2018</w:t>
            </w:r>
          </w:p>
        </w:tc>
        <w:tc>
          <w:tcPr>
            <w:tcW w:w="1843" w:type="dxa"/>
            <w:tcBorders>
              <w:bottom w:val="single" w:sz="4" w:space="0" w:color="auto"/>
            </w:tcBorders>
          </w:tcPr>
          <w:p w:rsidR="00B52809" w:rsidRPr="001B24A6" w:rsidRDefault="00B52809" w:rsidP="00544816">
            <w:pPr>
              <w:spacing w:after="0"/>
              <w:jc w:val="right"/>
              <w:rPr>
                <w:b/>
              </w:rPr>
            </w:pPr>
            <w:r>
              <w:rPr>
                <w:b/>
              </w:rPr>
              <w:t>2017</w:t>
            </w:r>
          </w:p>
        </w:tc>
        <w:tc>
          <w:tcPr>
            <w:tcW w:w="1843" w:type="dxa"/>
            <w:tcBorders>
              <w:bottom w:val="single" w:sz="4" w:space="0" w:color="auto"/>
            </w:tcBorders>
          </w:tcPr>
          <w:p w:rsidR="00B52809" w:rsidRPr="001B24A6" w:rsidRDefault="00C87C7B" w:rsidP="00544816">
            <w:pPr>
              <w:spacing w:after="0"/>
              <w:jc w:val="right"/>
              <w:rPr>
                <w:b/>
              </w:rPr>
            </w:pPr>
            <w:r>
              <w:rPr>
                <w:b/>
              </w:rPr>
              <w:t>Mutatie</w:t>
            </w:r>
          </w:p>
        </w:tc>
      </w:tr>
      <w:tr w:rsidR="00B52809" w:rsidRPr="001B24A6" w:rsidTr="00B52809">
        <w:tc>
          <w:tcPr>
            <w:tcW w:w="3510" w:type="dxa"/>
            <w:tcBorders>
              <w:top w:val="single" w:sz="4" w:space="0" w:color="auto"/>
            </w:tcBorders>
          </w:tcPr>
          <w:p w:rsidR="00B52809" w:rsidRPr="001B24A6" w:rsidRDefault="00B52809" w:rsidP="00F451E8">
            <w:pPr>
              <w:spacing w:after="0"/>
              <w:jc w:val="both"/>
            </w:pPr>
          </w:p>
        </w:tc>
        <w:tc>
          <w:tcPr>
            <w:tcW w:w="1843" w:type="dxa"/>
            <w:tcBorders>
              <w:top w:val="single" w:sz="4" w:space="0" w:color="auto"/>
            </w:tcBorders>
          </w:tcPr>
          <w:p w:rsidR="00B52809" w:rsidRPr="001B24A6" w:rsidRDefault="00B52809" w:rsidP="00544816">
            <w:pPr>
              <w:spacing w:after="0"/>
              <w:jc w:val="right"/>
            </w:pPr>
          </w:p>
        </w:tc>
        <w:tc>
          <w:tcPr>
            <w:tcW w:w="1843" w:type="dxa"/>
            <w:tcBorders>
              <w:top w:val="single" w:sz="4" w:space="0" w:color="auto"/>
            </w:tcBorders>
          </w:tcPr>
          <w:p w:rsidR="00B52809" w:rsidRPr="001B24A6" w:rsidRDefault="00B52809" w:rsidP="00544816">
            <w:pPr>
              <w:spacing w:after="0"/>
              <w:jc w:val="right"/>
            </w:pPr>
          </w:p>
        </w:tc>
        <w:tc>
          <w:tcPr>
            <w:tcW w:w="1843" w:type="dxa"/>
            <w:tcBorders>
              <w:top w:val="single" w:sz="4" w:space="0" w:color="auto"/>
            </w:tcBorders>
          </w:tcPr>
          <w:p w:rsidR="00B52809" w:rsidRPr="001B24A6" w:rsidRDefault="00B52809" w:rsidP="00544816">
            <w:pPr>
              <w:spacing w:after="0"/>
              <w:jc w:val="right"/>
            </w:pPr>
          </w:p>
        </w:tc>
      </w:tr>
      <w:tr w:rsidR="00FB20DB" w:rsidRPr="001B24A6" w:rsidTr="00B52809">
        <w:tc>
          <w:tcPr>
            <w:tcW w:w="3510" w:type="dxa"/>
          </w:tcPr>
          <w:p w:rsidR="00FB20DB" w:rsidRPr="001B24A6" w:rsidRDefault="00FB20DB" w:rsidP="00FB20DB">
            <w:pPr>
              <w:spacing w:after="0"/>
              <w:jc w:val="both"/>
            </w:pPr>
            <w:r>
              <w:t>Supply Chain Management</w:t>
            </w:r>
          </w:p>
        </w:tc>
        <w:tc>
          <w:tcPr>
            <w:tcW w:w="1843" w:type="dxa"/>
          </w:tcPr>
          <w:p w:rsidR="00FB20DB" w:rsidRPr="001B24A6" w:rsidRDefault="00FB20DB" w:rsidP="00FB20DB">
            <w:pPr>
              <w:spacing w:after="0"/>
              <w:jc w:val="right"/>
            </w:pPr>
            <w:r>
              <w:t>3.283</w:t>
            </w:r>
          </w:p>
        </w:tc>
        <w:tc>
          <w:tcPr>
            <w:tcW w:w="1843" w:type="dxa"/>
          </w:tcPr>
          <w:p w:rsidR="00FB20DB" w:rsidRPr="001B24A6" w:rsidRDefault="00FB20DB" w:rsidP="00FB20DB">
            <w:pPr>
              <w:spacing w:after="0"/>
              <w:jc w:val="right"/>
            </w:pPr>
            <w:r>
              <w:t>2.448</w:t>
            </w:r>
          </w:p>
        </w:tc>
        <w:tc>
          <w:tcPr>
            <w:tcW w:w="1843" w:type="dxa"/>
          </w:tcPr>
          <w:p w:rsidR="00FB20DB" w:rsidRPr="001B24A6" w:rsidRDefault="00FB20DB" w:rsidP="00FB20DB">
            <w:pPr>
              <w:spacing w:after="0"/>
              <w:jc w:val="right"/>
            </w:pPr>
            <w:r>
              <w:t>+34%</w:t>
            </w:r>
          </w:p>
        </w:tc>
      </w:tr>
      <w:tr w:rsidR="00FB20DB" w:rsidRPr="001B24A6" w:rsidTr="00B52809">
        <w:tc>
          <w:tcPr>
            <w:tcW w:w="3510" w:type="dxa"/>
          </w:tcPr>
          <w:p w:rsidR="00FB20DB" w:rsidRPr="001B24A6" w:rsidRDefault="00FB20DB" w:rsidP="00FB20DB">
            <w:pPr>
              <w:spacing w:after="0"/>
              <w:jc w:val="both"/>
            </w:pPr>
            <w:r>
              <w:t xml:space="preserve">Test Operations </w:t>
            </w:r>
          </w:p>
        </w:tc>
        <w:tc>
          <w:tcPr>
            <w:tcW w:w="1843" w:type="dxa"/>
          </w:tcPr>
          <w:p w:rsidR="00FB20DB" w:rsidRPr="001B24A6" w:rsidRDefault="00FB20DB" w:rsidP="00FB20DB">
            <w:pPr>
              <w:spacing w:after="0"/>
              <w:jc w:val="right"/>
            </w:pPr>
            <w:r>
              <w:t>6.060</w:t>
            </w:r>
          </w:p>
        </w:tc>
        <w:tc>
          <w:tcPr>
            <w:tcW w:w="1843" w:type="dxa"/>
          </w:tcPr>
          <w:p w:rsidR="00FB20DB" w:rsidRPr="001B24A6" w:rsidRDefault="00FB20DB" w:rsidP="00FB20DB">
            <w:pPr>
              <w:spacing w:after="0"/>
              <w:jc w:val="right"/>
            </w:pPr>
            <w:r>
              <w:t>4.964</w:t>
            </w:r>
          </w:p>
        </w:tc>
        <w:tc>
          <w:tcPr>
            <w:tcW w:w="1843" w:type="dxa"/>
          </w:tcPr>
          <w:p w:rsidR="00FB20DB" w:rsidRPr="001B24A6" w:rsidRDefault="00FB20DB" w:rsidP="00FB20DB">
            <w:pPr>
              <w:spacing w:after="0"/>
              <w:jc w:val="right"/>
            </w:pPr>
            <w:r>
              <w:t>+22%</w:t>
            </w:r>
          </w:p>
        </w:tc>
      </w:tr>
      <w:tr w:rsidR="00FB20DB" w:rsidRPr="001B24A6" w:rsidTr="00B52809">
        <w:tc>
          <w:tcPr>
            <w:tcW w:w="3510" w:type="dxa"/>
          </w:tcPr>
          <w:p w:rsidR="00FB20DB" w:rsidRPr="001B24A6" w:rsidRDefault="00FB20DB" w:rsidP="00FB20DB">
            <w:pPr>
              <w:spacing w:after="0"/>
              <w:jc w:val="both"/>
            </w:pPr>
            <w:r>
              <w:t xml:space="preserve">Qualification &amp; Failure Analysis </w:t>
            </w:r>
          </w:p>
        </w:tc>
        <w:tc>
          <w:tcPr>
            <w:tcW w:w="1843" w:type="dxa"/>
          </w:tcPr>
          <w:p w:rsidR="00FB20DB" w:rsidRPr="001B24A6" w:rsidRDefault="00FB20DB" w:rsidP="00FB20DB">
            <w:pPr>
              <w:spacing w:after="0"/>
              <w:jc w:val="right"/>
            </w:pPr>
            <w:r>
              <w:t>4.082</w:t>
            </w:r>
          </w:p>
        </w:tc>
        <w:tc>
          <w:tcPr>
            <w:tcW w:w="1843" w:type="dxa"/>
          </w:tcPr>
          <w:p w:rsidR="00FB20DB" w:rsidRPr="001B24A6" w:rsidRDefault="00FB20DB" w:rsidP="00FB20DB">
            <w:pPr>
              <w:spacing w:after="0"/>
              <w:jc w:val="right"/>
            </w:pPr>
            <w:r>
              <w:t>4.715</w:t>
            </w:r>
          </w:p>
        </w:tc>
        <w:tc>
          <w:tcPr>
            <w:tcW w:w="1843" w:type="dxa"/>
          </w:tcPr>
          <w:p w:rsidR="00FB20DB" w:rsidRPr="001B24A6" w:rsidRDefault="00FB20DB" w:rsidP="00FB20DB">
            <w:pPr>
              <w:spacing w:after="0"/>
              <w:jc w:val="right"/>
            </w:pPr>
            <w:r>
              <w:t>-13%</w:t>
            </w:r>
          </w:p>
        </w:tc>
      </w:tr>
      <w:tr w:rsidR="00FB20DB" w:rsidRPr="001B24A6" w:rsidTr="00B52809">
        <w:tc>
          <w:tcPr>
            <w:tcW w:w="3510" w:type="dxa"/>
            <w:tcBorders>
              <w:bottom w:val="single" w:sz="4" w:space="0" w:color="auto"/>
            </w:tcBorders>
          </w:tcPr>
          <w:p w:rsidR="00FB20DB" w:rsidRPr="001B24A6" w:rsidRDefault="00FB20DB" w:rsidP="00FB20DB">
            <w:pPr>
              <w:spacing w:after="0"/>
              <w:jc w:val="both"/>
            </w:pPr>
          </w:p>
        </w:tc>
        <w:tc>
          <w:tcPr>
            <w:tcW w:w="1843" w:type="dxa"/>
            <w:tcBorders>
              <w:bottom w:val="single" w:sz="4" w:space="0" w:color="auto"/>
            </w:tcBorders>
          </w:tcPr>
          <w:p w:rsidR="00FB20DB" w:rsidRPr="001B24A6" w:rsidRDefault="00FB20DB" w:rsidP="00FB20DB">
            <w:pPr>
              <w:spacing w:after="0"/>
              <w:jc w:val="right"/>
            </w:pPr>
          </w:p>
        </w:tc>
        <w:tc>
          <w:tcPr>
            <w:tcW w:w="1843" w:type="dxa"/>
            <w:tcBorders>
              <w:bottom w:val="single" w:sz="4" w:space="0" w:color="auto"/>
            </w:tcBorders>
          </w:tcPr>
          <w:p w:rsidR="00FB20DB" w:rsidRPr="001B24A6" w:rsidRDefault="00FB20DB" w:rsidP="00FB20DB">
            <w:pPr>
              <w:spacing w:after="0"/>
              <w:jc w:val="right"/>
            </w:pPr>
          </w:p>
        </w:tc>
        <w:tc>
          <w:tcPr>
            <w:tcW w:w="1843" w:type="dxa"/>
            <w:tcBorders>
              <w:bottom w:val="single" w:sz="4" w:space="0" w:color="auto"/>
            </w:tcBorders>
          </w:tcPr>
          <w:p w:rsidR="00FB20DB" w:rsidRPr="001B24A6" w:rsidRDefault="00FB20DB" w:rsidP="00FB20DB">
            <w:pPr>
              <w:spacing w:after="0"/>
              <w:jc w:val="right"/>
            </w:pPr>
          </w:p>
        </w:tc>
      </w:tr>
      <w:tr w:rsidR="00FB20DB" w:rsidRPr="001B24A6" w:rsidTr="00B52809">
        <w:tc>
          <w:tcPr>
            <w:tcW w:w="3510" w:type="dxa"/>
            <w:tcBorders>
              <w:top w:val="single" w:sz="4" w:space="0" w:color="auto"/>
            </w:tcBorders>
          </w:tcPr>
          <w:p w:rsidR="00FB20DB" w:rsidRPr="001B24A6" w:rsidRDefault="00FB20DB" w:rsidP="00FB20DB">
            <w:pPr>
              <w:spacing w:after="0"/>
              <w:jc w:val="both"/>
              <w:rPr>
                <w:b/>
              </w:rPr>
            </w:pPr>
            <w:r>
              <w:rPr>
                <w:b/>
              </w:rPr>
              <w:t>TOTAAL</w:t>
            </w:r>
          </w:p>
        </w:tc>
        <w:tc>
          <w:tcPr>
            <w:tcW w:w="1843" w:type="dxa"/>
            <w:tcBorders>
              <w:top w:val="single" w:sz="4" w:space="0" w:color="auto"/>
            </w:tcBorders>
          </w:tcPr>
          <w:p w:rsidR="00FB20DB" w:rsidRPr="001B24A6" w:rsidRDefault="00FB20DB" w:rsidP="00FB20DB">
            <w:pPr>
              <w:spacing w:after="0"/>
              <w:jc w:val="right"/>
              <w:rPr>
                <w:b/>
              </w:rPr>
            </w:pPr>
            <w:r>
              <w:rPr>
                <w:b/>
              </w:rPr>
              <w:t>13.425</w:t>
            </w:r>
          </w:p>
        </w:tc>
        <w:tc>
          <w:tcPr>
            <w:tcW w:w="1843" w:type="dxa"/>
            <w:tcBorders>
              <w:top w:val="single" w:sz="4" w:space="0" w:color="auto"/>
            </w:tcBorders>
          </w:tcPr>
          <w:p w:rsidR="00FB20DB" w:rsidRPr="001B24A6" w:rsidRDefault="00FB20DB" w:rsidP="00FB20DB">
            <w:pPr>
              <w:spacing w:after="0"/>
              <w:jc w:val="right"/>
              <w:rPr>
                <w:b/>
              </w:rPr>
            </w:pPr>
            <w:r>
              <w:rPr>
                <w:b/>
              </w:rPr>
              <w:t>12.127</w:t>
            </w:r>
          </w:p>
        </w:tc>
        <w:tc>
          <w:tcPr>
            <w:tcW w:w="1843" w:type="dxa"/>
            <w:tcBorders>
              <w:top w:val="single" w:sz="4" w:space="0" w:color="auto"/>
            </w:tcBorders>
          </w:tcPr>
          <w:p w:rsidR="00FB20DB" w:rsidRPr="001B24A6" w:rsidRDefault="00FB20DB" w:rsidP="00FB20DB">
            <w:pPr>
              <w:spacing w:after="0"/>
              <w:jc w:val="right"/>
              <w:rPr>
                <w:b/>
              </w:rPr>
            </w:pPr>
            <w:r>
              <w:rPr>
                <w:b/>
              </w:rPr>
              <w:t>+11%</w:t>
            </w:r>
          </w:p>
        </w:tc>
      </w:tr>
    </w:tbl>
    <w:p w:rsidR="00B52809" w:rsidRPr="001B24A6" w:rsidRDefault="00B52809" w:rsidP="00F451E8"/>
    <w:p w:rsidR="00B52809" w:rsidRPr="001B24A6" w:rsidRDefault="00B52809" w:rsidP="00D85DA4">
      <w:pPr>
        <w:jc w:val="both"/>
        <w:rPr>
          <w:rFonts w:eastAsia="Times New Roman"/>
          <w:b/>
          <w:color w:val="B71234"/>
        </w:rPr>
      </w:pPr>
      <w:r>
        <w:rPr>
          <w:b/>
          <w:color w:val="B71234"/>
        </w:rPr>
        <w:t>Ontwikkelingen</w:t>
      </w:r>
    </w:p>
    <w:p w:rsidR="00B52809" w:rsidRPr="001B24A6" w:rsidRDefault="00B52809" w:rsidP="00D85DA4">
      <w:pPr>
        <w:jc w:val="both"/>
        <w:rPr>
          <w:rFonts w:eastAsia="Times New Roman"/>
        </w:rPr>
      </w:pPr>
      <w:r>
        <w:t>De omzet bij Supply Chain Management (SCM) vertoonde een sterke groei vergeleken met voorgaande jaren. Dit kwam doordat enkele van de grote SCM-projecten zich nu in de volumeproductiefase bevinden, maar was ook te danken aan de herziene organisatie-workflow binnen de afdeling, waardoor wij de vele nieuwe projecten die in de komende jaren in productie zullen gaan zeer professioneel kunnen aanpakken. Het is bemoedigend om te zien dat onze strategiewijziging vruchten afwerpt, en in de komende jaren zullen wij ons nog sterker op dit gebied richten. Onze expertise in SCM wordt bevestigd door de partnerships die wij met andere leiders in de sector hebben gevormd.</w:t>
      </w:r>
    </w:p>
    <w:p w:rsidR="00B52809" w:rsidRPr="001B24A6" w:rsidRDefault="00B52809" w:rsidP="00D85DA4">
      <w:pPr>
        <w:jc w:val="both"/>
        <w:rPr>
          <w:rFonts w:eastAsia="Times New Roman"/>
        </w:rPr>
      </w:pPr>
      <w:r>
        <w:t xml:space="preserve">De omzet in Test Operations is met 22% toegenomen als gevolg van nieuwe testapparatuur en de toename in de turnkey SCM-projecten. Ook is het bijzonder bemoedigend dat enkele oudere klanten teruggekomen zijn met extra volume van hun oude producten. Dit toont aan dat zij </w:t>
      </w:r>
      <w:r>
        <w:rPr>
          <w:color w:val="BA0C2F"/>
        </w:rPr>
        <w:t>Rood</w:t>
      </w:r>
      <w:r>
        <w:t xml:space="preserve">Microtecs flexibiliteit waarderen, en dat wij de upsides </w:t>
      </w:r>
      <w:r>
        <w:lastRenderedPageBreak/>
        <w:t xml:space="preserve">van oude producten professioneel kunnen verwerken. Ook de grote SCM-projecten die </w:t>
      </w:r>
      <w:r>
        <w:rPr>
          <w:color w:val="B71234"/>
        </w:rPr>
        <w:t>Rood</w:t>
      </w:r>
      <w:r>
        <w:t xml:space="preserve">Microtec onder handen heeft, hebben sterk bijgedragen aan de toename bij Test Operations aangezien sommige ervan zich nu in de volumeproductiefase bevinden. </w:t>
      </w:r>
    </w:p>
    <w:p w:rsidR="00B52809" w:rsidRPr="001B24A6" w:rsidRDefault="00B52809" w:rsidP="00D85DA4">
      <w:pPr>
        <w:jc w:val="both"/>
        <w:rPr>
          <w:rFonts w:eastAsia="Times New Roman"/>
        </w:rPr>
      </w:pPr>
      <w:r>
        <w:t xml:space="preserve">In onze Qualification &amp; Failure Analysis was er sprake van een omzetdaling, die het gevolg is van het cyclische karakter van dit segment. Het is afhankelijk van de kortetermijnbehoefte aan foutanalyse van onze klanten in combinatie met de feitelijke aanvang van kwalificatie van grote lopende projecten. In 2018 hebben wij wederom hard gewerkt om onze diensten in de markt te zetten, wat nu reeds terug te zien is in de sterke stijging van het aantal aanvragen van klanten. Wij zien ook dat er extra orders binnenkomen voor ondersteuning van de kwalificatie van standaardcomponenten voor de groeiende automotive markt. Met de geweldige reputatie die </w:t>
      </w:r>
      <w:r>
        <w:rPr>
          <w:color w:val="BA0C2F"/>
        </w:rPr>
        <w:t>Rood</w:t>
      </w:r>
      <w:r>
        <w:t xml:space="preserve">Microtec in deze diensten heeft, merken wij dat dit ook leidt tot nieuwe langlopende contracten met bestaande klanten. </w:t>
      </w:r>
    </w:p>
    <w:p w:rsidR="00B52809" w:rsidRPr="001B24A6" w:rsidRDefault="00B52809" w:rsidP="00D85DA4">
      <w:pPr>
        <w:jc w:val="both"/>
        <w:rPr>
          <w:rFonts w:eastAsia="Times New Roman"/>
        </w:rPr>
      </w:pPr>
      <w:r>
        <w:t xml:space="preserve">Het managementteam van </w:t>
      </w:r>
      <w:r>
        <w:rPr>
          <w:color w:val="B71234"/>
        </w:rPr>
        <w:t>Rood</w:t>
      </w:r>
      <w:r>
        <w:t xml:space="preserve">Microtec blijft positief over de toekomstige ontwikkeling van de onderneming op basis van de aanzienlijke omzetstijging op het strategische belangrijke gebied van Supply Chain Management. Dit zal ook bijdragen aan de groei op andere gebieden in de onderneming. Wij zijn ervan overtuigd dat de focus op de automotive en industrial/healthcare sectoren de juiste strategie is voor de onderneming. </w:t>
      </w:r>
    </w:p>
    <w:p w:rsidR="00B52809" w:rsidRPr="001B24A6" w:rsidRDefault="00B52809" w:rsidP="00D85DA4">
      <w:pPr>
        <w:jc w:val="both"/>
        <w:rPr>
          <w:rFonts w:eastAsia="Times New Roman"/>
        </w:rPr>
      </w:pPr>
      <w:r>
        <w:t xml:space="preserve">Sectorbreed was er sprake van een groei van halfgeleiderbedrijven in Europa van 12,1%, vergeleken met een verwachte toename van 1,9% in 2019 (WSTS Forecast Summary november 2018). </w:t>
      </w:r>
      <w:r>
        <w:rPr>
          <w:color w:val="BA0C2F"/>
        </w:rPr>
        <w:t>Rood</w:t>
      </w:r>
      <w:r>
        <w:t xml:space="preserve">Microtec verwacht boven deze stijging te zullen presteren aangezien wij ons op de automotive en industrial sectoren richten, waar elektrificering zal blijven groeien, ook als de economie minder sterk groeit. </w:t>
      </w:r>
    </w:p>
    <w:p w:rsidR="00B52809" w:rsidRPr="001B24A6" w:rsidRDefault="00B52809" w:rsidP="00F451E8"/>
    <w:p w:rsidR="00B52809" w:rsidRPr="001B24A6" w:rsidRDefault="00B52809" w:rsidP="00D85DA4">
      <w:pPr>
        <w:jc w:val="both"/>
        <w:rPr>
          <w:rFonts w:eastAsia="Times New Roman"/>
          <w:b/>
          <w:color w:val="B71234"/>
        </w:rPr>
      </w:pPr>
      <w:r>
        <w:rPr>
          <w:b/>
          <w:color w:val="B71234"/>
        </w:rPr>
        <w:t>Personeel en organisatie</w:t>
      </w:r>
    </w:p>
    <w:p w:rsidR="00B52809" w:rsidRPr="001B24A6" w:rsidRDefault="00B52809" w:rsidP="00D85DA4">
      <w:pPr>
        <w:jc w:val="both"/>
        <w:rPr>
          <w:rFonts w:eastAsia="Times New Roman"/>
        </w:rPr>
      </w:pPr>
      <w:r>
        <w:t xml:space="preserve">In 2018 heeft </w:t>
      </w:r>
      <w:r>
        <w:rPr>
          <w:color w:val="BA0C2F"/>
        </w:rPr>
        <w:t>Rood</w:t>
      </w:r>
      <w:r>
        <w:t>Microtec het consolidatieproces op het gebied van personeel en organisatie voortgezet. Wij werven zeer ervaren personeel om onze toekomstplannen te kunnen uitvoeren.</w:t>
      </w:r>
    </w:p>
    <w:p w:rsidR="00B52809" w:rsidRPr="001B24A6" w:rsidRDefault="00B52809" w:rsidP="00D85DA4">
      <w:pPr>
        <w:jc w:val="both"/>
        <w:rPr>
          <w:rFonts w:eastAsia="Times New Roman"/>
        </w:rPr>
      </w:pPr>
      <w:r>
        <w:t xml:space="preserve">In 2018 was het gemiddelde aantal vaste medewerkers (FTE's) 94. De omzet per vaste medewerker is toegenomen van EUR 133.000 in 2017 tot EUR 143.000 in 2018. Onze beleid blijft erop gericht om de omzet per FTE te laten groeien. </w:t>
      </w:r>
    </w:p>
    <w:p w:rsidR="00B52809" w:rsidRPr="001B24A6" w:rsidRDefault="00B52809" w:rsidP="00F451E8"/>
    <w:p w:rsidR="00B52809" w:rsidRPr="001B24A6" w:rsidRDefault="00B52809" w:rsidP="00D85DA4">
      <w:pPr>
        <w:jc w:val="both"/>
        <w:rPr>
          <w:rFonts w:eastAsia="Times New Roman"/>
          <w:b/>
          <w:color w:val="B71234"/>
        </w:rPr>
      </w:pPr>
      <w:r>
        <w:rPr>
          <w:b/>
          <w:color w:val="B71234"/>
        </w:rPr>
        <w:t>Vooruitzichten</w:t>
      </w:r>
    </w:p>
    <w:p w:rsidR="00B52809" w:rsidRPr="001B24A6" w:rsidRDefault="00B52809" w:rsidP="00D85DA4">
      <w:pPr>
        <w:jc w:val="both"/>
        <w:rPr>
          <w:rFonts w:eastAsia="Times New Roman"/>
        </w:rPr>
      </w:pPr>
      <w:r>
        <w:t xml:space="preserve">Op basis van nieuwe opdrachten en een toenemend aantal ASIC supply chain projecten in de pijplijn verwacht </w:t>
      </w:r>
      <w:r>
        <w:rPr>
          <w:color w:val="BA0C2F"/>
        </w:rPr>
        <w:t>Rood</w:t>
      </w:r>
      <w:r>
        <w:t>Microtec een aanhoudende omzetgroei over de komende jaren te rapporteren en elk jaar betere positieve nettoresultaten te boeken. Met een minder sterk groeiende economie en geopolitieke onzekerheid zal de omzet in 2020 naar verwachting tussen de EUR 16 miljoen en de EUR 18 miljoen uitkomen.</w:t>
      </w:r>
    </w:p>
    <w:p w:rsidR="00B52809" w:rsidRPr="001B24A6" w:rsidRDefault="00B52809" w:rsidP="00D85DA4">
      <w:pPr>
        <w:jc w:val="both"/>
        <w:rPr>
          <w:rFonts w:eastAsia="Times New Roman"/>
        </w:rPr>
      </w:pPr>
      <w:r>
        <w:t xml:space="preserve">Martin Sallenhag, CEO </w:t>
      </w:r>
      <w:r>
        <w:rPr>
          <w:color w:val="BA0C2F"/>
        </w:rPr>
        <w:t>Rood</w:t>
      </w:r>
      <w:r>
        <w:t xml:space="preserve">Microtec: </w:t>
      </w:r>
      <w:r>
        <w:rPr>
          <w:i/>
        </w:rPr>
        <w:t>‘De vooruitzichten voor 2019 zijn het gevolg van een sterke afname van de vraag van een van onze klanten nadat deze een groot project kwijtraakte, en zijn verder te wijten aan de economische omstandigheden en geopolitieke situatie.’</w:t>
      </w:r>
    </w:p>
    <w:p w:rsidR="00B52809" w:rsidRPr="001B24A6" w:rsidRDefault="00B52809" w:rsidP="00F451E8"/>
    <w:p w:rsidR="00B52809" w:rsidRPr="001B24A6" w:rsidRDefault="00B52809" w:rsidP="00D85DA4">
      <w:pPr>
        <w:jc w:val="both"/>
        <w:rPr>
          <w:rFonts w:eastAsia="Times New Roman"/>
          <w:b/>
          <w:color w:val="B71234"/>
        </w:rPr>
      </w:pPr>
      <w:r>
        <w:rPr>
          <w:b/>
          <w:color w:val="B71234"/>
        </w:rPr>
        <w:t>Conference call vandaag 14 maart 2019 om 9.30 's ochtends</w:t>
      </w:r>
    </w:p>
    <w:p w:rsidR="00B52809" w:rsidRPr="001B24A6" w:rsidRDefault="00B52809" w:rsidP="00D85DA4">
      <w:pPr>
        <w:jc w:val="both"/>
        <w:rPr>
          <w:rFonts w:eastAsia="Times New Roman"/>
        </w:rPr>
      </w:pPr>
      <w:r>
        <w:t xml:space="preserve">Wij nodigen u uit om deel te nemen aan </w:t>
      </w:r>
      <w:r>
        <w:rPr>
          <w:color w:val="B71234"/>
        </w:rPr>
        <w:t>Rood</w:t>
      </w:r>
      <w:r>
        <w:t xml:space="preserve">Microtecs conference call voor pers en analisten op donderdagochtend </w:t>
      </w:r>
      <w:r w:rsidRPr="00BF559C">
        <w:rPr>
          <w:b/>
        </w:rPr>
        <w:t>14 maart om 9.30</w:t>
      </w:r>
      <w:r>
        <w:t>. De directie zal daarin de nog niet gecontroleerde jaarcijfers 2018 in detail bespreken en uw vragen beantwoorden.</w:t>
      </w:r>
    </w:p>
    <w:p w:rsidR="00B52809" w:rsidRPr="001B24A6" w:rsidRDefault="00B52809" w:rsidP="00D85DA4">
      <w:pPr>
        <w:jc w:val="both"/>
        <w:rPr>
          <w:rFonts w:eastAsia="Times New Roman"/>
        </w:rPr>
      </w:pPr>
      <w:r>
        <w:t xml:space="preserve">U kunt hiervoor inbellen via het volgende telefoonnummer: </w:t>
      </w:r>
      <w:r>
        <w:rPr>
          <w:b/>
        </w:rPr>
        <w:t>+31 (0) 20 531 5850</w:t>
      </w:r>
      <w:r>
        <w:t xml:space="preserve"> (via telefoniste).</w:t>
      </w:r>
    </w:p>
    <w:p w:rsidR="00110FD8" w:rsidRDefault="00110FD8" w:rsidP="00D85DA4">
      <w:pPr>
        <w:jc w:val="both"/>
      </w:pPr>
    </w:p>
    <w:p w:rsidR="00BF559C" w:rsidRDefault="00BF559C" w:rsidP="00D85DA4">
      <w:pPr>
        <w:jc w:val="both"/>
      </w:pPr>
    </w:p>
    <w:p w:rsidR="00B52809" w:rsidRPr="001B24A6" w:rsidRDefault="00B52809" w:rsidP="00D85DA4">
      <w:pPr>
        <w:jc w:val="both"/>
        <w:rPr>
          <w:b/>
          <w:color w:val="BA0C2F"/>
        </w:rPr>
      </w:pPr>
      <w:r>
        <w:rPr>
          <w:b/>
          <w:color w:val="BA0C2F"/>
        </w:rPr>
        <w:lastRenderedPageBreak/>
        <w:t>Financiële agenda</w:t>
      </w:r>
    </w:p>
    <w:tbl>
      <w:tblPr>
        <w:tblW w:w="10173" w:type="dxa"/>
        <w:tblInd w:w="-108" w:type="dxa"/>
        <w:tblLook w:val="00A0" w:firstRow="1" w:lastRow="0" w:firstColumn="1" w:lastColumn="0" w:noHBand="0" w:noVBand="0"/>
      </w:tblPr>
      <w:tblGrid>
        <w:gridCol w:w="2093"/>
        <w:gridCol w:w="8080"/>
      </w:tblGrid>
      <w:tr w:rsidR="00B52809" w:rsidRPr="001B24A6" w:rsidTr="00BF559C">
        <w:trPr>
          <w:trHeight w:val="284"/>
        </w:trPr>
        <w:tc>
          <w:tcPr>
            <w:tcW w:w="2093" w:type="dxa"/>
          </w:tcPr>
          <w:p w:rsidR="00B52809" w:rsidRPr="001B24A6" w:rsidRDefault="00B52809" w:rsidP="00F451E8">
            <w:pPr>
              <w:spacing w:after="0"/>
              <w:jc w:val="both"/>
            </w:pPr>
            <w:r>
              <w:t>14 maart 2019</w:t>
            </w:r>
          </w:p>
        </w:tc>
        <w:tc>
          <w:tcPr>
            <w:tcW w:w="8080" w:type="dxa"/>
          </w:tcPr>
          <w:p w:rsidR="00B52809" w:rsidRPr="001B24A6" w:rsidRDefault="00B52809" w:rsidP="00F451E8">
            <w:pPr>
              <w:spacing w:after="0"/>
              <w:jc w:val="both"/>
            </w:pPr>
            <w:r>
              <w:t>Conference call pers en analisten</w:t>
            </w:r>
          </w:p>
        </w:tc>
      </w:tr>
      <w:tr w:rsidR="00B52809" w:rsidRPr="001B24A6" w:rsidTr="00BF559C">
        <w:trPr>
          <w:trHeight w:val="284"/>
        </w:trPr>
        <w:tc>
          <w:tcPr>
            <w:tcW w:w="2093" w:type="dxa"/>
          </w:tcPr>
          <w:p w:rsidR="00B52809" w:rsidRPr="001B24A6" w:rsidRDefault="00B52809" w:rsidP="00F451E8">
            <w:pPr>
              <w:spacing w:after="0"/>
              <w:jc w:val="both"/>
            </w:pPr>
            <w:r>
              <w:t>4 april 2019</w:t>
            </w:r>
          </w:p>
        </w:tc>
        <w:tc>
          <w:tcPr>
            <w:tcW w:w="8080" w:type="dxa"/>
          </w:tcPr>
          <w:p w:rsidR="00B52809" w:rsidRPr="001B24A6" w:rsidRDefault="00B52809" w:rsidP="00F451E8">
            <w:pPr>
              <w:spacing w:after="0"/>
              <w:jc w:val="both"/>
            </w:pPr>
            <w:r>
              <w:t>Publicatie jaarverslag 2018</w:t>
            </w:r>
          </w:p>
        </w:tc>
      </w:tr>
      <w:tr w:rsidR="00F451E8" w:rsidRPr="001B24A6" w:rsidTr="00BF559C">
        <w:trPr>
          <w:trHeight w:val="284"/>
        </w:trPr>
        <w:tc>
          <w:tcPr>
            <w:tcW w:w="2093" w:type="dxa"/>
          </w:tcPr>
          <w:p w:rsidR="00F451E8" w:rsidRPr="001B24A6" w:rsidRDefault="00F451E8" w:rsidP="00F451E8">
            <w:pPr>
              <w:spacing w:after="0"/>
              <w:jc w:val="both"/>
            </w:pPr>
            <w:r>
              <w:t>11 april 2019</w:t>
            </w:r>
          </w:p>
        </w:tc>
        <w:tc>
          <w:tcPr>
            <w:tcW w:w="8080" w:type="dxa"/>
          </w:tcPr>
          <w:p w:rsidR="00F451E8" w:rsidRPr="001B24A6" w:rsidRDefault="00F451E8" w:rsidP="00F451E8">
            <w:pPr>
              <w:spacing w:after="0"/>
              <w:jc w:val="both"/>
            </w:pPr>
            <w:r>
              <w:t>Publicatie agenda en uitnodiging voor de algemene vergadering van aandeelhouders</w:t>
            </w:r>
          </w:p>
        </w:tc>
      </w:tr>
      <w:tr w:rsidR="00F451E8" w:rsidRPr="001B24A6" w:rsidTr="00BF559C">
        <w:trPr>
          <w:trHeight w:val="284"/>
        </w:trPr>
        <w:tc>
          <w:tcPr>
            <w:tcW w:w="2093" w:type="dxa"/>
          </w:tcPr>
          <w:p w:rsidR="00F451E8" w:rsidRPr="001B24A6" w:rsidRDefault="00F451E8" w:rsidP="00F451E8">
            <w:pPr>
              <w:spacing w:after="0"/>
              <w:jc w:val="both"/>
            </w:pPr>
            <w:r>
              <w:t>25 april 2019</w:t>
            </w:r>
          </w:p>
        </w:tc>
        <w:tc>
          <w:tcPr>
            <w:tcW w:w="8080" w:type="dxa"/>
          </w:tcPr>
          <w:p w:rsidR="00F451E8" w:rsidRPr="001B24A6" w:rsidRDefault="00F451E8" w:rsidP="00F451E8">
            <w:pPr>
              <w:spacing w:after="0"/>
              <w:jc w:val="both"/>
            </w:pPr>
            <w:r>
              <w:t>Deadline voor registratie voor algemene vergadering van aandeelhouders</w:t>
            </w:r>
          </w:p>
        </w:tc>
      </w:tr>
      <w:tr w:rsidR="00B52809" w:rsidRPr="001B24A6" w:rsidTr="00BF559C">
        <w:trPr>
          <w:trHeight w:val="284"/>
        </w:trPr>
        <w:tc>
          <w:tcPr>
            <w:tcW w:w="2093" w:type="dxa"/>
          </w:tcPr>
          <w:p w:rsidR="00B52809" w:rsidRPr="001B24A6" w:rsidRDefault="00B52809" w:rsidP="00F451E8">
            <w:pPr>
              <w:spacing w:after="0"/>
              <w:jc w:val="both"/>
            </w:pPr>
            <w:r>
              <w:t>23 mei 2019</w:t>
            </w:r>
          </w:p>
        </w:tc>
        <w:tc>
          <w:tcPr>
            <w:tcW w:w="8080" w:type="dxa"/>
          </w:tcPr>
          <w:p w:rsidR="00B52809" w:rsidRPr="001B24A6" w:rsidRDefault="00B52809" w:rsidP="00F451E8">
            <w:pPr>
              <w:spacing w:after="0"/>
              <w:jc w:val="both"/>
            </w:pPr>
            <w:r>
              <w:t>Algemene vergadering van aandeelhouders</w:t>
            </w:r>
          </w:p>
        </w:tc>
      </w:tr>
      <w:tr w:rsidR="00B52809" w:rsidRPr="001B24A6" w:rsidTr="00BF559C">
        <w:trPr>
          <w:trHeight w:val="284"/>
        </w:trPr>
        <w:tc>
          <w:tcPr>
            <w:tcW w:w="2093" w:type="dxa"/>
          </w:tcPr>
          <w:p w:rsidR="00B52809" w:rsidRPr="001B24A6" w:rsidRDefault="00B52809" w:rsidP="00F451E8">
            <w:pPr>
              <w:spacing w:after="0"/>
              <w:jc w:val="both"/>
            </w:pPr>
            <w:r>
              <w:t>24 mei 2019</w:t>
            </w:r>
          </w:p>
        </w:tc>
        <w:tc>
          <w:tcPr>
            <w:tcW w:w="8080" w:type="dxa"/>
          </w:tcPr>
          <w:p w:rsidR="00B52809" w:rsidRPr="001B24A6" w:rsidRDefault="00B52809" w:rsidP="00F451E8">
            <w:pPr>
              <w:spacing w:after="0"/>
              <w:jc w:val="both"/>
            </w:pPr>
            <w:r>
              <w:t xml:space="preserve">Algemene vergadering van obligatiehouders </w:t>
            </w:r>
          </w:p>
        </w:tc>
      </w:tr>
      <w:tr w:rsidR="00B52809" w:rsidRPr="001B24A6" w:rsidTr="00BF559C">
        <w:trPr>
          <w:trHeight w:val="284"/>
        </w:trPr>
        <w:tc>
          <w:tcPr>
            <w:tcW w:w="2093" w:type="dxa"/>
          </w:tcPr>
          <w:p w:rsidR="00B52809" w:rsidRPr="001B24A6" w:rsidRDefault="00B52809" w:rsidP="00F451E8">
            <w:pPr>
              <w:spacing w:after="0"/>
              <w:jc w:val="both"/>
            </w:pPr>
            <w:r>
              <w:t>4 juli 2019</w:t>
            </w:r>
          </w:p>
        </w:tc>
        <w:tc>
          <w:tcPr>
            <w:tcW w:w="8080" w:type="dxa"/>
          </w:tcPr>
          <w:p w:rsidR="00B52809" w:rsidRPr="001B24A6" w:rsidRDefault="00B52809" w:rsidP="00F451E8">
            <w:pPr>
              <w:spacing w:after="0"/>
              <w:jc w:val="both"/>
            </w:pPr>
            <w:r>
              <w:t>Publicatie omzetcijfers eerste halfjaar 2019</w:t>
            </w:r>
          </w:p>
        </w:tc>
      </w:tr>
      <w:tr w:rsidR="00B52809" w:rsidRPr="001B24A6" w:rsidTr="00BF559C">
        <w:trPr>
          <w:trHeight w:val="287"/>
        </w:trPr>
        <w:tc>
          <w:tcPr>
            <w:tcW w:w="2093" w:type="dxa"/>
          </w:tcPr>
          <w:p w:rsidR="00B52809" w:rsidRPr="001B24A6" w:rsidRDefault="00B52809" w:rsidP="00F451E8">
            <w:pPr>
              <w:spacing w:after="0"/>
              <w:jc w:val="both"/>
            </w:pPr>
            <w:r>
              <w:t>1 augustus 2019</w:t>
            </w:r>
          </w:p>
        </w:tc>
        <w:tc>
          <w:tcPr>
            <w:tcW w:w="8080" w:type="dxa"/>
          </w:tcPr>
          <w:p w:rsidR="00B52809" w:rsidRPr="001B24A6" w:rsidRDefault="00B52809" w:rsidP="00F451E8">
            <w:pPr>
              <w:spacing w:after="0"/>
              <w:jc w:val="both"/>
            </w:pPr>
            <w:r>
              <w:t>Publicatie halfjaarbericht 2019</w:t>
            </w:r>
          </w:p>
        </w:tc>
      </w:tr>
      <w:tr w:rsidR="00B52809" w:rsidRPr="001B24A6" w:rsidTr="00BF559C">
        <w:trPr>
          <w:trHeight w:val="292"/>
        </w:trPr>
        <w:tc>
          <w:tcPr>
            <w:tcW w:w="2093" w:type="dxa"/>
          </w:tcPr>
          <w:p w:rsidR="00B52809" w:rsidRPr="001B24A6" w:rsidRDefault="00B52809" w:rsidP="00BF559C">
            <w:pPr>
              <w:jc w:val="both"/>
            </w:pPr>
            <w:r>
              <w:t>1 augustus 2019</w:t>
            </w:r>
          </w:p>
        </w:tc>
        <w:tc>
          <w:tcPr>
            <w:tcW w:w="8080" w:type="dxa"/>
          </w:tcPr>
          <w:p w:rsidR="00B52809" w:rsidRPr="001B24A6" w:rsidRDefault="00B52809" w:rsidP="00BF559C">
            <w:pPr>
              <w:jc w:val="both"/>
            </w:pPr>
            <w:r>
              <w:t>Conference call pers en analisten</w:t>
            </w:r>
          </w:p>
        </w:tc>
      </w:tr>
    </w:tbl>
    <w:p w:rsidR="00B52809" w:rsidRPr="001B24A6" w:rsidRDefault="00B52809" w:rsidP="00D85DA4">
      <w:pPr>
        <w:jc w:val="both"/>
      </w:pPr>
    </w:p>
    <w:p w:rsidR="00B52809" w:rsidRPr="001B24A6" w:rsidRDefault="00B52809" w:rsidP="00D85DA4">
      <w:pPr>
        <w:jc w:val="both"/>
        <w:rPr>
          <w:rFonts w:eastAsia="Times New Roman"/>
          <w:b/>
          <w:color w:val="B71234"/>
        </w:rPr>
      </w:pPr>
      <w:r>
        <w:rPr>
          <w:b/>
          <w:color w:val="B71234"/>
        </w:rPr>
        <w:t>Toekomstgerichte uitspraken</w:t>
      </w:r>
    </w:p>
    <w:p w:rsidR="00B52809" w:rsidRPr="001B24A6" w:rsidRDefault="00B52809" w:rsidP="00D85DA4">
      <w:pPr>
        <w:jc w:val="both"/>
      </w:pPr>
      <w: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 De directie van </w:t>
      </w:r>
      <w:r>
        <w:rPr>
          <w:color w:val="BA0C2F"/>
        </w:rPr>
        <w:t>Rood</w:t>
      </w:r>
      <w:r>
        <w:t xml:space="preserve">Microtec kan dan ook niet garanderen dat haar verwachtingen zullen uitkomen. Verder aanvaardt </w:t>
      </w:r>
      <w:r>
        <w:rPr>
          <w:color w:val="BA0C2F"/>
        </w:rPr>
        <w:t>Rood</w:t>
      </w:r>
      <w:r>
        <w:t xml:space="preserve">Microtec geen verplichting om de in dit persbericht gedane uitspraken te actualiseren. </w:t>
      </w:r>
    </w:p>
    <w:p w:rsidR="00B52809" w:rsidRPr="001B24A6" w:rsidRDefault="00B52809" w:rsidP="00D85DA4">
      <w:pPr>
        <w:jc w:val="both"/>
      </w:pPr>
    </w:p>
    <w:p w:rsidR="00B52809" w:rsidRPr="001B24A6" w:rsidRDefault="00B52809" w:rsidP="00D85DA4">
      <w:pPr>
        <w:jc w:val="both"/>
        <w:rPr>
          <w:b/>
          <w:color w:val="BA0C2F"/>
        </w:rPr>
      </w:pPr>
      <w:r>
        <w:rPr>
          <w:b/>
          <w:color w:val="BA0C2F"/>
        </w:rPr>
        <w:t>Over RoodMicrotec</w:t>
      </w:r>
    </w:p>
    <w:p w:rsidR="00F451E8" w:rsidRPr="001B24A6" w:rsidRDefault="00F451E8" w:rsidP="00F451E8">
      <w:pPr>
        <w:jc w:val="both"/>
      </w:pPr>
      <w:r>
        <w:rPr>
          <w:b/>
          <w:color w:val="BA0C2F"/>
        </w:rPr>
        <w:t>Rood</w:t>
      </w:r>
      <w:r>
        <w:rPr>
          <w:b/>
        </w:rPr>
        <w:t>Microtec</w:t>
      </w:r>
      <w:r>
        <w:t xml:space="preserve"> is een toonaangevend onafhankelijk bedrijf voor levering en kwaliteitsdiensten op het gebied van halfgeleiders. Met meer dan 50 jaar ervaring in de micro- en optoelelektronica is </w:t>
      </w:r>
      <w:r>
        <w:rPr>
          <w:color w:val="BA0C2F"/>
        </w:rPr>
        <w:t>Rood</w:t>
      </w:r>
      <w: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Pr>
          <w:color w:val="BA0C2F"/>
        </w:rPr>
        <w:t>Rood</w:t>
      </w:r>
      <w: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Pr>
          <w:color w:val="BA0C2F"/>
        </w:rPr>
        <w:t>Rood</w:t>
      </w:r>
      <w:r>
        <w:t>Microtec heeft haar hoofdkantoor in Zwolle, met operationele vestigingen in Nördlingen en Stuttgart in Duitsland.</w:t>
      </w:r>
    </w:p>
    <w:p w:rsidR="00F451E8" w:rsidRPr="001B24A6" w:rsidRDefault="00F451E8" w:rsidP="00F451E8">
      <w:pPr>
        <w:spacing w:after="0"/>
        <w:jc w:val="both"/>
        <w:rPr>
          <w:rFonts w:asciiTheme="minorHAnsi" w:hAnsiTheme="minorHAnsi" w:cstheme="minorHAnsi"/>
          <w:szCs w:val="20"/>
        </w:rPr>
      </w:pPr>
      <w:r>
        <w:rPr>
          <w:rFonts w:asciiTheme="minorHAnsi" w:hAnsiTheme="minorHAnsi"/>
          <w:szCs w:val="20"/>
        </w:rPr>
        <w:t xml:space="preserve">Meer informatie is te vinden op </w:t>
      </w:r>
      <w:hyperlink r:id="rId8" w:history="1">
        <w:r>
          <w:rPr>
            <w:rStyle w:val="Hyperlink"/>
            <w:rFonts w:asciiTheme="minorHAnsi" w:hAnsiTheme="minorHAnsi"/>
            <w:szCs w:val="20"/>
          </w:rPr>
          <w:t>https://www.roodmicrotec.com</w:t>
        </w:r>
      </w:hyperlink>
    </w:p>
    <w:p w:rsidR="00F451E8" w:rsidRPr="001B24A6" w:rsidRDefault="00F451E8" w:rsidP="00F451E8">
      <w:pPr>
        <w:jc w:val="both"/>
      </w:pPr>
    </w:p>
    <w:p w:rsidR="00F451E8" w:rsidRPr="001B24A6" w:rsidRDefault="00F451E8" w:rsidP="00F451E8">
      <w:pPr>
        <w:jc w:val="both"/>
        <w:rPr>
          <w:rFonts w:asciiTheme="minorHAnsi" w:hAnsiTheme="minorHAnsi" w:cstheme="minorHAnsi"/>
          <w:b/>
          <w:color w:val="BA0C2F"/>
        </w:rPr>
      </w:pPr>
      <w:r>
        <w:rPr>
          <w:rFonts w:asciiTheme="minorHAnsi" w:hAnsiTheme="minorHAnsi"/>
          <w:b/>
          <w:color w:val="BA0C2F"/>
        </w:rPr>
        <w:t>Voor nadere informatie:</w:t>
      </w:r>
    </w:p>
    <w:p w:rsidR="00F451E8" w:rsidRPr="001B24A6" w:rsidRDefault="00F451E8" w:rsidP="00F451E8">
      <w:pPr>
        <w:tabs>
          <w:tab w:val="left" w:pos="3402"/>
          <w:tab w:val="left" w:pos="6804"/>
        </w:tabs>
        <w:spacing w:after="0"/>
        <w:jc w:val="both"/>
        <w:rPr>
          <w:rFonts w:asciiTheme="minorHAnsi" w:eastAsia="Times New Roman" w:hAnsiTheme="minorHAnsi" w:cstheme="minorHAnsi"/>
          <w:szCs w:val="20"/>
        </w:rPr>
      </w:pPr>
      <w:r>
        <w:rPr>
          <w:rFonts w:asciiTheme="minorHAnsi" w:hAnsiTheme="minorHAnsi"/>
          <w:szCs w:val="20"/>
        </w:rPr>
        <w:t>Martin Sallenhag - CEO, Reinhard Pusch - COO, Arvid Ladega - CFO</w:t>
      </w:r>
    </w:p>
    <w:p w:rsidR="00F451E8" w:rsidRPr="001B24A6" w:rsidRDefault="00F451E8" w:rsidP="00F451E8">
      <w:pPr>
        <w:tabs>
          <w:tab w:val="left" w:pos="2977"/>
          <w:tab w:val="left" w:pos="7371"/>
        </w:tabs>
        <w:spacing w:after="0"/>
        <w:jc w:val="both"/>
        <w:rPr>
          <w:rStyle w:val="Hyperlink"/>
          <w:rFonts w:asciiTheme="minorHAnsi" w:eastAsia="MS ????" w:hAnsiTheme="minorHAnsi" w:cstheme="minorHAnsi"/>
          <w:szCs w:val="20"/>
        </w:rPr>
      </w:pPr>
      <w:r>
        <w:rPr>
          <w:rFonts w:asciiTheme="minorHAnsi" w:hAnsiTheme="minorHAnsi"/>
          <w:color w:val="000000"/>
          <w:szCs w:val="20"/>
        </w:rPr>
        <w:t xml:space="preserve">Telefoon: +31 38 4215216 E-mail: </w:t>
      </w:r>
      <w:hyperlink r:id="rId9" w:history="1">
        <w:r>
          <w:rPr>
            <w:rFonts w:asciiTheme="minorHAnsi" w:hAnsiTheme="minorHAnsi"/>
            <w:color w:val="0000FF"/>
            <w:szCs w:val="20"/>
            <w:u w:val="single"/>
          </w:rPr>
          <w:t>investor-relations@roodmicrotec.com</w:t>
        </w:r>
      </w:hyperlink>
      <w:r>
        <w:rPr>
          <w:rFonts w:asciiTheme="minorHAnsi" w:hAnsiTheme="minorHAnsi"/>
          <w:szCs w:val="20"/>
        </w:rPr>
        <w:tab/>
      </w:r>
      <w:r>
        <w:rPr>
          <w:rFonts w:asciiTheme="minorHAnsi" w:hAnsiTheme="minorHAnsi"/>
          <w:color w:val="000000"/>
          <w:szCs w:val="20"/>
        </w:rPr>
        <w:t xml:space="preserve">Web: </w:t>
      </w:r>
      <w:hyperlink r:id="rId10" w:history="1">
        <w:r>
          <w:rPr>
            <w:rStyle w:val="Hyperlink"/>
            <w:rFonts w:asciiTheme="minorHAnsi" w:hAnsiTheme="minorHAnsi"/>
            <w:szCs w:val="20"/>
          </w:rPr>
          <w:t>www.roodmicrotec.com</w:t>
        </w:r>
      </w:hyperlink>
    </w:p>
    <w:p w:rsidR="00F451E8" w:rsidRDefault="00F451E8" w:rsidP="00BF559C">
      <w:pPr>
        <w:jc w:val="both"/>
      </w:pPr>
    </w:p>
    <w:p w:rsidR="00BF559C" w:rsidRDefault="00BF559C" w:rsidP="00BF559C">
      <w:pPr>
        <w:jc w:val="both"/>
      </w:pPr>
    </w:p>
    <w:p w:rsidR="00BF559C" w:rsidRPr="00BF559C" w:rsidRDefault="00BF559C" w:rsidP="00BF559C">
      <w:pPr>
        <w:jc w:val="both"/>
      </w:pPr>
    </w:p>
    <w:p w:rsidR="00F451E8" w:rsidRPr="001B24A6" w:rsidRDefault="00F451E8" w:rsidP="00F451E8">
      <w:pPr>
        <w:spacing w:after="0"/>
        <w:ind w:right="-1"/>
        <w:jc w:val="both"/>
        <w:rPr>
          <w:i/>
          <w:sz w:val="18"/>
          <w:szCs w:val="18"/>
        </w:rPr>
      </w:pPr>
      <w:r>
        <w:rPr>
          <w:i/>
          <w:sz w:val="18"/>
          <w:szCs w:val="18"/>
        </w:rPr>
        <w:t>Dit persbericht wordt gepubliceerd in het Engels, Nederlands en Duits. Mochten er verschillen zijn tussen deze versies, is de Engelse tekst doorslaggevend.</w:t>
      </w:r>
    </w:p>
    <w:p w:rsidR="00F451E8" w:rsidRPr="001B24A6" w:rsidRDefault="00F451E8" w:rsidP="00F451E8">
      <w:pPr>
        <w:spacing w:before="120" w:after="0"/>
        <w:jc w:val="both"/>
        <w:rPr>
          <w:rFonts w:asciiTheme="minorHAnsi" w:hAnsiTheme="minorHAnsi" w:cstheme="minorHAnsi"/>
          <w:i/>
          <w:sz w:val="18"/>
          <w:szCs w:val="18"/>
        </w:rPr>
      </w:pPr>
      <w:r>
        <w:rPr>
          <w:rFonts w:asciiTheme="minorHAnsi" w:hAnsiTheme="minorHAnsi"/>
          <w:i/>
          <w:sz w:val="18"/>
          <w:szCs w:val="18"/>
        </w:rPr>
        <w:t>Dit bericht bevat informatie die geldt als voorwetenschap in de zin van Artikel 7(1) van de Richtlijn marktmisbruik van de EU.</w:t>
      </w:r>
      <w:r>
        <w:rPr>
          <w:rFonts w:asciiTheme="minorHAnsi" w:hAnsiTheme="minorHAnsi"/>
          <w:sz w:val="18"/>
          <w:szCs w:val="18"/>
        </w:rPr>
        <w:t xml:space="preserve"> </w:t>
      </w:r>
      <w:r>
        <w:rPr>
          <w:rFonts w:asciiTheme="minorHAnsi" w:hAnsiTheme="minorHAnsi"/>
          <w:i/>
          <w:sz w:val="18"/>
          <w:szCs w:val="18"/>
        </w:rPr>
        <w:t xml:space="preserve">Algemeen directeur en CEO Martin Sallenhag is verantwoordelijk voor het verzorgen van de publicatie van dit document voor </w:t>
      </w:r>
      <w:r>
        <w:rPr>
          <w:rFonts w:asciiTheme="minorHAnsi" w:hAnsiTheme="minorHAnsi"/>
          <w:i/>
          <w:color w:val="BA0C2F"/>
          <w:sz w:val="18"/>
          <w:szCs w:val="18"/>
        </w:rPr>
        <w:t>Rood</w:t>
      </w:r>
      <w:r>
        <w:rPr>
          <w:rFonts w:asciiTheme="minorHAnsi" w:hAnsiTheme="minorHAnsi"/>
          <w:i/>
          <w:color w:val="000000"/>
          <w:sz w:val="18"/>
          <w:szCs w:val="18"/>
        </w:rPr>
        <w:t>Microtec</w:t>
      </w:r>
      <w:r>
        <w:rPr>
          <w:rFonts w:asciiTheme="minorHAnsi" w:hAnsiTheme="minorHAnsi"/>
          <w:i/>
          <w:sz w:val="18"/>
          <w:szCs w:val="18"/>
        </w:rPr>
        <w:t>.</w:t>
      </w:r>
    </w:p>
    <w:p w:rsidR="00BF559C" w:rsidRDefault="00BF559C">
      <w:pPr>
        <w:spacing w:after="0" w:line="240" w:lineRule="auto"/>
        <w:rPr>
          <w:rFonts w:eastAsia="Times New Roman"/>
          <w:b/>
        </w:rPr>
      </w:pPr>
      <w:r>
        <w:rPr>
          <w:rFonts w:eastAsia="Times New Roman"/>
          <w:b/>
        </w:rPr>
        <w:br w:type="page"/>
      </w:r>
    </w:p>
    <w:p w:rsidR="00B52809" w:rsidRPr="001B24A6" w:rsidRDefault="00B52809" w:rsidP="00D85DA4">
      <w:pPr>
        <w:jc w:val="both"/>
        <w:rPr>
          <w:rFonts w:asciiTheme="minorHAnsi" w:hAnsiTheme="minorHAnsi" w:cstheme="minorHAnsi"/>
          <w:b/>
          <w:color w:val="BA0C2F"/>
        </w:rPr>
      </w:pPr>
      <w:r>
        <w:rPr>
          <w:rFonts w:asciiTheme="minorHAnsi" w:hAnsiTheme="minorHAnsi"/>
          <w:b/>
          <w:color w:val="BA0C2F"/>
        </w:rPr>
        <w:lastRenderedPageBreak/>
        <w:t>Geconsolideerde winst- en verliesrekening</w:t>
      </w:r>
    </w:p>
    <w:p w:rsidR="00B52809" w:rsidRPr="001B24A6" w:rsidRDefault="00B52809" w:rsidP="00D85DA4">
      <w:pPr>
        <w:jc w:val="both"/>
      </w:pPr>
    </w:p>
    <w:tbl>
      <w:tblPr>
        <w:tblW w:w="8371" w:type="dxa"/>
        <w:tblInd w:w="2" w:type="dxa"/>
        <w:tblLayout w:type="fixed"/>
        <w:tblCellMar>
          <w:left w:w="14" w:type="dxa"/>
          <w:right w:w="14" w:type="dxa"/>
        </w:tblCellMar>
        <w:tblLook w:val="0000" w:firstRow="0" w:lastRow="0" w:firstColumn="0" w:lastColumn="0" w:noHBand="0" w:noVBand="0"/>
      </w:tblPr>
      <w:tblGrid>
        <w:gridCol w:w="4152"/>
        <w:gridCol w:w="2509"/>
        <w:gridCol w:w="1710"/>
      </w:tblGrid>
      <w:tr w:rsidR="00A40FBB" w:rsidRPr="001B24A6" w:rsidTr="00A40FBB">
        <w:trPr>
          <w:cantSplit/>
          <w:trHeight w:val="270"/>
        </w:trPr>
        <w:tc>
          <w:tcPr>
            <w:tcW w:w="4152" w:type="dxa"/>
            <w:tcBorders>
              <w:top w:val="single" w:sz="4" w:space="0" w:color="000000"/>
              <w:bottom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(x EUR 1.000)</w:t>
            </w:r>
          </w:p>
        </w:tc>
        <w:tc>
          <w:tcPr>
            <w:tcW w:w="2509" w:type="dxa"/>
            <w:tcBorders>
              <w:top w:val="single" w:sz="4" w:space="0" w:color="000000"/>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rPr>
            </w:pPr>
            <w:r>
              <w:rPr>
                <w:rFonts w:asciiTheme="minorHAnsi" w:hAnsiTheme="minorHAnsi"/>
                <w:b/>
              </w:rPr>
              <w:t>Niet gecontroleerd</w:t>
            </w:r>
          </w:p>
          <w:p w:rsidR="00A40FBB" w:rsidRPr="001B24A6" w:rsidRDefault="00A40FBB" w:rsidP="00A40FBB">
            <w:pPr>
              <w:snapToGrid w:val="0"/>
              <w:spacing w:after="0"/>
              <w:ind w:right="79"/>
              <w:jc w:val="right"/>
              <w:rPr>
                <w:rFonts w:asciiTheme="minorHAnsi" w:eastAsia="MS ??" w:hAnsiTheme="minorHAnsi" w:cstheme="minorHAnsi"/>
                <w:b/>
              </w:rPr>
            </w:pPr>
            <w:r>
              <w:rPr>
                <w:rFonts w:asciiTheme="minorHAnsi" w:hAnsiTheme="minorHAnsi"/>
                <w:b/>
              </w:rPr>
              <w:t>2018</w:t>
            </w:r>
          </w:p>
        </w:tc>
        <w:tc>
          <w:tcPr>
            <w:tcW w:w="1710" w:type="dxa"/>
            <w:tcBorders>
              <w:top w:val="single" w:sz="4" w:space="0" w:color="000000"/>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rPr>
            </w:pPr>
            <w:r>
              <w:rPr>
                <w:rFonts w:asciiTheme="minorHAnsi" w:hAnsiTheme="minorHAnsi"/>
                <w:b/>
              </w:rPr>
              <w:t>2017</w:t>
            </w: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Netto-omzet</w:t>
            </w:r>
          </w:p>
        </w:tc>
        <w:tc>
          <w:tcPr>
            <w:tcW w:w="2509" w:type="dxa"/>
            <w:tcBorders>
              <w:top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13.425</w:t>
            </w:r>
          </w:p>
        </w:tc>
        <w:tc>
          <w:tcPr>
            <w:tcW w:w="1710" w:type="dxa"/>
            <w:tcBorders>
              <w:top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12.127</w:t>
            </w:r>
          </w:p>
        </w:tc>
      </w:tr>
      <w:tr w:rsidR="00A40FBB" w:rsidRPr="001B24A6" w:rsidTr="00A40FBB">
        <w:trPr>
          <w:cantSplit/>
          <w:trHeight w:val="371"/>
        </w:trPr>
        <w:tc>
          <w:tcPr>
            <w:tcW w:w="4152" w:type="dxa"/>
            <w:tcBorders>
              <w:bottom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 xml:space="preserve">Kostprijs omzet </w:t>
            </w:r>
          </w:p>
        </w:tc>
        <w:tc>
          <w:tcPr>
            <w:tcW w:w="2509"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-2.545</w:t>
            </w:r>
          </w:p>
        </w:tc>
        <w:tc>
          <w:tcPr>
            <w:tcW w:w="1710"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-1.970</w:t>
            </w: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tabs>
                <w:tab w:val="center" w:pos="396"/>
                <w:tab w:val="right" w:pos="793"/>
              </w:tabs>
              <w:snapToGrid w:val="0"/>
              <w:spacing w:after="0"/>
              <w:ind w:right="79"/>
              <w:jc w:val="both"/>
              <w:rPr>
                <w:rFonts w:asciiTheme="minorHAnsi" w:eastAsia="MS ??" w:hAnsiTheme="minorHAnsi" w:cstheme="minorHAnsi"/>
                <w:b/>
                <w:bCs/>
              </w:rPr>
            </w:pPr>
            <w:r>
              <w:rPr>
                <w:rFonts w:asciiTheme="minorHAnsi" w:hAnsiTheme="minorHAnsi"/>
                <w:b/>
                <w:bCs/>
              </w:rPr>
              <w:t>Brutomarge</w:t>
            </w:r>
          </w:p>
        </w:tc>
        <w:tc>
          <w:tcPr>
            <w:tcW w:w="2509" w:type="dxa"/>
            <w:tcBorders>
              <w:top w:val="single" w:sz="4" w:space="0" w:color="auto"/>
            </w:tcBorders>
          </w:tcPr>
          <w:p w:rsidR="00A40FBB" w:rsidRPr="001B24A6" w:rsidRDefault="006441F3" w:rsidP="00A40FBB">
            <w:pPr>
              <w:snapToGrid w:val="0"/>
              <w:spacing w:after="0"/>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=C2+C3 </w:instrText>
            </w:r>
            <w:r w:rsidRPr="001B24A6">
              <w:rPr>
                <w:rFonts w:asciiTheme="minorHAnsi" w:eastAsia="MS ??" w:hAnsiTheme="minorHAnsi" w:cstheme="minorHAnsi"/>
                <w:b/>
                <w:bCs/>
              </w:rPr>
              <w:fldChar w:fldCharType="separate"/>
            </w:r>
            <w:r w:rsidR="00A40FBB" w:rsidRPr="001B24A6">
              <w:rPr>
                <w:rFonts w:asciiTheme="minorHAnsi" w:eastAsia="MS ??" w:hAnsiTheme="minorHAnsi" w:cstheme="minorHAnsi"/>
                <w:b/>
                <w:bCs/>
              </w:rPr>
              <w:t>10</w:t>
            </w:r>
            <w:r w:rsidR="00BF559C">
              <w:rPr>
                <w:rFonts w:asciiTheme="minorHAnsi" w:eastAsia="MS ??" w:hAnsiTheme="minorHAnsi" w:cstheme="minorHAnsi"/>
                <w:b/>
                <w:bCs/>
              </w:rPr>
              <w:t>.</w:t>
            </w:r>
            <w:r w:rsidR="00A40FBB" w:rsidRPr="001B24A6">
              <w:rPr>
                <w:rFonts w:asciiTheme="minorHAnsi" w:eastAsia="MS ??" w:hAnsiTheme="minorHAnsi" w:cstheme="minorHAnsi"/>
                <w:b/>
                <w:bCs/>
              </w:rPr>
              <w:t>880</w:t>
            </w:r>
            <w:r w:rsidRPr="001B24A6">
              <w:rPr>
                <w:rFonts w:asciiTheme="minorHAnsi" w:eastAsia="MS ??" w:hAnsiTheme="minorHAnsi" w:cstheme="minorHAnsi"/>
                <w:b/>
                <w:bCs/>
              </w:rPr>
              <w:fldChar w:fldCharType="end"/>
            </w:r>
          </w:p>
        </w:tc>
        <w:tc>
          <w:tcPr>
            <w:tcW w:w="1710" w:type="dxa"/>
            <w:tcBorders>
              <w:top w:val="single" w:sz="4" w:space="0" w:color="auto"/>
            </w:tcBorders>
          </w:tcPr>
          <w:p w:rsidR="00A40FBB" w:rsidRPr="001B24A6" w:rsidRDefault="006441F3" w:rsidP="00A40FBB">
            <w:pPr>
              <w:snapToGrid w:val="0"/>
              <w:spacing w:after="0"/>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=C2+C3 </w:instrText>
            </w:r>
            <w:r w:rsidRPr="001B24A6">
              <w:rPr>
                <w:rFonts w:asciiTheme="minorHAnsi" w:eastAsia="MS ??" w:hAnsiTheme="minorHAnsi" w:cstheme="minorHAnsi"/>
                <w:b/>
                <w:bCs/>
              </w:rPr>
              <w:fldChar w:fldCharType="separate"/>
            </w:r>
            <w:r w:rsidR="00A40FBB" w:rsidRPr="001B24A6">
              <w:rPr>
                <w:rFonts w:asciiTheme="minorHAnsi" w:eastAsia="MS ??" w:hAnsiTheme="minorHAnsi" w:cstheme="minorHAnsi"/>
                <w:b/>
                <w:bCs/>
              </w:rPr>
              <w:t>10</w:t>
            </w:r>
            <w:r w:rsidR="00BF559C">
              <w:rPr>
                <w:rFonts w:asciiTheme="minorHAnsi" w:eastAsia="MS ??" w:hAnsiTheme="minorHAnsi" w:cstheme="minorHAnsi"/>
                <w:b/>
                <w:bCs/>
              </w:rPr>
              <w:t>.</w:t>
            </w:r>
            <w:r w:rsidR="00A40FBB" w:rsidRPr="001B24A6">
              <w:rPr>
                <w:rFonts w:asciiTheme="minorHAnsi" w:eastAsia="MS ??" w:hAnsiTheme="minorHAnsi" w:cstheme="minorHAnsi"/>
                <w:b/>
                <w:bCs/>
              </w:rPr>
              <w:t>157</w:t>
            </w:r>
            <w:r w:rsidRPr="001B24A6">
              <w:rPr>
                <w:rFonts w:asciiTheme="minorHAnsi" w:eastAsia="MS ??" w:hAnsiTheme="minorHAnsi" w:cstheme="minorHAnsi"/>
                <w:b/>
                <w:bCs/>
              </w:rPr>
              <w:fldChar w:fldCharType="end"/>
            </w:r>
          </w:p>
        </w:tc>
      </w:tr>
      <w:tr w:rsidR="00A40FBB" w:rsidRPr="001B24A6" w:rsidTr="00A40FBB">
        <w:trPr>
          <w:cantSplit/>
          <w:trHeight w:val="270"/>
        </w:trPr>
        <w:tc>
          <w:tcPr>
            <w:tcW w:w="4152" w:type="dxa"/>
          </w:tcPr>
          <w:p w:rsidR="00A40FBB" w:rsidRPr="001B24A6" w:rsidRDefault="00A40FBB" w:rsidP="00A40FBB">
            <w:pPr>
              <w:tabs>
                <w:tab w:val="center" w:pos="396"/>
                <w:tab w:val="right" w:pos="793"/>
              </w:tabs>
              <w:snapToGrid w:val="0"/>
              <w:spacing w:after="0"/>
              <w:ind w:right="79"/>
              <w:jc w:val="both"/>
              <w:rPr>
                <w:rFonts w:asciiTheme="minorHAnsi" w:eastAsia="MS ??" w:hAnsiTheme="minorHAnsi" w:cstheme="minorHAnsi"/>
                <w:lang w:eastAsia="en-GB"/>
              </w:rPr>
            </w:pPr>
          </w:p>
        </w:tc>
        <w:tc>
          <w:tcPr>
            <w:tcW w:w="2509"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c>
          <w:tcPr>
            <w:tcW w:w="1710"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Personeelskosten</w:t>
            </w:r>
          </w:p>
        </w:tc>
        <w:tc>
          <w:tcPr>
            <w:tcW w:w="2509" w:type="dxa"/>
          </w:tcPr>
          <w:p w:rsidR="00A40FBB" w:rsidRPr="001B24A6" w:rsidRDefault="00D02012" w:rsidP="00A40FBB">
            <w:pPr>
              <w:snapToGrid w:val="0"/>
              <w:spacing w:after="0"/>
              <w:ind w:right="79"/>
              <w:jc w:val="right"/>
              <w:rPr>
                <w:rFonts w:asciiTheme="minorHAnsi" w:eastAsia="MS ??" w:hAnsiTheme="minorHAnsi" w:cstheme="minorHAnsi"/>
                <w:color w:val="0070C0"/>
              </w:rPr>
            </w:pPr>
            <w:r>
              <w:rPr>
                <w:rFonts w:asciiTheme="minorHAnsi" w:hAnsiTheme="minorHAnsi"/>
              </w:rPr>
              <w:t>-6.555</w:t>
            </w:r>
          </w:p>
        </w:tc>
        <w:tc>
          <w:tcPr>
            <w:tcW w:w="1710" w:type="dxa"/>
          </w:tcPr>
          <w:p w:rsidR="00A40FBB" w:rsidRPr="001B24A6" w:rsidRDefault="00A40FBB" w:rsidP="00A40FBB">
            <w:pPr>
              <w:snapToGrid w:val="0"/>
              <w:spacing w:after="0"/>
              <w:ind w:right="79"/>
              <w:jc w:val="right"/>
              <w:rPr>
                <w:rFonts w:asciiTheme="minorHAnsi" w:eastAsia="MS ??" w:hAnsiTheme="minorHAnsi" w:cstheme="minorHAnsi"/>
                <w:color w:val="0070C0"/>
              </w:rPr>
            </w:pPr>
            <w:r>
              <w:rPr>
                <w:rFonts w:asciiTheme="minorHAnsi" w:hAnsiTheme="minorHAnsi"/>
              </w:rPr>
              <w:t>-6.105</w:t>
            </w: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Overige bedrijfskosten</w:t>
            </w:r>
          </w:p>
        </w:tc>
        <w:tc>
          <w:tcPr>
            <w:tcW w:w="2509" w:type="dxa"/>
          </w:tcPr>
          <w:p w:rsidR="00A40FBB" w:rsidRPr="001B24A6" w:rsidRDefault="00A40FBB" w:rsidP="00A40FBB">
            <w:pPr>
              <w:snapToGrid w:val="0"/>
              <w:spacing w:after="0"/>
              <w:ind w:right="79"/>
              <w:jc w:val="right"/>
              <w:rPr>
                <w:rFonts w:asciiTheme="minorHAnsi" w:eastAsia="MS ??" w:hAnsiTheme="minorHAnsi" w:cstheme="minorHAnsi"/>
                <w:color w:val="0070C0"/>
              </w:rPr>
            </w:pPr>
            <w:r>
              <w:rPr>
                <w:rFonts w:asciiTheme="minorHAnsi" w:hAnsiTheme="minorHAnsi"/>
              </w:rPr>
              <w:t>-2.942</w:t>
            </w:r>
          </w:p>
        </w:tc>
        <w:tc>
          <w:tcPr>
            <w:tcW w:w="1710" w:type="dxa"/>
          </w:tcPr>
          <w:p w:rsidR="00A40FBB" w:rsidRPr="001B24A6" w:rsidRDefault="00A40FBB" w:rsidP="00A40FBB">
            <w:pPr>
              <w:snapToGrid w:val="0"/>
              <w:spacing w:after="0"/>
              <w:ind w:right="79"/>
              <w:jc w:val="right"/>
              <w:rPr>
                <w:rFonts w:asciiTheme="minorHAnsi" w:eastAsia="MS ??" w:hAnsiTheme="minorHAnsi" w:cstheme="minorHAnsi"/>
                <w:color w:val="0070C0"/>
              </w:rPr>
            </w:pPr>
            <w:r>
              <w:rPr>
                <w:rFonts w:asciiTheme="minorHAnsi" w:hAnsiTheme="minorHAnsi"/>
              </w:rPr>
              <w:t>-2.703</w:t>
            </w: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Kosten afvloeiingsvergoeding</w:t>
            </w:r>
          </w:p>
        </w:tc>
        <w:tc>
          <w:tcPr>
            <w:tcW w:w="2509" w:type="dxa"/>
          </w:tcPr>
          <w:p w:rsidR="00A40FBB" w:rsidRPr="001B24A6" w:rsidRDefault="00B23BCB" w:rsidP="00A40FBB">
            <w:pPr>
              <w:snapToGrid w:val="0"/>
              <w:spacing w:after="0"/>
              <w:ind w:right="79"/>
              <w:jc w:val="right"/>
              <w:rPr>
                <w:rFonts w:asciiTheme="minorHAnsi" w:eastAsia="MS ??" w:hAnsiTheme="minorHAnsi" w:cstheme="minorHAnsi"/>
              </w:rPr>
            </w:pPr>
            <w:r>
              <w:rPr>
                <w:rFonts w:asciiTheme="minorHAnsi" w:hAnsiTheme="minorHAnsi"/>
              </w:rPr>
              <w:t>-</w:t>
            </w:r>
          </w:p>
        </w:tc>
        <w:tc>
          <w:tcPr>
            <w:tcW w:w="1710" w:type="dxa"/>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-400</w:t>
            </w:r>
          </w:p>
        </w:tc>
      </w:tr>
      <w:tr w:rsidR="00A40FBB" w:rsidRPr="001B24A6" w:rsidTr="00A40FBB">
        <w:trPr>
          <w:cantSplit/>
          <w:trHeight w:val="270"/>
        </w:trPr>
        <w:tc>
          <w:tcPr>
            <w:tcW w:w="4152" w:type="dxa"/>
            <w:tcBorders>
              <w:bottom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lang w:eastAsia="en-GB"/>
              </w:rPr>
            </w:pPr>
          </w:p>
        </w:tc>
        <w:tc>
          <w:tcPr>
            <w:tcW w:w="2509"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lang w:eastAsia="en-GB"/>
              </w:rPr>
            </w:pPr>
          </w:p>
        </w:tc>
        <w:tc>
          <w:tcPr>
            <w:tcW w:w="1710"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lang w:eastAsia="en-GB"/>
              </w:rPr>
            </w:pP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Totale bedrijfskosten</w:t>
            </w:r>
          </w:p>
        </w:tc>
        <w:tc>
          <w:tcPr>
            <w:tcW w:w="2509" w:type="dxa"/>
            <w:tcBorders>
              <w:top w:val="single" w:sz="4" w:space="0" w:color="auto"/>
            </w:tcBorders>
          </w:tcPr>
          <w:p w:rsidR="00A40FBB" w:rsidRPr="001B24A6" w:rsidRDefault="00D02012" w:rsidP="00A40FBB">
            <w:pPr>
              <w:snapToGrid w:val="0"/>
              <w:spacing w:after="0"/>
              <w:ind w:right="79"/>
              <w:jc w:val="right"/>
              <w:rPr>
                <w:rFonts w:asciiTheme="minorHAnsi" w:eastAsia="MS ??" w:hAnsiTheme="minorHAnsi" w:cstheme="minorHAnsi"/>
                <w:b/>
                <w:bCs/>
              </w:rPr>
            </w:pPr>
            <w:r>
              <w:rPr>
                <w:rFonts w:asciiTheme="minorHAnsi" w:hAnsiTheme="minorHAnsi"/>
                <w:b/>
                <w:bCs/>
              </w:rPr>
              <w:t>-9.497</w:t>
            </w:r>
          </w:p>
        </w:tc>
        <w:tc>
          <w:tcPr>
            <w:tcW w:w="1710" w:type="dxa"/>
            <w:tcBorders>
              <w:top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bCs/>
              </w:rPr>
            </w:pPr>
            <w:r>
              <w:rPr>
                <w:rFonts w:asciiTheme="minorHAnsi" w:hAnsiTheme="minorHAnsi"/>
                <w:b/>
                <w:bCs/>
              </w:rPr>
              <w:t>-9.208</w:t>
            </w:r>
          </w:p>
        </w:tc>
      </w:tr>
      <w:tr w:rsidR="00A40FBB" w:rsidRPr="001B24A6" w:rsidTr="00A40FBB">
        <w:trPr>
          <w:cantSplit/>
          <w:trHeight w:val="270"/>
        </w:trPr>
        <w:tc>
          <w:tcPr>
            <w:tcW w:w="4152" w:type="dxa"/>
            <w:tcBorders>
              <w:bottom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lang w:eastAsia="en-GB"/>
              </w:rPr>
            </w:pPr>
          </w:p>
        </w:tc>
        <w:tc>
          <w:tcPr>
            <w:tcW w:w="2509"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bCs/>
                <w:lang w:eastAsia="en-GB"/>
              </w:rPr>
            </w:pPr>
          </w:p>
        </w:tc>
        <w:tc>
          <w:tcPr>
            <w:tcW w:w="1710"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bCs/>
                <w:lang w:eastAsia="en-GB"/>
              </w:rPr>
            </w:pP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EBITDA</w:t>
            </w:r>
          </w:p>
        </w:tc>
        <w:tc>
          <w:tcPr>
            <w:tcW w:w="2509" w:type="dxa"/>
            <w:tcBorders>
              <w:top w:val="single" w:sz="4" w:space="0" w:color="auto"/>
            </w:tcBorders>
          </w:tcPr>
          <w:p w:rsidR="00A40FBB" w:rsidRPr="001B24A6" w:rsidRDefault="00D02012" w:rsidP="00A40FBB">
            <w:pPr>
              <w:snapToGrid w:val="0"/>
              <w:spacing w:after="0"/>
              <w:ind w:right="79"/>
              <w:jc w:val="right"/>
              <w:rPr>
                <w:rFonts w:asciiTheme="minorHAnsi" w:eastAsia="MS ??" w:hAnsiTheme="minorHAnsi" w:cstheme="minorHAnsi"/>
                <w:b/>
                <w:bCs/>
              </w:rPr>
            </w:pPr>
            <w:r>
              <w:rPr>
                <w:rFonts w:asciiTheme="minorHAnsi" w:hAnsiTheme="minorHAnsi"/>
                <w:b/>
                <w:bCs/>
              </w:rPr>
              <w:t>1.383</w:t>
            </w:r>
          </w:p>
        </w:tc>
        <w:tc>
          <w:tcPr>
            <w:tcW w:w="1710" w:type="dxa"/>
            <w:tcBorders>
              <w:top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bCs/>
              </w:rPr>
            </w:pPr>
            <w:r>
              <w:rPr>
                <w:rFonts w:asciiTheme="minorHAnsi" w:hAnsiTheme="minorHAnsi"/>
                <w:b/>
                <w:bCs/>
              </w:rPr>
              <w:t>949</w:t>
            </w: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lang w:eastAsia="en-GB"/>
              </w:rPr>
            </w:pPr>
          </w:p>
        </w:tc>
        <w:tc>
          <w:tcPr>
            <w:tcW w:w="2509"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c>
          <w:tcPr>
            <w:tcW w:w="1710"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Afschrijvingen en amortisatie</w:t>
            </w:r>
          </w:p>
        </w:tc>
        <w:tc>
          <w:tcPr>
            <w:tcW w:w="2509" w:type="dxa"/>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-1.018</w:t>
            </w:r>
          </w:p>
        </w:tc>
        <w:tc>
          <w:tcPr>
            <w:tcW w:w="1710" w:type="dxa"/>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-1.018</w:t>
            </w: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EBIT</w:t>
            </w:r>
          </w:p>
        </w:tc>
        <w:tc>
          <w:tcPr>
            <w:tcW w:w="2509" w:type="dxa"/>
            <w:tcBorders>
              <w:top w:val="single" w:sz="4" w:space="0" w:color="auto"/>
            </w:tcBorders>
          </w:tcPr>
          <w:p w:rsidR="00A40FBB" w:rsidRPr="001B24A6" w:rsidRDefault="00B06FA0" w:rsidP="00A40FBB">
            <w:pPr>
              <w:snapToGrid w:val="0"/>
              <w:spacing w:after="0"/>
              <w:ind w:right="79"/>
              <w:jc w:val="right"/>
              <w:rPr>
                <w:rFonts w:asciiTheme="minorHAnsi" w:eastAsia="MS ??" w:hAnsiTheme="minorHAnsi" w:cstheme="minorHAnsi"/>
                <w:b/>
                <w:bCs/>
              </w:rPr>
            </w:pPr>
            <w:r>
              <w:rPr>
                <w:rFonts w:asciiTheme="minorHAnsi" w:hAnsiTheme="minorHAnsi"/>
                <w:b/>
                <w:bCs/>
              </w:rPr>
              <w:t>365</w:t>
            </w:r>
          </w:p>
        </w:tc>
        <w:tc>
          <w:tcPr>
            <w:tcW w:w="1710" w:type="dxa"/>
            <w:tcBorders>
              <w:top w:val="single" w:sz="4" w:space="0" w:color="auto"/>
            </w:tcBorders>
          </w:tcPr>
          <w:p w:rsidR="00A40FBB" w:rsidRPr="001B24A6" w:rsidRDefault="006441F3" w:rsidP="00A40FBB">
            <w:pPr>
              <w:snapToGrid w:val="0"/>
              <w:spacing w:after="0"/>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=c10+c12 \# "#,##0" </w:instrText>
            </w:r>
            <w:r w:rsidRPr="001B24A6">
              <w:rPr>
                <w:rFonts w:asciiTheme="minorHAnsi" w:eastAsia="MS ??" w:hAnsiTheme="minorHAnsi" w:cstheme="minorHAnsi"/>
                <w:b/>
                <w:bCs/>
              </w:rPr>
              <w:fldChar w:fldCharType="separate"/>
            </w:r>
            <w:r w:rsidR="00A40FBB" w:rsidRPr="001B24A6">
              <w:rPr>
                <w:rFonts w:asciiTheme="minorHAnsi" w:eastAsia="MS ??" w:hAnsiTheme="minorHAnsi" w:cstheme="minorHAnsi"/>
                <w:b/>
                <w:bCs/>
              </w:rPr>
              <w:t>-</w:t>
            </w:r>
            <w:r w:rsidRPr="001B24A6">
              <w:rPr>
                <w:rFonts w:asciiTheme="minorHAnsi" w:eastAsia="MS ??" w:hAnsiTheme="minorHAnsi" w:cstheme="minorHAnsi"/>
                <w:b/>
                <w:bCs/>
              </w:rPr>
              <w:fldChar w:fldCharType="end"/>
            </w:r>
            <w:r w:rsidR="00B06FA0">
              <w:rPr>
                <w:rFonts w:asciiTheme="minorHAnsi" w:hAnsiTheme="minorHAnsi"/>
                <w:b/>
                <w:bCs/>
              </w:rPr>
              <w:t>69</w:t>
            </w: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lang w:eastAsia="en-GB"/>
              </w:rPr>
            </w:pPr>
          </w:p>
        </w:tc>
        <w:tc>
          <w:tcPr>
            <w:tcW w:w="2509"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c>
          <w:tcPr>
            <w:tcW w:w="1710"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r>
      <w:tr w:rsidR="00A40FBB" w:rsidRPr="001B24A6" w:rsidTr="00A40FBB">
        <w:trPr>
          <w:cantSplit/>
          <w:trHeight w:val="270"/>
        </w:trPr>
        <w:tc>
          <w:tcPr>
            <w:tcW w:w="4152" w:type="dxa"/>
          </w:tcPr>
          <w:p w:rsidR="00A40FBB" w:rsidRPr="001B24A6" w:rsidRDefault="00A40FBB" w:rsidP="00A40FBB">
            <w:pPr>
              <w:tabs>
                <w:tab w:val="center" w:pos="396"/>
                <w:tab w:val="right" w:pos="793"/>
              </w:tabs>
              <w:snapToGrid w:val="0"/>
              <w:spacing w:after="0"/>
              <w:ind w:right="79"/>
              <w:jc w:val="both"/>
              <w:rPr>
                <w:rFonts w:asciiTheme="minorHAnsi" w:eastAsia="MS ??" w:hAnsiTheme="minorHAnsi" w:cstheme="minorHAnsi"/>
              </w:rPr>
            </w:pPr>
            <w:r>
              <w:rPr>
                <w:rFonts w:asciiTheme="minorHAnsi" w:hAnsiTheme="minorHAnsi"/>
              </w:rPr>
              <w:t>Financiële kosten</w:t>
            </w:r>
          </w:p>
        </w:tc>
        <w:tc>
          <w:tcPr>
            <w:tcW w:w="2509" w:type="dxa"/>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-241</w:t>
            </w:r>
          </w:p>
        </w:tc>
        <w:tc>
          <w:tcPr>
            <w:tcW w:w="1710" w:type="dxa"/>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-258</w:t>
            </w:r>
          </w:p>
        </w:tc>
      </w:tr>
      <w:tr w:rsidR="00A40FBB" w:rsidRPr="001B24A6" w:rsidTr="00A40FBB">
        <w:trPr>
          <w:cantSplit/>
          <w:trHeight w:val="270"/>
        </w:trPr>
        <w:tc>
          <w:tcPr>
            <w:tcW w:w="4152" w:type="dxa"/>
            <w:tcBorders>
              <w:top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Resultaat voor belastingen</w:t>
            </w:r>
          </w:p>
        </w:tc>
        <w:tc>
          <w:tcPr>
            <w:tcW w:w="2509" w:type="dxa"/>
            <w:tcBorders>
              <w:top w:val="single" w:sz="4" w:space="0" w:color="auto"/>
            </w:tcBorders>
          </w:tcPr>
          <w:p w:rsidR="00A40FBB" w:rsidRPr="001B24A6" w:rsidRDefault="00D02012" w:rsidP="00A40FBB">
            <w:pPr>
              <w:snapToGrid w:val="0"/>
              <w:spacing w:after="0"/>
              <w:ind w:right="79"/>
              <w:jc w:val="right"/>
              <w:rPr>
                <w:rFonts w:asciiTheme="minorHAnsi" w:eastAsia="MS ??" w:hAnsiTheme="minorHAnsi" w:cstheme="minorHAnsi"/>
                <w:b/>
                <w:bCs/>
              </w:rPr>
            </w:pPr>
            <w:r>
              <w:rPr>
                <w:rFonts w:asciiTheme="minorHAnsi" w:hAnsiTheme="minorHAnsi"/>
                <w:b/>
                <w:bCs/>
              </w:rPr>
              <w:t>124</w:t>
            </w:r>
          </w:p>
        </w:tc>
        <w:tc>
          <w:tcPr>
            <w:tcW w:w="1710" w:type="dxa"/>
            <w:tcBorders>
              <w:top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b/>
                <w:bCs/>
              </w:rPr>
            </w:pPr>
            <w:r>
              <w:rPr>
                <w:rFonts w:asciiTheme="minorHAnsi" w:hAnsiTheme="minorHAnsi"/>
                <w:b/>
                <w:bCs/>
              </w:rPr>
              <w:t>-327</w:t>
            </w:r>
          </w:p>
        </w:tc>
      </w:tr>
      <w:tr w:rsidR="00A40FBB" w:rsidRPr="001B24A6" w:rsidTr="00A40FBB">
        <w:trPr>
          <w:cantSplit/>
          <w:trHeight w:val="270"/>
        </w:trPr>
        <w:tc>
          <w:tcPr>
            <w:tcW w:w="4152" w:type="dxa"/>
          </w:tcPr>
          <w:p w:rsidR="00A40FBB" w:rsidRPr="001B24A6" w:rsidRDefault="00A40FBB" w:rsidP="00A40FBB">
            <w:pPr>
              <w:snapToGrid w:val="0"/>
              <w:spacing w:after="0"/>
              <w:ind w:right="79"/>
              <w:jc w:val="both"/>
              <w:rPr>
                <w:rFonts w:asciiTheme="minorHAnsi" w:eastAsia="MS ??" w:hAnsiTheme="minorHAnsi" w:cstheme="minorHAnsi"/>
                <w:lang w:eastAsia="en-GB"/>
              </w:rPr>
            </w:pPr>
          </w:p>
        </w:tc>
        <w:tc>
          <w:tcPr>
            <w:tcW w:w="2509"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c>
          <w:tcPr>
            <w:tcW w:w="1710" w:type="dxa"/>
          </w:tcPr>
          <w:p w:rsidR="00A40FBB" w:rsidRPr="001B24A6" w:rsidRDefault="00A40FBB" w:rsidP="00A40FBB">
            <w:pPr>
              <w:snapToGrid w:val="0"/>
              <w:spacing w:after="0"/>
              <w:ind w:right="79"/>
              <w:jc w:val="right"/>
              <w:rPr>
                <w:rFonts w:asciiTheme="minorHAnsi" w:eastAsia="MS ??" w:hAnsiTheme="minorHAnsi" w:cstheme="minorHAnsi"/>
                <w:lang w:eastAsia="en-GB"/>
              </w:rPr>
            </w:pPr>
          </w:p>
        </w:tc>
      </w:tr>
      <w:tr w:rsidR="00A40FBB" w:rsidRPr="001B24A6" w:rsidTr="00A40FBB">
        <w:trPr>
          <w:cantSplit/>
          <w:trHeight w:val="270"/>
        </w:trPr>
        <w:tc>
          <w:tcPr>
            <w:tcW w:w="4152" w:type="dxa"/>
            <w:tcBorders>
              <w:bottom w:val="single" w:sz="4" w:space="0" w:color="auto"/>
            </w:tcBorders>
          </w:tcPr>
          <w:p w:rsidR="00A40FBB" w:rsidRPr="001B24A6" w:rsidRDefault="00A40FBB" w:rsidP="00A40FBB">
            <w:pPr>
              <w:snapToGrid w:val="0"/>
              <w:spacing w:after="0"/>
              <w:ind w:right="79"/>
              <w:jc w:val="both"/>
              <w:rPr>
                <w:rFonts w:asciiTheme="minorHAnsi" w:eastAsia="MS ??" w:hAnsiTheme="minorHAnsi" w:cstheme="minorHAnsi"/>
              </w:rPr>
            </w:pPr>
            <w:r>
              <w:rPr>
                <w:rFonts w:asciiTheme="minorHAnsi" w:hAnsiTheme="minorHAnsi"/>
              </w:rPr>
              <w:t>Belastingen</w:t>
            </w:r>
          </w:p>
        </w:tc>
        <w:tc>
          <w:tcPr>
            <w:tcW w:w="2509"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1</w:t>
            </w:r>
          </w:p>
        </w:tc>
        <w:tc>
          <w:tcPr>
            <w:tcW w:w="1710" w:type="dxa"/>
            <w:tcBorders>
              <w:bottom w:val="single" w:sz="4" w:space="0" w:color="auto"/>
            </w:tcBorders>
          </w:tcPr>
          <w:p w:rsidR="00A40FBB" w:rsidRPr="001B24A6" w:rsidRDefault="00A40FBB" w:rsidP="00A40FBB">
            <w:pPr>
              <w:snapToGrid w:val="0"/>
              <w:spacing w:after="0"/>
              <w:ind w:right="79"/>
              <w:jc w:val="right"/>
              <w:rPr>
                <w:rFonts w:asciiTheme="minorHAnsi" w:eastAsia="MS ??" w:hAnsiTheme="minorHAnsi" w:cstheme="minorHAnsi"/>
              </w:rPr>
            </w:pPr>
            <w:r>
              <w:rPr>
                <w:rFonts w:asciiTheme="minorHAnsi" w:hAnsiTheme="minorHAnsi"/>
              </w:rPr>
              <w:t>283</w:t>
            </w:r>
          </w:p>
        </w:tc>
      </w:tr>
      <w:tr w:rsidR="00A40FBB" w:rsidRPr="001B24A6" w:rsidTr="00A40FBB">
        <w:trPr>
          <w:cantSplit/>
          <w:trHeight w:val="270"/>
        </w:trPr>
        <w:tc>
          <w:tcPr>
            <w:tcW w:w="4152" w:type="dxa"/>
            <w:tcBorders>
              <w:top w:val="single" w:sz="4" w:space="0" w:color="auto"/>
              <w:bottom w:val="double" w:sz="6" w:space="0" w:color="auto"/>
            </w:tcBorders>
          </w:tcPr>
          <w:p w:rsidR="00A40FBB" w:rsidRPr="001B24A6" w:rsidRDefault="00A40FBB" w:rsidP="00A40FBB">
            <w:pPr>
              <w:snapToGrid w:val="0"/>
              <w:spacing w:after="0"/>
              <w:ind w:right="79"/>
              <w:jc w:val="both"/>
              <w:rPr>
                <w:rFonts w:asciiTheme="minorHAnsi" w:eastAsia="MS ??" w:hAnsiTheme="minorHAnsi" w:cstheme="minorHAnsi"/>
                <w:b/>
                <w:bCs/>
              </w:rPr>
            </w:pPr>
            <w:r>
              <w:rPr>
                <w:rFonts w:asciiTheme="minorHAnsi" w:hAnsiTheme="minorHAnsi"/>
                <w:b/>
                <w:bCs/>
              </w:rPr>
              <w:t>Nettowinst (verlies)</w:t>
            </w:r>
          </w:p>
        </w:tc>
        <w:tc>
          <w:tcPr>
            <w:tcW w:w="2509" w:type="dxa"/>
            <w:tcBorders>
              <w:top w:val="single" w:sz="4" w:space="0" w:color="auto"/>
              <w:bottom w:val="double" w:sz="6" w:space="0" w:color="auto"/>
            </w:tcBorders>
          </w:tcPr>
          <w:p w:rsidR="00A40FBB" w:rsidRPr="001B24A6" w:rsidRDefault="00D02012" w:rsidP="00A40FBB">
            <w:pPr>
              <w:snapToGrid w:val="0"/>
              <w:spacing w:after="0"/>
              <w:ind w:right="79"/>
              <w:jc w:val="right"/>
              <w:rPr>
                <w:rFonts w:asciiTheme="minorHAnsi" w:eastAsia="MS ??" w:hAnsiTheme="minorHAnsi" w:cstheme="minorHAnsi"/>
                <w:b/>
                <w:bCs/>
              </w:rPr>
            </w:pPr>
            <w:r>
              <w:rPr>
                <w:rFonts w:asciiTheme="minorHAnsi" w:hAnsiTheme="minorHAnsi"/>
                <w:b/>
                <w:bCs/>
              </w:rPr>
              <w:t>125</w:t>
            </w:r>
          </w:p>
        </w:tc>
        <w:tc>
          <w:tcPr>
            <w:tcW w:w="1710" w:type="dxa"/>
            <w:tcBorders>
              <w:top w:val="single" w:sz="4" w:space="0" w:color="auto"/>
              <w:bottom w:val="double" w:sz="6" w:space="0" w:color="auto"/>
            </w:tcBorders>
          </w:tcPr>
          <w:p w:rsidR="00A40FBB" w:rsidRPr="001B24A6" w:rsidRDefault="00A40FBB" w:rsidP="00A40FBB">
            <w:pPr>
              <w:snapToGrid w:val="0"/>
              <w:spacing w:after="0"/>
              <w:ind w:right="79"/>
              <w:jc w:val="right"/>
              <w:rPr>
                <w:rFonts w:asciiTheme="minorHAnsi" w:eastAsia="MS ??" w:hAnsiTheme="minorHAnsi" w:cstheme="minorHAnsi"/>
                <w:b/>
                <w:bCs/>
              </w:rPr>
            </w:pPr>
            <w:r>
              <w:rPr>
                <w:rFonts w:asciiTheme="minorHAnsi" w:hAnsiTheme="minorHAnsi"/>
                <w:b/>
                <w:bCs/>
              </w:rPr>
              <w:t>-44</w:t>
            </w:r>
          </w:p>
        </w:tc>
      </w:tr>
    </w:tbl>
    <w:p w:rsidR="008106B1" w:rsidRPr="001B24A6" w:rsidRDefault="008106B1" w:rsidP="00A40FBB"/>
    <w:p w:rsidR="00F451E8" w:rsidRPr="001B24A6" w:rsidRDefault="00F451E8" w:rsidP="00A40FBB"/>
    <w:p w:rsidR="00F451E8" w:rsidRPr="001B24A6" w:rsidRDefault="00F451E8" w:rsidP="00F451E8"/>
    <w:p w:rsidR="00B52809" w:rsidRPr="001B24A6" w:rsidRDefault="00B52809" w:rsidP="00D85DA4">
      <w:pPr>
        <w:jc w:val="both"/>
        <w:rPr>
          <w:rFonts w:asciiTheme="minorHAnsi" w:hAnsiTheme="minorHAnsi" w:cstheme="minorHAnsi"/>
          <w:b/>
          <w:color w:val="BA0C2F"/>
        </w:rPr>
      </w:pPr>
      <w:r>
        <w:rPr>
          <w:rFonts w:asciiTheme="minorHAnsi" w:hAnsiTheme="minorHAnsi"/>
          <w:b/>
          <w:color w:val="BA0C2F"/>
        </w:rPr>
        <w:t>Geconsolideerd overzicht van het totaalresultaat</w:t>
      </w:r>
    </w:p>
    <w:p w:rsidR="00B52809" w:rsidRPr="001B24A6" w:rsidRDefault="00B52809" w:rsidP="00A40FBB">
      <w:pPr>
        <w:rPr>
          <w:rFonts w:asciiTheme="minorHAnsi" w:hAnsiTheme="minorHAnsi" w:cstheme="minorHAnsi"/>
        </w:rPr>
      </w:pPr>
    </w:p>
    <w:tbl>
      <w:tblPr>
        <w:tblW w:w="8581" w:type="dxa"/>
        <w:tblInd w:w="-12" w:type="dxa"/>
        <w:tblLayout w:type="fixed"/>
        <w:tblCellMar>
          <w:left w:w="14" w:type="dxa"/>
          <w:right w:w="14" w:type="dxa"/>
        </w:tblCellMar>
        <w:tblLook w:val="0000" w:firstRow="0" w:lastRow="0" w:firstColumn="0" w:lastColumn="0" w:noHBand="0" w:noVBand="0"/>
      </w:tblPr>
      <w:tblGrid>
        <w:gridCol w:w="4782"/>
        <w:gridCol w:w="2098"/>
        <w:gridCol w:w="1701"/>
      </w:tblGrid>
      <w:tr w:rsidR="00A40FBB" w:rsidRPr="001B24A6" w:rsidTr="00A40FBB">
        <w:trPr>
          <w:cantSplit/>
          <w:trHeight w:val="268"/>
        </w:trPr>
        <w:tc>
          <w:tcPr>
            <w:tcW w:w="4782" w:type="dxa"/>
            <w:tcBorders>
              <w:top w:val="single" w:sz="4" w:space="0" w:color="000000"/>
            </w:tcBorders>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rPr>
            </w:pPr>
            <w:r>
              <w:rPr>
                <w:rFonts w:asciiTheme="minorHAnsi" w:hAnsiTheme="minorHAnsi"/>
                <w:b/>
              </w:rPr>
              <w:t>(x EUR 1.000)</w:t>
            </w:r>
          </w:p>
        </w:tc>
        <w:tc>
          <w:tcPr>
            <w:tcW w:w="2098"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Niet gecontroleerd</w:t>
            </w:r>
          </w:p>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2018</w:t>
            </w:r>
          </w:p>
        </w:tc>
        <w:tc>
          <w:tcPr>
            <w:tcW w:w="1701" w:type="dxa"/>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2017</w:t>
            </w:r>
          </w:p>
        </w:tc>
      </w:tr>
      <w:tr w:rsidR="00A40FBB" w:rsidRPr="001B24A6" w:rsidTr="00A40FBB">
        <w:trPr>
          <w:cantSplit/>
          <w:trHeight w:val="268"/>
        </w:trPr>
        <w:tc>
          <w:tcPr>
            <w:tcW w:w="4782" w:type="dxa"/>
            <w:tcBorders>
              <w:top w:val="single" w:sz="4" w:space="0" w:color="000000"/>
            </w:tcBorders>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2098"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701" w:type="dxa"/>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68"/>
        </w:trPr>
        <w:tc>
          <w:tcPr>
            <w:tcW w:w="4782" w:type="dxa"/>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Nettowinst (verlies)</w:t>
            </w:r>
          </w:p>
        </w:tc>
        <w:tc>
          <w:tcPr>
            <w:tcW w:w="2098" w:type="dxa"/>
          </w:tcPr>
          <w:p w:rsidR="00A40FBB" w:rsidRPr="001B24A6" w:rsidRDefault="00D02012" w:rsidP="00A40FBB">
            <w:pPr>
              <w:snapToGrid w:val="0"/>
              <w:spacing w:after="0" w:line="270" w:lineRule="atLeast"/>
              <w:ind w:right="79"/>
              <w:jc w:val="right"/>
              <w:rPr>
                <w:rFonts w:asciiTheme="minorHAnsi" w:eastAsia="MS ??" w:hAnsiTheme="minorHAnsi" w:cstheme="minorHAnsi"/>
              </w:rPr>
            </w:pPr>
            <w:r>
              <w:rPr>
                <w:rFonts w:asciiTheme="minorHAnsi" w:hAnsiTheme="minorHAnsi"/>
              </w:rPr>
              <w:t>125</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-44</w:t>
            </w: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rPr>
              <w:t>Posten die niet geherclassificeerd worden naar de winst-en-verliesrekening:</w:t>
            </w:r>
          </w:p>
        </w:tc>
        <w:tc>
          <w:tcPr>
            <w:tcW w:w="2098"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Herwaardering van toegezegd-pensioenvoorziening</w:t>
            </w:r>
          </w:p>
        </w:tc>
        <w:tc>
          <w:tcPr>
            <w:tcW w:w="2098"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-117</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-286</w:t>
            </w: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right="79"/>
              <w:jc w:val="both"/>
              <w:rPr>
                <w:rFonts w:asciiTheme="minorHAnsi" w:eastAsia="MS ??" w:hAnsiTheme="minorHAnsi" w:cstheme="minorHAnsi"/>
                <w:b/>
              </w:rPr>
            </w:pPr>
            <w:r>
              <w:rPr>
                <w:rFonts w:asciiTheme="minorHAnsi" w:hAnsiTheme="minorHAnsi"/>
              </w:rPr>
              <w:t xml:space="preserve">Herwaardering van toegezegd-pensioenvoorziening - DTL </w:t>
            </w:r>
          </w:p>
        </w:tc>
        <w:tc>
          <w:tcPr>
            <w:tcW w:w="2098" w:type="dxa"/>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32</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-16</w:t>
            </w: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left="192" w:right="79" w:hanging="180"/>
              <w:jc w:val="both"/>
              <w:rPr>
                <w:rFonts w:asciiTheme="minorHAnsi" w:eastAsia="MS ??" w:hAnsiTheme="minorHAnsi" w:cstheme="minorHAnsi"/>
              </w:rPr>
            </w:pPr>
            <w:r>
              <w:rPr>
                <w:rFonts w:asciiTheme="minorHAnsi" w:hAnsiTheme="minorHAnsi"/>
              </w:rPr>
              <w:t>Herwaardering van terreinen en gebouwen</w:t>
            </w:r>
          </w:p>
        </w:tc>
        <w:tc>
          <w:tcPr>
            <w:tcW w:w="2098" w:type="dxa"/>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586</w:t>
            </w: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left="192" w:right="79" w:hanging="180"/>
              <w:jc w:val="both"/>
              <w:rPr>
                <w:rFonts w:asciiTheme="minorHAnsi" w:eastAsia="MS ??" w:hAnsiTheme="minorHAnsi" w:cstheme="minorHAnsi"/>
              </w:rPr>
            </w:pPr>
            <w:r>
              <w:rPr>
                <w:rFonts w:asciiTheme="minorHAnsi" w:hAnsiTheme="minorHAnsi"/>
              </w:rPr>
              <w:t>Herwaardering van terreinen en gebouwen - DTL</w:t>
            </w:r>
          </w:p>
        </w:tc>
        <w:tc>
          <w:tcPr>
            <w:tcW w:w="2098" w:type="dxa"/>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-133</w:t>
            </w:r>
          </w:p>
        </w:tc>
      </w:tr>
      <w:tr w:rsidR="00A40FBB" w:rsidRPr="001B24A6" w:rsidTr="00A40FBB">
        <w:trPr>
          <w:cantSplit/>
          <w:trHeight w:val="268"/>
        </w:trPr>
        <w:tc>
          <w:tcPr>
            <w:tcW w:w="4782" w:type="dxa"/>
          </w:tcPr>
          <w:p w:rsidR="00A40FBB" w:rsidRPr="001B24A6" w:rsidRDefault="00A40FBB" w:rsidP="00A40FBB">
            <w:pPr>
              <w:snapToGrid w:val="0"/>
              <w:spacing w:after="0" w:line="270" w:lineRule="atLeast"/>
              <w:ind w:left="192" w:right="79" w:hanging="180"/>
              <w:jc w:val="both"/>
              <w:rPr>
                <w:rFonts w:asciiTheme="minorHAnsi" w:eastAsia="MS ??" w:hAnsiTheme="minorHAnsi" w:cstheme="minorHAnsi"/>
              </w:rPr>
            </w:pPr>
            <w:r>
              <w:rPr>
                <w:rFonts w:asciiTheme="minorHAnsi" w:hAnsiTheme="minorHAnsi"/>
              </w:rPr>
              <w:t>Verkoop van geherwaardeerd terrein - DTL</w:t>
            </w:r>
          </w:p>
          <w:p w:rsidR="00A40FBB" w:rsidRPr="001B24A6" w:rsidRDefault="00A40FBB" w:rsidP="00A40FBB">
            <w:pPr>
              <w:snapToGrid w:val="0"/>
              <w:spacing w:after="0" w:line="270" w:lineRule="atLeast"/>
              <w:ind w:left="192" w:right="79" w:hanging="180"/>
              <w:jc w:val="both"/>
              <w:rPr>
                <w:rFonts w:asciiTheme="minorHAnsi" w:eastAsia="MS ??" w:hAnsiTheme="minorHAnsi" w:cstheme="minorHAnsi"/>
              </w:rPr>
            </w:pPr>
            <w:r>
              <w:rPr>
                <w:rFonts w:asciiTheme="minorHAnsi" w:hAnsiTheme="minorHAnsi"/>
              </w:rPr>
              <w:t>Herwaardering van fondsbeleggingen</w:t>
            </w:r>
          </w:p>
        </w:tc>
        <w:tc>
          <w:tcPr>
            <w:tcW w:w="2098" w:type="dxa"/>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71</w:t>
            </w:r>
          </w:p>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-938</w:t>
            </w:r>
          </w:p>
        </w:tc>
        <w:tc>
          <w:tcPr>
            <w:tcW w:w="1701" w:type="dxa"/>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w:t>
            </w:r>
          </w:p>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0</w:t>
            </w:r>
          </w:p>
        </w:tc>
      </w:tr>
      <w:tr w:rsidR="00A40FBB" w:rsidRPr="001B24A6" w:rsidTr="00A40FBB">
        <w:trPr>
          <w:cantSplit/>
          <w:trHeight w:val="270"/>
        </w:trPr>
        <w:tc>
          <w:tcPr>
            <w:tcW w:w="4782" w:type="dxa"/>
            <w:tcBorders>
              <w:top w:val="single" w:sz="4" w:space="0" w:color="000000"/>
              <w:bottom w:val="double" w:sz="6"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b/>
                <w:bCs/>
              </w:rPr>
              <w:t xml:space="preserve">Totaalresultaat </w:t>
            </w:r>
          </w:p>
        </w:tc>
        <w:tc>
          <w:tcPr>
            <w:tcW w:w="2098" w:type="dxa"/>
            <w:tcBorders>
              <w:top w:val="single" w:sz="4" w:space="0" w:color="000000"/>
              <w:bottom w:val="double" w:sz="6" w:space="0" w:color="000000"/>
            </w:tcBorders>
            <w:shd w:val="clear" w:color="auto" w:fill="auto"/>
          </w:tcPr>
          <w:p w:rsidR="00A40FBB" w:rsidRPr="001B24A6" w:rsidRDefault="00D02012"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-827</w:t>
            </w:r>
          </w:p>
        </w:tc>
        <w:tc>
          <w:tcPr>
            <w:tcW w:w="1701" w:type="dxa"/>
            <w:tcBorders>
              <w:top w:val="single" w:sz="4" w:space="0" w:color="000000"/>
              <w:bottom w:val="double" w:sz="6"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107</w:t>
            </w:r>
          </w:p>
        </w:tc>
      </w:tr>
    </w:tbl>
    <w:p w:rsidR="00A40FBB" w:rsidRPr="001B24A6" w:rsidRDefault="00A40FBB" w:rsidP="00A40FBB"/>
    <w:p w:rsidR="006B68ED" w:rsidRPr="001B24A6" w:rsidRDefault="006B68ED" w:rsidP="006B68ED">
      <w:pPr>
        <w:rPr>
          <w:highlight w:val="yellow"/>
        </w:rPr>
      </w:pPr>
      <w:r>
        <w:br w:type="page"/>
      </w:r>
    </w:p>
    <w:p w:rsidR="00B52809" w:rsidRPr="001B24A6" w:rsidRDefault="00B52809" w:rsidP="00D85DA4">
      <w:pPr>
        <w:jc w:val="both"/>
        <w:rPr>
          <w:rFonts w:eastAsia="Times New Roman"/>
          <w:b/>
          <w:color w:val="B71234"/>
        </w:rPr>
      </w:pPr>
      <w:r>
        <w:rPr>
          <w:b/>
          <w:color w:val="B71234"/>
        </w:rPr>
        <w:lastRenderedPageBreak/>
        <w:t>Geconsolideerde balans (na nettoresultaatbestemming)</w:t>
      </w:r>
    </w:p>
    <w:p w:rsidR="00B52809" w:rsidRPr="001B24A6" w:rsidRDefault="00B52809" w:rsidP="006B68ED">
      <w:pPr>
        <w:rPr>
          <w:highlight w:val="yellow"/>
          <w:lang w:eastAsia="en-GB" w:bidi="en-GB"/>
        </w:rPr>
      </w:pPr>
    </w:p>
    <w:tbl>
      <w:tblPr>
        <w:tblW w:w="4584" w:type="pct"/>
        <w:tblCellMar>
          <w:left w:w="14" w:type="dxa"/>
          <w:right w:w="14" w:type="dxa"/>
        </w:tblCellMar>
        <w:tblLook w:val="0000" w:firstRow="0" w:lastRow="0" w:firstColumn="0" w:lastColumn="0" w:noHBand="0" w:noVBand="0"/>
      </w:tblPr>
      <w:tblGrid>
        <w:gridCol w:w="5254"/>
        <w:gridCol w:w="2312"/>
        <w:gridCol w:w="1894"/>
      </w:tblGrid>
      <w:tr w:rsidR="00A40FBB" w:rsidRPr="001B24A6" w:rsidTr="00A40FBB">
        <w:trPr>
          <w:cantSplit/>
          <w:trHeight w:val="427"/>
        </w:trPr>
        <w:tc>
          <w:tcPr>
            <w:tcW w:w="2777" w:type="pct"/>
            <w:tcBorders>
              <w:top w:val="single" w:sz="4" w:space="0" w:color="000000"/>
              <w:bottom w:val="single" w:sz="4" w:space="0" w:color="000000"/>
            </w:tcBorders>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lang w:eastAsia="en-GB"/>
              </w:rPr>
            </w:pPr>
          </w:p>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b/>
              </w:rPr>
            </w:pPr>
            <w:r>
              <w:rPr>
                <w:rFonts w:asciiTheme="minorHAnsi" w:hAnsiTheme="minorHAnsi"/>
                <w:b/>
              </w:rPr>
              <w:t>(x EUR 1.000)</w:t>
            </w:r>
          </w:p>
        </w:tc>
        <w:tc>
          <w:tcPr>
            <w:tcW w:w="1222" w:type="pct"/>
            <w:tcBorders>
              <w:top w:val="single" w:sz="4" w:space="0" w:color="000000"/>
              <w:bottom w:val="single" w:sz="4" w:space="0" w:color="000000"/>
            </w:tcBorders>
          </w:tcPr>
          <w:p w:rsidR="00A40FBB" w:rsidRPr="001B24A6" w:rsidRDefault="0009230C"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Niet gecontroleerd</w:t>
            </w:r>
          </w:p>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2018</w:t>
            </w:r>
          </w:p>
        </w:tc>
        <w:tc>
          <w:tcPr>
            <w:tcW w:w="1001" w:type="pct"/>
            <w:tcBorders>
              <w:top w:val="single" w:sz="4" w:space="0" w:color="000000"/>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lang w:eastAsia="en-GB"/>
              </w:rPr>
            </w:pPr>
          </w:p>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2017</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Activa</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Materiële vaste activa</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5.303</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6.023</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Immateriële vaste activa</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2.379</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2.428</w:t>
            </w:r>
          </w:p>
        </w:tc>
      </w:tr>
      <w:tr w:rsidR="00A40FBB" w:rsidRPr="001B24A6" w:rsidTr="00A40FBB">
        <w:trPr>
          <w:cantSplit/>
          <w:trHeight w:val="270"/>
        </w:trPr>
        <w:tc>
          <w:tcPr>
            <w:tcW w:w="2777" w:type="pct"/>
          </w:tcPr>
          <w:p w:rsidR="00A40FBB" w:rsidRPr="001B24A6" w:rsidRDefault="00A40FBB" w:rsidP="00A40FBB">
            <w:pPr>
              <w:tabs>
                <w:tab w:val="left" w:pos="2292"/>
              </w:tabs>
              <w:snapToGrid w:val="0"/>
              <w:spacing w:after="0" w:line="270" w:lineRule="atLeast"/>
              <w:ind w:right="79"/>
              <w:jc w:val="both"/>
              <w:rPr>
                <w:rFonts w:asciiTheme="minorHAnsi" w:eastAsia="MS ??" w:hAnsiTheme="minorHAnsi" w:cstheme="minorHAnsi"/>
              </w:rPr>
            </w:pPr>
            <w:r>
              <w:rPr>
                <w:rFonts w:asciiTheme="minorHAnsi" w:hAnsiTheme="minorHAnsi"/>
              </w:rPr>
              <w:t>Actieve belastinglatentie</w:t>
            </w:r>
          </w:p>
        </w:tc>
        <w:tc>
          <w:tcPr>
            <w:tcW w:w="1222" w:type="pct"/>
            <w:shd w:val="clear" w:color="auto" w:fill="auto"/>
          </w:tcPr>
          <w:p w:rsidR="00A40FBB" w:rsidRPr="001B24A6" w:rsidRDefault="00A40FBB" w:rsidP="00A40FBB">
            <w:pPr>
              <w:tabs>
                <w:tab w:val="left" w:pos="2292"/>
              </w:tabs>
              <w:snapToGrid w:val="0"/>
              <w:spacing w:after="0" w:line="270" w:lineRule="atLeast"/>
              <w:ind w:right="79"/>
              <w:jc w:val="right"/>
              <w:rPr>
                <w:rFonts w:asciiTheme="minorHAnsi" w:eastAsia="MS ??" w:hAnsiTheme="minorHAnsi" w:cstheme="minorHAnsi"/>
              </w:rPr>
            </w:pPr>
            <w:r>
              <w:rPr>
                <w:rFonts w:asciiTheme="minorHAnsi" w:hAnsiTheme="minorHAnsi"/>
              </w:rPr>
              <w:t>1.420</w:t>
            </w:r>
          </w:p>
        </w:tc>
        <w:tc>
          <w:tcPr>
            <w:tcW w:w="1001" w:type="pct"/>
          </w:tcPr>
          <w:p w:rsidR="00A40FBB" w:rsidRPr="001B24A6" w:rsidRDefault="00A40FBB" w:rsidP="00A40FBB">
            <w:pPr>
              <w:tabs>
                <w:tab w:val="left" w:pos="2292"/>
              </w:tabs>
              <w:snapToGrid w:val="0"/>
              <w:spacing w:after="0" w:line="270" w:lineRule="atLeast"/>
              <w:ind w:right="79"/>
              <w:jc w:val="right"/>
              <w:rPr>
                <w:rFonts w:asciiTheme="minorHAnsi" w:eastAsia="MS ??" w:hAnsiTheme="minorHAnsi" w:cstheme="minorHAnsi"/>
              </w:rPr>
            </w:pPr>
            <w:r>
              <w:rPr>
                <w:rFonts w:asciiTheme="minorHAnsi" w:hAnsiTheme="minorHAnsi"/>
              </w:rPr>
              <w:t>1.284</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Financiële activa</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81</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503</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Vaste activa</w:t>
            </w:r>
          </w:p>
        </w:tc>
        <w:tc>
          <w:tcPr>
            <w:tcW w:w="1222" w:type="pct"/>
            <w:tcBorders>
              <w:top w:val="single" w:sz="4" w:space="0" w:color="000000"/>
            </w:tcBorders>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9.183</w:t>
            </w:r>
          </w:p>
        </w:tc>
        <w:tc>
          <w:tcPr>
            <w:tcW w:w="1001"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10.238</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Voorraden</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593</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581</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Handels- en overige debiteuren</w:t>
            </w:r>
          </w:p>
        </w:tc>
        <w:tc>
          <w:tcPr>
            <w:tcW w:w="1222" w:type="pct"/>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2.092</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1.980</w:t>
            </w:r>
          </w:p>
        </w:tc>
      </w:tr>
      <w:tr w:rsidR="00A40FBB" w:rsidRPr="001B24A6" w:rsidTr="00A40FBB">
        <w:trPr>
          <w:cantSplit/>
          <w:trHeight w:val="270"/>
        </w:trPr>
        <w:tc>
          <w:tcPr>
            <w:tcW w:w="2777" w:type="pct"/>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Liquide middelen</w:t>
            </w:r>
          </w:p>
        </w:tc>
        <w:tc>
          <w:tcPr>
            <w:tcW w:w="1222"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1.738</w:t>
            </w:r>
          </w:p>
        </w:tc>
        <w:tc>
          <w:tcPr>
            <w:tcW w:w="1001"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617</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Vlottende activa</w:t>
            </w:r>
          </w:p>
        </w:tc>
        <w:tc>
          <w:tcPr>
            <w:tcW w:w="1222"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4.423</w:t>
            </w:r>
          </w:p>
        </w:tc>
        <w:tc>
          <w:tcPr>
            <w:tcW w:w="1001"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3.178</w:t>
            </w:r>
          </w:p>
        </w:tc>
      </w:tr>
      <w:tr w:rsidR="00A40FBB" w:rsidRPr="001B24A6" w:rsidTr="00A40FBB">
        <w:trPr>
          <w:cantSplit/>
          <w:trHeight w:val="270"/>
        </w:trPr>
        <w:tc>
          <w:tcPr>
            <w:tcW w:w="2777" w:type="pct"/>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lang w:eastAsia="en-GB"/>
              </w:rPr>
            </w:pPr>
          </w:p>
        </w:tc>
        <w:tc>
          <w:tcPr>
            <w:tcW w:w="1001"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lang w:eastAsia="en-GB"/>
              </w:rPr>
            </w:pPr>
          </w:p>
        </w:tc>
      </w:tr>
      <w:tr w:rsidR="00A40FBB" w:rsidRPr="001B24A6" w:rsidTr="00A40FBB">
        <w:trPr>
          <w:cantSplit/>
          <w:trHeight w:val="270"/>
        </w:trPr>
        <w:tc>
          <w:tcPr>
            <w:tcW w:w="2777" w:type="pct"/>
            <w:tcBorders>
              <w:top w:val="single" w:sz="4" w:space="0" w:color="000000"/>
              <w:bottom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Totaal activa</w:t>
            </w:r>
          </w:p>
        </w:tc>
        <w:tc>
          <w:tcPr>
            <w:tcW w:w="1222" w:type="pct"/>
            <w:tcBorders>
              <w:top w:val="single" w:sz="4" w:space="0" w:color="000000"/>
              <w:bottom w:val="double" w:sz="4" w:space="0" w:color="000000"/>
            </w:tcBorders>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13.606</w:t>
            </w:r>
          </w:p>
        </w:tc>
        <w:tc>
          <w:tcPr>
            <w:tcW w:w="1001" w:type="pct"/>
            <w:tcBorders>
              <w:top w:val="single" w:sz="4" w:space="0" w:color="000000"/>
              <w:bottom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13.416</w:t>
            </w:r>
          </w:p>
        </w:tc>
      </w:tr>
      <w:tr w:rsidR="00A40FBB" w:rsidRPr="001B24A6" w:rsidTr="00A40FBB">
        <w:trPr>
          <w:cantSplit/>
          <w:trHeight w:val="270"/>
        </w:trPr>
        <w:tc>
          <w:tcPr>
            <w:tcW w:w="2777" w:type="pct"/>
            <w:tcBorders>
              <w:top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top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Borders>
              <w:top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p w:rsidR="00A40FBB" w:rsidRPr="001B24A6" w:rsidRDefault="00A40FBB" w:rsidP="00A40FBB">
            <w:pPr>
              <w:spacing w:after="0" w:line="270" w:lineRule="atLeast"/>
              <w:ind w:right="79"/>
              <w:jc w:val="both"/>
              <w:rPr>
                <w:rFonts w:asciiTheme="minorHAnsi" w:eastAsia="MS ??" w:hAnsiTheme="minorHAnsi" w:cstheme="minorHAnsi"/>
                <w:b/>
                <w:bCs/>
              </w:rPr>
            </w:pPr>
            <w:r>
              <w:rPr>
                <w:rFonts w:asciiTheme="minorHAnsi" w:hAnsiTheme="minorHAnsi"/>
                <w:b/>
                <w:bCs/>
              </w:rPr>
              <w:t>Passiva</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 xml:space="preserve">Uitstaand aandelenkapitaal </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8.006</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7.339</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Agioreserve</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20.</w:t>
            </w:r>
            <w:r w:rsidR="000340EC">
              <w:rPr>
                <w:rFonts w:asciiTheme="minorHAnsi" w:hAnsiTheme="minorHAnsi"/>
              </w:rPr>
              <w:t>517</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19.906</w:t>
            </w:r>
          </w:p>
        </w:tc>
      </w:tr>
      <w:tr w:rsidR="00A40FBB" w:rsidRPr="001B24A6" w:rsidTr="00A40FBB">
        <w:trPr>
          <w:cantSplit/>
          <w:trHeight w:val="270"/>
        </w:trPr>
        <w:tc>
          <w:tcPr>
            <w:tcW w:w="2777" w:type="pct"/>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Herwaarderingsreserve</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1.943</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2.216</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Winstreserve</w:t>
            </w:r>
          </w:p>
        </w:tc>
        <w:tc>
          <w:tcPr>
            <w:tcW w:w="1222" w:type="pct"/>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-27.</w:t>
            </w:r>
            <w:r w:rsidR="000340EC">
              <w:rPr>
                <w:rFonts w:asciiTheme="minorHAnsi" w:hAnsiTheme="minorHAnsi"/>
              </w:rPr>
              <w:t>751</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-27.188</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rPr>
                <w:rFonts w:asciiTheme="minorHAnsi" w:eastAsia="MS ??" w:hAnsiTheme="minorHAnsi" w:cstheme="minorHAnsi"/>
                <w:bCs/>
              </w:rPr>
            </w:pPr>
            <w:r>
              <w:rPr>
                <w:rFonts w:asciiTheme="minorHAnsi" w:hAnsiTheme="minorHAnsi"/>
                <w:bCs/>
              </w:rPr>
              <w:t xml:space="preserve">Eigen vermogen toekomend aan aandeelhouders van de moedermaatschappij </w:t>
            </w:r>
          </w:p>
        </w:tc>
        <w:tc>
          <w:tcPr>
            <w:tcW w:w="1222" w:type="pct"/>
            <w:tcBorders>
              <w:top w:val="single" w:sz="4" w:space="0" w:color="000000"/>
            </w:tcBorders>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bCs/>
              </w:rPr>
            </w:pPr>
            <w:r>
              <w:rPr>
                <w:rFonts w:asciiTheme="minorHAnsi" w:hAnsiTheme="minorHAnsi"/>
                <w:bCs/>
              </w:rPr>
              <w:t>2.715</w:t>
            </w:r>
          </w:p>
        </w:tc>
        <w:tc>
          <w:tcPr>
            <w:tcW w:w="1001"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Cs/>
              </w:rPr>
            </w:pPr>
            <w:r>
              <w:rPr>
                <w:rFonts w:asciiTheme="minorHAnsi" w:hAnsiTheme="minorHAnsi"/>
                <w:bCs/>
              </w:rPr>
              <w:t>2.273</w:t>
            </w:r>
          </w:p>
        </w:tc>
      </w:tr>
      <w:tr w:rsidR="00A40FBB" w:rsidRPr="001B24A6" w:rsidTr="00A40FBB">
        <w:trPr>
          <w:cantSplit/>
          <w:trHeight w:val="270"/>
        </w:trPr>
        <w:tc>
          <w:tcPr>
            <w:tcW w:w="2777" w:type="pct"/>
            <w:tcBorders>
              <w:bottom w:val="single" w:sz="4" w:space="0" w:color="auto"/>
            </w:tcBorders>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Minderheidsbelangen</w:t>
            </w:r>
          </w:p>
        </w:tc>
        <w:tc>
          <w:tcPr>
            <w:tcW w:w="1222" w:type="pct"/>
            <w:tcBorders>
              <w:bottom w:val="single" w:sz="4" w:space="0" w:color="auto"/>
            </w:tcBorders>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2.494</w:t>
            </w:r>
          </w:p>
        </w:tc>
        <w:tc>
          <w:tcPr>
            <w:tcW w:w="1001" w:type="pct"/>
            <w:tcBorders>
              <w:bottom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2.494</w:t>
            </w:r>
          </w:p>
        </w:tc>
      </w:tr>
      <w:tr w:rsidR="00A40FBB" w:rsidRPr="001B24A6" w:rsidTr="00A40FBB">
        <w:trPr>
          <w:cantSplit/>
          <w:trHeight w:val="270"/>
        </w:trPr>
        <w:tc>
          <w:tcPr>
            <w:tcW w:w="2777" w:type="pct"/>
            <w:tcBorders>
              <w:top w:val="single" w:sz="4" w:space="0" w:color="auto"/>
            </w:tcBorders>
          </w:tcPr>
          <w:p w:rsidR="00A40FBB" w:rsidRPr="001B24A6" w:rsidRDefault="00A40FBB" w:rsidP="00A40FBB">
            <w:pPr>
              <w:snapToGrid w:val="0"/>
              <w:spacing w:after="0" w:line="270" w:lineRule="atLeast"/>
              <w:ind w:right="79"/>
              <w:jc w:val="both"/>
              <w:rPr>
                <w:rFonts w:asciiTheme="minorHAnsi" w:eastAsia="MS ??" w:hAnsiTheme="minorHAnsi" w:cstheme="minorHAnsi"/>
                <w:b/>
              </w:rPr>
            </w:pPr>
            <w:r>
              <w:rPr>
                <w:rFonts w:asciiTheme="minorHAnsi" w:hAnsiTheme="minorHAnsi"/>
                <w:b/>
              </w:rPr>
              <w:t>Totaal eigen vermogen</w:t>
            </w:r>
          </w:p>
        </w:tc>
        <w:tc>
          <w:tcPr>
            <w:tcW w:w="1222" w:type="pct"/>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5.209</w:t>
            </w:r>
          </w:p>
        </w:tc>
        <w:tc>
          <w:tcPr>
            <w:tcW w:w="1001" w:type="pct"/>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4.767</w:t>
            </w: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Leningen</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2.426</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2.880</w:t>
            </w:r>
          </w:p>
        </w:tc>
      </w:tr>
      <w:tr w:rsidR="00A40FBB" w:rsidRPr="001B24A6" w:rsidTr="00A40FBB">
        <w:trPr>
          <w:cantSplit/>
          <w:trHeight w:val="270"/>
        </w:trPr>
        <w:tc>
          <w:tcPr>
            <w:tcW w:w="2777" w:type="pct"/>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 xml:space="preserve">Toegezegd-pensioenlasten </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3.374</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2.899</w:t>
            </w:r>
          </w:p>
        </w:tc>
      </w:tr>
      <w:tr w:rsidR="00A40FBB" w:rsidRPr="001B24A6" w:rsidTr="00A40FBB">
        <w:trPr>
          <w:cantSplit/>
          <w:trHeight w:val="270"/>
        </w:trPr>
        <w:tc>
          <w:tcPr>
            <w:tcW w:w="2777" w:type="pct"/>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Voorzieningen</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107</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144</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Langlopende verplichtingen</w:t>
            </w:r>
          </w:p>
        </w:tc>
        <w:tc>
          <w:tcPr>
            <w:tcW w:w="1222"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5.907</w:t>
            </w:r>
          </w:p>
        </w:tc>
        <w:tc>
          <w:tcPr>
            <w:tcW w:w="1001"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5.923</w:t>
            </w:r>
          </w:p>
        </w:tc>
      </w:tr>
      <w:tr w:rsidR="00A40FBB" w:rsidRPr="001B24A6" w:rsidTr="00A40FBB">
        <w:trPr>
          <w:cantSplit/>
          <w:trHeight w:val="270"/>
        </w:trPr>
        <w:tc>
          <w:tcPr>
            <w:tcW w:w="2777" w:type="pct"/>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lang w:eastAsia="en-GB"/>
              </w:rPr>
            </w:pP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Leningen</w:t>
            </w:r>
          </w:p>
        </w:tc>
        <w:tc>
          <w:tcPr>
            <w:tcW w:w="1222"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227</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188</w:t>
            </w:r>
          </w:p>
        </w:tc>
      </w:tr>
      <w:tr w:rsidR="00A40FBB" w:rsidRPr="001B24A6" w:rsidTr="00A40FBB">
        <w:trPr>
          <w:cantSplit/>
          <w:trHeight w:val="109"/>
        </w:trPr>
        <w:tc>
          <w:tcPr>
            <w:tcW w:w="2777" w:type="pct"/>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Handels- en overige debiteuren</w:t>
            </w:r>
          </w:p>
        </w:tc>
        <w:tc>
          <w:tcPr>
            <w:tcW w:w="1222" w:type="pct"/>
            <w:shd w:val="clear" w:color="auto" w:fill="auto"/>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2.205</w:t>
            </w:r>
          </w:p>
        </w:tc>
        <w:tc>
          <w:tcPr>
            <w:tcW w:w="1001" w:type="pct"/>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2.480</w:t>
            </w:r>
          </w:p>
        </w:tc>
      </w:tr>
      <w:tr w:rsidR="00A40FBB" w:rsidRPr="001B24A6" w:rsidTr="00A40FBB">
        <w:trPr>
          <w:cantSplit/>
          <w:trHeight w:val="270"/>
        </w:trPr>
        <w:tc>
          <w:tcPr>
            <w:tcW w:w="2777" w:type="pct"/>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Belastingen en premies sociale verzekeringen</w:t>
            </w:r>
          </w:p>
        </w:tc>
        <w:tc>
          <w:tcPr>
            <w:tcW w:w="1222"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58</w:t>
            </w:r>
          </w:p>
        </w:tc>
        <w:tc>
          <w:tcPr>
            <w:tcW w:w="1001"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58</w:t>
            </w:r>
          </w:p>
        </w:tc>
      </w:tr>
      <w:tr w:rsidR="00A40FBB" w:rsidRPr="001B24A6" w:rsidTr="00A40FBB">
        <w:trPr>
          <w:cantSplit/>
          <w:trHeight w:val="270"/>
        </w:trPr>
        <w:tc>
          <w:tcPr>
            <w:tcW w:w="2777" w:type="pct"/>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Kortlopende verplichtingen</w:t>
            </w:r>
          </w:p>
        </w:tc>
        <w:tc>
          <w:tcPr>
            <w:tcW w:w="1222"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2.490</w:t>
            </w:r>
          </w:p>
        </w:tc>
        <w:tc>
          <w:tcPr>
            <w:tcW w:w="1001" w:type="pct"/>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2.726</w:t>
            </w:r>
          </w:p>
        </w:tc>
      </w:tr>
      <w:tr w:rsidR="00A40FBB" w:rsidRPr="001B24A6" w:rsidTr="00A40FBB">
        <w:trPr>
          <w:cantSplit/>
          <w:trHeight w:val="270"/>
        </w:trPr>
        <w:tc>
          <w:tcPr>
            <w:tcW w:w="2777" w:type="pct"/>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1222"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lang w:eastAsia="en-GB"/>
              </w:rPr>
            </w:pPr>
          </w:p>
        </w:tc>
        <w:tc>
          <w:tcPr>
            <w:tcW w:w="1001" w:type="pct"/>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lang w:eastAsia="en-GB"/>
              </w:rPr>
            </w:pPr>
          </w:p>
        </w:tc>
      </w:tr>
      <w:tr w:rsidR="00A40FBB" w:rsidRPr="001B24A6" w:rsidTr="00A40FBB">
        <w:trPr>
          <w:cantSplit/>
          <w:trHeight w:val="340"/>
        </w:trPr>
        <w:tc>
          <w:tcPr>
            <w:tcW w:w="2777" w:type="pct"/>
            <w:tcBorders>
              <w:top w:val="single" w:sz="4" w:space="0" w:color="000000"/>
              <w:bottom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Totaal passiva</w:t>
            </w:r>
          </w:p>
        </w:tc>
        <w:tc>
          <w:tcPr>
            <w:tcW w:w="1222" w:type="pct"/>
            <w:tcBorders>
              <w:top w:val="single" w:sz="4" w:space="0" w:color="000000"/>
              <w:bottom w:val="double" w:sz="4" w:space="0" w:color="000000"/>
            </w:tcBorders>
            <w:shd w:val="clear" w:color="auto" w:fill="auto"/>
          </w:tcPr>
          <w:p w:rsidR="00A40FBB" w:rsidRPr="001B24A6" w:rsidRDefault="006441F3" w:rsidP="00A40FBB">
            <w:pPr>
              <w:snapToGrid w:val="0"/>
              <w:spacing w:after="0" w:line="270" w:lineRule="atLeast"/>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=c27+c31+c37 </w:instrText>
            </w:r>
            <w:r w:rsidRPr="001B24A6">
              <w:rPr>
                <w:rFonts w:asciiTheme="minorHAnsi" w:eastAsia="MS ??" w:hAnsiTheme="minorHAnsi" w:cstheme="minorHAnsi"/>
                <w:b/>
                <w:bCs/>
              </w:rPr>
              <w:fldChar w:fldCharType="separate"/>
            </w:r>
            <w:r w:rsidR="00A40FBB" w:rsidRPr="001B24A6">
              <w:rPr>
                <w:rFonts w:asciiTheme="minorHAnsi" w:eastAsia="MS ??" w:hAnsiTheme="minorHAnsi" w:cstheme="minorHAnsi"/>
                <w:b/>
                <w:bCs/>
              </w:rPr>
              <w:t>13</w:t>
            </w:r>
            <w:r w:rsidR="00BF559C">
              <w:rPr>
                <w:rFonts w:asciiTheme="minorHAnsi" w:eastAsia="MS ??" w:hAnsiTheme="minorHAnsi" w:cstheme="minorHAnsi"/>
                <w:b/>
                <w:bCs/>
              </w:rPr>
              <w:t>.</w:t>
            </w:r>
            <w:r w:rsidRPr="001B24A6">
              <w:rPr>
                <w:rFonts w:asciiTheme="minorHAnsi" w:eastAsia="MS ??" w:hAnsiTheme="minorHAnsi" w:cstheme="minorHAnsi"/>
                <w:b/>
                <w:bCs/>
              </w:rPr>
              <w:fldChar w:fldCharType="end"/>
            </w:r>
            <w:r w:rsidR="00B06FA0">
              <w:rPr>
                <w:rFonts w:asciiTheme="minorHAnsi" w:hAnsiTheme="minorHAnsi"/>
                <w:b/>
                <w:bCs/>
              </w:rPr>
              <w:t>606</w:t>
            </w:r>
          </w:p>
        </w:tc>
        <w:tc>
          <w:tcPr>
            <w:tcW w:w="1001" w:type="pct"/>
            <w:tcBorders>
              <w:top w:val="single" w:sz="4" w:space="0" w:color="000000"/>
              <w:bottom w:val="double" w:sz="4" w:space="0" w:color="000000"/>
            </w:tcBorders>
          </w:tcPr>
          <w:p w:rsidR="00A40FBB" w:rsidRPr="001B24A6" w:rsidRDefault="006441F3" w:rsidP="00A40FBB">
            <w:pPr>
              <w:snapToGrid w:val="0"/>
              <w:spacing w:after="0" w:line="270" w:lineRule="atLeast"/>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=c27+c31+c37 </w:instrText>
            </w:r>
            <w:r w:rsidRPr="001B24A6">
              <w:rPr>
                <w:rFonts w:asciiTheme="minorHAnsi" w:eastAsia="MS ??" w:hAnsiTheme="minorHAnsi" w:cstheme="minorHAnsi"/>
                <w:b/>
                <w:bCs/>
              </w:rPr>
              <w:fldChar w:fldCharType="separate"/>
            </w:r>
            <w:r w:rsidR="00A40FBB" w:rsidRPr="001B24A6">
              <w:rPr>
                <w:rFonts w:asciiTheme="minorHAnsi" w:eastAsia="MS ??" w:hAnsiTheme="minorHAnsi" w:cstheme="minorHAnsi"/>
                <w:b/>
                <w:bCs/>
              </w:rPr>
              <w:t>13</w:t>
            </w:r>
            <w:r w:rsidR="00BF559C">
              <w:rPr>
                <w:rFonts w:asciiTheme="minorHAnsi" w:eastAsia="MS ??" w:hAnsiTheme="minorHAnsi" w:cstheme="minorHAnsi"/>
                <w:b/>
                <w:bCs/>
              </w:rPr>
              <w:t>.</w:t>
            </w:r>
            <w:r w:rsidRPr="001B24A6">
              <w:rPr>
                <w:rFonts w:asciiTheme="minorHAnsi" w:eastAsia="MS ??" w:hAnsiTheme="minorHAnsi" w:cstheme="minorHAnsi"/>
                <w:b/>
                <w:bCs/>
              </w:rPr>
              <w:fldChar w:fldCharType="end"/>
            </w:r>
            <w:r w:rsidR="00B06FA0">
              <w:rPr>
                <w:rFonts w:asciiTheme="minorHAnsi" w:hAnsiTheme="minorHAnsi"/>
                <w:b/>
                <w:bCs/>
              </w:rPr>
              <w:t>416</w:t>
            </w:r>
          </w:p>
        </w:tc>
      </w:tr>
    </w:tbl>
    <w:p w:rsidR="00A40FBB" w:rsidRPr="001B24A6" w:rsidRDefault="00A40FBB" w:rsidP="00A40FBB"/>
    <w:p w:rsidR="00B52809" w:rsidRPr="001B24A6" w:rsidRDefault="00B52809" w:rsidP="00D85DA4">
      <w:pPr>
        <w:jc w:val="both"/>
        <w:rPr>
          <w:rFonts w:eastAsia="Times New Roman"/>
          <w:color w:val="3366FF"/>
          <w:highlight w:val="yellow"/>
        </w:rPr>
      </w:pPr>
      <w:r>
        <w:br w:type="page"/>
      </w:r>
    </w:p>
    <w:p w:rsidR="00B52809" w:rsidRPr="001B24A6" w:rsidRDefault="00B52809" w:rsidP="00D85DA4">
      <w:pPr>
        <w:jc w:val="both"/>
        <w:rPr>
          <w:rFonts w:eastAsia="Times New Roman"/>
          <w:b/>
          <w:color w:val="B71234"/>
        </w:rPr>
      </w:pPr>
      <w:r>
        <w:rPr>
          <w:b/>
          <w:color w:val="B71234"/>
        </w:rPr>
        <w:lastRenderedPageBreak/>
        <w:t xml:space="preserve">Geconsolideerd kasstroomoverzicht </w:t>
      </w:r>
    </w:p>
    <w:p w:rsidR="00A40FBB" w:rsidRPr="001B24A6" w:rsidRDefault="00A40FBB" w:rsidP="00A40FBB">
      <w:pPr>
        <w:tabs>
          <w:tab w:val="left" w:pos="284"/>
        </w:tabs>
        <w:spacing w:after="0"/>
        <w:jc w:val="both"/>
        <w:rPr>
          <w:rFonts w:asciiTheme="minorHAnsi" w:hAnsiTheme="minorHAnsi" w:cstheme="minorHAnsi"/>
        </w:rPr>
      </w:pPr>
    </w:p>
    <w:tbl>
      <w:tblPr>
        <w:tblW w:w="8600" w:type="dxa"/>
        <w:tblInd w:w="2" w:type="dxa"/>
        <w:tblLayout w:type="fixed"/>
        <w:tblCellMar>
          <w:left w:w="14" w:type="dxa"/>
          <w:right w:w="14" w:type="dxa"/>
        </w:tblCellMar>
        <w:tblLook w:val="0000" w:firstRow="0" w:lastRow="0" w:firstColumn="0" w:lastColumn="0" w:noHBand="0" w:noVBand="0"/>
      </w:tblPr>
      <w:tblGrid>
        <w:gridCol w:w="4548"/>
        <w:gridCol w:w="2067"/>
        <w:gridCol w:w="1985"/>
      </w:tblGrid>
      <w:tr w:rsidR="00A40FBB" w:rsidRPr="001B24A6" w:rsidTr="00A40FBB">
        <w:trPr>
          <w:cantSplit/>
          <w:trHeight w:val="270"/>
        </w:trPr>
        <w:tc>
          <w:tcPr>
            <w:tcW w:w="4548" w:type="dxa"/>
            <w:tcBorders>
              <w:top w:val="single" w:sz="4" w:space="0" w:color="000000"/>
              <w:bottom w:val="single" w:sz="4" w:space="0" w:color="auto"/>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(x 1.000)</w:t>
            </w:r>
          </w:p>
        </w:tc>
        <w:tc>
          <w:tcPr>
            <w:tcW w:w="2067" w:type="dxa"/>
            <w:tcBorders>
              <w:top w:val="single" w:sz="4" w:space="0" w:color="000000"/>
              <w:bottom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Niet gecontroleerd</w:t>
            </w:r>
          </w:p>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2018</w:t>
            </w:r>
          </w:p>
        </w:tc>
        <w:tc>
          <w:tcPr>
            <w:tcW w:w="1985" w:type="dxa"/>
            <w:tcBorders>
              <w:top w:val="single" w:sz="4" w:space="0" w:color="000000"/>
              <w:bottom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b/>
              </w:rPr>
            </w:pPr>
            <w:r>
              <w:rPr>
                <w:rFonts w:asciiTheme="minorHAnsi" w:hAnsiTheme="minorHAnsi"/>
                <w:b/>
              </w:rPr>
              <w:t>2017</w:t>
            </w:r>
          </w:p>
        </w:tc>
      </w:tr>
      <w:tr w:rsidR="00A40FBB" w:rsidRPr="001B24A6" w:rsidTr="00A40FBB">
        <w:trPr>
          <w:cantSplit/>
          <w:trHeight w:val="270"/>
        </w:trPr>
        <w:tc>
          <w:tcPr>
            <w:tcW w:w="4548" w:type="dxa"/>
            <w:tcBorders>
              <w:top w:val="single" w:sz="4" w:space="0" w:color="auto"/>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2067" w:type="dxa"/>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top w:val="single" w:sz="4" w:space="0" w:color="auto"/>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EBITDA</w:t>
            </w:r>
          </w:p>
        </w:tc>
        <w:tc>
          <w:tcPr>
            <w:tcW w:w="2067" w:type="dxa"/>
          </w:tcPr>
          <w:p w:rsidR="00A40FBB" w:rsidRPr="001B24A6" w:rsidRDefault="00B23BCB" w:rsidP="00A40FBB">
            <w:pPr>
              <w:snapToGrid w:val="0"/>
              <w:spacing w:after="0" w:line="270" w:lineRule="atLeast"/>
              <w:ind w:right="79"/>
              <w:jc w:val="right"/>
              <w:rPr>
                <w:rFonts w:asciiTheme="minorHAnsi" w:eastAsia="MS ??" w:hAnsiTheme="minorHAnsi" w:cstheme="minorHAnsi"/>
              </w:rPr>
            </w:pPr>
            <w:r>
              <w:rPr>
                <w:rFonts w:asciiTheme="minorHAnsi" w:hAnsiTheme="minorHAnsi"/>
              </w:rPr>
              <w:t>1.383</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949</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Aanpassingen voor :</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BF559C"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hAnsiTheme="minorHAnsi"/>
              </w:rPr>
            </w:pPr>
            <w:r>
              <w:rPr>
                <w:rFonts w:asciiTheme="minorHAnsi" w:hAnsiTheme="minorHAnsi"/>
              </w:rPr>
              <w:t xml:space="preserve">Mutaties in netto-toegezegd-pensioenlasten </w:t>
            </w:r>
            <w:r w:rsidR="00CE5D69">
              <w:rPr>
                <w:rFonts w:asciiTheme="minorHAnsi" w:hAnsiTheme="minorHAnsi"/>
              </w:rPr>
              <w:tab/>
            </w:r>
            <w:r>
              <w:rPr>
                <w:rFonts w:asciiTheme="minorHAnsi" w:hAnsiTheme="minorHAnsi"/>
              </w:rPr>
              <w:t>en -voorzieningen</w:t>
            </w:r>
          </w:p>
        </w:tc>
        <w:tc>
          <w:tcPr>
            <w:tcW w:w="2067" w:type="dxa"/>
          </w:tcPr>
          <w:p w:rsidR="00A40FBB" w:rsidRPr="001B24A6" w:rsidRDefault="00B23BCB" w:rsidP="00A40FBB">
            <w:pPr>
              <w:snapToGrid w:val="0"/>
              <w:spacing w:after="0" w:line="270" w:lineRule="atLeast"/>
              <w:ind w:right="79"/>
              <w:jc w:val="right"/>
              <w:rPr>
                <w:rFonts w:asciiTheme="minorHAnsi" w:eastAsia="MS ??" w:hAnsiTheme="minorHAnsi" w:cstheme="minorHAnsi"/>
              </w:rPr>
            </w:pPr>
            <w:r>
              <w:rPr>
                <w:rFonts w:asciiTheme="minorHAnsi" w:hAnsiTheme="minorHAnsi"/>
              </w:rPr>
              <w:t>-303</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-141</w:t>
            </w:r>
          </w:p>
        </w:tc>
      </w:tr>
      <w:tr w:rsidR="00A40FBB" w:rsidRPr="001B24A6" w:rsidTr="00A40FBB">
        <w:trPr>
          <w:cantSplit/>
          <w:trHeight w:val="270"/>
        </w:trPr>
        <w:tc>
          <w:tcPr>
            <w:tcW w:w="4548" w:type="dxa"/>
          </w:tcPr>
          <w:p w:rsidR="00A40FBB" w:rsidRPr="00BF559C"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hAnsiTheme="minorHAnsi"/>
              </w:rPr>
            </w:pPr>
            <w:r>
              <w:rPr>
                <w:rFonts w:asciiTheme="minorHAnsi" w:hAnsiTheme="minorHAnsi"/>
              </w:rPr>
              <w:t>Aandelen-gebaseerde betalingen</w:t>
            </w:r>
          </w:p>
        </w:tc>
        <w:tc>
          <w:tcPr>
            <w:tcW w:w="2067" w:type="dxa"/>
          </w:tcPr>
          <w:p w:rsidR="00A40FBB" w:rsidRPr="001B24A6" w:rsidRDefault="00B23BCB" w:rsidP="00A40FBB">
            <w:pPr>
              <w:snapToGrid w:val="0"/>
              <w:spacing w:after="0" w:line="270" w:lineRule="atLeast"/>
              <w:ind w:right="79"/>
              <w:jc w:val="right"/>
              <w:rPr>
                <w:rFonts w:asciiTheme="minorHAnsi" w:eastAsia="MS ??" w:hAnsiTheme="minorHAnsi" w:cstheme="minorHAnsi"/>
              </w:rPr>
            </w:pPr>
            <w:r>
              <w:rPr>
                <w:rFonts w:asciiTheme="minorHAnsi" w:hAnsiTheme="minorHAnsi"/>
              </w:rPr>
              <w:t>20</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w:t>
            </w:r>
          </w:p>
        </w:tc>
      </w:tr>
      <w:tr w:rsidR="00A40FBB" w:rsidRPr="001B24A6" w:rsidTr="00A40FBB">
        <w:trPr>
          <w:cantSplit/>
          <w:trHeight w:val="270"/>
        </w:trPr>
        <w:tc>
          <w:tcPr>
            <w:tcW w:w="4548" w:type="dxa"/>
          </w:tcPr>
          <w:p w:rsidR="00A40FBB" w:rsidRPr="00BF559C"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hAnsiTheme="minorHAnsi"/>
              </w:rPr>
            </w:pPr>
            <w:r>
              <w:rPr>
                <w:rFonts w:asciiTheme="minorHAnsi" w:hAnsiTheme="minorHAnsi"/>
              </w:rPr>
              <w:t>Overlopende interest</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-8</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-25</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 xml:space="preserve">Wijzigingen in werkkapitaal </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eastAsia="MS ??" w:hAnsiTheme="minorHAnsi" w:cstheme="minorHAnsi"/>
              </w:rPr>
            </w:pPr>
            <w:r>
              <w:rPr>
                <w:rFonts w:asciiTheme="minorHAnsi" w:hAnsiTheme="minorHAnsi"/>
              </w:rPr>
              <w:t>Voorraden</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-12</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-107</w:t>
            </w:r>
          </w:p>
        </w:tc>
      </w:tr>
      <w:tr w:rsidR="00A40FBB" w:rsidRPr="001B24A6" w:rsidTr="00A40FBB">
        <w:trPr>
          <w:cantSplit/>
          <w:trHeight w:val="270"/>
        </w:trPr>
        <w:tc>
          <w:tcPr>
            <w:tcW w:w="4548" w:type="dxa"/>
          </w:tcPr>
          <w:p w:rsidR="00A40FBB" w:rsidRPr="00BF559C"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hAnsiTheme="minorHAnsi"/>
              </w:rPr>
            </w:pPr>
            <w:r>
              <w:rPr>
                <w:rFonts w:asciiTheme="minorHAnsi" w:hAnsiTheme="minorHAnsi"/>
              </w:rPr>
              <w:t>Handels- en overige debiteuren</w:t>
            </w:r>
          </w:p>
        </w:tc>
        <w:tc>
          <w:tcPr>
            <w:tcW w:w="2067" w:type="dxa"/>
            <w:shd w:val="clear" w:color="auto" w:fill="FFFFFF"/>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-121</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-268</w:t>
            </w:r>
          </w:p>
        </w:tc>
      </w:tr>
      <w:tr w:rsidR="00A40FBB" w:rsidRPr="001B24A6" w:rsidTr="00A40FBB">
        <w:trPr>
          <w:cantSplit/>
          <w:trHeight w:val="270"/>
        </w:trPr>
        <w:tc>
          <w:tcPr>
            <w:tcW w:w="4548" w:type="dxa"/>
            <w:tcBorders>
              <w:bottom w:val="single" w:sz="4" w:space="0" w:color="000000"/>
            </w:tcBorders>
          </w:tcPr>
          <w:p w:rsidR="00A40FBB" w:rsidRPr="00CE5D69" w:rsidRDefault="00A40FBB" w:rsidP="00BF559C">
            <w:pPr>
              <w:widowControl w:val="0"/>
              <w:numPr>
                <w:ilvl w:val="0"/>
                <w:numId w:val="19"/>
              </w:numPr>
              <w:tabs>
                <w:tab w:val="left" w:pos="413"/>
              </w:tabs>
              <w:suppressAutoHyphens/>
              <w:snapToGrid w:val="0"/>
              <w:spacing w:after="0" w:line="270" w:lineRule="atLeast"/>
              <w:ind w:left="0" w:right="79" w:firstLine="0"/>
              <w:jc w:val="both"/>
              <w:rPr>
                <w:rFonts w:asciiTheme="minorHAnsi" w:hAnsiTheme="minorHAnsi"/>
                <w:spacing w:val="-4"/>
              </w:rPr>
            </w:pPr>
            <w:r w:rsidRPr="00CE5D69">
              <w:rPr>
                <w:rFonts w:asciiTheme="minorHAnsi" w:hAnsiTheme="minorHAnsi"/>
                <w:spacing w:val="-4"/>
              </w:rPr>
              <w:t>Handels- en overige kortlopende verplichtingen</w:t>
            </w:r>
          </w:p>
        </w:tc>
        <w:tc>
          <w:tcPr>
            <w:tcW w:w="2067"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strike/>
              </w:rPr>
            </w:pPr>
            <w:r>
              <w:rPr>
                <w:rFonts w:asciiTheme="minorHAnsi" w:hAnsiTheme="minorHAnsi"/>
              </w:rPr>
              <w:t>-236</w:t>
            </w:r>
          </w:p>
        </w:tc>
        <w:tc>
          <w:tcPr>
            <w:tcW w:w="1985"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strike/>
              </w:rPr>
            </w:pPr>
            <w:r>
              <w:rPr>
                <w:rFonts w:asciiTheme="minorHAnsi" w:hAnsiTheme="minorHAnsi"/>
              </w:rPr>
              <w:t>409</w:t>
            </w:r>
          </w:p>
        </w:tc>
      </w:tr>
      <w:tr w:rsidR="00A40FBB" w:rsidRPr="001B24A6" w:rsidTr="00A40FBB">
        <w:trPr>
          <w:cantSplit/>
          <w:trHeight w:val="287"/>
        </w:trPr>
        <w:tc>
          <w:tcPr>
            <w:tcW w:w="4548" w:type="dxa"/>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Kasstroom uit bedrijfsactiviteiten</w:t>
            </w:r>
          </w:p>
        </w:tc>
        <w:tc>
          <w:tcPr>
            <w:tcW w:w="2067" w:type="dxa"/>
            <w:tcBorders>
              <w:top w:val="single" w:sz="4" w:space="0" w:color="000000"/>
            </w:tcBorders>
          </w:tcPr>
          <w:p w:rsidR="00A40FBB" w:rsidRPr="001B24A6" w:rsidRDefault="00B23BC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723</w:t>
            </w:r>
          </w:p>
        </w:tc>
        <w:tc>
          <w:tcPr>
            <w:tcW w:w="1985"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816</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 xml:space="preserve">Betaalde interest </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 xml:space="preserve">-160 </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-188</w:t>
            </w:r>
          </w:p>
        </w:tc>
      </w:tr>
      <w:tr w:rsidR="00A40FBB" w:rsidRPr="001B24A6" w:rsidTr="00A40FBB">
        <w:trPr>
          <w:cantSplit/>
          <w:trHeight w:val="270"/>
        </w:trPr>
        <w:tc>
          <w:tcPr>
            <w:tcW w:w="4548" w:type="dxa"/>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Netto kasstroom uit bedrijfsactiviteiten</w:t>
            </w:r>
          </w:p>
        </w:tc>
        <w:tc>
          <w:tcPr>
            <w:tcW w:w="2067" w:type="dxa"/>
            <w:tcBorders>
              <w:top w:val="single" w:sz="4" w:space="0" w:color="000000"/>
            </w:tcBorders>
          </w:tcPr>
          <w:p w:rsidR="00A40FBB" w:rsidRPr="001B24A6" w:rsidRDefault="00B23BCB" w:rsidP="00A40FBB">
            <w:pPr>
              <w:snapToGrid w:val="0"/>
              <w:spacing w:after="0" w:line="270" w:lineRule="atLeast"/>
              <w:ind w:right="79"/>
              <w:jc w:val="right"/>
              <w:rPr>
                <w:rFonts w:asciiTheme="minorHAnsi" w:eastAsia="MS ??" w:hAnsiTheme="minorHAnsi" w:cstheme="minorHAnsi"/>
                <w:b/>
                <w:bCs/>
                <w:strike/>
              </w:rPr>
            </w:pPr>
            <w:r>
              <w:rPr>
                <w:rFonts w:asciiTheme="minorHAnsi" w:hAnsiTheme="minorHAnsi"/>
                <w:b/>
                <w:bCs/>
              </w:rPr>
              <w:t>563</w:t>
            </w:r>
          </w:p>
        </w:tc>
        <w:tc>
          <w:tcPr>
            <w:tcW w:w="1985"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strike/>
              </w:rPr>
            </w:pPr>
            <w:r>
              <w:rPr>
                <w:rFonts w:asciiTheme="minorHAnsi" w:hAnsiTheme="minorHAnsi"/>
                <w:b/>
                <w:bCs/>
              </w:rPr>
              <w:t>628</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b/>
                <w:bCs/>
                <w:lang w:eastAsia="en-GB"/>
              </w:rPr>
            </w:pP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Kasstroom uit investeringsactiviteiten</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Investeringen in materiële vaste activa</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 xml:space="preserve">-446 </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 xml:space="preserve">-1.127 </w:t>
            </w:r>
          </w:p>
        </w:tc>
      </w:tr>
      <w:tr w:rsidR="00A40FBB" w:rsidRPr="001B24A6" w:rsidTr="00A40FBB">
        <w:trPr>
          <w:cantSplit/>
          <w:trHeight w:val="270"/>
        </w:trPr>
        <w:tc>
          <w:tcPr>
            <w:tcW w:w="4548" w:type="dxa"/>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Verkoop van materiële vaste activa</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326</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r>
      <w:tr w:rsidR="00A40FBB" w:rsidRPr="001B24A6" w:rsidTr="00A40FBB">
        <w:trPr>
          <w:cantSplit/>
          <w:trHeight w:val="270"/>
        </w:trPr>
        <w:tc>
          <w:tcPr>
            <w:tcW w:w="4548" w:type="dxa"/>
            <w:shd w:val="clear" w:color="auto" w:fill="auto"/>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Investeringen in immateriële activa</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strike/>
              </w:rPr>
            </w:pPr>
            <w:r>
              <w:rPr>
                <w:rFonts w:asciiTheme="minorHAnsi" w:hAnsiTheme="minorHAnsi"/>
              </w:rPr>
              <w:t xml:space="preserve">-130 </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strike/>
              </w:rPr>
            </w:pPr>
            <w:r>
              <w:rPr>
                <w:rFonts w:asciiTheme="minorHAnsi" w:hAnsiTheme="minorHAnsi"/>
              </w:rPr>
              <w:t xml:space="preserve">-72 </w:t>
            </w:r>
          </w:p>
        </w:tc>
      </w:tr>
      <w:tr w:rsidR="00A40FBB" w:rsidRPr="001B24A6" w:rsidTr="00A40FBB">
        <w:trPr>
          <w:cantSplit/>
          <w:trHeight w:val="270"/>
        </w:trPr>
        <w:tc>
          <w:tcPr>
            <w:tcW w:w="4548" w:type="dxa"/>
          </w:tcPr>
          <w:p w:rsidR="00A40FBB" w:rsidRPr="001B24A6" w:rsidRDefault="00A40FBB" w:rsidP="00A40FBB">
            <w:pPr>
              <w:tabs>
                <w:tab w:val="center" w:pos="396"/>
                <w:tab w:val="right" w:pos="793"/>
              </w:tabs>
              <w:snapToGrid w:val="0"/>
              <w:spacing w:after="0" w:line="270" w:lineRule="atLeast"/>
              <w:ind w:right="79"/>
              <w:jc w:val="both"/>
              <w:rPr>
                <w:rFonts w:asciiTheme="minorHAnsi" w:eastAsia="MS ??" w:hAnsiTheme="minorHAnsi" w:cstheme="minorHAnsi"/>
              </w:rPr>
            </w:pPr>
            <w:r>
              <w:rPr>
                <w:rFonts w:asciiTheme="minorHAnsi" w:hAnsiTheme="minorHAnsi"/>
              </w:rPr>
              <w:t>Netto-investeringen in financiële activa</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4</w:t>
            </w:r>
          </w:p>
        </w:tc>
      </w:tr>
      <w:tr w:rsidR="00A40FBB" w:rsidRPr="001B24A6" w:rsidTr="00A40FBB">
        <w:trPr>
          <w:cantSplit/>
          <w:trHeight w:val="270"/>
        </w:trPr>
        <w:tc>
          <w:tcPr>
            <w:tcW w:w="4548" w:type="dxa"/>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Netto kasstroom uit investeringsactiviteiten</w:t>
            </w:r>
          </w:p>
        </w:tc>
        <w:tc>
          <w:tcPr>
            <w:tcW w:w="2067" w:type="dxa"/>
            <w:tcBorders>
              <w:top w:val="single" w:sz="4" w:space="0" w:color="000000"/>
            </w:tcBorders>
          </w:tcPr>
          <w:p w:rsidR="00A40FBB" w:rsidRPr="001B24A6" w:rsidRDefault="006441F3" w:rsidP="00A40FBB">
            <w:pPr>
              <w:snapToGrid w:val="0"/>
              <w:spacing w:after="0" w:line="270" w:lineRule="atLeast"/>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=SUM(C18:C21) </w:instrText>
            </w:r>
            <w:r w:rsidRPr="001B24A6">
              <w:rPr>
                <w:rFonts w:asciiTheme="minorHAnsi" w:eastAsia="MS ??" w:hAnsiTheme="minorHAnsi" w:cstheme="minorHAnsi"/>
                <w:b/>
                <w:bCs/>
              </w:rPr>
              <w:fldChar w:fldCharType="end"/>
            </w:r>
            <w:r w:rsidR="00B06FA0">
              <w:rPr>
                <w:rFonts w:asciiTheme="minorHAnsi" w:hAnsiTheme="minorHAnsi"/>
                <w:b/>
                <w:bCs/>
              </w:rPr>
              <w:t xml:space="preserve">-250 </w:t>
            </w:r>
          </w:p>
        </w:tc>
        <w:tc>
          <w:tcPr>
            <w:tcW w:w="1985" w:type="dxa"/>
            <w:tcBorders>
              <w:top w:val="single" w:sz="4" w:space="0" w:color="000000"/>
            </w:tcBorders>
          </w:tcPr>
          <w:p w:rsidR="00A40FBB" w:rsidRPr="001B24A6" w:rsidRDefault="006441F3" w:rsidP="00A40FBB">
            <w:pPr>
              <w:snapToGrid w:val="0"/>
              <w:spacing w:after="0" w:line="270" w:lineRule="atLeast"/>
              <w:ind w:right="79"/>
              <w:jc w:val="right"/>
              <w:rPr>
                <w:rFonts w:asciiTheme="minorHAnsi" w:eastAsia="MS ??" w:hAnsiTheme="minorHAnsi" w:cstheme="minorHAnsi"/>
                <w:b/>
                <w:bCs/>
              </w:rPr>
            </w:pPr>
            <w:r w:rsidRPr="001B24A6">
              <w:rPr>
                <w:rFonts w:asciiTheme="minorHAnsi" w:eastAsia="MS ??" w:hAnsiTheme="minorHAnsi" w:cstheme="minorHAnsi"/>
                <w:b/>
                <w:bCs/>
              </w:rPr>
              <w:fldChar w:fldCharType="begin"/>
            </w:r>
            <w:r w:rsidR="00A40FBB" w:rsidRPr="001B24A6">
              <w:rPr>
                <w:rFonts w:asciiTheme="minorHAnsi" w:eastAsia="MS ??" w:hAnsiTheme="minorHAnsi" w:cstheme="minorHAnsi"/>
                <w:b/>
                <w:bCs/>
              </w:rPr>
              <w:instrText xml:space="preserve"> =SUM(C18:C21) </w:instrText>
            </w:r>
            <w:r w:rsidRPr="001B24A6">
              <w:rPr>
                <w:rFonts w:asciiTheme="minorHAnsi" w:eastAsia="MS ??" w:hAnsiTheme="minorHAnsi" w:cstheme="minorHAnsi"/>
                <w:b/>
                <w:bCs/>
              </w:rPr>
              <w:fldChar w:fldCharType="end"/>
            </w:r>
            <w:r w:rsidR="00B06FA0">
              <w:rPr>
                <w:rFonts w:asciiTheme="minorHAnsi" w:hAnsiTheme="minorHAnsi"/>
                <w:b/>
                <w:bCs/>
              </w:rPr>
              <w:t>-1,195</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Kasstroom uit financieringsactiviteiten</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Inkomsten uit uitgifte van aandelen</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1.258</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608</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 xml:space="preserve">Opbrengst uit leningen </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w:t>
            </w: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 xml:space="preserve">Aflossing op leningen </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-450</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-113</w:t>
            </w:r>
          </w:p>
        </w:tc>
      </w:tr>
      <w:tr w:rsidR="00A40FBB" w:rsidRPr="001B24A6" w:rsidTr="00A40FBB">
        <w:trPr>
          <w:cantSplit/>
          <w:trHeight w:val="270"/>
        </w:trPr>
        <w:tc>
          <w:tcPr>
            <w:tcW w:w="4548" w:type="dxa"/>
            <w:tcBorders>
              <w:top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Netto kasstroom uit financieringsactiviteiten</w:t>
            </w:r>
          </w:p>
        </w:tc>
        <w:tc>
          <w:tcPr>
            <w:tcW w:w="2067"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808</w:t>
            </w:r>
          </w:p>
        </w:tc>
        <w:tc>
          <w:tcPr>
            <w:tcW w:w="1985" w:type="dxa"/>
            <w:tcBorders>
              <w:top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495</w:t>
            </w:r>
          </w:p>
        </w:tc>
      </w:tr>
      <w:tr w:rsidR="00A40FBB" w:rsidRPr="001B24A6" w:rsidTr="00A40FBB">
        <w:trPr>
          <w:cantSplit/>
          <w:trHeight w:val="270"/>
        </w:trPr>
        <w:tc>
          <w:tcPr>
            <w:tcW w:w="4548" w:type="dxa"/>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Borders>
              <w:top w:val="single" w:sz="4" w:space="0" w:color="000000"/>
              <w:bottom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Netto kasstroom</w:t>
            </w:r>
          </w:p>
        </w:tc>
        <w:tc>
          <w:tcPr>
            <w:tcW w:w="2067" w:type="dxa"/>
            <w:tcBorders>
              <w:top w:val="single" w:sz="4" w:space="0" w:color="000000"/>
              <w:bottom w:val="double" w:sz="4" w:space="0" w:color="000000"/>
            </w:tcBorders>
          </w:tcPr>
          <w:p w:rsidR="00A40FBB" w:rsidRPr="001B24A6" w:rsidRDefault="00B23BC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1.121</w:t>
            </w:r>
          </w:p>
        </w:tc>
        <w:tc>
          <w:tcPr>
            <w:tcW w:w="1985" w:type="dxa"/>
            <w:tcBorders>
              <w:top w:val="single" w:sz="4" w:space="0" w:color="000000"/>
              <w:bottom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-72</w:t>
            </w:r>
          </w:p>
        </w:tc>
      </w:tr>
      <w:tr w:rsidR="00A40FBB" w:rsidRPr="001B24A6" w:rsidTr="00A40FBB">
        <w:trPr>
          <w:cantSplit/>
          <w:trHeight w:val="270"/>
        </w:trPr>
        <w:tc>
          <w:tcPr>
            <w:tcW w:w="4548" w:type="dxa"/>
            <w:tcBorders>
              <w:top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lang w:eastAsia="en-GB"/>
              </w:rPr>
            </w:pPr>
          </w:p>
        </w:tc>
        <w:tc>
          <w:tcPr>
            <w:tcW w:w="2067" w:type="dxa"/>
            <w:tcBorders>
              <w:top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c>
          <w:tcPr>
            <w:tcW w:w="1985" w:type="dxa"/>
            <w:tcBorders>
              <w:top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lang w:eastAsia="en-GB"/>
              </w:rPr>
            </w:pPr>
          </w:p>
        </w:tc>
      </w:tr>
      <w:tr w:rsidR="00A40FBB" w:rsidRPr="001B24A6" w:rsidTr="00A40FBB">
        <w:trPr>
          <w:cantSplit/>
          <w:trHeight w:val="270"/>
        </w:trPr>
        <w:tc>
          <w:tcPr>
            <w:tcW w:w="4548" w:type="dxa"/>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Liquide middelen -/- rekening courant bank 1 januari</w:t>
            </w:r>
          </w:p>
        </w:tc>
        <w:tc>
          <w:tcPr>
            <w:tcW w:w="2067"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617</w:t>
            </w:r>
          </w:p>
        </w:tc>
        <w:tc>
          <w:tcPr>
            <w:tcW w:w="1985" w:type="dxa"/>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689</w:t>
            </w:r>
          </w:p>
        </w:tc>
      </w:tr>
      <w:tr w:rsidR="00A40FBB" w:rsidRPr="001B24A6" w:rsidTr="00A40FBB">
        <w:trPr>
          <w:cantSplit/>
          <w:trHeight w:val="270"/>
        </w:trPr>
        <w:tc>
          <w:tcPr>
            <w:tcW w:w="4548" w:type="dxa"/>
            <w:tcBorders>
              <w:bottom w:val="sing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rPr>
            </w:pPr>
            <w:r>
              <w:rPr>
                <w:rFonts w:asciiTheme="minorHAnsi" w:hAnsiTheme="minorHAnsi"/>
              </w:rPr>
              <w:t>Liquide middelen -/- rekening courant bank 31 december</w:t>
            </w:r>
          </w:p>
        </w:tc>
        <w:tc>
          <w:tcPr>
            <w:tcW w:w="2067"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1.738</w:t>
            </w:r>
          </w:p>
        </w:tc>
        <w:tc>
          <w:tcPr>
            <w:tcW w:w="1985" w:type="dxa"/>
            <w:tcBorders>
              <w:bottom w:val="sing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rPr>
            </w:pPr>
            <w:r>
              <w:rPr>
                <w:rFonts w:asciiTheme="minorHAnsi" w:hAnsiTheme="minorHAnsi"/>
              </w:rPr>
              <w:t>617</w:t>
            </w:r>
          </w:p>
        </w:tc>
      </w:tr>
      <w:tr w:rsidR="00A40FBB" w:rsidRPr="001B24A6" w:rsidTr="00A40FBB">
        <w:trPr>
          <w:cantSplit/>
          <w:trHeight w:val="270"/>
        </w:trPr>
        <w:tc>
          <w:tcPr>
            <w:tcW w:w="4548" w:type="dxa"/>
            <w:tcBorders>
              <w:top w:val="single" w:sz="4" w:space="0" w:color="000000"/>
              <w:bottom w:val="double" w:sz="4" w:space="0" w:color="000000"/>
            </w:tcBorders>
          </w:tcPr>
          <w:p w:rsidR="00A40FBB" w:rsidRPr="001B24A6" w:rsidRDefault="00A40FBB" w:rsidP="00A40FBB">
            <w:pPr>
              <w:snapToGrid w:val="0"/>
              <w:spacing w:after="0" w:line="270" w:lineRule="atLeast"/>
              <w:ind w:right="79"/>
              <w:jc w:val="both"/>
              <w:rPr>
                <w:rFonts w:asciiTheme="minorHAnsi" w:eastAsia="MS ??" w:hAnsiTheme="minorHAnsi" w:cstheme="minorHAnsi"/>
                <w:b/>
                <w:bCs/>
              </w:rPr>
            </w:pPr>
            <w:r>
              <w:rPr>
                <w:rFonts w:asciiTheme="minorHAnsi" w:hAnsiTheme="minorHAnsi"/>
                <w:b/>
                <w:bCs/>
              </w:rPr>
              <w:t>Netto kasstroom</w:t>
            </w:r>
          </w:p>
        </w:tc>
        <w:tc>
          <w:tcPr>
            <w:tcW w:w="2067" w:type="dxa"/>
            <w:tcBorders>
              <w:top w:val="single" w:sz="4" w:space="0" w:color="000000"/>
              <w:bottom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1.121</w:t>
            </w:r>
          </w:p>
        </w:tc>
        <w:tc>
          <w:tcPr>
            <w:tcW w:w="1985" w:type="dxa"/>
            <w:tcBorders>
              <w:top w:val="single" w:sz="4" w:space="0" w:color="000000"/>
              <w:bottom w:val="double" w:sz="4" w:space="0" w:color="000000"/>
            </w:tcBorders>
          </w:tcPr>
          <w:p w:rsidR="00A40FBB" w:rsidRPr="001B24A6" w:rsidRDefault="00A40FBB" w:rsidP="00A40FBB">
            <w:pPr>
              <w:snapToGrid w:val="0"/>
              <w:spacing w:after="0" w:line="270" w:lineRule="atLeast"/>
              <w:ind w:right="79"/>
              <w:jc w:val="right"/>
              <w:rPr>
                <w:rFonts w:asciiTheme="minorHAnsi" w:eastAsia="MS ??" w:hAnsiTheme="minorHAnsi" w:cstheme="minorHAnsi"/>
                <w:b/>
                <w:bCs/>
              </w:rPr>
            </w:pPr>
            <w:r>
              <w:rPr>
                <w:rFonts w:asciiTheme="minorHAnsi" w:hAnsiTheme="minorHAnsi"/>
                <w:b/>
                <w:bCs/>
              </w:rPr>
              <w:t>-72</w:t>
            </w:r>
          </w:p>
        </w:tc>
      </w:tr>
    </w:tbl>
    <w:p w:rsidR="00A40FBB" w:rsidRPr="001B24A6" w:rsidRDefault="00A40FBB" w:rsidP="00A40FBB">
      <w:pPr>
        <w:tabs>
          <w:tab w:val="left" w:pos="284"/>
        </w:tabs>
        <w:spacing w:after="200"/>
        <w:jc w:val="both"/>
        <w:rPr>
          <w:rFonts w:asciiTheme="minorHAnsi" w:hAnsiTheme="minorHAnsi" w:cstheme="minorHAnsi"/>
          <w:highlight w:val="yellow"/>
        </w:rPr>
      </w:pPr>
    </w:p>
    <w:p w:rsidR="00B52809" w:rsidRPr="001B24A6" w:rsidRDefault="00B52809" w:rsidP="00D85DA4">
      <w:pPr>
        <w:jc w:val="both"/>
        <w:rPr>
          <w:rFonts w:eastAsia="Times New Roman"/>
          <w:b/>
          <w:color w:val="B71234"/>
        </w:rPr>
      </w:pPr>
      <w:r>
        <w:br w:type="page"/>
      </w:r>
    </w:p>
    <w:p w:rsidR="00B52809" w:rsidRPr="001B24A6" w:rsidRDefault="00B52809" w:rsidP="00D85DA4">
      <w:pPr>
        <w:jc w:val="both"/>
        <w:rPr>
          <w:rFonts w:eastAsia="Times New Roman"/>
          <w:b/>
          <w:color w:val="B71234"/>
        </w:rPr>
      </w:pPr>
      <w:r>
        <w:rPr>
          <w:b/>
          <w:color w:val="B71234"/>
        </w:rPr>
        <w:lastRenderedPageBreak/>
        <w:t>Gehanteerde grondslagen bij het opstellen van de jaarrekening</w:t>
      </w:r>
    </w:p>
    <w:p w:rsidR="00B52809" w:rsidRPr="001B24A6" w:rsidRDefault="00B52809" w:rsidP="00D85DA4">
      <w:pPr>
        <w:jc w:val="both"/>
        <w:rPr>
          <w:rFonts w:eastAsia="Times New Roman"/>
        </w:rPr>
      </w:pPr>
      <w:r>
        <w:t xml:space="preserve">De nog niet gecontroleerde jaarrekening van </w:t>
      </w:r>
      <w:r>
        <w:rPr>
          <w:color w:val="B71234"/>
        </w:rPr>
        <w:t>Rood</w:t>
      </w:r>
      <w:r>
        <w:t>Microtec N.V.voor het boekjaar 2018 bevat een overzicht van de toegepaste grondslagen voor financiële verslaggeving. De in dit overzicht uiteengezette principes zijn in overeenstemming met de International Financial Reporting Standards zoals vastgesteld door de International Accounting Standards Board (IASB) en goedgekeurd door de Europese Commissie(IFRS-EU), zoals van toepassing op 31 december 2018. De grondslagen voor financiële verslaggeving zijn consistent toegepast op de gepresenteerde perioden in dit persbericht.</w:t>
      </w:r>
    </w:p>
    <w:p w:rsidR="00B52809" w:rsidRPr="001B24A6" w:rsidRDefault="00B52809" w:rsidP="00D85DA4">
      <w:pPr>
        <w:jc w:val="both"/>
        <w:rPr>
          <w:rFonts w:eastAsia="Times New Roman"/>
        </w:rPr>
      </w:pPr>
      <w:r>
        <w:rPr>
          <w:color w:val="C00000"/>
        </w:rPr>
        <w:t>Rood</w:t>
      </w:r>
      <w:r>
        <w:t>Microtec N.V. heeft alle nieuwe en gewijzigde standaarden en interpretaties toegepast die van toepassing zijn op het verslagjaar, die zijn goedgekeurd door de Europese Commissie en van kracht waren in de periode die aanving op 1 januari 2018. Geen van deze standaarden had een materieel effect op de jaarrekening van de Groep.</w:t>
      </w:r>
    </w:p>
    <w:p w:rsidR="00B52809" w:rsidRPr="001B24A6" w:rsidRDefault="00B52809" w:rsidP="00D85DA4">
      <w:pPr>
        <w:jc w:val="both"/>
        <w:rPr>
          <w:rFonts w:eastAsia="Times New Roman"/>
          <w:lang w:eastAsia="en-GB" w:bidi="en-GB"/>
        </w:rPr>
      </w:pPr>
    </w:p>
    <w:p w:rsidR="00B52809" w:rsidRPr="001B24A6" w:rsidRDefault="00B52809" w:rsidP="00D85DA4">
      <w:pPr>
        <w:jc w:val="both"/>
        <w:rPr>
          <w:rFonts w:eastAsia="Times New Roman"/>
          <w:b/>
          <w:color w:val="B71234"/>
        </w:rPr>
      </w:pPr>
      <w:r>
        <w:rPr>
          <w:b/>
          <w:color w:val="B71234"/>
        </w:rPr>
        <w:t>Overig</w:t>
      </w:r>
    </w:p>
    <w:p w:rsidR="00B52809" w:rsidRPr="001B24A6" w:rsidRDefault="00B52809" w:rsidP="00D85DA4">
      <w:pPr>
        <w:jc w:val="both"/>
        <w:rPr>
          <w:rFonts w:eastAsia="Times New Roman"/>
        </w:rPr>
      </w:pPr>
      <w:r>
        <w:t>De verkorte financiële informatie in dit persbericht is niet gecontroleerd. Voor het inzicht dat nodig is om tot een verantwoord oordeel te komen over de financiële positie en de resultaten van het bedrijf, dient dit persbericht te worden gelezen in combinatie met de jaarrekening.</w:t>
      </w:r>
    </w:p>
    <w:p w:rsidR="00B52809" w:rsidRPr="001B24A6" w:rsidRDefault="00B52809" w:rsidP="00D85DA4">
      <w:pPr>
        <w:jc w:val="both"/>
        <w:rPr>
          <w:rFonts w:eastAsia="Times New Roman"/>
        </w:rPr>
      </w:pPr>
      <w:r>
        <w:rPr>
          <w:color w:val="B71234"/>
        </w:rPr>
        <w:t>Rood</w:t>
      </w:r>
      <w:r>
        <w:t>Microtec N.V. zal haar jaarverslag 2018 op 4 april 2019 publiceren. De jaarrekening 2018 zal op 23 mei 2019 ter goedkeuring voorgelegd worden aan de Algemene Vergadering van Aandeelhouders.</w:t>
      </w:r>
    </w:p>
    <w:p w:rsidR="00B52809" w:rsidRPr="001B24A6" w:rsidRDefault="00B52809" w:rsidP="00D85DA4">
      <w:pPr>
        <w:jc w:val="both"/>
        <w:rPr>
          <w:rFonts w:eastAsia="Times New Roman"/>
          <w:lang w:eastAsia="en-GB" w:bidi="en-GB"/>
        </w:rPr>
      </w:pPr>
    </w:p>
    <w:sectPr w:rsidR="00B52809" w:rsidRPr="001B24A6" w:rsidSect="007752DB">
      <w:footerReference w:type="default" r:id="rId11"/>
      <w:headerReference w:type="first" r:id="rId12"/>
      <w:footerReference w:type="first" r:id="rId13"/>
      <w:pgSz w:w="11906" w:h="16838" w:code="9"/>
      <w:pgMar w:top="568" w:right="595" w:bottom="1276"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59C" w:rsidRDefault="00BF559C" w:rsidP="00487DE4">
      <w:pPr>
        <w:spacing w:after="0" w:line="240" w:lineRule="auto"/>
      </w:pPr>
      <w:r>
        <w:separator/>
      </w:r>
    </w:p>
  </w:endnote>
  <w:endnote w:type="continuationSeparator" w:id="0">
    <w:p w:rsidR="00BF559C" w:rsidRDefault="00BF559C"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MS ??">
    <w:altName w:val="Yu Gothic UI"/>
    <w:panose1 w:val="00000000000000000000"/>
    <w:charset w:val="80"/>
    <w:family w:val="auto"/>
    <w:notTrueType/>
    <w:pitch w:val="variable"/>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59C" w:rsidRDefault="00BF559C" w:rsidP="00B50948">
    <w:pPr>
      <w:pStyle w:val="Fuzeile"/>
      <w:tabs>
        <w:tab w:val="clear" w:pos="9072"/>
      </w:tabs>
      <w:ind w:left="-284"/>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-129623</wp:posOffset>
              </wp:positionH>
              <wp:positionV relativeFrom="paragraph">
                <wp:posOffset>27968</wp:posOffset>
              </wp:positionV>
              <wp:extent cx="6694998" cy="222885"/>
              <wp:effectExtent l="0" t="0" r="10795" b="571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9C" w:rsidRPr="00B50948" w:rsidRDefault="00BF559C" w:rsidP="007752DB">
                          <w:pPr>
                            <w:tabs>
                              <w:tab w:val="center" w:pos="5387"/>
                              <w:tab w:val="right" w:pos="10348"/>
                            </w:tabs>
                            <w:ind w:left="284" w:right="-47"/>
                            <w:rPr>
                              <w:color w:val="FFFFFF"/>
                            </w:rPr>
                          </w:pPr>
                          <w:r>
                            <w:rPr>
                              <w:color w:val="FFFFFF"/>
                            </w:rPr>
                            <w:t xml:space="preserve">RoodMicrotec: Jaarcijfers 2018 (niet gecontroleerd) </w:t>
                          </w:r>
                          <w:r>
                            <w:rPr>
                              <w:color w:val="FFFFFF"/>
                            </w:rPr>
                            <w:tab/>
                          </w:r>
                          <w:r w:rsidRPr="00B50948">
                            <w:rPr>
                              <w:color w:val="FFFFFF"/>
                            </w:rPr>
                            <w:fldChar w:fldCharType="begin"/>
                          </w:r>
                          <w:r w:rsidRPr="00B50948">
                            <w:rPr>
                              <w:color w:val="FFFFFF"/>
                            </w:rPr>
                            <w:instrText xml:space="preserve"> PAGE   \* MERGEFORMAT </w:instrText>
                          </w:r>
                          <w:r w:rsidRPr="00B50948">
                            <w:rPr>
                              <w:color w:val="FFFFFF"/>
                            </w:rPr>
                            <w:fldChar w:fldCharType="separate"/>
                          </w:r>
                          <w:r>
                            <w:rPr>
                              <w:noProof/>
                              <w:color w:val="FFFFFF"/>
                            </w:rPr>
                            <w:t>3</w:t>
                          </w:r>
                          <w:r w:rsidRPr="00B50948">
                            <w:rPr>
                              <w:color w:val="FFFFFF"/>
                            </w:rPr>
                            <w:fldChar w:fldCharType="end"/>
                          </w:r>
                          <w:r>
                            <w:rPr>
                              <w:color w:val="FFFFFF"/>
                            </w:rPr>
                            <w:tab/>
                            <w:t xml:space="preserve">Persbericht RoodMicrotec </w:t>
                          </w:r>
                        </w:p>
                        <w:p w:rsidR="00BF559C" w:rsidRPr="00F33608" w:rsidRDefault="00BF559C" w:rsidP="00B50948">
                          <w:pPr>
                            <w:tabs>
                              <w:tab w:val="center" w:pos="5387"/>
                            </w:tabs>
                            <w:ind w:left="284"/>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2pt;margin-top:2.2pt;width:527.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NrAIAAKk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" filled="f" stroked="f">
              <v:textbox inset="0,0,0,0">
                <w:txbxContent>
                  <w:p w:rsidR="00BF559C" w:rsidRPr="00B50948" w:rsidRDefault="00BF559C" w:rsidP="007752DB">
                    <w:pPr>
                      <w:tabs>
                        <w:tab w:val="center" w:pos="5387"/>
                        <w:tab w:val="right" w:pos="10348"/>
                      </w:tabs>
                      <w:ind w:left="284" w:right="-47"/>
                      <w:rPr>
                        <w:color w:val="FFFFFF"/>
                      </w:rPr>
                    </w:pPr>
                    <w:r>
                      <w:rPr>
                        <w:color w:val="FFFFFF"/>
                      </w:rPr>
                      <w:t xml:space="preserve">RoodMicrotec: Jaarcijfers 2018 (niet gecontroleerd) </w:t>
                    </w:r>
                    <w:r>
                      <w:rPr>
                        <w:color w:val="FFFFFF"/>
                      </w:rPr>
                      <w:tab/>
                    </w:r>
                    <w:r w:rsidRPr="00B50948">
                      <w:rPr>
                        <w:color w:val="FFFFFF"/>
                      </w:rPr>
                      <w:fldChar w:fldCharType="begin"/>
                    </w:r>
                    <w:r w:rsidRPr="00B50948">
                      <w:rPr>
                        <w:color w:val="FFFFFF"/>
                      </w:rPr>
                      <w:instrText xml:space="preserve"> PAGE   \* MERGEFORMAT </w:instrText>
                    </w:r>
                    <w:r w:rsidRPr="00B50948">
                      <w:rPr>
                        <w:color w:val="FFFFFF"/>
                      </w:rPr>
                      <w:fldChar w:fldCharType="separate"/>
                    </w:r>
                    <w:r>
                      <w:rPr>
                        <w:noProof/>
                        <w:color w:val="FFFFFF"/>
                      </w:rPr>
                      <w:t>3</w:t>
                    </w:r>
                    <w:r w:rsidRPr="00B50948">
                      <w:rPr>
                        <w:color w:val="FFFFFF"/>
                      </w:rPr>
                      <w:fldChar w:fldCharType="end"/>
                    </w:r>
                    <w:r>
                      <w:rPr>
                        <w:color w:val="FFFFFF"/>
                      </w:rPr>
                      <w:tab/>
                      <w:t xml:space="preserve">Persbericht RoodMicrotec </w:t>
                    </w:r>
                  </w:p>
                  <w:p w:rsidR="00BF559C" w:rsidRPr="00F33608" w:rsidRDefault="00BF559C" w:rsidP="00B50948">
                    <w:pPr>
                      <w:tabs>
                        <w:tab w:val="center" w:pos="5387"/>
                      </w:tabs>
                      <w:ind w:left="284"/>
                    </w:pPr>
                  </w:p>
                </w:txbxContent>
              </v:textbox>
            </v:shape>
          </w:pict>
        </mc:Fallback>
      </mc:AlternateContent>
    </w:r>
    <w:r>
      <w:rPr>
        <w:noProof/>
        <w:lang w:val="en-US"/>
      </w:rPr>
      <w:drawing>
        <wp:inline distT="0" distB="0" distL="0" distR="0">
          <wp:extent cx="6922439" cy="285750"/>
          <wp:effectExtent l="0" t="0" r="0" b="0"/>
          <wp:docPr id="2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938761" cy="286424"/>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59C" w:rsidRDefault="007752DB" w:rsidP="00B1173A">
    <w:pPr>
      <w:pStyle w:val="Fuzeile"/>
      <w:tabs>
        <w:tab w:val="clear" w:pos="9072"/>
        <w:tab w:val="right" w:pos="10348"/>
      </w:tabs>
      <w:ind w:left="-284"/>
    </w:pPr>
    <w:r>
      <w:rPr>
        <w:noProof/>
        <w:lang w:val="en-US"/>
      </w:rPr>
      <w:drawing>
        <wp:anchor distT="0" distB="0" distL="114300" distR="114300" simplePos="0" relativeHeight="251666432" behindDoc="1" locked="0" layoutInCell="1" allowOverlap="1">
          <wp:simplePos x="0" y="0"/>
          <wp:positionH relativeFrom="column">
            <wp:posOffset>-185282</wp:posOffset>
          </wp:positionH>
          <wp:positionV relativeFrom="paragraph">
            <wp:posOffset>-86967</wp:posOffset>
          </wp:positionV>
          <wp:extent cx="6893256" cy="264784"/>
          <wp:effectExtent l="0" t="0" r="0" b="2540"/>
          <wp:wrapNone/>
          <wp:docPr id="26"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8794" cy="284203"/>
                  </a:xfrm>
                  <a:prstGeom prst="rect">
                    <a:avLst/>
                  </a:prstGeom>
                  <a:solidFill>
                    <a:srgbClr val="BA0C2F"/>
                  </a:solidFill>
                  <a:ln w="9525">
                    <a:noFill/>
                    <a:miter lim="800000"/>
                    <a:headEnd/>
                    <a:tailEnd/>
                  </a:ln>
                </pic:spPr>
              </pic:pic>
            </a:graphicData>
          </a:graphic>
          <wp14:sizeRelH relativeFrom="margin">
            <wp14:pctWidth>0</wp14:pctWidth>
          </wp14:sizeRelH>
        </wp:anchor>
      </w:drawing>
    </w:r>
    <w:r w:rsidR="00BF559C">
      <w:rPr>
        <w:noProof/>
        <w:lang w:val="en-US"/>
      </w:rPr>
      <mc:AlternateContent>
        <mc:Choice Requires="wps">
          <w:drawing>
            <wp:anchor distT="0" distB="0" distL="114300" distR="114300" simplePos="0" relativeHeight="251656192" behindDoc="0" locked="0" layoutInCell="1" allowOverlap="1">
              <wp:simplePos x="0" y="0"/>
              <wp:positionH relativeFrom="margin">
                <wp:posOffset>-97155</wp:posOffset>
              </wp:positionH>
              <wp:positionV relativeFrom="paragraph">
                <wp:posOffset>-68580</wp:posOffset>
              </wp:positionV>
              <wp:extent cx="6659880" cy="1638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9C" w:rsidRPr="009D767A" w:rsidRDefault="00BF559C" w:rsidP="007752DB">
                          <w:pPr>
                            <w:tabs>
                              <w:tab w:val="center" w:pos="5103"/>
                              <w:tab w:val="right" w:pos="10206"/>
                            </w:tabs>
                            <w:ind w:right="-63"/>
                            <w:rPr>
                              <w:color w:val="FFFFFF"/>
                            </w:rPr>
                          </w:pPr>
                          <w:r>
                            <w:rPr>
                              <w:color w:val="FFFFFF"/>
                            </w:rPr>
                            <w:t xml:space="preserve">RoodMicrotec: Jaarcijfers 2018 (niet gecontroleerd) </w:t>
                          </w:r>
                          <w:r>
                            <w:rPr>
                              <w:color w:val="FFFFFF"/>
                            </w:rPr>
                            <w:tab/>
                            <w:t>1</w:t>
                          </w:r>
                          <w:r>
                            <w:rPr>
                              <w:color w:val="FFFFFF"/>
                            </w:rPr>
                            <w:tab/>
                          </w:r>
                          <w:r w:rsidR="007752DB">
                            <w:rPr>
                              <w:color w:val="FFFFFF"/>
                            </w:rPr>
                            <w:t>Persbericht RoodMicrotec</w:t>
                          </w:r>
                          <w:r>
                            <w:rPr>
                              <w:color w:val="FFFFFF"/>
                            </w:rPr>
                            <w:t xml:space="preserve"> </w:t>
                          </w:r>
                        </w:p>
                        <w:p w:rsidR="00BF559C" w:rsidRPr="00F33608" w:rsidRDefault="00BF559C" w:rsidP="00657E90">
                          <w:pPr>
                            <w:ind w:right="-205"/>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7.65pt;margin-top:-5.4pt;width:524.4pt;height:12.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" filled="f" stroked="f">
              <v:textbox inset="0,0,0,0">
                <w:txbxContent>
                  <w:p w:rsidR="00BF559C" w:rsidRPr="009D767A" w:rsidRDefault="00BF559C" w:rsidP="007752DB">
                    <w:pPr>
                      <w:tabs>
                        <w:tab w:val="center" w:pos="5103"/>
                        <w:tab w:val="right" w:pos="10206"/>
                      </w:tabs>
                      <w:ind w:right="-63"/>
                      <w:rPr>
                        <w:color w:val="FFFFFF"/>
                      </w:rPr>
                    </w:pPr>
                    <w:r>
                      <w:rPr>
                        <w:color w:val="FFFFFF"/>
                      </w:rPr>
                      <w:t xml:space="preserve">RoodMicrotec: Jaarcijfers 2018 (niet gecontroleerd) </w:t>
                    </w:r>
                    <w:r>
                      <w:rPr>
                        <w:color w:val="FFFFFF"/>
                      </w:rPr>
                      <w:tab/>
                      <w:t>1</w:t>
                    </w:r>
                    <w:r>
                      <w:rPr>
                        <w:color w:val="FFFFFF"/>
                      </w:rPr>
                      <w:tab/>
                    </w:r>
                    <w:r w:rsidR="007752DB">
                      <w:rPr>
                        <w:color w:val="FFFFFF"/>
                      </w:rPr>
                      <w:t>Persbericht RoodMicrotec</w:t>
                    </w:r>
                    <w:r>
                      <w:rPr>
                        <w:color w:val="FFFFFF"/>
                      </w:rPr>
                      <w:t xml:space="preserve"> </w:t>
                    </w:r>
                  </w:p>
                  <w:p w:rsidR="00BF559C" w:rsidRPr="00F33608" w:rsidRDefault="00BF559C" w:rsidP="00657E90">
                    <w:pPr>
                      <w:ind w:right="-20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59C" w:rsidRDefault="00BF559C" w:rsidP="00487DE4">
      <w:pPr>
        <w:spacing w:after="0" w:line="240" w:lineRule="auto"/>
      </w:pPr>
      <w:r>
        <w:separator/>
      </w:r>
    </w:p>
  </w:footnote>
  <w:footnote w:type="continuationSeparator" w:id="0">
    <w:p w:rsidR="00BF559C" w:rsidRDefault="00BF559C"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59C" w:rsidRDefault="00BF559C" w:rsidP="003279A8">
    <w:pPr>
      <w:pStyle w:val="Kopfzeile"/>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9C" w:rsidRPr="00110FD8" w:rsidRDefault="00BF559C" w:rsidP="006A787C">
                          <w:pPr>
                            <w:spacing w:after="0" w:line="240" w:lineRule="auto"/>
                            <w:rPr>
                              <w:sz w:val="18"/>
                              <w:szCs w:val="18"/>
                              <w:lang w:val="en-GB"/>
                            </w:rPr>
                          </w:pPr>
                          <w:r w:rsidRPr="00110FD8">
                            <w:rPr>
                              <w:sz w:val="18"/>
                              <w:szCs w:val="18"/>
                              <w:lang w:val="en-GB"/>
                            </w:rPr>
                            <w:t xml:space="preserve">Martin </w:t>
                          </w:r>
                          <w:proofErr w:type="spellStart"/>
                          <w:r w:rsidRPr="00110FD8">
                            <w:rPr>
                              <w:sz w:val="18"/>
                              <w:szCs w:val="18"/>
                              <w:lang w:val="en-GB"/>
                            </w:rPr>
                            <w:t>Sallenhag</w:t>
                          </w:r>
                          <w:proofErr w:type="spellEnd"/>
                          <w:r w:rsidRPr="00110FD8">
                            <w:rPr>
                              <w:sz w:val="18"/>
                              <w:szCs w:val="18"/>
                              <w:lang w:val="en-GB"/>
                            </w:rPr>
                            <w:t>, CEO</w:t>
                          </w:r>
                        </w:p>
                        <w:p w:rsidR="00BF559C" w:rsidRPr="00110FD8" w:rsidRDefault="00BF559C" w:rsidP="006A787C">
                          <w:pPr>
                            <w:spacing w:after="0" w:line="240" w:lineRule="auto"/>
                            <w:rPr>
                              <w:sz w:val="18"/>
                              <w:szCs w:val="18"/>
                              <w:lang w:val="en-GB"/>
                            </w:rPr>
                          </w:pPr>
                          <w:r w:rsidRPr="00110FD8">
                            <w:rPr>
                              <w:sz w:val="18"/>
                              <w:szCs w:val="18"/>
                              <w:lang w:val="en-GB"/>
                            </w:rPr>
                            <w:t>Reinhard Pusch, COO</w:t>
                          </w:r>
                        </w:p>
                        <w:p w:rsidR="00BF559C" w:rsidRPr="00BF559C" w:rsidRDefault="00BF559C" w:rsidP="006A787C">
                          <w:pPr>
                            <w:spacing w:after="0" w:line="240" w:lineRule="auto"/>
                            <w:rPr>
                              <w:sz w:val="18"/>
                              <w:szCs w:val="18"/>
                              <w:lang w:val="en-GB"/>
                            </w:rPr>
                          </w:pPr>
                          <w:proofErr w:type="spellStart"/>
                          <w:r w:rsidRPr="00BF559C">
                            <w:rPr>
                              <w:sz w:val="18"/>
                              <w:szCs w:val="18"/>
                              <w:lang w:val="en-GB"/>
                            </w:rPr>
                            <w:t>Arvid</w:t>
                          </w:r>
                          <w:proofErr w:type="spellEnd"/>
                          <w:r w:rsidRPr="00BF559C">
                            <w:rPr>
                              <w:sz w:val="18"/>
                              <w:szCs w:val="18"/>
                              <w:lang w:val="en-GB"/>
                            </w:rPr>
                            <w:t xml:space="preserve"> </w:t>
                          </w:r>
                          <w:proofErr w:type="spellStart"/>
                          <w:r w:rsidRPr="00BF559C">
                            <w:rPr>
                              <w:sz w:val="18"/>
                              <w:szCs w:val="18"/>
                              <w:lang w:val="en-GB"/>
                            </w:rPr>
                            <w:t>Ladega</w:t>
                          </w:r>
                          <w:proofErr w:type="spellEnd"/>
                          <w:r w:rsidRPr="00BF559C">
                            <w:rPr>
                              <w:sz w:val="18"/>
                              <w:szCs w:val="18"/>
                              <w:lang w:val="en-GB"/>
                            </w:rPr>
                            <w:t>, CFO</w:t>
                          </w:r>
                        </w:p>
                        <w:p w:rsidR="00BF559C" w:rsidRPr="00BF559C" w:rsidRDefault="00BF559C" w:rsidP="006A787C">
                          <w:pPr>
                            <w:spacing w:after="0" w:line="240" w:lineRule="auto"/>
                            <w:rPr>
                              <w:sz w:val="10"/>
                              <w:szCs w:val="10"/>
                              <w:lang w:val="en-GB"/>
                            </w:rPr>
                          </w:pPr>
                        </w:p>
                        <w:p w:rsidR="00BF559C" w:rsidRPr="009D767A" w:rsidRDefault="00BF559C" w:rsidP="006A787C">
                          <w:pPr>
                            <w:spacing w:after="0" w:line="240" w:lineRule="auto"/>
                            <w:rPr>
                              <w:b/>
                              <w:sz w:val="18"/>
                              <w:szCs w:val="18"/>
                            </w:rPr>
                          </w:pPr>
                          <w:r>
                            <w:rPr>
                              <w:b/>
                              <w:color w:val="B70C2F"/>
                              <w:sz w:val="18"/>
                              <w:szCs w:val="18"/>
                            </w:rPr>
                            <w:t>Rood</w:t>
                          </w:r>
                          <w:r>
                            <w:rPr>
                              <w:b/>
                              <w:sz w:val="18"/>
                              <w:szCs w:val="18"/>
                            </w:rPr>
                            <w:t>Microtec N.V.</w:t>
                          </w:r>
                        </w:p>
                        <w:p w:rsidR="00BF559C" w:rsidRPr="00FE6420" w:rsidRDefault="00BF559C" w:rsidP="006A787C">
                          <w:pPr>
                            <w:spacing w:after="0" w:line="240" w:lineRule="auto"/>
                            <w:rPr>
                              <w:sz w:val="18"/>
                              <w:szCs w:val="18"/>
                            </w:rPr>
                          </w:pPr>
                          <w:r>
                            <w:rPr>
                              <w:sz w:val="18"/>
                              <w:szCs w:val="18"/>
                            </w:rPr>
                            <w:t>‘Rembrandt’; Dokter van Deenweg 58</w:t>
                          </w:r>
                        </w:p>
                        <w:p w:rsidR="00BF559C" w:rsidRPr="00FE6420" w:rsidRDefault="00BF559C" w:rsidP="006A787C">
                          <w:pPr>
                            <w:spacing w:after="0" w:line="240" w:lineRule="auto"/>
                            <w:rPr>
                              <w:sz w:val="18"/>
                              <w:szCs w:val="18"/>
                            </w:rPr>
                          </w:pPr>
                          <w:r>
                            <w:rPr>
                              <w:sz w:val="18"/>
                              <w:szCs w:val="18"/>
                            </w:rPr>
                            <w:t>NL-8025 BC Zwolle</w:t>
                          </w:r>
                        </w:p>
                        <w:p w:rsidR="00BF559C" w:rsidRPr="00DD3676" w:rsidRDefault="00BF559C" w:rsidP="006A787C">
                          <w:pPr>
                            <w:spacing w:after="0" w:line="240" w:lineRule="auto"/>
                            <w:rPr>
                              <w:sz w:val="10"/>
                              <w:szCs w:val="10"/>
                            </w:rPr>
                          </w:pPr>
                        </w:p>
                        <w:p w:rsidR="00BF559C" w:rsidRPr="00FE6420" w:rsidRDefault="00BF559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rPr>
                          </w:pPr>
                          <w:r>
                            <w:rPr>
                              <w:rFonts w:asciiTheme="minorHAnsi" w:hAnsiTheme="minorHAnsi"/>
                              <w:b/>
                              <w:color w:val="231F20"/>
                              <w:sz w:val="18"/>
                              <w:szCs w:val="18"/>
                            </w:rPr>
                            <w:t>+31 38 4215216</w:t>
                          </w:r>
                        </w:p>
                        <w:p w:rsidR="00BF559C" w:rsidRPr="00FE6420" w:rsidRDefault="00BF559C"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t>@</w:t>
                          </w:r>
                          <w:r>
                            <w:rPr>
                              <w:rFonts w:asciiTheme="minorHAnsi" w:hAnsiTheme="minorHAnsi"/>
                              <w:color w:val="231F20"/>
                              <w:sz w:val="18"/>
                              <w:szCs w:val="18"/>
                            </w:rPr>
                            <w:tab/>
                          </w:r>
                          <w:hyperlink r:id="rId1">
                            <w:r>
                              <w:rPr>
                                <w:rFonts w:asciiTheme="minorHAnsi" w:hAnsiTheme="minorHAnsi"/>
                                <w:color w:val="231F20"/>
                                <w:sz w:val="18"/>
                                <w:szCs w:val="18"/>
                              </w:rPr>
                              <w:t>investor-relations@roodmicrotec.com</w:t>
                            </w:r>
                          </w:hyperlink>
                        </w:p>
                        <w:p w:rsidR="00BF559C" w:rsidRPr="00FE6420" w:rsidRDefault="00BF559C"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sym w:font="Webdings" w:char="F0FC"/>
                          </w:r>
                          <w:r>
                            <w:rPr>
                              <w:rFonts w:asciiTheme="minorHAnsi" w:hAnsiTheme="minorHAnsi"/>
                              <w:color w:val="231F20"/>
                              <w:sz w:val="18"/>
                              <w:szCs w:val="18"/>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BF559C" w:rsidRPr="00110FD8" w:rsidRDefault="00BF559C" w:rsidP="006A787C">
                    <w:pPr>
                      <w:spacing w:after="0" w:line="240" w:lineRule="auto"/>
                      <w:rPr>
                        <w:sz w:val="18"/>
                        <w:szCs w:val="18"/>
                        <w:lang w:val="en-GB"/>
                      </w:rPr>
                    </w:pPr>
                    <w:r w:rsidRPr="00110FD8">
                      <w:rPr>
                        <w:sz w:val="18"/>
                        <w:szCs w:val="18"/>
                        <w:lang w:val="en-GB"/>
                      </w:rPr>
                      <w:t xml:space="preserve">Martin </w:t>
                    </w:r>
                    <w:proofErr w:type="spellStart"/>
                    <w:r w:rsidRPr="00110FD8">
                      <w:rPr>
                        <w:sz w:val="18"/>
                        <w:szCs w:val="18"/>
                        <w:lang w:val="en-GB"/>
                      </w:rPr>
                      <w:t>Sallenhag</w:t>
                    </w:r>
                    <w:proofErr w:type="spellEnd"/>
                    <w:r w:rsidRPr="00110FD8">
                      <w:rPr>
                        <w:sz w:val="18"/>
                        <w:szCs w:val="18"/>
                        <w:lang w:val="en-GB"/>
                      </w:rPr>
                      <w:t>, CEO</w:t>
                    </w:r>
                  </w:p>
                  <w:p w:rsidR="00BF559C" w:rsidRPr="00110FD8" w:rsidRDefault="00BF559C" w:rsidP="006A787C">
                    <w:pPr>
                      <w:spacing w:after="0" w:line="240" w:lineRule="auto"/>
                      <w:rPr>
                        <w:sz w:val="18"/>
                        <w:szCs w:val="18"/>
                        <w:lang w:val="en-GB"/>
                      </w:rPr>
                    </w:pPr>
                    <w:r w:rsidRPr="00110FD8">
                      <w:rPr>
                        <w:sz w:val="18"/>
                        <w:szCs w:val="18"/>
                        <w:lang w:val="en-GB"/>
                      </w:rPr>
                      <w:t>Reinhard Pusch, COO</w:t>
                    </w:r>
                  </w:p>
                  <w:p w:rsidR="00BF559C" w:rsidRPr="00BF559C" w:rsidRDefault="00BF559C" w:rsidP="006A787C">
                    <w:pPr>
                      <w:spacing w:after="0" w:line="240" w:lineRule="auto"/>
                      <w:rPr>
                        <w:sz w:val="18"/>
                        <w:szCs w:val="18"/>
                        <w:lang w:val="en-GB"/>
                      </w:rPr>
                    </w:pPr>
                    <w:proofErr w:type="spellStart"/>
                    <w:r w:rsidRPr="00BF559C">
                      <w:rPr>
                        <w:sz w:val="18"/>
                        <w:szCs w:val="18"/>
                        <w:lang w:val="en-GB"/>
                      </w:rPr>
                      <w:t>Arvid</w:t>
                    </w:r>
                    <w:proofErr w:type="spellEnd"/>
                    <w:r w:rsidRPr="00BF559C">
                      <w:rPr>
                        <w:sz w:val="18"/>
                        <w:szCs w:val="18"/>
                        <w:lang w:val="en-GB"/>
                      </w:rPr>
                      <w:t xml:space="preserve"> </w:t>
                    </w:r>
                    <w:proofErr w:type="spellStart"/>
                    <w:r w:rsidRPr="00BF559C">
                      <w:rPr>
                        <w:sz w:val="18"/>
                        <w:szCs w:val="18"/>
                        <w:lang w:val="en-GB"/>
                      </w:rPr>
                      <w:t>Ladega</w:t>
                    </w:r>
                    <w:proofErr w:type="spellEnd"/>
                    <w:r w:rsidRPr="00BF559C">
                      <w:rPr>
                        <w:sz w:val="18"/>
                        <w:szCs w:val="18"/>
                        <w:lang w:val="en-GB"/>
                      </w:rPr>
                      <w:t>, CFO</w:t>
                    </w:r>
                  </w:p>
                  <w:p w:rsidR="00BF559C" w:rsidRPr="00BF559C" w:rsidRDefault="00BF559C" w:rsidP="006A787C">
                    <w:pPr>
                      <w:spacing w:after="0" w:line="240" w:lineRule="auto"/>
                      <w:rPr>
                        <w:sz w:val="10"/>
                        <w:szCs w:val="10"/>
                        <w:lang w:val="en-GB"/>
                      </w:rPr>
                    </w:pPr>
                  </w:p>
                  <w:p w:rsidR="00BF559C" w:rsidRPr="009D767A" w:rsidRDefault="00BF559C" w:rsidP="006A787C">
                    <w:pPr>
                      <w:spacing w:after="0" w:line="240" w:lineRule="auto"/>
                      <w:rPr>
                        <w:b/>
                        <w:sz w:val="18"/>
                        <w:szCs w:val="18"/>
                      </w:rPr>
                    </w:pPr>
                    <w:r>
                      <w:rPr>
                        <w:b/>
                        <w:color w:val="B70C2F"/>
                        <w:sz w:val="18"/>
                        <w:szCs w:val="18"/>
                      </w:rPr>
                      <w:t>Rood</w:t>
                    </w:r>
                    <w:r>
                      <w:rPr>
                        <w:b/>
                        <w:sz w:val="18"/>
                        <w:szCs w:val="18"/>
                      </w:rPr>
                      <w:t>Microtec N.V.</w:t>
                    </w:r>
                  </w:p>
                  <w:p w:rsidR="00BF559C" w:rsidRPr="00FE6420" w:rsidRDefault="00BF559C" w:rsidP="006A787C">
                    <w:pPr>
                      <w:spacing w:after="0" w:line="240" w:lineRule="auto"/>
                      <w:rPr>
                        <w:sz w:val="18"/>
                        <w:szCs w:val="18"/>
                      </w:rPr>
                    </w:pPr>
                    <w:r>
                      <w:rPr>
                        <w:sz w:val="18"/>
                        <w:szCs w:val="18"/>
                      </w:rPr>
                      <w:t>‘Rembrandt’; Dokter van Deenweg 58</w:t>
                    </w:r>
                  </w:p>
                  <w:p w:rsidR="00BF559C" w:rsidRPr="00FE6420" w:rsidRDefault="00BF559C" w:rsidP="006A787C">
                    <w:pPr>
                      <w:spacing w:after="0" w:line="240" w:lineRule="auto"/>
                      <w:rPr>
                        <w:sz w:val="18"/>
                        <w:szCs w:val="18"/>
                      </w:rPr>
                    </w:pPr>
                    <w:r>
                      <w:rPr>
                        <w:sz w:val="18"/>
                        <w:szCs w:val="18"/>
                      </w:rPr>
                      <w:t>NL-8025 BC Zwolle</w:t>
                    </w:r>
                  </w:p>
                  <w:p w:rsidR="00BF559C" w:rsidRPr="00DD3676" w:rsidRDefault="00BF559C" w:rsidP="006A787C">
                    <w:pPr>
                      <w:spacing w:after="0" w:line="240" w:lineRule="auto"/>
                      <w:rPr>
                        <w:sz w:val="10"/>
                        <w:szCs w:val="10"/>
                      </w:rPr>
                    </w:pPr>
                  </w:p>
                  <w:p w:rsidR="00BF559C" w:rsidRPr="00FE6420" w:rsidRDefault="00BF559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rPr>
                    </w:pPr>
                    <w:r>
                      <w:rPr>
                        <w:rFonts w:asciiTheme="minorHAnsi" w:hAnsiTheme="minorHAnsi"/>
                        <w:b/>
                        <w:color w:val="231F20"/>
                        <w:sz w:val="18"/>
                        <w:szCs w:val="18"/>
                      </w:rPr>
                      <w:t>+31 38 4215216</w:t>
                    </w:r>
                  </w:p>
                  <w:p w:rsidR="00BF559C" w:rsidRPr="00FE6420" w:rsidRDefault="00BF559C"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t>@</w:t>
                    </w:r>
                    <w:r>
                      <w:rPr>
                        <w:rFonts w:asciiTheme="minorHAnsi" w:hAnsiTheme="minorHAnsi"/>
                        <w:color w:val="231F20"/>
                        <w:sz w:val="18"/>
                        <w:szCs w:val="18"/>
                      </w:rPr>
                      <w:tab/>
                    </w:r>
                    <w:hyperlink r:id="rId2">
                      <w:r>
                        <w:rPr>
                          <w:rFonts w:asciiTheme="minorHAnsi" w:hAnsiTheme="minorHAnsi"/>
                          <w:color w:val="231F20"/>
                          <w:sz w:val="18"/>
                          <w:szCs w:val="18"/>
                        </w:rPr>
                        <w:t>investor-relations@roodmicrotec.com</w:t>
                      </w:r>
                    </w:hyperlink>
                  </w:p>
                  <w:p w:rsidR="00BF559C" w:rsidRPr="00FE6420" w:rsidRDefault="00BF559C"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sym w:font="Webdings" w:char="F0FC"/>
                    </w:r>
                    <w:r>
                      <w:rPr>
                        <w:rFonts w:asciiTheme="minorHAnsi" w:hAnsiTheme="minorHAnsi"/>
                        <w:color w:val="231F20"/>
                        <w:sz w:val="18"/>
                        <w:szCs w:val="18"/>
                      </w:rPr>
                      <w:tab/>
                      <w:t>www.roodmicrotec.com</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12065" b="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CF7D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Pr>
        <w:noProof/>
        <w:lang w:val="en-US"/>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2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59C" w:rsidRPr="00E878A9" w:rsidRDefault="00BF559C" w:rsidP="00F33608">
                          <w:pPr>
                            <w:tabs>
                              <w:tab w:val="right" w:pos="10206"/>
                            </w:tabs>
                            <w:rPr>
                              <w:rFonts w:asciiTheme="minorHAnsi" w:hAnsiTheme="minorHAnsi" w:cstheme="minorHAnsi"/>
                              <w:color w:val="FFFFFF" w:themeColor="background1"/>
                              <w:sz w:val="32"/>
                              <w:szCs w:val="32"/>
                            </w:rPr>
                          </w:pPr>
                          <w:r>
                            <w:rPr>
                              <w:rFonts w:asciiTheme="minorHAnsi" w:hAnsiTheme="minorHAnsi"/>
                              <w:color w:val="FFFFFF" w:themeColor="background1"/>
                            </w:rPr>
                            <w:t>Zwolle – 14 maart 2018</w:t>
                          </w:r>
                          <w:r>
                            <w:rPr>
                              <w:color w:val="FFFFFF" w:themeColor="background1"/>
                            </w:rPr>
                            <w:tab/>
                          </w:r>
                          <w:r>
                            <w:rPr>
                              <w:b/>
                              <w:color w:val="FFFFFF" w:themeColor="background1"/>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BF559C" w:rsidRPr="00E878A9" w:rsidRDefault="00BF559C" w:rsidP="00F33608">
                    <w:pPr>
                      <w:tabs>
                        <w:tab w:val="right" w:pos="10206"/>
                      </w:tabs>
                      <w:rPr>
                        <w:rFonts w:asciiTheme="minorHAnsi" w:hAnsiTheme="minorHAnsi" w:cstheme="minorHAnsi"/>
                        <w:color w:val="FFFFFF" w:themeColor="background1"/>
                        <w:sz w:val="32"/>
                        <w:szCs w:val="32"/>
                      </w:rPr>
                    </w:pPr>
                    <w:r>
                      <w:rPr>
                        <w:rFonts w:asciiTheme="minorHAnsi" w:hAnsiTheme="minorHAnsi"/>
                        <w:color w:val="FFFFFF" w:themeColor="background1"/>
                      </w:rPr>
                      <w:t>Zwolle – 14 maart 2018</w:t>
                    </w:r>
                    <w:r>
                      <w:rPr>
                        <w:color w:val="FFFFFF" w:themeColor="background1"/>
                      </w:rPr>
                      <w:tab/>
                    </w:r>
                    <w:r>
                      <w:rPr>
                        <w:b/>
                        <w:color w:val="FFFFFF" w:themeColor="background1"/>
                        <w:sz w:val="32"/>
                        <w:szCs w:val="32"/>
                      </w:rPr>
                      <w:t>PERSBERICHT</w:t>
                    </w:r>
                  </w:p>
                </w:txbxContent>
              </v:textbox>
            </v:shape>
          </w:pict>
        </mc:Fallback>
      </mc:AlternateContent>
    </w:r>
    <w:r>
      <w:rPr>
        <w:noProof/>
        <w:lang w:val="en-US"/>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25"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15:restartNumberingAfterBreak="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F0672E"/>
    <w:multiLevelType w:val="hybridMultilevel"/>
    <w:tmpl w:val="4B56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C5159"/>
    <w:multiLevelType w:val="hybridMultilevel"/>
    <w:tmpl w:val="F04C2FF2"/>
    <w:lvl w:ilvl="0" w:tplc="04070001">
      <w:start w:val="1"/>
      <w:numFmt w:val="bullet"/>
      <w:lvlText w:val=""/>
      <w:lvlJc w:val="left"/>
      <w:pPr>
        <w:ind w:left="846" w:hanging="360"/>
      </w:pPr>
      <w:rPr>
        <w:rFonts w:ascii="Symbol" w:hAnsi="Symbol" w:hint="default"/>
      </w:rPr>
    </w:lvl>
    <w:lvl w:ilvl="1" w:tplc="04070003" w:tentative="1">
      <w:start w:val="1"/>
      <w:numFmt w:val="bullet"/>
      <w:lvlText w:val="o"/>
      <w:lvlJc w:val="left"/>
      <w:pPr>
        <w:ind w:left="1566" w:hanging="360"/>
      </w:pPr>
      <w:rPr>
        <w:rFonts w:ascii="Courier New" w:hAnsi="Courier New" w:cs="Courier New" w:hint="default"/>
      </w:rPr>
    </w:lvl>
    <w:lvl w:ilvl="2" w:tplc="04070005" w:tentative="1">
      <w:start w:val="1"/>
      <w:numFmt w:val="bullet"/>
      <w:lvlText w:val=""/>
      <w:lvlJc w:val="left"/>
      <w:pPr>
        <w:ind w:left="2286" w:hanging="360"/>
      </w:pPr>
      <w:rPr>
        <w:rFonts w:ascii="Wingdings" w:hAnsi="Wingdings" w:hint="default"/>
      </w:rPr>
    </w:lvl>
    <w:lvl w:ilvl="3" w:tplc="04070001" w:tentative="1">
      <w:start w:val="1"/>
      <w:numFmt w:val="bullet"/>
      <w:lvlText w:val=""/>
      <w:lvlJc w:val="left"/>
      <w:pPr>
        <w:ind w:left="3006" w:hanging="360"/>
      </w:pPr>
      <w:rPr>
        <w:rFonts w:ascii="Symbol" w:hAnsi="Symbol" w:hint="default"/>
      </w:rPr>
    </w:lvl>
    <w:lvl w:ilvl="4" w:tplc="04070003" w:tentative="1">
      <w:start w:val="1"/>
      <w:numFmt w:val="bullet"/>
      <w:lvlText w:val="o"/>
      <w:lvlJc w:val="left"/>
      <w:pPr>
        <w:ind w:left="3726" w:hanging="360"/>
      </w:pPr>
      <w:rPr>
        <w:rFonts w:ascii="Courier New" w:hAnsi="Courier New" w:cs="Courier New" w:hint="default"/>
      </w:rPr>
    </w:lvl>
    <w:lvl w:ilvl="5" w:tplc="04070005" w:tentative="1">
      <w:start w:val="1"/>
      <w:numFmt w:val="bullet"/>
      <w:lvlText w:val=""/>
      <w:lvlJc w:val="left"/>
      <w:pPr>
        <w:ind w:left="4446" w:hanging="360"/>
      </w:pPr>
      <w:rPr>
        <w:rFonts w:ascii="Wingdings" w:hAnsi="Wingdings" w:hint="default"/>
      </w:rPr>
    </w:lvl>
    <w:lvl w:ilvl="6" w:tplc="04070001" w:tentative="1">
      <w:start w:val="1"/>
      <w:numFmt w:val="bullet"/>
      <w:lvlText w:val=""/>
      <w:lvlJc w:val="left"/>
      <w:pPr>
        <w:ind w:left="5166" w:hanging="360"/>
      </w:pPr>
      <w:rPr>
        <w:rFonts w:ascii="Symbol" w:hAnsi="Symbol" w:hint="default"/>
      </w:rPr>
    </w:lvl>
    <w:lvl w:ilvl="7" w:tplc="04070003" w:tentative="1">
      <w:start w:val="1"/>
      <w:numFmt w:val="bullet"/>
      <w:lvlText w:val="o"/>
      <w:lvlJc w:val="left"/>
      <w:pPr>
        <w:ind w:left="5886" w:hanging="360"/>
      </w:pPr>
      <w:rPr>
        <w:rFonts w:ascii="Courier New" w:hAnsi="Courier New" w:cs="Courier New" w:hint="default"/>
      </w:rPr>
    </w:lvl>
    <w:lvl w:ilvl="8" w:tplc="04070005" w:tentative="1">
      <w:start w:val="1"/>
      <w:numFmt w:val="bullet"/>
      <w:lvlText w:val=""/>
      <w:lvlJc w:val="left"/>
      <w:pPr>
        <w:ind w:left="6606" w:hanging="360"/>
      </w:pPr>
      <w:rPr>
        <w:rFonts w:ascii="Wingdings" w:hAnsi="Wingdings" w:hint="default"/>
      </w:rPr>
    </w:lvl>
  </w:abstractNum>
  <w:abstractNum w:abstractNumId="6" w15:restartNumberingAfterBreak="0">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8E3E2B"/>
    <w:multiLevelType w:val="hybridMultilevel"/>
    <w:tmpl w:val="85DCC0B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9"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DA131D"/>
    <w:multiLevelType w:val="hybridMultilevel"/>
    <w:tmpl w:val="D780D17C"/>
    <w:lvl w:ilvl="0" w:tplc="0407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D09AE"/>
    <w:multiLevelType w:val="hybridMultilevel"/>
    <w:tmpl w:val="218A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1"/>
  </w:num>
  <w:num w:numId="5">
    <w:abstractNumId w:val="17"/>
  </w:num>
  <w:num w:numId="6">
    <w:abstractNumId w:val="16"/>
  </w:num>
  <w:num w:numId="7">
    <w:abstractNumId w:val="5"/>
  </w:num>
  <w:num w:numId="8">
    <w:abstractNumId w:val="6"/>
  </w:num>
  <w:num w:numId="9">
    <w:abstractNumId w:val="1"/>
  </w:num>
  <w:num w:numId="10">
    <w:abstractNumId w:val="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0"/>
  </w:num>
  <w:num w:numId="15">
    <w:abstractNumId w:val="2"/>
  </w:num>
  <w:num w:numId="16">
    <w:abstractNumId w:val="13"/>
  </w:num>
  <w:num w:numId="17">
    <w:abstractNumId w:val="18"/>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54"/>
    <w:rsid w:val="000340EC"/>
    <w:rsid w:val="0004253E"/>
    <w:rsid w:val="0005578B"/>
    <w:rsid w:val="00057395"/>
    <w:rsid w:val="00071143"/>
    <w:rsid w:val="00071436"/>
    <w:rsid w:val="0007461B"/>
    <w:rsid w:val="0009230C"/>
    <w:rsid w:val="000A112C"/>
    <w:rsid w:val="000E22E7"/>
    <w:rsid w:val="00110FD8"/>
    <w:rsid w:val="001401D2"/>
    <w:rsid w:val="00144004"/>
    <w:rsid w:val="00161C05"/>
    <w:rsid w:val="001649FA"/>
    <w:rsid w:val="001651A5"/>
    <w:rsid w:val="00186B6E"/>
    <w:rsid w:val="001B24A6"/>
    <w:rsid w:val="001D37FF"/>
    <w:rsid w:val="001F3216"/>
    <w:rsid w:val="00217754"/>
    <w:rsid w:val="00260AF0"/>
    <w:rsid w:val="00265326"/>
    <w:rsid w:val="002715B1"/>
    <w:rsid w:val="0027201E"/>
    <w:rsid w:val="00274915"/>
    <w:rsid w:val="002A0D07"/>
    <w:rsid w:val="002A366D"/>
    <w:rsid w:val="002B1307"/>
    <w:rsid w:val="002C6A87"/>
    <w:rsid w:val="002D5E7D"/>
    <w:rsid w:val="002F382B"/>
    <w:rsid w:val="00303C3B"/>
    <w:rsid w:val="00324BEA"/>
    <w:rsid w:val="003279A8"/>
    <w:rsid w:val="00336410"/>
    <w:rsid w:val="0036342D"/>
    <w:rsid w:val="00380F5D"/>
    <w:rsid w:val="00391D49"/>
    <w:rsid w:val="003A6DC1"/>
    <w:rsid w:val="003B7C72"/>
    <w:rsid w:val="003C5B85"/>
    <w:rsid w:val="003D1859"/>
    <w:rsid w:val="003D1921"/>
    <w:rsid w:val="003D5390"/>
    <w:rsid w:val="003D7307"/>
    <w:rsid w:val="003E247E"/>
    <w:rsid w:val="003E5A31"/>
    <w:rsid w:val="003E75B5"/>
    <w:rsid w:val="004152A2"/>
    <w:rsid w:val="00417AF3"/>
    <w:rsid w:val="00427C8B"/>
    <w:rsid w:val="00436B43"/>
    <w:rsid w:val="00466BBE"/>
    <w:rsid w:val="0047010F"/>
    <w:rsid w:val="00475E82"/>
    <w:rsid w:val="00484324"/>
    <w:rsid w:val="00487DE4"/>
    <w:rsid w:val="0049089D"/>
    <w:rsid w:val="004C5748"/>
    <w:rsid w:val="004E7679"/>
    <w:rsid w:val="004F5FA7"/>
    <w:rsid w:val="005307EF"/>
    <w:rsid w:val="00532194"/>
    <w:rsid w:val="00544816"/>
    <w:rsid w:val="00546072"/>
    <w:rsid w:val="0058155F"/>
    <w:rsid w:val="0059454A"/>
    <w:rsid w:val="005A35E8"/>
    <w:rsid w:val="005A69F3"/>
    <w:rsid w:val="005C5830"/>
    <w:rsid w:val="005C59EB"/>
    <w:rsid w:val="005C762A"/>
    <w:rsid w:val="005E0C1E"/>
    <w:rsid w:val="005E3396"/>
    <w:rsid w:val="006441F3"/>
    <w:rsid w:val="00657E90"/>
    <w:rsid w:val="00687762"/>
    <w:rsid w:val="00687C2F"/>
    <w:rsid w:val="006A787C"/>
    <w:rsid w:val="006B68ED"/>
    <w:rsid w:val="006B777C"/>
    <w:rsid w:val="006D646C"/>
    <w:rsid w:val="006D7E75"/>
    <w:rsid w:val="007106A6"/>
    <w:rsid w:val="007168C1"/>
    <w:rsid w:val="00732161"/>
    <w:rsid w:val="00736E04"/>
    <w:rsid w:val="00737837"/>
    <w:rsid w:val="0076690A"/>
    <w:rsid w:val="0077239A"/>
    <w:rsid w:val="00773D3E"/>
    <w:rsid w:val="00774401"/>
    <w:rsid w:val="007752DB"/>
    <w:rsid w:val="007815CD"/>
    <w:rsid w:val="007834C3"/>
    <w:rsid w:val="00790A27"/>
    <w:rsid w:val="007A15F9"/>
    <w:rsid w:val="007A22AB"/>
    <w:rsid w:val="007A59F0"/>
    <w:rsid w:val="007B1FC8"/>
    <w:rsid w:val="007B640C"/>
    <w:rsid w:val="007C5301"/>
    <w:rsid w:val="007D0F4A"/>
    <w:rsid w:val="007F6FDB"/>
    <w:rsid w:val="008106B1"/>
    <w:rsid w:val="008221BC"/>
    <w:rsid w:val="00836E0C"/>
    <w:rsid w:val="008378E8"/>
    <w:rsid w:val="008636E7"/>
    <w:rsid w:val="00863E3D"/>
    <w:rsid w:val="0087300D"/>
    <w:rsid w:val="00881D9A"/>
    <w:rsid w:val="008A6FE2"/>
    <w:rsid w:val="008B0FBE"/>
    <w:rsid w:val="008E047B"/>
    <w:rsid w:val="009357F3"/>
    <w:rsid w:val="009418AA"/>
    <w:rsid w:val="009576E1"/>
    <w:rsid w:val="00961AC5"/>
    <w:rsid w:val="00993DEB"/>
    <w:rsid w:val="009A2701"/>
    <w:rsid w:val="009B4F9B"/>
    <w:rsid w:val="009C32BB"/>
    <w:rsid w:val="009D4A54"/>
    <w:rsid w:val="009D767A"/>
    <w:rsid w:val="009E7F64"/>
    <w:rsid w:val="00A01F5D"/>
    <w:rsid w:val="00A40FBB"/>
    <w:rsid w:val="00A42A35"/>
    <w:rsid w:val="00A45E36"/>
    <w:rsid w:val="00A66D82"/>
    <w:rsid w:val="00A73B42"/>
    <w:rsid w:val="00AC4975"/>
    <w:rsid w:val="00B05ECD"/>
    <w:rsid w:val="00B06FA0"/>
    <w:rsid w:val="00B1173A"/>
    <w:rsid w:val="00B12DF5"/>
    <w:rsid w:val="00B23BCB"/>
    <w:rsid w:val="00B23EB1"/>
    <w:rsid w:val="00B24C43"/>
    <w:rsid w:val="00B30686"/>
    <w:rsid w:val="00B44F7A"/>
    <w:rsid w:val="00B50948"/>
    <w:rsid w:val="00B52809"/>
    <w:rsid w:val="00BF559C"/>
    <w:rsid w:val="00BF7D94"/>
    <w:rsid w:val="00C02992"/>
    <w:rsid w:val="00C15373"/>
    <w:rsid w:val="00C309CD"/>
    <w:rsid w:val="00C32FBA"/>
    <w:rsid w:val="00C4081C"/>
    <w:rsid w:val="00C50068"/>
    <w:rsid w:val="00C60B78"/>
    <w:rsid w:val="00C65150"/>
    <w:rsid w:val="00C72334"/>
    <w:rsid w:val="00C76754"/>
    <w:rsid w:val="00C85F02"/>
    <w:rsid w:val="00C87C7B"/>
    <w:rsid w:val="00CB0399"/>
    <w:rsid w:val="00CB438B"/>
    <w:rsid w:val="00CE5D69"/>
    <w:rsid w:val="00D02012"/>
    <w:rsid w:val="00D12D59"/>
    <w:rsid w:val="00D4584B"/>
    <w:rsid w:val="00D5218A"/>
    <w:rsid w:val="00D85DA4"/>
    <w:rsid w:val="00DB5F30"/>
    <w:rsid w:val="00DC1818"/>
    <w:rsid w:val="00DC51E1"/>
    <w:rsid w:val="00DD3676"/>
    <w:rsid w:val="00DE3384"/>
    <w:rsid w:val="00E05544"/>
    <w:rsid w:val="00E55B13"/>
    <w:rsid w:val="00E73190"/>
    <w:rsid w:val="00E90550"/>
    <w:rsid w:val="00EB2D32"/>
    <w:rsid w:val="00EC2D6B"/>
    <w:rsid w:val="00ED530D"/>
    <w:rsid w:val="00EE1CA8"/>
    <w:rsid w:val="00EF04AB"/>
    <w:rsid w:val="00F15FE0"/>
    <w:rsid w:val="00F33608"/>
    <w:rsid w:val="00F35BDD"/>
    <w:rsid w:val="00F451E8"/>
    <w:rsid w:val="00F45F6A"/>
    <w:rsid w:val="00F56C7A"/>
    <w:rsid w:val="00F75600"/>
    <w:rsid w:val="00F830E1"/>
    <w:rsid w:val="00FA460A"/>
    <w:rsid w:val="00FB20DB"/>
    <w:rsid w:val="00FB2B8E"/>
    <w:rsid w:val="00FB2BA3"/>
    <w:rsid w:val="00FB7A27"/>
    <w:rsid w:val="00FE6420"/>
    <w:rsid w:val="00FE71B5"/>
    <w:rsid w:val="00FF3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25D40"/>
  <w15:docId w15:val="{C337AD33-2408-49FF-BFDF-647CC304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eastAsia="en-US"/>
    </w:rPr>
  </w:style>
  <w:style w:type="paragraph" w:styleId="berschrift1">
    <w:name w:val="heading 1"/>
    <w:aliases w:val="PR überschrift 1"/>
    <w:basedOn w:val="Standard"/>
    <w:next w:val="Standard"/>
    <w:link w:val="berschrift1Zchn"/>
    <w:autoRedefine/>
    <w:uiPriority w:val="9"/>
    <w:qFormat/>
    <w:rsid w:val="007752DB"/>
    <w:pPr>
      <w:keepNext/>
      <w:keepLines/>
      <w:tabs>
        <w:tab w:val="left" w:pos="10063"/>
      </w:tabs>
      <w:spacing w:after="240"/>
      <w:ind w:right="284"/>
      <w:contextualSpacing/>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7752DB"/>
    <w:rPr>
      <w:rFonts w:eastAsiaTheme="majorEastAsia" w:cstheme="majorBidi"/>
      <w:b/>
      <w:bCs/>
      <w:color w:val="BA0C2F"/>
      <w:sz w:val="28"/>
      <w:szCs w:val="28"/>
      <w:lang w:eastAsia="en-GB"/>
    </w:rPr>
  </w:style>
  <w:style w:type="character" w:styleId="BesuchterLink">
    <w:name w:val="FollowedHyperlink"/>
    <w:basedOn w:val="Absatz-Standardschriftart"/>
    <w:uiPriority w:val="99"/>
    <w:semiHidden/>
    <w:unhideWhenUsed/>
    <w:rsid w:val="00F75600"/>
    <w:rPr>
      <w:color w:val="800080" w:themeColor="followedHyperlink"/>
      <w:u w:val="single"/>
    </w:rPr>
  </w:style>
  <w:style w:type="table" w:styleId="Tabellenraster">
    <w:name w:val="Table Grid"/>
    <w:basedOn w:val="NormaleTabelle"/>
    <w:uiPriority w:val="59"/>
    <w:rsid w:val="008B0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D530D"/>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KeineListe1">
    <w:name w:val="Keine Liste1"/>
    <w:next w:val="KeineListe"/>
    <w:uiPriority w:val="99"/>
    <w:semiHidden/>
    <w:unhideWhenUsed/>
    <w:rsid w:val="00B52809"/>
  </w:style>
  <w:style w:type="table" w:customStyle="1" w:styleId="Tabellenraster1">
    <w:name w:val="Tabellenraster1"/>
    <w:basedOn w:val="NormaleTabelle"/>
    <w:next w:val="Tabellenraster"/>
    <w:uiPriority w:val="59"/>
    <w:rsid w:val="00B52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441F3"/>
    <w:rPr>
      <w:sz w:val="16"/>
      <w:szCs w:val="16"/>
    </w:rPr>
  </w:style>
  <w:style w:type="paragraph" w:styleId="Kommentartext">
    <w:name w:val="annotation text"/>
    <w:link w:val="KommentartextZchn"/>
    <w:uiPriority w:val="99"/>
    <w:semiHidden/>
    <w:unhideWhenUsed/>
    <w:rsid w:val="006441F3"/>
  </w:style>
  <w:style w:type="character" w:customStyle="1" w:styleId="KommentartextZchn">
    <w:name w:val="Kommentartext Zchn"/>
    <w:basedOn w:val="Absatz-Standardschriftart"/>
    <w:link w:val="Kommentartext"/>
    <w:uiPriority w:val="99"/>
    <w:semiHidden/>
    <w:rsid w:val="00B52809"/>
    <w:rPr>
      <w:lang w:eastAsia="en-US"/>
    </w:rPr>
  </w:style>
  <w:style w:type="paragraph" w:styleId="Kommentarthema">
    <w:name w:val="annotation subject"/>
    <w:basedOn w:val="Kommentartext"/>
    <w:next w:val="Kommentartext"/>
    <w:link w:val="KommentarthemaZchn"/>
    <w:uiPriority w:val="99"/>
    <w:semiHidden/>
    <w:unhideWhenUsed/>
    <w:rsid w:val="00B52809"/>
    <w:rPr>
      <w:b/>
      <w:bCs/>
    </w:rPr>
  </w:style>
  <w:style w:type="character" w:customStyle="1" w:styleId="KommentarthemaZchn">
    <w:name w:val="Kommentarthema Zchn"/>
    <w:basedOn w:val="KommentartextZchn"/>
    <w:link w:val="Kommentarthema"/>
    <w:uiPriority w:val="99"/>
    <w:semiHidden/>
    <w:rsid w:val="00B52809"/>
    <w:rPr>
      <w:b/>
      <w:bCs/>
      <w:lang w:eastAsia="en-US"/>
    </w:rPr>
  </w:style>
  <w:style w:type="character" w:styleId="Fett">
    <w:name w:val="Strong"/>
    <w:basedOn w:val="Absatz-Standardschriftart"/>
    <w:uiPriority w:val="22"/>
    <w:qFormat/>
    <w:rsid w:val="00B52809"/>
    <w:rPr>
      <w:b/>
      <w:bCs/>
    </w:rPr>
  </w:style>
  <w:style w:type="character" w:styleId="Hervorhebung">
    <w:name w:val="Emphasis"/>
    <w:basedOn w:val="Absatz-Standardschriftart"/>
    <w:uiPriority w:val="20"/>
    <w:qFormat/>
    <w:rsid w:val="00B5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2768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1485-8E71-4C70-946A-86CEC28B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3109</Words>
  <Characters>17724</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2</cp:revision>
  <cp:lastPrinted>2019-03-12T13:48:00Z</cp:lastPrinted>
  <dcterms:created xsi:type="dcterms:W3CDTF">2019-03-13T14:40:00Z</dcterms:created>
  <dcterms:modified xsi:type="dcterms:W3CDTF">2019-03-13T14:40:00Z</dcterms:modified>
</cp:coreProperties>
</file>