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3133" w:rsidRPr="00EA3133" w:rsidRDefault="00EA3133" w:rsidP="00EA3133">
      <w:pPr>
        <w:pStyle w:val="berschrift1"/>
        <w:rPr>
          <w:sz w:val="22"/>
          <w:szCs w:val="22"/>
          <w:lang w:eastAsia="en-US"/>
        </w:rPr>
      </w:pPr>
      <w:r w:rsidRPr="00EA3133">
        <w:t>RoodMicrotec rapporteert omzet over eerste halfjaar 2019</w:t>
      </w:r>
    </w:p>
    <w:p w:rsidR="00EA3133" w:rsidRPr="00EA3133" w:rsidRDefault="00EA3133" w:rsidP="00EA3133">
      <w:pPr>
        <w:pStyle w:val="Listenabsatz"/>
        <w:numPr>
          <w:ilvl w:val="0"/>
          <w:numId w:val="9"/>
        </w:numPr>
        <w:spacing w:after="200"/>
        <w:jc w:val="both"/>
        <w:rPr>
          <w:b/>
          <w:lang w:val="nl-NL"/>
        </w:rPr>
      </w:pPr>
      <w:r w:rsidRPr="00EA3133">
        <w:rPr>
          <w:b/>
          <w:lang w:val="nl-NL"/>
        </w:rPr>
        <w:t>De omzet over het eerste halfjaar 2019 bedroeg EUR 6,4 miljoen, 7% lager dan eerste halfjaar 2018</w:t>
      </w:r>
    </w:p>
    <w:p w:rsidR="00EA3133" w:rsidRPr="004B4326" w:rsidRDefault="00EA3133" w:rsidP="00EA3133">
      <w:pPr>
        <w:pStyle w:val="Listenabsatz"/>
        <w:numPr>
          <w:ilvl w:val="0"/>
          <w:numId w:val="9"/>
        </w:numPr>
        <w:spacing w:after="200"/>
        <w:jc w:val="both"/>
        <w:rPr>
          <w:b/>
          <w:lang w:val="nl-NL"/>
        </w:rPr>
      </w:pPr>
      <w:r w:rsidRPr="004B4326">
        <w:rPr>
          <w:b/>
          <w:lang w:val="nl-NL"/>
        </w:rPr>
        <w:t>De omzet in het tweede kwartaal steeg met 12% ten opzichte van die in het eerste kwartaal</w:t>
      </w:r>
    </w:p>
    <w:p w:rsidR="00EA3133" w:rsidRDefault="00EA3133" w:rsidP="00EA3133">
      <w:pPr>
        <w:pStyle w:val="Listenabsatz"/>
        <w:numPr>
          <w:ilvl w:val="0"/>
          <w:numId w:val="9"/>
        </w:numPr>
        <w:spacing w:after="200"/>
        <w:jc w:val="both"/>
        <w:rPr>
          <w:b/>
          <w:lang w:val="en-US"/>
        </w:rPr>
      </w:pPr>
      <w:proofErr w:type="spellStart"/>
      <w:r w:rsidRPr="00EA3133">
        <w:rPr>
          <w:b/>
          <w:lang w:val="en-US"/>
        </w:rPr>
        <w:t>Aanzienlijke</w:t>
      </w:r>
      <w:proofErr w:type="spellEnd"/>
      <w:r w:rsidRPr="00EA3133">
        <w:rPr>
          <w:b/>
          <w:lang w:val="en-US"/>
        </w:rPr>
        <w:t xml:space="preserve"> </w:t>
      </w:r>
      <w:proofErr w:type="spellStart"/>
      <w:r w:rsidRPr="00EA3133">
        <w:rPr>
          <w:b/>
          <w:lang w:val="en-US"/>
        </w:rPr>
        <w:t>toe</w:t>
      </w:r>
      <w:r>
        <w:rPr>
          <w:b/>
          <w:lang w:val="en-US"/>
        </w:rPr>
        <w:t>name</w:t>
      </w:r>
      <w:proofErr w:type="spellEnd"/>
      <w:r>
        <w:rPr>
          <w:b/>
          <w:lang w:val="en-US"/>
        </w:rPr>
        <w:t xml:space="preserve"> in Supply Chain Management</w:t>
      </w:r>
    </w:p>
    <w:p w:rsidR="00EA3133" w:rsidRPr="00EA3133" w:rsidRDefault="00EA3133" w:rsidP="00EA3133">
      <w:pPr>
        <w:pStyle w:val="Listenabsatz"/>
        <w:spacing w:after="200"/>
        <w:jc w:val="both"/>
        <w:rPr>
          <w:b/>
          <w:lang w:val="en-US"/>
        </w:rPr>
      </w:pPr>
    </w:p>
    <w:p w:rsidR="00EA3133" w:rsidRDefault="00DC45C9" w:rsidP="00EA3133">
      <w:pPr>
        <w:jc w:val="both"/>
        <w:rPr>
          <w:lang w:val="nl-NL"/>
        </w:rPr>
      </w:pPr>
      <w:r>
        <w:rPr>
          <w:b/>
          <w:lang w:val="nl-NL"/>
        </w:rPr>
        <w:t>Deventer</w:t>
      </w:r>
      <w:r w:rsidR="00544921" w:rsidRPr="00753238">
        <w:rPr>
          <w:b/>
          <w:lang w:val="nl-NL"/>
        </w:rPr>
        <w:t xml:space="preserve">, </w:t>
      </w:r>
      <w:r w:rsidR="009C0677">
        <w:rPr>
          <w:b/>
          <w:lang w:val="nl-NL"/>
        </w:rPr>
        <w:t>04 juli</w:t>
      </w:r>
      <w:r w:rsidR="00544921" w:rsidRPr="00753238">
        <w:rPr>
          <w:b/>
          <w:lang w:val="nl-NL"/>
        </w:rPr>
        <w:t xml:space="preserve"> 2019 -</w:t>
      </w:r>
      <w:r w:rsidR="00544921" w:rsidRPr="008D3A87">
        <w:rPr>
          <w:lang w:val="nl-NL"/>
        </w:rPr>
        <w:t xml:space="preserve"> </w:t>
      </w:r>
      <w:r w:rsidR="00544921" w:rsidRPr="00EA3133">
        <w:rPr>
          <w:color w:val="BA0C2F"/>
          <w:lang w:val="nl-NL"/>
        </w:rPr>
        <w:t>Rood</w:t>
      </w:r>
      <w:r w:rsidR="00544921" w:rsidRPr="008D3A87">
        <w:rPr>
          <w:lang w:val="nl-NL"/>
        </w:rPr>
        <w:t xml:space="preserve">Microtec N.V., </w:t>
      </w:r>
      <w:r w:rsidR="00B46E29">
        <w:rPr>
          <w:lang w:val="nl-NL"/>
        </w:rPr>
        <w:t>de</w:t>
      </w:r>
      <w:r w:rsidR="00544921" w:rsidRPr="008D3A87">
        <w:rPr>
          <w:lang w:val="nl-NL"/>
        </w:rPr>
        <w:t xml:space="preserve"> toonaangevende onafhankelijke </w:t>
      </w:r>
      <w:r w:rsidR="00B46E29">
        <w:rPr>
          <w:lang w:val="nl-NL"/>
        </w:rPr>
        <w:t>onderneming</w:t>
      </w:r>
      <w:r w:rsidR="00544921" w:rsidRPr="008D3A87">
        <w:rPr>
          <w:lang w:val="nl-NL"/>
        </w:rPr>
        <w:t xml:space="preserve"> </w:t>
      </w:r>
      <w:r w:rsidR="00B46E29" w:rsidRPr="00B46E29">
        <w:rPr>
          <w:lang w:val="nl-NL"/>
        </w:rPr>
        <w:t>op het gebied van halfgeleiders en  ondersteunende diensten</w:t>
      </w:r>
      <w:r w:rsidR="0034702E">
        <w:rPr>
          <w:lang w:val="nl-NL"/>
        </w:rPr>
        <w:t>,</w:t>
      </w:r>
      <w:r w:rsidR="00EA3133">
        <w:rPr>
          <w:lang w:val="nl-NL"/>
        </w:rPr>
        <w:t xml:space="preserve"> heeft vandaag haar halfjaarlijkse omzet voor de periode eindigend op 30 juni 2019 gepubliceerd. De omzet over de eerste helft van 2019 bedroeg EUR 6,4 miljoen, 7% lager dan in de eerste helft van 2018, met een stijging van 12% in het tweede kwartaal ten opzichte van het eerste kwartaal. </w:t>
      </w:r>
    </w:p>
    <w:p w:rsidR="00EA3133" w:rsidRDefault="00EA3133" w:rsidP="00EA3133">
      <w:pPr>
        <w:jc w:val="both"/>
        <w:rPr>
          <w:lang w:val="nl-NL"/>
        </w:rPr>
      </w:pPr>
      <w:r>
        <w:rPr>
          <w:lang w:val="nl-NL"/>
        </w:rPr>
        <w:t xml:space="preserve">De toename van de Supply Chain Management activiteiten is bemoedigend en toont aan dat de algemene strategie van de onderneming ook onder moeilijke marktomstandigheden vruchten afwerpt. Test Operations handhaaft een constant niveau en de daling van de Qualification &amp; Failure Analysis is voornamelijk te wijten aan de geleidelijke stopzetting van de burn-in activiteiten. Binnen de markten steeg de omzet van </w:t>
      </w:r>
      <w:r w:rsidRPr="00EA3133">
        <w:rPr>
          <w:color w:val="BA0C2F"/>
          <w:lang w:val="nl-NL"/>
        </w:rPr>
        <w:t>Rood</w:t>
      </w:r>
      <w:r>
        <w:rPr>
          <w:lang w:val="nl-NL"/>
        </w:rPr>
        <w:t>Microtec in de industriële sector met 5% ten opzichte van vorig jaar, terwijl de automobielsector een daling van 17% liet zien nadat een van onze klanten een groot project had verloren, wat resulteerde in een daling van de vraag.</w:t>
      </w:r>
    </w:p>
    <w:p w:rsidR="00EA3133" w:rsidRDefault="00EA3133" w:rsidP="00EA3133">
      <w:pPr>
        <w:jc w:val="both"/>
        <w:rPr>
          <w:lang w:val="nl-NL"/>
        </w:rPr>
      </w:pPr>
      <w:r>
        <w:rPr>
          <w:lang w:val="nl-NL"/>
        </w:rPr>
        <w:t xml:space="preserve">"Ondanks de zwakke start van het jaar in het eerste kwartaal zijn we hard blijven werken aan de implementatie van de strategie van de onderneming en dit heeft geresulteerd in een stijging van de omzet in het tweede kwartaal ten opzichte van het eerste kwartaal van 2019. Onze strategie om te evolueren naar lange termijn engagementen met onze klanten blijft de omzet in Supply Chain Management verbeteren", zegt Martin Sallenhag, CEO van </w:t>
      </w:r>
      <w:r w:rsidRPr="00EA3133">
        <w:rPr>
          <w:color w:val="BA0C2F"/>
          <w:lang w:val="nl-NL"/>
        </w:rPr>
        <w:t>Rood</w:t>
      </w:r>
      <w:r>
        <w:rPr>
          <w:lang w:val="nl-NL"/>
        </w:rPr>
        <w:t>Microtec.</w:t>
      </w:r>
    </w:p>
    <w:p w:rsidR="00EA3133" w:rsidRDefault="00EA3133" w:rsidP="00EA3133">
      <w:pPr>
        <w:jc w:val="both"/>
        <w:rPr>
          <w:lang w:val="nl-NL"/>
        </w:rPr>
      </w:pPr>
    </w:p>
    <w:p w:rsidR="00EA3133" w:rsidRDefault="00EA3133" w:rsidP="00EA3133">
      <w:pPr>
        <w:spacing w:after="0"/>
        <w:jc w:val="both"/>
        <w:rPr>
          <w:b/>
          <w:lang w:val="nl-NL"/>
        </w:rPr>
      </w:pPr>
      <w:r>
        <w:rPr>
          <w:b/>
          <w:lang w:val="nl-NL"/>
        </w:rPr>
        <w:t>Omzet per business unit in de eerste helft van 2019 in vergelijking met de eerste helft van 2018:</w:t>
      </w:r>
    </w:p>
    <w:p w:rsidR="00EA3133" w:rsidRDefault="00EA3133" w:rsidP="00EA3133">
      <w:pPr>
        <w:spacing w:after="0"/>
        <w:jc w:val="both"/>
        <w:rPr>
          <w:b/>
          <w:lang w:val="nl-NL"/>
        </w:rPr>
      </w:pPr>
    </w:p>
    <w:tbl>
      <w:tblPr>
        <w:tblStyle w:val="Tabellenrast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1843"/>
        <w:gridCol w:w="1310"/>
        <w:gridCol w:w="1459"/>
      </w:tblGrid>
      <w:tr w:rsidR="00EA3133" w:rsidTr="00EA3133">
        <w:tc>
          <w:tcPr>
            <w:tcW w:w="3510" w:type="dxa"/>
            <w:hideMark/>
          </w:tcPr>
          <w:p w:rsidR="00EA3133" w:rsidRDefault="00EA3133">
            <w:pPr>
              <w:spacing w:after="0"/>
              <w:jc w:val="both"/>
              <w:rPr>
                <w:b/>
                <w:lang w:val="de-DE"/>
              </w:rPr>
            </w:pPr>
            <w:r>
              <w:rPr>
                <w:b/>
              </w:rPr>
              <w:t>(x € 1,000)</w:t>
            </w:r>
          </w:p>
        </w:tc>
        <w:tc>
          <w:tcPr>
            <w:tcW w:w="1843" w:type="dxa"/>
            <w:hideMark/>
          </w:tcPr>
          <w:p w:rsidR="00EA3133" w:rsidRDefault="00EA3133">
            <w:pPr>
              <w:spacing w:after="0"/>
              <w:jc w:val="both"/>
              <w:rPr>
                <w:b/>
              </w:rPr>
            </w:pPr>
            <w:r>
              <w:rPr>
                <w:b/>
              </w:rPr>
              <w:t>HY1 2019</w:t>
            </w:r>
          </w:p>
        </w:tc>
        <w:tc>
          <w:tcPr>
            <w:tcW w:w="1310" w:type="dxa"/>
            <w:hideMark/>
          </w:tcPr>
          <w:p w:rsidR="00EA3133" w:rsidRDefault="00EA3133">
            <w:pPr>
              <w:spacing w:after="0"/>
              <w:jc w:val="both"/>
              <w:rPr>
                <w:b/>
              </w:rPr>
            </w:pPr>
            <w:r>
              <w:rPr>
                <w:b/>
              </w:rPr>
              <w:t>HY1 2018</w:t>
            </w:r>
          </w:p>
        </w:tc>
        <w:tc>
          <w:tcPr>
            <w:tcW w:w="1417" w:type="dxa"/>
            <w:hideMark/>
          </w:tcPr>
          <w:p w:rsidR="00EA3133" w:rsidRDefault="00EA3133">
            <w:pPr>
              <w:spacing w:after="0"/>
              <w:ind w:right="113"/>
              <w:jc w:val="right"/>
              <w:rPr>
                <w:b/>
              </w:rPr>
            </w:pPr>
            <w:proofErr w:type="spellStart"/>
            <w:r>
              <w:rPr>
                <w:b/>
              </w:rPr>
              <w:t>Verandering</w:t>
            </w:r>
            <w:proofErr w:type="spellEnd"/>
          </w:p>
        </w:tc>
      </w:tr>
      <w:tr w:rsidR="00EA3133" w:rsidTr="00EA3133">
        <w:tc>
          <w:tcPr>
            <w:tcW w:w="3510" w:type="dxa"/>
            <w:hideMark/>
          </w:tcPr>
          <w:p w:rsidR="00EA3133" w:rsidRDefault="00EA3133">
            <w:pPr>
              <w:spacing w:after="0"/>
              <w:jc w:val="both"/>
            </w:pPr>
            <w:r>
              <w:t xml:space="preserve">Test Operations </w:t>
            </w:r>
          </w:p>
        </w:tc>
        <w:tc>
          <w:tcPr>
            <w:tcW w:w="1843" w:type="dxa"/>
            <w:hideMark/>
          </w:tcPr>
          <w:p w:rsidR="00EA3133" w:rsidRDefault="00EA3133">
            <w:pPr>
              <w:spacing w:after="0"/>
              <w:jc w:val="both"/>
            </w:pPr>
            <w:r>
              <w:t>3.142</w:t>
            </w:r>
          </w:p>
        </w:tc>
        <w:tc>
          <w:tcPr>
            <w:tcW w:w="1310" w:type="dxa"/>
            <w:hideMark/>
          </w:tcPr>
          <w:p w:rsidR="00EA3133" w:rsidRDefault="00EA3133">
            <w:pPr>
              <w:spacing w:after="0"/>
              <w:jc w:val="both"/>
            </w:pPr>
            <w:r>
              <w:t>3.316</w:t>
            </w:r>
          </w:p>
        </w:tc>
        <w:tc>
          <w:tcPr>
            <w:tcW w:w="1417" w:type="dxa"/>
            <w:hideMark/>
          </w:tcPr>
          <w:p w:rsidR="00EA3133" w:rsidRDefault="00EA3133">
            <w:pPr>
              <w:spacing w:after="0"/>
              <w:ind w:right="113"/>
              <w:jc w:val="right"/>
            </w:pPr>
            <w:r>
              <w:t>-5%</w:t>
            </w:r>
          </w:p>
        </w:tc>
      </w:tr>
      <w:tr w:rsidR="00EA3133" w:rsidTr="00EA3133">
        <w:tc>
          <w:tcPr>
            <w:tcW w:w="3510" w:type="dxa"/>
            <w:hideMark/>
          </w:tcPr>
          <w:p w:rsidR="00EA3133" w:rsidRDefault="00EA3133">
            <w:pPr>
              <w:spacing w:after="0"/>
              <w:jc w:val="both"/>
            </w:pPr>
            <w:r>
              <w:t>Supply Chain Management (SCM)</w:t>
            </w:r>
          </w:p>
        </w:tc>
        <w:tc>
          <w:tcPr>
            <w:tcW w:w="1843" w:type="dxa"/>
            <w:hideMark/>
          </w:tcPr>
          <w:p w:rsidR="00EA3133" w:rsidRDefault="00EA3133">
            <w:pPr>
              <w:spacing w:after="0"/>
              <w:jc w:val="both"/>
            </w:pPr>
            <w:r>
              <w:t>1.596</w:t>
            </w:r>
          </w:p>
        </w:tc>
        <w:tc>
          <w:tcPr>
            <w:tcW w:w="1310" w:type="dxa"/>
            <w:hideMark/>
          </w:tcPr>
          <w:p w:rsidR="00EA3133" w:rsidRDefault="00EA3133">
            <w:pPr>
              <w:spacing w:after="0"/>
              <w:jc w:val="both"/>
            </w:pPr>
            <w:r>
              <w:t>1.460</w:t>
            </w:r>
          </w:p>
        </w:tc>
        <w:tc>
          <w:tcPr>
            <w:tcW w:w="1417" w:type="dxa"/>
            <w:hideMark/>
          </w:tcPr>
          <w:p w:rsidR="00EA3133" w:rsidRDefault="00EA3133">
            <w:pPr>
              <w:spacing w:after="0"/>
              <w:ind w:right="113"/>
              <w:jc w:val="right"/>
            </w:pPr>
            <w:r>
              <w:t>+9%</w:t>
            </w:r>
          </w:p>
        </w:tc>
      </w:tr>
      <w:tr w:rsidR="00EA3133" w:rsidTr="00EA3133">
        <w:tc>
          <w:tcPr>
            <w:tcW w:w="3510" w:type="dxa"/>
            <w:hideMark/>
          </w:tcPr>
          <w:p w:rsidR="00EA3133" w:rsidRDefault="00EA3133">
            <w:pPr>
              <w:spacing w:after="0"/>
              <w:jc w:val="both"/>
            </w:pPr>
            <w:r>
              <w:t xml:space="preserve">Qualification &amp; Failure Analysis </w:t>
            </w:r>
          </w:p>
        </w:tc>
        <w:tc>
          <w:tcPr>
            <w:tcW w:w="1843" w:type="dxa"/>
            <w:hideMark/>
          </w:tcPr>
          <w:p w:rsidR="00EA3133" w:rsidRDefault="00EA3133">
            <w:pPr>
              <w:spacing w:after="0"/>
              <w:jc w:val="both"/>
            </w:pPr>
            <w:r>
              <w:t>1.655</w:t>
            </w:r>
          </w:p>
        </w:tc>
        <w:tc>
          <w:tcPr>
            <w:tcW w:w="1310" w:type="dxa"/>
            <w:hideMark/>
          </w:tcPr>
          <w:p w:rsidR="00EA3133" w:rsidRDefault="00EA3133">
            <w:pPr>
              <w:spacing w:after="0"/>
              <w:jc w:val="both"/>
            </w:pPr>
            <w:r>
              <w:t>2.067</w:t>
            </w:r>
          </w:p>
        </w:tc>
        <w:tc>
          <w:tcPr>
            <w:tcW w:w="1417" w:type="dxa"/>
            <w:hideMark/>
          </w:tcPr>
          <w:p w:rsidR="00EA3133" w:rsidRDefault="00EA3133">
            <w:pPr>
              <w:spacing w:after="0"/>
              <w:ind w:right="113"/>
              <w:jc w:val="right"/>
            </w:pPr>
            <w:r>
              <w:t>-20%</w:t>
            </w:r>
          </w:p>
        </w:tc>
      </w:tr>
      <w:tr w:rsidR="00EA3133" w:rsidTr="00EA3133">
        <w:tc>
          <w:tcPr>
            <w:tcW w:w="3510" w:type="dxa"/>
            <w:hideMark/>
          </w:tcPr>
          <w:p w:rsidR="00EA3133" w:rsidRDefault="00EA3133">
            <w:pPr>
              <w:spacing w:after="0"/>
              <w:jc w:val="both"/>
              <w:rPr>
                <w:b/>
              </w:rPr>
            </w:pPr>
            <w:r>
              <w:rPr>
                <w:b/>
              </w:rPr>
              <w:t>TOTAAL</w:t>
            </w:r>
          </w:p>
        </w:tc>
        <w:tc>
          <w:tcPr>
            <w:tcW w:w="1843" w:type="dxa"/>
            <w:hideMark/>
          </w:tcPr>
          <w:p w:rsidR="00EA3133" w:rsidRDefault="00EA3133">
            <w:pPr>
              <w:spacing w:after="0"/>
              <w:jc w:val="both"/>
              <w:rPr>
                <w:b/>
              </w:rPr>
            </w:pPr>
            <w:r>
              <w:rPr>
                <w:b/>
              </w:rPr>
              <w:t>6.393</w:t>
            </w:r>
          </w:p>
        </w:tc>
        <w:tc>
          <w:tcPr>
            <w:tcW w:w="1310" w:type="dxa"/>
            <w:hideMark/>
          </w:tcPr>
          <w:p w:rsidR="00EA3133" w:rsidRDefault="00EA3133">
            <w:pPr>
              <w:spacing w:after="0"/>
              <w:jc w:val="both"/>
              <w:rPr>
                <w:b/>
              </w:rPr>
            </w:pPr>
            <w:r>
              <w:rPr>
                <w:b/>
              </w:rPr>
              <w:t>6.843</w:t>
            </w:r>
          </w:p>
        </w:tc>
        <w:tc>
          <w:tcPr>
            <w:tcW w:w="1417" w:type="dxa"/>
            <w:hideMark/>
          </w:tcPr>
          <w:p w:rsidR="00EA3133" w:rsidRDefault="00EA3133">
            <w:pPr>
              <w:spacing w:after="0"/>
              <w:ind w:right="113"/>
              <w:jc w:val="right"/>
              <w:rPr>
                <w:b/>
              </w:rPr>
            </w:pPr>
            <w:r>
              <w:rPr>
                <w:b/>
              </w:rPr>
              <w:t>-7%</w:t>
            </w:r>
          </w:p>
        </w:tc>
      </w:tr>
    </w:tbl>
    <w:p w:rsidR="00EA3133" w:rsidRDefault="00EA3133" w:rsidP="00EA3133">
      <w:pPr>
        <w:jc w:val="both"/>
        <w:rPr>
          <w:lang w:val="nl-NL"/>
        </w:rPr>
      </w:pPr>
    </w:p>
    <w:p w:rsidR="00EA3133" w:rsidRDefault="00EA3133">
      <w:pPr>
        <w:spacing w:after="0" w:line="240" w:lineRule="auto"/>
        <w:rPr>
          <w:b/>
          <w:color w:val="BA0C2F"/>
          <w:lang w:val="nl-NL"/>
        </w:rPr>
      </w:pPr>
      <w:r>
        <w:rPr>
          <w:b/>
          <w:color w:val="BA0C2F"/>
          <w:lang w:val="nl-NL"/>
        </w:rPr>
        <w:br w:type="page"/>
      </w:r>
    </w:p>
    <w:p w:rsidR="00EA3133" w:rsidRPr="00EA3133" w:rsidRDefault="00EA3133" w:rsidP="00EA3133">
      <w:pPr>
        <w:tabs>
          <w:tab w:val="left" w:pos="9922"/>
        </w:tabs>
        <w:jc w:val="both"/>
        <w:rPr>
          <w:b/>
          <w:color w:val="BA0C2F"/>
          <w:lang w:val="nl-NL"/>
        </w:rPr>
      </w:pPr>
      <w:r w:rsidRPr="00EA3133">
        <w:rPr>
          <w:b/>
          <w:color w:val="BA0C2F"/>
          <w:lang w:val="nl-NL"/>
        </w:rPr>
        <w:lastRenderedPageBreak/>
        <w:t xml:space="preserve">Vooruitzichten </w:t>
      </w:r>
    </w:p>
    <w:p w:rsidR="00EA3133" w:rsidRDefault="00EA3133" w:rsidP="00EA3133">
      <w:pPr>
        <w:jc w:val="both"/>
        <w:rPr>
          <w:bCs/>
          <w:lang w:val="nl-NL"/>
        </w:rPr>
      </w:pPr>
      <w:r>
        <w:rPr>
          <w:bCs/>
          <w:lang w:val="nl-NL"/>
        </w:rPr>
        <w:t xml:space="preserve">Op basis van nieuwe opdrachten en een toenemend aantal ASIC supply chain projecten in de pijplijn, verwacht </w:t>
      </w:r>
      <w:r w:rsidRPr="00EA3133">
        <w:rPr>
          <w:bCs/>
          <w:color w:val="BA0C2F"/>
          <w:lang w:val="nl-NL"/>
        </w:rPr>
        <w:t>Rood</w:t>
      </w:r>
      <w:r>
        <w:rPr>
          <w:bCs/>
          <w:lang w:val="nl-NL"/>
        </w:rPr>
        <w:t>Microtec een aanhoudende omzetgroei over de komende jaren te rapporteren en elk jaar betere positieve nettoresultaten te boeken. Met een minder sterk groeiende economie en geopolitieke onzekerheid zal de omzet in 2020 naar verwachting tussen de EUR 16 miljoen en de EUR 18 miljoen uitkomen.</w:t>
      </w:r>
    </w:p>
    <w:p w:rsidR="00EA3133" w:rsidRDefault="00EA3133" w:rsidP="00EA3133">
      <w:pPr>
        <w:jc w:val="both"/>
        <w:rPr>
          <w:lang w:val="nl-NL"/>
        </w:rPr>
      </w:pPr>
      <w:r>
        <w:rPr>
          <w:lang w:val="nl-NL"/>
        </w:rPr>
        <w:t>Het halfjaar bericht 2019 zal worden gepubliceerd op 1 augustus 2019 en op dezelfde dag wordt de conference call voor pers en analisten gehouden.</w:t>
      </w:r>
    </w:p>
    <w:p w:rsidR="00EA3133" w:rsidRDefault="00EA3133" w:rsidP="00EA3133">
      <w:pPr>
        <w:jc w:val="both"/>
        <w:rPr>
          <w:lang w:val="nl-NL"/>
        </w:rPr>
      </w:pPr>
    </w:p>
    <w:p w:rsidR="00EA3133" w:rsidRPr="00EA3133" w:rsidRDefault="00EA3133" w:rsidP="00EA3133">
      <w:pPr>
        <w:tabs>
          <w:tab w:val="left" w:pos="9922"/>
        </w:tabs>
        <w:jc w:val="both"/>
        <w:rPr>
          <w:b/>
          <w:color w:val="BA0C2F"/>
          <w:lang w:val="nl-NL"/>
        </w:rPr>
      </w:pPr>
      <w:r w:rsidRPr="00EA3133">
        <w:rPr>
          <w:b/>
          <w:color w:val="BA0C2F"/>
          <w:lang w:val="nl-NL"/>
        </w:rPr>
        <w:t>Financiële agenda</w:t>
      </w:r>
    </w:p>
    <w:tbl>
      <w:tblPr>
        <w:tblW w:w="9604" w:type="dxa"/>
        <w:tblInd w:w="2" w:type="dxa"/>
        <w:tblLook w:val="00A0" w:firstRow="1" w:lastRow="0" w:firstColumn="1" w:lastColumn="0" w:noHBand="0" w:noVBand="0"/>
      </w:tblPr>
      <w:tblGrid>
        <w:gridCol w:w="2800"/>
        <w:gridCol w:w="6804"/>
      </w:tblGrid>
      <w:tr w:rsidR="00EA3133" w:rsidRPr="00EA3133" w:rsidTr="00EA3133">
        <w:trPr>
          <w:trHeight w:val="287"/>
        </w:trPr>
        <w:tc>
          <w:tcPr>
            <w:tcW w:w="2800" w:type="dxa"/>
            <w:hideMark/>
          </w:tcPr>
          <w:p w:rsidR="00EA3133" w:rsidRPr="00EA3133" w:rsidRDefault="00EA3133" w:rsidP="00EA3133">
            <w:pPr>
              <w:spacing w:after="0"/>
              <w:jc w:val="both"/>
              <w:rPr>
                <w:rFonts w:asciiTheme="minorHAnsi" w:hAnsiTheme="minorHAnsi" w:cstheme="minorHAnsi"/>
                <w:lang w:val="nl-NL"/>
              </w:rPr>
            </w:pPr>
            <w:r w:rsidRPr="00EA3133">
              <w:rPr>
                <w:rFonts w:asciiTheme="minorHAnsi" w:hAnsiTheme="minorHAnsi" w:cstheme="minorHAnsi"/>
                <w:lang w:val="nl-NL"/>
              </w:rPr>
              <w:t>01 augustus 2019</w:t>
            </w:r>
          </w:p>
        </w:tc>
        <w:tc>
          <w:tcPr>
            <w:tcW w:w="6804" w:type="dxa"/>
            <w:hideMark/>
          </w:tcPr>
          <w:p w:rsidR="00EA3133" w:rsidRPr="00EA3133" w:rsidRDefault="00EA3133" w:rsidP="004B4326">
            <w:pPr>
              <w:spacing w:after="0"/>
              <w:jc w:val="both"/>
              <w:rPr>
                <w:rFonts w:asciiTheme="minorHAnsi" w:hAnsiTheme="minorHAnsi" w:cstheme="minorHAnsi"/>
                <w:lang w:val="nl-NL"/>
              </w:rPr>
            </w:pPr>
            <w:r w:rsidRPr="00EA3133">
              <w:rPr>
                <w:rFonts w:asciiTheme="minorHAnsi" w:hAnsiTheme="minorHAnsi" w:cstheme="minorHAnsi"/>
                <w:lang w:val="nl-NL"/>
              </w:rPr>
              <w:t>Publicatie halfjaarbericht 2019</w:t>
            </w:r>
          </w:p>
        </w:tc>
      </w:tr>
      <w:tr w:rsidR="00EA3133" w:rsidRPr="00EA3133" w:rsidTr="00EA3133">
        <w:trPr>
          <w:trHeight w:val="292"/>
        </w:trPr>
        <w:tc>
          <w:tcPr>
            <w:tcW w:w="2800" w:type="dxa"/>
            <w:hideMark/>
          </w:tcPr>
          <w:p w:rsidR="00EA3133" w:rsidRPr="00EA3133" w:rsidRDefault="00EA3133" w:rsidP="00EA3133">
            <w:pPr>
              <w:spacing w:after="0"/>
              <w:jc w:val="both"/>
              <w:rPr>
                <w:rFonts w:asciiTheme="minorHAnsi" w:hAnsiTheme="minorHAnsi" w:cstheme="minorHAnsi"/>
                <w:lang w:val="nl-NL"/>
              </w:rPr>
            </w:pPr>
            <w:r w:rsidRPr="00EA3133">
              <w:rPr>
                <w:rFonts w:asciiTheme="minorHAnsi" w:hAnsiTheme="minorHAnsi" w:cstheme="minorHAnsi"/>
                <w:lang w:val="nl-NL"/>
              </w:rPr>
              <w:t>01 augustus 2019</w:t>
            </w:r>
          </w:p>
        </w:tc>
        <w:tc>
          <w:tcPr>
            <w:tcW w:w="6804" w:type="dxa"/>
            <w:hideMark/>
          </w:tcPr>
          <w:p w:rsidR="00EA3133" w:rsidRPr="00EA3133" w:rsidRDefault="00EA3133" w:rsidP="00EA3133">
            <w:pPr>
              <w:spacing w:after="0"/>
              <w:jc w:val="both"/>
              <w:rPr>
                <w:rFonts w:asciiTheme="minorHAnsi" w:hAnsiTheme="minorHAnsi" w:cstheme="minorHAnsi"/>
                <w:lang w:val="nl-NL"/>
              </w:rPr>
            </w:pPr>
            <w:r w:rsidRPr="00EA3133">
              <w:rPr>
                <w:rFonts w:asciiTheme="minorHAnsi" w:hAnsiTheme="minorHAnsi" w:cstheme="minorHAnsi"/>
                <w:lang w:val="nl-NL"/>
              </w:rPr>
              <w:t>Conference call voor pers en analisten</w:t>
            </w:r>
          </w:p>
        </w:tc>
      </w:tr>
      <w:tr w:rsidR="00EA3133" w:rsidTr="004239D6">
        <w:trPr>
          <w:trHeight w:val="292"/>
        </w:trPr>
        <w:tc>
          <w:tcPr>
            <w:tcW w:w="2800" w:type="dxa"/>
            <w:hideMark/>
          </w:tcPr>
          <w:p w:rsidR="00EA3133" w:rsidRPr="00EA3133" w:rsidRDefault="00EA3133" w:rsidP="00EA3133">
            <w:pPr>
              <w:spacing w:after="0"/>
              <w:jc w:val="both"/>
              <w:rPr>
                <w:rFonts w:asciiTheme="minorHAnsi" w:hAnsiTheme="minorHAnsi" w:cstheme="minorHAnsi"/>
                <w:lang w:val="nl-NL"/>
              </w:rPr>
            </w:pPr>
            <w:r w:rsidRPr="00EA3133">
              <w:rPr>
                <w:rFonts w:asciiTheme="minorHAnsi" w:hAnsiTheme="minorHAnsi" w:cstheme="minorHAnsi"/>
                <w:lang w:val="nl-NL"/>
              </w:rPr>
              <w:t>1</w:t>
            </w:r>
            <w:r>
              <w:rPr>
                <w:rFonts w:asciiTheme="minorHAnsi" w:hAnsiTheme="minorHAnsi" w:cstheme="minorHAnsi"/>
                <w:lang w:val="nl-NL"/>
              </w:rPr>
              <w:t>7</w:t>
            </w:r>
            <w:r w:rsidRPr="00EA3133">
              <w:rPr>
                <w:rFonts w:asciiTheme="minorHAnsi" w:hAnsiTheme="minorHAnsi" w:cstheme="minorHAnsi"/>
                <w:lang w:val="nl-NL"/>
              </w:rPr>
              <w:t xml:space="preserve"> october 20</w:t>
            </w:r>
            <w:r>
              <w:rPr>
                <w:rFonts w:asciiTheme="minorHAnsi" w:hAnsiTheme="minorHAnsi" w:cstheme="minorHAnsi"/>
                <w:lang w:val="nl-NL"/>
              </w:rPr>
              <w:t>19</w:t>
            </w:r>
          </w:p>
        </w:tc>
        <w:tc>
          <w:tcPr>
            <w:tcW w:w="6804" w:type="dxa"/>
            <w:hideMark/>
          </w:tcPr>
          <w:p w:rsidR="00EA3133" w:rsidRPr="00EA3133" w:rsidRDefault="00EA3133" w:rsidP="004239D6">
            <w:pPr>
              <w:spacing w:after="0"/>
              <w:jc w:val="both"/>
              <w:rPr>
                <w:rFonts w:asciiTheme="minorHAnsi" w:hAnsiTheme="minorHAnsi" w:cstheme="minorHAnsi"/>
                <w:lang w:val="nl-NL"/>
              </w:rPr>
            </w:pPr>
            <w:r>
              <w:rPr>
                <w:rFonts w:asciiTheme="minorHAnsi" w:hAnsiTheme="minorHAnsi" w:cstheme="minorHAnsi"/>
                <w:lang w:val="nl-NL"/>
              </w:rPr>
              <w:t>Trading update kwartaal 3-2019</w:t>
            </w:r>
          </w:p>
        </w:tc>
      </w:tr>
      <w:tr w:rsidR="00EA3133" w:rsidTr="00EA3133">
        <w:trPr>
          <w:trHeight w:val="292"/>
        </w:trPr>
        <w:tc>
          <w:tcPr>
            <w:tcW w:w="2800" w:type="dxa"/>
            <w:hideMark/>
          </w:tcPr>
          <w:p w:rsidR="00EA3133" w:rsidRPr="00EA3133" w:rsidRDefault="00EA3133" w:rsidP="00EA3133">
            <w:pPr>
              <w:spacing w:after="0"/>
              <w:jc w:val="both"/>
              <w:rPr>
                <w:rFonts w:asciiTheme="minorHAnsi" w:hAnsiTheme="minorHAnsi" w:cstheme="minorHAnsi"/>
                <w:lang w:val="nl-NL"/>
              </w:rPr>
            </w:pPr>
            <w:r w:rsidRPr="00EA3133">
              <w:rPr>
                <w:rFonts w:asciiTheme="minorHAnsi" w:hAnsiTheme="minorHAnsi" w:cstheme="minorHAnsi"/>
                <w:lang w:val="nl-NL"/>
              </w:rPr>
              <w:t>23 januari 2020</w:t>
            </w:r>
          </w:p>
        </w:tc>
        <w:tc>
          <w:tcPr>
            <w:tcW w:w="6804" w:type="dxa"/>
            <w:hideMark/>
          </w:tcPr>
          <w:p w:rsidR="00EA3133" w:rsidRPr="00EA3133" w:rsidRDefault="00EA3133" w:rsidP="004B4326">
            <w:pPr>
              <w:spacing w:after="0"/>
              <w:jc w:val="both"/>
              <w:rPr>
                <w:rFonts w:asciiTheme="minorHAnsi" w:hAnsiTheme="minorHAnsi" w:cstheme="minorHAnsi"/>
                <w:lang w:val="nl-NL"/>
              </w:rPr>
            </w:pPr>
            <w:r w:rsidRPr="00EA3133">
              <w:rPr>
                <w:rFonts w:asciiTheme="minorHAnsi" w:hAnsiTheme="minorHAnsi" w:cstheme="minorHAnsi"/>
                <w:lang w:val="nl-NL"/>
              </w:rPr>
              <w:t>Publicatie (</w:t>
            </w:r>
            <w:r w:rsidR="004B4326">
              <w:rPr>
                <w:rFonts w:asciiTheme="minorHAnsi" w:hAnsiTheme="minorHAnsi" w:cstheme="minorHAnsi"/>
                <w:lang w:val="nl-NL"/>
              </w:rPr>
              <w:t>voorlopige</w:t>
            </w:r>
            <w:r w:rsidR="00946E14">
              <w:rPr>
                <w:rFonts w:asciiTheme="minorHAnsi" w:hAnsiTheme="minorHAnsi" w:cstheme="minorHAnsi"/>
                <w:lang w:val="nl-NL"/>
              </w:rPr>
              <w:t>)</w:t>
            </w:r>
            <w:r w:rsidRPr="00EA3133">
              <w:rPr>
                <w:rFonts w:asciiTheme="minorHAnsi" w:hAnsiTheme="minorHAnsi" w:cstheme="minorHAnsi"/>
                <w:lang w:val="nl-NL"/>
              </w:rPr>
              <w:t xml:space="preserve"> omzet 2019</w:t>
            </w:r>
          </w:p>
        </w:tc>
      </w:tr>
      <w:tr w:rsidR="00EA3133" w:rsidTr="00EA3133">
        <w:trPr>
          <w:trHeight w:val="292"/>
        </w:trPr>
        <w:tc>
          <w:tcPr>
            <w:tcW w:w="2800" w:type="dxa"/>
            <w:hideMark/>
          </w:tcPr>
          <w:p w:rsidR="00EA3133" w:rsidRPr="00EA3133" w:rsidRDefault="00EA3133" w:rsidP="00946E14">
            <w:pPr>
              <w:spacing w:after="0"/>
              <w:jc w:val="both"/>
              <w:rPr>
                <w:rFonts w:asciiTheme="minorHAnsi" w:hAnsiTheme="minorHAnsi" w:cstheme="minorHAnsi"/>
                <w:lang w:val="nl-NL"/>
              </w:rPr>
            </w:pPr>
            <w:r w:rsidRPr="00EA3133">
              <w:rPr>
                <w:rFonts w:asciiTheme="minorHAnsi" w:hAnsiTheme="minorHAnsi" w:cstheme="minorHAnsi"/>
                <w:lang w:val="nl-NL"/>
              </w:rPr>
              <w:t>1</w:t>
            </w:r>
            <w:r w:rsidR="00946E14">
              <w:rPr>
                <w:rFonts w:asciiTheme="minorHAnsi" w:hAnsiTheme="minorHAnsi" w:cstheme="minorHAnsi"/>
                <w:lang w:val="nl-NL"/>
              </w:rPr>
              <w:t>2</w:t>
            </w:r>
            <w:r w:rsidRPr="00EA3133">
              <w:rPr>
                <w:rFonts w:asciiTheme="minorHAnsi" w:hAnsiTheme="minorHAnsi" w:cstheme="minorHAnsi"/>
                <w:lang w:val="nl-NL"/>
              </w:rPr>
              <w:t xml:space="preserve"> maart 2020</w:t>
            </w:r>
          </w:p>
        </w:tc>
        <w:tc>
          <w:tcPr>
            <w:tcW w:w="6804" w:type="dxa"/>
            <w:hideMark/>
          </w:tcPr>
          <w:p w:rsidR="00EA3133" w:rsidRPr="00EA3133" w:rsidRDefault="00EA3133" w:rsidP="004B4326">
            <w:pPr>
              <w:spacing w:after="0"/>
              <w:jc w:val="both"/>
              <w:rPr>
                <w:rFonts w:asciiTheme="minorHAnsi" w:hAnsiTheme="minorHAnsi" w:cstheme="minorHAnsi"/>
                <w:lang w:val="nl-NL"/>
              </w:rPr>
            </w:pPr>
            <w:r w:rsidRPr="00EA3133">
              <w:rPr>
                <w:rFonts w:asciiTheme="minorHAnsi" w:hAnsiTheme="minorHAnsi" w:cstheme="minorHAnsi"/>
                <w:lang w:val="nl-NL"/>
              </w:rPr>
              <w:t>Publicatie (</w:t>
            </w:r>
            <w:r w:rsidR="004B4326">
              <w:rPr>
                <w:rFonts w:asciiTheme="minorHAnsi" w:hAnsiTheme="minorHAnsi" w:cstheme="minorHAnsi"/>
                <w:lang w:val="nl-NL"/>
              </w:rPr>
              <w:t>voorlopige</w:t>
            </w:r>
            <w:r w:rsidRPr="00EA3133">
              <w:rPr>
                <w:rFonts w:asciiTheme="minorHAnsi" w:hAnsiTheme="minorHAnsi" w:cstheme="minorHAnsi"/>
                <w:lang w:val="nl-NL"/>
              </w:rPr>
              <w:t>) jaarcijfers 2019</w:t>
            </w:r>
          </w:p>
        </w:tc>
      </w:tr>
      <w:tr w:rsidR="00EA3133" w:rsidTr="00EA3133">
        <w:trPr>
          <w:trHeight w:val="292"/>
        </w:trPr>
        <w:tc>
          <w:tcPr>
            <w:tcW w:w="2800" w:type="dxa"/>
            <w:hideMark/>
          </w:tcPr>
          <w:p w:rsidR="00EA3133" w:rsidRPr="00EA3133" w:rsidRDefault="00EA3133" w:rsidP="00946E14">
            <w:pPr>
              <w:spacing w:after="0"/>
              <w:jc w:val="both"/>
              <w:rPr>
                <w:rFonts w:asciiTheme="minorHAnsi" w:hAnsiTheme="minorHAnsi" w:cstheme="minorHAnsi"/>
                <w:lang w:val="nl-NL"/>
              </w:rPr>
            </w:pPr>
            <w:r w:rsidRPr="00EA3133">
              <w:rPr>
                <w:rFonts w:asciiTheme="minorHAnsi" w:hAnsiTheme="minorHAnsi" w:cstheme="minorHAnsi"/>
                <w:lang w:val="nl-NL"/>
              </w:rPr>
              <w:t>1</w:t>
            </w:r>
            <w:r w:rsidR="00946E14">
              <w:rPr>
                <w:rFonts w:asciiTheme="minorHAnsi" w:hAnsiTheme="minorHAnsi" w:cstheme="minorHAnsi"/>
                <w:lang w:val="nl-NL"/>
              </w:rPr>
              <w:t>2</w:t>
            </w:r>
            <w:bookmarkStart w:id="0" w:name="_GoBack"/>
            <w:bookmarkEnd w:id="0"/>
            <w:r w:rsidRPr="00EA3133">
              <w:rPr>
                <w:rFonts w:asciiTheme="minorHAnsi" w:hAnsiTheme="minorHAnsi" w:cstheme="minorHAnsi"/>
                <w:lang w:val="nl-NL"/>
              </w:rPr>
              <w:t xml:space="preserve"> maart 2020</w:t>
            </w:r>
          </w:p>
        </w:tc>
        <w:tc>
          <w:tcPr>
            <w:tcW w:w="6804" w:type="dxa"/>
            <w:hideMark/>
          </w:tcPr>
          <w:p w:rsidR="00EA3133" w:rsidRPr="00EA3133" w:rsidRDefault="00EA3133" w:rsidP="00EA3133">
            <w:pPr>
              <w:spacing w:after="0"/>
              <w:jc w:val="both"/>
              <w:rPr>
                <w:rFonts w:asciiTheme="minorHAnsi" w:hAnsiTheme="minorHAnsi" w:cstheme="minorHAnsi"/>
                <w:lang w:val="nl-NL"/>
              </w:rPr>
            </w:pPr>
            <w:r w:rsidRPr="00EA3133">
              <w:rPr>
                <w:rFonts w:asciiTheme="minorHAnsi" w:hAnsiTheme="minorHAnsi" w:cstheme="minorHAnsi"/>
                <w:lang w:val="nl-NL"/>
              </w:rPr>
              <w:t>Conference call voor pers en analisten</w:t>
            </w:r>
          </w:p>
        </w:tc>
      </w:tr>
      <w:tr w:rsidR="00EA3133" w:rsidTr="00EA3133">
        <w:trPr>
          <w:trHeight w:val="292"/>
        </w:trPr>
        <w:tc>
          <w:tcPr>
            <w:tcW w:w="2800" w:type="dxa"/>
            <w:hideMark/>
          </w:tcPr>
          <w:p w:rsidR="00EA3133" w:rsidRPr="00EA3133" w:rsidRDefault="00EA3133" w:rsidP="00EA3133">
            <w:pPr>
              <w:spacing w:after="0"/>
              <w:jc w:val="both"/>
              <w:rPr>
                <w:rFonts w:asciiTheme="minorHAnsi" w:hAnsiTheme="minorHAnsi" w:cstheme="minorHAnsi"/>
                <w:lang w:val="nl-NL"/>
              </w:rPr>
            </w:pPr>
            <w:r w:rsidRPr="00EA3133">
              <w:rPr>
                <w:rFonts w:asciiTheme="minorHAnsi" w:hAnsiTheme="minorHAnsi" w:cstheme="minorHAnsi"/>
                <w:lang w:val="nl-NL"/>
              </w:rPr>
              <w:t>09 april 2020</w:t>
            </w:r>
          </w:p>
        </w:tc>
        <w:tc>
          <w:tcPr>
            <w:tcW w:w="6804" w:type="dxa"/>
            <w:hideMark/>
          </w:tcPr>
          <w:p w:rsidR="00EA3133" w:rsidRPr="00EA3133" w:rsidRDefault="00EA3133" w:rsidP="00EA3133">
            <w:pPr>
              <w:spacing w:after="0"/>
              <w:jc w:val="both"/>
              <w:rPr>
                <w:rFonts w:asciiTheme="minorHAnsi" w:hAnsiTheme="minorHAnsi" w:cstheme="minorHAnsi"/>
                <w:lang w:val="nl-NL"/>
              </w:rPr>
            </w:pPr>
            <w:r w:rsidRPr="00EA3133">
              <w:rPr>
                <w:rFonts w:asciiTheme="minorHAnsi" w:hAnsiTheme="minorHAnsi" w:cstheme="minorHAnsi"/>
                <w:lang w:val="nl-NL"/>
              </w:rPr>
              <w:t>Publicatie jaarverslag 2019</w:t>
            </w:r>
          </w:p>
        </w:tc>
      </w:tr>
      <w:tr w:rsidR="00EA3133" w:rsidTr="00EA3133">
        <w:trPr>
          <w:trHeight w:val="292"/>
        </w:trPr>
        <w:tc>
          <w:tcPr>
            <w:tcW w:w="2800" w:type="dxa"/>
            <w:hideMark/>
          </w:tcPr>
          <w:p w:rsidR="00EA3133" w:rsidRPr="00EA3133" w:rsidRDefault="00EA3133" w:rsidP="00EA3133">
            <w:pPr>
              <w:spacing w:after="0"/>
              <w:jc w:val="both"/>
              <w:rPr>
                <w:rFonts w:asciiTheme="minorHAnsi" w:hAnsiTheme="minorHAnsi" w:cstheme="minorHAnsi"/>
                <w:lang w:val="nl-NL"/>
              </w:rPr>
            </w:pPr>
            <w:r w:rsidRPr="00EA3133">
              <w:rPr>
                <w:rFonts w:asciiTheme="minorHAnsi" w:hAnsiTheme="minorHAnsi" w:cstheme="minorHAnsi"/>
                <w:lang w:val="nl-NL"/>
              </w:rPr>
              <w:t>09 april 2020</w:t>
            </w:r>
          </w:p>
        </w:tc>
        <w:tc>
          <w:tcPr>
            <w:tcW w:w="6804" w:type="dxa"/>
            <w:hideMark/>
          </w:tcPr>
          <w:p w:rsidR="00EA3133" w:rsidRPr="00EA3133" w:rsidRDefault="00EA3133" w:rsidP="00EA3133">
            <w:pPr>
              <w:spacing w:after="0"/>
              <w:jc w:val="both"/>
              <w:rPr>
                <w:rFonts w:asciiTheme="minorHAnsi" w:hAnsiTheme="minorHAnsi" w:cstheme="minorHAnsi"/>
                <w:lang w:val="nl-NL"/>
              </w:rPr>
            </w:pPr>
            <w:r w:rsidRPr="00EA3133">
              <w:rPr>
                <w:rFonts w:asciiTheme="minorHAnsi" w:hAnsiTheme="minorHAnsi" w:cstheme="minorHAnsi"/>
                <w:lang w:val="nl-NL"/>
              </w:rPr>
              <w:t>Trading update kwartaal 1-2020</w:t>
            </w:r>
          </w:p>
        </w:tc>
      </w:tr>
      <w:tr w:rsidR="00EA3133" w:rsidTr="00EA3133">
        <w:trPr>
          <w:trHeight w:val="292"/>
        </w:trPr>
        <w:tc>
          <w:tcPr>
            <w:tcW w:w="2800" w:type="dxa"/>
            <w:hideMark/>
          </w:tcPr>
          <w:p w:rsidR="00EA3133" w:rsidRPr="00EA3133" w:rsidRDefault="00EA3133" w:rsidP="00EA3133">
            <w:pPr>
              <w:spacing w:after="0"/>
              <w:jc w:val="both"/>
              <w:rPr>
                <w:rFonts w:asciiTheme="minorHAnsi" w:hAnsiTheme="minorHAnsi" w:cstheme="minorHAnsi"/>
                <w:lang w:val="nl-NL"/>
              </w:rPr>
            </w:pPr>
            <w:r w:rsidRPr="00EA3133">
              <w:rPr>
                <w:rFonts w:asciiTheme="minorHAnsi" w:hAnsiTheme="minorHAnsi" w:cstheme="minorHAnsi"/>
                <w:lang w:val="nl-NL"/>
              </w:rPr>
              <w:t>28 mei 2020</w:t>
            </w:r>
          </w:p>
        </w:tc>
        <w:tc>
          <w:tcPr>
            <w:tcW w:w="6804" w:type="dxa"/>
            <w:hideMark/>
          </w:tcPr>
          <w:p w:rsidR="00EA3133" w:rsidRPr="00EA3133" w:rsidRDefault="00EA3133" w:rsidP="00EA3133">
            <w:pPr>
              <w:spacing w:after="0"/>
              <w:jc w:val="both"/>
              <w:rPr>
                <w:rFonts w:asciiTheme="minorHAnsi" w:hAnsiTheme="minorHAnsi" w:cstheme="minorHAnsi"/>
                <w:lang w:val="nl-NL"/>
              </w:rPr>
            </w:pPr>
            <w:r w:rsidRPr="00EA3133">
              <w:rPr>
                <w:rFonts w:asciiTheme="minorHAnsi" w:hAnsiTheme="minorHAnsi" w:cstheme="minorHAnsi"/>
                <w:lang w:val="nl-NL"/>
              </w:rPr>
              <w:t>Algemene vergadering van aandeelhouders</w:t>
            </w:r>
          </w:p>
        </w:tc>
      </w:tr>
      <w:tr w:rsidR="00EA3133" w:rsidTr="00EA3133">
        <w:trPr>
          <w:trHeight w:val="292"/>
        </w:trPr>
        <w:tc>
          <w:tcPr>
            <w:tcW w:w="2800" w:type="dxa"/>
            <w:hideMark/>
          </w:tcPr>
          <w:p w:rsidR="00EA3133" w:rsidRPr="00EA3133" w:rsidRDefault="00EA3133" w:rsidP="00EA3133">
            <w:pPr>
              <w:spacing w:after="0"/>
              <w:jc w:val="both"/>
              <w:rPr>
                <w:rFonts w:asciiTheme="minorHAnsi" w:hAnsiTheme="minorHAnsi" w:cstheme="minorHAnsi"/>
                <w:lang w:val="nl-NL"/>
              </w:rPr>
            </w:pPr>
            <w:r w:rsidRPr="00EA3133">
              <w:rPr>
                <w:rFonts w:asciiTheme="minorHAnsi" w:hAnsiTheme="minorHAnsi" w:cstheme="minorHAnsi"/>
                <w:lang w:val="nl-NL"/>
              </w:rPr>
              <w:t>29 mei 2020</w:t>
            </w:r>
          </w:p>
        </w:tc>
        <w:tc>
          <w:tcPr>
            <w:tcW w:w="6804" w:type="dxa"/>
            <w:hideMark/>
          </w:tcPr>
          <w:p w:rsidR="00EA3133" w:rsidRPr="00EA3133" w:rsidRDefault="00EA3133" w:rsidP="00EA3133">
            <w:pPr>
              <w:spacing w:after="0"/>
              <w:jc w:val="both"/>
              <w:rPr>
                <w:rFonts w:asciiTheme="minorHAnsi" w:hAnsiTheme="minorHAnsi" w:cstheme="minorHAnsi"/>
                <w:lang w:val="nl-NL"/>
              </w:rPr>
            </w:pPr>
            <w:r w:rsidRPr="00EA3133">
              <w:rPr>
                <w:rFonts w:asciiTheme="minorHAnsi" w:hAnsiTheme="minorHAnsi" w:cstheme="minorHAnsi"/>
                <w:lang w:val="nl-NL"/>
              </w:rPr>
              <w:t>Algemene vergadering van obligatiehouders</w:t>
            </w:r>
          </w:p>
        </w:tc>
      </w:tr>
      <w:tr w:rsidR="00EA3133" w:rsidTr="00EA3133">
        <w:trPr>
          <w:trHeight w:val="292"/>
        </w:trPr>
        <w:tc>
          <w:tcPr>
            <w:tcW w:w="2800" w:type="dxa"/>
            <w:hideMark/>
          </w:tcPr>
          <w:p w:rsidR="00EA3133" w:rsidRPr="00EA3133" w:rsidRDefault="00EA3133" w:rsidP="00EA3133">
            <w:pPr>
              <w:spacing w:after="0"/>
              <w:jc w:val="both"/>
              <w:rPr>
                <w:rFonts w:asciiTheme="minorHAnsi" w:hAnsiTheme="minorHAnsi" w:cstheme="minorHAnsi"/>
                <w:lang w:val="nl-NL"/>
              </w:rPr>
            </w:pPr>
            <w:r w:rsidRPr="00EA3133">
              <w:rPr>
                <w:rFonts w:asciiTheme="minorHAnsi" w:hAnsiTheme="minorHAnsi" w:cstheme="minorHAnsi"/>
                <w:lang w:val="nl-NL"/>
              </w:rPr>
              <w:t>30 juli 2020</w:t>
            </w:r>
          </w:p>
        </w:tc>
        <w:tc>
          <w:tcPr>
            <w:tcW w:w="6804" w:type="dxa"/>
            <w:hideMark/>
          </w:tcPr>
          <w:p w:rsidR="00EA3133" w:rsidRPr="00EA3133" w:rsidRDefault="00EA3133" w:rsidP="004B4326">
            <w:pPr>
              <w:spacing w:after="0"/>
              <w:jc w:val="both"/>
              <w:rPr>
                <w:rFonts w:asciiTheme="minorHAnsi" w:hAnsiTheme="minorHAnsi" w:cstheme="minorHAnsi"/>
                <w:lang w:val="nl-NL"/>
              </w:rPr>
            </w:pPr>
            <w:r w:rsidRPr="00EA3133">
              <w:rPr>
                <w:rFonts w:asciiTheme="minorHAnsi" w:hAnsiTheme="minorHAnsi" w:cstheme="minorHAnsi"/>
                <w:lang w:val="nl-NL"/>
              </w:rPr>
              <w:t>Publicatie halfjaarbericht 2020</w:t>
            </w:r>
          </w:p>
        </w:tc>
      </w:tr>
      <w:tr w:rsidR="00EA3133" w:rsidTr="00EA3133">
        <w:trPr>
          <w:trHeight w:val="292"/>
        </w:trPr>
        <w:tc>
          <w:tcPr>
            <w:tcW w:w="2800" w:type="dxa"/>
            <w:hideMark/>
          </w:tcPr>
          <w:p w:rsidR="00EA3133" w:rsidRPr="00EA3133" w:rsidRDefault="00EA3133" w:rsidP="00EA3133">
            <w:pPr>
              <w:spacing w:after="0"/>
              <w:jc w:val="both"/>
              <w:rPr>
                <w:rFonts w:asciiTheme="minorHAnsi" w:hAnsiTheme="minorHAnsi" w:cstheme="minorHAnsi"/>
                <w:lang w:val="nl-NL"/>
              </w:rPr>
            </w:pPr>
            <w:r w:rsidRPr="00EA3133">
              <w:rPr>
                <w:rFonts w:asciiTheme="minorHAnsi" w:hAnsiTheme="minorHAnsi" w:cstheme="minorHAnsi"/>
                <w:lang w:val="nl-NL"/>
              </w:rPr>
              <w:t>30 juli 2020</w:t>
            </w:r>
          </w:p>
        </w:tc>
        <w:tc>
          <w:tcPr>
            <w:tcW w:w="6804" w:type="dxa"/>
            <w:hideMark/>
          </w:tcPr>
          <w:p w:rsidR="00EA3133" w:rsidRPr="00EA3133" w:rsidRDefault="00EA3133" w:rsidP="00EA3133">
            <w:pPr>
              <w:spacing w:after="0"/>
              <w:jc w:val="both"/>
              <w:rPr>
                <w:rFonts w:asciiTheme="minorHAnsi" w:hAnsiTheme="minorHAnsi" w:cstheme="minorHAnsi"/>
                <w:lang w:val="nl-NL"/>
              </w:rPr>
            </w:pPr>
            <w:r w:rsidRPr="00EA3133">
              <w:rPr>
                <w:rFonts w:asciiTheme="minorHAnsi" w:hAnsiTheme="minorHAnsi" w:cstheme="minorHAnsi"/>
                <w:lang w:val="nl-NL"/>
              </w:rPr>
              <w:t>Conference call voor pers en analisten</w:t>
            </w:r>
          </w:p>
        </w:tc>
      </w:tr>
      <w:tr w:rsidR="00EA3133" w:rsidTr="00EA3133">
        <w:trPr>
          <w:trHeight w:val="292"/>
        </w:trPr>
        <w:tc>
          <w:tcPr>
            <w:tcW w:w="2800" w:type="dxa"/>
            <w:hideMark/>
          </w:tcPr>
          <w:p w:rsidR="00EA3133" w:rsidRPr="00EA3133" w:rsidRDefault="00EA3133" w:rsidP="00EA3133">
            <w:pPr>
              <w:spacing w:after="0"/>
              <w:jc w:val="both"/>
              <w:rPr>
                <w:rFonts w:asciiTheme="minorHAnsi" w:hAnsiTheme="minorHAnsi" w:cstheme="minorHAnsi"/>
                <w:lang w:val="nl-NL"/>
              </w:rPr>
            </w:pPr>
            <w:r w:rsidRPr="00EA3133">
              <w:rPr>
                <w:rFonts w:asciiTheme="minorHAnsi" w:hAnsiTheme="minorHAnsi" w:cstheme="minorHAnsi"/>
                <w:lang w:val="nl-NL"/>
              </w:rPr>
              <w:t>15 october 2020</w:t>
            </w:r>
          </w:p>
        </w:tc>
        <w:tc>
          <w:tcPr>
            <w:tcW w:w="6804" w:type="dxa"/>
            <w:hideMark/>
          </w:tcPr>
          <w:p w:rsidR="00EA3133" w:rsidRPr="00EA3133" w:rsidRDefault="00EA3133" w:rsidP="00EA3133">
            <w:pPr>
              <w:spacing w:after="0"/>
              <w:jc w:val="both"/>
              <w:rPr>
                <w:rFonts w:asciiTheme="minorHAnsi" w:hAnsiTheme="minorHAnsi" w:cstheme="minorHAnsi"/>
                <w:lang w:val="nl-NL"/>
              </w:rPr>
            </w:pPr>
            <w:r w:rsidRPr="00EA3133">
              <w:rPr>
                <w:rFonts w:asciiTheme="minorHAnsi" w:hAnsiTheme="minorHAnsi" w:cstheme="minorHAnsi"/>
                <w:lang w:val="nl-NL"/>
              </w:rPr>
              <w:t>Trading update kwartaal 3-2020</w:t>
            </w:r>
          </w:p>
        </w:tc>
      </w:tr>
    </w:tbl>
    <w:p w:rsidR="000D2A43" w:rsidRPr="000D2A43" w:rsidRDefault="000D2A43" w:rsidP="00EA3133">
      <w:pPr>
        <w:tabs>
          <w:tab w:val="left" w:pos="9922"/>
        </w:tabs>
        <w:jc w:val="both"/>
        <w:rPr>
          <w:lang w:val="nl-NL"/>
        </w:rPr>
      </w:pPr>
    </w:p>
    <w:p w:rsidR="006C7B74" w:rsidRPr="006C7B74" w:rsidRDefault="006C7B74" w:rsidP="00EA3133">
      <w:pPr>
        <w:tabs>
          <w:tab w:val="left" w:pos="9922"/>
        </w:tabs>
        <w:jc w:val="both"/>
        <w:rPr>
          <w:b/>
          <w:color w:val="BA0C2F"/>
          <w:lang w:val="nl-NL"/>
        </w:rPr>
      </w:pPr>
      <w:r w:rsidRPr="006C7B74">
        <w:rPr>
          <w:b/>
          <w:color w:val="BA0C2F"/>
          <w:lang w:val="nl-NL"/>
        </w:rPr>
        <w:t xml:space="preserve">Over </w:t>
      </w:r>
      <w:r w:rsidRPr="00EA3133">
        <w:rPr>
          <w:b/>
          <w:color w:val="BA0C2F"/>
          <w:lang w:val="nl-NL"/>
        </w:rPr>
        <w:t>Rood</w:t>
      </w:r>
      <w:r w:rsidRPr="006C7B74">
        <w:rPr>
          <w:b/>
          <w:color w:val="BA0C2F"/>
          <w:lang w:val="nl-NL"/>
        </w:rPr>
        <w:t>Microtec</w:t>
      </w:r>
    </w:p>
    <w:p w:rsidR="006C7B74" w:rsidRPr="006C7B74" w:rsidRDefault="006C7B74" w:rsidP="00EA3133">
      <w:pPr>
        <w:tabs>
          <w:tab w:val="left" w:pos="9922"/>
        </w:tabs>
        <w:jc w:val="both"/>
        <w:rPr>
          <w:lang w:val="nl-NL"/>
        </w:rPr>
      </w:pPr>
      <w:r w:rsidRPr="00EA3133">
        <w:rPr>
          <w:color w:val="BA0C2F"/>
          <w:lang w:val="nl-NL"/>
        </w:rPr>
        <w:t>Rood</w:t>
      </w:r>
      <w:r w:rsidRPr="008752AB">
        <w:rPr>
          <w:lang w:val="nl-NL"/>
        </w:rPr>
        <w:t xml:space="preserve">Microtec </w:t>
      </w:r>
      <w:r w:rsidRPr="006C7B74">
        <w:rPr>
          <w:lang w:val="nl-NL"/>
        </w:rPr>
        <w:t>is een toonaangevend onafhankelijk leve</w:t>
      </w:r>
      <w:r w:rsidR="00A018EE">
        <w:rPr>
          <w:lang w:val="nl-NL"/>
        </w:rPr>
        <w:t xml:space="preserve">rancier van halfgeleiders </w:t>
      </w:r>
      <w:r w:rsidRPr="006C7B74">
        <w:rPr>
          <w:lang w:val="nl-NL"/>
        </w:rPr>
        <w:t xml:space="preserve">en </w:t>
      </w:r>
      <w:r w:rsidR="00A018EE">
        <w:rPr>
          <w:lang w:val="nl-NL"/>
        </w:rPr>
        <w:t>ondersteunende diensten</w:t>
      </w:r>
      <w:r w:rsidRPr="006C7B74">
        <w:rPr>
          <w:lang w:val="nl-NL"/>
        </w:rPr>
        <w:t xml:space="preserve">. Met meer dan 50 jaar ervaring in de micro- en optoelelektronica is </w:t>
      </w:r>
      <w:r w:rsidRPr="00EA3133">
        <w:rPr>
          <w:color w:val="BA0C2F"/>
          <w:lang w:val="nl-NL"/>
        </w:rPr>
        <w:t>Rood</w:t>
      </w:r>
      <w:r w:rsidRPr="006C7B74">
        <w:rPr>
          <w:lang w:val="nl-NL"/>
        </w:rPr>
        <w:t xml:space="preserve">Microtec een gevestigde en hooggewaardeerde partner voor veel bedrijven over de hele wereld. De onderneming biedt full-turnkey ASIC-diensten aan voor complexe microchips die ingericht zijn op specifieke toepassingen voor individuele klanten. In samenwerking met sterke partners verzorgt </w:t>
      </w:r>
      <w:r w:rsidRPr="00EA3133">
        <w:rPr>
          <w:color w:val="BA0C2F"/>
          <w:lang w:val="nl-NL"/>
        </w:rPr>
        <w:t>Rood</w:t>
      </w:r>
      <w:r w:rsidRPr="006C7B74">
        <w:rPr>
          <w:lang w:val="nl-NL"/>
        </w:rPr>
        <w:t xml:space="preserve">Microtec het gehele ontwikkelings- en productieproces van de ASICs in het doelvolume, van kleine aantallen tot vele miljoenen stuks per jaar. Onze turnkey-oplossing omvat ontwerp, projectmanagement, wafer fab, wafer test, assemblage, final test, kwalificatie, logistiek en foutanalyse. Alle diensten voldoen aan de industriële en kwaliteitseisen van de high-reliability, ruimtevaart-, automobiel-, gezondheids- en industriële sectoren. </w:t>
      </w:r>
      <w:r w:rsidRPr="00EA3133">
        <w:rPr>
          <w:color w:val="BA0C2F"/>
          <w:lang w:val="nl-NL"/>
        </w:rPr>
        <w:t>Rood</w:t>
      </w:r>
      <w:r w:rsidRPr="006C7B74">
        <w:rPr>
          <w:lang w:val="nl-NL"/>
        </w:rPr>
        <w:t xml:space="preserve">Microtec heeft haar hoofdkantoor in </w:t>
      </w:r>
      <w:r w:rsidR="008740C8">
        <w:rPr>
          <w:lang w:val="nl-NL"/>
        </w:rPr>
        <w:t>Deventer</w:t>
      </w:r>
      <w:r w:rsidRPr="006C7B74">
        <w:rPr>
          <w:lang w:val="nl-NL"/>
        </w:rPr>
        <w:t>, met operationele vestigingen in Nördlingen en Stuttgart in Duitsland.</w:t>
      </w:r>
    </w:p>
    <w:p w:rsidR="006C7B74" w:rsidRDefault="006C7B74" w:rsidP="00EA3133">
      <w:pPr>
        <w:tabs>
          <w:tab w:val="left" w:pos="9922"/>
        </w:tabs>
        <w:spacing w:after="0"/>
        <w:jc w:val="both"/>
        <w:rPr>
          <w:rStyle w:val="Hyperlink"/>
          <w:rFonts w:asciiTheme="minorHAnsi" w:hAnsiTheme="minorHAnsi"/>
          <w:szCs w:val="20"/>
          <w:lang w:val="nl-NL"/>
        </w:rPr>
      </w:pPr>
      <w:r w:rsidRPr="006C7B74">
        <w:rPr>
          <w:rFonts w:asciiTheme="minorHAnsi" w:hAnsiTheme="minorHAnsi"/>
          <w:szCs w:val="20"/>
          <w:lang w:val="nl-NL"/>
        </w:rPr>
        <w:t xml:space="preserve">Meer informatie is te vinden op </w:t>
      </w:r>
      <w:r w:rsidR="0063344F">
        <w:fldChar w:fldCharType="begin"/>
      </w:r>
      <w:r w:rsidR="0063344F" w:rsidRPr="0063344F">
        <w:rPr>
          <w:lang w:val="nl-NL"/>
        </w:rPr>
        <w:instrText xml:space="preserve"> HYPERLINK "https://www.roodmicrotec.com" </w:instrText>
      </w:r>
      <w:r w:rsidR="0063344F">
        <w:fldChar w:fldCharType="separate"/>
      </w:r>
      <w:r w:rsidRPr="006C7B74">
        <w:rPr>
          <w:rStyle w:val="Hyperlink"/>
          <w:rFonts w:asciiTheme="minorHAnsi" w:hAnsiTheme="minorHAnsi"/>
          <w:szCs w:val="20"/>
          <w:lang w:val="nl-NL"/>
        </w:rPr>
        <w:t>https://www.</w:t>
      </w:r>
      <w:r w:rsidRPr="00EA3133">
        <w:rPr>
          <w:rStyle w:val="Hyperlink"/>
          <w:rFonts w:asciiTheme="minorHAnsi" w:hAnsiTheme="minorHAnsi"/>
          <w:szCs w:val="20"/>
          <w:lang w:val="nl-NL"/>
        </w:rPr>
        <w:t>rood</w:t>
      </w:r>
      <w:r w:rsidRPr="006C7B74">
        <w:rPr>
          <w:rStyle w:val="Hyperlink"/>
          <w:rFonts w:asciiTheme="minorHAnsi" w:hAnsiTheme="minorHAnsi"/>
          <w:szCs w:val="20"/>
          <w:lang w:val="nl-NL"/>
        </w:rPr>
        <w:t>microtec.com</w:t>
      </w:r>
      <w:r w:rsidR="0063344F">
        <w:rPr>
          <w:rStyle w:val="Hyperlink"/>
          <w:rFonts w:asciiTheme="minorHAnsi" w:hAnsiTheme="minorHAnsi"/>
          <w:szCs w:val="20"/>
          <w:lang w:val="nl-NL"/>
        </w:rPr>
        <w:fldChar w:fldCharType="end"/>
      </w:r>
    </w:p>
    <w:p w:rsidR="007A6960" w:rsidRPr="000D2A43" w:rsidRDefault="007A6960" w:rsidP="00EA3133">
      <w:pPr>
        <w:tabs>
          <w:tab w:val="left" w:pos="9922"/>
        </w:tabs>
        <w:jc w:val="both"/>
        <w:rPr>
          <w:lang w:val="nl-NL"/>
        </w:rPr>
      </w:pPr>
    </w:p>
    <w:p w:rsidR="006C7B74" w:rsidRPr="006C7B74" w:rsidRDefault="006C7B74" w:rsidP="00EA3133">
      <w:pPr>
        <w:tabs>
          <w:tab w:val="left" w:pos="9922"/>
        </w:tabs>
        <w:jc w:val="both"/>
        <w:rPr>
          <w:rFonts w:asciiTheme="minorHAnsi" w:hAnsiTheme="minorHAnsi" w:cstheme="minorHAnsi"/>
          <w:b/>
          <w:color w:val="BA0C2F"/>
          <w:lang w:val="nl-NL"/>
        </w:rPr>
      </w:pPr>
      <w:r w:rsidRPr="006C7B74">
        <w:rPr>
          <w:rFonts w:asciiTheme="minorHAnsi" w:hAnsiTheme="minorHAnsi"/>
          <w:b/>
          <w:color w:val="BA0C2F"/>
          <w:lang w:val="nl-NL"/>
        </w:rPr>
        <w:t>Voor nadere informatie:</w:t>
      </w:r>
    </w:p>
    <w:p w:rsidR="006C7B74" w:rsidRPr="006C7B74" w:rsidRDefault="006C7B74" w:rsidP="00EA3133">
      <w:pPr>
        <w:tabs>
          <w:tab w:val="left" w:pos="3402"/>
          <w:tab w:val="left" w:pos="6804"/>
          <w:tab w:val="left" w:pos="9922"/>
        </w:tabs>
        <w:spacing w:after="0"/>
        <w:jc w:val="both"/>
        <w:rPr>
          <w:rFonts w:asciiTheme="minorHAnsi" w:eastAsia="Times New Roman" w:hAnsiTheme="minorHAnsi" w:cstheme="minorHAnsi"/>
          <w:szCs w:val="20"/>
          <w:lang w:val="nl-NL"/>
        </w:rPr>
      </w:pPr>
      <w:r w:rsidRPr="006C7B74">
        <w:rPr>
          <w:rFonts w:asciiTheme="minorHAnsi" w:hAnsiTheme="minorHAnsi"/>
          <w:szCs w:val="20"/>
          <w:lang w:val="nl-NL"/>
        </w:rPr>
        <w:t>Martin Sallenhag - CEO, Arvid Ladega - CFO</w:t>
      </w:r>
    </w:p>
    <w:p w:rsidR="006C7B74" w:rsidRPr="0063344F" w:rsidRDefault="006C7B74" w:rsidP="00EA3133">
      <w:pPr>
        <w:tabs>
          <w:tab w:val="left" w:pos="2977"/>
          <w:tab w:val="left" w:pos="7371"/>
          <w:tab w:val="left" w:pos="9922"/>
        </w:tabs>
        <w:spacing w:after="0"/>
        <w:jc w:val="both"/>
        <w:rPr>
          <w:rStyle w:val="Hyperlink"/>
          <w:rFonts w:eastAsia="MS ????"/>
          <w:lang w:val="de-DE"/>
        </w:rPr>
      </w:pPr>
      <w:proofErr w:type="spellStart"/>
      <w:r w:rsidRPr="0063344F">
        <w:rPr>
          <w:rFonts w:asciiTheme="minorHAnsi" w:hAnsiTheme="minorHAnsi"/>
          <w:color w:val="000000"/>
          <w:szCs w:val="20"/>
          <w:lang w:val="de-DE"/>
        </w:rPr>
        <w:t>Telefoon</w:t>
      </w:r>
      <w:proofErr w:type="spellEnd"/>
      <w:r w:rsidRPr="0063344F">
        <w:rPr>
          <w:rFonts w:asciiTheme="minorHAnsi" w:hAnsiTheme="minorHAnsi"/>
          <w:color w:val="000000"/>
          <w:szCs w:val="20"/>
          <w:lang w:val="de-DE"/>
        </w:rPr>
        <w:t xml:space="preserve">: </w:t>
      </w:r>
      <w:bookmarkStart w:id="1" w:name="_Hlk8636411"/>
      <w:r w:rsidRPr="0063344F">
        <w:rPr>
          <w:rFonts w:asciiTheme="minorHAnsi" w:hAnsiTheme="minorHAnsi"/>
          <w:color w:val="000000"/>
          <w:szCs w:val="20"/>
          <w:lang w:val="de-DE"/>
        </w:rPr>
        <w:t xml:space="preserve">+31 </w:t>
      </w:r>
      <w:r w:rsidR="00FE3A21" w:rsidRPr="0063344F">
        <w:rPr>
          <w:rFonts w:asciiTheme="minorHAnsi" w:hAnsiTheme="minorHAnsi"/>
          <w:color w:val="000000"/>
          <w:szCs w:val="20"/>
          <w:lang w:val="de-DE"/>
        </w:rPr>
        <w:t>570</w:t>
      </w:r>
      <w:r w:rsidRPr="0063344F">
        <w:rPr>
          <w:rFonts w:asciiTheme="minorHAnsi" w:hAnsiTheme="minorHAnsi"/>
          <w:color w:val="000000"/>
          <w:szCs w:val="20"/>
          <w:lang w:val="de-DE"/>
        </w:rPr>
        <w:t xml:space="preserve"> </w:t>
      </w:r>
      <w:r w:rsidR="00FE3A21" w:rsidRPr="0063344F">
        <w:rPr>
          <w:rFonts w:asciiTheme="minorHAnsi" w:hAnsiTheme="minorHAnsi"/>
          <w:color w:val="000000"/>
          <w:szCs w:val="20"/>
          <w:lang w:val="de-DE"/>
        </w:rPr>
        <w:t>745623</w:t>
      </w:r>
      <w:bookmarkEnd w:id="1"/>
      <w:r w:rsidR="00FE3A21" w:rsidRPr="0063344F">
        <w:rPr>
          <w:rFonts w:asciiTheme="minorHAnsi" w:hAnsiTheme="minorHAnsi"/>
          <w:color w:val="000000"/>
          <w:szCs w:val="20"/>
          <w:lang w:val="de-DE"/>
        </w:rPr>
        <w:tab/>
      </w:r>
      <w:r w:rsidRPr="0063344F">
        <w:rPr>
          <w:rFonts w:asciiTheme="minorHAnsi" w:hAnsiTheme="minorHAnsi"/>
          <w:color w:val="000000"/>
          <w:szCs w:val="20"/>
          <w:lang w:val="de-DE"/>
        </w:rPr>
        <w:t xml:space="preserve"> </w:t>
      </w:r>
      <w:proofErr w:type="spellStart"/>
      <w:r w:rsidRPr="0063344F">
        <w:rPr>
          <w:rFonts w:asciiTheme="minorHAnsi" w:hAnsiTheme="minorHAnsi"/>
          <w:color w:val="000000"/>
          <w:szCs w:val="20"/>
          <w:lang w:val="de-DE"/>
        </w:rPr>
        <w:t>E-mail</w:t>
      </w:r>
      <w:proofErr w:type="spellEnd"/>
      <w:r w:rsidRPr="0063344F">
        <w:rPr>
          <w:rFonts w:asciiTheme="minorHAnsi" w:hAnsiTheme="minorHAnsi"/>
          <w:color w:val="000000"/>
          <w:szCs w:val="20"/>
          <w:lang w:val="de-DE"/>
        </w:rPr>
        <w:t xml:space="preserve">: </w:t>
      </w:r>
      <w:hyperlink r:id="rId8" w:history="1">
        <w:r w:rsidRPr="0063344F">
          <w:rPr>
            <w:rStyle w:val="Hyperlink"/>
            <w:rFonts w:asciiTheme="minorHAnsi" w:hAnsiTheme="minorHAnsi"/>
            <w:szCs w:val="20"/>
            <w:lang w:val="de-DE"/>
          </w:rPr>
          <w:t>investor-relations@</w:t>
        </w:r>
        <w:r w:rsidRPr="00C04517">
          <w:rPr>
            <w:rStyle w:val="Hyperlink"/>
            <w:rFonts w:asciiTheme="minorHAnsi" w:hAnsiTheme="minorHAnsi"/>
            <w:szCs w:val="20"/>
            <w:lang w:val="de-DE"/>
          </w:rPr>
          <w:t>rood</w:t>
        </w:r>
        <w:r w:rsidRPr="0063344F">
          <w:rPr>
            <w:rStyle w:val="Hyperlink"/>
            <w:rFonts w:asciiTheme="minorHAnsi" w:hAnsiTheme="minorHAnsi"/>
            <w:szCs w:val="20"/>
            <w:lang w:val="de-DE"/>
          </w:rPr>
          <w:t>microtec.com</w:t>
        </w:r>
      </w:hyperlink>
      <w:r w:rsidRPr="0063344F">
        <w:rPr>
          <w:rFonts w:asciiTheme="minorHAnsi" w:hAnsiTheme="minorHAnsi"/>
          <w:szCs w:val="20"/>
          <w:lang w:val="de-DE"/>
        </w:rPr>
        <w:tab/>
      </w:r>
      <w:r w:rsidRPr="0063344F">
        <w:rPr>
          <w:rFonts w:asciiTheme="minorHAnsi" w:hAnsiTheme="minorHAnsi"/>
          <w:color w:val="000000"/>
          <w:szCs w:val="20"/>
          <w:lang w:val="de-DE"/>
        </w:rPr>
        <w:t xml:space="preserve">Web: </w:t>
      </w:r>
      <w:hyperlink r:id="rId9" w:history="1">
        <w:r w:rsidRPr="0063344F">
          <w:rPr>
            <w:rStyle w:val="Hyperlink"/>
            <w:rFonts w:asciiTheme="minorHAnsi" w:hAnsiTheme="minorHAnsi"/>
            <w:szCs w:val="20"/>
            <w:lang w:val="de-DE"/>
          </w:rPr>
          <w:t>www.</w:t>
        </w:r>
        <w:r w:rsidRPr="00C04517">
          <w:rPr>
            <w:rStyle w:val="Hyperlink"/>
            <w:rFonts w:asciiTheme="minorHAnsi" w:hAnsiTheme="minorHAnsi"/>
            <w:szCs w:val="20"/>
            <w:lang w:val="de-DE"/>
          </w:rPr>
          <w:t>rood</w:t>
        </w:r>
        <w:r w:rsidRPr="0063344F">
          <w:rPr>
            <w:rStyle w:val="Hyperlink"/>
            <w:rFonts w:asciiTheme="minorHAnsi" w:hAnsiTheme="minorHAnsi"/>
            <w:szCs w:val="20"/>
            <w:lang w:val="de-DE"/>
          </w:rPr>
          <w:t>microtec.com</w:t>
        </w:r>
      </w:hyperlink>
    </w:p>
    <w:p w:rsidR="006C7B74" w:rsidRPr="0063344F" w:rsidRDefault="006C7B74" w:rsidP="00EA3133">
      <w:pPr>
        <w:tabs>
          <w:tab w:val="left" w:pos="9922"/>
        </w:tabs>
        <w:jc w:val="both"/>
        <w:rPr>
          <w:lang w:val="de-DE"/>
        </w:rPr>
      </w:pPr>
    </w:p>
    <w:p w:rsidR="0034702E" w:rsidRPr="0063344F" w:rsidRDefault="0034702E" w:rsidP="00EA3133">
      <w:pPr>
        <w:tabs>
          <w:tab w:val="left" w:pos="9922"/>
        </w:tabs>
        <w:jc w:val="both"/>
        <w:rPr>
          <w:lang w:val="de-DE"/>
        </w:rPr>
      </w:pPr>
    </w:p>
    <w:p w:rsidR="006C7B74" w:rsidRPr="006C7B74" w:rsidRDefault="006C7B74" w:rsidP="00EA3133">
      <w:pPr>
        <w:tabs>
          <w:tab w:val="left" w:pos="9922"/>
        </w:tabs>
        <w:spacing w:after="0"/>
        <w:ind w:right="-1"/>
        <w:jc w:val="both"/>
        <w:rPr>
          <w:i/>
          <w:sz w:val="18"/>
          <w:szCs w:val="18"/>
          <w:lang w:val="nl-NL"/>
        </w:rPr>
      </w:pPr>
      <w:r w:rsidRPr="006C7B74">
        <w:rPr>
          <w:i/>
          <w:sz w:val="18"/>
          <w:szCs w:val="18"/>
          <w:lang w:val="nl-NL"/>
        </w:rPr>
        <w:t>Dit persbericht wordt gepubliceerd in het Engels, Nederlands en Duits. Mochten er verschillen zijn tussen deze versies, is de Engelse tekst doorslaggevend.</w:t>
      </w:r>
    </w:p>
    <w:p w:rsidR="006C7B74" w:rsidRDefault="006C7B74" w:rsidP="00EA3133">
      <w:pPr>
        <w:tabs>
          <w:tab w:val="left" w:pos="9922"/>
        </w:tabs>
        <w:spacing w:before="120" w:after="0"/>
        <w:jc w:val="both"/>
        <w:rPr>
          <w:rFonts w:asciiTheme="minorHAnsi" w:hAnsiTheme="minorHAnsi"/>
          <w:i/>
          <w:sz w:val="18"/>
          <w:szCs w:val="18"/>
          <w:lang w:val="nl-NL"/>
        </w:rPr>
      </w:pPr>
      <w:r w:rsidRPr="006C7B74">
        <w:rPr>
          <w:rFonts w:asciiTheme="minorHAnsi" w:hAnsiTheme="minorHAnsi"/>
          <w:i/>
          <w:sz w:val="18"/>
          <w:szCs w:val="18"/>
          <w:lang w:val="nl-NL"/>
        </w:rPr>
        <w:t>Dit bericht bevat informatie die geldt als voorwetenschap in de zin van Artikel 7(1) van de Richtlijn marktmisbruik van de EU.</w:t>
      </w:r>
      <w:r w:rsidRPr="006C7B74">
        <w:rPr>
          <w:rFonts w:asciiTheme="minorHAnsi" w:hAnsiTheme="minorHAnsi"/>
          <w:sz w:val="18"/>
          <w:szCs w:val="18"/>
          <w:lang w:val="nl-NL"/>
        </w:rPr>
        <w:t xml:space="preserve"> </w:t>
      </w:r>
      <w:r w:rsidRPr="006C7B74">
        <w:rPr>
          <w:rFonts w:asciiTheme="minorHAnsi" w:hAnsiTheme="minorHAnsi"/>
          <w:i/>
          <w:sz w:val="18"/>
          <w:szCs w:val="18"/>
          <w:lang w:val="nl-NL"/>
        </w:rPr>
        <w:t xml:space="preserve">Algemeen directeur en CEO Martin Sallenhag is verantwoordelijk voor het verzorgen van de publicatie van dit document voor </w:t>
      </w:r>
      <w:r w:rsidRPr="00EA3133">
        <w:rPr>
          <w:rFonts w:asciiTheme="minorHAnsi" w:hAnsiTheme="minorHAnsi"/>
          <w:i/>
          <w:color w:val="BA0C2F"/>
          <w:sz w:val="18"/>
          <w:szCs w:val="18"/>
          <w:lang w:val="nl-NL"/>
        </w:rPr>
        <w:t>Rood</w:t>
      </w:r>
      <w:r w:rsidRPr="006C7B74">
        <w:rPr>
          <w:rFonts w:asciiTheme="minorHAnsi" w:hAnsiTheme="minorHAnsi"/>
          <w:i/>
          <w:color w:val="000000"/>
          <w:sz w:val="18"/>
          <w:szCs w:val="18"/>
          <w:lang w:val="nl-NL"/>
        </w:rPr>
        <w:t>Microtec</w:t>
      </w:r>
      <w:r w:rsidRPr="006C7B74">
        <w:rPr>
          <w:rFonts w:asciiTheme="minorHAnsi" w:hAnsiTheme="minorHAnsi"/>
          <w:i/>
          <w:sz w:val="18"/>
          <w:szCs w:val="18"/>
          <w:lang w:val="nl-NL"/>
        </w:rPr>
        <w:t>.</w:t>
      </w:r>
    </w:p>
    <w:sectPr w:rsidR="006C7B74" w:rsidSect="00C633D6">
      <w:footerReference w:type="default" r:id="rId10"/>
      <w:headerReference w:type="first" r:id="rId11"/>
      <w:footerReference w:type="first" r:id="rId12"/>
      <w:pgSz w:w="11906" w:h="16838" w:code="9"/>
      <w:pgMar w:top="568" w:right="707" w:bottom="454" w:left="993" w:header="3856"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0677" w:rsidRDefault="009C0677" w:rsidP="00487DE4">
      <w:pPr>
        <w:spacing w:after="0" w:line="240" w:lineRule="auto"/>
      </w:pPr>
      <w:r>
        <w:separator/>
      </w:r>
    </w:p>
  </w:endnote>
  <w:endnote w:type="continuationSeparator" w:id="0">
    <w:p w:rsidR="009C0677" w:rsidRDefault="009C0677" w:rsidP="00487D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
    <w:panose1 w:val="00000000000000000000"/>
    <w:charset w:val="80"/>
    <w:family w:val="auto"/>
    <w:notTrueType/>
    <w:pitch w:val="variable"/>
    <w:sig w:usb0="00000001" w:usb1="08070000" w:usb2="00000010" w:usb3="00000000" w:csb0="0002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52AB" w:rsidRDefault="008752AB" w:rsidP="008752AB">
    <w:pPr>
      <w:pStyle w:val="Fuzeile"/>
      <w:tabs>
        <w:tab w:val="clear" w:pos="9072"/>
      </w:tabs>
      <w:ind w:left="-284"/>
    </w:pPr>
    <w:r>
      <w:rPr>
        <w:noProof/>
        <w:lang w:val="de-DE" w:eastAsia="de-DE"/>
      </w:rPr>
      <mc:AlternateContent>
        <mc:Choice Requires="wps">
          <w:drawing>
            <wp:anchor distT="0" distB="0" distL="114300" distR="114300" simplePos="0" relativeHeight="251667456" behindDoc="0" locked="0" layoutInCell="1" allowOverlap="1" wp14:anchorId="697D9FF8" wp14:editId="2A5BACC4">
              <wp:simplePos x="0" y="0"/>
              <wp:positionH relativeFrom="column">
                <wp:posOffset>-149860</wp:posOffset>
              </wp:positionH>
              <wp:positionV relativeFrom="paragraph">
                <wp:posOffset>23656</wp:posOffset>
              </wp:positionV>
              <wp:extent cx="6731000" cy="224790"/>
              <wp:effectExtent l="0" t="0" r="12700" b="3810"/>
              <wp:wrapNone/>
              <wp:docPr id="14" name="Textfeld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00" cy="224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52AB" w:rsidRPr="008752AB" w:rsidRDefault="00EA3133" w:rsidP="008752AB">
                          <w:pPr>
                            <w:tabs>
                              <w:tab w:val="center" w:pos="5387"/>
                              <w:tab w:val="right" w:pos="10065"/>
                            </w:tabs>
                            <w:ind w:left="142" w:right="487"/>
                            <w:rPr>
                              <w:color w:val="FFFFFF"/>
                              <w:lang w:val="nl-NL"/>
                            </w:rPr>
                          </w:pPr>
                          <w:r>
                            <w:rPr>
                              <w:color w:val="FFFFFF"/>
                              <w:lang w:val="nl-NL"/>
                            </w:rPr>
                            <w:t>Omzet eerste halfjaar 2019</w:t>
                          </w:r>
                          <w:r w:rsidR="008752AB" w:rsidRPr="008752AB">
                            <w:rPr>
                              <w:color w:val="FFFFFF"/>
                              <w:lang w:val="nl-NL"/>
                            </w:rPr>
                            <w:tab/>
                          </w:r>
                          <w:r w:rsidR="008752AB" w:rsidRPr="00364EF1">
                            <w:rPr>
                              <w:color w:val="FFFFFF"/>
                            </w:rPr>
                            <w:fldChar w:fldCharType="begin"/>
                          </w:r>
                          <w:r w:rsidR="008752AB" w:rsidRPr="008752AB">
                            <w:rPr>
                              <w:color w:val="FFFFFF"/>
                              <w:lang w:val="nl-NL"/>
                            </w:rPr>
                            <w:instrText xml:space="preserve"> PAGE   \* MERGEFORMAT </w:instrText>
                          </w:r>
                          <w:r w:rsidR="008752AB" w:rsidRPr="00364EF1">
                            <w:rPr>
                              <w:color w:val="FFFFFF"/>
                            </w:rPr>
                            <w:fldChar w:fldCharType="separate"/>
                          </w:r>
                          <w:r w:rsidR="00946E14">
                            <w:rPr>
                              <w:noProof/>
                              <w:color w:val="FFFFFF"/>
                              <w:lang w:val="nl-NL"/>
                            </w:rPr>
                            <w:t>2</w:t>
                          </w:r>
                          <w:r w:rsidR="008752AB" w:rsidRPr="00364EF1">
                            <w:rPr>
                              <w:color w:val="FFFFFF"/>
                            </w:rPr>
                            <w:fldChar w:fldCharType="end"/>
                          </w:r>
                          <w:r w:rsidR="008752AB" w:rsidRPr="008752AB">
                            <w:rPr>
                              <w:color w:val="FFFFFF"/>
                              <w:lang w:val="nl-NL"/>
                            </w:rPr>
                            <w:tab/>
                            <w:t>RoodMicrotec P</w:t>
                          </w:r>
                          <w:r w:rsidR="008752AB">
                            <w:rPr>
                              <w:color w:val="FFFFFF"/>
                              <w:lang w:val="nl-NL"/>
                            </w:rPr>
                            <w:t>ersbericht</w:t>
                          </w:r>
                        </w:p>
                        <w:p w:rsidR="008752AB" w:rsidRPr="008752AB" w:rsidRDefault="008752AB" w:rsidP="008752AB">
                          <w:pPr>
                            <w:tabs>
                              <w:tab w:val="center" w:pos="5387"/>
                              <w:tab w:val="right" w:pos="10065"/>
                            </w:tabs>
                            <w:ind w:left="142"/>
                            <w:rPr>
                              <w:lang w:val="nl-NL"/>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97D9FF8" id="_x0000_t202" coordsize="21600,21600" o:spt="202" path="m,l,21600r21600,l21600,xe">
              <v:stroke joinstyle="miter"/>
              <v:path gradientshapeok="t" o:connecttype="rect"/>
            </v:shapetype>
            <v:shape id="Textfeld 14" o:spid="_x0000_s1026" type="#_x0000_t202" style="position:absolute;left:0;text-align:left;margin-left:-11.8pt;margin-top:1.85pt;width:530pt;height:17.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" filled="f" stroked="f">
              <v:textbox inset="0,0,0,0">
                <w:txbxContent>
                  <w:p w:rsidR="008752AB" w:rsidRPr="008752AB" w:rsidRDefault="00EA3133" w:rsidP="008752AB">
                    <w:pPr>
                      <w:tabs>
                        <w:tab w:val="center" w:pos="5387"/>
                        <w:tab w:val="right" w:pos="10065"/>
                      </w:tabs>
                      <w:ind w:left="142" w:right="487"/>
                      <w:rPr>
                        <w:color w:val="FFFFFF"/>
                        <w:lang w:val="nl-NL"/>
                      </w:rPr>
                    </w:pPr>
                    <w:r>
                      <w:rPr>
                        <w:color w:val="FFFFFF"/>
                        <w:lang w:val="nl-NL"/>
                      </w:rPr>
                      <w:t>Omzet eerste halfjaar 2019</w:t>
                    </w:r>
                    <w:r w:rsidR="008752AB" w:rsidRPr="008752AB">
                      <w:rPr>
                        <w:color w:val="FFFFFF"/>
                        <w:lang w:val="nl-NL"/>
                      </w:rPr>
                      <w:tab/>
                    </w:r>
                    <w:r w:rsidR="008752AB" w:rsidRPr="00364EF1">
                      <w:rPr>
                        <w:color w:val="FFFFFF"/>
                      </w:rPr>
                      <w:fldChar w:fldCharType="begin"/>
                    </w:r>
                    <w:r w:rsidR="008752AB" w:rsidRPr="008752AB">
                      <w:rPr>
                        <w:color w:val="FFFFFF"/>
                        <w:lang w:val="nl-NL"/>
                      </w:rPr>
                      <w:instrText xml:space="preserve"> PAGE   \* MERGEFORMAT </w:instrText>
                    </w:r>
                    <w:r w:rsidR="008752AB" w:rsidRPr="00364EF1">
                      <w:rPr>
                        <w:color w:val="FFFFFF"/>
                      </w:rPr>
                      <w:fldChar w:fldCharType="separate"/>
                    </w:r>
                    <w:r w:rsidR="00946E14">
                      <w:rPr>
                        <w:noProof/>
                        <w:color w:val="FFFFFF"/>
                        <w:lang w:val="nl-NL"/>
                      </w:rPr>
                      <w:t>2</w:t>
                    </w:r>
                    <w:r w:rsidR="008752AB" w:rsidRPr="00364EF1">
                      <w:rPr>
                        <w:color w:val="FFFFFF"/>
                      </w:rPr>
                      <w:fldChar w:fldCharType="end"/>
                    </w:r>
                    <w:r w:rsidR="008752AB" w:rsidRPr="008752AB">
                      <w:rPr>
                        <w:color w:val="FFFFFF"/>
                        <w:lang w:val="nl-NL"/>
                      </w:rPr>
                      <w:tab/>
                      <w:t>RoodMicrotec P</w:t>
                    </w:r>
                    <w:r w:rsidR="008752AB">
                      <w:rPr>
                        <w:color w:val="FFFFFF"/>
                        <w:lang w:val="nl-NL"/>
                      </w:rPr>
                      <w:t>ersbericht</w:t>
                    </w:r>
                  </w:p>
                  <w:p w:rsidR="008752AB" w:rsidRPr="008752AB" w:rsidRDefault="008752AB" w:rsidP="008752AB">
                    <w:pPr>
                      <w:tabs>
                        <w:tab w:val="center" w:pos="5387"/>
                        <w:tab w:val="right" w:pos="10065"/>
                      </w:tabs>
                      <w:ind w:left="142"/>
                      <w:rPr>
                        <w:lang w:val="nl-NL"/>
                      </w:rPr>
                    </w:pPr>
                  </w:p>
                </w:txbxContent>
              </v:textbox>
            </v:shape>
          </w:pict>
        </mc:Fallback>
      </mc:AlternateContent>
    </w:r>
    <w:r>
      <w:rPr>
        <w:noProof/>
        <w:lang w:val="de-DE" w:eastAsia="de-DE"/>
      </w:rPr>
      <w:drawing>
        <wp:inline distT="0" distB="0" distL="0" distR="0" wp14:anchorId="1CB88627" wp14:editId="6DFF48C7">
          <wp:extent cx="6819072" cy="285750"/>
          <wp:effectExtent l="0" t="0" r="0" b="0"/>
          <wp:docPr id="2" name="Grafik 6" descr="Balken 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Balken klein.jpg"/>
                  <pic:cNvPicPr>
                    <a:picLocks noChangeAspect="1" noChangeArrowheads="1"/>
                  </pic:cNvPicPr>
                </pic:nvPicPr>
                <pic:blipFill>
                  <a:blip r:embed="rId1"/>
                  <a:srcRect/>
                  <a:stretch>
                    <a:fillRect/>
                  </a:stretch>
                </pic:blipFill>
                <pic:spPr bwMode="auto">
                  <a:xfrm>
                    <a:off x="0" y="0"/>
                    <a:ext cx="6839592" cy="286610"/>
                  </a:xfrm>
                  <a:prstGeom prst="rect">
                    <a:avLst/>
                  </a:prstGeom>
                  <a:solidFill>
                    <a:srgbClr val="BA0C2F"/>
                  </a:solidFill>
                  <a:ln w="9525">
                    <a:noFill/>
                    <a:miter lim="800000"/>
                    <a:headEnd/>
                    <a:tailEnd/>
                  </a:ln>
                </pic:spPr>
              </pic:pic>
            </a:graphicData>
          </a:graphic>
        </wp:inline>
      </w:drawing>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52AB" w:rsidRDefault="008752AB" w:rsidP="008752AB">
    <w:pPr>
      <w:pStyle w:val="Fuzeile"/>
      <w:tabs>
        <w:tab w:val="clear" w:pos="9072"/>
      </w:tabs>
      <w:ind w:left="-284"/>
    </w:pPr>
    <w:r>
      <w:rPr>
        <w:noProof/>
        <w:lang w:val="de-DE" w:eastAsia="de-DE"/>
      </w:rPr>
      <mc:AlternateContent>
        <mc:Choice Requires="wps">
          <w:drawing>
            <wp:anchor distT="0" distB="0" distL="114300" distR="114300" simplePos="0" relativeHeight="251658240" behindDoc="0" locked="0" layoutInCell="1" allowOverlap="1" wp14:anchorId="7C4C2D64" wp14:editId="7F7E8DFD">
              <wp:simplePos x="0" y="0"/>
              <wp:positionH relativeFrom="column">
                <wp:posOffset>-149860</wp:posOffset>
              </wp:positionH>
              <wp:positionV relativeFrom="paragraph">
                <wp:posOffset>23656</wp:posOffset>
              </wp:positionV>
              <wp:extent cx="6731000" cy="224790"/>
              <wp:effectExtent l="0" t="0" r="12700" b="3810"/>
              <wp:wrapNone/>
              <wp:docPr id="13" name="Textfeld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00" cy="224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52AB" w:rsidRPr="008752AB" w:rsidRDefault="00EA3133" w:rsidP="008752AB">
                          <w:pPr>
                            <w:tabs>
                              <w:tab w:val="center" w:pos="5387"/>
                              <w:tab w:val="right" w:pos="10065"/>
                            </w:tabs>
                            <w:ind w:left="142" w:right="487"/>
                            <w:rPr>
                              <w:color w:val="FFFFFF"/>
                              <w:lang w:val="nl-NL"/>
                            </w:rPr>
                          </w:pPr>
                          <w:r>
                            <w:rPr>
                              <w:color w:val="FFFFFF"/>
                              <w:lang w:val="nl-NL"/>
                            </w:rPr>
                            <w:t>Omzet eerste halfjaar 2019</w:t>
                          </w:r>
                          <w:r w:rsidR="007A6960">
                            <w:rPr>
                              <w:color w:val="FFFFFF"/>
                              <w:lang w:val="nl-NL"/>
                            </w:rPr>
                            <w:t xml:space="preserve"> </w:t>
                          </w:r>
                          <w:r w:rsidR="004A1500">
                            <w:rPr>
                              <w:color w:val="FFFFFF"/>
                              <w:lang w:val="nl-NL"/>
                            </w:rPr>
                            <w:tab/>
                          </w:r>
                          <w:r w:rsidR="008752AB" w:rsidRPr="00364EF1">
                            <w:rPr>
                              <w:color w:val="FFFFFF"/>
                            </w:rPr>
                            <w:fldChar w:fldCharType="begin"/>
                          </w:r>
                          <w:r w:rsidR="008752AB" w:rsidRPr="008752AB">
                            <w:rPr>
                              <w:color w:val="FFFFFF"/>
                              <w:lang w:val="nl-NL"/>
                            </w:rPr>
                            <w:instrText xml:space="preserve"> PAGE   \* MERGEFORMAT </w:instrText>
                          </w:r>
                          <w:r w:rsidR="008752AB" w:rsidRPr="00364EF1">
                            <w:rPr>
                              <w:color w:val="FFFFFF"/>
                            </w:rPr>
                            <w:fldChar w:fldCharType="separate"/>
                          </w:r>
                          <w:r w:rsidR="00946E14">
                            <w:rPr>
                              <w:noProof/>
                              <w:color w:val="FFFFFF"/>
                              <w:lang w:val="nl-NL"/>
                            </w:rPr>
                            <w:t>1</w:t>
                          </w:r>
                          <w:r w:rsidR="008752AB" w:rsidRPr="00364EF1">
                            <w:rPr>
                              <w:color w:val="FFFFFF"/>
                            </w:rPr>
                            <w:fldChar w:fldCharType="end"/>
                          </w:r>
                          <w:r w:rsidR="008752AB" w:rsidRPr="008752AB">
                            <w:rPr>
                              <w:color w:val="FFFFFF"/>
                              <w:lang w:val="nl-NL"/>
                            </w:rPr>
                            <w:tab/>
                            <w:t>RoodMicrotec P</w:t>
                          </w:r>
                          <w:r w:rsidR="008752AB">
                            <w:rPr>
                              <w:color w:val="FFFFFF"/>
                              <w:lang w:val="nl-NL"/>
                            </w:rPr>
                            <w:t>ersbericht</w:t>
                          </w:r>
                        </w:p>
                        <w:p w:rsidR="008752AB" w:rsidRPr="008752AB" w:rsidRDefault="008752AB" w:rsidP="008752AB">
                          <w:pPr>
                            <w:tabs>
                              <w:tab w:val="center" w:pos="5387"/>
                              <w:tab w:val="right" w:pos="10065"/>
                            </w:tabs>
                            <w:ind w:left="142"/>
                            <w:rPr>
                              <w:lang w:val="nl-NL"/>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C4C2D64" id="_x0000_t202" coordsize="21600,21600" o:spt="202" path="m,l,21600r21600,l21600,xe">
              <v:stroke joinstyle="miter"/>
              <v:path gradientshapeok="t" o:connecttype="rect"/>
            </v:shapetype>
            <v:shape id="Textfeld 13" o:spid="_x0000_s1029" type="#_x0000_t202" style="position:absolute;left:0;text-align:left;margin-left:-11.8pt;margin-top:1.85pt;width:530pt;height:17.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" filled="f" stroked="f">
              <v:textbox inset="0,0,0,0">
                <w:txbxContent>
                  <w:p w:rsidR="008752AB" w:rsidRPr="008752AB" w:rsidRDefault="00EA3133" w:rsidP="008752AB">
                    <w:pPr>
                      <w:tabs>
                        <w:tab w:val="center" w:pos="5387"/>
                        <w:tab w:val="right" w:pos="10065"/>
                      </w:tabs>
                      <w:ind w:left="142" w:right="487"/>
                      <w:rPr>
                        <w:color w:val="FFFFFF"/>
                        <w:lang w:val="nl-NL"/>
                      </w:rPr>
                    </w:pPr>
                    <w:r>
                      <w:rPr>
                        <w:color w:val="FFFFFF"/>
                        <w:lang w:val="nl-NL"/>
                      </w:rPr>
                      <w:t>Omzet eerste halfjaar 2019</w:t>
                    </w:r>
                    <w:r w:rsidR="007A6960">
                      <w:rPr>
                        <w:color w:val="FFFFFF"/>
                        <w:lang w:val="nl-NL"/>
                      </w:rPr>
                      <w:t xml:space="preserve"> </w:t>
                    </w:r>
                    <w:r w:rsidR="004A1500">
                      <w:rPr>
                        <w:color w:val="FFFFFF"/>
                        <w:lang w:val="nl-NL"/>
                      </w:rPr>
                      <w:tab/>
                    </w:r>
                    <w:r w:rsidR="008752AB" w:rsidRPr="00364EF1">
                      <w:rPr>
                        <w:color w:val="FFFFFF"/>
                      </w:rPr>
                      <w:fldChar w:fldCharType="begin"/>
                    </w:r>
                    <w:r w:rsidR="008752AB" w:rsidRPr="008752AB">
                      <w:rPr>
                        <w:color w:val="FFFFFF"/>
                        <w:lang w:val="nl-NL"/>
                      </w:rPr>
                      <w:instrText xml:space="preserve"> PAGE   \* MERGEFORMAT </w:instrText>
                    </w:r>
                    <w:r w:rsidR="008752AB" w:rsidRPr="00364EF1">
                      <w:rPr>
                        <w:color w:val="FFFFFF"/>
                      </w:rPr>
                      <w:fldChar w:fldCharType="separate"/>
                    </w:r>
                    <w:r w:rsidR="00946E14">
                      <w:rPr>
                        <w:noProof/>
                        <w:color w:val="FFFFFF"/>
                        <w:lang w:val="nl-NL"/>
                      </w:rPr>
                      <w:t>1</w:t>
                    </w:r>
                    <w:r w:rsidR="008752AB" w:rsidRPr="00364EF1">
                      <w:rPr>
                        <w:color w:val="FFFFFF"/>
                      </w:rPr>
                      <w:fldChar w:fldCharType="end"/>
                    </w:r>
                    <w:r w:rsidR="008752AB" w:rsidRPr="008752AB">
                      <w:rPr>
                        <w:color w:val="FFFFFF"/>
                        <w:lang w:val="nl-NL"/>
                      </w:rPr>
                      <w:tab/>
                      <w:t>RoodMicrotec P</w:t>
                    </w:r>
                    <w:r w:rsidR="008752AB">
                      <w:rPr>
                        <w:color w:val="FFFFFF"/>
                        <w:lang w:val="nl-NL"/>
                      </w:rPr>
                      <w:t>ersbericht</w:t>
                    </w:r>
                  </w:p>
                  <w:p w:rsidR="008752AB" w:rsidRPr="008752AB" w:rsidRDefault="008752AB" w:rsidP="008752AB">
                    <w:pPr>
                      <w:tabs>
                        <w:tab w:val="center" w:pos="5387"/>
                        <w:tab w:val="right" w:pos="10065"/>
                      </w:tabs>
                      <w:ind w:left="142"/>
                      <w:rPr>
                        <w:lang w:val="nl-NL"/>
                      </w:rPr>
                    </w:pPr>
                  </w:p>
                </w:txbxContent>
              </v:textbox>
            </v:shape>
          </w:pict>
        </mc:Fallback>
      </mc:AlternateContent>
    </w:r>
    <w:r>
      <w:rPr>
        <w:noProof/>
        <w:lang w:val="de-DE" w:eastAsia="de-DE"/>
      </w:rPr>
      <w:drawing>
        <wp:inline distT="0" distB="0" distL="0" distR="0" wp14:anchorId="3CD0AB4C" wp14:editId="2C484EF6">
          <wp:extent cx="6819072" cy="285750"/>
          <wp:effectExtent l="0" t="0" r="0" b="0"/>
          <wp:docPr id="10" name="Grafik 6" descr="Balken 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Balken klein.jpg"/>
                  <pic:cNvPicPr>
                    <a:picLocks noChangeAspect="1" noChangeArrowheads="1"/>
                  </pic:cNvPicPr>
                </pic:nvPicPr>
                <pic:blipFill>
                  <a:blip r:embed="rId1"/>
                  <a:srcRect/>
                  <a:stretch>
                    <a:fillRect/>
                  </a:stretch>
                </pic:blipFill>
                <pic:spPr bwMode="auto">
                  <a:xfrm>
                    <a:off x="0" y="0"/>
                    <a:ext cx="6839592" cy="286610"/>
                  </a:xfrm>
                  <a:prstGeom prst="rect">
                    <a:avLst/>
                  </a:prstGeom>
                  <a:solidFill>
                    <a:srgbClr val="BA0C2F"/>
                  </a:solid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0677" w:rsidRDefault="009C0677" w:rsidP="00487DE4">
      <w:pPr>
        <w:spacing w:after="0" w:line="240" w:lineRule="auto"/>
      </w:pPr>
      <w:r>
        <w:separator/>
      </w:r>
    </w:p>
  </w:footnote>
  <w:footnote w:type="continuationSeparator" w:id="0">
    <w:p w:rsidR="009C0677" w:rsidRDefault="009C0677" w:rsidP="00487D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3DF8" w:rsidRDefault="00A018EE" w:rsidP="003279A8">
    <w:pPr>
      <w:pStyle w:val="Kopfzeile"/>
    </w:pPr>
    <w:r>
      <w:rPr>
        <w:noProof/>
        <w:lang w:val="de-DE" w:eastAsia="de-DE"/>
      </w:rPr>
      <mc:AlternateContent>
        <mc:Choice Requires="wps">
          <w:drawing>
            <wp:anchor distT="0" distB="0" distL="114300" distR="114300" simplePos="0" relativeHeight="251661312" behindDoc="0" locked="0" layoutInCell="1" allowOverlap="1" wp14:anchorId="1B2CBC1B" wp14:editId="0F6CAAFC">
              <wp:simplePos x="0" y="0"/>
              <wp:positionH relativeFrom="column">
                <wp:posOffset>-99695</wp:posOffset>
              </wp:positionH>
              <wp:positionV relativeFrom="paragraph">
                <wp:posOffset>-2091055</wp:posOffset>
              </wp:positionV>
              <wp:extent cx="3026410" cy="1455420"/>
              <wp:effectExtent l="0" t="4445" r="0" b="0"/>
              <wp:wrapNone/>
              <wp:docPr id="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6410" cy="1455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DF8" w:rsidRPr="00AF1EB0" w:rsidRDefault="004D3DF8" w:rsidP="006A787C">
                          <w:pPr>
                            <w:spacing w:after="0" w:line="240" w:lineRule="auto"/>
                            <w:rPr>
                              <w:sz w:val="18"/>
                              <w:szCs w:val="18"/>
                            </w:rPr>
                          </w:pPr>
                          <w:r w:rsidRPr="00AF1EB0">
                            <w:rPr>
                              <w:sz w:val="18"/>
                              <w:szCs w:val="18"/>
                            </w:rPr>
                            <w:t>Martin Sallenhag, CEO</w:t>
                          </w:r>
                        </w:p>
                        <w:p w:rsidR="004D3DF8" w:rsidRPr="00AF1EB0" w:rsidRDefault="004D3DF8" w:rsidP="006A787C">
                          <w:pPr>
                            <w:spacing w:after="0" w:line="240" w:lineRule="auto"/>
                            <w:rPr>
                              <w:sz w:val="18"/>
                              <w:szCs w:val="18"/>
                            </w:rPr>
                          </w:pPr>
                          <w:proofErr w:type="spellStart"/>
                          <w:r w:rsidRPr="00AF1EB0">
                            <w:rPr>
                              <w:sz w:val="18"/>
                              <w:szCs w:val="18"/>
                            </w:rPr>
                            <w:t>Arvid</w:t>
                          </w:r>
                          <w:proofErr w:type="spellEnd"/>
                          <w:r w:rsidRPr="00AF1EB0">
                            <w:rPr>
                              <w:sz w:val="18"/>
                              <w:szCs w:val="18"/>
                            </w:rPr>
                            <w:t xml:space="preserve"> </w:t>
                          </w:r>
                          <w:proofErr w:type="spellStart"/>
                          <w:r w:rsidRPr="00AF1EB0">
                            <w:rPr>
                              <w:sz w:val="18"/>
                              <w:szCs w:val="18"/>
                            </w:rPr>
                            <w:t>Ladega</w:t>
                          </w:r>
                          <w:proofErr w:type="spellEnd"/>
                          <w:r w:rsidRPr="00AF1EB0">
                            <w:rPr>
                              <w:sz w:val="18"/>
                              <w:szCs w:val="18"/>
                            </w:rPr>
                            <w:t>, CFO</w:t>
                          </w:r>
                        </w:p>
                        <w:p w:rsidR="004D3DF8" w:rsidRPr="00AF1EB0" w:rsidRDefault="004D3DF8" w:rsidP="006A787C">
                          <w:pPr>
                            <w:spacing w:after="0" w:line="240" w:lineRule="auto"/>
                            <w:rPr>
                              <w:sz w:val="18"/>
                              <w:szCs w:val="18"/>
                            </w:rPr>
                          </w:pPr>
                        </w:p>
                        <w:p w:rsidR="004D3DF8" w:rsidRPr="0063344F" w:rsidRDefault="004D3DF8" w:rsidP="006A787C">
                          <w:pPr>
                            <w:spacing w:after="0" w:line="240" w:lineRule="auto"/>
                            <w:rPr>
                              <w:b/>
                              <w:sz w:val="18"/>
                              <w:szCs w:val="18"/>
                              <w:lang w:val="nl-NL"/>
                            </w:rPr>
                          </w:pPr>
                          <w:r w:rsidRPr="0063344F">
                            <w:rPr>
                              <w:b/>
                              <w:color w:val="BA0C2F"/>
                              <w:sz w:val="18"/>
                              <w:szCs w:val="18"/>
                              <w:lang w:val="nl-NL"/>
                            </w:rPr>
                            <w:t>Rood</w:t>
                          </w:r>
                          <w:r w:rsidRPr="0063344F">
                            <w:rPr>
                              <w:b/>
                              <w:sz w:val="18"/>
                              <w:szCs w:val="18"/>
                              <w:lang w:val="nl-NL"/>
                            </w:rPr>
                            <w:t>Microtec N.V.</w:t>
                          </w:r>
                        </w:p>
                        <w:p w:rsidR="004D3DF8" w:rsidRPr="00AF1EB0" w:rsidRDefault="00DC45C9" w:rsidP="006A787C">
                          <w:pPr>
                            <w:spacing w:after="0" w:line="240" w:lineRule="auto"/>
                            <w:rPr>
                              <w:sz w:val="18"/>
                              <w:szCs w:val="18"/>
                              <w:highlight w:val="yellow"/>
                              <w:lang w:val="nl-NL"/>
                            </w:rPr>
                          </w:pPr>
                          <w:r w:rsidRPr="00AF1EB0">
                            <w:rPr>
                              <w:sz w:val="18"/>
                              <w:szCs w:val="18"/>
                              <w:lang w:val="nl-NL"/>
                            </w:rPr>
                            <w:t>Zutphenseweg 29 D1</w:t>
                          </w:r>
                        </w:p>
                        <w:p w:rsidR="004D3DF8" w:rsidRPr="00AF1EB0" w:rsidRDefault="004D3DF8" w:rsidP="006A787C">
                          <w:pPr>
                            <w:spacing w:after="0" w:line="240" w:lineRule="auto"/>
                            <w:rPr>
                              <w:sz w:val="18"/>
                              <w:szCs w:val="18"/>
                              <w:lang w:val="nl-NL"/>
                            </w:rPr>
                          </w:pPr>
                          <w:r w:rsidRPr="00AF1EB0">
                            <w:rPr>
                              <w:sz w:val="18"/>
                              <w:szCs w:val="18"/>
                              <w:lang w:val="nl-NL"/>
                            </w:rPr>
                            <w:t>NL-</w:t>
                          </w:r>
                          <w:r w:rsidR="00DC45C9" w:rsidRPr="00AF1EB0">
                            <w:rPr>
                              <w:sz w:val="18"/>
                              <w:szCs w:val="18"/>
                              <w:lang w:val="nl-NL"/>
                            </w:rPr>
                            <w:t>7418 AH Deventer</w:t>
                          </w:r>
                        </w:p>
                        <w:p w:rsidR="004D3DF8" w:rsidRPr="00AF1EB0" w:rsidRDefault="004D3DF8" w:rsidP="006A787C">
                          <w:pPr>
                            <w:spacing w:after="0" w:line="240" w:lineRule="auto"/>
                            <w:rPr>
                              <w:rFonts w:asciiTheme="minorHAnsi" w:hAnsiTheme="minorHAnsi" w:cstheme="minorHAnsi"/>
                              <w:b/>
                              <w:sz w:val="18"/>
                              <w:szCs w:val="18"/>
                              <w:lang w:val="nl-NL"/>
                            </w:rPr>
                          </w:pPr>
                        </w:p>
                        <w:p w:rsidR="004D3DF8" w:rsidRPr="00AF1EB0" w:rsidRDefault="004D3DF8" w:rsidP="0047010F">
                          <w:pPr>
                            <w:pStyle w:val="Listenabsatz"/>
                            <w:numPr>
                              <w:ilvl w:val="0"/>
                              <w:numId w:val="1"/>
                            </w:numPr>
                            <w:tabs>
                              <w:tab w:val="left" w:pos="426"/>
                            </w:tabs>
                            <w:spacing w:after="0" w:line="240" w:lineRule="auto"/>
                            <w:ind w:left="426" w:hanging="426"/>
                            <w:rPr>
                              <w:rFonts w:asciiTheme="minorHAnsi" w:eastAsia="Arial" w:hAnsiTheme="minorHAnsi" w:cstheme="minorHAnsi"/>
                              <w:b/>
                              <w:color w:val="231F20"/>
                              <w:sz w:val="18"/>
                              <w:szCs w:val="18"/>
                              <w:lang w:val="nl-NL"/>
                            </w:rPr>
                          </w:pPr>
                          <w:bookmarkStart w:id="2" w:name="_Hlk8636455"/>
                          <w:r w:rsidRPr="00AF1EB0">
                            <w:rPr>
                              <w:rFonts w:asciiTheme="minorHAnsi" w:eastAsia="Arial" w:hAnsiTheme="minorHAnsi" w:cstheme="minorHAnsi"/>
                              <w:b/>
                              <w:color w:val="231F20"/>
                              <w:sz w:val="18"/>
                              <w:szCs w:val="18"/>
                              <w:lang w:val="nl-NL"/>
                            </w:rPr>
                            <w:t xml:space="preserve">+31 </w:t>
                          </w:r>
                          <w:r w:rsidR="00FE3A21" w:rsidRPr="00AF1EB0">
                            <w:rPr>
                              <w:rFonts w:asciiTheme="minorHAnsi" w:hAnsiTheme="minorHAnsi" w:cstheme="minorHAnsi"/>
                              <w:b/>
                              <w:color w:val="000000"/>
                              <w:sz w:val="18"/>
                              <w:szCs w:val="18"/>
                              <w:lang w:eastAsia="de-DE"/>
                            </w:rPr>
                            <w:t>570 745623</w:t>
                          </w:r>
                        </w:p>
                        <w:bookmarkEnd w:id="2"/>
                        <w:p w:rsidR="004D3DF8" w:rsidRPr="00AF1EB0" w:rsidRDefault="004D3DF8" w:rsidP="0047010F">
                          <w:pPr>
                            <w:tabs>
                              <w:tab w:val="left" w:pos="426"/>
                            </w:tabs>
                            <w:spacing w:after="0" w:line="240" w:lineRule="auto"/>
                            <w:rPr>
                              <w:rFonts w:asciiTheme="minorHAnsi" w:eastAsia="Arial" w:hAnsiTheme="minorHAnsi" w:cstheme="minorHAnsi"/>
                              <w:color w:val="231F20"/>
                              <w:sz w:val="18"/>
                              <w:szCs w:val="18"/>
                              <w:lang w:val="nl-NL"/>
                            </w:rPr>
                          </w:pPr>
                          <w:r w:rsidRPr="00AF1EB0">
                            <w:rPr>
                              <w:rFonts w:asciiTheme="minorHAnsi" w:eastAsia="Arial" w:hAnsiTheme="minorHAnsi" w:cstheme="minorHAnsi"/>
                              <w:color w:val="231F20"/>
                              <w:sz w:val="18"/>
                              <w:szCs w:val="18"/>
                              <w:lang w:val="nl-NL"/>
                            </w:rPr>
                            <w:t>@</w:t>
                          </w:r>
                          <w:r w:rsidRPr="00AF1EB0">
                            <w:rPr>
                              <w:rFonts w:asciiTheme="minorHAnsi" w:eastAsia="Arial" w:hAnsiTheme="minorHAnsi" w:cstheme="minorHAnsi"/>
                              <w:color w:val="231F20"/>
                              <w:sz w:val="18"/>
                              <w:szCs w:val="18"/>
                              <w:lang w:val="nl-NL"/>
                            </w:rPr>
                            <w:tab/>
                          </w:r>
                          <w:hyperlink r:id="rId1">
                            <w:r w:rsidRPr="00AF1EB0">
                              <w:rPr>
                                <w:rFonts w:asciiTheme="minorHAnsi" w:eastAsia="Arial" w:hAnsiTheme="minorHAnsi" w:cstheme="minorHAnsi"/>
                                <w:color w:val="231F20"/>
                                <w:sz w:val="18"/>
                                <w:szCs w:val="18"/>
                                <w:lang w:val="nl-NL"/>
                              </w:rPr>
                              <w:t>investor-relations@roodmicrotec.com</w:t>
                            </w:r>
                          </w:hyperlink>
                        </w:p>
                        <w:p w:rsidR="004D3DF8" w:rsidRPr="00AF1EB0" w:rsidRDefault="004D3DF8" w:rsidP="0047010F">
                          <w:pPr>
                            <w:tabs>
                              <w:tab w:val="left" w:pos="426"/>
                            </w:tabs>
                            <w:spacing w:after="0" w:line="240" w:lineRule="auto"/>
                            <w:rPr>
                              <w:rFonts w:asciiTheme="minorHAnsi" w:eastAsia="Arial" w:hAnsiTheme="minorHAnsi" w:cstheme="minorHAnsi"/>
                              <w:color w:val="231F20"/>
                              <w:sz w:val="18"/>
                              <w:szCs w:val="18"/>
                              <w:lang w:val="nl-NL"/>
                            </w:rPr>
                          </w:pPr>
                          <w:r w:rsidRPr="00AF1EB0">
                            <w:rPr>
                              <w:rFonts w:asciiTheme="minorHAnsi" w:eastAsia="Arial" w:hAnsiTheme="minorHAnsi" w:cstheme="minorHAnsi"/>
                              <w:color w:val="231F20"/>
                              <w:sz w:val="18"/>
                              <w:szCs w:val="18"/>
                              <w:lang w:val="nl-NL"/>
                            </w:rPr>
                            <w:sym w:font="Webdings" w:char="F0FC"/>
                          </w:r>
                          <w:r w:rsidRPr="00AF1EB0">
                            <w:rPr>
                              <w:rFonts w:asciiTheme="minorHAnsi" w:eastAsia="Arial" w:hAnsiTheme="minorHAnsi" w:cstheme="minorHAnsi"/>
                              <w:color w:val="231F20"/>
                              <w:sz w:val="18"/>
                              <w:szCs w:val="18"/>
                              <w:lang w:val="nl-NL"/>
                            </w:rPr>
                            <w:tab/>
                            <w:t>www.roodmicrotec.com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2CBC1B" id="_x0000_t202" coordsize="21600,21600" o:spt="202" path="m,l,21600r21600,l21600,xe">
              <v:stroke joinstyle="miter"/>
              <v:path gradientshapeok="t" o:connecttype="rect"/>
            </v:shapetype>
            <v:shape id="Text Box 11" o:spid="_x0000_s1027" type="#_x0000_t202" style="position:absolute;margin-left:-7.85pt;margin-top:-164.65pt;width:238.3pt;height:11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" filled="f" stroked="f">
              <v:textbox inset="0,0,0,0">
                <w:txbxContent>
                  <w:p w:rsidR="004D3DF8" w:rsidRPr="00AF1EB0" w:rsidRDefault="004D3DF8" w:rsidP="006A787C">
                    <w:pPr>
                      <w:spacing w:after="0" w:line="240" w:lineRule="auto"/>
                      <w:rPr>
                        <w:sz w:val="18"/>
                        <w:szCs w:val="18"/>
                      </w:rPr>
                    </w:pPr>
                    <w:r w:rsidRPr="00AF1EB0">
                      <w:rPr>
                        <w:sz w:val="18"/>
                        <w:szCs w:val="18"/>
                      </w:rPr>
                      <w:t>Martin Sallenhag, CEO</w:t>
                    </w:r>
                  </w:p>
                  <w:p w:rsidR="004D3DF8" w:rsidRPr="00AF1EB0" w:rsidRDefault="004D3DF8" w:rsidP="006A787C">
                    <w:pPr>
                      <w:spacing w:after="0" w:line="240" w:lineRule="auto"/>
                      <w:rPr>
                        <w:sz w:val="18"/>
                        <w:szCs w:val="18"/>
                      </w:rPr>
                    </w:pPr>
                    <w:proofErr w:type="spellStart"/>
                    <w:r w:rsidRPr="00AF1EB0">
                      <w:rPr>
                        <w:sz w:val="18"/>
                        <w:szCs w:val="18"/>
                      </w:rPr>
                      <w:t>Arvid</w:t>
                    </w:r>
                    <w:proofErr w:type="spellEnd"/>
                    <w:r w:rsidRPr="00AF1EB0">
                      <w:rPr>
                        <w:sz w:val="18"/>
                        <w:szCs w:val="18"/>
                      </w:rPr>
                      <w:t xml:space="preserve"> </w:t>
                    </w:r>
                    <w:proofErr w:type="spellStart"/>
                    <w:r w:rsidRPr="00AF1EB0">
                      <w:rPr>
                        <w:sz w:val="18"/>
                        <w:szCs w:val="18"/>
                      </w:rPr>
                      <w:t>Ladega</w:t>
                    </w:r>
                    <w:proofErr w:type="spellEnd"/>
                    <w:r w:rsidRPr="00AF1EB0">
                      <w:rPr>
                        <w:sz w:val="18"/>
                        <w:szCs w:val="18"/>
                      </w:rPr>
                      <w:t>, CFO</w:t>
                    </w:r>
                  </w:p>
                  <w:p w:rsidR="004D3DF8" w:rsidRPr="00AF1EB0" w:rsidRDefault="004D3DF8" w:rsidP="006A787C">
                    <w:pPr>
                      <w:spacing w:after="0" w:line="240" w:lineRule="auto"/>
                      <w:rPr>
                        <w:sz w:val="18"/>
                        <w:szCs w:val="18"/>
                      </w:rPr>
                    </w:pPr>
                  </w:p>
                  <w:p w:rsidR="004D3DF8" w:rsidRPr="0063344F" w:rsidRDefault="004D3DF8" w:rsidP="006A787C">
                    <w:pPr>
                      <w:spacing w:after="0" w:line="240" w:lineRule="auto"/>
                      <w:rPr>
                        <w:b/>
                        <w:sz w:val="18"/>
                        <w:szCs w:val="18"/>
                        <w:lang w:val="nl-NL"/>
                      </w:rPr>
                    </w:pPr>
                    <w:r w:rsidRPr="0063344F">
                      <w:rPr>
                        <w:b/>
                        <w:color w:val="BA0C2F"/>
                        <w:sz w:val="18"/>
                        <w:szCs w:val="18"/>
                        <w:lang w:val="nl-NL"/>
                      </w:rPr>
                      <w:t>Rood</w:t>
                    </w:r>
                    <w:r w:rsidRPr="0063344F">
                      <w:rPr>
                        <w:b/>
                        <w:sz w:val="18"/>
                        <w:szCs w:val="18"/>
                        <w:lang w:val="nl-NL"/>
                      </w:rPr>
                      <w:t>Microtec N.V.</w:t>
                    </w:r>
                  </w:p>
                  <w:p w:rsidR="004D3DF8" w:rsidRPr="00AF1EB0" w:rsidRDefault="00DC45C9" w:rsidP="006A787C">
                    <w:pPr>
                      <w:spacing w:after="0" w:line="240" w:lineRule="auto"/>
                      <w:rPr>
                        <w:sz w:val="18"/>
                        <w:szCs w:val="18"/>
                        <w:highlight w:val="yellow"/>
                        <w:lang w:val="nl-NL"/>
                      </w:rPr>
                    </w:pPr>
                    <w:r w:rsidRPr="00AF1EB0">
                      <w:rPr>
                        <w:sz w:val="18"/>
                        <w:szCs w:val="18"/>
                        <w:lang w:val="nl-NL"/>
                      </w:rPr>
                      <w:t>Zutphenseweg 29 D1</w:t>
                    </w:r>
                  </w:p>
                  <w:p w:rsidR="004D3DF8" w:rsidRPr="00AF1EB0" w:rsidRDefault="004D3DF8" w:rsidP="006A787C">
                    <w:pPr>
                      <w:spacing w:after="0" w:line="240" w:lineRule="auto"/>
                      <w:rPr>
                        <w:sz w:val="18"/>
                        <w:szCs w:val="18"/>
                        <w:lang w:val="nl-NL"/>
                      </w:rPr>
                    </w:pPr>
                    <w:r w:rsidRPr="00AF1EB0">
                      <w:rPr>
                        <w:sz w:val="18"/>
                        <w:szCs w:val="18"/>
                        <w:lang w:val="nl-NL"/>
                      </w:rPr>
                      <w:t>NL-</w:t>
                    </w:r>
                    <w:r w:rsidR="00DC45C9" w:rsidRPr="00AF1EB0">
                      <w:rPr>
                        <w:sz w:val="18"/>
                        <w:szCs w:val="18"/>
                        <w:lang w:val="nl-NL"/>
                      </w:rPr>
                      <w:t>7418 AH Deventer</w:t>
                    </w:r>
                  </w:p>
                  <w:p w:rsidR="004D3DF8" w:rsidRPr="00AF1EB0" w:rsidRDefault="004D3DF8" w:rsidP="006A787C">
                    <w:pPr>
                      <w:spacing w:after="0" w:line="240" w:lineRule="auto"/>
                      <w:rPr>
                        <w:rFonts w:asciiTheme="minorHAnsi" w:hAnsiTheme="minorHAnsi" w:cstheme="minorHAnsi"/>
                        <w:b/>
                        <w:sz w:val="18"/>
                        <w:szCs w:val="18"/>
                        <w:lang w:val="nl-NL"/>
                      </w:rPr>
                    </w:pPr>
                  </w:p>
                  <w:p w:rsidR="004D3DF8" w:rsidRPr="00AF1EB0" w:rsidRDefault="004D3DF8" w:rsidP="0047010F">
                    <w:pPr>
                      <w:pStyle w:val="Listenabsatz"/>
                      <w:numPr>
                        <w:ilvl w:val="0"/>
                        <w:numId w:val="1"/>
                      </w:numPr>
                      <w:tabs>
                        <w:tab w:val="left" w:pos="426"/>
                      </w:tabs>
                      <w:spacing w:after="0" w:line="240" w:lineRule="auto"/>
                      <w:ind w:left="426" w:hanging="426"/>
                      <w:rPr>
                        <w:rFonts w:asciiTheme="minorHAnsi" w:eastAsia="Arial" w:hAnsiTheme="minorHAnsi" w:cstheme="minorHAnsi"/>
                        <w:b/>
                        <w:color w:val="231F20"/>
                        <w:sz w:val="18"/>
                        <w:szCs w:val="18"/>
                        <w:lang w:val="nl-NL"/>
                      </w:rPr>
                    </w:pPr>
                    <w:bookmarkStart w:id="3" w:name="_Hlk8636455"/>
                    <w:r w:rsidRPr="00AF1EB0">
                      <w:rPr>
                        <w:rFonts w:asciiTheme="minorHAnsi" w:eastAsia="Arial" w:hAnsiTheme="minorHAnsi" w:cstheme="minorHAnsi"/>
                        <w:b/>
                        <w:color w:val="231F20"/>
                        <w:sz w:val="18"/>
                        <w:szCs w:val="18"/>
                        <w:lang w:val="nl-NL"/>
                      </w:rPr>
                      <w:t xml:space="preserve">+31 </w:t>
                    </w:r>
                    <w:r w:rsidR="00FE3A21" w:rsidRPr="00AF1EB0">
                      <w:rPr>
                        <w:rFonts w:asciiTheme="minorHAnsi" w:hAnsiTheme="minorHAnsi" w:cstheme="minorHAnsi"/>
                        <w:b/>
                        <w:color w:val="000000"/>
                        <w:sz w:val="18"/>
                        <w:szCs w:val="18"/>
                        <w:lang w:eastAsia="de-DE"/>
                      </w:rPr>
                      <w:t>570 745623</w:t>
                    </w:r>
                  </w:p>
                  <w:bookmarkEnd w:id="3"/>
                  <w:p w:rsidR="004D3DF8" w:rsidRPr="00AF1EB0" w:rsidRDefault="004D3DF8" w:rsidP="0047010F">
                    <w:pPr>
                      <w:tabs>
                        <w:tab w:val="left" w:pos="426"/>
                      </w:tabs>
                      <w:spacing w:after="0" w:line="240" w:lineRule="auto"/>
                      <w:rPr>
                        <w:rFonts w:asciiTheme="minorHAnsi" w:eastAsia="Arial" w:hAnsiTheme="minorHAnsi" w:cstheme="minorHAnsi"/>
                        <w:color w:val="231F20"/>
                        <w:sz w:val="18"/>
                        <w:szCs w:val="18"/>
                        <w:lang w:val="nl-NL"/>
                      </w:rPr>
                    </w:pPr>
                    <w:r w:rsidRPr="00AF1EB0">
                      <w:rPr>
                        <w:rFonts w:asciiTheme="minorHAnsi" w:eastAsia="Arial" w:hAnsiTheme="minorHAnsi" w:cstheme="minorHAnsi"/>
                        <w:color w:val="231F20"/>
                        <w:sz w:val="18"/>
                        <w:szCs w:val="18"/>
                        <w:lang w:val="nl-NL"/>
                      </w:rPr>
                      <w:t>@</w:t>
                    </w:r>
                    <w:r w:rsidRPr="00AF1EB0">
                      <w:rPr>
                        <w:rFonts w:asciiTheme="minorHAnsi" w:eastAsia="Arial" w:hAnsiTheme="minorHAnsi" w:cstheme="minorHAnsi"/>
                        <w:color w:val="231F20"/>
                        <w:sz w:val="18"/>
                        <w:szCs w:val="18"/>
                        <w:lang w:val="nl-NL"/>
                      </w:rPr>
                      <w:tab/>
                    </w:r>
                    <w:hyperlink r:id="rId2">
                      <w:r w:rsidRPr="00AF1EB0">
                        <w:rPr>
                          <w:rFonts w:asciiTheme="minorHAnsi" w:eastAsia="Arial" w:hAnsiTheme="minorHAnsi" w:cstheme="minorHAnsi"/>
                          <w:color w:val="231F20"/>
                          <w:sz w:val="18"/>
                          <w:szCs w:val="18"/>
                          <w:lang w:val="nl-NL"/>
                        </w:rPr>
                        <w:t>investor-relations@roodmicrotec.com</w:t>
                      </w:r>
                    </w:hyperlink>
                  </w:p>
                  <w:p w:rsidR="004D3DF8" w:rsidRPr="00AF1EB0" w:rsidRDefault="004D3DF8" w:rsidP="0047010F">
                    <w:pPr>
                      <w:tabs>
                        <w:tab w:val="left" w:pos="426"/>
                      </w:tabs>
                      <w:spacing w:after="0" w:line="240" w:lineRule="auto"/>
                      <w:rPr>
                        <w:rFonts w:asciiTheme="minorHAnsi" w:eastAsia="Arial" w:hAnsiTheme="minorHAnsi" w:cstheme="minorHAnsi"/>
                        <w:color w:val="231F20"/>
                        <w:sz w:val="18"/>
                        <w:szCs w:val="18"/>
                        <w:lang w:val="nl-NL"/>
                      </w:rPr>
                    </w:pPr>
                    <w:r w:rsidRPr="00AF1EB0">
                      <w:rPr>
                        <w:rFonts w:asciiTheme="minorHAnsi" w:eastAsia="Arial" w:hAnsiTheme="minorHAnsi" w:cstheme="minorHAnsi"/>
                        <w:color w:val="231F20"/>
                        <w:sz w:val="18"/>
                        <w:szCs w:val="18"/>
                        <w:lang w:val="nl-NL"/>
                      </w:rPr>
                      <w:sym w:font="Webdings" w:char="F0FC"/>
                    </w:r>
                    <w:r w:rsidRPr="00AF1EB0">
                      <w:rPr>
                        <w:rFonts w:asciiTheme="minorHAnsi" w:eastAsia="Arial" w:hAnsiTheme="minorHAnsi" w:cstheme="minorHAnsi"/>
                        <w:color w:val="231F20"/>
                        <w:sz w:val="18"/>
                        <w:szCs w:val="18"/>
                        <w:lang w:val="nl-NL"/>
                      </w:rPr>
                      <w:tab/>
                      <w:t>www.roodmicrotec.com</w:t>
                    </w:r>
                  </w:p>
                </w:txbxContent>
              </v:textbox>
            </v:shape>
          </w:pict>
        </mc:Fallback>
      </mc:AlternateContent>
    </w:r>
    <w:r>
      <w:rPr>
        <w:noProof/>
        <w:lang w:val="de-DE" w:eastAsia="de-DE"/>
      </w:rPr>
      <mc:AlternateContent>
        <mc:Choice Requires="wps">
          <w:drawing>
            <wp:anchor distT="0" distB="0" distL="114300" distR="114300" simplePos="0" relativeHeight="251665408" behindDoc="0" locked="0" layoutInCell="1" allowOverlap="1" wp14:anchorId="1E390DAF" wp14:editId="128B6CB4">
              <wp:simplePos x="0" y="0"/>
              <wp:positionH relativeFrom="column">
                <wp:posOffset>3077210</wp:posOffset>
              </wp:positionH>
              <wp:positionV relativeFrom="paragraph">
                <wp:posOffset>-2169795</wp:posOffset>
              </wp:positionV>
              <wp:extent cx="978535" cy="1644650"/>
              <wp:effectExtent l="19685" t="11430" r="20955" b="10795"/>
              <wp:wrapNone/>
              <wp:docPr id="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8535" cy="1644650"/>
                      </a:xfrm>
                      <a:prstGeom prst="parallelogram">
                        <a:avLst>
                          <a:gd name="adj" fmla="val 94120"/>
                        </a:avLst>
                      </a:prstGeom>
                      <a:solidFill>
                        <a:schemeClr val="bg1">
                          <a:lumMod val="65000"/>
                          <a:lumOff val="0"/>
                        </a:schemeClr>
                      </a:solidFill>
                      <a:ln w="9525">
                        <a:solidFill>
                          <a:schemeClr val="bg1">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BE0B3A"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AutoShape 22" o:spid="_x0000_s1026" type="#_x0000_t7" style="position:absolute;margin-left:242.3pt;margin-top:-170.85pt;width:77.05pt;height:12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" adj="20330" fillcolor="#a5a5a5 [2092]" strokecolor="#bfbfbf [2412]"/>
          </w:pict>
        </mc:Fallback>
      </mc:AlternateContent>
    </w:r>
    <w:r w:rsidR="004D3DF8">
      <w:rPr>
        <w:noProof/>
        <w:lang w:val="de-DE" w:eastAsia="de-DE"/>
      </w:rPr>
      <w:drawing>
        <wp:anchor distT="0" distB="0" distL="114300" distR="114300" simplePos="0" relativeHeight="251663360" behindDoc="1" locked="0" layoutInCell="1" allowOverlap="1" wp14:anchorId="0DCEBD0E" wp14:editId="4F378AB1">
          <wp:simplePos x="0" y="0"/>
          <wp:positionH relativeFrom="column">
            <wp:posOffset>3718560</wp:posOffset>
          </wp:positionH>
          <wp:positionV relativeFrom="paragraph">
            <wp:posOffset>-1924050</wp:posOffset>
          </wp:positionV>
          <wp:extent cx="2973705" cy="1080770"/>
          <wp:effectExtent l="0" t="0" r="0" b="0"/>
          <wp:wrapTight wrapText="bothSides">
            <wp:wrapPolygon edited="0">
              <wp:start x="10378" y="1904"/>
              <wp:lineTo x="9548" y="3046"/>
              <wp:lineTo x="8994" y="5330"/>
              <wp:lineTo x="8994" y="7995"/>
              <wp:lineTo x="692" y="13325"/>
              <wp:lineTo x="692" y="19417"/>
              <wp:lineTo x="20894" y="19417"/>
              <wp:lineTo x="21171" y="16371"/>
              <wp:lineTo x="20341" y="15229"/>
              <wp:lineTo x="16743" y="14087"/>
              <wp:lineTo x="13007" y="7995"/>
              <wp:lineTo x="13145" y="6472"/>
              <wp:lineTo x="12315" y="2665"/>
              <wp:lineTo x="11623" y="1904"/>
              <wp:lineTo x="10378" y="1904"/>
            </wp:wrapPolygon>
          </wp:wrapTight>
          <wp:docPr id="3" name="Grafik 3" descr="roodmicrotec_logo_rgb_gro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odmicrotec_logo_rgb_gross.png"/>
                  <pic:cNvPicPr/>
                </pic:nvPicPr>
                <pic:blipFill>
                  <a:blip r:embed="rId3"/>
                  <a:stretch>
                    <a:fillRect/>
                  </a:stretch>
                </pic:blipFill>
                <pic:spPr>
                  <a:xfrm>
                    <a:off x="0" y="0"/>
                    <a:ext cx="2973705" cy="1080770"/>
                  </a:xfrm>
                  <a:prstGeom prst="rect">
                    <a:avLst/>
                  </a:prstGeom>
                </pic:spPr>
              </pic:pic>
            </a:graphicData>
          </a:graphic>
        </wp:anchor>
      </w:drawing>
    </w:r>
    <w:r>
      <w:rPr>
        <w:noProof/>
        <w:lang w:val="de-DE" w:eastAsia="de-DE"/>
      </w:rPr>
      <mc:AlternateContent>
        <mc:Choice Requires="wps">
          <w:drawing>
            <wp:anchor distT="0" distB="0" distL="114300" distR="114300" simplePos="0" relativeHeight="251662336" behindDoc="0" locked="0" layoutInCell="1" allowOverlap="1" wp14:anchorId="20D08284" wp14:editId="214E9568">
              <wp:simplePos x="0" y="0"/>
              <wp:positionH relativeFrom="column">
                <wp:posOffset>-182880</wp:posOffset>
              </wp:positionH>
              <wp:positionV relativeFrom="paragraph">
                <wp:posOffset>-500380</wp:posOffset>
              </wp:positionV>
              <wp:extent cx="6605270" cy="351790"/>
              <wp:effectExtent l="0" t="4445" r="0" b="0"/>
              <wp:wrapNone/>
              <wp:docPr id="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5270" cy="351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DF8" w:rsidRPr="00E878A9" w:rsidRDefault="00DC45C9" w:rsidP="00F33608">
                          <w:pPr>
                            <w:tabs>
                              <w:tab w:val="right" w:pos="10206"/>
                            </w:tabs>
                            <w:rPr>
                              <w:rFonts w:asciiTheme="minorHAnsi" w:hAnsiTheme="minorHAnsi" w:cstheme="minorHAnsi"/>
                              <w:color w:val="FFFFFF" w:themeColor="background1"/>
                              <w:sz w:val="32"/>
                              <w:szCs w:val="32"/>
                            </w:rPr>
                          </w:pPr>
                          <w:r w:rsidRPr="00DC45C9">
                            <w:rPr>
                              <w:rFonts w:asciiTheme="minorHAnsi" w:hAnsiTheme="minorHAnsi" w:cstheme="minorHAnsi"/>
                              <w:color w:val="FFFFFF" w:themeColor="background1"/>
                            </w:rPr>
                            <w:t>Deventer</w:t>
                          </w:r>
                          <w:r w:rsidR="004D3DF8" w:rsidRPr="00DC45C9">
                            <w:rPr>
                              <w:rFonts w:asciiTheme="minorHAnsi" w:hAnsiTheme="minorHAnsi" w:cstheme="minorHAnsi"/>
                              <w:color w:val="FFFFFF" w:themeColor="background1"/>
                            </w:rPr>
                            <w:t xml:space="preserve"> –</w:t>
                          </w:r>
                          <w:r w:rsidR="004D3DF8">
                            <w:rPr>
                              <w:rFonts w:asciiTheme="minorHAnsi" w:hAnsiTheme="minorHAnsi" w:cstheme="minorHAnsi"/>
                              <w:color w:val="FFFFFF" w:themeColor="background1"/>
                            </w:rPr>
                            <w:t xml:space="preserve"> </w:t>
                          </w:r>
                          <w:r w:rsidR="009C0677">
                            <w:rPr>
                              <w:rFonts w:asciiTheme="minorHAnsi" w:hAnsiTheme="minorHAnsi" w:cstheme="minorHAnsi"/>
                              <w:color w:val="FFFFFF" w:themeColor="background1"/>
                            </w:rPr>
                            <w:t xml:space="preserve">04 </w:t>
                          </w:r>
                          <w:proofErr w:type="spellStart"/>
                          <w:r w:rsidR="009C0677">
                            <w:rPr>
                              <w:rFonts w:asciiTheme="minorHAnsi" w:hAnsiTheme="minorHAnsi" w:cstheme="minorHAnsi"/>
                              <w:color w:val="FFFFFF" w:themeColor="background1"/>
                            </w:rPr>
                            <w:t>juli</w:t>
                          </w:r>
                          <w:proofErr w:type="spellEnd"/>
                          <w:r w:rsidR="004D3DF8" w:rsidRPr="009D767A">
                            <w:rPr>
                              <w:rFonts w:asciiTheme="minorHAnsi" w:hAnsiTheme="minorHAnsi" w:cstheme="minorHAnsi"/>
                              <w:color w:val="FFFFFF" w:themeColor="background1"/>
                            </w:rPr>
                            <w:t xml:space="preserve"> 201</w:t>
                          </w:r>
                          <w:r w:rsidR="00B0167C">
                            <w:rPr>
                              <w:rFonts w:asciiTheme="minorHAnsi" w:hAnsiTheme="minorHAnsi" w:cstheme="minorHAnsi"/>
                              <w:color w:val="FFFFFF" w:themeColor="background1"/>
                            </w:rPr>
                            <w:t>9</w:t>
                          </w:r>
                          <w:r w:rsidR="004D3DF8" w:rsidRPr="00E878A9">
                            <w:rPr>
                              <w:color w:val="FFFFFF" w:themeColor="background1"/>
                            </w:rPr>
                            <w:tab/>
                          </w:r>
                          <w:r w:rsidR="004D3DF8">
                            <w:rPr>
                              <w:rFonts w:cstheme="minorHAnsi"/>
                              <w:b/>
                              <w:color w:val="FFFFFF" w:themeColor="background1"/>
                              <w:spacing w:val="20"/>
                              <w:sz w:val="32"/>
                              <w:szCs w:val="32"/>
                            </w:rPr>
                            <w:t>PERSBERICHT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D08284" id="Text Box 13" o:spid="_x0000_s1028" type="#_x0000_t202" style="position:absolute;margin-left:-14.4pt;margin-top:-39.4pt;width:520.1pt;height:27.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" filled="f" stroked="f">
              <v:textbox>
                <w:txbxContent>
                  <w:p w:rsidR="004D3DF8" w:rsidRPr="00E878A9" w:rsidRDefault="00DC45C9" w:rsidP="00F33608">
                    <w:pPr>
                      <w:tabs>
                        <w:tab w:val="right" w:pos="10206"/>
                      </w:tabs>
                      <w:rPr>
                        <w:rFonts w:asciiTheme="minorHAnsi" w:hAnsiTheme="minorHAnsi" w:cstheme="minorHAnsi"/>
                        <w:color w:val="FFFFFF" w:themeColor="background1"/>
                        <w:sz w:val="32"/>
                        <w:szCs w:val="32"/>
                      </w:rPr>
                    </w:pPr>
                    <w:r w:rsidRPr="00DC45C9">
                      <w:rPr>
                        <w:rFonts w:asciiTheme="minorHAnsi" w:hAnsiTheme="minorHAnsi" w:cstheme="minorHAnsi"/>
                        <w:color w:val="FFFFFF" w:themeColor="background1"/>
                      </w:rPr>
                      <w:t>Deventer</w:t>
                    </w:r>
                    <w:r w:rsidR="004D3DF8" w:rsidRPr="00DC45C9">
                      <w:rPr>
                        <w:rFonts w:asciiTheme="minorHAnsi" w:hAnsiTheme="minorHAnsi" w:cstheme="minorHAnsi"/>
                        <w:color w:val="FFFFFF" w:themeColor="background1"/>
                      </w:rPr>
                      <w:t xml:space="preserve"> –</w:t>
                    </w:r>
                    <w:r w:rsidR="004D3DF8">
                      <w:rPr>
                        <w:rFonts w:asciiTheme="minorHAnsi" w:hAnsiTheme="minorHAnsi" w:cstheme="minorHAnsi"/>
                        <w:color w:val="FFFFFF" w:themeColor="background1"/>
                      </w:rPr>
                      <w:t xml:space="preserve"> </w:t>
                    </w:r>
                    <w:r w:rsidR="009C0677">
                      <w:rPr>
                        <w:rFonts w:asciiTheme="minorHAnsi" w:hAnsiTheme="minorHAnsi" w:cstheme="minorHAnsi"/>
                        <w:color w:val="FFFFFF" w:themeColor="background1"/>
                      </w:rPr>
                      <w:t xml:space="preserve">04 </w:t>
                    </w:r>
                    <w:proofErr w:type="spellStart"/>
                    <w:r w:rsidR="009C0677">
                      <w:rPr>
                        <w:rFonts w:asciiTheme="minorHAnsi" w:hAnsiTheme="minorHAnsi" w:cstheme="minorHAnsi"/>
                        <w:color w:val="FFFFFF" w:themeColor="background1"/>
                      </w:rPr>
                      <w:t>juli</w:t>
                    </w:r>
                    <w:proofErr w:type="spellEnd"/>
                    <w:r w:rsidR="004D3DF8" w:rsidRPr="009D767A">
                      <w:rPr>
                        <w:rFonts w:asciiTheme="minorHAnsi" w:hAnsiTheme="minorHAnsi" w:cstheme="minorHAnsi"/>
                        <w:color w:val="FFFFFF" w:themeColor="background1"/>
                      </w:rPr>
                      <w:t xml:space="preserve"> 201</w:t>
                    </w:r>
                    <w:r w:rsidR="00B0167C">
                      <w:rPr>
                        <w:rFonts w:asciiTheme="minorHAnsi" w:hAnsiTheme="minorHAnsi" w:cstheme="minorHAnsi"/>
                        <w:color w:val="FFFFFF" w:themeColor="background1"/>
                      </w:rPr>
                      <w:t>9</w:t>
                    </w:r>
                    <w:r w:rsidR="004D3DF8" w:rsidRPr="00E878A9">
                      <w:rPr>
                        <w:color w:val="FFFFFF" w:themeColor="background1"/>
                      </w:rPr>
                      <w:tab/>
                    </w:r>
                    <w:r w:rsidR="004D3DF8">
                      <w:rPr>
                        <w:rFonts w:cstheme="minorHAnsi"/>
                        <w:b/>
                        <w:color w:val="FFFFFF" w:themeColor="background1"/>
                        <w:spacing w:val="20"/>
                        <w:sz w:val="32"/>
                        <w:szCs w:val="32"/>
                      </w:rPr>
                      <w:t>PERSBERICHT</w:t>
                    </w:r>
                  </w:p>
                </w:txbxContent>
              </v:textbox>
            </v:shape>
          </w:pict>
        </mc:Fallback>
      </mc:AlternateContent>
    </w:r>
    <w:r w:rsidR="004D3DF8">
      <w:rPr>
        <w:noProof/>
        <w:lang w:val="de-DE" w:eastAsia="de-DE"/>
      </w:rPr>
      <w:drawing>
        <wp:anchor distT="0" distB="0" distL="114300" distR="114300" simplePos="0" relativeHeight="251655168" behindDoc="1" locked="1" layoutInCell="1" allowOverlap="1" wp14:anchorId="7A2BD01A" wp14:editId="7DDB6097">
          <wp:simplePos x="0" y="0"/>
          <wp:positionH relativeFrom="column">
            <wp:posOffset>-341630</wp:posOffset>
          </wp:positionH>
          <wp:positionV relativeFrom="paragraph">
            <wp:posOffset>-548640</wp:posOffset>
          </wp:positionV>
          <wp:extent cx="7049135" cy="532130"/>
          <wp:effectExtent l="19050" t="0" r="0" b="0"/>
          <wp:wrapTight wrapText="bothSides">
            <wp:wrapPolygon edited="0">
              <wp:start x="-58" y="0"/>
              <wp:lineTo x="-58" y="20878"/>
              <wp:lineTo x="21598" y="20878"/>
              <wp:lineTo x="21598" y="0"/>
              <wp:lineTo x="-58" y="0"/>
            </wp:wrapPolygon>
          </wp:wrapTight>
          <wp:docPr id="9" name="Grafik 3" descr="Balken 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Balken klein.jpg"/>
                  <pic:cNvPicPr>
                    <a:picLocks noChangeAspect="1" noChangeArrowheads="1"/>
                  </pic:cNvPicPr>
                </pic:nvPicPr>
                <pic:blipFill>
                  <a:blip r:embed="rId4"/>
                  <a:srcRect/>
                  <a:stretch>
                    <a:fillRect/>
                  </a:stretch>
                </pic:blipFill>
                <pic:spPr bwMode="auto">
                  <a:xfrm>
                    <a:off x="0" y="0"/>
                    <a:ext cx="7049135" cy="532130"/>
                  </a:xfrm>
                  <a:prstGeom prst="rect">
                    <a:avLst/>
                  </a:prstGeom>
                  <a:solidFill>
                    <a:srgbClr val="BA0C2F"/>
                  </a:solid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42641"/>
    <w:multiLevelType w:val="hybridMultilevel"/>
    <w:tmpl w:val="4382317E"/>
    <w:lvl w:ilvl="0" w:tplc="F9DAC86E">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3A6F035C"/>
    <w:multiLevelType w:val="hybridMultilevel"/>
    <w:tmpl w:val="3D928B32"/>
    <w:lvl w:ilvl="0" w:tplc="04070001">
      <w:start w:val="1"/>
      <w:numFmt w:val="bullet"/>
      <w:lvlText w:val=""/>
      <w:lvlJc w:val="left"/>
      <w:pPr>
        <w:ind w:left="947" w:hanging="360"/>
      </w:pPr>
      <w:rPr>
        <w:rFonts w:ascii="Symbol" w:hAnsi="Symbol" w:hint="default"/>
      </w:rPr>
    </w:lvl>
    <w:lvl w:ilvl="1" w:tplc="04070003" w:tentative="1">
      <w:start w:val="1"/>
      <w:numFmt w:val="bullet"/>
      <w:lvlText w:val="o"/>
      <w:lvlJc w:val="left"/>
      <w:pPr>
        <w:ind w:left="1667" w:hanging="360"/>
      </w:pPr>
      <w:rPr>
        <w:rFonts w:ascii="Courier New" w:hAnsi="Courier New" w:cs="Courier New" w:hint="default"/>
      </w:rPr>
    </w:lvl>
    <w:lvl w:ilvl="2" w:tplc="04070005" w:tentative="1">
      <w:start w:val="1"/>
      <w:numFmt w:val="bullet"/>
      <w:lvlText w:val=""/>
      <w:lvlJc w:val="left"/>
      <w:pPr>
        <w:ind w:left="2387" w:hanging="360"/>
      </w:pPr>
      <w:rPr>
        <w:rFonts w:ascii="Wingdings" w:hAnsi="Wingdings" w:hint="default"/>
      </w:rPr>
    </w:lvl>
    <w:lvl w:ilvl="3" w:tplc="04070001" w:tentative="1">
      <w:start w:val="1"/>
      <w:numFmt w:val="bullet"/>
      <w:lvlText w:val=""/>
      <w:lvlJc w:val="left"/>
      <w:pPr>
        <w:ind w:left="3107" w:hanging="360"/>
      </w:pPr>
      <w:rPr>
        <w:rFonts w:ascii="Symbol" w:hAnsi="Symbol" w:hint="default"/>
      </w:rPr>
    </w:lvl>
    <w:lvl w:ilvl="4" w:tplc="04070003" w:tentative="1">
      <w:start w:val="1"/>
      <w:numFmt w:val="bullet"/>
      <w:lvlText w:val="o"/>
      <w:lvlJc w:val="left"/>
      <w:pPr>
        <w:ind w:left="3827" w:hanging="360"/>
      </w:pPr>
      <w:rPr>
        <w:rFonts w:ascii="Courier New" w:hAnsi="Courier New" w:cs="Courier New" w:hint="default"/>
      </w:rPr>
    </w:lvl>
    <w:lvl w:ilvl="5" w:tplc="04070005" w:tentative="1">
      <w:start w:val="1"/>
      <w:numFmt w:val="bullet"/>
      <w:lvlText w:val=""/>
      <w:lvlJc w:val="left"/>
      <w:pPr>
        <w:ind w:left="4547" w:hanging="360"/>
      </w:pPr>
      <w:rPr>
        <w:rFonts w:ascii="Wingdings" w:hAnsi="Wingdings" w:hint="default"/>
      </w:rPr>
    </w:lvl>
    <w:lvl w:ilvl="6" w:tplc="04070001" w:tentative="1">
      <w:start w:val="1"/>
      <w:numFmt w:val="bullet"/>
      <w:lvlText w:val=""/>
      <w:lvlJc w:val="left"/>
      <w:pPr>
        <w:ind w:left="5267" w:hanging="360"/>
      </w:pPr>
      <w:rPr>
        <w:rFonts w:ascii="Symbol" w:hAnsi="Symbol" w:hint="default"/>
      </w:rPr>
    </w:lvl>
    <w:lvl w:ilvl="7" w:tplc="04070003" w:tentative="1">
      <w:start w:val="1"/>
      <w:numFmt w:val="bullet"/>
      <w:lvlText w:val="o"/>
      <w:lvlJc w:val="left"/>
      <w:pPr>
        <w:ind w:left="5987" w:hanging="360"/>
      </w:pPr>
      <w:rPr>
        <w:rFonts w:ascii="Courier New" w:hAnsi="Courier New" w:cs="Courier New" w:hint="default"/>
      </w:rPr>
    </w:lvl>
    <w:lvl w:ilvl="8" w:tplc="04070005" w:tentative="1">
      <w:start w:val="1"/>
      <w:numFmt w:val="bullet"/>
      <w:lvlText w:val=""/>
      <w:lvlJc w:val="left"/>
      <w:pPr>
        <w:ind w:left="6707" w:hanging="360"/>
      </w:pPr>
      <w:rPr>
        <w:rFonts w:ascii="Wingdings" w:hAnsi="Wingdings" w:hint="default"/>
      </w:rPr>
    </w:lvl>
  </w:abstractNum>
  <w:abstractNum w:abstractNumId="2" w15:restartNumberingAfterBreak="0">
    <w:nsid w:val="56D91BD1"/>
    <w:multiLevelType w:val="hybridMultilevel"/>
    <w:tmpl w:val="B78CFA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8475448"/>
    <w:multiLevelType w:val="hybridMultilevel"/>
    <w:tmpl w:val="42E822EA"/>
    <w:lvl w:ilvl="0" w:tplc="0407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5B6903C4"/>
    <w:multiLevelType w:val="hybridMultilevel"/>
    <w:tmpl w:val="71E83162"/>
    <w:lvl w:ilvl="0" w:tplc="776CD426">
      <w:numFmt w:val="bullet"/>
      <w:lvlText w:val=""/>
      <w:lvlJc w:val="left"/>
      <w:pPr>
        <w:ind w:left="720" w:hanging="360"/>
      </w:pPr>
      <w:rPr>
        <w:rFonts w:ascii="Wingdings 2" w:eastAsia="Arial" w:hAnsi="Wingdings 2"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CE20F49"/>
    <w:multiLevelType w:val="hybridMultilevel"/>
    <w:tmpl w:val="2FC2A956"/>
    <w:lvl w:ilvl="0" w:tplc="0809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6" w15:restartNumberingAfterBreak="0">
    <w:nsid w:val="79DE7B4A"/>
    <w:multiLevelType w:val="hybridMultilevel"/>
    <w:tmpl w:val="0D06F6F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7" w15:restartNumberingAfterBreak="0">
    <w:nsid w:val="7A3876A3"/>
    <w:multiLevelType w:val="hybridMultilevel"/>
    <w:tmpl w:val="38185A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7"/>
  </w:num>
  <w:num w:numId="5">
    <w:abstractNumId w:val="3"/>
  </w:num>
  <w:num w:numId="6">
    <w:abstractNumId w:val="0"/>
  </w:num>
  <w:num w:numId="7">
    <w:abstractNumId w:val="6"/>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677"/>
    <w:rsid w:val="0005578B"/>
    <w:rsid w:val="0005609E"/>
    <w:rsid w:val="000C5259"/>
    <w:rsid w:val="000D2A43"/>
    <w:rsid w:val="00111359"/>
    <w:rsid w:val="00114AA3"/>
    <w:rsid w:val="0012187D"/>
    <w:rsid w:val="00161C05"/>
    <w:rsid w:val="001649FA"/>
    <w:rsid w:val="00183C72"/>
    <w:rsid w:val="00186B6E"/>
    <w:rsid w:val="001F3216"/>
    <w:rsid w:val="002558F4"/>
    <w:rsid w:val="0027201E"/>
    <w:rsid w:val="00292DA1"/>
    <w:rsid w:val="002A0D07"/>
    <w:rsid w:val="002D5E7D"/>
    <w:rsid w:val="003279A8"/>
    <w:rsid w:val="0034702E"/>
    <w:rsid w:val="0036342D"/>
    <w:rsid w:val="00391D49"/>
    <w:rsid w:val="0039346A"/>
    <w:rsid w:val="003A6DC1"/>
    <w:rsid w:val="003D5390"/>
    <w:rsid w:val="003E05F9"/>
    <w:rsid w:val="003E75B5"/>
    <w:rsid w:val="003F5ABC"/>
    <w:rsid w:val="004152A2"/>
    <w:rsid w:val="00427C8B"/>
    <w:rsid w:val="00433089"/>
    <w:rsid w:val="00433D92"/>
    <w:rsid w:val="0047010F"/>
    <w:rsid w:val="00471E81"/>
    <w:rsid w:val="004806D2"/>
    <w:rsid w:val="004859C0"/>
    <w:rsid w:val="00487DE4"/>
    <w:rsid w:val="004A1500"/>
    <w:rsid w:val="004B4326"/>
    <w:rsid w:val="004D3DF8"/>
    <w:rsid w:val="00532194"/>
    <w:rsid w:val="00544921"/>
    <w:rsid w:val="00546072"/>
    <w:rsid w:val="00576928"/>
    <w:rsid w:val="005A69F3"/>
    <w:rsid w:val="005F1A67"/>
    <w:rsid w:val="0063344F"/>
    <w:rsid w:val="00657E90"/>
    <w:rsid w:val="006A787C"/>
    <w:rsid w:val="006B0E21"/>
    <w:rsid w:val="006B777C"/>
    <w:rsid w:val="006C7B74"/>
    <w:rsid w:val="006D7E75"/>
    <w:rsid w:val="006F282F"/>
    <w:rsid w:val="006F609D"/>
    <w:rsid w:val="007011AD"/>
    <w:rsid w:val="00724377"/>
    <w:rsid w:val="00732161"/>
    <w:rsid w:val="00736E04"/>
    <w:rsid w:val="00737837"/>
    <w:rsid w:val="00753238"/>
    <w:rsid w:val="007647B4"/>
    <w:rsid w:val="00765207"/>
    <w:rsid w:val="0076690A"/>
    <w:rsid w:val="00774401"/>
    <w:rsid w:val="007815CD"/>
    <w:rsid w:val="007834C3"/>
    <w:rsid w:val="007A6960"/>
    <w:rsid w:val="007B1FC8"/>
    <w:rsid w:val="007B640C"/>
    <w:rsid w:val="008025FE"/>
    <w:rsid w:val="008740C8"/>
    <w:rsid w:val="008752AB"/>
    <w:rsid w:val="00881D9A"/>
    <w:rsid w:val="008B038E"/>
    <w:rsid w:val="008C58D8"/>
    <w:rsid w:val="00915ACD"/>
    <w:rsid w:val="00946E14"/>
    <w:rsid w:val="00995683"/>
    <w:rsid w:val="009A5E0D"/>
    <w:rsid w:val="009B4F9B"/>
    <w:rsid w:val="009C0677"/>
    <w:rsid w:val="009C32BB"/>
    <w:rsid w:val="009D1998"/>
    <w:rsid w:val="009D767A"/>
    <w:rsid w:val="009E7F64"/>
    <w:rsid w:val="009F5CE6"/>
    <w:rsid w:val="009F65A4"/>
    <w:rsid w:val="00A018EE"/>
    <w:rsid w:val="00A11F7B"/>
    <w:rsid w:val="00A35003"/>
    <w:rsid w:val="00A41C22"/>
    <w:rsid w:val="00A42A35"/>
    <w:rsid w:val="00AA1FD7"/>
    <w:rsid w:val="00AF1EB0"/>
    <w:rsid w:val="00B0167C"/>
    <w:rsid w:val="00B1173A"/>
    <w:rsid w:val="00B12DF5"/>
    <w:rsid w:val="00B30686"/>
    <w:rsid w:val="00B30C8F"/>
    <w:rsid w:val="00B46E29"/>
    <w:rsid w:val="00B471CF"/>
    <w:rsid w:val="00B50948"/>
    <w:rsid w:val="00BF7D94"/>
    <w:rsid w:val="00C04517"/>
    <w:rsid w:val="00C309CD"/>
    <w:rsid w:val="00C31BD5"/>
    <w:rsid w:val="00C32FBA"/>
    <w:rsid w:val="00C60B78"/>
    <w:rsid w:val="00C633D6"/>
    <w:rsid w:val="00C76754"/>
    <w:rsid w:val="00CE0BC3"/>
    <w:rsid w:val="00CE5A75"/>
    <w:rsid w:val="00D0762F"/>
    <w:rsid w:val="00D33937"/>
    <w:rsid w:val="00D830CD"/>
    <w:rsid w:val="00DC1818"/>
    <w:rsid w:val="00DC42C9"/>
    <w:rsid w:val="00DC45C9"/>
    <w:rsid w:val="00DC5312"/>
    <w:rsid w:val="00DD3676"/>
    <w:rsid w:val="00DE3384"/>
    <w:rsid w:val="00E73190"/>
    <w:rsid w:val="00E90550"/>
    <w:rsid w:val="00E91EF8"/>
    <w:rsid w:val="00EA3133"/>
    <w:rsid w:val="00EC6F27"/>
    <w:rsid w:val="00F15FE0"/>
    <w:rsid w:val="00F33608"/>
    <w:rsid w:val="00F43AE5"/>
    <w:rsid w:val="00F45F6A"/>
    <w:rsid w:val="00F720E2"/>
    <w:rsid w:val="00FA460A"/>
    <w:rsid w:val="00FA5473"/>
    <w:rsid w:val="00FB2BA3"/>
    <w:rsid w:val="00FE1548"/>
    <w:rsid w:val="00FE37D4"/>
    <w:rsid w:val="00FE3A21"/>
    <w:rsid w:val="00FE493E"/>
    <w:rsid w:val="00FE6420"/>
    <w:rsid w:val="00FF378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E072739"/>
  <w15:docId w15:val="{1C81B882-C51C-4F61-B5F2-A56AC659F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PR standard text"/>
    <w:qFormat/>
    <w:rsid w:val="008752AB"/>
    <w:pPr>
      <w:spacing w:after="120" w:line="276" w:lineRule="auto"/>
    </w:pPr>
    <w:rPr>
      <w:sz w:val="22"/>
      <w:szCs w:val="22"/>
      <w:lang w:val="en-GB" w:eastAsia="en-US"/>
    </w:rPr>
  </w:style>
  <w:style w:type="paragraph" w:styleId="berschrift1">
    <w:name w:val="heading 1"/>
    <w:aliases w:val="PR überschrift 1"/>
    <w:basedOn w:val="Standard"/>
    <w:next w:val="Standard"/>
    <w:link w:val="berschrift1Zchn"/>
    <w:autoRedefine/>
    <w:uiPriority w:val="9"/>
    <w:qFormat/>
    <w:rsid w:val="00EA3133"/>
    <w:pPr>
      <w:keepNext/>
      <w:keepLines/>
      <w:tabs>
        <w:tab w:val="left" w:pos="10063"/>
      </w:tabs>
      <w:spacing w:before="240" w:after="360"/>
      <w:ind w:right="284"/>
      <w:jc w:val="both"/>
      <w:outlineLvl w:val="0"/>
    </w:pPr>
    <w:rPr>
      <w:rFonts w:eastAsiaTheme="majorEastAsia" w:cstheme="majorBidi"/>
      <w:b/>
      <w:color w:val="BA0C2F"/>
      <w:sz w:val="28"/>
      <w:szCs w:val="28"/>
      <w:lang w:val="nl-NL" w:eastAsia="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87DE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87DE4"/>
  </w:style>
  <w:style w:type="paragraph" w:styleId="Fuzeile">
    <w:name w:val="footer"/>
    <w:basedOn w:val="Standard"/>
    <w:link w:val="FuzeileZchn"/>
    <w:uiPriority w:val="99"/>
    <w:unhideWhenUsed/>
    <w:rsid w:val="00487DE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87DE4"/>
  </w:style>
  <w:style w:type="paragraph" w:styleId="Sprechblasentext">
    <w:name w:val="Balloon Text"/>
    <w:basedOn w:val="Standard"/>
    <w:link w:val="SprechblasentextZchn"/>
    <w:uiPriority w:val="99"/>
    <w:semiHidden/>
    <w:unhideWhenUsed/>
    <w:rsid w:val="00487DE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7DE4"/>
    <w:rPr>
      <w:rFonts w:ascii="Tahoma" w:hAnsi="Tahoma" w:cs="Tahoma"/>
      <w:sz w:val="16"/>
      <w:szCs w:val="16"/>
    </w:rPr>
  </w:style>
  <w:style w:type="character" w:styleId="Hyperlink">
    <w:name w:val="Hyperlink"/>
    <w:basedOn w:val="Absatz-Standardschriftart"/>
    <w:uiPriority w:val="99"/>
    <w:unhideWhenUsed/>
    <w:rsid w:val="001649FA"/>
    <w:rPr>
      <w:color w:val="0000FF"/>
      <w:u w:val="single"/>
    </w:rPr>
  </w:style>
  <w:style w:type="paragraph" w:styleId="Listenabsatz">
    <w:name w:val="List Paragraph"/>
    <w:basedOn w:val="Standard"/>
    <w:uiPriority w:val="34"/>
    <w:qFormat/>
    <w:rsid w:val="0047010F"/>
    <w:pPr>
      <w:ind w:left="720"/>
      <w:contextualSpacing/>
    </w:pPr>
  </w:style>
  <w:style w:type="character" w:customStyle="1" w:styleId="berschrift1Zchn">
    <w:name w:val="Überschrift 1 Zchn"/>
    <w:aliases w:val="PR überschrift 1 Zchn"/>
    <w:basedOn w:val="Absatz-Standardschriftart"/>
    <w:link w:val="berschrift1"/>
    <w:uiPriority w:val="9"/>
    <w:rsid w:val="00EA3133"/>
    <w:rPr>
      <w:rFonts w:eastAsiaTheme="majorEastAsia" w:cstheme="majorBidi"/>
      <w:b/>
      <w:color w:val="BA0C2F"/>
      <w:sz w:val="28"/>
      <w:szCs w:val="28"/>
      <w:lang w:val="nl-NL" w:eastAsia="en-GB"/>
    </w:rPr>
  </w:style>
  <w:style w:type="character" w:styleId="BesuchterLink">
    <w:name w:val="FollowedHyperlink"/>
    <w:basedOn w:val="Absatz-Standardschriftart"/>
    <w:uiPriority w:val="99"/>
    <w:semiHidden/>
    <w:unhideWhenUsed/>
    <w:rsid w:val="00114AA3"/>
    <w:rPr>
      <w:color w:val="800080" w:themeColor="followedHyperlink"/>
      <w:u w:val="single"/>
    </w:rPr>
  </w:style>
  <w:style w:type="paragraph" w:customStyle="1" w:styleId="break-words">
    <w:name w:val="break-words"/>
    <w:basedOn w:val="Standard"/>
    <w:rsid w:val="004A1500"/>
    <w:pPr>
      <w:spacing w:before="100" w:beforeAutospacing="1" w:after="100" w:afterAutospacing="1" w:line="240" w:lineRule="auto"/>
    </w:pPr>
    <w:rPr>
      <w:rFonts w:ascii="Times New Roman" w:eastAsia="Times New Roman" w:hAnsi="Times New Roman"/>
      <w:sz w:val="24"/>
      <w:szCs w:val="24"/>
      <w:lang w:eastAsia="en-GB"/>
    </w:rPr>
  </w:style>
  <w:style w:type="table" w:styleId="Tabellenraster">
    <w:name w:val="Table Grid"/>
    <w:basedOn w:val="NormaleTabelle"/>
    <w:uiPriority w:val="59"/>
    <w:rsid w:val="00EA3133"/>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7234">
      <w:bodyDiv w:val="1"/>
      <w:marLeft w:val="0"/>
      <w:marRight w:val="0"/>
      <w:marTop w:val="0"/>
      <w:marBottom w:val="0"/>
      <w:divBdr>
        <w:top w:val="none" w:sz="0" w:space="0" w:color="auto"/>
        <w:left w:val="none" w:sz="0" w:space="0" w:color="auto"/>
        <w:bottom w:val="none" w:sz="0" w:space="0" w:color="auto"/>
        <w:right w:val="none" w:sz="0" w:space="0" w:color="auto"/>
      </w:divBdr>
    </w:div>
    <w:div w:id="210700238">
      <w:bodyDiv w:val="1"/>
      <w:marLeft w:val="0"/>
      <w:marRight w:val="0"/>
      <w:marTop w:val="0"/>
      <w:marBottom w:val="0"/>
      <w:divBdr>
        <w:top w:val="none" w:sz="0" w:space="0" w:color="auto"/>
        <w:left w:val="none" w:sz="0" w:space="0" w:color="auto"/>
        <w:bottom w:val="none" w:sz="0" w:space="0" w:color="auto"/>
        <w:right w:val="none" w:sz="0" w:space="0" w:color="auto"/>
      </w:divBdr>
    </w:div>
    <w:div w:id="341325119">
      <w:bodyDiv w:val="1"/>
      <w:marLeft w:val="0"/>
      <w:marRight w:val="0"/>
      <w:marTop w:val="0"/>
      <w:marBottom w:val="0"/>
      <w:divBdr>
        <w:top w:val="none" w:sz="0" w:space="0" w:color="auto"/>
        <w:left w:val="none" w:sz="0" w:space="0" w:color="auto"/>
        <w:bottom w:val="none" w:sz="0" w:space="0" w:color="auto"/>
        <w:right w:val="none" w:sz="0" w:space="0" w:color="auto"/>
      </w:divBdr>
    </w:div>
    <w:div w:id="368918104">
      <w:bodyDiv w:val="1"/>
      <w:marLeft w:val="0"/>
      <w:marRight w:val="0"/>
      <w:marTop w:val="0"/>
      <w:marBottom w:val="0"/>
      <w:divBdr>
        <w:top w:val="none" w:sz="0" w:space="0" w:color="auto"/>
        <w:left w:val="none" w:sz="0" w:space="0" w:color="auto"/>
        <w:bottom w:val="none" w:sz="0" w:space="0" w:color="auto"/>
        <w:right w:val="none" w:sz="0" w:space="0" w:color="auto"/>
      </w:divBdr>
    </w:div>
    <w:div w:id="468910204">
      <w:bodyDiv w:val="1"/>
      <w:marLeft w:val="0"/>
      <w:marRight w:val="0"/>
      <w:marTop w:val="0"/>
      <w:marBottom w:val="0"/>
      <w:divBdr>
        <w:top w:val="none" w:sz="0" w:space="0" w:color="auto"/>
        <w:left w:val="none" w:sz="0" w:space="0" w:color="auto"/>
        <w:bottom w:val="none" w:sz="0" w:space="0" w:color="auto"/>
        <w:right w:val="none" w:sz="0" w:space="0" w:color="auto"/>
      </w:divBdr>
    </w:div>
    <w:div w:id="495148021">
      <w:bodyDiv w:val="1"/>
      <w:marLeft w:val="0"/>
      <w:marRight w:val="0"/>
      <w:marTop w:val="0"/>
      <w:marBottom w:val="0"/>
      <w:divBdr>
        <w:top w:val="none" w:sz="0" w:space="0" w:color="auto"/>
        <w:left w:val="none" w:sz="0" w:space="0" w:color="auto"/>
        <w:bottom w:val="none" w:sz="0" w:space="0" w:color="auto"/>
        <w:right w:val="none" w:sz="0" w:space="0" w:color="auto"/>
      </w:divBdr>
    </w:div>
    <w:div w:id="731270117">
      <w:bodyDiv w:val="1"/>
      <w:marLeft w:val="0"/>
      <w:marRight w:val="0"/>
      <w:marTop w:val="0"/>
      <w:marBottom w:val="0"/>
      <w:divBdr>
        <w:top w:val="none" w:sz="0" w:space="0" w:color="auto"/>
        <w:left w:val="none" w:sz="0" w:space="0" w:color="auto"/>
        <w:bottom w:val="none" w:sz="0" w:space="0" w:color="auto"/>
        <w:right w:val="none" w:sz="0" w:space="0" w:color="auto"/>
      </w:divBdr>
    </w:div>
    <w:div w:id="885528625">
      <w:bodyDiv w:val="1"/>
      <w:marLeft w:val="0"/>
      <w:marRight w:val="0"/>
      <w:marTop w:val="0"/>
      <w:marBottom w:val="0"/>
      <w:divBdr>
        <w:top w:val="none" w:sz="0" w:space="0" w:color="auto"/>
        <w:left w:val="none" w:sz="0" w:space="0" w:color="auto"/>
        <w:bottom w:val="none" w:sz="0" w:space="0" w:color="auto"/>
        <w:right w:val="none" w:sz="0" w:space="0" w:color="auto"/>
      </w:divBdr>
    </w:div>
    <w:div w:id="1024359071">
      <w:bodyDiv w:val="1"/>
      <w:marLeft w:val="0"/>
      <w:marRight w:val="0"/>
      <w:marTop w:val="0"/>
      <w:marBottom w:val="0"/>
      <w:divBdr>
        <w:top w:val="none" w:sz="0" w:space="0" w:color="auto"/>
        <w:left w:val="none" w:sz="0" w:space="0" w:color="auto"/>
        <w:bottom w:val="none" w:sz="0" w:space="0" w:color="auto"/>
        <w:right w:val="none" w:sz="0" w:space="0" w:color="auto"/>
      </w:divBdr>
    </w:div>
    <w:div w:id="1044519399">
      <w:bodyDiv w:val="1"/>
      <w:marLeft w:val="0"/>
      <w:marRight w:val="0"/>
      <w:marTop w:val="0"/>
      <w:marBottom w:val="0"/>
      <w:divBdr>
        <w:top w:val="none" w:sz="0" w:space="0" w:color="auto"/>
        <w:left w:val="none" w:sz="0" w:space="0" w:color="auto"/>
        <w:bottom w:val="none" w:sz="0" w:space="0" w:color="auto"/>
        <w:right w:val="none" w:sz="0" w:space="0" w:color="auto"/>
      </w:divBdr>
    </w:div>
    <w:div w:id="1287153238">
      <w:bodyDiv w:val="1"/>
      <w:marLeft w:val="0"/>
      <w:marRight w:val="0"/>
      <w:marTop w:val="0"/>
      <w:marBottom w:val="0"/>
      <w:divBdr>
        <w:top w:val="none" w:sz="0" w:space="0" w:color="auto"/>
        <w:left w:val="none" w:sz="0" w:space="0" w:color="auto"/>
        <w:bottom w:val="none" w:sz="0" w:space="0" w:color="auto"/>
        <w:right w:val="none" w:sz="0" w:space="0" w:color="auto"/>
      </w:divBdr>
    </w:div>
    <w:div w:id="1427733069">
      <w:bodyDiv w:val="1"/>
      <w:marLeft w:val="0"/>
      <w:marRight w:val="0"/>
      <w:marTop w:val="0"/>
      <w:marBottom w:val="0"/>
      <w:divBdr>
        <w:top w:val="none" w:sz="0" w:space="0" w:color="auto"/>
        <w:left w:val="none" w:sz="0" w:space="0" w:color="auto"/>
        <w:bottom w:val="none" w:sz="0" w:space="0" w:color="auto"/>
        <w:right w:val="none" w:sz="0" w:space="0" w:color="auto"/>
      </w:divBdr>
    </w:div>
    <w:div w:id="1464273924">
      <w:bodyDiv w:val="1"/>
      <w:marLeft w:val="0"/>
      <w:marRight w:val="0"/>
      <w:marTop w:val="0"/>
      <w:marBottom w:val="0"/>
      <w:divBdr>
        <w:top w:val="none" w:sz="0" w:space="0" w:color="auto"/>
        <w:left w:val="none" w:sz="0" w:space="0" w:color="auto"/>
        <w:bottom w:val="none" w:sz="0" w:space="0" w:color="auto"/>
        <w:right w:val="none" w:sz="0" w:space="0" w:color="auto"/>
      </w:divBdr>
    </w:div>
    <w:div w:id="1656102321">
      <w:bodyDiv w:val="1"/>
      <w:marLeft w:val="0"/>
      <w:marRight w:val="0"/>
      <w:marTop w:val="0"/>
      <w:marBottom w:val="0"/>
      <w:divBdr>
        <w:top w:val="none" w:sz="0" w:space="0" w:color="auto"/>
        <w:left w:val="none" w:sz="0" w:space="0" w:color="auto"/>
        <w:bottom w:val="none" w:sz="0" w:space="0" w:color="auto"/>
        <w:right w:val="none" w:sz="0" w:space="0" w:color="auto"/>
      </w:divBdr>
      <w:divsChild>
        <w:div w:id="531840624">
          <w:marLeft w:val="0"/>
          <w:marRight w:val="0"/>
          <w:marTop w:val="0"/>
          <w:marBottom w:val="0"/>
          <w:divBdr>
            <w:top w:val="none" w:sz="0" w:space="0" w:color="auto"/>
            <w:left w:val="none" w:sz="0" w:space="0" w:color="auto"/>
            <w:bottom w:val="none" w:sz="0" w:space="0" w:color="auto"/>
            <w:right w:val="none" w:sz="0" w:space="0" w:color="auto"/>
          </w:divBdr>
          <w:divsChild>
            <w:div w:id="1473868047">
              <w:marLeft w:val="0"/>
              <w:marRight w:val="0"/>
              <w:marTop w:val="0"/>
              <w:marBottom w:val="0"/>
              <w:divBdr>
                <w:top w:val="none" w:sz="0" w:space="0" w:color="auto"/>
                <w:left w:val="none" w:sz="0" w:space="0" w:color="auto"/>
                <w:bottom w:val="none" w:sz="0" w:space="0" w:color="auto"/>
                <w:right w:val="none" w:sz="0" w:space="0" w:color="auto"/>
              </w:divBdr>
              <w:divsChild>
                <w:div w:id="1946304092">
                  <w:marLeft w:val="0"/>
                  <w:marRight w:val="0"/>
                  <w:marTop w:val="0"/>
                  <w:marBottom w:val="0"/>
                  <w:divBdr>
                    <w:top w:val="none" w:sz="0" w:space="0" w:color="auto"/>
                    <w:left w:val="none" w:sz="0" w:space="0" w:color="auto"/>
                    <w:bottom w:val="none" w:sz="0" w:space="0" w:color="auto"/>
                    <w:right w:val="none" w:sz="0" w:space="0" w:color="auto"/>
                  </w:divBdr>
                  <w:divsChild>
                    <w:div w:id="10957738">
                      <w:marLeft w:val="0"/>
                      <w:marRight w:val="0"/>
                      <w:marTop w:val="0"/>
                      <w:marBottom w:val="0"/>
                      <w:divBdr>
                        <w:top w:val="none" w:sz="0" w:space="0" w:color="auto"/>
                        <w:left w:val="none" w:sz="0" w:space="0" w:color="auto"/>
                        <w:bottom w:val="none" w:sz="0" w:space="0" w:color="auto"/>
                        <w:right w:val="none" w:sz="0" w:space="0" w:color="auto"/>
                      </w:divBdr>
                    </w:div>
                    <w:div w:id="621881960">
                      <w:marLeft w:val="0"/>
                      <w:marRight w:val="0"/>
                      <w:marTop w:val="0"/>
                      <w:marBottom w:val="0"/>
                      <w:divBdr>
                        <w:top w:val="none" w:sz="0" w:space="0" w:color="auto"/>
                        <w:left w:val="none" w:sz="0" w:space="0" w:color="auto"/>
                        <w:bottom w:val="none" w:sz="0" w:space="0" w:color="auto"/>
                        <w:right w:val="none" w:sz="0" w:space="0" w:color="auto"/>
                      </w:divBdr>
                    </w:div>
                    <w:div w:id="1512067685">
                      <w:marLeft w:val="0"/>
                      <w:marRight w:val="0"/>
                      <w:marTop w:val="0"/>
                      <w:marBottom w:val="0"/>
                      <w:divBdr>
                        <w:top w:val="none" w:sz="0" w:space="0" w:color="auto"/>
                        <w:left w:val="none" w:sz="0" w:space="0" w:color="auto"/>
                        <w:bottom w:val="none" w:sz="0" w:space="0" w:color="auto"/>
                        <w:right w:val="none" w:sz="0" w:space="0" w:color="auto"/>
                      </w:divBdr>
                    </w:div>
                    <w:div w:id="48768572">
                      <w:marLeft w:val="0"/>
                      <w:marRight w:val="0"/>
                      <w:marTop w:val="0"/>
                      <w:marBottom w:val="0"/>
                      <w:divBdr>
                        <w:top w:val="none" w:sz="0" w:space="0" w:color="auto"/>
                        <w:left w:val="none" w:sz="0" w:space="0" w:color="auto"/>
                        <w:bottom w:val="none" w:sz="0" w:space="0" w:color="auto"/>
                        <w:right w:val="none" w:sz="0" w:space="0" w:color="auto"/>
                      </w:divBdr>
                    </w:div>
                    <w:div w:id="136479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66336">
              <w:marLeft w:val="0"/>
              <w:marRight w:val="0"/>
              <w:marTop w:val="0"/>
              <w:marBottom w:val="0"/>
              <w:divBdr>
                <w:top w:val="none" w:sz="0" w:space="0" w:color="auto"/>
                <w:left w:val="none" w:sz="0" w:space="0" w:color="auto"/>
                <w:bottom w:val="none" w:sz="0" w:space="0" w:color="auto"/>
                <w:right w:val="none" w:sz="0" w:space="0" w:color="auto"/>
              </w:divBdr>
              <w:divsChild>
                <w:div w:id="85223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054733">
      <w:bodyDiv w:val="1"/>
      <w:marLeft w:val="0"/>
      <w:marRight w:val="0"/>
      <w:marTop w:val="0"/>
      <w:marBottom w:val="0"/>
      <w:divBdr>
        <w:top w:val="none" w:sz="0" w:space="0" w:color="auto"/>
        <w:left w:val="none" w:sz="0" w:space="0" w:color="auto"/>
        <w:bottom w:val="none" w:sz="0" w:space="0" w:color="auto"/>
        <w:right w:val="none" w:sz="0" w:space="0" w:color="auto"/>
      </w:divBdr>
    </w:div>
    <w:div w:id="1721050865">
      <w:bodyDiv w:val="1"/>
      <w:marLeft w:val="0"/>
      <w:marRight w:val="0"/>
      <w:marTop w:val="0"/>
      <w:marBottom w:val="0"/>
      <w:divBdr>
        <w:top w:val="none" w:sz="0" w:space="0" w:color="auto"/>
        <w:left w:val="none" w:sz="0" w:space="0" w:color="auto"/>
        <w:bottom w:val="none" w:sz="0" w:space="0" w:color="auto"/>
        <w:right w:val="none" w:sz="0" w:space="0" w:color="auto"/>
      </w:divBdr>
    </w:div>
    <w:div w:id="1757167334">
      <w:bodyDiv w:val="1"/>
      <w:marLeft w:val="0"/>
      <w:marRight w:val="0"/>
      <w:marTop w:val="0"/>
      <w:marBottom w:val="0"/>
      <w:divBdr>
        <w:top w:val="none" w:sz="0" w:space="0" w:color="auto"/>
        <w:left w:val="none" w:sz="0" w:space="0" w:color="auto"/>
        <w:bottom w:val="none" w:sz="0" w:space="0" w:color="auto"/>
        <w:right w:val="none" w:sz="0" w:space="0" w:color="auto"/>
      </w:divBdr>
    </w:div>
    <w:div w:id="1784418609">
      <w:bodyDiv w:val="1"/>
      <w:marLeft w:val="0"/>
      <w:marRight w:val="0"/>
      <w:marTop w:val="0"/>
      <w:marBottom w:val="0"/>
      <w:divBdr>
        <w:top w:val="none" w:sz="0" w:space="0" w:color="auto"/>
        <w:left w:val="none" w:sz="0" w:space="0" w:color="auto"/>
        <w:bottom w:val="none" w:sz="0" w:space="0" w:color="auto"/>
        <w:right w:val="none" w:sz="0" w:space="0" w:color="auto"/>
      </w:divBdr>
    </w:div>
    <w:div w:id="1813516540">
      <w:bodyDiv w:val="1"/>
      <w:marLeft w:val="0"/>
      <w:marRight w:val="0"/>
      <w:marTop w:val="0"/>
      <w:marBottom w:val="0"/>
      <w:divBdr>
        <w:top w:val="none" w:sz="0" w:space="0" w:color="auto"/>
        <w:left w:val="none" w:sz="0" w:space="0" w:color="auto"/>
        <w:bottom w:val="none" w:sz="0" w:space="0" w:color="auto"/>
        <w:right w:val="none" w:sz="0" w:space="0" w:color="auto"/>
      </w:divBdr>
    </w:div>
    <w:div w:id="1971089626">
      <w:bodyDiv w:val="1"/>
      <w:marLeft w:val="0"/>
      <w:marRight w:val="0"/>
      <w:marTop w:val="0"/>
      <w:marBottom w:val="0"/>
      <w:divBdr>
        <w:top w:val="none" w:sz="0" w:space="0" w:color="auto"/>
        <w:left w:val="none" w:sz="0" w:space="0" w:color="auto"/>
        <w:bottom w:val="none" w:sz="0" w:space="0" w:color="auto"/>
        <w:right w:val="none" w:sz="0" w:space="0" w:color="auto"/>
      </w:divBdr>
    </w:div>
    <w:div w:id="2075157735">
      <w:bodyDiv w:val="1"/>
      <w:marLeft w:val="0"/>
      <w:marRight w:val="0"/>
      <w:marTop w:val="0"/>
      <w:marBottom w:val="0"/>
      <w:divBdr>
        <w:top w:val="none" w:sz="0" w:space="0" w:color="auto"/>
        <w:left w:val="none" w:sz="0" w:space="0" w:color="auto"/>
        <w:bottom w:val="none" w:sz="0" w:space="0" w:color="auto"/>
        <w:right w:val="none" w:sz="0" w:space="0" w:color="auto"/>
      </w:divBdr>
    </w:div>
    <w:div w:id="2122190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vestor-relations@roodmicrotec.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roodmicrotec.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investor-relations@roodmicrotec.com" TargetMode="External"/><Relationship Id="rId1" Type="http://schemas.openxmlformats.org/officeDocument/2006/relationships/hyperlink" Target="mailto:investor-relations@roodmicrotec.com" TargetMode="External"/><Relationship Id="rId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yerle\Documents\Benutzerdefinierte%20Office-Vorlagen\2019%2005_NL_PR_Vorlage.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07BE8F-31AC-4078-B526-1AEDB065D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2019 05_NL_PR_Vorlage.dotx</Template>
  <TotalTime>0</TotalTime>
  <Pages>2</Pages>
  <Words>714</Words>
  <Characters>4499</Characters>
  <Application>Microsoft Office Word</Application>
  <DocSecurity>0</DocSecurity>
  <Lines>37</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Irmgard Bayerle</dc:creator>
  <cp:lastModifiedBy>Irmgard Bayerle</cp:lastModifiedBy>
  <cp:revision>2</cp:revision>
  <cp:lastPrinted>2019-07-04T05:17:00Z</cp:lastPrinted>
  <dcterms:created xsi:type="dcterms:W3CDTF">2019-07-04T05:23:00Z</dcterms:created>
  <dcterms:modified xsi:type="dcterms:W3CDTF">2019-07-04T05:23:00Z</dcterms:modified>
</cp:coreProperties>
</file>