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D82DC" w14:textId="77777777" w:rsidR="009A3B01" w:rsidRPr="00C01A3A" w:rsidRDefault="009A3B01" w:rsidP="00397C60">
      <w:pPr>
        <w:pStyle w:val="berschrift1"/>
        <w:rPr>
          <w:lang w:val="en-US"/>
        </w:rPr>
      </w:pPr>
      <w:proofErr w:type="spellStart"/>
      <w:r w:rsidRPr="00AF3DE9">
        <w:rPr>
          <w:lang w:val="en-US"/>
        </w:rPr>
        <w:t>RoodMicrotec</w:t>
      </w:r>
      <w:proofErr w:type="spellEnd"/>
      <w:r w:rsidRPr="00AF3DE9">
        <w:rPr>
          <w:lang w:val="en-US"/>
        </w:rPr>
        <w:t xml:space="preserve"> </w:t>
      </w:r>
      <w:r w:rsidR="00C01A3A" w:rsidRPr="00AF3DE9">
        <w:rPr>
          <w:lang w:val="en-US"/>
        </w:rPr>
        <w:t>reports positive</w:t>
      </w:r>
      <w:r w:rsidR="00C01A3A" w:rsidRPr="00C01A3A">
        <w:rPr>
          <w:lang w:val="en-US"/>
        </w:rPr>
        <w:t xml:space="preserve"> net result for the first half of 2019</w:t>
      </w:r>
    </w:p>
    <w:p w14:paraId="3CE20BE9" w14:textId="428F31FD" w:rsidR="009A3B01" w:rsidRPr="00C01A3A" w:rsidRDefault="00C01A3A" w:rsidP="009A3B01">
      <w:pPr>
        <w:pStyle w:val="Listenabsatz"/>
        <w:numPr>
          <w:ilvl w:val="0"/>
          <w:numId w:val="7"/>
        </w:numPr>
        <w:spacing w:after="200"/>
        <w:rPr>
          <w:b/>
          <w:lang w:val="en-US"/>
        </w:rPr>
      </w:pPr>
      <w:r w:rsidRPr="00C01A3A">
        <w:rPr>
          <w:b/>
          <w:lang w:val="en-US"/>
        </w:rPr>
        <w:t xml:space="preserve">Positive net result in the first half </w:t>
      </w:r>
      <w:r w:rsidR="00384C62">
        <w:rPr>
          <w:b/>
          <w:lang w:val="en-US"/>
        </w:rPr>
        <w:t xml:space="preserve">of </w:t>
      </w:r>
      <w:r w:rsidRPr="00C01A3A">
        <w:rPr>
          <w:b/>
          <w:lang w:val="en-US"/>
        </w:rPr>
        <w:t>2019</w:t>
      </w:r>
    </w:p>
    <w:p w14:paraId="46EFC941" w14:textId="77777777" w:rsidR="009A3B01" w:rsidRPr="00C01A3A" w:rsidRDefault="00C01A3A" w:rsidP="009A3B01">
      <w:pPr>
        <w:pStyle w:val="Listenabsatz"/>
        <w:numPr>
          <w:ilvl w:val="0"/>
          <w:numId w:val="7"/>
        </w:numPr>
        <w:spacing w:after="200"/>
        <w:rPr>
          <w:b/>
          <w:lang w:val="en-US"/>
        </w:rPr>
      </w:pPr>
      <w:r w:rsidRPr="00C01A3A">
        <w:rPr>
          <w:b/>
          <w:lang w:val="en-US"/>
        </w:rPr>
        <w:t>Revenue of EUR 6.4 million with s</w:t>
      </w:r>
      <w:r w:rsidR="009A3B01" w:rsidRPr="00C01A3A">
        <w:rPr>
          <w:b/>
          <w:lang w:val="en-US"/>
        </w:rPr>
        <w:t>ignif</w:t>
      </w:r>
      <w:r w:rsidR="00564330" w:rsidRPr="00C01A3A">
        <w:rPr>
          <w:b/>
          <w:lang w:val="en-US"/>
        </w:rPr>
        <w:t xml:space="preserve">icant growth in </w:t>
      </w:r>
      <w:r w:rsidR="00246EFC">
        <w:rPr>
          <w:b/>
          <w:lang w:val="en-US"/>
        </w:rPr>
        <w:t>Supply Chain Management</w:t>
      </w:r>
    </w:p>
    <w:p w14:paraId="780893C2" w14:textId="77777777" w:rsidR="00564330" w:rsidRPr="00C01A3A" w:rsidRDefault="009A3B01" w:rsidP="00564330">
      <w:pPr>
        <w:pStyle w:val="Listenabsatz"/>
        <w:numPr>
          <w:ilvl w:val="0"/>
          <w:numId w:val="7"/>
        </w:numPr>
        <w:spacing w:after="200"/>
        <w:jc w:val="both"/>
        <w:rPr>
          <w:b/>
          <w:lang w:val="en-US"/>
        </w:rPr>
      </w:pPr>
      <w:r w:rsidRPr="00C01A3A">
        <w:rPr>
          <w:b/>
          <w:lang w:val="en-US"/>
        </w:rPr>
        <w:t>Book-to-bill ratio maintained consistently at a level above one</w:t>
      </w:r>
    </w:p>
    <w:p w14:paraId="7C196ED0" w14:textId="2B9E712C" w:rsidR="009A3B01" w:rsidRPr="00A069CF" w:rsidRDefault="009A3B01" w:rsidP="009A3B01">
      <w:pPr>
        <w:jc w:val="both"/>
        <w:rPr>
          <w:sz w:val="22"/>
          <w:highlight w:val="yellow"/>
          <w:shd w:val="clear" w:color="auto" w:fill="FF0000"/>
          <w:lang w:val="en-US"/>
        </w:rPr>
      </w:pPr>
      <w:r w:rsidRPr="00A069CF">
        <w:rPr>
          <w:b/>
          <w:noProof/>
          <w:sz w:val="22"/>
          <w:lang w:val="en-US"/>
        </w:rPr>
        <w:t>Deventer, August</w:t>
      </w:r>
      <w:r w:rsidR="00384C62">
        <w:rPr>
          <w:b/>
          <w:noProof/>
          <w:sz w:val="22"/>
          <w:lang w:val="en-US"/>
        </w:rPr>
        <w:t xml:space="preserve"> 1</w:t>
      </w:r>
      <w:r w:rsidR="00384C62" w:rsidRPr="00630C45">
        <w:rPr>
          <w:b/>
          <w:noProof/>
          <w:sz w:val="22"/>
          <w:vertAlign w:val="superscript"/>
          <w:lang w:val="en-US"/>
        </w:rPr>
        <w:t>st</w:t>
      </w:r>
      <w:r w:rsidR="00384C62">
        <w:rPr>
          <w:b/>
          <w:noProof/>
          <w:sz w:val="22"/>
          <w:lang w:val="en-US"/>
        </w:rPr>
        <w:t>,</w:t>
      </w:r>
      <w:r w:rsidRPr="00A069CF">
        <w:rPr>
          <w:b/>
          <w:noProof/>
          <w:sz w:val="22"/>
          <w:lang w:val="en-US"/>
        </w:rPr>
        <w:t xml:space="preserve"> 2019 –</w:t>
      </w:r>
      <w:r w:rsidRPr="00A069CF">
        <w:rPr>
          <w:noProof/>
          <w:sz w:val="22"/>
          <w:lang w:val="en-US"/>
        </w:rPr>
        <w:t xml:space="preserve"> </w:t>
      </w:r>
      <w:proofErr w:type="spellStart"/>
      <w:r w:rsidRPr="00A069CF">
        <w:rPr>
          <w:color w:val="BA0C2F"/>
          <w:sz w:val="22"/>
          <w:lang w:val="en-US"/>
        </w:rPr>
        <w:t>Rood</w:t>
      </w:r>
      <w:r w:rsidR="00C01A3A">
        <w:rPr>
          <w:sz w:val="22"/>
          <w:lang w:val="en-US"/>
        </w:rPr>
        <w:t>Microtec</w:t>
      </w:r>
      <w:proofErr w:type="spellEnd"/>
      <w:r w:rsidR="00C01A3A">
        <w:rPr>
          <w:sz w:val="22"/>
          <w:lang w:val="en-US"/>
        </w:rPr>
        <w:t xml:space="preserve"> N.V., a</w:t>
      </w:r>
      <w:r w:rsidRPr="00A069CF">
        <w:rPr>
          <w:sz w:val="22"/>
          <w:lang w:val="en-US"/>
        </w:rPr>
        <w:t xml:space="preserve"> leading independent company for semiconductors supply and quality services, </w:t>
      </w:r>
      <w:r w:rsidR="00C01A3A">
        <w:rPr>
          <w:sz w:val="22"/>
          <w:lang w:val="en-US"/>
        </w:rPr>
        <w:t>today release</w:t>
      </w:r>
      <w:r w:rsidR="00E020D4">
        <w:rPr>
          <w:sz w:val="22"/>
          <w:lang w:val="en-US"/>
        </w:rPr>
        <w:t>d</w:t>
      </w:r>
      <w:r w:rsidR="00C01A3A">
        <w:rPr>
          <w:sz w:val="22"/>
          <w:lang w:val="en-US"/>
        </w:rPr>
        <w:t xml:space="preserve"> its </w:t>
      </w:r>
      <w:r w:rsidR="00A26469">
        <w:rPr>
          <w:sz w:val="22"/>
          <w:lang w:val="en-US"/>
        </w:rPr>
        <w:t xml:space="preserve">unaudited </w:t>
      </w:r>
      <w:r w:rsidR="00C01A3A">
        <w:rPr>
          <w:sz w:val="22"/>
          <w:lang w:val="en-US"/>
        </w:rPr>
        <w:t>interim report for the first half-year ending on June 30</w:t>
      </w:r>
      <w:r w:rsidR="00C01A3A" w:rsidRPr="00C01A3A">
        <w:rPr>
          <w:sz w:val="22"/>
          <w:vertAlign w:val="superscript"/>
          <w:lang w:val="en-US"/>
        </w:rPr>
        <w:t>th</w:t>
      </w:r>
      <w:r w:rsidR="00C01A3A">
        <w:rPr>
          <w:sz w:val="22"/>
          <w:lang w:val="en-US"/>
        </w:rPr>
        <w:t xml:space="preserve">, 2019. The company reports a positive </w:t>
      </w:r>
      <w:r w:rsidRPr="00C01A3A">
        <w:rPr>
          <w:sz w:val="22"/>
          <w:lang w:val="en-US"/>
        </w:rPr>
        <w:t xml:space="preserve">net result of </w:t>
      </w:r>
      <w:r w:rsidR="00630C45">
        <w:rPr>
          <w:sz w:val="22"/>
          <w:lang w:val="en-US"/>
        </w:rPr>
        <w:t>EUR 5,000</w:t>
      </w:r>
      <w:r w:rsidRPr="00C01A3A">
        <w:rPr>
          <w:sz w:val="22"/>
          <w:lang w:val="en-US"/>
        </w:rPr>
        <w:t xml:space="preserve"> </w:t>
      </w:r>
      <w:r w:rsidR="00C01A3A">
        <w:rPr>
          <w:sz w:val="22"/>
          <w:lang w:val="en-US"/>
        </w:rPr>
        <w:t>despite the decline in revenue and the weak market situation</w:t>
      </w:r>
      <w:r w:rsidR="00DC312B">
        <w:rPr>
          <w:sz w:val="22"/>
          <w:lang w:val="en-US"/>
        </w:rPr>
        <w:t>. The gross profit margin</w:t>
      </w:r>
      <w:r w:rsidRPr="00C01A3A">
        <w:rPr>
          <w:sz w:val="22"/>
          <w:lang w:val="en-US"/>
        </w:rPr>
        <w:t xml:space="preserve"> </w:t>
      </w:r>
      <w:r w:rsidR="00B30B8D">
        <w:rPr>
          <w:sz w:val="22"/>
          <w:lang w:val="en-US"/>
        </w:rPr>
        <w:t>is</w:t>
      </w:r>
      <w:r w:rsidRPr="00C01A3A">
        <w:rPr>
          <w:sz w:val="22"/>
          <w:lang w:val="en-US"/>
        </w:rPr>
        <w:t xml:space="preserve"> maintained at a consistent high level of </w:t>
      </w:r>
      <w:r w:rsidR="00C01A3A" w:rsidRPr="00C01A3A">
        <w:rPr>
          <w:sz w:val="22"/>
          <w:lang w:val="en-US"/>
        </w:rPr>
        <w:t>79</w:t>
      </w:r>
      <w:r w:rsidRPr="00C01A3A">
        <w:rPr>
          <w:sz w:val="22"/>
          <w:lang w:val="en-US"/>
        </w:rPr>
        <w:t>%</w:t>
      </w:r>
      <w:r w:rsidR="00384C62">
        <w:rPr>
          <w:sz w:val="22"/>
          <w:lang w:val="en-US"/>
        </w:rPr>
        <w:t>,</w:t>
      </w:r>
      <w:r w:rsidR="00B30B8D">
        <w:rPr>
          <w:sz w:val="22"/>
          <w:lang w:val="en-US"/>
        </w:rPr>
        <w:t xml:space="preserve"> which is in line with expectations </w:t>
      </w:r>
      <w:r w:rsidR="00384C62">
        <w:rPr>
          <w:sz w:val="22"/>
          <w:lang w:val="en-US"/>
        </w:rPr>
        <w:t>due to</w:t>
      </w:r>
      <w:r w:rsidR="00630C45">
        <w:rPr>
          <w:sz w:val="22"/>
          <w:lang w:val="en-US"/>
        </w:rPr>
        <w:t xml:space="preserve"> </w:t>
      </w:r>
      <w:r w:rsidR="00B30B8D">
        <w:rPr>
          <w:sz w:val="22"/>
          <w:lang w:val="en-US"/>
        </w:rPr>
        <w:t>the increasing supply chain management business</w:t>
      </w:r>
      <w:r w:rsidRPr="00C01A3A">
        <w:rPr>
          <w:sz w:val="22"/>
          <w:lang w:val="en-US"/>
        </w:rPr>
        <w:t xml:space="preserve">. The strongest leading indicator for future business growth, the book-to-bill ratio, </w:t>
      </w:r>
      <w:r w:rsidR="00564330" w:rsidRPr="00C01A3A">
        <w:rPr>
          <w:sz w:val="22"/>
          <w:lang w:val="en-US"/>
        </w:rPr>
        <w:t xml:space="preserve">is stable at above one. </w:t>
      </w:r>
      <w:r w:rsidR="00C01A3A" w:rsidRPr="00C01A3A">
        <w:rPr>
          <w:sz w:val="22"/>
          <w:lang w:val="en-US"/>
        </w:rPr>
        <w:t>The revenue for the first half of 2019 was EUR 6.4 million, 7% lower than for the first half of 2018, with an increase of 12% from the first quarter to the second quarter</w:t>
      </w:r>
      <w:r w:rsidR="009060B4">
        <w:rPr>
          <w:sz w:val="22"/>
          <w:lang w:val="en-US"/>
        </w:rPr>
        <w:t xml:space="preserve"> in 2019</w:t>
      </w:r>
      <w:r w:rsidR="00C01A3A" w:rsidRPr="00C01A3A">
        <w:rPr>
          <w:sz w:val="22"/>
          <w:lang w:val="en-US"/>
        </w:rPr>
        <w:t>.</w:t>
      </w:r>
      <w:r w:rsidR="00C01A3A">
        <w:rPr>
          <w:sz w:val="22"/>
          <w:lang w:val="en-US"/>
        </w:rPr>
        <w:t xml:space="preserve"> </w:t>
      </w:r>
      <w:r w:rsidR="00E020D4" w:rsidRPr="00E020D4">
        <w:rPr>
          <w:sz w:val="22"/>
          <w:lang w:val="en-US"/>
        </w:rPr>
        <w:t>Suppl</w:t>
      </w:r>
      <w:r w:rsidR="009060B4">
        <w:rPr>
          <w:sz w:val="22"/>
          <w:lang w:val="en-US"/>
        </w:rPr>
        <w:t>y Chain Management is showing a revenue</w:t>
      </w:r>
      <w:r w:rsidR="00E020D4" w:rsidRPr="00E020D4">
        <w:rPr>
          <w:sz w:val="22"/>
          <w:lang w:val="en-US"/>
        </w:rPr>
        <w:t xml:space="preserve"> increase</w:t>
      </w:r>
      <w:r w:rsidR="008A026B">
        <w:rPr>
          <w:sz w:val="22"/>
          <w:lang w:val="en-US"/>
        </w:rPr>
        <w:t>,</w:t>
      </w:r>
      <w:r w:rsidR="00E020D4" w:rsidRPr="00E020D4">
        <w:rPr>
          <w:sz w:val="22"/>
          <w:lang w:val="en-US"/>
        </w:rPr>
        <w:t xml:space="preserve"> which is encouraging and shows that the overall strategy for the company is paying off - also under difficult market conditions. Test Operations is maintaining a constant level and the decrease in Qualification &amp; Failure Analysis is mainly due to the customer initiated phase out of production burn-in.</w:t>
      </w:r>
    </w:p>
    <w:p w14:paraId="76BD0CC8" w14:textId="7CA73A3C" w:rsidR="009A3B01" w:rsidRPr="00E020D4" w:rsidRDefault="00E020D4" w:rsidP="009A3B01">
      <w:pPr>
        <w:jc w:val="both"/>
        <w:rPr>
          <w:sz w:val="22"/>
          <w:lang w:val="en-US"/>
        </w:rPr>
      </w:pPr>
      <w:r w:rsidRPr="00E020D4">
        <w:rPr>
          <w:i/>
          <w:sz w:val="22"/>
          <w:lang w:val="en-US"/>
        </w:rPr>
        <w:t xml:space="preserve">“We are </w:t>
      </w:r>
      <w:r w:rsidR="009A3B01" w:rsidRPr="00E020D4">
        <w:rPr>
          <w:i/>
          <w:sz w:val="22"/>
          <w:lang w:val="en-US"/>
        </w:rPr>
        <w:t>pleased with our performance so far and proud to report a positive net r</w:t>
      </w:r>
      <w:r w:rsidRPr="00E020D4">
        <w:rPr>
          <w:i/>
          <w:sz w:val="22"/>
          <w:lang w:val="en-US"/>
        </w:rPr>
        <w:t>esult for the first-half of 2019 even though the market situation is challenging</w:t>
      </w:r>
      <w:r w:rsidR="009A3B01" w:rsidRPr="00E020D4">
        <w:rPr>
          <w:i/>
          <w:sz w:val="22"/>
          <w:lang w:val="en-US"/>
        </w:rPr>
        <w:t>.</w:t>
      </w:r>
      <w:r w:rsidRPr="00E020D4">
        <w:rPr>
          <w:i/>
          <w:sz w:val="22"/>
          <w:lang w:val="en-US"/>
        </w:rPr>
        <w:t xml:space="preserve"> </w:t>
      </w:r>
      <w:r w:rsidR="009A3B01" w:rsidRPr="00E020D4">
        <w:rPr>
          <w:i/>
          <w:sz w:val="22"/>
          <w:lang w:val="en-US"/>
        </w:rPr>
        <w:t xml:space="preserve">This demonstrates that </w:t>
      </w:r>
      <w:proofErr w:type="spellStart"/>
      <w:r w:rsidR="009A3B01" w:rsidRPr="00E020D4">
        <w:rPr>
          <w:i/>
          <w:color w:val="BA0C2F"/>
          <w:sz w:val="22"/>
          <w:lang w:val="en-US"/>
        </w:rPr>
        <w:t>Rood</w:t>
      </w:r>
      <w:r w:rsidR="009A3B01" w:rsidRPr="00E020D4">
        <w:rPr>
          <w:i/>
          <w:sz w:val="22"/>
          <w:lang w:val="en-US"/>
        </w:rPr>
        <w:t>Microtec’s</w:t>
      </w:r>
      <w:proofErr w:type="spellEnd"/>
      <w:r w:rsidR="009A3B01" w:rsidRPr="00E020D4">
        <w:rPr>
          <w:i/>
          <w:sz w:val="22"/>
          <w:lang w:val="en-US"/>
        </w:rPr>
        <w:t xml:space="preserve"> strategy as well as the commitment of our employees continue to drive the company’s future growth”, </w:t>
      </w:r>
      <w:r w:rsidR="009A3B01" w:rsidRPr="00E020D4">
        <w:rPr>
          <w:sz w:val="22"/>
          <w:lang w:val="en-US"/>
        </w:rPr>
        <w:t xml:space="preserve">says Martin </w:t>
      </w:r>
      <w:proofErr w:type="spellStart"/>
      <w:r w:rsidR="009A3B01" w:rsidRPr="00E020D4">
        <w:rPr>
          <w:sz w:val="22"/>
          <w:lang w:val="en-US"/>
        </w:rPr>
        <w:t>Sallenhag</w:t>
      </w:r>
      <w:proofErr w:type="spellEnd"/>
      <w:r w:rsidR="009A3B01" w:rsidRPr="00E020D4">
        <w:rPr>
          <w:sz w:val="22"/>
          <w:lang w:val="en-US"/>
        </w:rPr>
        <w:t xml:space="preserve">, CEO of </w:t>
      </w:r>
      <w:proofErr w:type="spellStart"/>
      <w:r w:rsidR="009A3B01" w:rsidRPr="00E020D4">
        <w:rPr>
          <w:color w:val="BA0C2F"/>
          <w:sz w:val="22"/>
          <w:lang w:val="en-US"/>
        </w:rPr>
        <w:t>Rood</w:t>
      </w:r>
      <w:r w:rsidR="009A3B01" w:rsidRPr="00E020D4">
        <w:rPr>
          <w:sz w:val="22"/>
          <w:lang w:val="en-US"/>
        </w:rPr>
        <w:t>Microtec</w:t>
      </w:r>
      <w:proofErr w:type="spellEnd"/>
      <w:r w:rsidR="009A3B01" w:rsidRPr="00E020D4">
        <w:rPr>
          <w:sz w:val="22"/>
          <w:lang w:val="en-US"/>
        </w:rPr>
        <w:t xml:space="preserve">. </w:t>
      </w:r>
    </w:p>
    <w:p w14:paraId="4DA05229" w14:textId="77777777" w:rsidR="009A3B01" w:rsidRPr="00A069CF" w:rsidRDefault="005E76CA" w:rsidP="009A3B01">
      <w:pPr>
        <w:rPr>
          <w:rFonts w:asciiTheme="minorHAnsi" w:hAnsiTheme="minorHAnsi" w:cstheme="minorHAnsi"/>
          <w:b/>
          <w:color w:val="B71234"/>
          <w:sz w:val="22"/>
          <w:lang w:val="en-US"/>
        </w:rPr>
      </w:pPr>
      <w:r w:rsidRPr="00A069CF">
        <w:rPr>
          <w:rFonts w:asciiTheme="minorHAnsi" w:hAnsiTheme="minorHAnsi" w:cstheme="minorHAnsi"/>
          <w:b/>
          <w:color w:val="B71234"/>
          <w:sz w:val="22"/>
          <w:lang w:val="en-US"/>
        </w:rPr>
        <w:t>Summary HY1 2019</w:t>
      </w:r>
      <w:r w:rsidR="009A3B01" w:rsidRPr="00A069CF">
        <w:rPr>
          <w:rFonts w:asciiTheme="minorHAnsi" w:hAnsiTheme="minorHAnsi" w:cstheme="minorHAnsi"/>
          <w:b/>
          <w:color w:val="B71234"/>
          <w:sz w:val="22"/>
          <w:lang w:val="en-US"/>
        </w:rPr>
        <w:t xml:space="preserve"> </w:t>
      </w:r>
    </w:p>
    <w:tbl>
      <w:tblPr>
        <w:tblW w:w="7942" w:type="dxa"/>
        <w:tblInd w:w="108" w:type="dxa"/>
        <w:tblLook w:val="04A0" w:firstRow="1" w:lastRow="0" w:firstColumn="1" w:lastColumn="0" w:noHBand="0" w:noVBand="1"/>
      </w:tblPr>
      <w:tblGrid>
        <w:gridCol w:w="3116"/>
        <w:gridCol w:w="2824"/>
        <w:gridCol w:w="1727"/>
        <w:gridCol w:w="275"/>
      </w:tblGrid>
      <w:tr w:rsidR="005E76CA" w:rsidRPr="00A069CF" w14:paraId="5AE3836A" w14:textId="77777777" w:rsidTr="005E76CA">
        <w:trPr>
          <w:trHeight w:val="216"/>
        </w:trPr>
        <w:tc>
          <w:tcPr>
            <w:tcW w:w="3116" w:type="dxa"/>
            <w:tcBorders>
              <w:top w:val="nil"/>
              <w:left w:val="nil"/>
              <w:bottom w:val="single" w:sz="8" w:space="0" w:color="auto"/>
              <w:right w:val="nil"/>
            </w:tcBorders>
            <w:hideMark/>
          </w:tcPr>
          <w:p w14:paraId="1A7CD254" w14:textId="77777777" w:rsidR="005E76CA" w:rsidRPr="00A069CF" w:rsidRDefault="005E76CA" w:rsidP="00680DBE">
            <w:pPr>
              <w:spacing w:line="240" w:lineRule="auto"/>
              <w:rPr>
                <w:rFonts w:cstheme="minorHAnsi"/>
                <w:b/>
                <w:bCs/>
                <w:color w:val="000000"/>
                <w:sz w:val="22"/>
                <w:lang w:val="en-US"/>
              </w:rPr>
            </w:pPr>
            <w:r w:rsidRPr="00A069CF">
              <w:rPr>
                <w:rFonts w:cstheme="minorHAnsi"/>
                <w:b/>
                <w:color w:val="000000"/>
                <w:sz w:val="22"/>
                <w:lang w:val="en-US"/>
              </w:rPr>
              <w:t>(x EUR 1,000)</w:t>
            </w:r>
          </w:p>
        </w:tc>
        <w:tc>
          <w:tcPr>
            <w:tcW w:w="2824" w:type="dxa"/>
            <w:tcBorders>
              <w:top w:val="nil"/>
              <w:left w:val="nil"/>
              <w:bottom w:val="single" w:sz="8" w:space="0" w:color="auto"/>
              <w:right w:val="nil"/>
            </w:tcBorders>
            <w:hideMark/>
          </w:tcPr>
          <w:p w14:paraId="419D956A" w14:textId="77777777" w:rsidR="005E76CA" w:rsidRPr="00A069CF" w:rsidRDefault="005E76CA" w:rsidP="005E76CA">
            <w:pPr>
              <w:spacing w:line="240" w:lineRule="auto"/>
              <w:ind w:right="-68"/>
              <w:jc w:val="right"/>
              <w:rPr>
                <w:rFonts w:cstheme="minorHAnsi"/>
                <w:b/>
                <w:bCs/>
                <w:sz w:val="22"/>
                <w:lang w:val="en-US"/>
              </w:rPr>
            </w:pPr>
            <w:r w:rsidRPr="00A069CF">
              <w:rPr>
                <w:rFonts w:cstheme="minorHAnsi"/>
                <w:b/>
                <w:sz w:val="22"/>
                <w:lang w:val="en-US"/>
              </w:rPr>
              <w:t>Unaudited</w:t>
            </w:r>
            <w:r w:rsidRPr="00A069CF">
              <w:rPr>
                <w:rFonts w:cstheme="minorHAnsi"/>
                <w:b/>
                <w:sz w:val="22"/>
                <w:lang w:val="en-US"/>
              </w:rPr>
              <w:br/>
              <w:t>HY1 2019</w:t>
            </w:r>
          </w:p>
        </w:tc>
        <w:tc>
          <w:tcPr>
            <w:tcW w:w="1727" w:type="dxa"/>
            <w:tcBorders>
              <w:top w:val="nil"/>
              <w:left w:val="nil"/>
              <w:bottom w:val="single" w:sz="8" w:space="0" w:color="auto"/>
              <w:right w:val="nil"/>
            </w:tcBorders>
          </w:tcPr>
          <w:p w14:paraId="5579E67D" w14:textId="77777777" w:rsidR="005E76CA" w:rsidRPr="00A069CF" w:rsidRDefault="005E76CA" w:rsidP="00680DBE">
            <w:pPr>
              <w:spacing w:line="240" w:lineRule="auto"/>
              <w:ind w:right="-48"/>
              <w:jc w:val="right"/>
              <w:rPr>
                <w:rFonts w:cstheme="minorHAnsi"/>
                <w:b/>
                <w:sz w:val="22"/>
                <w:lang w:val="en-US"/>
              </w:rPr>
            </w:pPr>
            <w:r w:rsidRPr="00A069CF">
              <w:rPr>
                <w:rFonts w:cstheme="minorHAnsi"/>
                <w:b/>
                <w:sz w:val="22"/>
                <w:lang w:val="en-US"/>
              </w:rPr>
              <w:t>Unaudited</w:t>
            </w:r>
            <w:r w:rsidRPr="00A069CF">
              <w:rPr>
                <w:rFonts w:cstheme="minorHAnsi"/>
                <w:b/>
                <w:sz w:val="22"/>
                <w:lang w:val="en-US"/>
              </w:rPr>
              <w:br/>
              <w:t>HY1 2018</w:t>
            </w:r>
          </w:p>
        </w:tc>
        <w:tc>
          <w:tcPr>
            <w:tcW w:w="275" w:type="dxa"/>
            <w:tcBorders>
              <w:top w:val="nil"/>
              <w:left w:val="nil"/>
              <w:bottom w:val="single" w:sz="8" w:space="0" w:color="auto"/>
              <w:right w:val="nil"/>
            </w:tcBorders>
          </w:tcPr>
          <w:p w14:paraId="408C213A" w14:textId="77777777" w:rsidR="005E76CA" w:rsidRPr="00A069CF" w:rsidRDefault="005E76CA" w:rsidP="00680DBE">
            <w:pPr>
              <w:spacing w:line="240" w:lineRule="auto"/>
              <w:ind w:right="-48"/>
              <w:rPr>
                <w:rFonts w:cstheme="minorHAnsi"/>
                <w:b/>
                <w:sz w:val="22"/>
                <w:lang w:val="en-US"/>
              </w:rPr>
            </w:pPr>
          </w:p>
        </w:tc>
      </w:tr>
      <w:tr w:rsidR="005E76CA" w:rsidRPr="00A069CF" w14:paraId="2B363554" w14:textId="77777777" w:rsidTr="005E76CA">
        <w:trPr>
          <w:trHeight w:val="264"/>
        </w:trPr>
        <w:tc>
          <w:tcPr>
            <w:tcW w:w="3116" w:type="dxa"/>
            <w:tcBorders>
              <w:top w:val="nil"/>
              <w:left w:val="nil"/>
              <w:bottom w:val="nil"/>
              <w:right w:val="nil"/>
            </w:tcBorders>
            <w:vAlign w:val="center"/>
            <w:hideMark/>
          </w:tcPr>
          <w:p w14:paraId="65354F13" w14:textId="77777777" w:rsidR="005E76CA" w:rsidRPr="00E020D4" w:rsidRDefault="005E76CA" w:rsidP="005E76CA">
            <w:pPr>
              <w:spacing w:line="240" w:lineRule="auto"/>
              <w:rPr>
                <w:rFonts w:cstheme="minorHAnsi"/>
                <w:b/>
                <w:bCs/>
                <w:color w:val="000000"/>
                <w:sz w:val="22"/>
                <w:lang w:val="en-US"/>
              </w:rPr>
            </w:pPr>
            <w:r w:rsidRPr="00E020D4">
              <w:rPr>
                <w:rFonts w:cstheme="minorHAnsi"/>
                <w:b/>
                <w:color w:val="000000"/>
                <w:sz w:val="22"/>
                <w:lang w:val="en-US"/>
              </w:rPr>
              <w:t>Net Sales</w:t>
            </w:r>
          </w:p>
        </w:tc>
        <w:tc>
          <w:tcPr>
            <w:tcW w:w="2824" w:type="dxa"/>
            <w:tcBorders>
              <w:top w:val="nil"/>
              <w:left w:val="nil"/>
              <w:bottom w:val="nil"/>
              <w:right w:val="nil"/>
            </w:tcBorders>
            <w:vAlign w:val="center"/>
          </w:tcPr>
          <w:p w14:paraId="49277660" w14:textId="77777777" w:rsidR="005E76CA" w:rsidRPr="00E020D4" w:rsidRDefault="005E76CA" w:rsidP="00A40ED3">
            <w:pPr>
              <w:spacing w:line="240" w:lineRule="auto"/>
              <w:ind w:right="-68"/>
              <w:jc w:val="right"/>
              <w:rPr>
                <w:rFonts w:cstheme="minorHAnsi"/>
                <w:b/>
                <w:bCs/>
                <w:sz w:val="22"/>
                <w:lang w:val="en-US"/>
              </w:rPr>
            </w:pPr>
            <w:r w:rsidRPr="00E020D4">
              <w:rPr>
                <w:rFonts w:cstheme="minorHAnsi"/>
                <w:b/>
                <w:bCs/>
                <w:sz w:val="22"/>
                <w:lang w:val="en-US"/>
              </w:rPr>
              <w:t>6,</w:t>
            </w:r>
            <w:r w:rsidR="00A40ED3" w:rsidRPr="00E020D4">
              <w:rPr>
                <w:rFonts w:cstheme="minorHAnsi"/>
                <w:b/>
                <w:bCs/>
                <w:sz w:val="22"/>
                <w:lang w:val="en-US"/>
              </w:rPr>
              <w:t>393</w:t>
            </w:r>
          </w:p>
        </w:tc>
        <w:tc>
          <w:tcPr>
            <w:tcW w:w="1727" w:type="dxa"/>
            <w:tcBorders>
              <w:top w:val="nil"/>
              <w:left w:val="nil"/>
              <w:bottom w:val="nil"/>
              <w:right w:val="nil"/>
            </w:tcBorders>
            <w:vAlign w:val="center"/>
          </w:tcPr>
          <w:p w14:paraId="09F51EFD" w14:textId="77777777" w:rsidR="005E76CA" w:rsidRPr="00E020D4" w:rsidRDefault="005E76CA" w:rsidP="005E76CA">
            <w:pPr>
              <w:spacing w:line="240" w:lineRule="auto"/>
              <w:ind w:right="-68"/>
              <w:jc w:val="right"/>
              <w:rPr>
                <w:rFonts w:cstheme="minorHAnsi"/>
                <w:b/>
                <w:bCs/>
                <w:sz w:val="22"/>
                <w:lang w:val="en-US"/>
              </w:rPr>
            </w:pPr>
            <w:r w:rsidRPr="00E020D4">
              <w:rPr>
                <w:rFonts w:cstheme="minorHAnsi"/>
                <w:b/>
                <w:bCs/>
                <w:sz w:val="22"/>
                <w:lang w:val="en-US"/>
              </w:rPr>
              <w:t>6,843</w:t>
            </w:r>
          </w:p>
        </w:tc>
        <w:tc>
          <w:tcPr>
            <w:tcW w:w="275" w:type="dxa"/>
            <w:tcBorders>
              <w:top w:val="nil"/>
              <w:left w:val="nil"/>
              <w:bottom w:val="nil"/>
              <w:right w:val="nil"/>
            </w:tcBorders>
          </w:tcPr>
          <w:p w14:paraId="1BB288C9" w14:textId="77777777" w:rsidR="005E76CA" w:rsidRPr="00E020D4" w:rsidRDefault="005E76CA" w:rsidP="005E76CA">
            <w:pPr>
              <w:spacing w:line="240" w:lineRule="auto"/>
              <w:ind w:right="-68"/>
              <w:jc w:val="right"/>
              <w:rPr>
                <w:rFonts w:cstheme="minorHAnsi"/>
                <w:b/>
                <w:bCs/>
                <w:sz w:val="22"/>
                <w:lang w:val="en-US"/>
              </w:rPr>
            </w:pPr>
          </w:p>
        </w:tc>
      </w:tr>
      <w:tr w:rsidR="005E76CA" w:rsidRPr="00A069CF" w14:paraId="2F475809" w14:textId="77777777" w:rsidTr="005E76CA">
        <w:trPr>
          <w:trHeight w:val="264"/>
        </w:trPr>
        <w:tc>
          <w:tcPr>
            <w:tcW w:w="3116" w:type="dxa"/>
            <w:tcBorders>
              <w:top w:val="nil"/>
              <w:left w:val="nil"/>
              <w:bottom w:val="nil"/>
              <w:right w:val="nil"/>
            </w:tcBorders>
            <w:vAlign w:val="center"/>
            <w:hideMark/>
          </w:tcPr>
          <w:p w14:paraId="59A894BB" w14:textId="243FDFB5" w:rsidR="005E76CA" w:rsidRPr="00E020D4" w:rsidRDefault="00DC312B" w:rsidP="005E76CA">
            <w:pPr>
              <w:spacing w:line="240" w:lineRule="auto"/>
              <w:rPr>
                <w:rFonts w:cstheme="minorHAnsi"/>
                <w:b/>
                <w:bCs/>
                <w:color w:val="000000"/>
                <w:sz w:val="22"/>
                <w:lang w:val="en-US"/>
              </w:rPr>
            </w:pPr>
            <w:r>
              <w:rPr>
                <w:rFonts w:cstheme="minorHAnsi"/>
                <w:b/>
                <w:color w:val="000000"/>
                <w:sz w:val="22"/>
                <w:lang w:val="en-US"/>
              </w:rPr>
              <w:t>Gross profit</w:t>
            </w:r>
          </w:p>
        </w:tc>
        <w:tc>
          <w:tcPr>
            <w:tcW w:w="2824" w:type="dxa"/>
            <w:tcBorders>
              <w:top w:val="nil"/>
              <w:left w:val="nil"/>
              <w:bottom w:val="nil"/>
              <w:right w:val="nil"/>
            </w:tcBorders>
            <w:vAlign w:val="center"/>
          </w:tcPr>
          <w:p w14:paraId="335EB322" w14:textId="4142B7BD" w:rsidR="005E76CA" w:rsidRPr="00E020D4" w:rsidRDefault="0035461C" w:rsidP="005E76CA">
            <w:pPr>
              <w:spacing w:line="240" w:lineRule="auto"/>
              <w:ind w:right="-68"/>
              <w:jc w:val="right"/>
              <w:rPr>
                <w:rFonts w:cstheme="minorHAnsi"/>
                <w:b/>
                <w:bCs/>
                <w:sz w:val="22"/>
                <w:lang w:val="en-US"/>
              </w:rPr>
            </w:pPr>
            <w:r>
              <w:rPr>
                <w:rFonts w:cstheme="minorHAnsi"/>
                <w:b/>
                <w:bCs/>
                <w:sz w:val="22"/>
                <w:lang w:val="en-US"/>
              </w:rPr>
              <w:t>5,049</w:t>
            </w:r>
          </w:p>
        </w:tc>
        <w:tc>
          <w:tcPr>
            <w:tcW w:w="1727" w:type="dxa"/>
            <w:tcBorders>
              <w:top w:val="nil"/>
              <w:left w:val="nil"/>
              <w:bottom w:val="nil"/>
              <w:right w:val="nil"/>
            </w:tcBorders>
            <w:vAlign w:val="center"/>
          </w:tcPr>
          <w:p w14:paraId="530AFA17" w14:textId="77777777" w:rsidR="005E76CA" w:rsidRPr="00E020D4" w:rsidRDefault="005E76CA" w:rsidP="005E76CA">
            <w:pPr>
              <w:spacing w:line="240" w:lineRule="auto"/>
              <w:ind w:right="-68"/>
              <w:jc w:val="right"/>
              <w:rPr>
                <w:rFonts w:cstheme="minorHAnsi"/>
                <w:b/>
                <w:bCs/>
                <w:sz w:val="22"/>
                <w:lang w:val="en-US"/>
              </w:rPr>
            </w:pPr>
            <w:r w:rsidRPr="00E020D4">
              <w:rPr>
                <w:rFonts w:cstheme="minorHAnsi"/>
                <w:b/>
                <w:bCs/>
                <w:sz w:val="22"/>
                <w:lang w:val="en-US"/>
              </w:rPr>
              <w:t>5,686</w:t>
            </w:r>
          </w:p>
        </w:tc>
        <w:tc>
          <w:tcPr>
            <w:tcW w:w="275" w:type="dxa"/>
            <w:tcBorders>
              <w:top w:val="nil"/>
              <w:left w:val="nil"/>
              <w:bottom w:val="nil"/>
              <w:right w:val="nil"/>
            </w:tcBorders>
          </w:tcPr>
          <w:p w14:paraId="67291CEB" w14:textId="77777777" w:rsidR="005E76CA" w:rsidRPr="00E020D4" w:rsidRDefault="005E76CA" w:rsidP="005E76CA">
            <w:pPr>
              <w:spacing w:line="240" w:lineRule="auto"/>
              <w:ind w:right="-68"/>
              <w:jc w:val="right"/>
              <w:rPr>
                <w:rFonts w:cstheme="minorHAnsi"/>
                <w:b/>
                <w:bCs/>
                <w:sz w:val="22"/>
                <w:lang w:val="en-US"/>
              </w:rPr>
            </w:pPr>
          </w:p>
        </w:tc>
      </w:tr>
      <w:tr w:rsidR="005E76CA" w:rsidRPr="00A069CF" w14:paraId="02FE9840" w14:textId="77777777" w:rsidTr="005E76CA">
        <w:trPr>
          <w:trHeight w:val="264"/>
        </w:trPr>
        <w:tc>
          <w:tcPr>
            <w:tcW w:w="3116" w:type="dxa"/>
            <w:tcBorders>
              <w:top w:val="nil"/>
              <w:left w:val="nil"/>
              <w:bottom w:val="nil"/>
              <w:right w:val="nil"/>
            </w:tcBorders>
            <w:vAlign w:val="center"/>
            <w:hideMark/>
          </w:tcPr>
          <w:p w14:paraId="5F0923FD" w14:textId="0586F78C" w:rsidR="005E76CA" w:rsidRPr="00E020D4" w:rsidRDefault="00DC312B" w:rsidP="00DC312B">
            <w:pPr>
              <w:spacing w:line="240" w:lineRule="auto"/>
              <w:rPr>
                <w:rFonts w:cstheme="minorHAnsi"/>
                <w:i/>
                <w:iCs/>
                <w:color w:val="000000"/>
                <w:sz w:val="22"/>
                <w:lang w:val="en-US"/>
              </w:rPr>
            </w:pPr>
            <w:r>
              <w:rPr>
                <w:rFonts w:cstheme="minorHAnsi"/>
                <w:i/>
                <w:color w:val="000000"/>
                <w:sz w:val="22"/>
                <w:lang w:val="en-US"/>
              </w:rPr>
              <w:t>Gross profit</w:t>
            </w:r>
            <w:r w:rsidR="005E76CA" w:rsidRPr="00E020D4">
              <w:rPr>
                <w:rFonts w:cstheme="minorHAnsi"/>
                <w:i/>
                <w:color w:val="000000"/>
                <w:sz w:val="22"/>
                <w:lang w:val="en-US"/>
              </w:rPr>
              <w:t xml:space="preserve"> </w:t>
            </w:r>
            <w:r>
              <w:rPr>
                <w:rFonts w:cstheme="minorHAnsi"/>
                <w:i/>
                <w:color w:val="000000"/>
                <w:sz w:val="22"/>
                <w:lang w:val="en-US"/>
              </w:rPr>
              <w:t>margin</w:t>
            </w:r>
            <w:r w:rsidR="005E76CA" w:rsidRPr="00E020D4">
              <w:rPr>
                <w:rFonts w:cstheme="minorHAnsi"/>
                <w:i/>
                <w:color w:val="000000"/>
                <w:sz w:val="22"/>
                <w:lang w:val="en-US"/>
              </w:rPr>
              <w:t xml:space="preserve"> of net sales</w:t>
            </w:r>
          </w:p>
        </w:tc>
        <w:tc>
          <w:tcPr>
            <w:tcW w:w="2824" w:type="dxa"/>
            <w:tcBorders>
              <w:top w:val="nil"/>
              <w:left w:val="nil"/>
              <w:bottom w:val="nil"/>
              <w:right w:val="nil"/>
            </w:tcBorders>
            <w:vAlign w:val="center"/>
          </w:tcPr>
          <w:p w14:paraId="7CB68F20" w14:textId="77777777" w:rsidR="005E76CA" w:rsidRPr="00E020D4" w:rsidRDefault="00E020D4" w:rsidP="005E76CA">
            <w:pPr>
              <w:spacing w:line="240" w:lineRule="auto"/>
              <w:ind w:right="-68"/>
              <w:jc w:val="right"/>
              <w:rPr>
                <w:rFonts w:cstheme="minorHAnsi"/>
                <w:i/>
                <w:sz w:val="22"/>
                <w:lang w:val="en-US"/>
              </w:rPr>
            </w:pPr>
            <w:r w:rsidRPr="00E020D4">
              <w:rPr>
                <w:rFonts w:cstheme="minorHAnsi"/>
                <w:i/>
                <w:sz w:val="22"/>
                <w:lang w:val="en-US"/>
              </w:rPr>
              <w:t>79</w:t>
            </w:r>
            <w:r w:rsidR="005E76CA" w:rsidRPr="00E020D4">
              <w:rPr>
                <w:rFonts w:cstheme="minorHAnsi"/>
                <w:i/>
                <w:sz w:val="22"/>
                <w:lang w:val="en-US"/>
              </w:rPr>
              <w:t>%</w:t>
            </w:r>
          </w:p>
        </w:tc>
        <w:tc>
          <w:tcPr>
            <w:tcW w:w="1727" w:type="dxa"/>
            <w:tcBorders>
              <w:top w:val="nil"/>
              <w:left w:val="nil"/>
              <w:bottom w:val="nil"/>
              <w:right w:val="nil"/>
            </w:tcBorders>
            <w:vAlign w:val="center"/>
          </w:tcPr>
          <w:p w14:paraId="029DC640" w14:textId="77777777" w:rsidR="005E76CA" w:rsidRPr="00E020D4" w:rsidRDefault="005E76CA" w:rsidP="005E76CA">
            <w:pPr>
              <w:spacing w:line="240" w:lineRule="auto"/>
              <w:ind w:right="-68"/>
              <w:jc w:val="right"/>
              <w:rPr>
                <w:rFonts w:cstheme="minorHAnsi"/>
                <w:i/>
                <w:sz w:val="22"/>
                <w:lang w:val="en-US"/>
              </w:rPr>
            </w:pPr>
            <w:r w:rsidRPr="00E020D4">
              <w:rPr>
                <w:rFonts w:cstheme="minorHAnsi"/>
                <w:i/>
                <w:sz w:val="22"/>
                <w:lang w:val="en-US"/>
              </w:rPr>
              <w:t>83%</w:t>
            </w:r>
          </w:p>
        </w:tc>
        <w:tc>
          <w:tcPr>
            <w:tcW w:w="275" w:type="dxa"/>
            <w:tcBorders>
              <w:top w:val="nil"/>
              <w:left w:val="nil"/>
              <w:bottom w:val="nil"/>
              <w:right w:val="nil"/>
            </w:tcBorders>
          </w:tcPr>
          <w:p w14:paraId="79CB3008" w14:textId="77777777" w:rsidR="005E76CA" w:rsidRPr="00E020D4" w:rsidRDefault="005E76CA" w:rsidP="005E76CA">
            <w:pPr>
              <w:spacing w:line="240" w:lineRule="auto"/>
              <w:ind w:right="-68"/>
              <w:jc w:val="right"/>
              <w:rPr>
                <w:rFonts w:cstheme="minorHAnsi"/>
                <w:i/>
                <w:sz w:val="22"/>
                <w:lang w:val="en-US"/>
              </w:rPr>
            </w:pPr>
          </w:p>
        </w:tc>
      </w:tr>
      <w:tr w:rsidR="005E76CA" w:rsidRPr="00A069CF" w14:paraId="403B0457" w14:textId="77777777" w:rsidTr="005E76CA">
        <w:trPr>
          <w:trHeight w:val="264"/>
        </w:trPr>
        <w:tc>
          <w:tcPr>
            <w:tcW w:w="3116" w:type="dxa"/>
            <w:tcBorders>
              <w:top w:val="nil"/>
              <w:left w:val="nil"/>
              <w:bottom w:val="nil"/>
              <w:right w:val="nil"/>
            </w:tcBorders>
            <w:vAlign w:val="center"/>
            <w:hideMark/>
          </w:tcPr>
          <w:p w14:paraId="7C2384AC" w14:textId="77777777" w:rsidR="005E76CA" w:rsidRPr="00E020D4" w:rsidRDefault="005E76CA" w:rsidP="005E76CA">
            <w:pPr>
              <w:spacing w:line="240" w:lineRule="auto"/>
              <w:rPr>
                <w:rFonts w:cstheme="minorHAnsi"/>
                <w:b/>
                <w:bCs/>
                <w:color w:val="000000"/>
                <w:sz w:val="22"/>
                <w:lang w:val="en-US"/>
              </w:rPr>
            </w:pPr>
            <w:r w:rsidRPr="00E020D4">
              <w:rPr>
                <w:rFonts w:cstheme="minorHAnsi"/>
                <w:b/>
                <w:color w:val="000000"/>
                <w:sz w:val="22"/>
                <w:lang w:val="en-US"/>
              </w:rPr>
              <w:t>EBITDA</w:t>
            </w:r>
          </w:p>
        </w:tc>
        <w:tc>
          <w:tcPr>
            <w:tcW w:w="2824" w:type="dxa"/>
            <w:tcBorders>
              <w:top w:val="nil"/>
              <w:left w:val="nil"/>
              <w:bottom w:val="nil"/>
              <w:right w:val="nil"/>
            </w:tcBorders>
            <w:vAlign w:val="center"/>
          </w:tcPr>
          <w:p w14:paraId="79A5A7E1" w14:textId="77777777" w:rsidR="005E76CA" w:rsidRPr="00E020D4" w:rsidRDefault="00E020D4" w:rsidP="005E76CA">
            <w:pPr>
              <w:spacing w:line="240" w:lineRule="auto"/>
              <w:ind w:right="-68"/>
              <w:jc w:val="right"/>
              <w:rPr>
                <w:rFonts w:cstheme="minorHAnsi"/>
                <w:b/>
                <w:bCs/>
                <w:sz w:val="22"/>
                <w:lang w:val="en-US"/>
              </w:rPr>
            </w:pPr>
            <w:r w:rsidRPr="00E020D4">
              <w:rPr>
                <w:rFonts w:cstheme="minorHAnsi"/>
                <w:b/>
                <w:bCs/>
                <w:sz w:val="22"/>
                <w:lang w:val="en-US"/>
              </w:rPr>
              <w:t>807</w:t>
            </w:r>
          </w:p>
        </w:tc>
        <w:tc>
          <w:tcPr>
            <w:tcW w:w="1727" w:type="dxa"/>
            <w:tcBorders>
              <w:top w:val="nil"/>
              <w:left w:val="nil"/>
              <w:bottom w:val="nil"/>
              <w:right w:val="nil"/>
            </w:tcBorders>
            <w:vAlign w:val="center"/>
          </w:tcPr>
          <w:p w14:paraId="63265B25" w14:textId="77777777" w:rsidR="005E76CA" w:rsidRPr="00E020D4" w:rsidRDefault="005E76CA" w:rsidP="005E76CA">
            <w:pPr>
              <w:spacing w:line="240" w:lineRule="auto"/>
              <w:ind w:right="-68"/>
              <w:jc w:val="right"/>
              <w:rPr>
                <w:rFonts w:cstheme="minorHAnsi"/>
                <w:b/>
                <w:bCs/>
                <w:sz w:val="22"/>
                <w:lang w:val="en-US"/>
              </w:rPr>
            </w:pPr>
            <w:r w:rsidRPr="00E020D4">
              <w:rPr>
                <w:rFonts w:cstheme="minorHAnsi"/>
                <w:b/>
                <w:bCs/>
                <w:sz w:val="22"/>
                <w:lang w:val="en-US"/>
              </w:rPr>
              <w:t>913</w:t>
            </w:r>
          </w:p>
        </w:tc>
        <w:tc>
          <w:tcPr>
            <w:tcW w:w="275" w:type="dxa"/>
            <w:tcBorders>
              <w:top w:val="nil"/>
              <w:left w:val="nil"/>
              <w:bottom w:val="nil"/>
              <w:right w:val="nil"/>
            </w:tcBorders>
          </w:tcPr>
          <w:p w14:paraId="518396BF" w14:textId="77777777" w:rsidR="005E76CA" w:rsidRPr="00E020D4" w:rsidRDefault="005E76CA" w:rsidP="005E76CA">
            <w:pPr>
              <w:spacing w:line="240" w:lineRule="auto"/>
              <w:ind w:right="-68"/>
              <w:jc w:val="right"/>
              <w:rPr>
                <w:rFonts w:cstheme="minorHAnsi"/>
                <w:b/>
                <w:bCs/>
                <w:sz w:val="22"/>
                <w:lang w:val="en-US"/>
              </w:rPr>
            </w:pPr>
          </w:p>
        </w:tc>
      </w:tr>
      <w:tr w:rsidR="005E76CA" w:rsidRPr="00A069CF" w14:paraId="62D52A53" w14:textId="77777777" w:rsidTr="005E76CA">
        <w:trPr>
          <w:trHeight w:val="264"/>
        </w:trPr>
        <w:tc>
          <w:tcPr>
            <w:tcW w:w="3116" w:type="dxa"/>
            <w:tcBorders>
              <w:top w:val="nil"/>
              <w:left w:val="nil"/>
              <w:bottom w:val="nil"/>
              <w:right w:val="nil"/>
            </w:tcBorders>
            <w:vAlign w:val="center"/>
            <w:hideMark/>
          </w:tcPr>
          <w:p w14:paraId="3322471C" w14:textId="6D257F9C" w:rsidR="005E76CA" w:rsidRPr="00E020D4" w:rsidRDefault="005E76CA" w:rsidP="00384C62">
            <w:pPr>
              <w:spacing w:line="240" w:lineRule="auto"/>
              <w:rPr>
                <w:rFonts w:cstheme="minorHAnsi"/>
                <w:i/>
                <w:iCs/>
                <w:color w:val="000000"/>
                <w:sz w:val="22"/>
                <w:lang w:val="en-US"/>
              </w:rPr>
            </w:pPr>
            <w:r w:rsidRPr="00E020D4">
              <w:rPr>
                <w:rFonts w:cstheme="minorHAnsi"/>
                <w:i/>
                <w:color w:val="000000"/>
                <w:sz w:val="22"/>
                <w:lang w:val="en-US"/>
              </w:rPr>
              <w:t xml:space="preserve">EBITDA </w:t>
            </w:r>
            <w:r w:rsidR="00384C62">
              <w:rPr>
                <w:rFonts w:cstheme="minorHAnsi"/>
                <w:i/>
                <w:color w:val="000000"/>
                <w:sz w:val="22"/>
                <w:lang w:val="en-US"/>
              </w:rPr>
              <w:t>in</w:t>
            </w:r>
            <w:r w:rsidR="00384C62" w:rsidRPr="00E020D4">
              <w:rPr>
                <w:rFonts w:cstheme="minorHAnsi"/>
                <w:i/>
                <w:color w:val="000000"/>
                <w:sz w:val="22"/>
                <w:lang w:val="en-US"/>
              </w:rPr>
              <w:t xml:space="preserve"> </w:t>
            </w:r>
            <w:r w:rsidRPr="00E020D4">
              <w:rPr>
                <w:rFonts w:cstheme="minorHAnsi"/>
                <w:i/>
                <w:color w:val="000000"/>
                <w:sz w:val="22"/>
                <w:lang w:val="en-US"/>
              </w:rPr>
              <w:t>% of net sales</w:t>
            </w:r>
          </w:p>
        </w:tc>
        <w:tc>
          <w:tcPr>
            <w:tcW w:w="2824" w:type="dxa"/>
            <w:tcBorders>
              <w:top w:val="nil"/>
              <w:left w:val="nil"/>
              <w:bottom w:val="nil"/>
              <w:right w:val="nil"/>
            </w:tcBorders>
            <w:vAlign w:val="center"/>
          </w:tcPr>
          <w:p w14:paraId="450EDE47" w14:textId="77777777" w:rsidR="005E76CA" w:rsidRPr="00E020D4" w:rsidRDefault="005E76CA" w:rsidP="005E76CA">
            <w:pPr>
              <w:spacing w:line="240" w:lineRule="auto"/>
              <w:ind w:right="-68"/>
              <w:jc w:val="right"/>
              <w:rPr>
                <w:rFonts w:cstheme="minorHAnsi"/>
                <w:i/>
                <w:sz w:val="22"/>
                <w:lang w:val="en-US"/>
              </w:rPr>
            </w:pPr>
            <w:r w:rsidRPr="00E020D4">
              <w:rPr>
                <w:rFonts w:cstheme="minorHAnsi"/>
                <w:i/>
                <w:sz w:val="22"/>
                <w:lang w:val="en-US"/>
              </w:rPr>
              <w:t>13%</w:t>
            </w:r>
          </w:p>
        </w:tc>
        <w:tc>
          <w:tcPr>
            <w:tcW w:w="1727" w:type="dxa"/>
            <w:tcBorders>
              <w:top w:val="nil"/>
              <w:left w:val="nil"/>
              <w:bottom w:val="nil"/>
              <w:right w:val="nil"/>
            </w:tcBorders>
            <w:vAlign w:val="center"/>
          </w:tcPr>
          <w:p w14:paraId="66723337" w14:textId="77777777" w:rsidR="005E76CA" w:rsidRPr="00E020D4" w:rsidRDefault="005E76CA" w:rsidP="005E76CA">
            <w:pPr>
              <w:spacing w:line="240" w:lineRule="auto"/>
              <w:ind w:right="-68"/>
              <w:jc w:val="right"/>
              <w:rPr>
                <w:rFonts w:cstheme="minorHAnsi"/>
                <w:i/>
                <w:sz w:val="22"/>
                <w:lang w:val="en-US"/>
              </w:rPr>
            </w:pPr>
            <w:r w:rsidRPr="00E020D4">
              <w:rPr>
                <w:rFonts w:cstheme="minorHAnsi"/>
                <w:i/>
                <w:sz w:val="22"/>
                <w:lang w:val="en-US"/>
              </w:rPr>
              <w:t>13%</w:t>
            </w:r>
          </w:p>
        </w:tc>
        <w:tc>
          <w:tcPr>
            <w:tcW w:w="275" w:type="dxa"/>
            <w:tcBorders>
              <w:top w:val="nil"/>
              <w:left w:val="nil"/>
              <w:bottom w:val="nil"/>
              <w:right w:val="nil"/>
            </w:tcBorders>
          </w:tcPr>
          <w:p w14:paraId="4623B4A0" w14:textId="77777777" w:rsidR="005E76CA" w:rsidRPr="00E020D4" w:rsidRDefault="005E76CA" w:rsidP="005E76CA">
            <w:pPr>
              <w:spacing w:line="240" w:lineRule="auto"/>
              <w:ind w:right="-68"/>
              <w:jc w:val="right"/>
              <w:rPr>
                <w:rFonts w:cstheme="minorHAnsi"/>
                <w:i/>
                <w:sz w:val="22"/>
                <w:lang w:val="en-US"/>
              </w:rPr>
            </w:pPr>
          </w:p>
        </w:tc>
      </w:tr>
      <w:tr w:rsidR="005E76CA" w:rsidRPr="00A069CF" w14:paraId="3A0897B3" w14:textId="77777777" w:rsidTr="005E76CA">
        <w:trPr>
          <w:trHeight w:val="264"/>
        </w:trPr>
        <w:tc>
          <w:tcPr>
            <w:tcW w:w="3116" w:type="dxa"/>
            <w:tcBorders>
              <w:top w:val="nil"/>
              <w:left w:val="nil"/>
              <w:bottom w:val="nil"/>
              <w:right w:val="nil"/>
            </w:tcBorders>
            <w:vAlign w:val="center"/>
            <w:hideMark/>
          </w:tcPr>
          <w:p w14:paraId="26C5A7F1" w14:textId="77777777" w:rsidR="005E76CA" w:rsidRPr="00E020D4" w:rsidRDefault="005E76CA" w:rsidP="005E76CA">
            <w:pPr>
              <w:spacing w:line="240" w:lineRule="auto"/>
              <w:rPr>
                <w:rFonts w:cstheme="minorHAnsi"/>
                <w:b/>
                <w:bCs/>
                <w:color w:val="000000"/>
                <w:sz w:val="22"/>
                <w:lang w:val="en-US"/>
              </w:rPr>
            </w:pPr>
            <w:r w:rsidRPr="00E020D4">
              <w:rPr>
                <w:rFonts w:cstheme="minorHAnsi"/>
                <w:b/>
                <w:color w:val="000000"/>
                <w:sz w:val="22"/>
                <w:lang w:val="en-US"/>
              </w:rPr>
              <w:t>EBIT</w:t>
            </w:r>
          </w:p>
        </w:tc>
        <w:tc>
          <w:tcPr>
            <w:tcW w:w="2824" w:type="dxa"/>
            <w:tcBorders>
              <w:top w:val="nil"/>
              <w:left w:val="nil"/>
              <w:bottom w:val="nil"/>
              <w:right w:val="nil"/>
            </w:tcBorders>
            <w:vAlign w:val="center"/>
          </w:tcPr>
          <w:p w14:paraId="07C890B6" w14:textId="31B7187D" w:rsidR="005E76CA" w:rsidRPr="00E020D4" w:rsidRDefault="0035461C" w:rsidP="005E76CA">
            <w:pPr>
              <w:spacing w:line="240" w:lineRule="auto"/>
              <w:ind w:right="-68"/>
              <w:jc w:val="right"/>
              <w:rPr>
                <w:rFonts w:cstheme="minorHAnsi"/>
                <w:b/>
                <w:sz w:val="22"/>
                <w:lang w:val="en-US"/>
              </w:rPr>
            </w:pPr>
            <w:r>
              <w:rPr>
                <w:rFonts w:cstheme="minorHAnsi"/>
                <w:b/>
                <w:sz w:val="22"/>
                <w:lang w:val="en-US"/>
              </w:rPr>
              <w:t>108</w:t>
            </w:r>
          </w:p>
        </w:tc>
        <w:tc>
          <w:tcPr>
            <w:tcW w:w="1727" w:type="dxa"/>
            <w:tcBorders>
              <w:top w:val="nil"/>
              <w:left w:val="nil"/>
              <w:bottom w:val="nil"/>
              <w:right w:val="nil"/>
            </w:tcBorders>
            <w:vAlign w:val="center"/>
          </w:tcPr>
          <w:p w14:paraId="34644686" w14:textId="77777777" w:rsidR="005E76CA" w:rsidRPr="00E020D4" w:rsidRDefault="005E76CA" w:rsidP="005E76CA">
            <w:pPr>
              <w:spacing w:line="240" w:lineRule="auto"/>
              <w:ind w:right="-68"/>
              <w:jc w:val="right"/>
              <w:rPr>
                <w:rFonts w:cstheme="minorHAnsi"/>
                <w:b/>
                <w:sz w:val="22"/>
                <w:lang w:val="en-US"/>
              </w:rPr>
            </w:pPr>
            <w:r w:rsidRPr="00E020D4">
              <w:rPr>
                <w:rFonts w:cstheme="minorHAnsi"/>
                <w:b/>
                <w:sz w:val="22"/>
                <w:lang w:val="en-US"/>
              </w:rPr>
              <w:t>398</w:t>
            </w:r>
          </w:p>
        </w:tc>
        <w:tc>
          <w:tcPr>
            <w:tcW w:w="275" w:type="dxa"/>
            <w:tcBorders>
              <w:top w:val="nil"/>
              <w:left w:val="nil"/>
              <w:bottom w:val="nil"/>
              <w:right w:val="nil"/>
            </w:tcBorders>
          </w:tcPr>
          <w:p w14:paraId="05F24332" w14:textId="77777777" w:rsidR="005E76CA" w:rsidRPr="00E020D4" w:rsidRDefault="005E76CA" w:rsidP="005E76CA">
            <w:pPr>
              <w:spacing w:line="240" w:lineRule="auto"/>
              <w:ind w:right="-68"/>
              <w:jc w:val="right"/>
              <w:rPr>
                <w:rFonts w:cstheme="minorHAnsi"/>
                <w:b/>
                <w:sz w:val="22"/>
                <w:lang w:val="en-US"/>
              </w:rPr>
            </w:pPr>
          </w:p>
        </w:tc>
      </w:tr>
      <w:tr w:rsidR="005E76CA" w:rsidRPr="00A069CF" w14:paraId="13ED20AF" w14:textId="77777777" w:rsidTr="005E76CA">
        <w:trPr>
          <w:trHeight w:val="264"/>
        </w:trPr>
        <w:tc>
          <w:tcPr>
            <w:tcW w:w="3116" w:type="dxa"/>
            <w:tcBorders>
              <w:top w:val="nil"/>
              <w:left w:val="nil"/>
              <w:bottom w:val="nil"/>
              <w:right w:val="nil"/>
            </w:tcBorders>
            <w:vAlign w:val="center"/>
            <w:hideMark/>
          </w:tcPr>
          <w:p w14:paraId="76B09341" w14:textId="529D85F9" w:rsidR="005E76CA" w:rsidRPr="00E020D4" w:rsidRDefault="005E76CA" w:rsidP="00384C62">
            <w:pPr>
              <w:spacing w:line="240" w:lineRule="auto"/>
              <w:rPr>
                <w:rFonts w:cstheme="minorHAnsi"/>
                <w:i/>
                <w:iCs/>
                <w:color w:val="000000"/>
                <w:sz w:val="22"/>
                <w:lang w:val="en-US"/>
              </w:rPr>
            </w:pPr>
            <w:r w:rsidRPr="00E020D4">
              <w:rPr>
                <w:rFonts w:cstheme="minorHAnsi"/>
                <w:i/>
                <w:color w:val="000000"/>
                <w:sz w:val="22"/>
                <w:lang w:val="en-US"/>
              </w:rPr>
              <w:t xml:space="preserve">EBIT </w:t>
            </w:r>
            <w:r w:rsidR="00384C62">
              <w:rPr>
                <w:rFonts w:cstheme="minorHAnsi"/>
                <w:i/>
                <w:color w:val="000000"/>
                <w:sz w:val="22"/>
                <w:lang w:val="en-US"/>
              </w:rPr>
              <w:t>in</w:t>
            </w:r>
            <w:r w:rsidR="00384C62" w:rsidRPr="00E020D4">
              <w:rPr>
                <w:rFonts w:cstheme="minorHAnsi"/>
                <w:i/>
                <w:color w:val="000000"/>
                <w:sz w:val="22"/>
                <w:lang w:val="en-US"/>
              </w:rPr>
              <w:t xml:space="preserve"> </w:t>
            </w:r>
            <w:r w:rsidRPr="00E020D4">
              <w:rPr>
                <w:rFonts w:cstheme="minorHAnsi"/>
                <w:i/>
                <w:color w:val="000000"/>
                <w:sz w:val="22"/>
                <w:lang w:val="en-US"/>
              </w:rPr>
              <w:t>% of net sales</w:t>
            </w:r>
          </w:p>
        </w:tc>
        <w:tc>
          <w:tcPr>
            <w:tcW w:w="2824" w:type="dxa"/>
            <w:tcBorders>
              <w:top w:val="nil"/>
              <w:left w:val="nil"/>
              <w:bottom w:val="nil"/>
              <w:right w:val="nil"/>
            </w:tcBorders>
            <w:vAlign w:val="center"/>
          </w:tcPr>
          <w:p w14:paraId="6F0E0DA9" w14:textId="77777777" w:rsidR="005E76CA" w:rsidRPr="00E020D4" w:rsidRDefault="00E020D4" w:rsidP="005E76CA">
            <w:pPr>
              <w:spacing w:line="240" w:lineRule="auto"/>
              <w:ind w:right="-68"/>
              <w:jc w:val="right"/>
              <w:rPr>
                <w:rFonts w:cstheme="minorHAnsi"/>
                <w:i/>
                <w:sz w:val="22"/>
                <w:lang w:val="en-US"/>
              </w:rPr>
            </w:pPr>
            <w:r w:rsidRPr="00E020D4">
              <w:rPr>
                <w:rFonts w:cstheme="minorHAnsi"/>
                <w:i/>
                <w:sz w:val="22"/>
                <w:lang w:val="en-US"/>
              </w:rPr>
              <w:t>2</w:t>
            </w:r>
            <w:r w:rsidR="005E76CA" w:rsidRPr="00E020D4">
              <w:rPr>
                <w:rFonts w:cstheme="minorHAnsi"/>
                <w:i/>
                <w:sz w:val="22"/>
                <w:lang w:val="en-US"/>
              </w:rPr>
              <w:t>%</w:t>
            </w:r>
          </w:p>
        </w:tc>
        <w:tc>
          <w:tcPr>
            <w:tcW w:w="1727" w:type="dxa"/>
            <w:tcBorders>
              <w:top w:val="nil"/>
              <w:left w:val="nil"/>
              <w:bottom w:val="nil"/>
              <w:right w:val="nil"/>
            </w:tcBorders>
            <w:vAlign w:val="center"/>
          </w:tcPr>
          <w:p w14:paraId="092EFFB6" w14:textId="77777777" w:rsidR="005E76CA" w:rsidRPr="00E020D4" w:rsidRDefault="005E76CA" w:rsidP="005E76CA">
            <w:pPr>
              <w:spacing w:line="240" w:lineRule="auto"/>
              <w:ind w:right="-68"/>
              <w:jc w:val="right"/>
              <w:rPr>
                <w:rFonts w:cstheme="minorHAnsi"/>
                <w:i/>
                <w:sz w:val="22"/>
                <w:lang w:val="en-US"/>
              </w:rPr>
            </w:pPr>
            <w:r w:rsidRPr="00E020D4">
              <w:rPr>
                <w:rFonts w:cstheme="minorHAnsi"/>
                <w:i/>
                <w:sz w:val="22"/>
                <w:lang w:val="en-US"/>
              </w:rPr>
              <w:t>6%</w:t>
            </w:r>
          </w:p>
        </w:tc>
        <w:tc>
          <w:tcPr>
            <w:tcW w:w="275" w:type="dxa"/>
            <w:tcBorders>
              <w:top w:val="nil"/>
              <w:left w:val="nil"/>
              <w:bottom w:val="nil"/>
              <w:right w:val="nil"/>
            </w:tcBorders>
          </w:tcPr>
          <w:p w14:paraId="6B14B192" w14:textId="77777777" w:rsidR="005E76CA" w:rsidRPr="00E020D4" w:rsidRDefault="005E76CA" w:rsidP="005E76CA">
            <w:pPr>
              <w:spacing w:line="240" w:lineRule="auto"/>
              <w:ind w:right="-68"/>
              <w:jc w:val="right"/>
              <w:rPr>
                <w:rFonts w:cstheme="minorHAnsi"/>
                <w:i/>
                <w:sz w:val="22"/>
                <w:lang w:val="en-US"/>
              </w:rPr>
            </w:pPr>
          </w:p>
        </w:tc>
      </w:tr>
      <w:tr w:rsidR="005E76CA" w:rsidRPr="00A069CF" w14:paraId="06FDAD14" w14:textId="77777777" w:rsidTr="005E76CA">
        <w:trPr>
          <w:trHeight w:val="264"/>
        </w:trPr>
        <w:tc>
          <w:tcPr>
            <w:tcW w:w="3116" w:type="dxa"/>
            <w:tcBorders>
              <w:top w:val="nil"/>
              <w:left w:val="nil"/>
              <w:bottom w:val="nil"/>
              <w:right w:val="nil"/>
            </w:tcBorders>
            <w:vAlign w:val="center"/>
            <w:hideMark/>
          </w:tcPr>
          <w:p w14:paraId="0B0B89C2" w14:textId="77777777" w:rsidR="005E76CA" w:rsidRPr="00E020D4" w:rsidRDefault="005E76CA" w:rsidP="005E76CA">
            <w:pPr>
              <w:spacing w:line="240" w:lineRule="auto"/>
              <w:rPr>
                <w:rFonts w:cstheme="minorHAnsi"/>
                <w:b/>
                <w:bCs/>
                <w:color w:val="000000"/>
                <w:sz w:val="22"/>
                <w:lang w:val="en-US"/>
              </w:rPr>
            </w:pPr>
            <w:r w:rsidRPr="00E020D4">
              <w:rPr>
                <w:rFonts w:cstheme="minorHAnsi"/>
                <w:b/>
                <w:color w:val="000000"/>
                <w:sz w:val="22"/>
                <w:lang w:val="en-US"/>
              </w:rPr>
              <w:t>Net result</w:t>
            </w:r>
          </w:p>
        </w:tc>
        <w:tc>
          <w:tcPr>
            <w:tcW w:w="2824" w:type="dxa"/>
            <w:tcBorders>
              <w:top w:val="nil"/>
              <w:left w:val="nil"/>
              <w:bottom w:val="nil"/>
              <w:right w:val="nil"/>
            </w:tcBorders>
            <w:vAlign w:val="center"/>
          </w:tcPr>
          <w:p w14:paraId="54B08315" w14:textId="77777777" w:rsidR="005E76CA" w:rsidRPr="00E020D4" w:rsidRDefault="00E020D4" w:rsidP="005E76CA">
            <w:pPr>
              <w:spacing w:line="240" w:lineRule="auto"/>
              <w:ind w:right="-68"/>
              <w:jc w:val="right"/>
              <w:rPr>
                <w:rFonts w:cstheme="minorHAnsi"/>
                <w:b/>
                <w:bCs/>
                <w:sz w:val="22"/>
                <w:lang w:val="en-US"/>
              </w:rPr>
            </w:pPr>
            <w:r w:rsidRPr="00E020D4">
              <w:rPr>
                <w:rFonts w:cstheme="minorHAnsi"/>
                <w:b/>
                <w:bCs/>
                <w:sz w:val="22"/>
                <w:lang w:val="en-US"/>
              </w:rPr>
              <w:t>5</w:t>
            </w:r>
          </w:p>
        </w:tc>
        <w:tc>
          <w:tcPr>
            <w:tcW w:w="1727" w:type="dxa"/>
            <w:tcBorders>
              <w:top w:val="nil"/>
              <w:left w:val="nil"/>
              <w:bottom w:val="nil"/>
              <w:right w:val="nil"/>
            </w:tcBorders>
            <w:vAlign w:val="center"/>
          </w:tcPr>
          <w:p w14:paraId="12A1B1E5" w14:textId="77777777" w:rsidR="005E76CA" w:rsidRPr="00E020D4" w:rsidRDefault="005E76CA" w:rsidP="005E76CA">
            <w:pPr>
              <w:spacing w:line="240" w:lineRule="auto"/>
              <w:ind w:right="-68"/>
              <w:jc w:val="right"/>
              <w:rPr>
                <w:rFonts w:cstheme="minorHAnsi"/>
                <w:b/>
                <w:bCs/>
                <w:sz w:val="22"/>
                <w:lang w:val="en-US"/>
              </w:rPr>
            </w:pPr>
            <w:r w:rsidRPr="00E020D4">
              <w:rPr>
                <w:rFonts w:cstheme="minorHAnsi"/>
                <w:b/>
                <w:bCs/>
                <w:sz w:val="22"/>
                <w:lang w:val="en-US"/>
              </w:rPr>
              <w:t>276</w:t>
            </w:r>
          </w:p>
        </w:tc>
        <w:tc>
          <w:tcPr>
            <w:tcW w:w="275" w:type="dxa"/>
            <w:tcBorders>
              <w:top w:val="nil"/>
              <w:left w:val="nil"/>
              <w:bottom w:val="nil"/>
              <w:right w:val="nil"/>
            </w:tcBorders>
          </w:tcPr>
          <w:p w14:paraId="60325BEE" w14:textId="77777777" w:rsidR="005E76CA" w:rsidRPr="00E020D4" w:rsidRDefault="005E76CA" w:rsidP="005E76CA">
            <w:pPr>
              <w:spacing w:line="240" w:lineRule="auto"/>
              <w:ind w:right="-68"/>
              <w:jc w:val="right"/>
              <w:rPr>
                <w:rFonts w:cstheme="minorHAnsi"/>
                <w:b/>
                <w:bCs/>
                <w:sz w:val="22"/>
                <w:lang w:val="en-US"/>
              </w:rPr>
            </w:pPr>
          </w:p>
        </w:tc>
      </w:tr>
      <w:tr w:rsidR="005E76CA" w:rsidRPr="00A069CF" w14:paraId="0309C71C" w14:textId="77777777" w:rsidTr="005E76CA">
        <w:trPr>
          <w:trHeight w:val="138"/>
        </w:trPr>
        <w:tc>
          <w:tcPr>
            <w:tcW w:w="3116" w:type="dxa"/>
            <w:tcBorders>
              <w:top w:val="nil"/>
              <w:left w:val="nil"/>
              <w:bottom w:val="nil"/>
              <w:right w:val="nil"/>
            </w:tcBorders>
            <w:vAlign w:val="center"/>
            <w:hideMark/>
          </w:tcPr>
          <w:p w14:paraId="4CE59628" w14:textId="00297681" w:rsidR="005E76CA" w:rsidRPr="00E020D4" w:rsidRDefault="005E76CA" w:rsidP="00384C62">
            <w:pPr>
              <w:spacing w:line="240" w:lineRule="auto"/>
              <w:rPr>
                <w:rFonts w:cstheme="minorHAnsi"/>
                <w:i/>
                <w:iCs/>
                <w:color w:val="000000"/>
                <w:sz w:val="22"/>
                <w:lang w:val="en-US"/>
              </w:rPr>
            </w:pPr>
            <w:r w:rsidRPr="00E020D4">
              <w:rPr>
                <w:rFonts w:cstheme="minorHAnsi"/>
                <w:i/>
                <w:color w:val="000000"/>
                <w:sz w:val="22"/>
                <w:lang w:val="en-US"/>
              </w:rPr>
              <w:t xml:space="preserve">Net result </w:t>
            </w:r>
            <w:r w:rsidR="00384C62">
              <w:rPr>
                <w:rFonts w:cstheme="minorHAnsi"/>
                <w:i/>
                <w:color w:val="000000"/>
                <w:sz w:val="22"/>
                <w:lang w:val="en-US"/>
              </w:rPr>
              <w:t>in</w:t>
            </w:r>
            <w:r w:rsidR="00384C62" w:rsidRPr="00E020D4">
              <w:rPr>
                <w:rFonts w:cstheme="minorHAnsi"/>
                <w:i/>
                <w:color w:val="000000"/>
                <w:sz w:val="22"/>
                <w:lang w:val="en-US"/>
              </w:rPr>
              <w:t xml:space="preserve"> </w:t>
            </w:r>
            <w:r w:rsidRPr="00E020D4">
              <w:rPr>
                <w:rFonts w:cstheme="minorHAnsi"/>
                <w:i/>
                <w:color w:val="000000"/>
                <w:sz w:val="22"/>
                <w:lang w:val="en-US"/>
              </w:rPr>
              <w:t>% of net sales</w:t>
            </w:r>
          </w:p>
        </w:tc>
        <w:tc>
          <w:tcPr>
            <w:tcW w:w="2824" w:type="dxa"/>
            <w:tcBorders>
              <w:top w:val="nil"/>
              <w:left w:val="nil"/>
              <w:bottom w:val="nil"/>
              <w:right w:val="nil"/>
            </w:tcBorders>
            <w:vAlign w:val="center"/>
          </w:tcPr>
          <w:p w14:paraId="1EBE57B9" w14:textId="77777777" w:rsidR="005E76CA" w:rsidRPr="00E020D4" w:rsidRDefault="00E020D4" w:rsidP="005E76CA">
            <w:pPr>
              <w:spacing w:line="240" w:lineRule="auto"/>
              <w:ind w:right="-68"/>
              <w:jc w:val="right"/>
              <w:rPr>
                <w:rFonts w:cstheme="minorHAnsi"/>
                <w:i/>
                <w:sz w:val="22"/>
                <w:lang w:val="en-US"/>
              </w:rPr>
            </w:pPr>
            <w:r w:rsidRPr="00E020D4">
              <w:rPr>
                <w:rFonts w:cstheme="minorHAnsi"/>
                <w:i/>
                <w:sz w:val="22"/>
                <w:lang w:val="en-US"/>
              </w:rPr>
              <w:t>0</w:t>
            </w:r>
            <w:r w:rsidR="005E76CA" w:rsidRPr="00E020D4">
              <w:rPr>
                <w:rFonts w:cstheme="minorHAnsi"/>
                <w:i/>
                <w:sz w:val="22"/>
                <w:lang w:val="en-US"/>
              </w:rPr>
              <w:t>%</w:t>
            </w:r>
          </w:p>
        </w:tc>
        <w:tc>
          <w:tcPr>
            <w:tcW w:w="1727" w:type="dxa"/>
            <w:tcBorders>
              <w:top w:val="nil"/>
              <w:left w:val="nil"/>
              <w:bottom w:val="nil"/>
              <w:right w:val="nil"/>
            </w:tcBorders>
            <w:vAlign w:val="center"/>
          </w:tcPr>
          <w:p w14:paraId="073809DC" w14:textId="77777777" w:rsidR="005E76CA" w:rsidRPr="00E020D4" w:rsidRDefault="005E76CA" w:rsidP="005E76CA">
            <w:pPr>
              <w:spacing w:line="240" w:lineRule="auto"/>
              <w:ind w:right="-68"/>
              <w:jc w:val="right"/>
              <w:rPr>
                <w:rFonts w:cstheme="minorHAnsi"/>
                <w:i/>
                <w:sz w:val="22"/>
                <w:lang w:val="en-US"/>
              </w:rPr>
            </w:pPr>
            <w:r w:rsidRPr="00E020D4">
              <w:rPr>
                <w:rFonts w:cstheme="minorHAnsi"/>
                <w:i/>
                <w:sz w:val="22"/>
                <w:lang w:val="en-US"/>
              </w:rPr>
              <w:t>4%</w:t>
            </w:r>
          </w:p>
        </w:tc>
        <w:tc>
          <w:tcPr>
            <w:tcW w:w="275" w:type="dxa"/>
            <w:tcBorders>
              <w:top w:val="nil"/>
              <w:left w:val="nil"/>
              <w:bottom w:val="nil"/>
              <w:right w:val="nil"/>
            </w:tcBorders>
          </w:tcPr>
          <w:p w14:paraId="0BDEF280" w14:textId="77777777" w:rsidR="005E76CA" w:rsidRPr="00E020D4" w:rsidRDefault="005E76CA" w:rsidP="005E76CA">
            <w:pPr>
              <w:spacing w:line="240" w:lineRule="auto"/>
              <w:ind w:right="-68"/>
              <w:jc w:val="right"/>
              <w:rPr>
                <w:rFonts w:cstheme="minorHAnsi"/>
                <w:i/>
                <w:sz w:val="22"/>
                <w:lang w:val="en-US"/>
              </w:rPr>
            </w:pPr>
          </w:p>
        </w:tc>
      </w:tr>
    </w:tbl>
    <w:p w14:paraId="05C26347" w14:textId="5F243C7F" w:rsidR="00882195" w:rsidRPr="00E020D4" w:rsidRDefault="00882195" w:rsidP="000D4F77">
      <w:pPr>
        <w:jc w:val="both"/>
        <w:rPr>
          <w:sz w:val="22"/>
          <w:lang w:val="en-US"/>
        </w:rPr>
      </w:pPr>
      <w:r w:rsidRPr="00E020D4">
        <w:rPr>
          <w:sz w:val="22"/>
          <w:lang w:val="en-US"/>
        </w:rPr>
        <w:lastRenderedPageBreak/>
        <w:t>During the annual general meeting</w:t>
      </w:r>
      <w:r w:rsidR="009060B4">
        <w:rPr>
          <w:sz w:val="22"/>
          <w:lang w:val="en-US"/>
        </w:rPr>
        <w:t xml:space="preserve"> of shareholders held on May 23</w:t>
      </w:r>
      <w:r w:rsidR="009060B4" w:rsidRPr="009060B4">
        <w:rPr>
          <w:sz w:val="22"/>
          <w:vertAlign w:val="superscript"/>
          <w:lang w:val="en-US"/>
        </w:rPr>
        <w:t>rd</w:t>
      </w:r>
      <w:r w:rsidR="009060B4">
        <w:rPr>
          <w:sz w:val="22"/>
          <w:lang w:val="en-US"/>
        </w:rPr>
        <w:t>, 2019</w:t>
      </w:r>
      <w:r w:rsidR="00D5269F">
        <w:rPr>
          <w:sz w:val="22"/>
          <w:lang w:val="en-US"/>
        </w:rPr>
        <w:t>,</w:t>
      </w:r>
      <w:r w:rsidRPr="00E020D4">
        <w:rPr>
          <w:sz w:val="22"/>
          <w:lang w:val="en-US"/>
        </w:rPr>
        <w:t xml:space="preserve"> </w:t>
      </w:r>
      <w:proofErr w:type="spellStart"/>
      <w:r w:rsidRPr="00AF3DE9">
        <w:rPr>
          <w:color w:val="BA0C2F"/>
          <w:sz w:val="22"/>
          <w:lang w:val="en-US"/>
        </w:rPr>
        <w:t>Rood</w:t>
      </w:r>
      <w:r w:rsidRPr="00E020D4">
        <w:rPr>
          <w:sz w:val="22"/>
          <w:lang w:val="en-US"/>
        </w:rPr>
        <w:t>Microtec</w:t>
      </w:r>
      <w:proofErr w:type="spellEnd"/>
      <w:r w:rsidRPr="00E020D4">
        <w:rPr>
          <w:sz w:val="22"/>
          <w:lang w:val="en-US"/>
        </w:rPr>
        <w:t xml:space="preserve"> announced that the present auditor, Baker Tilly, has decided to stop auditing listed companies. The search for a new auditor is </w:t>
      </w:r>
      <w:r w:rsidR="00A26469">
        <w:rPr>
          <w:sz w:val="22"/>
          <w:lang w:val="en-US"/>
        </w:rPr>
        <w:t>progressing</w:t>
      </w:r>
      <w:r w:rsidR="000537EF">
        <w:rPr>
          <w:sz w:val="22"/>
          <w:lang w:val="en-US"/>
        </w:rPr>
        <w:t>.</w:t>
      </w:r>
      <w:r w:rsidR="008A026B">
        <w:rPr>
          <w:sz w:val="22"/>
          <w:lang w:val="en-US"/>
        </w:rPr>
        <w:t xml:space="preserve"> </w:t>
      </w:r>
      <w:r w:rsidR="000537EF">
        <w:rPr>
          <w:sz w:val="22"/>
          <w:lang w:val="en-US"/>
        </w:rPr>
        <w:t>D</w:t>
      </w:r>
      <w:r w:rsidR="008A026B">
        <w:rPr>
          <w:sz w:val="22"/>
          <w:lang w:val="en-US"/>
        </w:rPr>
        <w:t xml:space="preserve">ue to the limited number of audit firms </w:t>
      </w:r>
      <w:r w:rsidR="009060B4">
        <w:rPr>
          <w:sz w:val="22"/>
          <w:lang w:val="en-US"/>
        </w:rPr>
        <w:t>licensed in the Netherlands to audit listed companies,</w:t>
      </w:r>
      <w:r w:rsidR="009060B4" w:rsidRPr="00E020D4">
        <w:rPr>
          <w:sz w:val="22"/>
          <w:lang w:val="en-US"/>
        </w:rPr>
        <w:t xml:space="preserve"> </w:t>
      </w:r>
      <w:r w:rsidR="009060B4">
        <w:rPr>
          <w:sz w:val="22"/>
          <w:lang w:val="en-US"/>
        </w:rPr>
        <w:t xml:space="preserve">we experience that </w:t>
      </w:r>
      <w:r w:rsidR="009060B4" w:rsidRPr="00E020D4">
        <w:rPr>
          <w:sz w:val="22"/>
          <w:lang w:val="en-US"/>
        </w:rPr>
        <w:t xml:space="preserve">it is challenging </w:t>
      </w:r>
      <w:r w:rsidR="009060B4">
        <w:rPr>
          <w:sz w:val="22"/>
          <w:lang w:val="en-US"/>
        </w:rPr>
        <w:t xml:space="preserve">for a small listed company like </w:t>
      </w:r>
      <w:proofErr w:type="spellStart"/>
      <w:r w:rsidR="009060B4" w:rsidRPr="00AF3DE9">
        <w:rPr>
          <w:color w:val="BA0C2F"/>
          <w:sz w:val="22"/>
          <w:lang w:val="en-US"/>
        </w:rPr>
        <w:t>Rood</w:t>
      </w:r>
      <w:r w:rsidR="009060B4" w:rsidRPr="00A069CF">
        <w:rPr>
          <w:sz w:val="22"/>
          <w:lang w:val="en-US"/>
        </w:rPr>
        <w:t>Microtec</w:t>
      </w:r>
      <w:proofErr w:type="spellEnd"/>
      <w:r w:rsidR="009060B4">
        <w:rPr>
          <w:sz w:val="22"/>
          <w:lang w:val="en-US"/>
        </w:rPr>
        <w:t xml:space="preserve"> </w:t>
      </w:r>
      <w:r w:rsidR="009060B4" w:rsidRPr="00E020D4">
        <w:rPr>
          <w:sz w:val="22"/>
          <w:lang w:val="en-US"/>
        </w:rPr>
        <w:t xml:space="preserve">to find </w:t>
      </w:r>
      <w:r w:rsidR="009060B4">
        <w:rPr>
          <w:sz w:val="22"/>
          <w:lang w:val="en-US"/>
        </w:rPr>
        <w:t>an audit firm</w:t>
      </w:r>
      <w:r w:rsidR="009060B4" w:rsidRPr="00E020D4">
        <w:rPr>
          <w:sz w:val="22"/>
          <w:lang w:val="en-US"/>
        </w:rPr>
        <w:t xml:space="preserve"> that is willing to </w:t>
      </w:r>
      <w:r w:rsidR="009060B4">
        <w:rPr>
          <w:sz w:val="22"/>
          <w:lang w:val="en-US"/>
        </w:rPr>
        <w:t xml:space="preserve">accept the audit engagement for a </w:t>
      </w:r>
      <w:r w:rsidR="009060B4" w:rsidRPr="00E020D4">
        <w:rPr>
          <w:sz w:val="22"/>
          <w:lang w:val="en-US"/>
        </w:rPr>
        <w:t>new client</w:t>
      </w:r>
      <w:r w:rsidR="000537EF">
        <w:rPr>
          <w:sz w:val="22"/>
          <w:lang w:val="en-US"/>
        </w:rPr>
        <w:t>,</w:t>
      </w:r>
      <w:r w:rsidR="00741060">
        <w:rPr>
          <w:sz w:val="22"/>
          <w:lang w:val="en-US"/>
        </w:rPr>
        <w:t xml:space="preserve"> </w:t>
      </w:r>
      <w:r w:rsidR="000B4B80">
        <w:rPr>
          <w:sz w:val="22"/>
          <w:lang w:val="en-US"/>
        </w:rPr>
        <w:t xml:space="preserve">especially </w:t>
      </w:r>
      <w:r w:rsidR="00741060">
        <w:rPr>
          <w:sz w:val="22"/>
          <w:lang w:val="en-US"/>
        </w:rPr>
        <w:t xml:space="preserve">when this should </w:t>
      </w:r>
      <w:r w:rsidR="000D4F77">
        <w:rPr>
          <w:sz w:val="22"/>
          <w:lang w:val="en-US"/>
        </w:rPr>
        <w:t>be completed until</w:t>
      </w:r>
      <w:r w:rsidR="00741060">
        <w:rPr>
          <w:sz w:val="22"/>
          <w:lang w:val="en-US"/>
        </w:rPr>
        <w:t xml:space="preserve"> April</w:t>
      </w:r>
      <w:r w:rsidR="000D4F77">
        <w:rPr>
          <w:sz w:val="22"/>
          <w:lang w:val="en-US"/>
        </w:rPr>
        <w:t xml:space="preserve"> 2020</w:t>
      </w:r>
      <w:r w:rsidR="009060B4">
        <w:rPr>
          <w:sz w:val="22"/>
          <w:lang w:val="en-US"/>
        </w:rPr>
        <w:t>.</w:t>
      </w:r>
    </w:p>
    <w:p w14:paraId="4D41351C" w14:textId="77777777" w:rsidR="009A3B01" w:rsidRPr="00A975CA" w:rsidRDefault="009A3B01" w:rsidP="00A975CA">
      <w:pPr>
        <w:spacing w:before="240"/>
        <w:jc w:val="both"/>
        <w:rPr>
          <w:b/>
          <w:color w:val="BA0C2F"/>
          <w:sz w:val="22"/>
          <w:lang w:val="en-US"/>
        </w:rPr>
      </w:pPr>
      <w:r w:rsidRPr="00A975CA">
        <w:rPr>
          <w:b/>
          <w:color w:val="BA0C2F"/>
          <w:sz w:val="22"/>
          <w:lang w:val="en-US"/>
        </w:rPr>
        <w:t>Conference call</w:t>
      </w:r>
    </w:p>
    <w:p w14:paraId="2636D72E" w14:textId="77777777" w:rsidR="00AF3DE9" w:rsidRDefault="009A3B01" w:rsidP="009A3B01">
      <w:pPr>
        <w:spacing w:after="0"/>
        <w:rPr>
          <w:sz w:val="22"/>
          <w:lang w:val="en-US"/>
        </w:rPr>
      </w:pPr>
      <w:r w:rsidRPr="00A069CF">
        <w:rPr>
          <w:sz w:val="22"/>
          <w:lang w:val="en-US"/>
        </w:rPr>
        <w:t xml:space="preserve">You are invited to take part in </w:t>
      </w:r>
      <w:proofErr w:type="spellStart"/>
      <w:r w:rsidRPr="00A069CF">
        <w:rPr>
          <w:color w:val="BA0C2F"/>
          <w:sz w:val="22"/>
          <w:lang w:val="en-US"/>
        </w:rPr>
        <w:t>Rood</w:t>
      </w:r>
      <w:r w:rsidRPr="00A069CF">
        <w:rPr>
          <w:sz w:val="22"/>
          <w:lang w:val="en-US"/>
        </w:rPr>
        <w:t>Microtec’s</w:t>
      </w:r>
      <w:proofErr w:type="spellEnd"/>
      <w:r w:rsidRPr="00A069CF">
        <w:rPr>
          <w:sz w:val="22"/>
          <w:lang w:val="en-US"/>
        </w:rPr>
        <w:t xml:space="preserve"> conference</w:t>
      </w:r>
      <w:r w:rsidR="00AF3DE9">
        <w:rPr>
          <w:sz w:val="22"/>
          <w:lang w:val="en-US"/>
        </w:rPr>
        <w:t xml:space="preserve"> call for press and analysts on</w:t>
      </w:r>
    </w:p>
    <w:p w14:paraId="60BE4797" w14:textId="77777777" w:rsidR="00AF3DE9" w:rsidRDefault="009A3B01" w:rsidP="00AF3DE9">
      <w:pPr>
        <w:spacing w:after="0"/>
        <w:jc w:val="center"/>
        <w:rPr>
          <w:sz w:val="22"/>
          <w:lang w:val="en-US"/>
        </w:rPr>
      </w:pPr>
      <w:r w:rsidRPr="00A069CF">
        <w:rPr>
          <w:b/>
          <w:sz w:val="22"/>
          <w:lang w:val="en-US"/>
        </w:rPr>
        <w:t>Thursday, August</w:t>
      </w:r>
      <w:r w:rsidR="008A026B">
        <w:rPr>
          <w:b/>
          <w:sz w:val="22"/>
          <w:lang w:val="en-US"/>
        </w:rPr>
        <w:t xml:space="preserve"> 1</w:t>
      </w:r>
      <w:r w:rsidR="008A026B" w:rsidRPr="00630C45">
        <w:rPr>
          <w:b/>
          <w:sz w:val="22"/>
          <w:vertAlign w:val="superscript"/>
          <w:lang w:val="en-US"/>
        </w:rPr>
        <w:t>st</w:t>
      </w:r>
      <w:r w:rsidR="008A026B">
        <w:rPr>
          <w:b/>
          <w:sz w:val="22"/>
          <w:lang w:val="en-US"/>
        </w:rPr>
        <w:t>,</w:t>
      </w:r>
      <w:r w:rsidRPr="00A069CF">
        <w:rPr>
          <w:b/>
          <w:sz w:val="22"/>
          <w:lang w:val="en-US"/>
        </w:rPr>
        <w:t xml:space="preserve"> 201</w:t>
      </w:r>
      <w:r w:rsidR="00011E84" w:rsidRPr="00A069CF">
        <w:rPr>
          <w:b/>
          <w:sz w:val="22"/>
          <w:lang w:val="en-US"/>
        </w:rPr>
        <w:t>9</w:t>
      </w:r>
      <w:r w:rsidRPr="00A069CF">
        <w:rPr>
          <w:b/>
          <w:sz w:val="22"/>
          <w:lang w:val="en-US"/>
        </w:rPr>
        <w:t xml:space="preserve"> at 9.30 am</w:t>
      </w:r>
      <w:r w:rsidR="00AF3DE9">
        <w:rPr>
          <w:sz w:val="22"/>
          <w:lang w:val="en-US"/>
        </w:rPr>
        <w:t>.</w:t>
      </w:r>
    </w:p>
    <w:p w14:paraId="599F62F7" w14:textId="182F117B" w:rsidR="009A3B01" w:rsidRPr="00A069CF" w:rsidRDefault="009A3B01" w:rsidP="009A3B01">
      <w:pPr>
        <w:spacing w:after="0"/>
        <w:rPr>
          <w:sz w:val="22"/>
          <w:lang w:val="en-US"/>
        </w:rPr>
      </w:pPr>
      <w:r w:rsidRPr="00A069CF">
        <w:rPr>
          <w:sz w:val="22"/>
          <w:lang w:val="en-US"/>
        </w:rPr>
        <w:t>The management will present the Interim Report 201</w:t>
      </w:r>
      <w:r w:rsidR="007C4F14">
        <w:rPr>
          <w:sz w:val="22"/>
          <w:lang w:val="en-US"/>
        </w:rPr>
        <w:t>9</w:t>
      </w:r>
      <w:r w:rsidRPr="00A069CF">
        <w:rPr>
          <w:sz w:val="22"/>
          <w:lang w:val="en-US"/>
        </w:rPr>
        <w:t xml:space="preserve"> in detail and answer your questions.</w:t>
      </w:r>
    </w:p>
    <w:p w14:paraId="52A477DE" w14:textId="77777777" w:rsidR="009A3B01" w:rsidRPr="00A069CF" w:rsidRDefault="009A3B01" w:rsidP="007C4F14">
      <w:pPr>
        <w:spacing w:after="0" w:line="240" w:lineRule="auto"/>
        <w:rPr>
          <w:sz w:val="22"/>
          <w:lang w:val="en-US"/>
        </w:rPr>
      </w:pPr>
    </w:p>
    <w:p w14:paraId="0A976D32" w14:textId="77777777" w:rsidR="009A3B01" w:rsidRPr="00A069CF" w:rsidRDefault="009A3B01" w:rsidP="009A3B01">
      <w:pPr>
        <w:spacing w:after="0"/>
        <w:rPr>
          <w:sz w:val="22"/>
          <w:lang w:val="en-US"/>
        </w:rPr>
      </w:pPr>
      <w:r w:rsidRPr="00A069CF">
        <w:rPr>
          <w:sz w:val="22"/>
          <w:lang w:val="en-US"/>
        </w:rPr>
        <w:t>The dial-in number for the call is:</w:t>
      </w:r>
      <w:r w:rsidRPr="00A069CF">
        <w:rPr>
          <w:sz w:val="22"/>
          <w:lang w:val="en-US"/>
        </w:rPr>
        <w:tab/>
        <w:t xml:space="preserve"> </w:t>
      </w:r>
      <w:r w:rsidRPr="00A069CF">
        <w:rPr>
          <w:b/>
          <w:sz w:val="22"/>
          <w:lang w:val="en-US"/>
        </w:rPr>
        <w:t>+31 (0)20 531 5850</w:t>
      </w:r>
      <w:r w:rsidRPr="00A069CF">
        <w:rPr>
          <w:sz w:val="22"/>
          <w:lang w:val="en-US"/>
        </w:rPr>
        <w:t xml:space="preserve"> (via operator)</w:t>
      </w:r>
    </w:p>
    <w:p w14:paraId="6354E243" w14:textId="77777777" w:rsidR="00A40ED3" w:rsidRPr="00A069CF" w:rsidRDefault="00A40ED3" w:rsidP="00A40ED3">
      <w:pPr>
        <w:spacing w:before="240"/>
        <w:jc w:val="both"/>
        <w:rPr>
          <w:b/>
          <w:color w:val="BA0C2F"/>
          <w:sz w:val="22"/>
          <w:lang w:val="en-US"/>
        </w:rPr>
      </w:pPr>
      <w:r w:rsidRPr="00A069CF">
        <w:rPr>
          <w:b/>
          <w:color w:val="BA0C2F"/>
          <w:sz w:val="22"/>
          <w:lang w:val="en-US"/>
        </w:rPr>
        <w:t>Financial agenda</w:t>
      </w:r>
      <w:bookmarkStart w:id="0" w:name="_GoBack"/>
      <w:bookmarkEnd w:id="0"/>
    </w:p>
    <w:tbl>
      <w:tblPr>
        <w:tblW w:w="9604" w:type="dxa"/>
        <w:tblInd w:w="2" w:type="dxa"/>
        <w:tblLook w:val="00A0" w:firstRow="1" w:lastRow="0" w:firstColumn="1" w:lastColumn="0" w:noHBand="0" w:noVBand="0"/>
      </w:tblPr>
      <w:tblGrid>
        <w:gridCol w:w="2800"/>
        <w:gridCol w:w="6804"/>
      </w:tblGrid>
      <w:tr w:rsidR="00A40ED3" w:rsidRPr="00A26469" w14:paraId="4236561F" w14:textId="77777777" w:rsidTr="006627EA">
        <w:trPr>
          <w:trHeight w:val="284"/>
        </w:trPr>
        <w:tc>
          <w:tcPr>
            <w:tcW w:w="2800" w:type="dxa"/>
          </w:tcPr>
          <w:p w14:paraId="4A79085E" w14:textId="62FD2096" w:rsidR="00A40ED3" w:rsidRPr="007C4F14" w:rsidRDefault="00A40ED3" w:rsidP="006627EA">
            <w:pPr>
              <w:spacing w:after="0"/>
              <w:jc w:val="both"/>
              <w:rPr>
                <w:rFonts w:cs="Calibri"/>
                <w:sz w:val="22"/>
                <w:lang w:val="en-US"/>
              </w:rPr>
            </w:pPr>
            <w:r w:rsidRPr="007C4F14">
              <w:rPr>
                <w:rFonts w:cs="Calibri"/>
                <w:sz w:val="22"/>
                <w:lang w:val="en-US"/>
              </w:rPr>
              <w:t>August</w:t>
            </w:r>
            <w:r w:rsidR="008A026B" w:rsidRPr="007C4F14">
              <w:rPr>
                <w:rFonts w:cs="Calibri"/>
                <w:sz w:val="22"/>
                <w:lang w:val="en-US"/>
              </w:rPr>
              <w:t xml:space="preserve"> 1</w:t>
            </w:r>
            <w:r w:rsidR="008A026B" w:rsidRPr="007C4F14">
              <w:rPr>
                <w:rFonts w:cs="Calibri"/>
                <w:sz w:val="22"/>
                <w:vertAlign w:val="superscript"/>
                <w:lang w:val="en-US"/>
              </w:rPr>
              <w:t>st</w:t>
            </w:r>
            <w:r w:rsidR="008A026B" w:rsidRPr="007C4F14">
              <w:rPr>
                <w:rFonts w:cs="Calibri"/>
                <w:sz w:val="22"/>
                <w:lang w:val="en-US"/>
              </w:rPr>
              <w:t>,</w:t>
            </w:r>
            <w:r w:rsidRPr="007C4F14">
              <w:rPr>
                <w:rFonts w:cs="Calibri"/>
                <w:sz w:val="22"/>
                <w:lang w:val="en-US"/>
              </w:rPr>
              <w:t xml:space="preserve"> 2019 </w:t>
            </w:r>
          </w:p>
        </w:tc>
        <w:tc>
          <w:tcPr>
            <w:tcW w:w="6804" w:type="dxa"/>
          </w:tcPr>
          <w:p w14:paraId="2042EACC" w14:textId="77777777" w:rsidR="00A40ED3" w:rsidRPr="007C4F14" w:rsidRDefault="00A40ED3" w:rsidP="006627EA">
            <w:pPr>
              <w:spacing w:after="0"/>
              <w:jc w:val="both"/>
              <w:rPr>
                <w:rFonts w:cs="Calibri"/>
                <w:sz w:val="22"/>
                <w:lang w:val="en-US"/>
              </w:rPr>
            </w:pPr>
            <w:r w:rsidRPr="007C4F14">
              <w:rPr>
                <w:rFonts w:cs="Calibri"/>
                <w:sz w:val="22"/>
                <w:lang w:val="en-US"/>
              </w:rPr>
              <w:t>Conference call for press and analysts</w:t>
            </w:r>
          </w:p>
        </w:tc>
      </w:tr>
      <w:tr w:rsidR="00A40ED3" w:rsidRPr="007C4F14" w14:paraId="11A098DF" w14:textId="77777777" w:rsidTr="006627EA">
        <w:trPr>
          <w:trHeight w:val="284"/>
        </w:trPr>
        <w:tc>
          <w:tcPr>
            <w:tcW w:w="2800" w:type="dxa"/>
          </w:tcPr>
          <w:p w14:paraId="3992BE13" w14:textId="23D8141A" w:rsidR="00A40ED3" w:rsidRPr="007C4F14" w:rsidRDefault="00A40ED3" w:rsidP="006627EA">
            <w:pPr>
              <w:spacing w:after="0"/>
              <w:jc w:val="both"/>
              <w:rPr>
                <w:rFonts w:cs="Calibri"/>
                <w:sz w:val="22"/>
                <w:lang w:val="en-US"/>
              </w:rPr>
            </w:pPr>
            <w:r w:rsidRPr="007C4F14">
              <w:rPr>
                <w:rFonts w:cs="Calibri"/>
                <w:sz w:val="22"/>
                <w:lang w:val="en-US"/>
              </w:rPr>
              <w:t>October</w:t>
            </w:r>
            <w:r w:rsidR="008A026B" w:rsidRPr="007C4F14">
              <w:rPr>
                <w:rFonts w:cs="Calibri"/>
                <w:sz w:val="22"/>
                <w:lang w:val="en-US"/>
              </w:rPr>
              <w:t xml:space="preserve"> 17</w:t>
            </w:r>
            <w:r w:rsidR="008A026B" w:rsidRPr="007C4F14">
              <w:rPr>
                <w:rFonts w:cs="Calibri"/>
                <w:sz w:val="22"/>
                <w:vertAlign w:val="superscript"/>
                <w:lang w:val="en-US"/>
              </w:rPr>
              <w:t>th</w:t>
            </w:r>
            <w:r w:rsidR="008A026B" w:rsidRPr="007C4F14">
              <w:rPr>
                <w:rFonts w:cs="Calibri"/>
                <w:sz w:val="22"/>
                <w:lang w:val="en-US"/>
              </w:rPr>
              <w:t>,</w:t>
            </w:r>
            <w:r w:rsidRPr="007C4F14">
              <w:rPr>
                <w:rFonts w:cs="Calibri"/>
                <w:sz w:val="22"/>
                <w:lang w:val="en-US"/>
              </w:rPr>
              <w:t xml:space="preserve"> 2019</w:t>
            </w:r>
          </w:p>
        </w:tc>
        <w:tc>
          <w:tcPr>
            <w:tcW w:w="6804" w:type="dxa"/>
          </w:tcPr>
          <w:p w14:paraId="4D92BE6F" w14:textId="77777777" w:rsidR="00A40ED3" w:rsidRPr="007C4F14" w:rsidRDefault="00A40ED3" w:rsidP="006627EA">
            <w:pPr>
              <w:spacing w:after="0"/>
              <w:jc w:val="both"/>
              <w:rPr>
                <w:rFonts w:cs="Calibri"/>
                <w:sz w:val="22"/>
                <w:lang w:val="en-US"/>
              </w:rPr>
            </w:pPr>
            <w:r w:rsidRPr="007C4F14">
              <w:rPr>
                <w:rFonts w:cs="Calibri"/>
                <w:sz w:val="22"/>
                <w:lang w:val="en-US"/>
              </w:rPr>
              <w:t>Trading update quarter 3-2019</w:t>
            </w:r>
          </w:p>
        </w:tc>
      </w:tr>
      <w:tr w:rsidR="00A40ED3" w:rsidRPr="007C4F14" w14:paraId="3BF183DC" w14:textId="77777777" w:rsidTr="006627EA">
        <w:trPr>
          <w:trHeight w:val="284"/>
        </w:trPr>
        <w:tc>
          <w:tcPr>
            <w:tcW w:w="2800" w:type="dxa"/>
          </w:tcPr>
          <w:p w14:paraId="59154FBE" w14:textId="3387FBB8" w:rsidR="00A40ED3" w:rsidRPr="007C4F14" w:rsidRDefault="00A40ED3" w:rsidP="006627EA">
            <w:pPr>
              <w:spacing w:after="0"/>
              <w:jc w:val="both"/>
              <w:rPr>
                <w:rFonts w:cs="Calibri"/>
                <w:sz w:val="22"/>
                <w:lang w:val="en-US"/>
              </w:rPr>
            </w:pPr>
            <w:r w:rsidRPr="007C4F14">
              <w:rPr>
                <w:rFonts w:cs="Calibri"/>
                <w:sz w:val="22"/>
                <w:lang w:val="en-US"/>
              </w:rPr>
              <w:t xml:space="preserve">January </w:t>
            </w:r>
            <w:r w:rsidR="008A026B" w:rsidRPr="007C4F14">
              <w:rPr>
                <w:rFonts w:cs="Calibri"/>
                <w:sz w:val="22"/>
                <w:lang w:val="en-US"/>
              </w:rPr>
              <w:t>23</w:t>
            </w:r>
            <w:r w:rsidR="008A026B" w:rsidRPr="007C4F14">
              <w:rPr>
                <w:rFonts w:cs="Calibri"/>
                <w:sz w:val="22"/>
                <w:vertAlign w:val="superscript"/>
                <w:lang w:val="en-US"/>
              </w:rPr>
              <w:t>rd</w:t>
            </w:r>
            <w:r w:rsidR="008A026B" w:rsidRPr="007C4F14">
              <w:rPr>
                <w:rFonts w:cs="Calibri"/>
                <w:sz w:val="22"/>
                <w:lang w:val="en-US"/>
              </w:rPr>
              <w:t xml:space="preserve">, </w:t>
            </w:r>
            <w:r w:rsidRPr="007C4F14">
              <w:rPr>
                <w:rFonts w:cs="Calibri"/>
                <w:sz w:val="22"/>
                <w:lang w:val="en-US"/>
              </w:rPr>
              <w:t>2020</w:t>
            </w:r>
          </w:p>
        </w:tc>
        <w:tc>
          <w:tcPr>
            <w:tcW w:w="6804" w:type="dxa"/>
          </w:tcPr>
          <w:p w14:paraId="21A116B9" w14:textId="3E765C11" w:rsidR="00A40ED3" w:rsidRPr="007C4F14" w:rsidRDefault="00A40ED3" w:rsidP="000537EF">
            <w:pPr>
              <w:spacing w:after="0"/>
              <w:jc w:val="both"/>
              <w:rPr>
                <w:rFonts w:cs="Calibri"/>
                <w:sz w:val="22"/>
                <w:lang w:val="en-US"/>
              </w:rPr>
            </w:pPr>
            <w:r w:rsidRPr="007C4F14">
              <w:rPr>
                <w:rFonts w:cs="Calibri"/>
                <w:sz w:val="22"/>
                <w:lang w:val="en-US"/>
              </w:rPr>
              <w:t>Publication annual revenue 2019</w:t>
            </w:r>
            <w:r w:rsidR="008A026B" w:rsidRPr="007C4F14">
              <w:rPr>
                <w:rFonts w:cs="Calibri"/>
                <w:sz w:val="22"/>
                <w:lang w:val="en-US"/>
              </w:rPr>
              <w:t xml:space="preserve"> (preliminary)</w:t>
            </w:r>
          </w:p>
        </w:tc>
      </w:tr>
      <w:tr w:rsidR="00A40ED3" w:rsidRPr="007C4F14" w14:paraId="13A34D27" w14:textId="77777777" w:rsidTr="006627EA">
        <w:trPr>
          <w:trHeight w:val="284"/>
        </w:trPr>
        <w:tc>
          <w:tcPr>
            <w:tcW w:w="2800" w:type="dxa"/>
          </w:tcPr>
          <w:p w14:paraId="3B5C61CB" w14:textId="21905411" w:rsidR="00A40ED3" w:rsidRPr="007C4F14" w:rsidRDefault="00A40ED3" w:rsidP="009060B4">
            <w:pPr>
              <w:spacing w:after="0"/>
              <w:jc w:val="both"/>
              <w:rPr>
                <w:rFonts w:cs="Calibri"/>
                <w:sz w:val="22"/>
                <w:lang w:val="en-US"/>
              </w:rPr>
            </w:pPr>
            <w:r w:rsidRPr="007C4F14">
              <w:rPr>
                <w:rFonts w:cs="Calibri"/>
                <w:sz w:val="22"/>
                <w:lang w:val="en-US"/>
              </w:rPr>
              <w:t>March</w:t>
            </w:r>
            <w:r w:rsidR="008A026B" w:rsidRPr="007C4F14">
              <w:rPr>
                <w:rFonts w:cs="Calibri"/>
                <w:sz w:val="22"/>
                <w:lang w:val="en-US"/>
              </w:rPr>
              <w:t xml:space="preserve"> 12</w:t>
            </w:r>
            <w:r w:rsidR="008A026B" w:rsidRPr="007C4F14">
              <w:rPr>
                <w:rFonts w:cs="Calibri"/>
                <w:sz w:val="22"/>
                <w:vertAlign w:val="superscript"/>
                <w:lang w:val="en-US"/>
              </w:rPr>
              <w:t>th</w:t>
            </w:r>
            <w:r w:rsidR="008A026B" w:rsidRPr="007C4F14">
              <w:rPr>
                <w:rFonts w:cs="Calibri"/>
                <w:sz w:val="22"/>
                <w:lang w:val="en-US"/>
              </w:rPr>
              <w:t>,</w:t>
            </w:r>
            <w:r w:rsidRPr="007C4F14">
              <w:rPr>
                <w:rFonts w:cs="Calibri"/>
                <w:sz w:val="22"/>
                <w:lang w:val="en-US"/>
              </w:rPr>
              <w:t xml:space="preserve"> 2020</w:t>
            </w:r>
          </w:p>
        </w:tc>
        <w:tc>
          <w:tcPr>
            <w:tcW w:w="6804" w:type="dxa"/>
          </w:tcPr>
          <w:p w14:paraId="62207E8A" w14:textId="6E75AF8C" w:rsidR="00A40ED3" w:rsidRPr="007C4F14" w:rsidRDefault="00A40ED3" w:rsidP="008A026B">
            <w:pPr>
              <w:spacing w:after="0"/>
              <w:jc w:val="both"/>
              <w:rPr>
                <w:rFonts w:cs="Calibri"/>
                <w:sz w:val="22"/>
                <w:lang w:val="en-US"/>
              </w:rPr>
            </w:pPr>
            <w:r w:rsidRPr="007C4F14">
              <w:rPr>
                <w:rFonts w:cs="Calibri"/>
                <w:sz w:val="22"/>
                <w:lang w:val="en-US"/>
              </w:rPr>
              <w:t>Publication annual figures 2019</w:t>
            </w:r>
            <w:r w:rsidR="008A026B" w:rsidRPr="007C4F14">
              <w:rPr>
                <w:rFonts w:cs="Calibri"/>
                <w:sz w:val="22"/>
                <w:lang w:val="en-US"/>
              </w:rPr>
              <w:t xml:space="preserve"> (preliminary)</w:t>
            </w:r>
          </w:p>
        </w:tc>
      </w:tr>
      <w:tr w:rsidR="00A40ED3" w:rsidRPr="00A26469" w14:paraId="193BD763" w14:textId="77777777" w:rsidTr="006627EA">
        <w:trPr>
          <w:trHeight w:val="284"/>
        </w:trPr>
        <w:tc>
          <w:tcPr>
            <w:tcW w:w="2800" w:type="dxa"/>
          </w:tcPr>
          <w:p w14:paraId="7AD37C8C" w14:textId="6D8EFD17" w:rsidR="00A40ED3" w:rsidRPr="007C4F14" w:rsidRDefault="00A40ED3" w:rsidP="009060B4">
            <w:pPr>
              <w:spacing w:after="0"/>
              <w:jc w:val="both"/>
              <w:rPr>
                <w:rFonts w:cs="Calibri"/>
                <w:sz w:val="22"/>
                <w:lang w:val="en-US"/>
              </w:rPr>
            </w:pPr>
            <w:r w:rsidRPr="007C4F14">
              <w:rPr>
                <w:rFonts w:cs="Calibri"/>
                <w:sz w:val="22"/>
                <w:lang w:val="en-US"/>
              </w:rPr>
              <w:t>March</w:t>
            </w:r>
            <w:r w:rsidR="008A026B" w:rsidRPr="007C4F14">
              <w:rPr>
                <w:rFonts w:cs="Calibri"/>
                <w:sz w:val="22"/>
                <w:lang w:val="en-US"/>
              </w:rPr>
              <w:t xml:space="preserve"> 12</w:t>
            </w:r>
            <w:r w:rsidR="008A026B" w:rsidRPr="007C4F14">
              <w:rPr>
                <w:rFonts w:cs="Calibri"/>
                <w:sz w:val="22"/>
                <w:vertAlign w:val="superscript"/>
                <w:lang w:val="en-US"/>
              </w:rPr>
              <w:t>th</w:t>
            </w:r>
            <w:r w:rsidR="008A026B" w:rsidRPr="007C4F14">
              <w:rPr>
                <w:rFonts w:cs="Calibri"/>
                <w:sz w:val="22"/>
                <w:lang w:val="en-US"/>
              </w:rPr>
              <w:t>,</w:t>
            </w:r>
            <w:r w:rsidRPr="007C4F14">
              <w:rPr>
                <w:rFonts w:cs="Calibri"/>
                <w:sz w:val="22"/>
                <w:lang w:val="en-US"/>
              </w:rPr>
              <w:t xml:space="preserve"> 2020</w:t>
            </w:r>
          </w:p>
        </w:tc>
        <w:tc>
          <w:tcPr>
            <w:tcW w:w="6804" w:type="dxa"/>
          </w:tcPr>
          <w:p w14:paraId="1E5E0D95" w14:textId="77777777" w:rsidR="00A40ED3" w:rsidRPr="007C4F14" w:rsidRDefault="00A40ED3" w:rsidP="006627EA">
            <w:pPr>
              <w:spacing w:after="0"/>
              <w:jc w:val="both"/>
              <w:rPr>
                <w:rFonts w:cs="Calibri"/>
                <w:sz w:val="22"/>
                <w:lang w:val="en-US"/>
              </w:rPr>
            </w:pPr>
            <w:r w:rsidRPr="007C4F14">
              <w:rPr>
                <w:rFonts w:cs="Calibri"/>
                <w:sz w:val="22"/>
                <w:lang w:val="en-US"/>
              </w:rPr>
              <w:t>Conference call for press and analysts</w:t>
            </w:r>
          </w:p>
        </w:tc>
      </w:tr>
      <w:tr w:rsidR="00A40ED3" w:rsidRPr="007C4F14" w14:paraId="71315444" w14:textId="77777777" w:rsidTr="006627EA">
        <w:trPr>
          <w:trHeight w:val="284"/>
        </w:trPr>
        <w:tc>
          <w:tcPr>
            <w:tcW w:w="2800" w:type="dxa"/>
          </w:tcPr>
          <w:p w14:paraId="27C2A4AB" w14:textId="46F7B714" w:rsidR="00A40ED3" w:rsidRPr="007C4F14" w:rsidRDefault="00A40ED3" w:rsidP="008A026B">
            <w:pPr>
              <w:spacing w:after="0"/>
              <w:jc w:val="both"/>
              <w:rPr>
                <w:rFonts w:cs="Calibri"/>
                <w:sz w:val="22"/>
                <w:lang w:val="en-US"/>
              </w:rPr>
            </w:pPr>
            <w:r w:rsidRPr="007C4F14">
              <w:rPr>
                <w:rFonts w:cs="Calibri"/>
                <w:sz w:val="22"/>
                <w:lang w:val="en-US"/>
              </w:rPr>
              <w:t>April</w:t>
            </w:r>
            <w:r w:rsidR="008A026B" w:rsidRPr="007C4F14">
              <w:rPr>
                <w:rFonts w:cs="Calibri"/>
                <w:sz w:val="22"/>
                <w:lang w:val="en-US"/>
              </w:rPr>
              <w:t xml:space="preserve"> 9</w:t>
            </w:r>
            <w:r w:rsidR="008A026B" w:rsidRPr="007C4F14">
              <w:rPr>
                <w:rFonts w:cs="Calibri"/>
                <w:sz w:val="22"/>
                <w:vertAlign w:val="superscript"/>
                <w:lang w:val="en-US"/>
              </w:rPr>
              <w:t>th</w:t>
            </w:r>
            <w:r w:rsidR="008A026B" w:rsidRPr="007C4F14">
              <w:rPr>
                <w:rFonts w:cs="Calibri"/>
                <w:sz w:val="22"/>
                <w:lang w:val="en-US"/>
              </w:rPr>
              <w:t xml:space="preserve">, </w:t>
            </w:r>
            <w:r w:rsidRPr="007C4F14">
              <w:rPr>
                <w:rFonts w:cs="Calibri"/>
                <w:sz w:val="22"/>
                <w:lang w:val="en-US"/>
              </w:rPr>
              <w:t>2020</w:t>
            </w:r>
          </w:p>
        </w:tc>
        <w:tc>
          <w:tcPr>
            <w:tcW w:w="6804" w:type="dxa"/>
          </w:tcPr>
          <w:p w14:paraId="7133F455" w14:textId="77777777" w:rsidR="00A40ED3" w:rsidRPr="007C4F14" w:rsidRDefault="00A40ED3" w:rsidP="006627EA">
            <w:pPr>
              <w:spacing w:after="0"/>
              <w:jc w:val="both"/>
              <w:rPr>
                <w:rFonts w:cs="Calibri"/>
                <w:sz w:val="22"/>
                <w:lang w:val="en-US"/>
              </w:rPr>
            </w:pPr>
            <w:r w:rsidRPr="007C4F14">
              <w:rPr>
                <w:rFonts w:cs="Calibri"/>
                <w:sz w:val="22"/>
                <w:lang w:val="en-US"/>
              </w:rPr>
              <w:t>Publication annual report 2019</w:t>
            </w:r>
          </w:p>
        </w:tc>
      </w:tr>
      <w:tr w:rsidR="00A40ED3" w:rsidRPr="007C4F14" w14:paraId="6C54D635" w14:textId="77777777" w:rsidTr="006627EA">
        <w:trPr>
          <w:trHeight w:val="284"/>
        </w:trPr>
        <w:tc>
          <w:tcPr>
            <w:tcW w:w="2800" w:type="dxa"/>
          </w:tcPr>
          <w:p w14:paraId="0C7AAA6B" w14:textId="2837584D" w:rsidR="00A40ED3" w:rsidRPr="007C4F14" w:rsidRDefault="00A40ED3" w:rsidP="006627EA">
            <w:pPr>
              <w:spacing w:after="0"/>
              <w:jc w:val="both"/>
              <w:rPr>
                <w:rFonts w:cs="Calibri"/>
                <w:sz w:val="22"/>
                <w:lang w:val="en-US"/>
              </w:rPr>
            </w:pPr>
            <w:r w:rsidRPr="007C4F14">
              <w:rPr>
                <w:rFonts w:cs="Calibri"/>
                <w:sz w:val="22"/>
                <w:lang w:val="en-US"/>
              </w:rPr>
              <w:t xml:space="preserve">April </w:t>
            </w:r>
            <w:r w:rsidR="008A026B" w:rsidRPr="007C4F14">
              <w:rPr>
                <w:rFonts w:cs="Calibri"/>
                <w:sz w:val="22"/>
                <w:lang w:val="en-US"/>
              </w:rPr>
              <w:t>9</w:t>
            </w:r>
            <w:r w:rsidR="008A026B" w:rsidRPr="007C4F14">
              <w:rPr>
                <w:rFonts w:cs="Calibri"/>
                <w:sz w:val="22"/>
                <w:vertAlign w:val="superscript"/>
                <w:lang w:val="en-US"/>
              </w:rPr>
              <w:t>th</w:t>
            </w:r>
            <w:r w:rsidR="008A026B" w:rsidRPr="007C4F14">
              <w:rPr>
                <w:rFonts w:cs="Calibri"/>
                <w:sz w:val="22"/>
                <w:lang w:val="en-US"/>
              </w:rPr>
              <w:t xml:space="preserve">, </w:t>
            </w:r>
            <w:r w:rsidRPr="007C4F14">
              <w:rPr>
                <w:rFonts w:cs="Calibri"/>
                <w:sz w:val="22"/>
                <w:lang w:val="en-US"/>
              </w:rPr>
              <w:t>2020</w:t>
            </w:r>
          </w:p>
        </w:tc>
        <w:tc>
          <w:tcPr>
            <w:tcW w:w="6804" w:type="dxa"/>
          </w:tcPr>
          <w:p w14:paraId="58E88C22" w14:textId="77777777" w:rsidR="00A40ED3" w:rsidRPr="007C4F14" w:rsidRDefault="00A40ED3" w:rsidP="006627EA">
            <w:pPr>
              <w:spacing w:after="0"/>
              <w:jc w:val="both"/>
              <w:rPr>
                <w:rFonts w:cs="Calibri"/>
                <w:sz w:val="22"/>
                <w:lang w:val="en-US"/>
              </w:rPr>
            </w:pPr>
            <w:r w:rsidRPr="007C4F14">
              <w:rPr>
                <w:rFonts w:cs="Calibri"/>
                <w:sz w:val="22"/>
                <w:lang w:val="en-US"/>
              </w:rPr>
              <w:t>Trading update quarter 1-2020</w:t>
            </w:r>
          </w:p>
        </w:tc>
      </w:tr>
      <w:tr w:rsidR="00A40ED3" w:rsidRPr="00A26469" w14:paraId="5436F01F" w14:textId="77777777" w:rsidTr="006627EA">
        <w:trPr>
          <w:trHeight w:val="284"/>
        </w:trPr>
        <w:tc>
          <w:tcPr>
            <w:tcW w:w="2800" w:type="dxa"/>
          </w:tcPr>
          <w:p w14:paraId="0DAA91A3" w14:textId="480ADCBC" w:rsidR="00A40ED3" w:rsidRPr="007C4F14" w:rsidRDefault="00A40ED3" w:rsidP="006627EA">
            <w:pPr>
              <w:spacing w:after="0"/>
              <w:jc w:val="both"/>
              <w:rPr>
                <w:rFonts w:cs="Calibri"/>
                <w:sz w:val="22"/>
                <w:lang w:val="en-US"/>
              </w:rPr>
            </w:pPr>
            <w:r w:rsidRPr="007C4F14">
              <w:rPr>
                <w:rFonts w:cs="Calibri"/>
                <w:sz w:val="22"/>
                <w:lang w:val="en-US"/>
              </w:rPr>
              <w:t>May</w:t>
            </w:r>
            <w:r w:rsidR="008A026B" w:rsidRPr="007C4F14">
              <w:rPr>
                <w:rFonts w:cs="Calibri"/>
                <w:sz w:val="22"/>
                <w:lang w:val="en-US"/>
              </w:rPr>
              <w:t xml:space="preserve"> 28</w:t>
            </w:r>
            <w:r w:rsidR="008A026B" w:rsidRPr="007C4F14">
              <w:rPr>
                <w:rFonts w:cs="Calibri"/>
                <w:sz w:val="22"/>
                <w:vertAlign w:val="superscript"/>
                <w:lang w:val="en-US"/>
              </w:rPr>
              <w:t>th</w:t>
            </w:r>
            <w:r w:rsidR="009060B4" w:rsidRPr="007C4F14">
              <w:rPr>
                <w:rFonts w:cs="Calibri"/>
                <w:sz w:val="22"/>
                <w:lang w:val="en-US"/>
              </w:rPr>
              <w:t>,</w:t>
            </w:r>
            <w:r w:rsidRPr="007C4F14">
              <w:rPr>
                <w:rFonts w:cs="Calibri"/>
                <w:sz w:val="22"/>
                <w:lang w:val="en-US"/>
              </w:rPr>
              <w:t xml:space="preserve"> 2020</w:t>
            </w:r>
          </w:p>
        </w:tc>
        <w:tc>
          <w:tcPr>
            <w:tcW w:w="6804" w:type="dxa"/>
          </w:tcPr>
          <w:p w14:paraId="63A1E0B8" w14:textId="77777777" w:rsidR="00A40ED3" w:rsidRPr="007C4F14" w:rsidRDefault="00A40ED3" w:rsidP="006627EA">
            <w:pPr>
              <w:spacing w:after="0"/>
              <w:jc w:val="both"/>
              <w:rPr>
                <w:rFonts w:cs="Calibri"/>
                <w:sz w:val="22"/>
                <w:lang w:val="en-US"/>
              </w:rPr>
            </w:pPr>
            <w:r w:rsidRPr="007C4F14">
              <w:rPr>
                <w:rFonts w:cs="Calibri"/>
                <w:sz w:val="22"/>
                <w:lang w:val="en-US"/>
              </w:rPr>
              <w:t>Annual general meeting of shareholders</w:t>
            </w:r>
          </w:p>
        </w:tc>
      </w:tr>
      <w:tr w:rsidR="00A40ED3" w:rsidRPr="007C4F14" w14:paraId="4B6522ED" w14:textId="77777777" w:rsidTr="006627EA">
        <w:trPr>
          <w:trHeight w:val="284"/>
        </w:trPr>
        <w:tc>
          <w:tcPr>
            <w:tcW w:w="2800" w:type="dxa"/>
          </w:tcPr>
          <w:p w14:paraId="5AA6CA13" w14:textId="510FB560" w:rsidR="00A40ED3" w:rsidRPr="007C4F14" w:rsidRDefault="00A40ED3" w:rsidP="006627EA">
            <w:pPr>
              <w:spacing w:after="0"/>
              <w:jc w:val="both"/>
              <w:rPr>
                <w:rFonts w:cs="Calibri"/>
                <w:sz w:val="22"/>
                <w:lang w:val="en-US"/>
              </w:rPr>
            </w:pPr>
            <w:r w:rsidRPr="007C4F14">
              <w:rPr>
                <w:rFonts w:cs="Calibri"/>
                <w:sz w:val="22"/>
                <w:lang w:val="en-US"/>
              </w:rPr>
              <w:t>May</w:t>
            </w:r>
            <w:r w:rsidR="008A026B" w:rsidRPr="007C4F14">
              <w:rPr>
                <w:rFonts w:cs="Calibri"/>
                <w:sz w:val="22"/>
                <w:lang w:val="en-US"/>
              </w:rPr>
              <w:t xml:space="preserve"> 29</w:t>
            </w:r>
            <w:r w:rsidR="008A026B" w:rsidRPr="007C4F14">
              <w:rPr>
                <w:rFonts w:cs="Calibri"/>
                <w:sz w:val="22"/>
                <w:vertAlign w:val="superscript"/>
                <w:lang w:val="en-US"/>
              </w:rPr>
              <w:t>th</w:t>
            </w:r>
            <w:r w:rsidR="008A026B" w:rsidRPr="007C4F14">
              <w:rPr>
                <w:rFonts w:cs="Calibri"/>
                <w:sz w:val="22"/>
                <w:lang w:val="en-US"/>
              </w:rPr>
              <w:t xml:space="preserve">, </w:t>
            </w:r>
            <w:r w:rsidRPr="007C4F14">
              <w:rPr>
                <w:rFonts w:cs="Calibri"/>
                <w:sz w:val="22"/>
                <w:lang w:val="en-US"/>
              </w:rPr>
              <w:t>2020</w:t>
            </w:r>
          </w:p>
        </w:tc>
        <w:tc>
          <w:tcPr>
            <w:tcW w:w="6804" w:type="dxa"/>
          </w:tcPr>
          <w:p w14:paraId="4BA31B8F" w14:textId="77777777" w:rsidR="00A40ED3" w:rsidRPr="007C4F14" w:rsidRDefault="00A40ED3" w:rsidP="006627EA">
            <w:pPr>
              <w:spacing w:after="0"/>
              <w:jc w:val="both"/>
              <w:rPr>
                <w:rFonts w:cs="Calibri"/>
                <w:sz w:val="22"/>
                <w:lang w:val="en-US"/>
              </w:rPr>
            </w:pPr>
            <w:r w:rsidRPr="007C4F14">
              <w:rPr>
                <w:rFonts w:cs="Calibri"/>
                <w:sz w:val="22"/>
                <w:lang w:val="en-US"/>
              </w:rPr>
              <w:t xml:space="preserve">Annual bondholders meeting </w:t>
            </w:r>
          </w:p>
        </w:tc>
      </w:tr>
      <w:tr w:rsidR="00A40ED3" w:rsidRPr="007C4F14" w14:paraId="1FBD3E66" w14:textId="77777777" w:rsidTr="006627EA">
        <w:trPr>
          <w:trHeight w:val="287"/>
        </w:trPr>
        <w:tc>
          <w:tcPr>
            <w:tcW w:w="2800" w:type="dxa"/>
          </w:tcPr>
          <w:p w14:paraId="01F9C01C" w14:textId="465796D7" w:rsidR="00A40ED3" w:rsidRPr="007C4F14" w:rsidRDefault="00A40ED3" w:rsidP="006627EA">
            <w:pPr>
              <w:spacing w:after="0"/>
              <w:jc w:val="both"/>
              <w:rPr>
                <w:rFonts w:cs="Calibri"/>
                <w:sz w:val="22"/>
                <w:lang w:val="en-US"/>
              </w:rPr>
            </w:pPr>
            <w:r w:rsidRPr="007C4F14">
              <w:rPr>
                <w:rFonts w:cs="Calibri"/>
                <w:sz w:val="22"/>
                <w:lang w:val="en-US"/>
              </w:rPr>
              <w:t>July</w:t>
            </w:r>
            <w:r w:rsidR="008A026B" w:rsidRPr="007C4F14">
              <w:rPr>
                <w:rFonts w:cs="Calibri"/>
                <w:sz w:val="22"/>
                <w:lang w:val="en-US"/>
              </w:rPr>
              <w:t xml:space="preserve"> 30</w:t>
            </w:r>
            <w:r w:rsidR="008A026B" w:rsidRPr="007C4F14">
              <w:rPr>
                <w:rFonts w:cs="Calibri"/>
                <w:sz w:val="22"/>
                <w:vertAlign w:val="superscript"/>
                <w:lang w:val="en-US"/>
              </w:rPr>
              <w:t>th</w:t>
            </w:r>
            <w:r w:rsidR="009060B4" w:rsidRPr="007C4F14">
              <w:rPr>
                <w:rFonts w:cs="Calibri"/>
                <w:sz w:val="22"/>
                <w:lang w:val="en-US"/>
              </w:rPr>
              <w:t>,</w:t>
            </w:r>
            <w:r w:rsidRPr="007C4F14">
              <w:rPr>
                <w:rFonts w:cs="Calibri"/>
                <w:sz w:val="22"/>
                <w:lang w:val="en-US"/>
              </w:rPr>
              <w:t xml:space="preserve"> 2020</w:t>
            </w:r>
          </w:p>
        </w:tc>
        <w:tc>
          <w:tcPr>
            <w:tcW w:w="6804" w:type="dxa"/>
          </w:tcPr>
          <w:p w14:paraId="654B95C3" w14:textId="77777777" w:rsidR="00A40ED3" w:rsidRPr="007C4F14" w:rsidRDefault="00A40ED3" w:rsidP="006627EA">
            <w:pPr>
              <w:spacing w:after="0"/>
              <w:jc w:val="both"/>
              <w:rPr>
                <w:rFonts w:cs="Calibri"/>
                <w:sz w:val="22"/>
                <w:lang w:val="en-US"/>
              </w:rPr>
            </w:pPr>
            <w:r w:rsidRPr="007C4F14">
              <w:rPr>
                <w:rFonts w:cs="Calibri"/>
                <w:sz w:val="22"/>
                <w:lang w:val="en-US"/>
              </w:rPr>
              <w:t>Publication interim report 2020</w:t>
            </w:r>
          </w:p>
        </w:tc>
      </w:tr>
      <w:tr w:rsidR="00A40ED3" w:rsidRPr="00A26469" w14:paraId="1BBAF76E" w14:textId="77777777" w:rsidTr="006627EA">
        <w:trPr>
          <w:trHeight w:val="284"/>
        </w:trPr>
        <w:tc>
          <w:tcPr>
            <w:tcW w:w="2800" w:type="dxa"/>
          </w:tcPr>
          <w:p w14:paraId="3A0F9065" w14:textId="29428169" w:rsidR="00A40ED3" w:rsidRPr="007C4F14" w:rsidRDefault="00A40ED3" w:rsidP="009060B4">
            <w:pPr>
              <w:spacing w:after="0"/>
              <w:jc w:val="both"/>
              <w:rPr>
                <w:rFonts w:cs="Calibri"/>
                <w:sz w:val="22"/>
                <w:lang w:val="en-US"/>
              </w:rPr>
            </w:pPr>
            <w:r w:rsidRPr="007C4F14">
              <w:rPr>
                <w:rFonts w:cs="Calibri"/>
                <w:sz w:val="22"/>
                <w:lang w:val="en-US"/>
              </w:rPr>
              <w:t>July</w:t>
            </w:r>
            <w:r w:rsidR="008A026B" w:rsidRPr="007C4F14">
              <w:rPr>
                <w:rFonts w:cs="Calibri"/>
                <w:sz w:val="22"/>
                <w:lang w:val="en-US"/>
              </w:rPr>
              <w:t xml:space="preserve"> 30</w:t>
            </w:r>
            <w:r w:rsidR="008A026B" w:rsidRPr="007C4F14">
              <w:rPr>
                <w:rFonts w:cs="Calibri"/>
                <w:sz w:val="22"/>
                <w:vertAlign w:val="superscript"/>
                <w:lang w:val="en-US"/>
              </w:rPr>
              <w:t>th</w:t>
            </w:r>
            <w:r w:rsidR="008A026B" w:rsidRPr="007C4F14">
              <w:rPr>
                <w:rFonts w:cs="Calibri"/>
                <w:sz w:val="22"/>
                <w:lang w:val="en-US"/>
              </w:rPr>
              <w:t>,</w:t>
            </w:r>
            <w:r w:rsidRPr="007C4F14">
              <w:rPr>
                <w:rFonts w:cs="Calibri"/>
                <w:sz w:val="22"/>
                <w:lang w:val="en-US"/>
              </w:rPr>
              <w:t xml:space="preserve"> 2020</w:t>
            </w:r>
          </w:p>
        </w:tc>
        <w:tc>
          <w:tcPr>
            <w:tcW w:w="6804" w:type="dxa"/>
          </w:tcPr>
          <w:p w14:paraId="02233528" w14:textId="77777777" w:rsidR="00A40ED3" w:rsidRPr="007C4F14" w:rsidRDefault="00A40ED3" w:rsidP="006627EA">
            <w:pPr>
              <w:spacing w:after="0"/>
              <w:jc w:val="both"/>
              <w:rPr>
                <w:rFonts w:cs="Calibri"/>
                <w:sz w:val="22"/>
                <w:lang w:val="en-US"/>
              </w:rPr>
            </w:pPr>
            <w:r w:rsidRPr="007C4F14">
              <w:rPr>
                <w:rFonts w:cs="Calibri"/>
                <w:sz w:val="22"/>
                <w:lang w:val="en-US"/>
              </w:rPr>
              <w:t>Conference call for press and analysts</w:t>
            </w:r>
          </w:p>
        </w:tc>
      </w:tr>
      <w:tr w:rsidR="00A40ED3" w:rsidRPr="007C4F14" w14:paraId="175C7EFA" w14:textId="77777777" w:rsidTr="006627EA">
        <w:trPr>
          <w:trHeight w:val="292"/>
        </w:trPr>
        <w:tc>
          <w:tcPr>
            <w:tcW w:w="2800" w:type="dxa"/>
          </w:tcPr>
          <w:p w14:paraId="6EB2FDC5" w14:textId="776B61AC" w:rsidR="00A40ED3" w:rsidRPr="007C4F14" w:rsidRDefault="00A40ED3" w:rsidP="009060B4">
            <w:pPr>
              <w:spacing w:after="0"/>
              <w:jc w:val="both"/>
              <w:rPr>
                <w:rFonts w:cs="Calibri"/>
                <w:sz w:val="22"/>
                <w:lang w:val="en-US"/>
              </w:rPr>
            </w:pPr>
            <w:r w:rsidRPr="007C4F14">
              <w:rPr>
                <w:rFonts w:cs="Calibri"/>
                <w:sz w:val="22"/>
                <w:lang w:val="en-US"/>
              </w:rPr>
              <w:t>October</w:t>
            </w:r>
            <w:r w:rsidR="008A026B" w:rsidRPr="007C4F14">
              <w:rPr>
                <w:rFonts w:cs="Calibri"/>
                <w:sz w:val="22"/>
                <w:lang w:val="en-US"/>
              </w:rPr>
              <w:t xml:space="preserve"> 15</w:t>
            </w:r>
            <w:r w:rsidR="008A026B" w:rsidRPr="007C4F14">
              <w:rPr>
                <w:rFonts w:cs="Calibri"/>
                <w:sz w:val="22"/>
                <w:vertAlign w:val="superscript"/>
                <w:lang w:val="en-US"/>
              </w:rPr>
              <w:t>th</w:t>
            </w:r>
            <w:r w:rsidR="008A026B" w:rsidRPr="007C4F14">
              <w:rPr>
                <w:rFonts w:cs="Calibri"/>
                <w:sz w:val="22"/>
                <w:lang w:val="en-US"/>
              </w:rPr>
              <w:t>,</w:t>
            </w:r>
            <w:r w:rsidRPr="007C4F14">
              <w:rPr>
                <w:rFonts w:cs="Calibri"/>
                <w:sz w:val="22"/>
                <w:lang w:val="en-US"/>
              </w:rPr>
              <w:t xml:space="preserve"> 2020</w:t>
            </w:r>
          </w:p>
        </w:tc>
        <w:tc>
          <w:tcPr>
            <w:tcW w:w="6804" w:type="dxa"/>
          </w:tcPr>
          <w:p w14:paraId="63BE51FF" w14:textId="77777777" w:rsidR="00A40ED3" w:rsidRPr="007C4F14" w:rsidRDefault="00A40ED3" w:rsidP="006627EA">
            <w:pPr>
              <w:spacing w:after="0"/>
              <w:jc w:val="both"/>
              <w:rPr>
                <w:rFonts w:cs="Calibri"/>
                <w:sz w:val="22"/>
                <w:lang w:val="en-US"/>
              </w:rPr>
            </w:pPr>
            <w:r w:rsidRPr="007C4F14">
              <w:rPr>
                <w:rFonts w:cs="Calibri"/>
                <w:sz w:val="22"/>
                <w:lang w:val="en-US"/>
              </w:rPr>
              <w:t>Trading update quarter 3-2020</w:t>
            </w:r>
          </w:p>
        </w:tc>
      </w:tr>
    </w:tbl>
    <w:p w14:paraId="139C697B" w14:textId="77777777" w:rsidR="009A3B01" w:rsidRPr="00A069CF" w:rsidRDefault="009A3B01" w:rsidP="009A3B01">
      <w:pPr>
        <w:spacing w:before="240"/>
        <w:jc w:val="both"/>
        <w:rPr>
          <w:b/>
          <w:color w:val="BA0C2F"/>
          <w:sz w:val="22"/>
          <w:lang w:val="en-US"/>
        </w:rPr>
      </w:pPr>
      <w:r w:rsidRPr="00A069CF">
        <w:rPr>
          <w:b/>
          <w:color w:val="BA0C2F"/>
          <w:sz w:val="22"/>
          <w:lang w:val="en-US"/>
        </w:rPr>
        <w:t xml:space="preserve">About </w:t>
      </w:r>
      <w:proofErr w:type="spellStart"/>
      <w:r w:rsidRPr="00A069CF">
        <w:rPr>
          <w:b/>
          <w:color w:val="BA0C2F"/>
          <w:sz w:val="22"/>
          <w:lang w:val="en-US"/>
        </w:rPr>
        <w:t>RoodMicrotec</w:t>
      </w:r>
      <w:proofErr w:type="spellEnd"/>
    </w:p>
    <w:p w14:paraId="72874309" w14:textId="77777777" w:rsidR="009A3B01" w:rsidRPr="00A069CF" w:rsidRDefault="009A3B01" w:rsidP="009A3B01">
      <w:pPr>
        <w:jc w:val="both"/>
        <w:rPr>
          <w:sz w:val="22"/>
          <w:lang w:val="en-US"/>
        </w:rPr>
      </w:pPr>
      <w:proofErr w:type="spellStart"/>
      <w:r w:rsidRPr="00A069CF">
        <w:rPr>
          <w:color w:val="BA0C2F"/>
          <w:sz w:val="22"/>
          <w:lang w:val="en-US"/>
        </w:rPr>
        <w:t>Rood</w:t>
      </w:r>
      <w:r w:rsidRPr="00A069CF">
        <w:rPr>
          <w:sz w:val="22"/>
          <w:lang w:val="en-US"/>
        </w:rPr>
        <w:t>Microtec</w:t>
      </w:r>
      <w:proofErr w:type="spellEnd"/>
      <w:r w:rsidRPr="00A069CF">
        <w:rPr>
          <w:sz w:val="22"/>
          <w:lang w:val="en-US"/>
        </w:rPr>
        <w:t xml:space="preserve"> is a leading independent company for semiconductor supply and quality services. With 50 years of experience in the semiconductor and electronics industry, </w:t>
      </w:r>
      <w:proofErr w:type="spellStart"/>
      <w:r w:rsidRPr="00A069CF">
        <w:rPr>
          <w:color w:val="BA0C2F"/>
          <w:sz w:val="22"/>
          <w:lang w:val="en-US"/>
        </w:rPr>
        <w:t>Rood</w:t>
      </w:r>
      <w:r w:rsidRPr="00A069CF">
        <w:rPr>
          <w:sz w:val="22"/>
          <w:lang w:val="en-US"/>
        </w:rPr>
        <w:t>Microtec</w:t>
      </w:r>
      <w:proofErr w:type="spellEnd"/>
      <w:r w:rsidRPr="00A069CF">
        <w:rPr>
          <w:sz w:val="22"/>
          <w:lang w:val="en-US"/>
        </w:rPr>
        <w:t xml:space="preserve"> is well-established as a highly valued partner for many companies worldwide. The company provides full-turnkey ASIC services for complex microchips that are customized to handle specific applications for individual customers. In cooperation with strong partners, </w:t>
      </w:r>
      <w:proofErr w:type="spellStart"/>
      <w:r w:rsidRPr="00A069CF">
        <w:rPr>
          <w:color w:val="BA0C2F"/>
          <w:sz w:val="22"/>
          <w:lang w:val="en-US"/>
        </w:rPr>
        <w:t>Rood</w:t>
      </w:r>
      <w:r w:rsidRPr="00A069CF">
        <w:rPr>
          <w:sz w:val="22"/>
          <w:lang w:val="en-US"/>
        </w:rPr>
        <w:t>Microtec</w:t>
      </w:r>
      <w:proofErr w:type="spellEnd"/>
      <w:r w:rsidRPr="00A069CF">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A069CF">
        <w:rPr>
          <w:color w:val="BA0C2F"/>
          <w:sz w:val="22"/>
          <w:lang w:val="en-US"/>
        </w:rPr>
        <w:t>Rood</w:t>
      </w:r>
      <w:r w:rsidRPr="00A069CF">
        <w:rPr>
          <w:sz w:val="22"/>
          <w:lang w:val="en-US"/>
        </w:rPr>
        <w:t>Microtec’s</w:t>
      </w:r>
      <w:proofErr w:type="spellEnd"/>
      <w:r w:rsidRPr="00A069CF">
        <w:rPr>
          <w:sz w:val="22"/>
          <w:lang w:val="en-US"/>
        </w:rPr>
        <w:t xml:space="preserve"> headquarter is located in Deventer, Netherlands, with operational units in </w:t>
      </w:r>
      <w:proofErr w:type="spellStart"/>
      <w:r w:rsidRPr="00A069CF">
        <w:rPr>
          <w:sz w:val="22"/>
          <w:lang w:val="en-US"/>
        </w:rPr>
        <w:t>Nördlingen</w:t>
      </w:r>
      <w:proofErr w:type="spellEnd"/>
      <w:r w:rsidRPr="00A069CF">
        <w:rPr>
          <w:sz w:val="22"/>
          <w:lang w:val="en-US"/>
        </w:rPr>
        <w:t xml:space="preserve"> and Stuttgart, Germany.</w:t>
      </w:r>
    </w:p>
    <w:p w14:paraId="4A23A8AE" w14:textId="77777777" w:rsidR="009A3B01" w:rsidRPr="00A069CF" w:rsidRDefault="009A3B01" w:rsidP="009A3B01">
      <w:pPr>
        <w:spacing w:after="0"/>
        <w:jc w:val="both"/>
        <w:rPr>
          <w:rFonts w:asciiTheme="minorHAnsi" w:hAnsiTheme="minorHAnsi" w:cstheme="minorHAnsi"/>
          <w:sz w:val="22"/>
          <w:szCs w:val="20"/>
          <w:lang w:val="en-US"/>
        </w:rPr>
      </w:pPr>
      <w:r w:rsidRPr="00A069CF">
        <w:rPr>
          <w:rFonts w:asciiTheme="minorHAnsi" w:hAnsiTheme="minorHAnsi" w:cstheme="minorHAnsi"/>
          <w:sz w:val="22"/>
          <w:szCs w:val="20"/>
          <w:lang w:val="en-US"/>
        </w:rPr>
        <w:t xml:space="preserve">For more information visit </w:t>
      </w:r>
      <w:hyperlink r:id="rId8" w:history="1">
        <w:r w:rsidRPr="00A069CF">
          <w:rPr>
            <w:rFonts w:asciiTheme="minorHAnsi" w:hAnsiTheme="minorHAnsi" w:cstheme="minorHAnsi"/>
            <w:color w:val="0000FF"/>
            <w:sz w:val="22"/>
            <w:szCs w:val="20"/>
            <w:u w:val="single"/>
            <w:lang w:val="en-US"/>
          </w:rPr>
          <w:t>https://www.roodmicrotec.com</w:t>
        </w:r>
      </w:hyperlink>
    </w:p>
    <w:p w14:paraId="4DD5EF31" w14:textId="77777777" w:rsidR="007C4F14" w:rsidRPr="007C4F14" w:rsidRDefault="007C4F14" w:rsidP="007C4F14">
      <w:pPr>
        <w:tabs>
          <w:tab w:val="left" w:pos="2977"/>
          <w:tab w:val="left" w:pos="7371"/>
        </w:tabs>
        <w:spacing w:after="0"/>
        <w:jc w:val="both"/>
        <w:rPr>
          <w:rFonts w:asciiTheme="minorHAnsi" w:eastAsia="Times New Roman" w:hAnsiTheme="minorHAnsi" w:cstheme="minorHAnsi"/>
          <w:sz w:val="22"/>
          <w:szCs w:val="20"/>
          <w:lang w:val="en-US" w:eastAsia="en-GB" w:bidi="en-GB"/>
        </w:rPr>
      </w:pPr>
    </w:p>
    <w:p w14:paraId="1FD24C1F" w14:textId="2C66141F" w:rsidR="009A3B01" w:rsidRPr="00A069CF" w:rsidRDefault="009A3B01" w:rsidP="009A3B01">
      <w:pPr>
        <w:jc w:val="both"/>
        <w:rPr>
          <w:rFonts w:asciiTheme="minorHAnsi" w:hAnsiTheme="minorHAnsi" w:cstheme="minorHAnsi"/>
          <w:b/>
          <w:color w:val="BA0C2F"/>
          <w:sz w:val="22"/>
          <w:lang w:val="en-US"/>
        </w:rPr>
      </w:pPr>
      <w:r w:rsidRPr="00A069CF">
        <w:rPr>
          <w:rFonts w:asciiTheme="minorHAnsi" w:hAnsiTheme="minorHAnsi" w:cstheme="minorHAnsi"/>
          <w:b/>
          <w:color w:val="BA0C2F"/>
          <w:sz w:val="22"/>
          <w:lang w:val="en-US"/>
        </w:rPr>
        <w:t>Further information</w:t>
      </w:r>
    </w:p>
    <w:p w14:paraId="61BF0AC4" w14:textId="77777777" w:rsidR="009A3B01" w:rsidRPr="00A069CF" w:rsidRDefault="009A3B01" w:rsidP="009A3B01">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A069CF">
        <w:rPr>
          <w:rFonts w:asciiTheme="minorHAnsi" w:eastAsia="Times New Roman" w:hAnsiTheme="minorHAnsi" w:cstheme="minorHAnsi"/>
          <w:sz w:val="22"/>
          <w:szCs w:val="20"/>
          <w:lang w:val="en-US" w:eastAsia="en-GB" w:bidi="en-GB"/>
        </w:rPr>
        <w:t xml:space="preserve">Martin </w:t>
      </w:r>
      <w:proofErr w:type="spellStart"/>
      <w:r w:rsidRPr="00A069CF">
        <w:rPr>
          <w:rFonts w:asciiTheme="minorHAnsi" w:eastAsia="Times New Roman" w:hAnsiTheme="minorHAnsi" w:cstheme="minorHAnsi"/>
          <w:sz w:val="22"/>
          <w:szCs w:val="20"/>
          <w:lang w:val="en-US" w:eastAsia="en-GB" w:bidi="en-GB"/>
        </w:rPr>
        <w:t>Sallenhag</w:t>
      </w:r>
      <w:proofErr w:type="spellEnd"/>
      <w:r w:rsidRPr="00A069CF">
        <w:rPr>
          <w:rFonts w:asciiTheme="minorHAnsi" w:eastAsia="Times New Roman" w:hAnsiTheme="minorHAnsi" w:cstheme="minorHAnsi"/>
          <w:sz w:val="22"/>
          <w:szCs w:val="20"/>
          <w:lang w:val="en-US" w:eastAsia="en-GB" w:bidi="en-GB"/>
        </w:rPr>
        <w:t xml:space="preserve"> - CEO, </w:t>
      </w:r>
      <w:proofErr w:type="spellStart"/>
      <w:r w:rsidRPr="00A069CF">
        <w:rPr>
          <w:rFonts w:asciiTheme="minorHAnsi" w:eastAsia="Times New Roman" w:hAnsiTheme="minorHAnsi" w:cstheme="minorHAnsi"/>
          <w:sz w:val="22"/>
          <w:szCs w:val="20"/>
          <w:lang w:val="en-US" w:eastAsia="en-GB" w:bidi="en-GB"/>
        </w:rPr>
        <w:t>Arvid</w:t>
      </w:r>
      <w:proofErr w:type="spellEnd"/>
      <w:r w:rsidRPr="00A069CF">
        <w:rPr>
          <w:rFonts w:asciiTheme="minorHAnsi" w:eastAsia="Times New Roman" w:hAnsiTheme="minorHAnsi" w:cstheme="minorHAnsi"/>
          <w:sz w:val="22"/>
          <w:szCs w:val="20"/>
          <w:lang w:val="en-US" w:eastAsia="en-GB" w:bidi="en-GB"/>
        </w:rPr>
        <w:t xml:space="preserve"> </w:t>
      </w:r>
      <w:proofErr w:type="spellStart"/>
      <w:r w:rsidRPr="00A069CF">
        <w:rPr>
          <w:rFonts w:asciiTheme="minorHAnsi" w:eastAsia="Times New Roman" w:hAnsiTheme="minorHAnsi" w:cstheme="minorHAnsi"/>
          <w:sz w:val="22"/>
          <w:szCs w:val="20"/>
          <w:lang w:val="en-US" w:eastAsia="en-GB" w:bidi="en-GB"/>
        </w:rPr>
        <w:t>Ladega</w:t>
      </w:r>
      <w:proofErr w:type="spellEnd"/>
      <w:r w:rsidRPr="00A069CF">
        <w:rPr>
          <w:rFonts w:asciiTheme="minorHAnsi" w:eastAsia="Times New Roman" w:hAnsiTheme="minorHAnsi" w:cstheme="minorHAnsi"/>
          <w:sz w:val="22"/>
          <w:szCs w:val="20"/>
          <w:lang w:val="en-US" w:eastAsia="en-GB" w:bidi="en-GB"/>
        </w:rPr>
        <w:t xml:space="preserve"> - CFO</w:t>
      </w:r>
    </w:p>
    <w:p w14:paraId="7E52DA1F" w14:textId="1FAF7AEF" w:rsidR="009A3B01" w:rsidRPr="00A975CA" w:rsidRDefault="009A3B01" w:rsidP="009A3B01">
      <w:pPr>
        <w:tabs>
          <w:tab w:val="left" w:pos="2977"/>
          <w:tab w:val="left" w:pos="7371"/>
        </w:tabs>
        <w:spacing w:after="0"/>
        <w:jc w:val="both"/>
        <w:rPr>
          <w:rFonts w:asciiTheme="minorHAnsi" w:eastAsia="Times New Roman" w:hAnsiTheme="minorHAnsi" w:cstheme="minorHAnsi"/>
          <w:sz w:val="22"/>
          <w:lang w:val="en-US" w:eastAsia="en-GB" w:bidi="en-GB"/>
        </w:rPr>
      </w:pPr>
      <w:r w:rsidRPr="00A975CA">
        <w:rPr>
          <w:rFonts w:asciiTheme="minorHAnsi" w:eastAsia="Times New Roman" w:hAnsiTheme="minorHAnsi" w:cstheme="minorHAnsi"/>
          <w:color w:val="000000"/>
          <w:sz w:val="22"/>
          <w:lang w:val="en-US" w:eastAsia="en-GB" w:bidi="en-GB"/>
        </w:rPr>
        <w:t xml:space="preserve">Telephone: </w:t>
      </w:r>
      <w:r w:rsidRPr="00A975CA">
        <w:rPr>
          <w:rFonts w:asciiTheme="minorHAnsi" w:hAnsiTheme="minorHAnsi" w:cstheme="minorHAnsi"/>
          <w:color w:val="000000"/>
          <w:sz w:val="22"/>
          <w:lang w:val="en-US"/>
        </w:rPr>
        <w:t>+31 570 745623</w:t>
      </w:r>
      <w:r w:rsidRPr="00A975CA">
        <w:rPr>
          <w:rFonts w:asciiTheme="minorHAnsi" w:eastAsia="Times New Roman" w:hAnsiTheme="minorHAnsi" w:cstheme="minorHAnsi"/>
          <w:color w:val="000000"/>
          <w:sz w:val="22"/>
          <w:lang w:val="en-US" w:eastAsia="en-GB" w:bidi="en-GB"/>
        </w:rPr>
        <w:tab/>
        <w:t xml:space="preserve">Email: </w:t>
      </w:r>
      <w:hyperlink r:id="rId9" w:history="1">
        <w:r w:rsidRPr="00A975CA">
          <w:rPr>
            <w:rFonts w:asciiTheme="minorHAnsi" w:eastAsia="MS ????" w:hAnsiTheme="minorHAnsi" w:cstheme="minorHAnsi"/>
            <w:color w:val="0000FF"/>
            <w:sz w:val="22"/>
            <w:u w:val="single"/>
            <w:lang w:val="en-US" w:eastAsia="en-GB" w:bidi="en-GB"/>
          </w:rPr>
          <w:t>investor-relations@roodmicrotec.com</w:t>
        </w:r>
      </w:hyperlink>
      <w:r w:rsidRPr="00A975CA">
        <w:rPr>
          <w:rFonts w:asciiTheme="minorHAnsi" w:hAnsiTheme="minorHAnsi" w:cstheme="minorHAnsi"/>
          <w:sz w:val="22"/>
          <w:lang w:val="en-US"/>
        </w:rPr>
        <w:tab/>
      </w:r>
      <w:r w:rsidR="00A975CA" w:rsidRPr="00A975CA">
        <w:rPr>
          <w:rFonts w:asciiTheme="minorHAnsi" w:hAnsiTheme="minorHAnsi" w:cstheme="minorHAnsi"/>
          <w:sz w:val="22"/>
          <w:lang w:val="en-US"/>
        </w:rPr>
        <w:t xml:space="preserve">Web: </w:t>
      </w:r>
      <w:hyperlink r:id="rId10" w:history="1">
        <w:r w:rsidR="00A975CA" w:rsidRPr="00A975CA">
          <w:rPr>
            <w:rStyle w:val="Hyperlink"/>
            <w:rFonts w:asciiTheme="minorHAnsi" w:hAnsiTheme="minorHAnsi" w:cstheme="minorHAnsi"/>
            <w:sz w:val="22"/>
            <w:lang w:val="en-US"/>
          </w:rPr>
          <w:t>www.roodmicrotec.com</w:t>
        </w:r>
      </w:hyperlink>
    </w:p>
    <w:p w14:paraId="4AB30CA2" w14:textId="77777777" w:rsidR="007C4F14" w:rsidRPr="00A069CF" w:rsidRDefault="007C4F14" w:rsidP="009A3B01">
      <w:pPr>
        <w:tabs>
          <w:tab w:val="left" w:pos="2977"/>
          <w:tab w:val="left" w:pos="7371"/>
        </w:tabs>
        <w:spacing w:after="0"/>
        <w:jc w:val="both"/>
        <w:rPr>
          <w:rFonts w:asciiTheme="minorHAnsi" w:eastAsia="Times New Roman" w:hAnsiTheme="minorHAnsi" w:cstheme="minorHAnsi"/>
          <w:sz w:val="22"/>
          <w:szCs w:val="20"/>
          <w:lang w:val="en-US" w:eastAsia="en-GB" w:bidi="en-GB"/>
        </w:rPr>
      </w:pPr>
    </w:p>
    <w:p w14:paraId="4B86C6FB" w14:textId="77777777" w:rsidR="009A3B01" w:rsidRPr="00A069CF" w:rsidRDefault="009A3B01" w:rsidP="009A3B01">
      <w:pPr>
        <w:spacing w:after="0"/>
        <w:ind w:right="-1"/>
        <w:jc w:val="both"/>
        <w:rPr>
          <w:i/>
          <w:sz w:val="18"/>
          <w:szCs w:val="18"/>
          <w:lang w:val="en-US"/>
        </w:rPr>
      </w:pPr>
      <w:r w:rsidRPr="00A069CF">
        <w:rPr>
          <w:i/>
          <w:sz w:val="18"/>
          <w:szCs w:val="18"/>
          <w:lang w:val="en-US"/>
        </w:rPr>
        <w:t>This press release is published in English, Dutch and German. In case of conflict between these versions the English version shall prevail.</w:t>
      </w:r>
    </w:p>
    <w:p w14:paraId="000F743D" w14:textId="7D2B254C" w:rsidR="009A3B01" w:rsidRPr="00A069CF" w:rsidRDefault="009A3B01" w:rsidP="00741060">
      <w:pPr>
        <w:spacing w:before="120" w:after="0"/>
        <w:jc w:val="both"/>
        <w:rPr>
          <w:rFonts w:asciiTheme="minorHAnsi" w:hAnsiTheme="minorHAnsi" w:cstheme="minorHAnsi"/>
          <w:i/>
          <w:sz w:val="18"/>
          <w:szCs w:val="18"/>
          <w:lang w:val="en-US"/>
        </w:rPr>
      </w:pPr>
      <w:r w:rsidRPr="00A069CF">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A069CF">
        <w:rPr>
          <w:rFonts w:asciiTheme="minorHAnsi" w:hAnsiTheme="minorHAnsi" w:cstheme="minorHAnsi"/>
          <w:sz w:val="18"/>
          <w:szCs w:val="18"/>
          <w:lang w:val="en-US"/>
        </w:rPr>
        <w:t xml:space="preserve"> </w:t>
      </w:r>
      <w:r w:rsidRPr="00A069CF">
        <w:rPr>
          <w:rFonts w:asciiTheme="minorHAnsi" w:hAnsiTheme="minorHAnsi" w:cstheme="minorHAnsi"/>
          <w:i/>
          <w:sz w:val="18"/>
          <w:szCs w:val="18"/>
          <w:lang w:val="en-US"/>
        </w:rPr>
        <w:t xml:space="preserve">The company’s managing director and CEO Martin Sallenhag, is responsible for arranging the release of this document on behalf of </w:t>
      </w:r>
      <w:proofErr w:type="spellStart"/>
      <w:r w:rsidRPr="00A069CF">
        <w:rPr>
          <w:rFonts w:asciiTheme="minorHAnsi" w:eastAsia="CIDFont+F1" w:hAnsiTheme="minorHAnsi" w:cstheme="minorHAnsi"/>
          <w:i/>
          <w:color w:val="BA0C2F"/>
          <w:sz w:val="18"/>
          <w:szCs w:val="18"/>
          <w:lang w:val="en-US" w:eastAsia="de-DE"/>
        </w:rPr>
        <w:t>Rood</w:t>
      </w:r>
      <w:r w:rsidRPr="00A069CF">
        <w:rPr>
          <w:rFonts w:asciiTheme="minorHAnsi" w:eastAsia="CIDFont+F1" w:hAnsiTheme="minorHAnsi" w:cstheme="minorHAnsi"/>
          <w:i/>
          <w:color w:val="000000"/>
          <w:sz w:val="18"/>
          <w:szCs w:val="18"/>
          <w:lang w:val="en-US" w:eastAsia="de-DE"/>
        </w:rPr>
        <w:t>Microtec</w:t>
      </w:r>
      <w:proofErr w:type="spellEnd"/>
      <w:r w:rsidRPr="00A069CF">
        <w:rPr>
          <w:rFonts w:asciiTheme="minorHAnsi" w:hAnsiTheme="minorHAnsi" w:cstheme="minorHAnsi"/>
          <w:i/>
          <w:sz w:val="18"/>
          <w:szCs w:val="18"/>
          <w:lang w:val="en-US"/>
        </w:rPr>
        <w:t>.</w:t>
      </w:r>
    </w:p>
    <w:sectPr w:rsidR="009A3B01" w:rsidRPr="00A069CF"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A1F3" w14:textId="77777777" w:rsidR="00020CDE" w:rsidRDefault="00020CDE" w:rsidP="00487DE4">
      <w:pPr>
        <w:spacing w:after="0" w:line="240" w:lineRule="auto"/>
      </w:pPr>
      <w:r>
        <w:separator/>
      </w:r>
    </w:p>
  </w:endnote>
  <w:endnote w:type="continuationSeparator" w:id="0">
    <w:p w14:paraId="1AD86646" w14:textId="77777777" w:rsidR="00020CDE" w:rsidRDefault="00020CDE"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D862E" w14:textId="77777777"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14:anchorId="0CB7A544" wp14:editId="7C4BD5A0">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65AC6" w14:textId="77968FCF" w:rsidR="00EE38BE" w:rsidRPr="00364EF1" w:rsidRDefault="00556F85" w:rsidP="0010326C">
                          <w:pPr>
                            <w:tabs>
                              <w:tab w:val="center" w:pos="5387"/>
                              <w:tab w:val="right" w:pos="10065"/>
                            </w:tabs>
                            <w:ind w:left="142" w:right="487"/>
                            <w:rPr>
                              <w:color w:val="FFFFFF"/>
                              <w:sz w:val="22"/>
                              <w:lang w:val="en-GB"/>
                            </w:rPr>
                          </w:pPr>
                          <w:r>
                            <w:rPr>
                              <w:color w:val="FFFFFF"/>
                              <w:sz w:val="22"/>
                              <w:lang w:val="en-GB"/>
                            </w:rPr>
                            <w:t xml:space="preserve">Interim </w:t>
                          </w:r>
                          <w:r w:rsidR="00397C60">
                            <w:rPr>
                              <w:color w:val="FFFFFF"/>
                              <w:sz w:val="22"/>
                              <w:lang w:val="en-GB"/>
                            </w:rPr>
                            <w:t>Result</w:t>
                          </w:r>
                          <w:r w:rsidR="00A40ED3">
                            <w:rPr>
                              <w:color w:val="FFFFFF"/>
                              <w:sz w:val="22"/>
                              <w:lang w:val="en-GB"/>
                            </w:rPr>
                            <w:t xml:space="preserve"> 2019 (unaudited)</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D26ACA">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14:paraId="67251560" w14:textId="77777777"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7A544"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14:paraId="14965AC6" w14:textId="77968FCF" w:rsidR="00EE38BE" w:rsidRPr="00364EF1" w:rsidRDefault="00556F85" w:rsidP="0010326C">
                    <w:pPr>
                      <w:tabs>
                        <w:tab w:val="center" w:pos="5387"/>
                        <w:tab w:val="right" w:pos="10065"/>
                      </w:tabs>
                      <w:ind w:left="142" w:right="487"/>
                      <w:rPr>
                        <w:color w:val="FFFFFF"/>
                        <w:sz w:val="22"/>
                        <w:lang w:val="en-GB"/>
                      </w:rPr>
                    </w:pPr>
                    <w:r>
                      <w:rPr>
                        <w:color w:val="FFFFFF"/>
                        <w:sz w:val="22"/>
                        <w:lang w:val="en-GB"/>
                      </w:rPr>
                      <w:t xml:space="preserve">Interim </w:t>
                    </w:r>
                    <w:r w:rsidR="00397C60">
                      <w:rPr>
                        <w:color w:val="FFFFFF"/>
                        <w:sz w:val="22"/>
                        <w:lang w:val="en-GB"/>
                      </w:rPr>
                      <w:t>Result</w:t>
                    </w:r>
                    <w:r w:rsidR="00A40ED3">
                      <w:rPr>
                        <w:color w:val="FFFFFF"/>
                        <w:sz w:val="22"/>
                        <w:lang w:val="en-GB"/>
                      </w:rPr>
                      <w:t xml:space="preserve"> 2019 (unaudited)</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D26ACA">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14:paraId="67251560" w14:textId="77777777"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14:anchorId="044F569C" wp14:editId="72BA5F55">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9EBE7" w14:textId="77777777"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14:anchorId="3E366B4D" wp14:editId="48BF491B">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A03A" w14:textId="4F7FB6E9" w:rsidR="0010326C" w:rsidRPr="00364EF1" w:rsidRDefault="00556F85" w:rsidP="0010326C">
                          <w:pPr>
                            <w:tabs>
                              <w:tab w:val="center" w:pos="5387"/>
                              <w:tab w:val="right" w:pos="10065"/>
                            </w:tabs>
                            <w:ind w:left="142" w:right="487"/>
                            <w:rPr>
                              <w:color w:val="FFFFFF"/>
                              <w:sz w:val="22"/>
                              <w:lang w:val="en-GB"/>
                            </w:rPr>
                          </w:pPr>
                          <w:r>
                            <w:rPr>
                              <w:color w:val="FFFFFF"/>
                              <w:sz w:val="22"/>
                              <w:lang w:val="en-GB"/>
                            </w:rPr>
                            <w:t xml:space="preserve">Interim </w:t>
                          </w:r>
                          <w:r w:rsidR="00397C60">
                            <w:rPr>
                              <w:color w:val="FFFFFF"/>
                              <w:sz w:val="22"/>
                              <w:lang w:val="en-GB"/>
                            </w:rPr>
                            <w:t xml:space="preserve">Result </w:t>
                          </w:r>
                          <w:r w:rsidR="00A40ED3">
                            <w:rPr>
                              <w:color w:val="FFFFFF"/>
                              <w:sz w:val="22"/>
                              <w:lang w:val="en-GB"/>
                            </w:rPr>
                            <w:t>2019 (unaudited)</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D26ACA">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14:paraId="01B99542" w14:textId="77777777"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66B4D"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14:paraId="0AB2A03A" w14:textId="4F7FB6E9" w:rsidR="0010326C" w:rsidRPr="00364EF1" w:rsidRDefault="00556F85" w:rsidP="0010326C">
                    <w:pPr>
                      <w:tabs>
                        <w:tab w:val="center" w:pos="5387"/>
                        <w:tab w:val="right" w:pos="10065"/>
                      </w:tabs>
                      <w:ind w:left="142" w:right="487"/>
                      <w:rPr>
                        <w:color w:val="FFFFFF"/>
                        <w:sz w:val="22"/>
                        <w:lang w:val="en-GB"/>
                      </w:rPr>
                    </w:pPr>
                    <w:r>
                      <w:rPr>
                        <w:color w:val="FFFFFF"/>
                        <w:sz w:val="22"/>
                        <w:lang w:val="en-GB"/>
                      </w:rPr>
                      <w:t xml:space="preserve">Interim </w:t>
                    </w:r>
                    <w:r w:rsidR="00397C60">
                      <w:rPr>
                        <w:color w:val="FFFFFF"/>
                        <w:sz w:val="22"/>
                        <w:lang w:val="en-GB"/>
                      </w:rPr>
                      <w:t xml:space="preserve">Result </w:t>
                    </w:r>
                    <w:r w:rsidR="00A40ED3">
                      <w:rPr>
                        <w:color w:val="FFFFFF"/>
                        <w:sz w:val="22"/>
                        <w:lang w:val="en-GB"/>
                      </w:rPr>
                      <w:t>2019 (unaudited)</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D26ACA">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14:paraId="01B99542" w14:textId="77777777"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6D646C5E" wp14:editId="409E5101">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B254C" w14:textId="77777777" w:rsidR="00020CDE" w:rsidRDefault="00020CDE" w:rsidP="00487DE4">
      <w:pPr>
        <w:spacing w:after="0" w:line="240" w:lineRule="auto"/>
      </w:pPr>
      <w:r>
        <w:separator/>
      </w:r>
    </w:p>
  </w:footnote>
  <w:footnote w:type="continuationSeparator" w:id="0">
    <w:p w14:paraId="4654955A" w14:textId="77777777" w:rsidR="00020CDE" w:rsidRDefault="00020CDE"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204B" w14:textId="77777777"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14:anchorId="72E836B6" wp14:editId="5187E79E">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4EBBD" w14:textId="77777777" w:rsidR="00EE38BE" w:rsidRPr="00397AFE" w:rsidRDefault="00EE38BE" w:rsidP="006A787C">
                          <w:pPr>
                            <w:spacing w:after="0" w:line="240" w:lineRule="auto"/>
                            <w:rPr>
                              <w:sz w:val="18"/>
                              <w:szCs w:val="18"/>
                              <w:lang w:val="en-GB"/>
                            </w:rPr>
                          </w:pPr>
                          <w:r w:rsidRPr="00397AFE">
                            <w:rPr>
                              <w:sz w:val="18"/>
                              <w:szCs w:val="18"/>
                              <w:lang w:val="en-GB"/>
                            </w:rPr>
                            <w:t>Martin Sallenhag, CEO</w:t>
                          </w:r>
                        </w:p>
                        <w:p w14:paraId="37046D61" w14:textId="77777777"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14:paraId="3FE4F329" w14:textId="77777777" w:rsidR="00EE38BE" w:rsidRPr="00397AFE" w:rsidRDefault="00EE38BE" w:rsidP="006A787C">
                          <w:pPr>
                            <w:spacing w:after="0" w:line="240" w:lineRule="auto"/>
                            <w:rPr>
                              <w:sz w:val="18"/>
                              <w:szCs w:val="18"/>
                              <w:lang w:val="en-GB"/>
                            </w:rPr>
                          </w:pPr>
                        </w:p>
                        <w:p w14:paraId="4D514C54" w14:textId="77777777"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14:paraId="42EA0397" w14:textId="77777777" w:rsidR="00EE38BE" w:rsidRPr="00397AFE" w:rsidRDefault="004679E7" w:rsidP="006A787C">
                          <w:pPr>
                            <w:spacing w:after="0" w:line="240" w:lineRule="auto"/>
                            <w:rPr>
                              <w:sz w:val="18"/>
                              <w:szCs w:val="18"/>
                              <w:lang w:val="nl-NL"/>
                            </w:rPr>
                          </w:pPr>
                          <w:r w:rsidRPr="00397AFE">
                            <w:rPr>
                              <w:sz w:val="18"/>
                              <w:szCs w:val="18"/>
                              <w:lang w:val="nl-NL"/>
                            </w:rPr>
                            <w:t>Zutphenseweg 29 D1</w:t>
                          </w:r>
                        </w:p>
                        <w:p w14:paraId="26987FDD" w14:textId="77777777"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14:paraId="436E0A1E" w14:textId="77777777" w:rsidR="00EE38BE" w:rsidRPr="00397AFE" w:rsidRDefault="00EE38BE" w:rsidP="006A787C">
                          <w:pPr>
                            <w:spacing w:after="0" w:line="240" w:lineRule="auto"/>
                            <w:rPr>
                              <w:sz w:val="18"/>
                              <w:szCs w:val="18"/>
                              <w:lang w:val="nl-NL"/>
                            </w:rPr>
                          </w:pPr>
                        </w:p>
                        <w:p w14:paraId="6F86E9A7" w14:textId="77777777"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14:paraId="25BE93D2" w14:textId="77777777"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7109FC">
                            <w:fldChar w:fldCharType="begin"/>
                          </w:r>
                          <w:r w:rsidR="007109FC">
                            <w:instrText xml:space="preserve"> HYPERLINK "mailto:investor-relations@roodmicrotec.com" \h </w:instrText>
                          </w:r>
                          <w:r w:rsidR="007109FC">
                            <w:fldChar w:fldCharType="separate"/>
                          </w:r>
                          <w:r w:rsidRPr="00397AFE">
                            <w:rPr>
                              <w:rFonts w:asciiTheme="minorHAnsi" w:eastAsia="Arial" w:hAnsiTheme="minorHAnsi" w:cstheme="minorHAnsi"/>
                              <w:color w:val="231F20"/>
                              <w:sz w:val="18"/>
                              <w:szCs w:val="18"/>
                              <w:lang w:val="nl-NL"/>
                            </w:rPr>
                            <w:t>investor-relations@roodmicrotec.com</w:t>
                          </w:r>
                          <w:r w:rsidR="007109FC">
                            <w:rPr>
                              <w:rFonts w:asciiTheme="minorHAnsi" w:eastAsia="Arial" w:hAnsiTheme="minorHAnsi" w:cstheme="minorHAnsi"/>
                              <w:color w:val="231F20"/>
                              <w:sz w:val="18"/>
                              <w:szCs w:val="18"/>
                              <w:lang w:val="nl-NL"/>
                            </w:rPr>
                            <w:fldChar w:fldCharType="end"/>
                          </w:r>
                        </w:p>
                        <w:p w14:paraId="1B39A559" w14:textId="77777777"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r w:rsidRPr="00397AFE">
                      <w:rPr>
                        <w:sz w:val="18"/>
                        <w:szCs w:val="18"/>
                        <w:lang w:val="en-GB"/>
                      </w:rPr>
                      <w:t>Arvid Ladega,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2">
                      <w:r w:rsidRPr="00397AFE">
                        <w:rPr>
                          <w:rFonts w:asciiTheme="minorHAnsi" w:eastAsia="Arial" w:hAnsiTheme="minorHAnsi" w:cstheme="minorHAnsi"/>
                          <w:color w:val="231F20"/>
                          <w:sz w:val="18"/>
                          <w:szCs w:val="18"/>
                          <w:lang w:val="nl-NL"/>
                        </w:rPr>
                        <w:t>investor-relations@roodmicrotec.com</w:t>
                      </w:r>
                    </w:hyperlink>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65CD69D8" wp14:editId="14626E52">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B337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14:anchorId="1F2EF404" wp14:editId="67540814">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14:anchorId="1DC6E42C" wp14:editId="722C3DF4">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11A6" w14:textId="777291A3"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0537EF">
                            <w:rPr>
                              <w:rFonts w:asciiTheme="minorHAnsi" w:hAnsiTheme="minorHAnsi" w:cstheme="minorHAnsi"/>
                              <w:color w:val="FFFFFF" w:themeColor="background1"/>
                            </w:rPr>
                            <w:t xml:space="preserve"> </w:t>
                          </w:r>
                          <w:r w:rsidR="009A3B01">
                            <w:rPr>
                              <w:rFonts w:asciiTheme="minorHAnsi" w:hAnsiTheme="minorHAnsi" w:cstheme="minorHAnsi"/>
                              <w:color w:val="FFFFFF" w:themeColor="background1"/>
                            </w:rPr>
                            <w:t>August</w:t>
                          </w:r>
                          <w:r w:rsidR="00384C62">
                            <w:rPr>
                              <w:rFonts w:asciiTheme="minorHAnsi" w:hAnsiTheme="minorHAnsi" w:cstheme="minorHAnsi"/>
                              <w:color w:val="FFFFFF" w:themeColor="background1"/>
                            </w:rPr>
                            <w:t xml:space="preserve"> 1</w:t>
                          </w:r>
                          <w:r w:rsidR="00384C62" w:rsidRPr="00630C45">
                            <w:rPr>
                              <w:rFonts w:asciiTheme="minorHAnsi" w:hAnsiTheme="minorHAnsi" w:cstheme="minorHAnsi"/>
                              <w:color w:val="FFFFFF" w:themeColor="background1"/>
                              <w:vertAlign w:val="superscript"/>
                            </w:rPr>
                            <w:t>st</w:t>
                          </w:r>
                          <w:r w:rsidR="00384C62">
                            <w:rPr>
                              <w:rFonts w:asciiTheme="minorHAnsi" w:hAnsiTheme="minorHAnsi" w:cstheme="minorHAnsi"/>
                              <w:color w:val="FFFFFF" w:themeColor="background1"/>
                            </w:rPr>
                            <w:t>,</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6E42C" id="_x0000_t202" coordsize="21600,21600" o:spt="202" path="m,l,21600r21600,l21600,xe">
              <v:stroke joinstyle="miter"/>
              <v:path gradientshapeok="t" o:connecttype="rect"/>
            </v:shapetype>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14:paraId="5FD611A6" w14:textId="777291A3"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0537EF">
                      <w:rPr>
                        <w:rFonts w:asciiTheme="minorHAnsi" w:hAnsiTheme="minorHAnsi" w:cstheme="minorHAnsi"/>
                        <w:color w:val="FFFFFF" w:themeColor="background1"/>
                      </w:rPr>
                      <w:t xml:space="preserve"> </w:t>
                    </w:r>
                    <w:r w:rsidR="009A3B01">
                      <w:rPr>
                        <w:rFonts w:asciiTheme="minorHAnsi" w:hAnsiTheme="minorHAnsi" w:cstheme="minorHAnsi"/>
                        <w:color w:val="FFFFFF" w:themeColor="background1"/>
                      </w:rPr>
                      <w:t>August</w:t>
                    </w:r>
                    <w:r w:rsidR="00384C62">
                      <w:rPr>
                        <w:rFonts w:asciiTheme="minorHAnsi" w:hAnsiTheme="minorHAnsi" w:cstheme="minorHAnsi"/>
                        <w:color w:val="FFFFFF" w:themeColor="background1"/>
                      </w:rPr>
                      <w:t xml:space="preserve"> 1</w:t>
                    </w:r>
                    <w:r w:rsidR="00384C62" w:rsidRPr="00630C45">
                      <w:rPr>
                        <w:rFonts w:asciiTheme="minorHAnsi" w:hAnsiTheme="minorHAnsi" w:cstheme="minorHAnsi"/>
                        <w:color w:val="FFFFFF" w:themeColor="background1"/>
                        <w:vertAlign w:val="superscript"/>
                      </w:rPr>
                      <w:t>st</w:t>
                    </w:r>
                    <w:r w:rsidR="00384C62">
                      <w:rPr>
                        <w:rFonts w:asciiTheme="minorHAnsi" w:hAnsiTheme="minorHAnsi" w:cstheme="minorHAnsi"/>
                        <w:color w:val="FFFFFF" w:themeColor="background1"/>
                      </w:rPr>
                      <w:t>,</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14:anchorId="2651AEE8" wp14:editId="26AFB819">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16AC1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01"/>
    <w:rsid w:val="00007E34"/>
    <w:rsid w:val="00011E84"/>
    <w:rsid w:val="00020CDE"/>
    <w:rsid w:val="00031CFE"/>
    <w:rsid w:val="000537EF"/>
    <w:rsid w:val="0005578B"/>
    <w:rsid w:val="00081B13"/>
    <w:rsid w:val="00085AB2"/>
    <w:rsid w:val="000B0D4F"/>
    <w:rsid w:val="000B4B80"/>
    <w:rsid w:val="000B6BC9"/>
    <w:rsid w:val="000D2F4C"/>
    <w:rsid w:val="000D401D"/>
    <w:rsid w:val="000D4F77"/>
    <w:rsid w:val="0010326C"/>
    <w:rsid w:val="00125004"/>
    <w:rsid w:val="001526FA"/>
    <w:rsid w:val="00161C05"/>
    <w:rsid w:val="001649FA"/>
    <w:rsid w:val="001716F3"/>
    <w:rsid w:val="00186B6E"/>
    <w:rsid w:val="001D76E5"/>
    <w:rsid w:val="001E59C7"/>
    <w:rsid w:val="001F3216"/>
    <w:rsid w:val="00245BA2"/>
    <w:rsid w:val="00246EFC"/>
    <w:rsid w:val="00247C50"/>
    <w:rsid w:val="00250BD1"/>
    <w:rsid w:val="00251CF6"/>
    <w:rsid w:val="0026344A"/>
    <w:rsid w:val="00267948"/>
    <w:rsid w:val="0027201E"/>
    <w:rsid w:val="00281BEA"/>
    <w:rsid w:val="002A0D07"/>
    <w:rsid w:val="002A1474"/>
    <w:rsid w:val="002C636E"/>
    <w:rsid w:val="002D5E7D"/>
    <w:rsid w:val="002F6F94"/>
    <w:rsid w:val="00300A2B"/>
    <w:rsid w:val="00324634"/>
    <w:rsid w:val="003279A8"/>
    <w:rsid w:val="00345CD2"/>
    <w:rsid w:val="0035461C"/>
    <w:rsid w:val="0036342D"/>
    <w:rsid w:val="00364EF1"/>
    <w:rsid w:val="00384C62"/>
    <w:rsid w:val="00391D49"/>
    <w:rsid w:val="00397AFE"/>
    <w:rsid w:val="00397C60"/>
    <w:rsid w:val="003A6DC1"/>
    <w:rsid w:val="003C0D40"/>
    <w:rsid w:val="003D5390"/>
    <w:rsid w:val="003E75B5"/>
    <w:rsid w:val="004152A2"/>
    <w:rsid w:val="004270A7"/>
    <w:rsid w:val="00427C8B"/>
    <w:rsid w:val="004679E7"/>
    <w:rsid w:val="0047010F"/>
    <w:rsid w:val="00487DE4"/>
    <w:rsid w:val="004B7933"/>
    <w:rsid w:val="005019CC"/>
    <w:rsid w:val="00521647"/>
    <w:rsid w:val="00532194"/>
    <w:rsid w:val="00535B06"/>
    <w:rsid w:val="00546072"/>
    <w:rsid w:val="00556F85"/>
    <w:rsid w:val="00564330"/>
    <w:rsid w:val="005A69F3"/>
    <w:rsid w:val="005C5BC6"/>
    <w:rsid w:val="005E76CA"/>
    <w:rsid w:val="00630C45"/>
    <w:rsid w:val="00657E90"/>
    <w:rsid w:val="00661C7F"/>
    <w:rsid w:val="006A25EF"/>
    <w:rsid w:val="006A787C"/>
    <w:rsid w:val="006B35C8"/>
    <w:rsid w:val="006B777C"/>
    <w:rsid w:val="006D7E75"/>
    <w:rsid w:val="007109FC"/>
    <w:rsid w:val="0071753C"/>
    <w:rsid w:val="00723598"/>
    <w:rsid w:val="00732161"/>
    <w:rsid w:val="00736E04"/>
    <w:rsid w:val="00737837"/>
    <w:rsid w:val="00741060"/>
    <w:rsid w:val="0076690A"/>
    <w:rsid w:val="007677D8"/>
    <w:rsid w:val="00774401"/>
    <w:rsid w:val="007815CD"/>
    <w:rsid w:val="007834C3"/>
    <w:rsid w:val="007A22AB"/>
    <w:rsid w:val="007A5DDC"/>
    <w:rsid w:val="007B1FC8"/>
    <w:rsid w:val="007B640C"/>
    <w:rsid w:val="007C4F14"/>
    <w:rsid w:val="0086120B"/>
    <w:rsid w:val="00881D9A"/>
    <w:rsid w:val="00882195"/>
    <w:rsid w:val="008A026B"/>
    <w:rsid w:val="00902043"/>
    <w:rsid w:val="009060B4"/>
    <w:rsid w:val="00911192"/>
    <w:rsid w:val="0099617D"/>
    <w:rsid w:val="009A3B01"/>
    <w:rsid w:val="009B4F9B"/>
    <w:rsid w:val="009C32BB"/>
    <w:rsid w:val="009C6004"/>
    <w:rsid w:val="009D401A"/>
    <w:rsid w:val="009D767A"/>
    <w:rsid w:val="009E7F64"/>
    <w:rsid w:val="00A069CF"/>
    <w:rsid w:val="00A16172"/>
    <w:rsid w:val="00A26469"/>
    <w:rsid w:val="00A36D83"/>
    <w:rsid w:val="00A40ED3"/>
    <w:rsid w:val="00A42A35"/>
    <w:rsid w:val="00A45E36"/>
    <w:rsid w:val="00A73C34"/>
    <w:rsid w:val="00A75EC9"/>
    <w:rsid w:val="00A7770C"/>
    <w:rsid w:val="00A975CA"/>
    <w:rsid w:val="00AC1277"/>
    <w:rsid w:val="00AE320D"/>
    <w:rsid w:val="00AF3DE9"/>
    <w:rsid w:val="00B1173A"/>
    <w:rsid w:val="00B12DF5"/>
    <w:rsid w:val="00B16A38"/>
    <w:rsid w:val="00B30686"/>
    <w:rsid w:val="00B30B8D"/>
    <w:rsid w:val="00B32080"/>
    <w:rsid w:val="00B463D7"/>
    <w:rsid w:val="00B50948"/>
    <w:rsid w:val="00B7638A"/>
    <w:rsid w:val="00B8164E"/>
    <w:rsid w:val="00BC3317"/>
    <w:rsid w:val="00BD3D96"/>
    <w:rsid w:val="00BD3E7E"/>
    <w:rsid w:val="00BF44D9"/>
    <w:rsid w:val="00BF7D94"/>
    <w:rsid w:val="00C01A3A"/>
    <w:rsid w:val="00C309CD"/>
    <w:rsid w:val="00C32FBA"/>
    <w:rsid w:val="00C35A81"/>
    <w:rsid w:val="00C60B78"/>
    <w:rsid w:val="00C76754"/>
    <w:rsid w:val="00C90E5F"/>
    <w:rsid w:val="00CA5E60"/>
    <w:rsid w:val="00CA6EC6"/>
    <w:rsid w:val="00D26ACA"/>
    <w:rsid w:val="00D42171"/>
    <w:rsid w:val="00D5269F"/>
    <w:rsid w:val="00D66737"/>
    <w:rsid w:val="00D7465A"/>
    <w:rsid w:val="00DC05A8"/>
    <w:rsid w:val="00DC1818"/>
    <w:rsid w:val="00DC312B"/>
    <w:rsid w:val="00DD3676"/>
    <w:rsid w:val="00DD49F4"/>
    <w:rsid w:val="00DE3384"/>
    <w:rsid w:val="00E020D4"/>
    <w:rsid w:val="00E074E7"/>
    <w:rsid w:val="00E315E5"/>
    <w:rsid w:val="00E57E27"/>
    <w:rsid w:val="00E73190"/>
    <w:rsid w:val="00E8473E"/>
    <w:rsid w:val="00E90550"/>
    <w:rsid w:val="00EC015E"/>
    <w:rsid w:val="00ED2F6E"/>
    <w:rsid w:val="00EE38BE"/>
    <w:rsid w:val="00F15FE0"/>
    <w:rsid w:val="00F33608"/>
    <w:rsid w:val="00F45F6A"/>
    <w:rsid w:val="00F74BC2"/>
    <w:rsid w:val="00F76FA3"/>
    <w:rsid w:val="00FA460A"/>
    <w:rsid w:val="00FB2BA3"/>
    <w:rsid w:val="00FB75D4"/>
    <w:rsid w:val="00FE6420"/>
    <w:rsid w:val="00FF2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BEC93"/>
  <w15:docId w15:val="{73E25CA4-3DE9-458F-B116-E3735F2B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397C60"/>
    <w:pPr>
      <w:keepNext/>
      <w:keepLines/>
      <w:tabs>
        <w:tab w:val="left" w:pos="10415"/>
      </w:tabs>
      <w:spacing w:before="240" w:after="360"/>
      <w:ind w:right="284"/>
      <w:jc w:val="both"/>
      <w:outlineLvl w:val="0"/>
    </w:pPr>
    <w:rPr>
      <w:rFonts w:eastAsiaTheme="majorEastAsia" w:cstheme="majorBidi"/>
      <w:b/>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397C60"/>
    <w:rPr>
      <w:rFonts w:eastAsiaTheme="majorEastAsia" w:cstheme="majorBidi"/>
      <w:b/>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character" w:styleId="Kommentarzeichen">
    <w:name w:val="annotation reference"/>
    <w:basedOn w:val="Absatz-Standardschriftart"/>
    <w:uiPriority w:val="99"/>
    <w:semiHidden/>
    <w:unhideWhenUsed/>
    <w:rsid w:val="00384C62"/>
    <w:rPr>
      <w:sz w:val="16"/>
      <w:szCs w:val="16"/>
    </w:rPr>
  </w:style>
  <w:style w:type="paragraph" w:styleId="Kommentartext">
    <w:name w:val="annotation text"/>
    <w:basedOn w:val="Standard"/>
    <w:link w:val="KommentartextZchn"/>
    <w:uiPriority w:val="99"/>
    <w:semiHidden/>
    <w:unhideWhenUsed/>
    <w:rsid w:val="00384C62"/>
    <w:pPr>
      <w:spacing w:line="240" w:lineRule="auto"/>
    </w:pPr>
    <w:rPr>
      <w:szCs w:val="20"/>
    </w:rPr>
  </w:style>
  <w:style w:type="character" w:customStyle="1" w:styleId="KommentartextZchn">
    <w:name w:val="Kommentartext Zchn"/>
    <w:basedOn w:val="Absatz-Standardschriftart"/>
    <w:link w:val="Kommentartext"/>
    <w:uiPriority w:val="99"/>
    <w:semiHidden/>
    <w:rsid w:val="00384C62"/>
    <w:rPr>
      <w:lang w:eastAsia="en-US"/>
    </w:rPr>
  </w:style>
  <w:style w:type="paragraph" w:styleId="Kommentarthema">
    <w:name w:val="annotation subject"/>
    <w:basedOn w:val="Kommentartext"/>
    <w:next w:val="Kommentartext"/>
    <w:link w:val="KommentarthemaZchn"/>
    <w:uiPriority w:val="99"/>
    <w:semiHidden/>
    <w:unhideWhenUsed/>
    <w:rsid w:val="00384C62"/>
    <w:rPr>
      <w:b/>
      <w:bCs/>
    </w:rPr>
  </w:style>
  <w:style w:type="character" w:customStyle="1" w:styleId="KommentarthemaZchn">
    <w:name w:val="Kommentarthema Zchn"/>
    <w:basedOn w:val="KommentartextZchn"/>
    <w:link w:val="Kommentarthema"/>
    <w:uiPriority w:val="99"/>
    <w:semiHidden/>
    <w:rsid w:val="00384C6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 w:id="206799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BD504-EA4E-4A16-9E00-E3785BD7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2</Pages>
  <Words>740</Words>
  <Characters>4665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Irmgard Bayerle</dc:creator>
  <cp:lastModifiedBy>Irmgard Bayerle</cp:lastModifiedBy>
  <cp:revision>2</cp:revision>
  <cp:lastPrinted>2019-07-29T11:47:00Z</cp:lastPrinted>
  <dcterms:created xsi:type="dcterms:W3CDTF">2019-07-31T13:27:00Z</dcterms:created>
  <dcterms:modified xsi:type="dcterms:W3CDTF">2019-07-31T13:27:00Z</dcterms:modified>
</cp:coreProperties>
</file>